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7E86E" w14:textId="4D43D251" w:rsidR="00F665BD" w:rsidRDefault="00B244F6" w:rsidP="00B244F6">
      <w:pPr>
        <w:pStyle w:val="Pagedecouverture"/>
        <w:rPr>
          <w:noProof/>
        </w:rPr>
      </w:pPr>
      <w:bookmarkStart w:id="0" w:name="LW_BM_COVERPAGE"/>
      <w:r>
        <w:rPr>
          <w:noProof/>
        </w:rPr>
        <w:pict w14:anchorId="233F5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E95E366-B927-47BB-BAF1-10CBEEE84B7F" style="width:455.25pt;height:351.75pt">
            <v:imagedata r:id="rId8" o:title=""/>
          </v:shape>
        </w:pict>
      </w:r>
    </w:p>
    <w:bookmarkEnd w:id="0"/>
    <w:p w14:paraId="3099AC81" w14:textId="77777777" w:rsidR="00F665BD" w:rsidRDefault="00F665BD" w:rsidP="00F665BD">
      <w:pPr>
        <w:rPr>
          <w:noProof/>
        </w:rPr>
        <w:sectPr w:rsidR="00F665BD" w:rsidSect="00B244F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439835D" w14:textId="1F79D1EC" w:rsidR="0059162F" w:rsidRPr="00507003" w:rsidRDefault="0059162F" w:rsidP="00507003">
      <w:pPr>
        <w:pStyle w:val="Style1"/>
      </w:pPr>
      <w:bookmarkStart w:id="1" w:name="_GoBack"/>
      <w:bookmarkEnd w:id="1"/>
      <w:r w:rsidRPr="00507003">
        <w:lastRenderedPageBreak/>
        <w:t>I.</w:t>
      </w:r>
      <w:r w:rsidRPr="00507003">
        <w:tab/>
        <w:t>INTRODUCTION</w:t>
      </w:r>
      <w:r w:rsidR="008A5B0F" w:rsidRPr="00507003">
        <w:t xml:space="preserve"> </w:t>
      </w:r>
    </w:p>
    <w:p w14:paraId="7D714AE4" w14:textId="3DC049FB" w:rsidR="0059162F" w:rsidRPr="00507003" w:rsidRDefault="0059162F" w:rsidP="0059162F">
      <w:pPr>
        <w:jc w:val="both"/>
        <w:rPr>
          <w:rStyle w:val="super"/>
          <w:noProof/>
        </w:rPr>
      </w:pPr>
      <w:r w:rsidRPr="00507003">
        <w:rPr>
          <w:rStyle w:val="super"/>
          <w:noProof/>
        </w:rPr>
        <w:t>This report concerns the implementation of information measures relating to the common agricultural policy (CAP) for 201</w:t>
      </w:r>
      <w:r w:rsidR="00F5007B" w:rsidRPr="00507003">
        <w:rPr>
          <w:rStyle w:val="super"/>
          <w:noProof/>
        </w:rPr>
        <w:t>9</w:t>
      </w:r>
      <w:r w:rsidRPr="00507003">
        <w:rPr>
          <w:rStyle w:val="super"/>
          <w:noProof/>
        </w:rPr>
        <w:t xml:space="preserve"> and 20</w:t>
      </w:r>
      <w:r w:rsidR="00F5007B" w:rsidRPr="00507003">
        <w:rPr>
          <w:rStyle w:val="super"/>
          <w:noProof/>
        </w:rPr>
        <w:t>20</w:t>
      </w:r>
      <w:r w:rsidRPr="00507003">
        <w:rPr>
          <w:rStyle w:val="super"/>
          <w:noProof/>
        </w:rPr>
        <w:t>, under Article 45 of Regulation (EU) No 1306/2013 of the European Parliament and of the Council of 17 December 2013 on the financing, management and monitoring of the common agricultural policy</w:t>
      </w:r>
      <w:r w:rsidR="00B93628">
        <w:rPr>
          <w:rStyle w:val="FootnoteReference"/>
          <w:noProof/>
        </w:rPr>
        <w:footnoteReference w:id="2"/>
      </w:r>
      <w:r w:rsidR="00454C51" w:rsidRPr="00507003">
        <w:rPr>
          <w:rStyle w:val="super"/>
          <w:noProof/>
        </w:rPr>
        <w:t xml:space="preserve"> </w:t>
      </w:r>
      <w:r w:rsidRPr="00507003">
        <w:rPr>
          <w:rStyle w:val="super"/>
          <w:noProof/>
        </w:rPr>
        <w:t>(hereinafter 'the Regulation').</w:t>
      </w:r>
    </w:p>
    <w:p w14:paraId="7E53114C" w14:textId="5EE5B1D5" w:rsidR="0059162F" w:rsidRPr="00507003" w:rsidRDefault="0059162F" w:rsidP="0059162F">
      <w:pPr>
        <w:autoSpaceDE w:val="0"/>
        <w:autoSpaceDN w:val="0"/>
        <w:adjustRightInd w:val="0"/>
        <w:spacing w:before="120" w:after="120"/>
        <w:jc w:val="both"/>
        <w:rPr>
          <w:rStyle w:val="super"/>
          <w:noProof/>
        </w:rPr>
      </w:pPr>
      <w:r w:rsidRPr="00507003">
        <w:rPr>
          <w:rStyle w:val="super"/>
          <w:noProof/>
        </w:rPr>
        <w:t>Article 45(1) first subparagraph of the Regulation states that information measures financed "shall aim, in particular, to help explain, implement and develop the CAP and to raise public awareness of its content and objectives to reinstate consumer confidence following crises through information campaigns, to inform farmers and other parties active in rural areas and to promote the European model of agriculture, as well as to help citizens understand it</w:t>
      </w:r>
      <w:r w:rsidR="00252048">
        <w:rPr>
          <w:rStyle w:val="super"/>
          <w:noProof/>
        </w:rPr>
        <w:t>”</w:t>
      </w:r>
      <w:r w:rsidRPr="00507003">
        <w:rPr>
          <w:rStyle w:val="super"/>
          <w:noProof/>
        </w:rPr>
        <w:t>. Article 45(2) last subparagraph states that these measures "shall also contribute to the corporate communication of the Union's political priorities in so far as those priorities are related to the general objectives of this Regulation".</w:t>
      </w:r>
    </w:p>
    <w:p w14:paraId="53CB9635" w14:textId="77777777" w:rsidR="0059162F" w:rsidRPr="00507003" w:rsidRDefault="0059162F" w:rsidP="0059162F">
      <w:pPr>
        <w:spacing w:before="120" w:after="120"/>
        <w:jc w:val="both"/>
        <w:rPr>
          <w:rStyle w:val="super"/>
          <w:noProof/>
        </w:rPr>
      </w:pPr>
      <w:r w:rsidRPr="00507003">
        <w:rPr>
          <w:rStyle w:val="super"/>
          <w:noProof/>
        </w:rPr>
        <w:t>Information measures financed fall into two main categories:</w:t>
      </w:r>
    </w:p>
    <w:p w14:paraId="444E43FF" w14:textId="77777777" w:rsidR="0059162F" w:rsidRPr="00507003" w:rsidRDefault="0059162F" w:rsidP="0059162F">
      <w:pPr>
        <w:pStyle w:val="ListParagraph"/>
        <w:numPr>
          <w:ilvl w:val="0"/>
          <w:numId w:val="1"/>
        </w:numPr>
        <w:jc w:val="both"/>
        <w:rPr>
          <w:rStyle w:val="super"/>
          <w:noProof/>
        </w:rPr>
      </w:pPr>
      <w:r w:rsidRPr="00507003">
        <w:rPr>
          <w:rStyle w:val="super"/>
          <w:noProof/>
        </w:rPr>
        <w:t>Those submitted by third party organisations for co-financing under the European Agricultural Guarantee Fund - EAGF (grants);</w:t>
      </w:r>
    </w:p>
    <w:p w14:paraId="09937830" w14:textId="77777777" w:rsidR="0059162F" w:rsidRPr="00507003" w:rsidRDefault="0059162F" w:rsidP="0059162F">
      <w:pPr>
        <w:pStyle w:val="ListParagraph"/>
        <w:numPr>
          <w:ilvl w:val="0"/>
          <w:numId w:val="1"/>
        </w:numPr>
        <w:jc w:val="both"/>
        <w:rPr>
          <w:rStyle w:val="super"/>
          <w:noProof/>
        </w:rPr>
      </w:pPr>
      <w:r w:rsidRPr="00507003">
        <w:rPr>
          <w:rStyle w:val="super"/>
          <w:noProof/>
        </w:rPr>
        <w:t>Those at the initiative of the Commission and financed at a rate of 100% under the European Agricultural Guarantee Fund - EAGF (direct actions/public procurement).</w:t>
      </w:r>
    </w:p>
    <w:p w14:paraId="1453AB09" w14:textId="5374A6AB" w:rsidR="001D1218" w:rsidRPr="00507003" w:rsidRDefault="0059162F" w:rsidP="0059162F">
      <w:pPr>
        <w:spacing w:before="120" w:after="120"/>
        <w:jc w:val="both"/>
        <w:rPr>
          <w:rStyle w:val="super"/>
          <w:noProof/>
        </w:rPr>
      </w:pPr>
      <w:r w:rsidRPr="00507003">
        <w:rPr>
          <w:rStyle w:val="super"/>
          <w:noProof/>
        </w:rPr>
        <w:t xml:space="preserve">According to Article 45(5) of the Regulation, a report on the implementation of the information measures under the Regulation shall be presented to the European Parliament and the Council every two years. This is the </w:t>
      </w:r>
      <w:r w:rsidR="00F5007B" w:rsidRPr="00507003">
        <w:rPr>
          <w:rStyle w:val="super"/>
          <w:noProof/>
        </w:rPr>
        <w:t>ninth</w:t>
      </w:r>
      <w:r w:rsidRPr="00507003">
        <w:rPr>
          <w:rStyle w:val="super"/>
          <w:noProof/>
        </w:rPr>
        <w:t xml:space="preserve"> such report</w:t>
      </w:r>
      <w:r w:rsidR="00B93628">
        <w:rPr>
          <w:rStyle w:val="FootnoteReference"/>
          <w:noProof/>
        </w:rPr>
        <w:footnoteReference w:id="3"/>
      </w:r>
      <w:r w:rsidRPr="00507003">
        <w:rPr>
          <w:rStyle w:val="super"/>
          <w:noProof/>
        </w:rPr>
        <w:t>.</w:t>
      </w:r>
    </w:p>
    <w:p w14:paraId="75EFCA92" w14:textId="3F4260F9" w:rsidR="00852F74" w:rsidRPr="00507003" w:rsidRDefault="008A150B" w:rsidP="002D2C3C">
      <w:pPr>
        <w:spacing w:before="120" w:after="120"/>
        <w:jc w:val="both"/>
        <w:rPr>
          <w:rStyle w:val="super"/>
          <w:noProof/>
        </w:rPr>
      </w:pPr>
      <w:r w:rsidRPr="00507003">
        <w:rPr>
          <w:rStyle w:val="super"/>
          <w:noProof/>
        </w:rPr>
        <w:t xml:space="preserve">In this period, </w:t>
      </w:r>
      <w:r w:rsidR="00252048">
        <w:rPr>
          <w:rStyle w:val="super"/>
          <w:noProof/>
        </w:rPr>
        <w:t xml:space="preserve">the </w:t>
      </w:r>
      <w:r w:rsidRPr="00507003">
        <w:rPr>
          <w:rStyle w:val="super"/>
          <w:noProof/>
        </w:rPr>
        <w:t>D</w:t>
      </w:r>
      <w:r w:rsidR="00252048">
        <w:rPr>
          <w:rStyle w:val="super"/>
          <w:noProof/>
        </w:rPr>
        <w:t xml:space="preserve">irectorate </w:t>
      </w:r>
      <w:r w:rsidRPr="00507003">
        <w:rPr>
          <w:rStyle w:val="super"/>
          <w:noProof/>
        </w:rPr>
        <w:t>G</w:t>
      </w:r>
      <w:r w:rsidR="00252048">
        <w:rPr>
          <w:rStyle w:val="super"/>
          <w:noProof/>
        </w:rPr>
        <w:t>eneral for</w:t>
      </w:r>
      <w:r w:rsidRPr="00507003">
        <w:rPr>
          <w:rStyle w:val="super"/>
          <w:noProof/>
        </w:rPr>
        <w:t xml:space="preserve"> </w:t>
      </w:r>
      <w:r w:rsidR="00430576" w:rsidRPr="00507003">
        <w:rPr>
          <w:rStyle w:val="super"/>
          <w:noProof/>
        </w:rPr>
        <w:t xml:space="preserve">Agriculture and </w:t>
      </w:r>
      <w:r w:rsidR="004526A1" w:rsidRPr="00507003">
        <w:rPr>
          <w:rStyle w:val="super"/>
          <w:noProof/>
        </w:rPr>
        <w:t>R</w:t>
      </w:r>
      <w:r w:rsidR="00430576" w:rsidRPr="00507003">
        <w:rPr>
          <w:rStyle w:val="super"/>
          <w:noProof/>
        </w:rPr>
        <w:t xml:space="preserve">ural </w:t>
      </w:r>
      <w:r w:rsidR="004526A1" w:rsidRPr="00507003">
        <w:rPr>
          <w:rStyle w:val="super"/>
          <w:noProof/>
        </w:rPr>
        <w:t>D</w:t>
      </w:r>
      <w:r w:rsidR="00430576" w:rsidRPr="00507003">
        <w:rPr>
          <w:rStyle w:val="super"/>
          <w:noProof/>
        </w:rPr>
        <w:t xml:space="preserve">evelopment (DG </w:t>
      </w:r>
      <w:r w:rsidRPr="00507003">
        <w:rPr>
          <w:rStyle w:val="super"/>
          <w:noProof/>
        </w:rPr>
        <w:t>AGRI</w:t>
      </w:r>
      <w:r w:rsidR="00430576" w:rsidRPr="00507003">
        <w:rPr>
          <w:rStyle w:val="super"/>
          <w:noProof/>
        </w:rPr>
        <w:t>)</w:t>
      </w:r>
      <w:r w:rsidRPr="00507003">
        <w:rPr>
          <w:rStyle w:val="super"/>
          <w:noProof/>
        </w:rPr>
        <w:t xml:space="preserve"> </w:t>
      </w:r>
      <w:r w:rsidR="00BF0F19" w:rsidRPr="00507003">
        <w:rPr>
          <w:rStyle w:val="super"/>
          <w:noProof/>
        </w:rPr>
        <w:t xml:space="preserve">continued to </w:t>
      </w:r>
      <w:r w:rsidRPr="00507003">
        <w:rPr>
          <w:rStyle w:val="super"/>
          <w:noProof/>
        </w:rPr>
        <w:t>contribute</w:t>
      </w:r>
      <w:r w:rsidR="00BF0F19" w:rsidRPr="00507003">
        <w:rPr>
          <w:rStyle w:val="super"/>
          <w:noProof/>
        </w:rPr>
        <w:t xml:space="preserve"> </w:t>
      </w:r>
      <w:r w:rsidRPr="00507003">
        <w:rPr>
          <w:rStyle w:val="super"/>
          <w:noProof/>
        </w:rPr>
        <w:t>to the ongoing development and implementation of the Commission’s corporate communication actions.</w:t>
      </w:r>
      <w:r w:rsidR="009644C3" w:rsidRPr="00507003">
        <w:rPr>
          <w:rStyle w:val="super"/>
          <w:noProof/>
        </w:rPr>
        <w:t xml:space="preserve"> Resources were pooled from different spending programmes in order to fund communication priorities based on the general objectives of the European Union.</w:t>
      </w:r>
      <w:r w:rsidR="0031619D" w:rsidRPr="00507003">
        <w:rPr>
          <w:rStyle w:val="super"/>
          <w:noProof/>
        </w:rPr>
        <w:t xml:space="preserve"> </w:t>
      </w:r>
      <w:r w:rsidR="000C7545" w:rsidRPr="00507003">
        <w:rPr>
          <w:rStyle w:val="super"/>
          <w:noProof/>
        </w:rPr>
        <w:t xml:space="preserve">In </w:t>
      </w:r>
      <w:r w:rsidR="008558D0" w:rsidRPr="00507003">
        <w:rPr>
          <w:rStyle w:val="super"/>
          <w:noProof/>
        </w:rPr>
        <w:t xml:space="preserve">2019, </w:t>
      </w:r>
      <w:r w:rsidR="000C7545" w:rsidRPr="00507003">
        <w:rPr>
          <w:rStyle w:val="super"/>
          <w:noProof/>
        </w:rPr>
        <w:t xml:space="preserve">DG AGRI communication actions </w:t>
      </w:r>
      <w:r w:rsidR="00A5520D" w:rsidRPr="00507003">
        <w:rPr>
          <w:rStyle w:val="super"/>
          <w:noProof/>
        </w:rPr>
        <w:t>reflected</w:t>
      </w:r>
      <w:r w:rsidR="000C7545" w:rsidRPr="00507003">
        <w:rPr>
          <w:rStyle w:val="super"/>
          <w:noProof/>
        </w:rPr>
        <w:t xml:space="preserve"> how the Common Ag</w:t>
      </w:r>
      <w:r w:rsidR="00407827" w:rsidRPr="00507003">
        <w:rPr>
          <w:rStyle w:val="super"/>
          <w:noProof/>
        </w:rPr>
        <w:t>ricultural</w:t>
      </w:r>
      <w:r w:rsidR="000C7545" w:rsidRPr="00507003">
        <w:rPr>
          <w:rStyle w:val="super"/>
          <w:noProof/>
        </w:rPr>
        <w:t xml:space="preserve"> </w:t>
      </w:r>
      <w:r w:rsidR="00407827" w:rsidRPr="00507003">
        <w:rPr>
          <w:rStyle w:val="super"/>
          <w:noProof/>
        </w:rPr>
        <w:t>Po</w:t>
      </w:r>
      <w:r w:rsidR="000C7545" w:rsidRPr="00507003">
        <w:rPr>
          <w:rStyle w:val="super"/>
          <w:noProof/>
        </w:rPr>
        <w:t xml:space="preserve">licy contributed to the priorities of </w:t>
      </w:r>
      <w:r w:rsidR="001D1218" w:rsidRPr="00507003">
        <w:rPr>
          <w:rStyle w:val="super"/>
          <w:noProof/>
        </w:rPr>
        <w:t>the Juncker Commission</w:t>
      </w:r>
      <w:r w:rsidR="008558D0" w:rsidRPr="00507003">
        <w:rPr>
          <w:rStyle w:val="super"/>
          <w:noProof/>
        </w:rPr>
        <w:t xml:space="preserve">, </w:t>
      </w:r>
      <w:r w:rsidR="009F1F12" w:rsidRPr="00507003">
        <w:rPr>
          <w:rStyle w:val="super"/>
          <w:noProof/>
        </w:rPr>
        <w:t xml:space="preserve">especially </w:t>
      </w:r>
      <w:r w:rsidR="00A5520D" w:rsidRPr="00507003">
        <w:rPr>
          <w:rStyle w:val="super"/>
          <w:noProof/>
        </w:rPr>
        <w:t xml:space="preserve">on </w:t>
      </w:r>
      <w:r w:rsidR="000C7545" w:rsidRPr="00507003">
        <w:rPr>
          <w:rStyle w:val="super"/>
          <w:noProof/>
        </w:rPr>
        <w:t>job</w:t>
      </w:r>
      <w:r w:rsidR="009F1F12" w:rsidRPr="00507003">
        <w:rPr>
          <w:rStyle w:val="super"/>
          <w:noProof/>
        </w:rPr>
        <w:t xml:space="preserve"> creation</w:t>
      </w:r>
      <w:r w:rsidR="000C7545" w:rsidRPr="00507003">
        <w:rPr>
          <w:rStyle w:val="super"/>
          <w:noProof/>
        </w:rPr>
        <w:t>, growth and investme</w:t>
      </w:r>
      <w:r w:rsidR="004153AC" w:rsidRPr="00507003">
        <w:rPr>
          <w:rStyle w:val="super"/>
          <w:noProof/>
        </w:rPr>
        <w:t>n</w:t>
      </w:r>
      <w:r w:rsidR="000C7545" w:rsidRPr="00507003">
        <w:rPr>
          <w:rStyle w:val="super"/>
          <w:noProof/>
        </w:rPr>
        <w:t>t, and delivering ta</w:t>
      </w:r>
      <w:r w:rsidR="00407827" w:rsidRPr="00507003">
        <w:rPr>
          <w:rStyle w:val="super"/>
          <w:noProof/>
        </w:rPr>
        <w:t>n</w:t>
      </w:r>
      <w:r w:rsidR="000C7545" w:rsidRPr="00507003">
        <w:rPr>
          <w:rStyle w:val="super"/>
          <w:noProof/>
        </w:rPr>
        <w:t>gible benefits for citizens</w:t>
      </w:r>
      <w:r w:rsidR="0006027D" w:rsidRPr="00507003">
        <w:rPr>
          <w:rStyle w:val="super"/>
          <w:noProof/>
        </w:rPr>
        <w:t>.</w:t>
      </w:r>
      <w:r w:rsidR="00E3432B" w:rsidRPr="00507003">
        <w:rPr>
          <w:rStyle w:val="super"/>
          <w:noProof/>
        </w:rPr>
        <w:t xml:space="preserve"> </w:t>
      </w:r>
      <w:r w:rsidR="004F6DF0" w:rsidRPr="00507003">
        <w:rPr>
          <w:rStyle w:val="super"/>
          <w:noProof/>
        </w:rPr>
        <w:t>At the same time, the Commission prepared to deliver on</w:t>
      </w:r>
      <w:r w:rsidR="00E3432B" w:rsidRPr="00507003">
        <w:rPr>
          <w:rStyle w:val="super"/>
          <w:noProof/>
        </w:rPr>
        <w:t xml:space="preserve"> the headline ambitions of the V</w:t>
      </w:r>
      <w:r w:rsidR="004F6DF0" w:rsidRPr="00507003">
        <w:rPr>
          <w:rStyle w:val="super"/>
          <w:noProof/>
        </w:rPr>
        <w:t xml:space="preserve">on der Leyen Commission, notably on the European Green Deal. </w:t>
      </w:r>
      <w:r w:rsidR="001D1218" w:rsidRPr="00507003">
        <w:rPr>
          <w:rStyle w:val="super"/>
          <w:noProof/>
        </w:rPr>
        <w:t xml:space="preserve">In </w:t>
      </w:r>
      <w:r w:rsidR="0059162F" w:rsidRPr="00507003">
        <w:rPr>
          <w:rStyle w:val="super"/>
          <w:noProof/>
        </w:rPr>
        <w:t>20</w:t>
      </w:r>
      <w:r w:rsidR="001D1218" w:rsidRPr="00507003">
        <w:rPr>
          <w:rStyle w:val="super"/>
          <w:noProof/>
        </w:rPr>
        <w:t xml:space="preserve">20, the </w:t>
      </w:r>
      <w:r w:rsidR="004B338D" w:rsidRPr="00507003">
        <w:rPr>
          <w:rStyle w:val="super"/>
          <w:noProof/>
        </w:rPr>
        <w:t>new</w:t>
      </w:r>
      <w:r w:rsidR="001D1218" w:rsidRPr="00507003">
        <w:rPr>
          <w:rStyle w:val="super"/>
          <w:noProof/>
        </w:rPr>
        <w:t xml:space="preserve"> Commission was rapidly confronted </w:t>
      </w:r>
      <w:r w:rsidR="0031619D" w:rsidRPr="00507003">
        <w:rPr>
          <w:rStyle w:val="super"/>
          <w:noProof/>
        </w:rPr>
        <w:t>with</w:t>
      </w:r>
      <w:r w:rsidR="001D1218" w:rsidRPr="00507003">
        <w:rPr>
          <w:rStyle w:val="super"/>
          <w:noProof/>
        </w:rPr>
        <w:t xml:space="preserve"> the coronavirus pandemic, and the need to organise a concerted and coordinated European response to the emergency</w:t>
      </w:r>
      <w:r w:rsidR="002D2C3C" w:rsidRPr="00507003">
        <w:rPr>
          <w:rStyle w:val="super"/>
          <w:noProof/>
        </w:rPr>
        <w:t>.</w:t>
      </w:r>
      <w:r w:rsidRPr="00507003">
        <w:rPr>
          <w:rStyle w:val="super"/>
          <w:noProof/>
        </w:rPr>
        <w:t xml:space="preserve"> DG AGRI contributed to </w:t>
      </w:r>
      <w:r w:rsidR="008558D0" w:rsidRPr="00507003">
        <w:rPr>
          <w:rStyle w:val="super"/>
          <w:noProof/>
        </w:rPr>
        <w:t xml:space="preserve">communicating </w:t>
      </w:r>
      <w:r w:rsidR="0031619D" w:rsidRPr="00507003">
        <w:rPr>
          <w:rStyle w:val="super"/>
          <w:noProof/>
        </w:rPr>
        <w:t xml:space="preserve">at </w:t>
      </w:r>
      <w:r w:rsidR="009F717D" w:rsidRPr="00507003">
        <w:rPr>
          <w:rStyle w:val="super"/>
          <w:noProof/>
        </w:rPr>
        <w:t xml:space="preserve">both </w:t>
      </w:r>
      <w:r w:rsidR="0031619D" w:rsidRPr="00507003">
        <w:rPr>
          <w:rStyle w:val="super"/>
          <w:noProof/>
        </w:rPr>
        <w:t>the</w:t>
      </w:r>
      <w:r w:rsidR="004F6DF0" w:rsidRPr="00507003">
        <w:rPr>
          <w:rStyle w:val="super"/>
          <w:noProof/>
        </w:rPr>
        <w:t xml:space="preserve"> </w:t>
      </w:r>
      <w:r w:rsidR="0031619D" w:rsidRPr="00507003">
        <w:rPr>
          <w:rStyle w:val="super"/>
          <w:noProof/>
        </w:rPr>
        <w:t>corporate</w:t>
      </w:r>
      <w:r w:rsidR="004F6DF0" w:rsidRPr="00507003">
        <w:rPr>
          <w:rStyle w:val="super"/>
          <w:noProof/>
        </w:rPr>
        <w:t xml:space="preserve"> and sectoral </w:t>
      </w:r>
      <w:r w:rsidR="0031619D" w:rsidRPr="00507003">
        <w:rPr>
          <w:rStyle w:val="super"/>
          <w:noProof/>
        </w:rPr>
        <w:t xml:space="preserve">level </w:t>
      </w:r>
      <w:r w:rsidR="008558D0" w:rsidRPr="00507003">
        <w:rPr>
          <w:rStyle w:val="super"/>
          <w:noProof/>
        </w:rPr>
        <w:t>on</w:t>
      </w:r>
      <w:r w:rsidRPr="00507003">
        <w:rPr>
          <w:rStyle w:val="super"/>
          <w:noProof/>
        </w:rPr>
        <w:t xml:space="preserve"> the measures taken to protect the health and safety of citizens, </w:t>
      </w:r>
      <w:r w:rsidR="00914008" w:rsidRPr="00507003">
        <w:rPr>
          <w:rStyle w:val="super"/>
          <w:noProof/>
        </w:rPr>
        <w:t xml:space="preserve">to assure the </w:t>
      </w:r>
      <w:r w:rsidR="004F6DF0" w:rsidRPr="00507003">
        <w:rPr>
          <w:rStyle w:val="super"/>
          <w:noProof/>
        </w:rPr>
        <w:t xml:space="preserve">continued </w:t>
      </w:r>
      <w:r w:rsidR="00914008" w:rsidRPr="00507003">
        <w:rPr>
          <w:rStyle w:val="super"/>
          <w:noProof/>
        </w:rPr>
        <w:t xml:space="preserve">effective functioning of the food supply chain and </w:t>
      </w:r>
      <w:r w:rsidR="00086AB6" w:rsidRPr="00507003">
        <w:rPr>
          <w:rStyle w:val="super"/>
          <w:noProof/>
        </w:rPr>
        <w:t>food security</w:t>
      </w:r>
      <w:r w:rsidR="000304CB" w:rsidRPr="00507003">
        <w:rPr>
          <w:rStyle w:val="super"/>
          <w:noProof/>
        </w:rPr>
        <w:t>,</w:t>
      </w:r>
      <w:r w:rsidR="008558D0" w:rsidRPr="00507003">
        <w:rPr>
          <w:rStyle w:val="super"/>
          <w:noProof/>
        </w:rPr>
        <w:t xml:space="preserve"> and on the</w:t>
      </w:r>
      <w:r w:rsidR="005F08A3" w:rsidRPr="00507003">
        <w:rPr>
          <w:rStyle w:val="super"/>
          <w:noProof/>
        </w:rPr>
        <w:t xml:space="preserve"> future oriented </w:t>
      </w:r>
      <w:r w:rsidR="008558D0" w:rsidRPr="00507003">
        <w:rPr>
          <w:rStyle w:val="super"/>
          <w:noProof/>
        </w:rPr>
        <w:t>recovery plan proposed by the Commission</w:t>
      </w:r>
      <w:r w:rsidR="00BF0F19" w:rsidRPr="00507003">
        <w:rPr>
          <w:rStyle w:val="super"/>
          <w:noProof/>
        </w:rPr>
        <w:t xml:space="preserve"> based on the Green Deal objectives</w:t>
      </w:r>
      <w:r w:rsidR="008558D0" w:rsidRPr="00507003">
        <w:rPr>
          <w:rStyle w:val="super"/>
          <w:noProof/>
        </w:rPr>
        <w:t>.</w:t>
      </w:r>
      <w:r w:rsidR="002D2C3C" w:rsidRPr="00507003">
        <w:rPr>
          <w:rStyle w:val="super"/>
          <w:noProof/>
        </w:rPr>
        <w:t xml:space="preserve"> </w:t>
      </w:r>
    </w:p>
    <w:p w14:paraId="1D01BD10" w14:textId="4C3C768F" w:rsidR="00E05694" w:rsidRPr="00507003" w:rsidRDefault="00D35598" w:rsidP="0059162F">
      <w:pPr>
        <w:spacing w:before="120" w:after="120"/>
        <w:jc w:val="both"/>
        <w:rPr>
          <w:rStyle w:val="super"/>
          <w:noProof/>
        </w:rPr>
      </w:pPr>
      <w:r w:rsidRPr="00507003">
        <w:rPr>
          <w:rStyle w:val="super"/>
          <w:noProof/>
        </w:rPr>
        <w:t xml:space="preserve">In 2020, </w:t>
      </w:r>
      <w:r w:rsidR="00B42398" w:rsidRPr="00507003">
        <w:rPr>
          <w:rStyle w:val="super"/>
          <w:noProof/>
        </w:rPr>
        <w:t>a Eurobarometer survey</w:t>
      </w:r>
      <w:r w:rsidRPr="00507003">
        <w:rPr>
          <w:rStyle w:val="super"/>
          <w:noProof/>
        </w:rPr>
        <w:t xml:space="preserve"> was c</w:t>
      </w:r>
      <w:r w:rsidR="00682B55" w:rsidRPr="00507003">
        <w:rPr>
          <w:rStyle w:val="super"/>
          <w:noProof/>
        </w:rPr>
        <w:t>arried out, a</w:t>
      </w:r>
      <w:r w:rsidR="00A97102" w:rsidRPr="00507003">
        <w:rPr>
          <w:rStyle w:val="super"/>
          <w:noProof/>
        </w:rPr>
        <w:t>s</w:t>
      </w:r>
      <w:r w:rsidR="00172D7D" w:rsidRPr="00507003">
        <w:rPr>
          <w:rStyle w:val="super"/>
          <w:noProof/>
        </w:rPr>
        <w:t xml:space="preserve"> part of the </w:t>
      </w:r>
      <w:r w:rsidRPr="00507003">
        <w:rPr>
          <w:rStyle w:val="super"/>
          <w:noProof/>
        </w:rPr>
        <w:t>r</w:t>
      </w:r>
      <w:r w:rsidR="00172D7D" w:rsidRPr="00507003">
        <w:rPr>
          <w:rStyle w:val="super"/>
          <w:noProof/>
        </w:rPr>
        <w:t>egular</w:t>
      </w:r>
      <w:r w:rsidRPr="00507003">
        <w:rPr>
          <w:rStyle w:val="super"/>
          <w:noProof/>
        </w:rPr>
        <w:t xml:space="preserve"> track</w:t>
      </w:r>
      <w:r w:rsidR="00172D7D" w:rsidRPr="00507003">
        <w:rPr>
          <w:rStyle w:val="super"/>
          <w:noProof/>
        </w:rPr>
        <w:t xml:space="preserve">ing of </w:t>
      </w:r>
      <w:r w:rsidRPr="00507003">
        <w:rPr>
          <w:rStyle w:val="super"/>
          <w:noProof/>
        </w:rPr>
        <w:t xml:space="preserve">EU citizens' perceptions on agriculture and the </w:t>
      </w:r>
      <w:r w:rsidR="00172D7D" w:rsidRPr="00507003">
        <w:rPr>
          <w:rStyle w:val="super"/>
          <w:noProof/>
        </w:rPr>
        <w:t>C</w:t>
      </w:r>
      <w:r w:rsidRPr="00507003">
        <w:rPr>
          <w:rStyle w:val="super"/>
          <w:noProof/>
        </w:rPr>
        <w:t xml:space="preserve">AP. </w:t>
      </w:r>
      <w:r w:rsidR="00172D7D" w:rsidRPr="00507003">
        <w:rPr>
          <w:rStyle w:val="super"/>
          <w:noProof/>
        </w:rPr>
        <w:t>The three objectives of the CAP ranked highest by Europeans – providing safe, healthy food of high quality, ensuring a fair standard of living for farmers as well as protecting the environment and tackling climate change – have remained overall stable since 2017. A growing majority of Europeans considers the CAP fulfils its objectives and that it benefits all citizens, not only farmers</w:t>
      </w:r>
      <w:r w:rsidR="00B93628">
        <w:rPr>
          <w:rStyle w:val="FootnoteReference"/>
          <w:noProof/>
        </w:rPr>
        <w:footnoteReference w:id="4"/>
      </w:r>
      <w:r w:rsidR="00172D7D" w:rsidRPr="00507003">
        <w:rPr>
          <w:rStyle w:val="super"/>
          <w:noProof/>
        </w:rPr>
        <w:t>.</w:t>
      </w:r>
    </w:p>
    <w:p w14:paraId="53764782" w14:textId="380860DD" w:rsidR="00A60B30" w:rsidRPr="00507003" w:rsidRDefault="00A5520D" w:rsidP="00F02FC9">
      <w:pPr>
        <w:jc w:val="both"/>
        <w:rPr>
          <w:rStyle w:val="super"/>
          <w:noProof/>
        </w:rPr>
      </w:pPr>
      <w:r w:rsidRPr="00507003">
        <w:rPr>
          <w:rStyle w:val="super"/>
          <w:noProof/>
        </w:rPr>
        <w:t>In addition, d</w:t>
      </w:r>
      <w:r w:rsidR="00F04CDA" w:rsidRPr="00507003">
        <w:rPr>
          <w:rStyle w:val="super"/>
          <w:noProof/>
        </w:rPr>
        <w:t>uring</w:t>
      </w:r>
      <w:r w:rsidR="00620A7E" w:rsidRPr="00507003">
        <w:rPr>
          <w:rStyle w:val="super"/>
          <w:noProof/>
        </w:rPr>
        <w:t xml:space="preserve"> 2020</w:t>
      </w:r>
      <w:r w:rsidR="00F04CDA" w:rsidRPr="00507003">
        <w:rPr>
          <w:rStyle w:val="super"/>
          <w:noProof/>
        </w:rPr>
        <w:t>, an external evaluation support study</w:t>
      </w:r>
      <w:r w:rsidR="00B93628">
        <w:rPr>
          <w:rStyle w:val="FootnoteReference"/>
          <w:noProof/>
        </w:rPr>
        <w:footnoteReference w:id="5"/>
      </w:r>
      <w:r w:rsidR="00454C51" w:rsidRPr="00507003">
        <w:rPr>
          <w:rStyle w:val="super"/>
          <w:noProof/>
        </w:rPr>
        <w:t xml:space="preserve"> </w:t>
      </w:r>
      <w:r w:rsidR="006C0944" w:rsidRPr="00507003">
        <w:rPr>
          <w:rStyle w:val="super"/>
          <w:noProof/>
        </w:rPr>
        <w:t xml:space="preserve">was carried out </w:t>
      </w:r>
      <w:r w:rsidR="00F04CDA" w:rsidRPr="00507003">
        <w:rPr>
          <w:rStyle w:val="super"/>
          <w:noProof/>
        </w:rPr>
        <w:t xml:space="preserve">on the information policy on the Common Agricultural </w:t>
      </w:r>
      <w:r w:rsidR="003E5426" w:rsidRPr="00507003">
        <w:rPr>
          <w:rStyle w:val="super"/>
          <w:noProof/>
        </w:rPr>
        <w:t>Policy.</w:t>
      </w:r>
      <w:r w:rsidR="00BF5848" w:rsidRPr="00507003">
        <w:rPr>
          <w:rStyle w:val="super"/>
          <w:noProof/>
        </w:rPr>
        <w:t xml:space="preserve"> </w:t>
      </w:r>
      <w:r w:rsidR="006C0944" w:rsidRPr="00507003">
        <w:rPr>
          <w:rStyle w:val="super"/>
          <w:noProof/>
        </w:rPr>
        <w:t>This found that the information measures undertaken were successful in improving understanding and perceptions with regard to the CAP.</w:t>
      </w:r>
      <w:r w:rsidR="007C2763" w:rsidRPr="00507003">
        <w:rPr>
          <w:rStyle w:val="super"/>
          <w:noProof/>
        </w:rPr>
        <w:t xml:space="preserve"> </w:t>
      </w:r>
      <w:r w:rsidR="00BF0F19" w:rsidRPr="00507003">
        <w:rPr>
          <w:rStyle w:val="super"/>
          <w:noProof/>
        </w:rPr>
        <w:t>It also provided valuable guidance for the preparation of DG AGRI’s external communication strategy for the period 2021–2025.</w:t>
      </w:r>
      <w:r w:rsidR="005F3581">
        <w:rPr>
          <w:rStyle w:val="super"/>
          <w:noProof/>
        </w:rPr>
        <w:t xml:space="preserve"> </w:t>
      </w:r>
      <w:r w:rsidR="007C2763" w:rsidRPr="00507003">
        <w:rPr>
          <w:rStyle w:val="super"/>
          <w:noProof/>
        </w:rPr>
        <w:t xml:space="preserve">The study </w:t>
      </w:r>
      <w:r w:rsidR="004773F2" w:rsidRPr="00507003">
        <w:rPr>
          <w:rStyle w:val="super"/>
          <w:noProof/>
        </w:rPr>
        <w:t xml:space="preserve">also </w:t>
      </w:r>
      <w:r w:rsidR="007C2763" w:rsidRPr="00507003">
        <w:rPr>
          <w:rStyle w:val="super"/>
          <w:noProof/>
        </w:rPr>
        <w:t xml:space="preserve">contributed to an overall evaluation of the information policy on the CAP, </w:t>
      </w:r>
      <w:r w:rsidR="00A86312" w:rsidRPr="00507003">
        <w:rPr>
          <w:rStyle w:val="super"/>
          <w:noProof/>
        </w:rPr>
        <w:t xml:space="preserve">which was </w:t>
      </w:r>
      <w:r w:rsidR="007C2763" w:rsidRPr="00507003">
        <w:rPr>
          <w:rStyle w:val="super"/>
          <w:noProof/>
        </w:rPr>
        <w:t>concluded with the publication of an evaluation report</w:t>
      </w:r>
      <w:r w:rsidR="008C4EB5">
        <w:rPr>
          <w:rStyle w:val="FootnoteReference"/>
          <w:noProof/>
        </w:rPr>
        <w:footnoteReference w:id="6"/>
      </w:r>
      <w:r w:rsidR="008C4EB5">
        <w:rPr>
          <w:rStyle w:val="super"/>
          <w:noProof/>
        </w:rPr>
        <w:t>.</w:t>
      </w:r>
      <w:r w:rsidR="007C2763" w:rsidRPr="00507003">
        <w:rPr>
          <w:rStyle w:val="super"/>
          <w:noProof/>
        </w:rPr>
        <w:t xml:space="preserve"> </w:t>
      </w:r>
    </w:p>
    <w:p w14:paraId="5AD0A116" w14:textId="503DC72D" w:rsidR="0059162F" w:rsidRPr="00507003" w:rsidRDefault="0059162F" w:rsidP="00F02FC9">
      <w:pPr>
        <w:spacing w:before="120" w:after="120"/>
        <w:jc w:val="both"/>
        <w:rPr>
          <w:rStyle w:val="super"/>
          <w:noProof/>
        </w:rPr>
      </w:pPr>
      <w:r w:rsidRPr="00507003">
        <w:rPr>
          <w:rStyle w:val="super"/>
          <w:noProof/>
        </w:rPr>
        <w:t xml:space="preserve">The annexes mentioned in the text are to be found in the </w:t>
      </w:r>
      <w:r w:rsidR="000D4E04" w:rsidRPr="00507003">
        <w:rPr>
          <w:rStyle w:val="super"/>
          <w:noProof/>
        </w:rPr>
        <w:t>Commission</w:t>
      </w:r>
      <w:r w:rsidRPr="00507003">
        <w:rPr>
          <w:rStyle w:val="super"/>
          <w:noProof/>
        </w:rPr>
        <w:t xml:space="preserve"> Staff Working document accompanying this report.</w:t>
      </w:r>
    </w:p>
    <w:p w14:paraId="10C0A59B" w14:textId="398F8791" w:rsidR="0059162F" w:rsidRPr="004D6C40" w:rsidRDefault="0059162F" w:rsidP="0059162F">
      <w:pPr>
        <w:pStyle w:val="Style1"/>
        <w:rPr>
          <w:color w:val="000000" w:themeColor="text1"/>
        </w:rPr>
      </w:pPr>
      <w:bookmarkStart w:id="2" w:name="_Toc478655575"/>
      <w:bookmarkStart w:id="3" w:name="_Toc478656305"/>
      <w:r w:rsidRPr="004D6C40">
        <w:rPr>
          <w:color w:val="000000" w:themeColor="text1"/>
        </w:rPr>
        <w:t>II.</w:t>
      </w:r>
      <w:r w:rsidRPr="004D6C40">
        <w:rPr>
          <w:color w:val="000000" w:themeColor="text1"/>
        </w:rPr>
        <w:tab/>
        <w:t>BUDGET</w:t>
      </w:r>
      <w:bookmarkEnd w:id="2"/>
      <w:bookmarkEnd w:id="3"/>
      <w:r w:rsidR="00E96F9F" w:rsidRPr="004D6C40">
        <w:rPr>
          <w:color w:val="000000" w:themeColor="text1"/>
        </w:rPr>
        <w:t xml:space="preserve"> </w:t>
      </w:r>
    </w:p>
    <w:p w14:paraId="499DF244" w14:textId="0B427CCB" w:rsidR="0059162F" w:rsidRPr="00507003" w:rsidRDefault="0059162F" w:rsidP="0059162F">
      <w:pPr>
        <w:spacing w:before="120" w:after="120"/>
        <w:jc w:val="both"/>
        <w:rPr>
          <w:rStyle w:val="super"/>
          <w:noProof/>
        </w:rPr>
      </w:pPr>
      <w:r w:rsidRPr="00507003">
        <w:rPr>
          <w:rStyle w:val="super"/>
          <w:noProof/>
        </w:rPr>
        <w:t>The budget made available for information measures under budget line 05 08 06, originally foreseen in the financing decision, was EUR 8 million in 20</w:t>
      </w:r>
      <w:r w:rsidR="00E96F9F" w:rsidRPr="00507003">
        <w:rPr>
          <w:rStyle w:val="super"/>
          <w:noProof/>
        </w:rPr>
        <w:t>19</w:t>
      </w:r>
      <w:r w:rsidRPr="00507003">
        <w:rPr>
          <w:rStyle w:val="super"/>
          <w:noProof/>
        </w:rPr>
        <w:t>; and EUR 8 million in 20</w:t>
      </w:r>
      <w:r w:rsidR="00E96F9F" w:rsidRPr="00507003">
        <w:rPr>
          <w:rStyle w:val="super"/>
          <w:noProof/>
        </w:rPr>
        <w:t>20</w:t>
      </w:r>
      <w:r w:rsidR="005F3581">
        <w:rPr>
          <w:rStyle w:val="super"/>
          <w:noProof/>
        </w:rPr>
        <w:t xml:space="preserve">. </w:t>
      </w:r>
      <w:r w:rsidRPr="00507003">
        <w:rPr>
          <w:rStyle w:val="super"/>
          <w:noProof/>
        </w:rPr>
        <w:t xml:space="preserve">In addition, in the framework of the Commission corporate communication actions during </w:t>
      </w:r>
      <w:r w:rsidRPr="00FA6CC0">
        <w:rPr>
          <w:rStyle w:val="super"/>
          <w:noProof/>
        </w:rPr>
        <w:t xml:space="preserve">the period, </w:t>
      </w:r>
      <w:r w:rsidR="00252048">
        <w:rPr>
          <w:rStyle w:val="super"/>
          <w:noProof/>
        </w:rPr>
        <w:t xml:space="preserve">EUR </w:t>
      </w:r>
      <w:r w:rsidR="00671462" w:rsidRPr="00FA6CC0">
        <w:rPr>
          <w:rStyle w:val="super"/>
          <w:noProof/>
        </w:rPr>
        <w:t>5</w:t>
      </w:r>
      <w:r w:rsidR="00252048">
        <w:rPr>
          <w:rStyle w:val="super"/>
          <w:noProof/>
        </w:rPr>
        <w:t> </w:t>
      </w:r>
      <w:r w:rsidR="00671462" w:rsidRPr="00FA6CC0">
        <w:rPr>
          <w:rStyle w:val="super"/>
          <w:noProof/>
        </w:rPr>
        <w:t>655</w:t>
      </w:r>
      <w:r w:rsidR="00252048">
        <w:rPr>
          <w:rStyle w:val="super"/>
          <w:noProof/>
        </w:rPr>
        <w:t> </w:t>
      </w:r>
      <w:r w:rsidRPr="00FA6CC0">
        <w:rPr>
          <w:rStyle w:val="super"/>
          <w:noProof/>
        </w:rPr>
        <w:t>000 were co-delegated from DG AGRI</w:t>
      </w:r>
      <w:r w:rsidR="00FA6CC0" w:rsidRPr="00FA6CC0">
        <w:rPr>
          <w:rStyle w:val="super"/>
          <w:noProof/>
        </w:rPr>
        <w:t xml:space="preserve"> </w:t>
      </w:r>
      <w:r w:rsidR="00FA6CC0" w:rsidRPr="00F55783">
        <w:rPr>
          <w:rStyle w:val="super"/>
          <w:noProof/>
        </w:rPr>
        <w:t>(from both EAGF and EAFRD)</w:t>
      </w:r>
      <w:r w:rsidR="00FA6CC0" w:rsidRPr="00FA6CC0">
        <w:rPr>
          <w:rStyle w:val="super"/>
          <w:noProof/>
        </w:rPr>
        <w:t xml:space="preserve"> </w:t>
      </w:r>
      <w:r w:rsidRPr="00FA6CC0">
        <w:rPr>
          <w:rStyle w:val="super"/>
          <w:noProof/>
        </w:rPr>
        <w:t xml:space="preserve">to </w:t>
      </w:r>
      <w:r w:rsidRPr="00507003">
        <w:rPr>
          <w:rStyle w:val="super"/>
          <w:noProof/>
        </w:rPr>
        <w:t>DG Communication which is responsible for managing the Commission's corporate campaigns, in 201</w:t>
      </w:r>
      <w:r w:rsidR="00671462" w:rsidRPr="00507003">
        <w:rPr>
          <w:rStyle w:val="super"/>
          <w:noProof/>
        </w:rPr>
        <w:t>9,</w:t>
      </w:r>
      <w:r w:rsidRPr="00507003">
        <w:rPr>
          <w:rStyle w:val="super"/>
          <w:noProof/>
        </w:rPr>
        <w:t xml:space="preserve"> and </w:t>
      </w:r>
      <w:r w:rsidR="00252048">
        <w:rPr>
          <w:rStyle w:val="super"/>
          <w:noProof/>
        </w:rPr>
        <w:t xml:space="preserve">EUR </w:t>
      </w:r>
      <w:r w:rsidR="00671462" w:rsidRPr="00507003">
        <w:rPr>
          <w:rStyle w:val="super"/>
          <w:noProof/>
        </w:rPr>
        <w:t>7</w:t>
      </w:r>
      <w:r w:rsidR="00252048">
        <w:rPr>
          <w:rStyle w:val="super"/>
          <w:noProof/>
        </w:rPr>
        <w:t> </w:t>
      </w:r>
      <w:r w:rsidR="00671462" w:rsidRPr="00507003">
        <w:rPr>
          <w:rStyle w:val="super"/>
          <w:noProof/>
        </w:rPr>
        <w:t>545</w:t>
      </w:r>
      <w:r w:rsidR="00252048">
        <w:rPr>
          <w:rStyle w:val="super"/>
          <w:noProof/>
        </w:rPr>
        <w:t> </w:t>
      </w:r>
      <w:r w:rsidRPr="00507003">
        <w:rPr>
          <w:rStyle w:val="super"/>
          <w:noProof/>
        </w:rPr>
        <w:t>000 in 20</w:t>
      </w:r>
      <w:r w:rsidR="00671462" w:rsidRPr="00507003">
        <w:rPr>
          <w:rStyle w:val="super"/>
          <w:noProof/>
        </w:rPr>
        <w:t>20</w:t>
      </w:r>
      <w:r w:rsidRPr="00507003">
        <w:rPr>
          <w:rStyle w:val="super"/>
          <w:noProof/>
        </w:rPr>
        <w:t>.</w:t>
      </w:r>
    </w:p>
    <w:p w14:paraId="4B63F511" w14:textId="2B1F58D8" w:rsidR="0059162F" w:rsidRPr="00507003" w:rsidRDefault="0059162F" w:rsidP="0059162F">
      <w:pPr>
        <w:spacing w:before="120" w:after="120"/>
        <w:jc w:val="both"/>
        <w:rPr>
          <w:rStyle w:val="super"/>
          <w:noProof/>
        </w:rPr>
      </w:pPr>
      <w:r w:rsidRPr="00507003">
        <w:rPr>
          <w:rStyle w:val="super"/>
          <w:noProof/>
        </w:rPr>
        <w:t xml:space="preserve">The breakdown </w:t>
      </w:r>
      <w:r w:rsidR="00BD537B" w:rsidRPr="00507003">
        <w:rPr>
          <w:rStyle w:val="super"/>
          <w:noProof/>
        </w:rPr>
        <w:t xml:space="preserve">of the budget earmarked </w:t>
      </w:r>
      <w:r w:rsidRPr="00507003">
        <w:rPr>
          <w:rStyle w:val="super"/>
          <w:noProof/>
        </w:rPr>
        <w:t>between public procurement (actions taken at the initiative of the Commission) and grants (co-financed actions) was as follows:</w:t>
      </w:r>
    </w:p>
    <w:p w14:paraId="54BD6943" w14:textId="74AF626B" w:rsidR="0059162F" w:rsidRPr="000D4E04" w:rsidRDefault="00A8680E" w:rsidP="0059162F">
      <w:pPr>
        <w:spacing w:before="120" w:after="120"/>
        <w:jc w:val="both"/>
        <w:rPr>
          <w:rStyle w:val="super"/>
          <w:noProof/>
          <w:lang w:val="fr-BE"/>
        </w:rPr>
      </w:pPr>
      <w:r>
        <w:rPr>
          <w:rStyle w:val="super"/>
          <w:noProof/>
          <w:lang w:val="fr-BE"/>
        </w:rPr>
        <w:t xml:space="preserve">2019: </w:t>
      </w:r>
      <w:r w:rsidR="00E96F9F" w:rsidRPr="000D4E04">
        <w:rPr>
          <w:rStyle w:val="super"/>
          <w:noProof/>
          <w:lang w:val="fr-BE"/>
        </w:rPr>
        <w:t>public procurement (</w:t>
      </w:r>
      <w:r w:rsidR="00252048">
        <w:rPr>
          <w:rStyle w:val="super"/>
          <w:noProof/>
          <w:lang w:val="fr-BE"/>
        </w:rPr>
        <w:t xml:space="preserve">EUR </w:t>
      </w:r>
      <w:r w:rsidR="00E96F9F" w:rsidRPr="000D4E04">
        <w:rPr>
          <w:rStyle w:val="super"/>
          <w:noProof/>
          <w:lang w:val="fr-BE"/>
        </w:rPr>
        <w:t xml:space="preserve">4 </w:t>
      </w:r>
      <w:r w:rsidR="0059162F" w:rsidRPr="000D4E04">
        <w:rPr>
          <w:rStyle w:val="super"/>
          <w:noProof/>
          <w:lang w:val="fr-BE"/>
        </w:rPr>
        <w:t>million) (5</w:t>
      </w:r>
      <w:r w:rsidR="00E96F9F" w:rsidRPr="000D4E04">
        <w:rPr>
          <w:rStyle w:val="super"/>
          <w:noProof/>
          <w:lang w:val="fr-BE"/>
        </w:rPr>
        <w:t>0</w:t>
      </w:r>
      <w:r w:rsidR="00CA4996">
        <w:rPr>
          <w:rStyle w:val="super"/>
          <w:noProof/>
          <w:lang w:val="fr-BE"/>
        </w:rPr>
        <w:t>%</w:t>
      </w:r>
      <w:r w:rsidR="0059162F" w:rsidRPr="000D4E04">
        <w:rPr>
          <w:rStyle w:val="super"/>
          <w:noProof/>
          <w:lang w:val="fr-BE"/>
        </w:rPr>
        <w:t>) – Grant</w:t>
      </w:r>
      <w:r w:rsidR="00E96F9F" w:rsidRPr="000D4E04">
        <w:rPr>
          <w:rStyle w:val="super"/>
          <w:noProof/>
          <w:lang w:val="fr-BE"/>
        </w:rPr>
        <w:t>s (</w:t>
      </w:r>
      <w:r w:rsidR="00252048">
        <w:rPr>
          <w:rStyle w:val="super"/>
          <w:noProof/>
          <w:lang w:val="fr-BE"/>
        </w:rPr>
        <w:t xml:space="preserve">EUR </w:t>
      </w:r>
      <w:r w:rsidR="00E96F9F" w:rsidRPr="000D4E04">
        <w:rPr>
          <w:rStyle w:val="super"/>
          <w:noProof/>
          <w:lang w:val="fr-BE"/>
        </w:rPr>
        <w:t>4</w:t>
      </w:r>
      <w:r w:rsidR="0059162F" w:rsidRPr="000D4E04">
        <w:rPr>
          <w:rStyle w:val="super"/>
          <w:noProof/>
          <w:lang w:val="fr-BE"/>
        </w:rPr>
        <w:t xml:space="preserve"> million) (</w:t>
      </w:r>
      <w:r w:rsidR="00E96F9F" w:rsidRPr="000D4E04">
        <w:rPr>
          <w:rStyle w:val="super"/>
          <w:noProof/>
          <w:lang w:val="fr-BE"/>
        </w:rPr>
        <w:t>50</w:t>
      </w:r>
      <w:r w:rsidR="0059162F" w:rsidRPr="000D4E04">
        <w:rPr>
          <w:rStyle w:val="super"/>
          <w:noProof/>
          <w:lang w:val="fr-BE"/>
        </w:rPr>
        <w:t>%)</w:t>
      </w:r>
      <w:r w:rsidR="0059162F" w:rsidRPr="000D4E04">
        <w:rPr>
          <w:rStyle w:val="super"/>
          <w:noProof/>
          <w:lang w:val="fr-BE"/>
        </w:rPr>
        <w:br/>
        <w:t>20</w:t>
      </w:r>
      <w:r w:rsidR="00E96F9F" w:rsidRPr="000D4E04">
        <w:rPr>
          <w:rStyle w:val="super"/>
          <w:noProof/>
          <w:lang w:val="fr-BE"/>
        </w:rPr>
        <w:t>20</w:t>
      </w:r>
      <w:r w:rsidR="0059162F" w:rsidRPr="000D4E04">
        <w:rPr>
          <w:rStyle w:val="super"/>
          <w:noProof/>
          <w:lang w:val="fr-BE"/>
        </w:rPr>
        <w:t>:</w:t>
      </w:r>
      <w:r w:rsidR="00E96F9F" w:rsidRPr="000D4E04">
        <w:rPr>
          <w:rStyle w:val="super"/>
          <w:noProof/>
          <w:lang w:val="fr-BE"/>
        </w:rPr>
        <w:t xml:space="preserve"> </w:t>
      </w:r>
      <w:r w:rsidR="0059162F" w:rsidRPr="000D4E04">
        <w:rPr>
          <w:rStyle w:val="super"/>
          <w:noProof/>
          <w:lang w:val="fr-BE"/>
        </w:rPr>
        <w:t xml:space="preserve"> public procurement (</w:t>
      </w:r>
      <w:r w:rsidR="00252048">
        <w:rPr>
          <w:rStyle w:val="super"/>
          <w:noProof/>
          <w:lang w:val="fr-BE"/>
        </w:rPr>
        <w:t xml:space="preserve">EUR </w:t>
      </w:r>
      <w:r w:rsidR="0059162F" w:rsidRPr="000D4E04">
        <w:rPr>
          <w:rStyle w:val="super"/>
          <w:noProof/>
          <w:lang w:val="fr-BE"/>
        </w:rPr>
        <w:t>4 million) (50%) – Grants (</w:t>
      </w:r>
      <w:r w:rsidR="00252048">
        <w:rPr>
          <w:rStyle w:val="super"/>
          <w:noProof/>
          <w:lang w:val="fr-BE"/>
        </w:rPr>
        <w:t xml:space="preserve">EUR </w:t>
      </w:r>
      <w:r w:rsidR="0059162F" w:rsidRPr="000D4E04">
        <w:rPr>
          <w:rStyle w:val="super"/>
          <w:noProof/>
          <w:lang w:val="fr-BE"/>
        </w:rPr>
        <w:t xml:space="preserve">4 million) (50%) </w:t>
      </w:r>
    </w:p>
    <w:p w14:paraId="017C1240" w14:textId="7BB2E400" w:rsidR="0059162F" w:rsidRPr="00507003" w:rsidRDefault="0059162F" w:rsidP="0059162F">
      <w:pPr>
        <w:spacing w:before="120" w:after="120"/>
        <w:jc w:val="both"/>
        <w:rPr>
          <w:rStyle w:val="super"/>
          <w:noProof/>
        </w:rPr>
      </w:pPr>
      <w:r w:rsidRPr="00507003">
        <w:rPr>
          <w:rStyle w:val="super"/>
          <w:noProof/>
        </w:rPr>
        <w:t>Execution of the 201</w:t>
      </w:r>
      <w:r w:rsidR="00E96F9F" w:rsidRPr="00507003">
        <w:rPr>
          <w:rStyle w:val="super"/>
          <w:noProof/>
        </w:rPr>
        <w:t>9</w:t>
      </w:r>
      <w:r w:rsidRPr="00507003">
        <w:rPr>
          <w:rStyle w:val="super"/>
          <w:noProof/>
        </w:rPr>
        <w:t xml:space="preserve"> measures reached </w:t>
      </w:r>
      <w:r w:rsidR="00CB6EF2">
        <w:rPr>
          <w:rStyle w:val="super"/>
          <w:noProof/>
        </w:rPr>
        <w:t>100</w:t>
      </w:r>
      <w:r w:rsidRPr="00507003">
        <w:rPr>
          <w:rStyle w:val="super"/>
          <w:noProof/>
        </w:rPr>
        <w:t>% in terms of commitments</w:t>
      </w:r>
      <w:r w:rsidR="00A8680E">
        <w:rPr>
          <w:rStyle w:val="super"/>
          <w:noProof/>
        </w:rPr>
        <w:t>,</w:t>
      </w:r>
      <w:r w:rsidRPr="00507003">
        <w:rPr>
          <w:rStyle w:val="super"/>
          <w:noProof/>
        </w:rPr>
        <w:t xml:space="preserve"> and </w:t>
      </w:r>
      <w:r w:rsidR="00CB6EF2">
        <w:rPr>
          <w:rStyle w:val="super"/>
          <w:noProof/>
        </w:rPr>
        <w:t>92.91</w:t>
      </w:r>
      <w:r w:rsidRPr="00507003">
        <w:rPr>
          <w:rStyle w:val="super"/>
          <w:noProof/>
        </w:rPr>
        <w:t>% in terms of payments</w:t>
      </w:r>
      <w:r w:rsidR="00FE2A5A" w:rsidRPr="00507003">
        <w:rPr>
          <w:rStyle w:val="super"/>
          <w:noProof/>
        </w:rPr>
        <w:t xml:space="preserve"> of </w:t>
      </w:r>
      <w:r w:rsidR="000D4E04" w:rsidRPr="00507003">
        <w:rPr>
          <w:rStyle w:val="super"/>
          <w:noProof/>
        </w:rPr>
        <w:t>committed</w:t>
      </w:r>
      <w:r w:rsidR="00FE2A5A" w:rsidRPr="00507003">
        <w:rPr>
          <w:rStyle w:val="super"/>
          <w:noProof/>
        </w:rPr>
        <w:t xml:space="preserve"> amounts</w:t>
      </w:r>
      <w:r w:rsidRPr="00507003">
        <w:rPr>
          <w:rStyle w:val="super"/>
          <w:noProof/>
        </w:rPr>
        <w:t xml:space="preserve">. </w:t>
      </w:r>
    </w:p>
    <w:p w14:paraId="0FD4CBBD" w14:textId="27DEFFF0" w:rsidR="0059162F" w:rsidRPr="00507003" w:rsidRDefault="0059162F" w:rsidP="0059162F">
      <w:pPr>
        <w:spacing w:before="120" w:after="120"/>
        <w:jc w:val="both"/>
        <w:rPr>
          <w:rStyle w:val="super"/>
          <w:noProof/>
        </w:rPr>
      </w:pPr>
      <w:r w:rsidRPr="00507003">
        <w:rPr>
          <w:rStyle w:val="super"/>
          <w:noProof/>
        </w:rPr>
        <w:t>Execution of the 20</w:t>
      </w:r>
      <w:r w:rsidR="00E96F9F" w:rsidRPr="00507003">
        <w:rPr>
          <w:rStyle w:val="super"/>
          <w:noProof/>
        </w:rPr>
        <w:t>20</w:t>
      </w:r>
      <w:r w:rsidRPr="00507003">
        <w:rPr>
          <w:rStyle w:val="super"/>
          <w:noProof/>
        </w:rPr>
        <w:t xml:space="preserve"> measures reached </w:t>
      </w:r>
      <w:r w:rsidR="00FE2A5A" w:rsidRPr="00507003">
        <w:rPr>
          <w:rStyle w:val="super"/>
          <w:noProof/>
        </w:rPr>
        <w:t>9</w:t>
      </w:r>
      <w:r w:rsidR="00CB6EF2">
        <w:rPr>
          <w:rStyle w:val="super"/>
          <w:noProof/>
        </w:rPr>
        <w:t>6</w:t>
      </w:r>
      <w:r w:rsidR="00252048">
        <w:rPr>
          <w:rStyle w:val="super"/>
          <w:noProof/>
        </w:rPr>
        <w:t>.</w:t>
      </w:r>
      <w:r w:rsidR="00CB6EF2">
        <w:rPr>
          <w:rStyle w:val="super"/>
          <w:noProof/>
        </w:rPr>
        <w:t>86</w:t>
      </w:r>
      <w:r w:rsidRPr="00507003">
        <w:rPr>
          <w:rStyle w:val="super"/>
          <w:noProof/>
        </w:rPr>
        <w:t>% in terms of commitments; the figures for payments on 20</w:t>
      </w:r>
      <w:r w:rsidR="00E96F9F" w:rsidRPr="00507003">
        <w:rPr>
          <w:rStyle w:val="super"/>
          <w:noProof/>
        </w:rPr>
        <w:t>20</w:t>
      </w:r>
      <w:r w:rsidRPr="00507003">
        <w:rPr>
          <w:rStyle w:val="super"/>
          <w:noProof/>
        </w:rPr>
        <w:t xml:space="preserve"> measures were not yet finalised at the time of drafting this report as paymen</w:t>
      </w:r>
      <w:r w:rsidR="00660617">
        <w:rPr>
          <w:rStyle w:val="super"/>
          <w:noProof/>
        </w:rPr>
        <w:t>ts could still be made until 31</w:t>
      </w:r>
      <w:r w:rsidR="004D6C40">
        <w:rPr>
          <w:rStyle w:val="super"/>
          <w:noProof/>
        </w:rPr>
        <w:t xml:space="preserve"> </w:t>
      </w:r>
      <w:r w:rsidRPr="00507003">
        <w:rPr>
          <w:rStyle w:val="super"/>
          <w:noProof/>
        </w:rPr>
        <w:t>December 20</w:t>
      </w:r>
      <w:r w:rsidR="00E96F9F" w:rsidRPr="00507003">
        <w:rPr>
          <w:rStyle w:val="super"/>
          <w:noProof/>
        </w:rPr>
        <w:t>2</w:t>
      </w:r>
      <w:r w:rsidR="00270C14" w:rsidRPr="00507003">
        <w:rPr>
          <w:rStyle w:val="super"/>
          <w:noProof/>
        </w:rPr>
        <w:t>1</w:t>
      </w:r>
      <w:r w:rsidRPr="00507003">
        <w:rPr>
          <w:rStyle w:val="super"/>
          <w:noProof/>
        </w:rPr>
        <w:t>.</w:t>
      </w:r>
    </w:p>
    <w:p w14:paraId="7198C4C2" w14:textId="77777777" w:rsidR="0059162F" w:rsidRDefault="0059162F" w:rsidP="0059162F">
      <w:pPr>
        <w:spacing w:before="120" w:after="120"/>
        <w:jc w:val="both"/>
        <w:rPr>
          <w:noProof/>
          <w:color w:val="000000"/>
        </w:rPr>
      </w:pPr>
    </w:p>
    <w:p w14:paraId="23205746" w14:textId="3C14DE23" w:rsidR="00423762" w:rsidRPr="004D6C40" w:rsidRDefault="0059162F" w:rsidP="007A4737">
      <w:pPr>
        <w:pStyle w:val="Style1"/>
        <w:rPr>
          <w:color w:val="000000" w:themeColor="text1"/>
        </w:rPr>
      </w:pPr>
      <w:bookmarkStart w:id="4" w:name="_Toc478655576"/>
      <w:bookmarkStart w:id="5" w:name="_Toc478656306"/>
      <w:r w:rsidRPr="004D6C40">
        <w:rPr>
          <w:color w:val="000000" w:themeColor="text1"/>
        </w:rPr>
        <w:t>III.</w:t>
      </w:r>
      <w:r w:rsidRPr="004D6C40">
        <w:rPr>
          <w:color w:val="000000" w:themeColor="text1"/>
        </w:rPr>
        <w:tab/>
        <w:t>BREAKDOWN OF ACTIONS FINANCED</w:t>
      </w:r>
      <w:bookmarkEnd w:id="4"/>
      <w:bookmarkEnd w:id="5"/>
    </w:p>
    <w:p w14:paraId="137E06D5" w14:textId="1D8DB97A" w:rsidR="00A12C35" w:rsidRPr="00507003" w:rsidRDefault="000304CB" w:rsidP="00A96723">
      <w:pPr>
        <w:jc w:val="both"/>
        <w:rPr>
          <w:rStyle w:val="super"/>
          <w:noProof/>
        </w:rPr>
      </w:pPr>
      <w:r w:rsidRPr="00507003">
        <w:rPr>
          <w:rStyle w:val="super"/>
          <w:noProof/>
        </w:rPr>
        <w:t xml:space="preserve">In </w:t>
      </w:r>
      <w:r w:rsidR="008C4265" w:rsidRPr="00507003">
        <w:rPr>
          <w:rStyle w:val="super"/>
          <w:noProof/>
        </w:rPr>
        <w:t>2019-2020,</w:t>
      </w:r>
      <w:r w:rsidRPr="00507003">
        <w:rPr>
          <w:rStyle w:val="super"/>
          <w:noProof/>
        </w:rPr>
        <w:t xml:space="preserve"> </w:t>
      </w:r>
      <w:r w:rsidR="009B0FDD" w:rsidRPr="00507003">
        <w:rPr>
          <w:rStyle w:val="super"/>
          <w:noProof/>
        </w:rPr>
        <w:t>CAP</w:t>
      </w:r>
      <w:r w:rsidRPr="00507003">
        <w:rPr>
          <w:rStyle w:val="super"/>
          <w:noProof/>
        </w:rPr>
        <w:t xml:space="preserve"> information measures</w:t>
      </w:r>
      <w:r w:rsidR="009B0FDD" w:rsidRPr="00507003">
        <w:rPr>
          <w:rStyle w:val="super"/>
          <w:noProof/>
        </w:rPr>
        <w:t xml:space="preserve"> were</w:t>
      </w:r>
      <w:r w:rsidR="008B5AA3" w:rsidRPr="00507003">
        <w:rPr>
          <w:rStyle w:val="super"/>
          <w:noProof/>
        </w:rPr>
        <w:t xml:space="preserve"> strongly focussed on</w:t>
      </w:r>
      <w:r w:rsidR="0059162F" w:rsidRPr="00507003">
        <w:rPr>
          <w:rStyle w:val="super"/>
          <w:noProof/>
        </w:rPr>
        <w:t xml:space="preserve"> </w:t>
      </w:r>
      <w:r w:rsidR="008B5AA3" w:rsidRPr="00507003">
        <w:rPr>
          <w:rStyle w:val="super"/>
          <w:noProof/>
        </w:rPr>
        <w:t>t</w:t>
      </w:r>
      <w:r w:rsidR="0059162F" w:rsidRPr="00507003">
        <w:rPr>
          <w:rStyle w:val="super"/>
          <w:noProof/>
        </w:rPr>
        <w:t>he</w:t>
      </w:r>
      <w:r w:rsidR="001F5EA9" w:rsidRPr="00507003">
        <w:rPr>
          <w:rStyle w:val="super"/>
          <w:noProof/>
        </w:rPr>
        <w:t xml:space="preserve"> future CAP and the Commission policy priorities. </w:t>
      </w:r>
      <w:r w:rsidR="00D35598" w:rsidRPr="00507003">
        <w:rPr>
          <w:rStyle w:val="super"/>
          <w:noProof/>
        </w:rPr>
        <w:t>The reporting period coincided with the ongoing negotiations on the M</w:t>
      </w:r>
      <w:r w:rsidR="00CF1957" w:rsidRPr="00507003">
        <w:rPr>
          <w:rStyle w:val="super"/>
          <w:noProof/>
        </w:rPr>
        <w:t>ultiann</w:t>
      </w:r>
      <w:r w:rsidR="00A33CFE" w:rsidRPr="00507003">
        <w:rPr>
          <w:rStyle w:val="super"/>
          <w:noProof/>
        </w:rPr>
        <w:t>ual</w:t>
      </w:r>
      <w:r w:rsidR="00CF1957" w:rsidRPr="00507003">
        <w:rPr>
          <w:rStyle w:val="super"/>
          <w:noProof/>
        </w:rPr>
        <w:t xml:space="preserve"> </w:t>
      </w:r>
      <w:r w:rsidR="00D35598" w:rsidRPr="00507003">
        <w:rPr>
          <w:rStyle w:val="super"/>
          <w:noProof/>
        </w:rPr>
        <w:t>F</w:t>
      </w:r>
      <w:r w:rsidR="00893C5A" w:rsidRPr="00507003">
        <w:rPr>
          <w:rStyle w:val="super"/>
          <w:noProof/>
        </w:rPr>
        <w:t>inancial</w:t>
      </w:r>
      <w:r w:rsidR="00CF1957" w:rsidRPr="00507003">
        <w:rPr>
          <w:rStyle w:val="super"/>
          <w:noProof/>
        </w:rPr>
        <w:t xml:space="preserve"> </w:t>
      </w:r>
      <w:r w:rsidR="00D35598" w:rsidRPr="00507003">
        <w:rPr>
          <w:rStyle w:val="super"/>
          <w:noProof/>
        </w:rPr>
        <w:t>F</w:t>
      </w:r>
      <w:r w:rsidR="00CF1957" w:rsidRPr="00507003">
        <w:rPr>
          <w:rStyle w:val="super"/>
          <w:noProof/>
        </w:rPr>
        <w:t>ramework</w:t>
      </w:r>
      <w:r w:rsidR="009F1F12" w:rsidRPr="00507003">
        <w:rPr>
          <w:rStyle w:val="super"/>
          <w:noProof/>
        </w:rPr>
        <w:t xml:space="preserve"> </w:t>
      </w:r>
      <w:r w:rsidR="00CF1957" w:rsidRPr="00507003">
        <w:rPr>
          <w:rStyle w:val="super"/>
          <w:noProof/>
        </w:rPr>
        <w:t xml:space="preserve">(MFF) </w:t>
      </w:r>
      <w:r w:rsidR="00D35598" w:rsidRPr="00507003">
        <w:rPr>
          <w:rStyle w:val="super"/>
          <w:noProof/>
        </w:rPr>
        <w:t>sectoral proposals on the reform of the CAP, presented by the Commission on 1 June 2018.</w:t>
      </w:r>
      <w:r w:rsidR="0025257A" w:rsidRPr="00507003">
        <w:rPr>
          <w:rStyle w:val="super"/>
          <w:noProof/>
        </w:rPr>
        <w:t xml:space="preserve"> In 2019, actions also included raising awareness o</w:t>
      </w:r>
      <w:r w:rsidR="0006027D" w:rsidRPr="00507003">
        <w:rPr>
          <w:rStyle w:val="super"/>
          <w:noProof/>
        </w:rPr>
        <w:t>n</w:t>
      </w:r>
      <w:r w:rsidR="0025257A" w:rsidRPr="00507003">
        <w:rPr>
          <w:rStyle w:val="super"/>
          <w:noProof/>
        </w:rPr>
        <w:t xml:space="preserve"> the European parliamentary elections, </w:t>
      </w:r>
      <w:r w:rsidR="009F1F12" w:rsidRPr="00507003">
        <w:rPr>
          <w:rStyle w:val="super"/>
          <w:noProof/>
        </w:rPr>
        <w:t xml:space="preserve">in the course of </w:t>
      </w:r>
      <w:r w:rsidR="0025257A" w:rsidRPr="00507003">
        <w:rPr>
          <w:rStyle w:val="super"/>
          <w:noProof/>
        </w:rPr>
        <w:t xml:space="preserve">the ongoing </w:t>
      </w:r>
      <w:r w:rsidR="00E3432B" w:rsidRPr="00507003">
        <w:rPr>
          <w:rStyle w:val="super"/>
          <w:noProof/>
        </w:rPr>
        <w:t xml:space="preserve">outreach actions by </w:t>
      </w:r>
      <w:r w:rsidR="0025257A" w:rsidRPr="00507003">
        <w:rPr>
          <w:rStyle w:val="super"/>
          <w:noProof/>
        </w:rPr>
        <w:t xml:space="preserve">DG AGRI to engage with citizens and stakeholders on the CAP </w:t>
      </w:r>
      <w:r w:rsidR="00423762" w:rsidRPr="00507003">
        <w:rPr>
          <w:rStyle w:val="super"/>
          <w:noProof/>
        </w:rPr>
        <w:t xml:space="preserve">reform </w:t>
      </w:r>
      <w:r w:rsidR="0025257A" w:rsidRPr="00507003">
        <w:rPr>
          <w:rStyle w:val="super"/>
          <w:noProof/>
        </w:rPr>
        <w:t xml:space="preserve">proposals. </w:t>
      </w:r>
      <w:r w:rsidR="0006027D" w:rsidRPr="00507003">
        <w:rPr>
          <w:rStyle w:val="super"/>
          <w:noProof/>
        </w:rPr>
        <w:t>There was</w:t>
      </w:r>
      <w:r w:rsidR="00D35598" w:rsidRPr="00507003">
        <w:rPr>
          <w:rStyle w:val="super"/>
          <w:noProof/>
        </w:rPr>
        <w:t xml:space="preserve"> a strong </w:t>
      </w:r>
      <w:r w:rsidR="00270C14" w:rsidRPr="00507003">
        <w:rPr>
          <w:rStyle w:val="super"/>
          <w:noProof/>
        </w:rPr>
        <w:t>drive</w:t>
      </w:r>
      <w:r w:rsidR="00D35598" w:rsidRPr="00507003">
        <w:rPr>
          <w:rStyle w:val="super"/>
          <w:noProof/>
        </w:rPr>
        <w:t xml:space="preserve"> by the Commission on advancing the European Green Deal sustainability ag</w:t>
      </w:r>
      <w:r w:rsidR="00E3432B" w:rsidRPr="00507003">
        <w:rPr>
          <w:rStyle w:val="super"/>
          <w:noProof/>
        </w:rPr>
        <w:t>enda, with the adoption of the Farm to F</w:t>
      </w:r>
      <w:r w:rsidR="00D35598" w:rsidRPr="00507003">
        <w:rPr>
          <w:rStyle w:val="super"/>
          <w:noProof/>
        </w:rPr>
        <w:t xml:space="preserve">ork and </w:t>
      </w:r>
      <w:r w:rsidR="00E3432B" w:rsidRPr="00507003">
        <w:rPr>
          <w:rStyle w:val="super"/>
          <w:noProof/>
        </w:rPr>
        <w:t>B</w:t>
      </w:r>
      <w:r w:rsidR="00D35598" w:rsidRPr="00507003">
        <w:rPr>
          <w:rStyle w:val="super"/>
          <w:noProof/>
        </w:rPr>
        <w:t>iodiversity strategies on 20</w:t>
      </w:r>
      <w:r w:rsidR="004D6C40">
        <w:rPr>
          <w:rStyle w:val="super"/>
          <w:noProof/>
        </w:rPr>
        <w:t> </w:t>
      </w:r>
      <w:r w:rsidR="00D35598" w:rsidRPr="00507003">
        <w:rPr>
          <w:rStyle w:val="super"/>
          <w:noProof/>
        </w:rPr>
        <w:t>May 2020, and their ongoing discussion with the other EU institutions and stakeholders.</w:t>
      </w:r>
      <w:r w:rsidR="00270C14" w:rsidRPr="00507003">
        <w:rPr>
          <w:rStyle w:val="super"/>
          <w:noProof/>
        </w:rPr>
        <w:t xml:space="preserve"> </w:t>
      </w:r>
      <w:r w:rsidR="0025257A" w:rsidRPr="00507003">
        <w:rPr>
          <w:rStyle w:val="super"/>
          <w:noProof/>
        </w:rPr>
        <w:t xml:space="preserve">Promoting awareness of the </w:t>
      </w:r>
      <w:r w:rsidR="004D6C40">
        <w:rPr>
          <w:rStyle w:val="super"/>
          <w:noProof/>
        </w:rPr>
        <w:t>key</w:t>
      </w:r>
      <w:r w:rsidR="0025257A" w:rsidRPr="00507003">
        <w:rPr>
          <w:rStyle w:val="super"/>
          <w:noProof/>
        </w:rPr>
        <w:t xml:space="preserve"> role of the CAP in achieving the objectives of the European Green Deal w</w:t>
      </w:r>
      <w:r w:rsidR="00423762" w:rsidRPr="00507003">
        <w:rPr>
          <w:rStyle w:val="super"/>
          <w:noProof/>
        </w:rPr>
        <w:t>as</w:t>
      </w:r>
      <w:r w:rsidR="0025257A" w:rsidRPr="00507003">
        <w:rPr>
          <w:rStyle w:val="super"/>
          <w:noProof/>
        </w:rPr>
        <w:t xml:space="preserve"> central to DG AGRI’s communication efforts</w:t>
      </w:r>
      <w:r w:rsidR="004C538D" w:rsidRPr="00507003">
        <w:rPr>
          <w:rStyle w:val="super"/>
          <w:noProof/>
        </w:rPr>
        <w:t xml:space="preserve"> in th</w:t>
      </w:r>
      <w:r w:rsidR="008C4265" w:rsidRPr="00507003">
        <w:rPr>
          <w:rStyle w:val="super"/>
          <w:noProof/>
        </w:rPr>
        <w:t>is</w:t>
      </w:r>
      <w:r w:rsidR="004C538D" w:rsidRPr="00507003">
        <w:rPr>
          <w:rStyle w:val="super"/>
          <w:noProof/>
        </w:rPr>
        <w:t xml:space="preserve"> period</w:t>
      </w:r>
      <w:r w:rsidR="00A822BB" w:rsidRPr="00507003">
        <w:rPr>
          <w:rStyle w:val="super"/>
          <w:noProof/>
        </w:rPr>
        <w:t>; this included the importance of sustainability in all its dimensions, economic, social and environmental.</w:t>
      </w:r>
      <w:r w:rsidR="0025257A" w:rsidRPr="00507003">
        <w:rPr>
          <w:rStyle w:val="super"/>
          <w:noProof/>
        </w:rPr>
        <w:t xml:space="preserve"> </w:t>
      </w:r>
      <w:r w:rsidR="00270C14" w:rsidRPr="00507003">
        <w:rPr>
          <w:rStyle w:val="super"/>
          <w:noProof/>
        </w:rPr>
        <w:t xml:space="preserve">As mentioned above, information on the Commission’s urgent coordinated action at EU level in response to the outbreak of COVID-19 were </w:t>
      </w:r>
      <w:r w:rsidR="00705503" w:rsidRPr="00507003">
        <w:rPr>
          <w:rStyle w:val="super"/>
          <w:noProof/>
        </w:rPr>
        <w:t>of the highest</w:t>
      </w:r>
      <w:r w:rsidR="00270C14" w:rsidRPr="00507003">
        <w:rPr>
          <w:rStyle w:val="super"/>
          <w:noProof/>
        </w:rPr>
        <w:t xml:space="preserve"> priorit</w:t>
      </w:r>
      <w:r w:rsidR="00705503" w:rsidRPr="00507003">
        <w:rPr>
          <w:rStyle w:val="super"/>
          <w:noProof/>
        </w:rPr>
        <w:t xml:space="preserve">y </w:t>
      </w:r>
      <w:r w:rsidR="00270C14" w:rsidRPr="00507003">
        <w:rPr>
          <w:rStyle w:val="super"/>
          <w:noProof/>
        </w:rPr>
        <w:t xml:space="preserve">in </w:t>
      </w:r>
      <w:r w:rsidR="00705503" w:rsidRPr="00507003">
        <w:rPr>
          <w:rStyle w:val="super"/>
          <w:noProof/>
        </w:rPr>
        <w:t>2020.</w:t>
      </w:r>
      <w:r w:rsidR="0025257A" w:rsidRPr="00507003">
        <w:rPr>
          <w:rStyle w:val="super"/>
          <w:noProof/>
        </w:rPr>
        <w:t xml:space="preserve"> These included </w:t>
      </w:r>
      <w:r w:rsidR="008C4265" w:rsidRPr="00507003">
        <w:rPr>
          <w:rStyle w:val="super"/>
          <w:noProof/>
        </w:rPr>
        <w:t xml:space="preserve">informing </w:t>
      </w:r>
      <w:r w:rsidR="009F1F12" w:rsidRPr="00507003">
        <w:rPr>
          <w:rStyle w:val="super"/>
          <w:noProof/>
        </w:rPr>
        <w:t xml:space="preserve">citizens and policymakers </w:t>
      </w:r>
      <w:r w:rsidR="008C4265" w:rsidRPr="00507003">
        <w:rPr>
          <w:rStyle w:val="super"/>
          <w:noProof/>
        </w:rPr>
        <w:t xml:space="preserve">on </w:t>
      </w:r>
      <w:r w:rsidR="0025257A" w:rsidRPr="00507003">
        <w:rPr>
          <w:rStyle w:val="super"/>
          <w:noProof/>
        </w:rPr>
        <w:t>the many measures adopted by the Commission with a view to simplifying the management of the CAP</w:t>
      </w:r>
      <w:r w:rsidR="009F1F12" w:rsidRPr="00507003">
        <w:rPr>
          <w:rStyle w:val="super"/>
          <w:noProof/>
        </w:rPr>
        <w:t xml:space="preserve"> and </w:t>
      </w:r>
      <w:r w:rsidR="0025257A" w:rsidRPr="00507003">
        <w:rPr>
          <w:rStyle w:val="super"/>
          <w:noProof/>
        </w:rPr>
        <w:t>provid</w:t>
      </w:r>
      <w:r w:rsidR="009F1F12" w:rsidRPr="00507003">
        <w:rPr>
          <w:rStyle w:val="super"/>
          <w:noProof/>
        </w:rPr>
        <w:t>ing</w:t>
      </w:r>
      <w:r w:rsidR="0025257A" w:rsidRPr="00507003">
        <w:rPr>
          <w:rStyle w:val="super"/>
          <w:noProof/>
        </w:rPr>
        <w:t xml:space="preserve"> financial support to farmers and rural communities</w:t>
      </w:r>
      <w:r w:rsidR="004D6C40">
        <w:rPr>
          <w:rStyle w:val="super"/>
          <w:noProof/>
        </w:rPr>
        <w:t>. F</w:t>
      </w:r>
      <w:r w:rsidR="0025257A" w:rsidRPr="00507003">
        <w:rPr>
          <w:rStyle w:val="super"/>
          <w:noProof/>
        </w:rPr>
        <w:t xml:space="preserve">or citizens and </w:t>
      </w:r>
      <w:r w:rsidR="001A22CD" w:rsidRPr="00507003">
        <w:rPr>
          <w:rStyle w:val="super"/>
          <w:noProof/>
        </w:rPr>
        <w:t>stakeholders</w:t>
      </w:r>
      <w:r w:rsidR="0025257A" w:rsidRPr="00507003">
        <w:rPr>
          <w:rStyle w:val="super"/>
          <w:noProof/>
        </w:rPr>
        <w:t xml:space="preserve"> alike, the COVID-19 pandemic underlined the importance of a robust and resilient agro-food sector that functions in all circumstances</w:t>
      </w:r>
      <w:r w:rsidR="009B0FDD" w:rsidRPr="00507003">
        <w:rPr>
          <w:rStyle w:val="super"/>
          <w:noProof/>
        </w:rPr>
        <w:t>. A further important priority in 2020 was communicati</w:t>
      </w:r>
      <w:r w:rsidR="00B7128A">
        <w:rPr>
          <w:rStyle w:val="super"/>
          <w:noProof/>
        </w:rPr>
        <w:t>on around the preparation of a L</w:t>
      </w:r>
      <w:r w:rsidR="009B0FDD" w:rsidRPr="00507003">
        <w:rPr>
          <w:rStyle w:val="super"/>
          <w:noProof/>
        </w:rPr>
        <w:t xml:space="preserve">ong term </w:t>
      </w:r>
      <w:r w:rsidR="001A22CD" w:rsidRPr="00507003">
        <w:rPr>
          <w:rStyle w:val="super"/>
          <w:noProof/>
        </w:rPr>
        <w:t>V</w:t>
      </w:r>
      <w:r w:rsidR="009B0FDD" w:rsidRPr="00507003">
        <w:rPr>
          <w:rStyle w:val="super"/>
          <w:noProof/>
        </w:rPr>
        <w:t>ision for</w:t>
      </w:r>
      <w:r w:rsidR="001A22CD" w:rsidRPr="00507003">
        <w:rPr>
          <w:rStyle w:val="super"/>
          <w:noProof/>
        </w:rPr>
        <w:t xml:space="preserve"> EU</w:t>
      </w:r>
      <w:r w:rsidR="001F386A">
        <w:rPr>
          <w:rStyle w:val="super"/>
          <w:noProof/>
        </w:rPr>
        <w:t xml:space="preserve"> R</w:t>
      </w:r>
      <w:r w:rsidR="009B0FDD" w:rsidRPr="00507003">
        <w:rPr>
          <w:rStyle w:val="super"/>
          <w:noProof/>
        </w:rPr>
        <w:t xml:space="preserve">ural </w:t>
      </w:r>
      <w:r w:rsidR="001F386A">
        <w:rPr>
          <w:rStyle w:val="super"/>
          <w:noProof/>
        </w:rPr>
        <w:t>A</w:t>
      </w:r>
      <w:r w:rsidR="009B0FDD" w:rsidRPr="00507003">
        <w:rPr>
          <w:rStyle w:val="super"/>
          <w:noProof/>
        </w:rPr>
        <w:t>reas.</w:t>
      </w:r>
    </w:p>
    <w:p w14:paraId="295E71D6" w14:textId="77777777" w:rsidR="003B4B87" w:rsidRPr="00507003" w:rsidRDefault="003B4B87" w:rsidP="00A96723">
      <w:pPr>
        <w:jc w:val="both"/>
        <w:rPr>
          <w:rStyle w:val="super"/>
          <w:noProof/>
        </w:rPr>
      </w:pPr>
    </w:p>
    <w:p w14:paraId="21AC090F" w14:textId="38EF250E" w:rsidR="00590C25" w:rsidRDefault="00221E55" w:rsidP="00523397">
      <w:pPr>
        <w:spacing w:before="120" w:after="120"/>
        <w:jc w:val="both"/>
        <w:rPr>
          <w:noProof/>
        </w:rPr>
      </w:pPr>
      <w:r w:rsidRPr="00507003">
        <w:rPr>
          <w:rStyle w:val="super"/>
          <w:noProof/>
        </w:rPr>
        <w:t xml:space="preserve">Information actions were marked by reinforced cooperation </w:t>
      </w:r>
      <w:r w:rsidR="00523397" w:rsidRPr="00507003">
        <w:rPr>
          <w:rStyle w:val="super"/>
          <w:noProof/>
        </w:rPr>
        <w:t>w</w:t>
      </w:r>
      <w:r w:rsidRPr="00507003">
        <w:rPr>
          <w:rStyle w:val="super"/>
          <w:noProof/>
        </w:rPr>
        <w:t xml:space="preserve">ith other Commission departments, including </w:t>
      </w:r>
      <w:r w:rsidR="00E2138F" w:rsidRPr="00507003">
        <w:rPr>
          <w:rStyle w:val="super"/>
          <w:noProof/>
        </w:rPr>
        <w:t>DG Communication</w:t>
      </w:r>
      <w:r w:rsidR="00D42BEA">
        <w:rPr>
          <w:rStyle w:val="super"/>
          <w:noProof/>
        </w:rPr>
        <w:t xml:space="preserve"> </w:t>
      </w:r>
      <w:r w:rsidR="00E2138F" w:rsidRPr="00507003">
        <w:rPr>
          <w:rStyle w:val="super"/>
          <w:noProof/>
        </w:rPr>
        <w:t>(COMM),</w:t>
      </w:r>
      <w:r w:rsidR="00D42BEA">
        <w:rPr>
          <w:rStyle w:val="super"/>
          <w:noProof/>
        </w:rPr>
        <w:t xml:space="preserve"> </w:t>
      </w:r>
      <w:r w:rsidRPr="00507003">
        <w:rPr>
          <w:rStyle w:val="super"/>
          <w:noProof/>
        </w:rPr>
        <w:t xml:space="preserve">DG </w:t>
      </w:r>
      <w:r w:rsidR="00BE23D0" w:rsidRPr="00507003">
        <w:rPr>
          <w:rStyle w:val="super"/>
          <w:noProof/>
        </w:rPr>
        <w:t xml:space="preserve">Health and </w:t>
      </w:r>
      <w:r w:rsidR="00423762" w:rsidRPr="00507003">
        <w:rPr>
          <w:rStyle w:val="super"/>
          <w:noProof/>
        </w:rPr>
        <w:t>F</w:t>
      </w:r>
      <w:r w:rsidR="00BE23D0" w:rsidRPr="00507003">
        <w:rPr>
          <w:rStyle w:val="super"/>
          <w:noProof/>
        </w:rPr>
        <w:t xml:space="preserve">ood </w:t>
      </w:r>
      <w:r w:rsidR="00423762" w:rsidRPr="00507003">
        <w:rPr>
          <w:rStyle w:val="super"/>
          <w:noProof/>
        </w:rPr>
        <w:t>S</w:t>
      </w:r>
      <w:r w:rsidR="00BE23D0" w:rsidRPr="00507003">
        <w:rPr>
          <w:rStyle w:val="super"/>
          <w:noProof/>
        </w:rPr>
        <w:t>afety</w:t>
      </w:r>
      <w:r w:rsidR="00D42BEA">
        <w:rPr>
          <w:rStyle w:val="super"/>
          <w:noProof/>
        </w:rPr>
        <w:t xml:space="preserve"> </w:t>
      </w:r>
      <w:r w:rsidR="00BE23D0" w:rsidRPr="00507003">
        <w:rPr>
          <w:rStyle w:val="super"/>
          <w:noProof/>
        </w:rPr>
        <w:t>(</w:t>
      </w:r>
      <w:r w:rsidRPr="00507003">
        <w:rPr>
          <w:rStyle w:val="super"/>
          <w:noProof/>
        </w:rPr>
        <w:t>SANTE</w:t>
      </w:r>
      <w:r w:rsidR="00BE23D0" w:rsidRPr="00507003">
        <w:rPr>
          <w:rStyle w:val="super"/>
          <w:noProof/>
        </w:rPr>
        <w:t>)</w:t>
      </w:r>
      <w:r w:rsidRPr="00507003">
        <w:rPr>
          <w:rStyle w:val="super"/>
          <w:noProof/>
        </w:rPr>
        <w:t xml:space="preserve">, DG </w:t>
      </w:r>
      <w:r w:rsidR="00BE23D0" w:rsidRPr="00507003">
        <w:rPr>
          <w:rStyle w:val="super"/>
          <w:noProof/>
        </w:rPr>
        <w:t>Research</w:t>
      </w:r>
      <w:r w:rsidR="00423762" w:rsidRPr="00507003">
        <w:rPr>
          <w:rStyle w:val="super"/>
          <w:noProof/>
        </w:rPr>
        <w:t xml:space="preserve"> and </w:t>
      </w:r>
      <w:r w:rsidR="008C4265" w:rsidRPr="00507003">
        <w:rPr>
          <w:rStyle w:val="super"/>
          <w:noProof/>
        </w:rPr>
        <w:t>I</w:t>
      </w:r>
      <w:r w:rsidR="00423762" w:rsidRPr="00507003">
        <w:rPr>
          <w:rStyle w:val="super"/>
          <w:noProof/>
        </w:rPr>
        <w:t>nnovation</w:t>
      </w:r>
      <w:r w:rsidR="00D42BEA">
        <w:rPr>
          <w:rStyle w:val="super"/>
          <w:noProof/>
        </w:rPr>
        <w:t xml:space="preserve"> </w:t>
      </w:r>
      <w:r w:rsidR="00423762" w:rsidRPr="00507003">
        <w:rPr>
          <w:rStyle w:val="super"/>
          <w:noProof/>
        </w:rPr>
        <w:t>(</w:t>
      </w:r>
      <w:r w:rsidRPr="00507003">
        <w:rPr>
          <w:rStyle w:val="super"/>
          <w:noProof/>
        </w:rPr>
        <w:t>RTD</w:t>
      </w:r>
      <w:r w:rsidR="00423762" w:rsidRPr="00507003">
        <w:rPr>
          <w:rStyle w:val="super"/>
          <w:noProof/>
        </w:rPr>
        <w:t>)</w:t>
      </w:r>
      <w:r w:rsidRPr="00507003">
        <w:rPr>
          <w:rStyle w:val="super"/>
          <w:noProof/>
        </w:rPr>
        <w:t xml:space="preserve">, </w:t>
      </w:r>
      <w:r w:rsidR="00BE23D0" w:rsidRPr="00507003">
        <w:rPr>
          <w:rStyle w:val="super"/>
          <w:noProof/>
        </w:rPr>
        <w:t xml:space="preserve">the </w:t>
      </w:r>
      <w:r w:rsidRPr="00507003">
        <w:rPr>
          <w:rStyle w:val="super"/>
          <w:noProof/>
        </w:rPr>
        <w:t>J</w:t>
      </w:r>
      <w:r w:rsidR="00BE23D0" w:rsidRPr="00507003">
        <w:rPr>
          <w:rStyle w:val="super"/>
          <w:noProof/>
        </w:rPr>
        <w:t xml:space="preserve">oint </w:t>
      </w:r>
      <w:r w:rsidRPr="00507003">
        <w:rPr>
          <w:rStyle w:val="super"/>
          <w:noProof/>
        </w:rPr>
        <w:t>R</w:t>
      </w:r>
      <w:r w:rsidR="00BE23D0" w:rsidRPr="00507003">
        <w:rPr>
          <w:rStyle w:val="super"/>
          <w:noProof/>
        </w:rPr>
        <w:t xml:space="preserve">esearch </w:t>
      </w:r>
      <w:r w:rsidRPr="00507003">
        <w:rPr>
          <w:rStyle w:val="super"/>
          <w:noProof/>
        </w:rPr>
        <w:t>C</w:t>
      </w:r>
      <w:r w:rsidR="00BE23D0" w:rsidRPr="00507003">
        <w:rPr>
          <w:rStyle w:val="super"/>
          <w:noProof/>
        </w:rPr>
        <w:t>entre</w:t>
      </w:r>
      <w:r w:rsidRPr="00507003">
        <w:rPr>
          <w:rStyle w:val="super"/>
          <w:noProof/>
        </w:rPr>
        <w:t xml:space="preserve"> and DG </w:t>
      </w:r>
      <w:r w:rsidR="008F72D4" w:rsidRPr="00507003">
        <w:rPr>
          <w:rStyle w:val="super"/>
          <w:noProof/>
        </w:rPr>
        <w:t>Environment</w:t>
      </w:r>
      <w:r w:rsidR="00D42BEA">
        <w:rPr>
          <w:rStyle w:val="super"/>
          <w:noProof/>
        </w:rPr>
        <w:t xml:space="preserve"> </w:t>
      </w:r>
      <w:r w:rsidR="00BE23D0" w:rsidRPr="00507003">
        <w:rPr>
          <w:rStyle w:val="super"/>
          <w:noProof/>
        </w:rPr>
        <w:t>(</w:t>
      </w:r>
      <w:r w:rsidRPr="00507003">
        <w:rPr>
          <w:rStyle w:val="super"/>
          <w:noProof/>
        </w:rPr>
        <w:t>ENV</w:t>
      </w:r>
      <w:r w:rsidR="00BE23D0" w:rsidRPr="00507003">
        <w:rPr>
          <w:rStyle w:val="super"/>
          <w:noProof/>
        </w:rPr>
        <w:t>)</w:t>
      </w:r>
      <w:r w:rsidRPr="00507003">
        <w:rPr>
          <w:rStyle w:val="super"/>
          <w:noProof/>
        </w:rPr>
        <w:t xml:space="preserve">. This reflected the cross </w:t>
      </w:r>
      <w:r w:rsidR="00356D0A" w:rsidRPr="00507003">
        <w:rPr>
          <w:rStyle w:val="super"/>
          <w:noProof/>
        </w:rPr>
        <w:t xml:space="preserve">cutting nature </w:t>
      </w:r>
      <w:r w:rsidRPr="00507003">
        <w:rPr>
          <w:rStyle w:val="super"/>
          <w:noProof/>
        </w:rPr>
        <w:t>of the Green Deal agenda</w:t>
      </w:r>
      <w:r w:rsidR="00356D0A" w:rsidRPr="00507003">
        <w:rPr>
          <w:rStyle w:val="super"/>
          <w:noProof/>
        </w:rPr>
        <w:t xml:space="preserve">. </w:t>
      </w:r>
      <w:r w:rsidR="00430576" w:rsidRPr="00507003">
        <w:rPr>
          <w:rStyle w:val="super"/>
          <w:noProof/>
        </w:rPr>
        <w:t>To e</w:t>
      </w:r>
      <w:r w:rsidR="00DA33A6" w:rsidRPr="00507003">
        <w:rPr>
          <w:rStyle w:val="super"/>
          <w:noProof/>
        </w:rPr>
        <w:t>nsur</w:t>
      </w:r>
      <w:r w:rsidR="00430576" w:rsidRPr="00507003">
        <w:rPr>
          <w:rStyle w:val="super"/>
          <w:noProof/>
        </w:rPr>
        <w:t>e</w:t>
      </w:r>
      <w:r w:rsidR="00DA33A6" w:rsidRPr="00507003">
        <w:rPr>
          <w:rStyle w:val="super"/>
          <w:noProof/>
        </w:rPr>
        <w:t xml:space="preserve"> that key CAP messages were conveyed </w:t>
      </w:r>
      <w:r w:rsidR="0082473C" w:rsidRPr="00507003">
        <w:rPr>
          <w:rStyle w:val="super"/>
          <w:noProof/>
        </w:rPr>
        <w:t>a</w:t>
      </w:r>
      <w:r w:rsidR="008C4265" w:rsidRPr="00507003">
        <w:rPr>
          <w:rStyle w:val="super"/>
          <w:noProof/>
        </w:rPr>
        <w:t>s</w:t>
      </w:r>
      <w:r w:rsidR="00DA33A6" w:rsidRPr="00507003">
        <w:rPr>
          <w:rStyle w:val="super"/>
          <w:noProof/>
        </w:rPr>
        <w:t xml:space="preserve"> part of the overall Green Deal narrative, DG AGRI developed</w:t>
      </w:r>
      <w:r w:rsidR="009F3E21" w:rsidRPr="00507003">
        <w:rPr>
          <w:rStyle w:val="super"/>
          <w:noProof/>
        </w:rPr>
        <w:t xml:space="preserve"> </w:t>
      </w:r>
      <w:r w:rsidR="008C4265" w:rsidRPr="00507003">
        <w:rPr>
          <w:rStyle w:val="super"/>
          <w:noProof/>
        </w:rPr>
        <w:t xml:space="preserve">specific </w:t>
      </w:r>
      <w:r w:rsidR="00DA33A6" w:rsidRPr="00507003">
        <w:rPr>
          <w:rStyle w:val="super"/>
          <w:noProof/>
        </w:rPr>
        <w:t>communication material</w:t>
      </w:r>
      <w:r w:rsidR="005C4FCD" w:rsidRPr="00507003">
        <w:rPr>
          <w:rStyle w:val="super"/>
          <w:noProof/>
        </w:rPr>
        <w:t>, for example, on organic, quality and innovation</w:t>
      </w:r>
      <w:r w:rsidR="00541B03" w:rsidRPr="00507003">
        <w:rPr>
          <w:rStyle w:val="super"/>
          <w:noProof/>
        </w:rPr>
        <w:t xml:space="preserve"> policy</w:t>
      </w:r>
      <w:r w:rsidR="005C4FCD" w:rsidRPr="00507003">
        <w:rPr>
          <w:rStyle w:val="super"/>
          <w:noProof/>
        </w:rPr>
        <w:t>;</w:t>
      </w:r>
      <w:r w:rsidR="00DA33A6" w:rsidRPr="00507003">
        <w:rPr>
          <w:rStyle w:val="super"/>
          <w:noProof/>
        </w:rPr>
        <w:t xml:space="preserve"> </w:t>
      </w:r>
      <w:r w:rsidR="00541B03" w:rsidRPr="00507003">
        <w:rPr>
          <w:rStyle w:val="super"/>
          <w:noProof/>
        </w:rPr>
        <w:t>in addition,</w:t>
      </w:r>
      <w:r w:rsidR="00356D0A" w:rsidRPr="00507003">
        <w:rPr>
          <w:rStyle w:val="super"/>
          <w:noProof/>
        </w:rPr>
        <w:t xml:space="preserve"> use of digital </w:t>
      </w:r>
      <w:r w:rsidR="008C4265" w:rsidRPr="00507003">
        <w:rPr>
          <w:rStyle w:val="super"/>
          <w:noProof/>
        </w:rPr>
        <w:t>tools</w:t>
      </w:r>
      <w:r w:rsidR="00356D0A" w:rsidRPr="00507003">
        <w:rPr>
          <w:rStyle w:val="super"/>
          <w:noProof/>
        </w:rPr>
        <w:t xml:space="preserve"> </w:t>
      </w:r>
      <w:r w:rsidR="00511BD4" w:rsidRPr="00507003">
        <w:rPr>
          <w:rStyle w:val="super"/>
          <w:noProof/>
        </w:rPr>
        <w:t xml:space="preserve">and social media </w:t>
      </w:r>
      <w:r w:rsidR="00541B03" w:rsidRPr="00507003">
        <w:rPr>
          <w:rStyle w:val="super"/>
          <w:noProof/>
        </w:rPr>
        <w:t xml:space="preserve">was intensified </w:t>
      </w:r>
      <w:r w:rsidR="008C4265" w:rsidRPr="00507003">
        <w:rPr>
          <w:rStyle w:val="super"/>
          <w:noProof/>
        </w:rPr>
        <w:t xml:space="preserve">so as </w:t>
      </w:r>
      <w:r w:rsidR="00DA33A6" w:rsidRPr="00507003">
        <w:rPr>
          <w:rStyle w:val="super"/>
          <w:noProof/>
        </w:rPr>
        <w:t xml:space="preserve">to </w:t>
      </w:r>
      <w:r w:rsidR="008C4265" w:rsidRPr="00507003">
        <w:rPr>
          <w:rStyle w:val="super"/>
          <w:noProof/>
        </w:rPr>
        <w:t>improve the effectiveness of communication towards</w:t>
      </w:r>
      <w:r w:rsidR="00DA33A6" w:rsidRPr="00507003">
        <w:rPr>
          <w:rStyle w:val="super"/>
          <w:noProof/>
        </w:rPr>
        <w:t xml:space="preserve"> stakeholders and citizens</w:t>
      </w:r>
      <w:r w:rsidR="00356D0A" w:rsidRPr="00507003">
        <w:rPr>
          <w:rStyle w:val="super"/>
          <w:noProof/>
        </w:rPr>
        <w:t>.</w:t>
      </w:r>
    </w:p>
    <w:p w14:paraId="2BC9373E" w14:textId="71A0D280" w:rsidR="0059162F" w:rsidRDefault="0059162F" w:rsidP="0059162F">
      <w:pPr>
        <w:autoSpaceDE w:val="0"/>
        <w:autoSpaceDN w:val="0"/>
        <w:adjustRightInd w:val="0"/>
        <w:jc w:val="both"/>
        <w:rPr>
          <w:b/>
          <w:noProof/>
        </w:rPr>
      </w:pPr>
      <w:bookmarkStart w:id="6" w:name="_Toc405210108"/>
      <w:bookmarkEnd w:id="6"/>
    </w:p>
    <w:p w14:paraId="6158FFF7" w14:textId="4A0BCC72" w:rsidR="0059162F" w:rsidRPr="004D6C40" w:rsidRDefault="0059162F" w:rsidP="00507003">
      <w:pPr>
        <w:pStyle w:val="Style2"/>
        <w:rPr>
          <w:color w:val="000000" w:themeColor="text1"/>
        </w:rPr>
      </w:pPr>
      <w:r>
        <w:t>1.</w:t>
      </w:r>
      <w:r>
        <w:tab/>
        <w:t xml:space="preserve">Grants (co-financed information measures taken at the initiative of third party </w:t>
      </w:r>
      <w:r w:rsidRPr="004D6C40">
        <w:rPr>
          <w:color w:val="000000" w:themeColor="text1"/>
        </w:rPr>
        <w:t>organisations)</w:t>
      </w:r>
    </w:p>
    <w:p w14:paraId="2E609AA5" w14:textId="37CBD390" w:rsidR="0059162F" w:rsidRPr="00507003" w:rsidRDefault="0059162F" w:rsidP="0059162F">
      <w:pPr>
        <w:spacing w:before="120" w:after="120"/>
        <w:jc w:val="both"/>
        <w:rPr>
          <w:rStyle w:val="super"/>
          <w:noProof/>
        </w:rPr>
      </w:pPr>
      <w:r w:rsidRPr="00507003">
        <w:rPr>
          <w:rStyle w:val="super"/>
          <w:noProof/>
        </w:rPr>
        <w:t xml:space="preserve">Article 45 (information measures) of the Regulation envisages two types of measures to be funded through grants, annual work programmes or other specific measures presented by third parties. Specific information measures refer to information events limited in time and space and implemented on the basis of a single budget. </w:t>
      </w:r>
      <w:r w:rsidR="002833BB" w:rsidRPr="00507003">
        <w:rPr>
          <w:rStyle w:val="super"/>
          <w:noProof/>
        </w:rPr>
        <w:t>The activities included can range from conferences to a comprehensive information campaign covering several types of information activities (such as audiovisual productions,</w:t>
      </w:r>
      <w:r w:rsidR="00EF274D" w:rsidRPr="00507003">
        <w:rPr>
          <w:rStyle w:val="super"/>
          <w:noProof/>
        </w:rPr>
        <w:t xml:space="preserve"> press articles,</w:t>
      </w:r>
      <w:r w:rsidR="002833BB" w:rsidRPr="00507003">
        <w:rPr>
          <w:rStyle w:val="super"/>
          <w:noProof/>
        </w:rPr>
        <w:t xml:space="preserve"> </w:t>
      </w:r>
      <w:r w:rsidR="0036505E" w:rsidRPr="00507003">
        <w:rPr>
          <w:rStyle w:val="super"/>
          <w:noProof/>
        </w:rPr>
        <w:t>digital</w:t>
      </w:r>
      <w:r w:rsidR="00897CDE" w:rsidRPr="00507003">
        <w:rPr>
          <w:rStyle w:val="super"/>
          <w:noProof/>
        </w:rPr>
        <w:t xml:space="preserve"> </w:t>
      </w:r>
      <w:r w:rsidR="00EF274D" w:rsidRPr="00507003">
        <w:rPr>
          <w:rStyle w:val="super"/>
          <w:noProof/>
        </w:rPr>
        <w:t>media communication</w:t>
      </w:r>
      <w:r w:rsidR="002833BB" w:rsidRPr="00507003">
        <w:rPr>
          <w:rStyle w:val="super"/>
          <w:noProof/>
        </w:rPr>
        <w:t xml:space="preserve">, </w:t>
      </w:r>
      <w:r w:rsidR="00EF274D" w:rsidRPr="00507003">
        <w:rPr>
          <w:rStyle w:val="super"/>
          <w:noProof/>
        </w:rPr>
        <w:t xml:space="preserve">organising </w:t>
      </w:r>
      <w:r w:rsidR="00042EE0" w:rsidRPr="00507003">
        <w:rPr>
          <w:rStyle w:val="super"/>
          <w:noProof/>
        </w:rPr>
        <w:t>seminars</w:t>
      </w:r>
      <w:r w:rsidR="00EF274D" w:rsidRPr="00507003">
        <w:rPr>
          <w:rStyle w:val="super"/>
          <w:noProof/>
        </w:rPr>
        <w:t xml:space="preserve"> and conferences or attending </w:t>
      </w:r>
      <w:r w:rsidR="004A562F" w:rsidRPr="00507003">
        <w:rPr>
          <w:rStyle w:val="super"/>
          <w:noProof/>
        </w:rPr>
        <w:t>agro-food</w:t>
      </w:r>
      <w:r w:rsidR="00EF274D" w:rsidRPr="00507003">
        <w:rPr>
          <w:rStyle w:val="super"/>
          <w:noProof/>
        </w:rPr>
        <w:t xml:space="preserve"> fairs</w:t>
      </w:r>
      <w:r w:rsidR="002833BB" w:rsidRPr="00507003">
        <w:rPr>
          <w:rStyle w:val="super"/>
          <w:noProof/>
        </w:rPr>
        <w:t xml:space="preserve">) carried out in various regions and/or Member States. </w:t>
      </w:r>
      <w:r w:rsidRPr="00507003">
        <w:rPr>
          <w:rStyle w:val="super"/>
          <w:noProof/>
        </w:rPr>
        <w:t>An annual work programme is a set of two to five specific information measures. For 201</w:t>
      </w:r>
      <w:r w:rsidR="001B5357" w:rsidRPr="00507003">
        <w:rPr>
          <w:rStyle w:val="super"/>
          <w:noProof/>
        </w:rPr>
        <w:t>9</w:t>
      </w:r>
      <w:r w:rsidRPr="00507003">
        <w:rPr>
          <w:rStyle w:val="super"/>
          <w:noProof/>
        </w:rPr>
        <w:t xml:space="preserve"> and 20</w:t>
      </w:r>
      <w:r w:rsidR="001B5357" w:rsidRPr="00507003">
        <w:rPr>
          <w:rStyle w:val="super"/>
          <w:noProof/>
        </w:rPr>
        <w:t>20</w:t>
      </w:r>
      <w:r w:rsidRPr="00507003">
        <w:rPr>
          <w:rStyle w:val="super"/>
          <w:noProof/>
        </w:rPr>
        <w:t>, it was decided (as in previous years) to retain only specific information measures for co-financing, with the aim of simplifying the grants scheme and ensuring coherence between the different communication actions.</w:t>
      </w:r>
    </w:p>
    <w:p w14:paraId="6C3A6C0E" w14:textId="4A23584B" w:rsidR="00BC0B02" w:rsidRPr="00507003" w:rsidRDefault="00042EE0" w:rsidP="003B0FE1">
      <w:pPr>
        <w:pStyle w:val="Normal1"/>
        <w:spacing w:before="120"/>
        <w:jc w:val="both"/>
        <w:rPr>
          <w:rStyle w:val="super"/>
          <w:noProof/>
        </w:rPr>
      </w:pPr>
      <w:r w:rsidRPr="00507003">
        <w:rPr>
          <w:rStyle w:val="super"/>
          <w:noProof/>
        </w:rPr>
        <w:t>T</w:t>
      </w:r>
      <w:r w:rsidR="00C20107" w:rsidRPr="00507003">
        <w:rPr>
          <w:rStyle w:val="super"/>
          <w:noProof/>
        </w:rPr>
        <w:t>he call</w:t>
      </w:r>
      <w:r w:rsidR="00BC0B02" w:rsidRPr="00507003">
        <w:rPr>
          <w:rStyle w:val="super"/>
          <w:noProof/>
        </w:rPr>
        <w:t>s</w:t>
      </w:r>
      <w:r w:rsidR="00C20107" w:rsidRPr="00507003">
        <w:rPr>
          <w:rStyle w:val="super"/>
          <w:noProof/>
        </w:rPr>
        <w:t xml:space="preserve"> for proposals</w:t>
      </w:r>
      <w:r w:rsidR="000D4E04">
        <w:rPr>
          <w:rStyle w:val="FootnoteReference"/>
          <w:noProof/>
        </w:rPr>
        <w:footnoteReference w:id="7"/>
      </w:r>
      <w:r w:rsidR="00726B88" w:rsidRPr="00507003">
        <w:rPr>
          <w:rStyle w:val="super"/>
          <w:noProof/>
        </w:rPr>
        <w:t xml:space="preserve"> </w:t>
      </w:r>
      <w:r w:rsidR="000D4E04">
        <w:rPr>
          <w:rStyle w:val="FootnoteReference"/>
          <w:noProof/>
        </w:rPr>
        <w:footnoteReference w:id="8"/>
      </w:r>
      <w:r w:rsidR="00726B88" w:rsidRPr="00507003">
        <w:rPr>
          <w:rStyle w:val="super"/>
          <w:noProof/>
        </w:rPr>
        <w:t xml:space="preserve"> </w:t>
      </w:r>
      <w:r w:rsidR="00C20107" w:rsidRPr="00507003">
        <w:rPr>
          <w:rStyle w:val="super"/>
          <w:noProof/>
        </w:rPr>
        <w:t>encouraged information actions focussin</w:t>
      </w:r>
      <w:r w:rsidR="00FE1143" w:rsidRPr="00507003">
        <w:rPr>
          <w:rStyle w:val="super"/>
          <w:noProof/>
        </w:rPr>
        <w:t xml:space="preserve">g specifically on the economic, </w:t>
      </w:r>
      <w:r w:rsidR="00110D3A" w:rsidRPr="00507003">
        <w:rPr>
          <w:rStyle w:val="super"/>
          <w:noProof/>
        </w:rPr>
        <w:t>environ</w:t>
      </w:r>
      <w:r w:rsidR="00C20107" w:rsidRPr="00507003">
        <w:rPr>
          <w:rStyle w:val="super"/>
          <w:noProof/>
        </w:rPr>
        <w:t>mental and social dimension</w:t>
      </w:r>
      <w:r w:rsidR="0008794B" w:rsidRPr="00507003">
        <w:rPr>
          <w:rStyle w:val="super"/>
          <w:noProof/>
        </w:rPr>
        <w:t>s</w:t>
      </w:r>
      <w:r w:rsidR="00C20107" w:rsidRPr="00507003">
        <w:rPr>
          <w:rStyle w:val="super"/>
          <w:noProof/>
        </w:rPr>
        <w:t xml:space="preserve"> of a sustainable Com</w:t>
      </w:r>
      <w:r w:rsidR="00C80711" w:rsidRPr="00507003">
        <w:rPr>
          <w:rStyle w:val="super"/>
          <w:noProof/>
        </w:rPr>
        <w:t>m</w:t>
      </w:r>
      <w:r w:rsidR="00C20107" w:rsidRPr="00507003">
        <w:rPr>
          <w:rStyle w:val="super"/>
          <w:noProof/>
        </w:rPr>
        <w:t>on Agricultural Policy</w:t>
      </w:r>
      <w:r w:rsidR="0008794B" w:rsidRPr="00507003">
        <w:rPr>
          <w:rStyle w:val="super"/>
          <w:noProof/>
        </w:rPr>
        <w:t>.</w:t>
      </w:r>
      <w:r w:rsidR="00792421" w:rsidRPr="00507003">
        <w:rPr>
          <w:rStyle w:val="super"/>
          <w:noProof/>
        </w:rPr>
        <w:t xml:space="preserve"> </w:t>
      </w:r>
      <w:r w:rsidR="00C80711" w:rsidRPr="00507003">
        <w:rPr>
          <w:rStyle w:val="super"/>
          <w:noProof/>
        </w:rPr>
        <w:t xml:space="preserve">As regards the </w:t>
      </w:r>
      <w:r w:rsidR="0008794B" w:rsidRPr="00507003">
        <w:rPr>
          <w:rStyle w:val="super"/>
          <w:noProof/>
        </w:rPr>
        <w:t>stakeholder</w:t>
      </w:r>
      <w:r w:rsidR="00C80711" w:rsidRPr="00507003">
        <w:rPr>
          <w:rStyle w:val="super"/>
          <w:noProof/>
        </w:rPr>
        <w:t xml:space="preserve"> target group,</w:t>
      </w:r>
      <w:r w:rsidR="0008794B" w:rsidRPr="00507003">
        <w:rPr>
          <w:rStyle w:val="super"/>
          <w:noProof/>
        </w:rPr>
        <w:t xml:space="preserve"> the aim was to ensure greater awareness of the CAP’s contribution to </w:t>
      </w:r>
      <w:r w:rsidR="00110D3A" w:rsidRPr="00507003">
        <w:rPr>
          <w:rStyle w:val="super"/>
          <w:noProof/>
        </w:rPr>
        <w:t>supporting sustainability</w:t>
      </w:r>
      <w:r w:rsidRPr="00507003">
        <w:rPr>
          <w:rStyle w:val="super"/>
          <w:noProof/>
        </w:rPr>
        <w:t>.</w:t>
      </w:r>
      <w:r w:rsidR="00110D3A" w:rsidRPr="00507003">
        <w:rPr>
          <w:rStyle w:val="super"/>
          <w:noProof/>
        </w:rPr>
        <w:t xml:space="preserve"> </w:t>
      </w:r>
      <w:r w:rsidR="0008794B" w:rsidRPr="00507003">
        <w:rPr>
          <w:rStyle w:val="super"/>
          <w:noProof/>
        </w:rPr>
        <w:t>In relation to th</w:t>
      </w:r>
      <w:r w:rsidR="00792421" w:rsidRPr="00507003">
        <w:rPr>
          <w:rStyle w:val="super"/>
          <w:noProof/>
        </w:rPr>
        <w:t>e general public (</w:t>
      </w:r>
      <w:r w:rsidR="0008794B" w:rsidRPr="00507003">
        <w:rPr>
          <w:rStyle w:val="super"/>
          <w:noProof/>
        </w:rPr>
        <w:t xml:space="preserve">and </w:t>
      </w:r>
      <w:r w:rsidR="00792421" w:rsidRPr="00507003">
        <w:rPr>
          <w:rStyle w:val="super"/>
          <w:noProof/>
        </w:rPr>
        <w:t>in particular young people in urban areas)</w:t>
      </w:r>
      <w:r w:rsidR="0008794B" w:rsidRPr="00507003">
        <w:rPr>
          <w:rStyle w:val="super"/>
          <w:noProof/>
        </w:rPr>
        <w:t>, the call</w:t>
      </w:r>
      <w:r w:rsidR="00852F74" w:rsidRPr="00507003">
        <w:rPr>
          <w:rStyle w:val="super"/>
          <w:noProof/>
        </w:rPr>
        <w:t>s</w:t>
      </w:r>
      <w:r w:rsidR="0008794B" w:rsidRPr="00507003">
        <w:rPr>
          <w:rStyle w:val="super"/>
          <w:noProof/>
        </w:rPr>
        <w:t xml:space="preserve"> encouraged</w:t>
      </w:r>
      <w:r w:rsidR="00792421" w:rsidRPr="00507003">
        <w:rPr>
          <w:rStyle w:val="super"/>
          <w:noProof/>
        </w:rPr>
        <w:t xml:space="preserve"> </w:t>
      </w:r>
      <w:r w:rsidR="002B04F0" w:rsidRPr="00BD3244">
        <w:rPr>
          <w:rStyle w:val="super"/>
          <w:i/>
          <w:noProof/>
        </w:rPr>
        <w:t>inter alia</w:t>
      </w:r>
      <w:r w:rsidR="002B04F0" w:rsidRPr="00507003">
        <w:rPr>
          <w:rStyle w:val="super"/>
          <w:noProof/>
        </w:rPr>
        <w:t xml:space="preserve"> </w:t>
      </w:r>
      <w:r w:rsidR="0008794B" w:rsidRPr="00507003">
        <w:rPr>
          <w:rStyle w:val="super"/>
          <w:noProof/>
        </w:rPr>
        <w:t>novel approaches to engage with young people; these were targeted at school children, teachers and university students and focussed</w:t>
      </w:r>
      <w:r w:rsidR="00C80711" w:rsidRPr="00507003">
        <w:rPr>
          <w:rStyle w:val="super"/>
          <w:noProof/>
        </w:rPr>
        <w:t>, for example,</w:t>
      </w:r>
      <w:r w:rsidR="0008794B" w:rsidRPr="00507003">
        <w:rPr>
          <w:rStyle w:val="super"/>
          <w:noProof/>
        </w:rPr>
        <w:t xml:space="preserve"> on raising awareness of the role of the CAP in meeting the climate change challenge as well as encouraging healthy eating habits</w:t>
      </w:r>
      <w:r w:rsidR="00110D3A" w:rsidRPr="00507003">
        <w:rPr>
          <w:rStyle w:val="super"/>
          <w:noProof/>
        </w:rPr>
        <w:t xml:space="preserve">. </w:t>
      </w:r>
      <w:r w:rsidR="00852F74" w:rsidRPr="00507003">
        <w:rPr>
          <w:rStyle w:val="super"/>
          <w:noProof/>
        </w:rPr>
        <w:t>Overall, t</w:t>
      </w:r>
      <w:r w:rsidR="00C80711" w:rsidRPr="00507003">
        <w:rPr>
          <w:rStyle w:val="super"/>
          <w:noProof/>
        </w:rPr>
        <w:t>he aim was to r</w:t>
      </w:r>
      <w:r w:rsidR="00110D3A" w:rsidRPr="00507003">
        <w:rPr>
          <w:rStyle w:val="super"/>
          <w:noProof/>
        </w:rPr>
        <w:t>ais</w:t>
      </w:r>
      <w:r w:rsidR="00C80711" w:rsidRPr="00507003">
        <w:rPr>
          <w:rStyle w:val="super"/>
          <w:noProof/>
        </w:rPr>
        <w:t>e</w:t>
      </w:r>
      <w:r w:rsidR="00110D3A" w:rsidRPr="00507003">
        <w:rPr>
          <w:rStyle w:val="super"/>
          <w:noProof/>
        </w:rPr>
        <w:t xml:space="preserve"> public awareness on the relevance </w:t>
      </w:r>
      <w:r w:rsidR="003B0FE1" w:rsidRPr="00507003">
        <w:rPr>
          <w:rStyle w:val="super"/>
          <w:noProof/>
        </w:rPr>
        <w:t xml:space="preserve">for citizens </w:t>
      </w:r>
      <w:r w:rsidR="00110D3A" w:rsidRPr="00507003">
        <w:rPr>
          <w:rStyle w:val="super"/>
          <w:noProof/>
        </w:rPr>
        <w:t>of EU support to agriculture and rural development</w:t>
      </w:r>
      <w:r w:rsidR="003B0FE1" w:rsidRPr="00507003">
        <w:rPr>
          <w:rStyle w:val="super"/>
          <w:noProof/>
        </w:rPr>
        <w:t xml:space="preserve">, and </w:t>
      </w:r>
      <w:r w:rsidR="002D2C3C" w:rsidRPr="00507003">
        <w:rPr>
          <w:rStyle w:val="super"/>
          <w:noProof/>
        </w:rPr>
        <w:t>its</w:t>
      </w:r>
      <w:r w:rsidR="003B0FE1" w:rsidRPr="00507003">
        <w:rPr>
          <w:rStyle w:val="super"/>
          <w:noProof/>
        </w:rPr>
        <w:t xml:space="preserve"> </w:t>
      </w:r>
      <w:r w:rsidR="002D2C3C" w:rsidRPr="00507003">
        <w:rPr>
          <w:rStyle w:val="super"/>
          <w:noProof/>
        </w:rPr>
        <w:t>contribution to meeting the Green Deal objectives.</w:t>
      </w:r>
    </w:p>
    <w:tbl>
      <w:tblPr>
        <w:tblW w:w="5000" w:type="pct"/>
        <w:tblCellSpacing w:w="0" w:type="dxa"/>
        <w:tblCellMar>
          <w:left w:w="0" w:type="dxa"/>
          <w:right w:w="0" w:type="dxa"/>
        </w:tblCellMar>
        <w:tblLook w:val="04A0" w:firstRow="1" w:lastRow="0" w:firstColumn="1" w:lastColumn="0" w:noHBand="0" w:noVBand="1"/>
      </w:tblPr>
      <w:tblGrid>
        <w:gridCol w:w="9066"/>
        <w:gridCol w:w="6"/>
      </w:tblGrid>
      <w:tr w:rsidR="0008794B" w:rsidRPr="00BE23D0" w14:paraId="6BCB53BD" w14:textId="77777777" w:rsidTr="00FE1143">
        <w:trPr>
          <w:tblCellSpacing w:w="0" w:type="dxa"/>
        </w:trPr>
        <w:tc>
          <w:tcPr>
            <w:tcW w:w="0" w:type="auto"/>
          </w:tcPr>
          <w:p w14:paraId="611A5688" w14:textId="130B5E3F" w:rsidR="004A562F" w:rsidRPr="00507003" w:rsidRDefault="00BC0B02" w:rsidP="004A562F">
            <w:pPr>
              <w:pStyle w:val="Normal1"/>
              <w:spacing w:before="120" w:beforeAutospacing="0" w:after="0" w:afterAutospacing="0"/>
              <w:jc w:val="both"/>
              <w:rPr>
                <w:rStyle w:val="super"/>
                <w:noProof/>
              </w:rPr>
            </w:pPr>
            <w:r w:rsidRPr="00507003">
              <w:rPr>
                <w:rStyle w:val="super"/>
                <w:noProof/>
              </w:rPr>
              <w:t>In 2019, eighteen measures</w:t>
            </w:r>
            <w:r w:rsidR="00042EE0" w:rsidRPr="00507003">
              <w:rPr>
                <w:rStyle w:val="super"/>
                <w:noProof/>
              </w:rPr>
              <w:t xml:space="preserve"> were co-financed</w:t>
            </w:r>
            <w:r w:rsidR="009D1EBE" w:rsidRPr="00507003">
              <w:rPr>
                <w:rStyle w:val="super"/>
                <w:noProof/>
              </w:rPr>
              <w:t xml:space="preserve">, and in 2020 twenty </w:t>
            </w:r>
            <w:r w:rsidR="00042EE0" w:rsidRPr="00507003">
              <w:rPr>
                <w:rStyle w:val="super"/>
                <w:noProof/>
              </w:rPr>
              <w:t>two</w:t>
            </w:r>
            <w:r w:rsidR="009D1EBE" w:rsidRPr="00507003">
              <w:rPr>
                <w:rStyle w:val="super"/>
                <w:noProof/>
              </w:rPr>
              <w:t xml:space="preserve"> measures</w:t>
            </w:r>
            <w:r w:rsidRPr="00507003">
              <w:rPr>
                <w:rStyle w:val="super"/>
                <w:noProof/>
              </w:rPr>
              <w:t xml:space="preserve">. This makes a total of </w:t>
            </w:r>
            <w:r w:rsidR="00042EE0" w:rsidRPr="00507003">
              <w:rPr>
                <w:rStyle w:val="super"/>
                <w:noProof/>
              </w:rPr>
              <w:t>40</w:t>
            </w:r>
            <w:r w:rsidRPr="00507003">
              <w:rPr>
                <w:rStyle w:val="super"/>
                <w:noProof/>
              </w:rPr>
              <w:t xml:space="preserve"> co-financed actions for the period 2019-2020, all at a rate of 60% of the eligible costs actually incurred, plu</w:t>
            </w:r>
            <w:r w:rsidR="00B67B19">
              <w:rPr>
                <w:rStyle w:val="super"/>
                <w:noProof/>
              </w:rPr>
              <w:t>s a flat-rate contribution of 7</w:t>
            </w:r>
            <w:r w:rsidRPr="00507003">
              <w:rPr>
                <w:rStyle w:val="super"/>
                <w:noProof/>
              </w:rPr>
              <w:t>% of the eligible costs</w:t>
            </w:r>
            <w:r w:rsidR="00EF274D" w:rsidRPr="00507003">
              <w:rPr>
                <w:rStyle w:val="super"/>
                <w:noProof/>
              </w:rPr>
              <w:t>.</w:t>
            </w:r>
            <w:r w:rsidR="004A562F" w:rsidRPr="00507003">
              <w:rPr>
                <w:rStyle w:val="super"/>
                <w:noProof/>
              </w:rPr>
              <w:t xml:space="preserve"> </w:t>
            </w:r>
            <w:r w:rsidR="00F4193E" w:rsidRPr="00507003">
              <w:rPr>
                <w:rStyle w:val="super"/>
                <w:noProof/>
              </w:rPr>
              <w:t xml:space="preserve">In the 2019-2020 period, twenty five grants were awarded to media and communications agencies for measures promoting awareness of the importance of agriculture and the rural areas for society as a whole; these included actions with a significant trans-national element carried out by media companies active </w:t>
            </w:r>
            <w:r w:rsidR="005D15AD" w:rsidRPr="00507003">
              <w:rPr>
                <w:rStyle w:val="super"/>
                <w:noProof/>
              </w:rPr>
              <w:t>in</w:t>
            </w:r>
            <w:r w:rsidR="00F4193E" w:rsidRPr="00507003">
              <w:rPr>
                <w:rStyle w:val="super"/>
                <w:noProof/>
              </w:rPr>
              <w:t xml:space="preserve"> different Member States. The projects illustrated how the CAP contributes towards the delivery of the Union’s political priorities, and addresses the sustainability of agriculture, in all its dimensions.</w:t>
            </w:r>
            <w:r w:rsidR="004A562F" w:rsidRPr="00507003">
              <w:rPr>
                <w:rStyle w:val="super"/>
                <w:noProof/>
              </w:rPr>
              <w:t xml:space="preserve"> </w:t>
            </w:r>
            <w:r w:rsidR="00F4193E" w:rsidRPr="00507003">
              <w:rPr>
                <w:rStyle w:val="super"/>
                <w:noProof/>
              </w:rPr>
              <w:t xml:space="preserve">Often, these actions included pedagogical elements and awareness raising events on food and farming, emphasising the role of EU support and the importance of generational renewal for the sector. </w:t>
            </w:r>
          </w:p>
          <w:p w14:paraId="42C4F162" w14:textId="172D35A5" w:rsidR="00F4193E" w:rsidRPr="00507003" w:rsidRDefault="00F4193E" w:rsidP="004A562F">
            <w:pPr>
              <w:pStyle w:val="Normal1"/>
              <w:spacing w:before="120" w:beforeAutospacing="0" w:after="0" w:afterAutospacing="0"/>
              <w:jc w:val="both"/>
              <w:rPr>
                <w:rStyle w:val="super"/>
                <w:noProof/>
              </w:rPr>
            </w:pPr>
            <w:r w:rsidRPr="00507003">
              <w:rPr>
                <w:rStyle w:val="super"/>
                <w:noProof/>
              </w:rPr>
              <w:t>Support was also given to eight actions at national level led by producers’ associations or entities with strong links to the agricultural sector; these projects focussed on the current and future challenges facing EU agriculture and rural areas</w:t>
            </w:r>
            <w:r w:rsidR="000D4E04">
              <w:rPr>
                <w:rStyle w:val="super"/>
                <w:noProof/>
              </w:rPr>
              <w:t xml:space="preserve"> </w:t>
            </w:r>
            <w:r w:rsidRPr="00507003">
              <w:rPr>
                <w:rStyle w:val="super"/>
                <w:noProof/>
              </w:rPr>
              <w:t xml:space="preserve">and the promotion of sustainability. Also at national level </w:t>
            </w:r>
            <w:r w:rsidRPr="00832C4F">
              <w:rPr>
                <w:rStyle w:val="super"/>
                <w:i/>
                <w:noProof/>
              </w:rPr>
              <w:t>inter alia</w:t>
            </w:r>
            <w:r w:rsidRPr="00507003">
              <w:rPr>
                <w:rStyle w:val="super"/>
                <w:noProof/>
              </w:rPr>
              <w:t xml:space="preserve"> an academic institution focussed on the future opportunities for young farmers. In addition, an EU level rural development association organised a cross-border project focussed on supporting students in agricultural training.</w:t>
            </w:r>
            <w:r w:rsidR="004A562F" w:rsidRPr="00507003">
              <w:rPr>
                <w:rStyle w:val="super"/>
                <w:noProof/>
              </w:rPr>
              <w:t xml:space="preserve"> </w:t>
            </w:r>
            <w:r w:rsidR="00B71EFA">
              <w:rPr>
                <w:rStyle w:val="super"/>
                <w:noProof/>
              </w:rPr>
              <w:t>Furthermore,</w:t>
            </w:r>
            <w:r w:rsidRPr="00507003">
              <w:rPr>
                <w:rStyle w:val="super"/>
                <w:noProof/>
              </w:rPr>
              <w:t xml:space="preserve"> two organisations active in the environmental domain at national level, and also one at EU level,  received support for measures to raise</w:t>
            </w:r>
            <w:r w:rsidR="000D4E04">
              <w:rPr>
                <w:rStyle w:val="super"/>
                <w:noProof/>
              </w:rPr>
              <w:t xml:space="preserve"> </w:t>
            </w:r>
            <w:r w:rsidR="000D4E04" w:rsidRPr="00507003">
              <w:rPr>
                <w:rStyle w:val="super"/>
                <w:noProof/>
              </w:rPr>
              <w:t>awareness</w:t>
            </w:r>
            <w:r w:rsidRPr="00507003">
              <w:rPr>
                <w:rStyle w:val="super"/>
                <w:noProof/>
              </w:rPr>
              <w:t xml:space="preserve"> of issues related to protecting the environment and safeguarding biodiversity in the context of the Farm to Fork strategy and  European Green Deal priorities. </w:t>
            </w:r>
          </w:p>
          <w:p w14:paraId="2E756288" w14:textId="3843B9E9" w:rsidR="00F4193E" w:rsidRPr="00507003" w:rsidRDefault="00F4193E" w:rsidP="00F4193E">
            <w:pPr>
              <w:autoSpaceDE w:val="0"/>
              <w:autoSpaceDN w:val="0"/>
              <w:adjustRightInd w:val="0"/>
              <w:jc w:val="both"/>
              <w:rPr>
                <w:rStyle w:val="super"/>
                <w:noProof/>
                <w:highlight w:val="yellow"/>
              </w:rPr>
            </w:pPr>
          </w:p>
          <w:p w14:paraId="58BDD2E7" w14:textId="482A377C" w:rsidR="00F4193E" w:rsidRPr="00507003" w:rsidRDefault="00F4193E" w:rsidP="00F665BD">
            <w:pPr>
              <w:jc w:val="both"/>
              <w:rPr>
                <w:rStyle w:val="super"/>
                <w:noProof/>
              </w:rPr>
            </w:pPr>
            <w:r w:rsidRPr="00507003">
              <w:rPr>
                <w:rStyle w:val="super"/>
                <w:noProof/>
              </w:rPr>
              <w:t>Frequently, grant awarded projects included an educational component targeting school children, teachers and university students. These actions were designed to engage with young people, raise their awareness of the CAP and its contribution in many areas such as climate change, food security, and the promotion of healthy diets as a lifestyle choice.</w:t>
            </w:r>
          </w:p>
          <w:p w14:paraId="0C581AF3" w14:textId="572DB8ED" w:rsidR="00EF274D" w:rsidRPr="00507003" w:rsidRDefault="00EF274D" w:rsidP="008A1A10">
            <w:pPr>
              <w:autoSpaceDE w:val="0"/>
              <w:autoSpaceDN w:val="0"/>
              <w:adjustRightInd w:val="0"/>
              <w:jc w:val="both"/>
              <w:rPr>
                <w:rStyle w:val="super"/>
                <w:noProof/>
              </w:rPr>
            </w:pPr>
          </w:p>
          <w:p w14:paraId="5BB32C7D" w14:textId="09D33A9F" w:rsidR="008A1A10" w:rsidRPr="00507003" w:rsidRDefault="00EE3B1E" w:rsidP="008A1A10">
            <w:pPr>
              <w:autoSpaceDE w:val="0"/>
              <w:autoSpaceDN w:val="0"/>
              <w:adjustRightInd w:val="0"/>
              <w:jc w:val="both"/>
              <w:rPr>
                <w:rStyle w:val="super"/>
                <w:noProof/>
              </w:rPr>
            </w:pPr>
            <w:r w:rsidRPr="00507003">
              <w:rPr>
                <w:rStyle w:val="super"/>
                <w:noProof/>
              </w:rPr>
              <w:t xml:space="preserve">Due to the </w:t>
            </w:r>
            <w:r w:rsidR="00EF274D" w:rsidRPr="00507003">
              <w:rPr>
                <w:rStyle w:val="super"/>
                <w:noProof/>
              </w:rPr>
              <w:t>restrictions enacted by national authorities in response</w:t>
            </w:r>
            <w:r w:rsidR="00EB76DB" w:rsidRPr="00507003">
              <w:rPr>
                <w:rStyle w:val="super"/>
                <w:noProof/>
              </w:rPr>
              <w:t xml:space="preserve"> to the</w:t>
            </w:r>
            <w:r w:rsidR="00543D83" w:rsidRPr="00507003">
              <w:rPr>
                <w:rStyle w:val="super"/>
                <w:noProof/>
              </w:rPr>
              <w:t xml:space="preserve"> </w:t>
            </w:r>
            <w:r w:rsidRPr="00507003">
              <w:rPr>
                <w:rStyle w:val="super"/>
                <w:noProof/>
              </w:rPr>
              <w:t xml:space="preserve">COVID-19 pandemic, </w:t>
            </w:r>
            <w:r w:rsidR="00EF274D" w:rsidRPr="00507003">
              <w:rPr>
                <w:rStyle w:val="super"/>
                <w:noProof/>
              </w:rPr>
              <w:t xml:space="preserve">some </w:t>
            </w:r>
            <w:r w:rsidRPr="00507003">
              <w:rPr>
                <w:rStyle w:val="super"/>
                <w:noProof/>
              </w:rPr>
              <w:t>grant awarded projects were confronted with major difficulties in the implementation of their actions</w:t>
            </w:r>
            <w:r w:rsidR="00543D83" w:rsidRPr="00507003">
              <w:rPr>
                <w:rStyle w:val="super"/>
                <w:noProof/>
              </w:rPr>
              <w:t>.</w:t>
            </w:r>
            <w:r w:rsidR="00EF274D" w:rsidRPr="00507003">
              <w:rPr>
                <w:rStyle w:val="super"/>
                <w:noProof/>
              </w:rPr>
              <w:t xml:space="preserve"> These </w:t>
            </w:r>
            <w:r w:rsidR="00A35F90" w:rsidRPr="00507003">
              <w:rPr>
                <w:rStyle w:val="super"/>
                <w:noProof/>
              </w:rPr>
              <w:t xml:space="preserve">had an </w:t>
            </w:r>
            <w:r w:rsidR="00EF274D" w:rsidRPr="00507003">
              <w:rPr>
                <w:rStyle w:val="super"/>
                <w:noProof/>
              </w:rPr>
              <w:t xml:space="preserve">impact in particular </w:t>
            </w:r>
            <w:r w:rsidR="00A35F90" w:rsidRPr="00507003">
              <w:rPr>
                <w:rStyle w:val="super"/>
                <w:noProof/>
              </w:rPr>
              <w:t xml:space="preserve">on </w:t>
            </w:r>
            <w:r w:rsidR="00EF274D" w:rsidRPr="00507003">
              <w:rPr>
                <w:rStyle w:val="super"/>
                <w:noProof/>
              </w:rPr>
              <w:t>the activities related to</w:t>
            </w:r>
            <w:r w:rsidR="00A35F90" w:rsidRPr="00507003">
              <w:rPr>
                <w:rStyle w:val="super"/>
                <w:noProof/>
              </w:rPr>
              <w:t xml:space="preserve"> the</w:t>
            </w:r>
            <w:r w:rsidR="00EF274D" w:rsidRPr="00507003">
              <w:rPr>
                <w:rStyle w:val="super"/>
                <w:noProof/>
              </w:rPr>
              <w:t xml:space="preserve"> organisation of seminars in school</w:t>
            </w:r>
            <w:r w:rsidR="00EB76DB" w:rsidRPr="00507003">
              <w:rPr>
                <w:rStyle w:val="super"/>
                <w:noProof/>
              </w:rPr>
              <w:t>s</w:t>
            </w:r>
            <w:r w:rsidR="00EF274D" w:rsidRPr="00507003">
              <w:rPr>
                <w:rStyle w:val="super"/>
                <w:noProof/>
              </w:rPr>
              <w:t xml:space="preserve">, of conferences and </w:t>
            </w:r>
            <w:r w:rsidR="00954532" w:rsidRPr="00507003">
              <w:rPr>
                <w:rStyle w:val="super"/>
                <w:noProof/>
              </w:rPr>
              <w:t xml:space="preserve">participation in </w:t>
            </w:r>
            <w:r w:rsidR="004A562F" w:rsidRPr="00507003">
              <w:rPr>
                <w:rStyle w:val="super"/>
                <w:noProof/>
              </w:rPr>
              <w:t>agro-food</w:t>
            </w:r>
            <w:r w:rsidR="00954532" w:rsidRPr="00507003">
              <w:rPr>
                <w:rStyle w:val="super"/>
                <w:noProof/>
              </w:rPr>
              <w:t xml:space="preserve"> fairs.</w:t>
            </w:r>
            <w:r w:rsidR="00EF274D" w:rsidRPr="00507003">
              <w:rPr>
                <w:rStyle w:val="super"/>
                <w:noProof/>
              </w:rPr>
              <w:t xml:space="preserve"> </w:t>
            </w:r>
            <w:r w:rsidR="00543D83" w:rsidRPr="00507003">
              <w:rPr>
                <w:rStyle w:val="super"/>
                <w:noProof/>
              </w:rPr>
              <w:t xml:space="preserve">In line with the global approach agreed across the European Commission, DG AGRI </w:t>
            </w:r>
            <w:r w:rsidR="00954532" w:rsidRPr="00507003">
              <w:rPr>
                <w:rStyle w:val="super"/>
                <w:noProof/>
              </w:rPr>
              <w:t xml:space="preserve">continued to adopt </w:t>
            </w:r>
            <w:r w:rsidR="00543D83" w:rsidRPr="00507003">
              <w:rPr>
                <w:rStyle w:val="super"/>
                <w:noProof/>
              </w:rPr>
              <w:t>a high level of flexibility in seeking solutions to ensure the execution of these projects.</w:t>
            </w:r>
          </w:p>
          <w:p w14:paraId="3F979591" w14:textId="77777777" w:rsidR="00F754B8" w:rsidRPr="00507003" w:rsidRDefault="00F754B8" w:rsidP="00F754B8">
            <w:pPr>
              <w:spacing w:before="120" w:after="120"/>
              <w:jc w:val="both"/>
              <w:rPr>
                <w:rStyle w:val="super"/>
                <w:noProof/>
              </w:rPr>
            </w:pPr>
            <w:r w:rsidRPr="00507003">
              <w:rPr>
                <w:rStyle w:val="super"/>
                <w:noProof/>
              </w:rPr>
              <w:t>The Commission Staff Working Document accompanying this report gives detailed information on the grants awarded during the reporting period, including the number of successful applications per Member State.</w:t>
            </w:r>
          </w:p>
          <w:p w14:paraId="3551B55E" w14:textId="0872F6D8" w:rsidR="00F754B8" w:rsidRPr="00507003" w:rsidRDefault="00F754B8" w:rsidP="00F754B8">
            <w:pPr>
              <w:autoSpaceDE w:val="0"/>
              <w:autoSpaceDN w:val="0"/>
              <w:adjustRightInd w:val="0"/>
              <w:jc w:val="both"/>
              <w:rPr>
                <w:rStyle w:val="super"/>
                <w:noProof/>
              </w:rPr>
            </w:pPr>
            <w:r w:rsidRPr="00507003">
              <w:rPr>
                <w:rStyle w:val="super"/>
                <w:noProof/>
              </w:rPr>
              <w:t>In the 2019-2020 period, it is important to emphasise that a considerable number of co-financed actions reached a wider audience beyond the immediate participants, due to the multiplier effect of the specialised press and media, as well as increased use of digital and social media as dissemination tools.</w:t>
            </w:r>
          </w:p>
          <w:p w14:paraId="3D7475CA" w14:textId="77777777" w:rsidR="00FD5C2B" w:rsidRPr="00507003" w:rsidRDefault="00FD5C2B" w:rsidP="00F754B8">
            <w:pPr>
              <w:autoSpaceDE w:val="0"/>
              <w:autoSpaceDN w:val="0"/>
              <w:adjustRightInd w:val="0"/>
              <w:jc w:val="both"/>
              <w:rPr>
                <w:rStyle w:val="super"/>
                <w:noProof/>
              </w:rPr>
            </w:pPr>
          </w:p>
          <w:p w14:paraId="4F52DDB0" w14:textId="2458CE2C" w:rsidR="006D00B2" w:rsidRPr="00F754B8" w:rsidRDefault="00F754B8" w:rsidP="00F754B8">
            <w:pPr>
              <w:autoSpaceDE w:val="0"/>
              <w:autoSpaceDN w:val="0"/>
              <w:adjustRightInd w:val="0"/>
              <w:jc w:val="both"/>
              <w:rPr>
                <w:noProof/>
              </w:rPr>
            </w:pPr>
            <w:r w:rsidRPr="00507003">
              <w:rPr>
                <w:rStyle w:val="super"/>
                <w:noProof/>
              </w:rPr>
              <w:t>Applications were assessed in the light of rigorous eligibility, exclusion, selection and award criteria as laid down in the calls for proposals. This was in line with the Financial Regulation and reflected the Commission's aim to achieve equal treatment and fair competition between applicants</w:t>
            </w:r>
            <w:r w:rsidR="000D4E04">
              <w:rPr>
                <w:rStyle w:val="FootnoteReference"/>
                <w:noProof/>
              </w:rPr>
              <w:footnoteReference w:id="9"/>
            </w:r>
            <w:r w:rsidRPr="00507003">
              <w:rPr>
                <w:rStyle w:val="super"/>
                <w:noProof/>
              </w:rPr>
              <w:t>.</w:t>
            </w:r>
          </w:p>
          <w:p w14:paraId="10DAE060" w14:textId="09BEB575" w:rsidR="006D00B2" w:rsidRPr="00650250" w:rsidRDefault="006D00B2" w:rsidP="00042EE0">
            <w:pPr>
              <w:pStyle w:val="Normal1"/>
              <w:spacing w:before="120" w:beforeAutospacing="0" w:after="0" w:afterAutospacing="0"/>
              <w:jc w:val="both"/>
              <w:rPr>
                <w:rFonts w:ascii="inherit" w:hAnsi="inherit"/>
                <w:noProof/>
                <w:color w:val="000000"/>
              </w:rPr>
            </w:pPr>
          </w:p>
        </w:tc>
        <w:tc>
          <w:tcPr>
            <w:tcW w:w="0" w:type="auto"/>
          </w:tcPr>
          <w:p w14:paraId="37DE7215" w14:textId="768DADB4" w:rsidR="00792421" w:rsidRPr="00D43DB1" w:rsidRDefault="00792421" w:rsidP="0008794B">
            <w:pPr>
              <w:pStyle w:val="Normal1"/>
              <w:spacing w:before="120" w:beforeAutospacing="0" w:after="0" w:afterAutospacing="0"/>
              <w:jc w:val="both"/>
              <w:rPr>
                <w:rFonts w:ascii="inherit" w:hAnsi="inherit"/>
                <w:noProof/>
                <w:color w:val="000000"/>
              </w:rPr>
            </w:pPr>
          </w:p>
        </w:tc>
      </w:tr>
    </w:tbl>
    <w:p w14:paraId="49FE9CDD" w14:textId="5CCE9B5C" w:rsidR="0059162F" w:rsidRDefault="009B2C9A" w:rsidP="0059162F">
      <w:pPr>
        <w:pStyle w:val="Style2"/>
      </w:pPr>
      <w:r>
        <w:t>2.</w:t>
      </w:r>
      <w:r w:rsidR="0059162F">
        <w:tab/>
        <w:t>Direct actions/public procurement (information measures taken at the initiative of the Commission)</w:t>
      </w:r>
    </w:p>
    <w:p w14:paraId="47D49F07" w14:textId="77777777" w:rsidR="0059162F" w:rsidRDefault="0059162F" w:rsidP="0059162F">
      <w:pPr>
        <w:pStyle w:val="Style2"/>
      </w:pPr>
    </w:p>
    <w:p w14:paraId="42DE1A70" w14:textId="7273623B" w:rsidR="00246354" w:rsidRPr="00507003" w:rsidRDefault="0059162F" w:rsidP="00246354">
      <w:pPr>
        <w:jc w:val="both"/>
        <w:rPr>
          <w:rStyle w:val="super"/>
          <w:noProof/>
        </w:rPr>
      </w:pPr>
      <w:r w:rsidRPr="00507003">
        <w:rPr>
          <w:rStyle w:val="super"/>
          <w:noProof/>
        </w:rPr>
        <w:t>In 201</w:t>
      </w:r>
      <w:r w:rsidR="005B3D1F" w:rsidRPr="00507003">
        <w:rPr>
          <w:rStyle w:val="super"/>
          <w:noProof/>
        </w:rPr>
        <w:t>9</w:t>
      </w:r>
      <w:r w:rsidRPr="00507003">
        <w:rPr>
          <w:rStyle w:val="super"/>
          <w:noProof/>
        </w:rPr>
        <w:t>-20</w:t>
      </w:r>
      <w:r w:rsidR="005B3D1F" w:rsidRPr="00507003">
        <w:rPr>
          <w:rStyle w:val="super"/>
          <w:noProof/>
        </w:rPr>
        <w:t>20</w:t>
      </w:r>
      <w:r w:rsidRPr="00507003">
        <w:rPr>
          <w:rStyle w:val="super"/>
          <w:noProof/>
        </w:rPr>
        <w:t>, as in the past, an important number of information measures were carried out at the initiative of the Commission</w:t>
      </w:r>
      <w:r w:rsidR="00246354" w:rsidRPr="00507003">
        <w:rPr>
          <w:rStyle w:val="super"/>
          <w:noProof/>
        </w:rPr>
        <w:t>. The</w:t>
      </w:r>
      <w:r w:rsidR="00D6116E" w:rsidRPr="00507003">
        <w:rPr>
          <w:rStyle w:val="super"/>
          <w:noProof/>
        </w:rPr>
        <w:t xml:space="preserve"> </w:t>
      </w:r>
      <w:r w:rsidR="000C6970" w:rsidRPr="00507003">
        <w:rPr>
          <w:rStyle w:val="super"/>
          <w:noProof/>
        </w:rPr>
        <w:t>impact of</w:t>
      </w:r>
      <w:r w:rsidR="00246354" w:rsidRPr="00507003">
        <w:rPr>
          <w:rStyle w:val="super"/>
          <w:noProof/>
        </w:rPr>
        <w:t xml:space="preserve"> the </w:t>
      </w:r>
      <w:r w:rsidR="000C6970" w:rsidRPr="00507003">
        <w:rPr>
          <w:rStyle w:val="super"/>
          <w:noProof/>
        </w:rPr>
        <w:t>C</w:t>
      </w:r>
      <w:r w:rsidR="00246354" w:rsidRPr="00507003">
        <w:rPr>
          <w:rStyle w:val="super"/>
          <w:noProof/>
        </w:rPr>
        <w:t>ovid</w:t>
      </w:r>
      <w:r w:rsidR="000C6970" w:rsidRPr="00507003">
        <w:rPr>
          <w:rStyle w:val="super"/>
          <w:noProof/>
        </w:rPr>
        <w:t>-</w:t>
      </w:r>
      <w:r w:rsidR="00246354" w:rsidRPr="00507003">
        <w:rPr>
          <w:rStyle w:val="super"/>
          <w:noProof/>
        </w:rPr>
        <w:t xml:space="preserve">19 pandemic led to the cancellation of </w:t>
      </w:r>
      <w:r w:rsidR="00482DED" w:rsidRPr="00507003">
        <w:rPr>
          <w:rStyle w:val="super"/>
          <w:noProof/>
        </w:rPr>
        <w:t xml:space="preserve">most face to face </w:t>
      </w:r>
      <w:r w:rsidR="00246354" w:rsidRPr="00507003">
        <w:rPr>
          <w:rStyle w:val="super"/>
          <w:noProof/>
        </w:rPr>
        <w:t>events in 2020</w:t>
      </w:r>
      <w:r w:rsidR="00D6116E" w:rsidRPr="00507003">
        <w:rPr>
          <w:rStyle w:val="super"/>
          <w:noProof/>
        </w:rPr>
        <w:t xml:space="preserve"> (as of 1 March)</w:t>
      </w:r>
      <w:r w:rsidR="00246354" w:rsidRPr="00507003">
        <w:rPr>
          <w:rStyle w:val="super"/>
          <w:noProof/>
        </w:rPr>
        <w:t xml:space="preserve">, </w:t>
      </w:r>
      <w:r w:rsidR="00AB6BF1" w:rsidRPr="00507003">
        <w:rPr>
          <w:rStyle w:val="super"/>
          <w:noProof/>
        </w:rPr>
        <w:t xml:space="preserve">the adjustment of others </w:t>
      </w:r>
      <w:r w:rsidR="00246354" w:rsidRPr="00507003">
        <w:rPr>
          <w:rStyle w:val="super"/>
          <w:noProof/>
        </w:rPr>
        <w:t xml:space="preserve">and </w:t>
      </w:r>
      <w:r w:rsidR="00AB6BF1" w:rsidRPr="00507003">
        <w:rPr>
          <w:rStyle w:val="super"/>
          <w:noProof/>
        </w:rPr>
        <w:t>notably</w:t>
      </w:r>
      <w:r w:rsidR="007135B8" w:rsidRPr="00507003">
        <w:rPr>
          <w:rStyle w:val="super"/>
          <w:noProof/>
        </w:rPr>
        <w:t xml:space="preserve"> </w:t>
      </w:r>
      <w:r w:rsidR="006815EE" w:rsidRPr="00507003">
        <w:rPr>
          <w:rStyle w:val="super"/>
          <w:noProof/>
        </w:rPr>
        <w:t xml:space="preserve">to </w:t>
      </w:r>
      <w:r w:rsidR="00246354" w:rsidRPr="00507003">
        <w:rPr>
          <w:rStyle w:val="super"/>
          <w:noProof/>
        </w:rPr>
        <w:t>a general move to</w:t>
      </w:r>
      <w:r w:rsidR="007135B8" w:rsidRPr="00507003">
        <w:rPr>
          <w:rStyle w:val="super"/>
          <w:noProof/>
        </w:rPr>
        <w:t xml:space="preserve"> the use of on-</w:t>
      </w:r>
      <w:r w:rsidR="00246354" w:rsidRPr="00507003">
        <w:rPr>
          <w:rStyle w:val="super"/>
          <w:noProof/>
        </w:rPr>
        <w:t>line organisational modes</w:t>
      </w:r>
      <w:r w:rsidR="00D6116E" w:rsidRPr="00507003">
        <w:rPr>
          <w:rStyle w:val="super"/>
          <w:noProof/>
        </w:rPr>
        <w:t xml:space="preserve"> throughout the year</w:t>
      </w:r>
      <w:r w:rsidR="00246354" w:rsidRPr="00507003">
        <w:rPr>
          <w:rStyle w:val="super"/>
          <w:noProof/>
        </w:rPr>
        <w:t>.</w:t>
      </w:r>
    </w:p>
    <w:p w14:paraId="42E5BA17" w14:textId="1818D06A" w:rsidR="0059162F" w:rsidRDefault="0059162F" w:rsidP="0059162F">
      <w:pPr>
        <w:jc w:val="both"/>
        <w:rPr>
          <w:noProof/>
        </w:rPr>
      </w:pPr>
    </w:p>
    <w:p w14:paraId="6DFF6E70" w14:textId="66040C84" w:rsidR="00CB6425" w:rsidRPr="002819AC" w:rsidRDefault="0059162F" w:rsidP="00B46555">
      <w:pPr>
        <w:pStyle w:val="Style3"/>
        <w:rPr>
          <w:b w:val="0"/>
        </w:rPr>
      </w:pPr>
      <w:r>
        <w:t xml:space="preserve">a) </w:t>
      </w:r>
      <w:r w:rsidR="007135B8">
        <w:t>M</w:t>
      </w:r>
      <w:r w:rsidR="00B46555">
        <w:t>edia and on-line communicatio</w:t>
      </w:r>
      <w:r w:rsidR="0057107A">
        <w:t>n</w:t>
      </w:r>
    </w:p>
    <w:p w14:paraId="4AF90E6C" w14:textId="0C663671" w:rsidR="00597510" w:rsidRPr="000D4E04" w:rsidRDefault="00CB6425" w:rsidP="00B46555">
      <w:pPr>
        <w:pStyle w:val="Style3"/>
        <w:rPr>
          <w:rStyle w:val="super"/>
          <w:b w:val="0"/>
        </w:rPr>
      </w:pPr>
      <w:r w:rsidRPr="006E6027">
        <w:rPr>
          <w:rStyle w:val="super"/>
          <w:b w:val="0"/>
        </w:rPr>
        <w:t xml:space="preserve">Supporting the media with </w:t>
      </w:r>
      <w:r w:rsidR="00645A0A" w:rsidRPr="006E6027">
        <w:rPr>
          <w:rStyle w:val="super"/>
          <w:b w:val="0"/>
        </w:rPr>
        <w:t xml:space="preserve">timely </w:t>
      </w:r>
      <w:r w:rsidRPr="006E6027">
        <w:rPr>
          <w:rStyle w:val="super"/>
          <w:b w:val="0"/>
        </w:rPr>
        <w:t xml:space="preserve">relevant information on the </w:t>
      </w:r>
      <w:r w:rsidR="00513BCD" w:rsidRPr="006E6027">
        <w:rPr>
          <w:rStyle w:val="super"/>
          <w:b w:val="0"/>
        </w:rPr>
        <w:t xml:space="preserve">current and future </w:t>
      </w:r>
      <w:r w:rsidRPr="006E6027">
        <w:rPr>
          <w:rStyle w:val="super"/>
          <w:b w:val="0"/>
        </w:rPr>
        <w:t xml:space="preserve">CAP and rural development </w:t>
      </w:r>
      <w:r w:rsidR="00513BCD" w:rsidRPr="006E6027">
        <w:rPr>
          <w:rStyle w:val="super"/>
          <w:b w:val="0"/>
        </w:rPr>
        <w:t xml:space="preserve">policy </w:t>
      </w:r>
      <w:r w:rsidRPr="006E6027">
        <w:rPr>
          <w:rStyle w:val="super"/>
          <w:b w:val="0"/>
        </w:rPr>
        <w:t xml:space="preserve">continued to feature strongly in </w:t>
      </w:r>
      <w:r w:rsidR="005B6AF4" w:rsidRPr="006E6027">
        <w:rPr>
          <w:rStyle w:val="super"/>
          <w:b w:val="0"/>
        </w:rPr>
        <w:t>this period</w:t>
      </w:r>
      <w:r w:rsidR="00597510" w:rsidRPr="000D4E04">
        <w:rPr>
          <w:rStyle w:val="super"/>
          <w:b w:val="0"/>
        </w:rPr>
        <w:t>.</w:t>
      </w:r>
      <w:r w:rsidR="000D4E04">
        <w:rPr>
          <w:rStyle w:val="super"/>
          <w:b w:val="0"/>
        </w:rPr>
        <w:t xml:space="preserve"> </w:t>
      </w:r>
      <w:r w:rsidR="00597510" w:rsidRPr="000D4E04">
        <w:rPr>
          <w:rStyle w:val="super"/>
          <w:b w:val="0"/>
        </w:rPr>
        <w:t xml:space="preserve">The platform </w:t>
      </w:r>
      <w:r w:rsidR="00522CDA" w:rsidRPr="000D4E04">
        <w:rPr>
          <w:rStyle w:val="super"/>
          <w:b w:val="0"/>
        </w:rPr>
        <w:t>aimed at</w:t>
      </w:r>
      <w:r w:rsidR="00597510" w:rsidRPr="000D4E04">
        <w:rPr>
          <w:rStyle w:val="super"/>
          <w:b w:val="0"/>
        </w:rPr>
        <w:t xml:space="preserve"> </w:t>
      </w:r>
      <w:r w:rsidR="00053737" w:rsidRPr="000D4E04">
        <w:rPr>
          <w:rStyle w:val="super"/>
          <w:b w:val="0"/>
        </w:rPr>
        <w:t xml:space="preserve">journalists </w:t>
      </w:r>
      <w:r w:rsidR="00306EC8" w:rsidRPr="000D4E04">
        <w:rPr>
          <w:rStyle w:val="super"/>
          <w:b w:val="0"/>
        </w:rPr>
        <w:t xml:space="preserve">interested </w:t>
      </w:r>
      <w:r w:rsidR="00053737" w:rsidRPr="000D4E04">
        <w:rPr>
          <w:rStyle w:val="super"/>
          <w:b w:val="0"/>
        </w:rPr>
        <w:t>in food and farming issues,</w:t>
      </w:r>
      <w:r w:rsidR="00597510" w:rsidRPr="000D4E04">
        <w:rPr>
          <w:rStyle w:val="super"/>
          <w:b w:val="0"/>
        </w:rPr>
        <w:t xml:space="preserve"> </w:t>
      </w:r>
      <w:hyperlink r:id="rId15" w:history="1">
        <w:r w:rsidR="00597510" w:rsidRPr="000D4E04">
          <w:rPr>
            <w:rStyle w:val="super"/>
            <w:b w:val="0"/>
          </w:rPr>
          <w:t>www.Ag-Press.eu</w:t>
        </w:r>
      </w:hyperlink>
      <w:r w:rsidR="00597510" w:rsidRPr="000D4E04">
        <w:rPr>
          <w:rStyle w:val="super"/>
          <w:b w:val="0"/>
        </w:rPr>
        <w:t>,</w:t>
      </w:r>
      <w:r w:rsidR="00D360E9" w:rsidRPr="000D4E04">
        <w:rPr>
          <w:rStyle w:val="super"/>
          <w:b w:val="0"/>
        </w:rPr>
        <w:t xml:space="preserve"> </w:t>
      </w:r>
      <w:r w:rsidR="00AB6BF1" w:rsidRPr="000D4E04">
        <w:rPr>
          <w:rStyle w:val="super"/>
          <w:b w:val="0"/>
        </w:rPr>
        <w:t xml:space="preserve">was </w:t>
      </w:r>
      <w:r w:rsidR="001C4A0E" w:rsidRPr="000D4E04">
        <w:rPr>
          <w:rStyle w:val="super"/>
          <w:b w:val="0"/>
        </w:rPr>
        <w:t xml:space="preserve">further </w:t>
      </w:r>
      <w:r w:rsidR="00AB6BF1" w:rsidRPr="000D4E04">
        <w:rPr>
          <w:rStyle w:val="super"/>
          <w:b w:val="0"/>
        </w:rPr>
        <w:t>enhanced</w:t>
      </w:r>
      <w:r w:rsidR="00597510" w:rsidRPr="000D4E04">
        <w:rPr>
          <w:rStyle w:val="super"/>
          <w:b w:val="0"/>
        </w:rPr>
        <w:t>. The organisation of study visits, seminars and (in 2020) on-line webinars</w:t>
      </w:r>
      <w:r w:rsidR="00053737" w:rsidRPr="000D4E04">
        <w:rPr>
          <w:rStyle w:val="super"/>
          <w:b w:val="0"/>
        </w:rPr>
        <w:t xml:space="preserve"> helped </w:t>
      </w:r>
      <w:r w:rsidR="00597510" w:rsidRPr="000D4E04">
        <w:rPr>
          <w:rStyle w:val="super"/>
          <w:b w:val="0"/>
        </w:rPr>
        <w:t>foster the excha</w:t>
      </w:r>
      <w:r w:rsidR="005B6AF4" w:rsidRPr="000D4E04">
        <w:rPr>
          <w:rStyle w:val="super"/>
          <w:b w:val="0"/>
        </w:rPr>
        <w:t>n</w:t>
      </w:r>
      <w:r w:rsidR="00597510" w:rsidRPr="000D4E04">
        <w:rPr>
          <w:rStyle w:val="super"/>
          <w:b w:val="0"/>
        </w:rPr>
        <w:t>ge of kno</w:t>
      </w:r>
      <w:r w:rsidR="00CE2F27">
        <w:rPr>
          <w:rStyle w:val="super"/>
          <w:b w:val="0"/>
        </w:rPr>
        <w:t>wledge and experience between Ag</w:t>
      </w:r>
      <w:r w:rsidR="00597510" w:rsidRPr="000D4E04">
        <w:rPr>
          <w:rStyle w:val="super"/>
          <w:b w:val="0"/>
        </w:rPr>
        <w:t>-Press members</w:t>
      </w:r>
      <w:r w:rsidR="00053737" w:rsidRPr="000D4E04">
        <w:rPr>
          <w:rStyle w:val="super"/>
          <w:b w:val="0"/>
        </w:rPr>
        <w:t xml:space="preserve">, </w:t>
      </w:r>
      <w:r w:rsidR="005B6AF4" w:rsidRPr="000D4E04">
        <w:rPr>
          <w:rStyle w:val="super"/>
          <w:b w:val="0"/>
        </w:rPr>
        <w:t xml:space="preserve">and deepened their understanding of EU actions </w:t>
      </w:r>
      <w:r w:rsidR="00645A0A" w:rsidRPr="000D4E04">
        <w:rPr>
          <w:rStyle w:val="super"/>
          <w:b w:val="0"/>
        </w:rPr>
        <w:t>in a</w:t>
      </w:r>
      <w:r w:rsidR="005B6AF4" w:rsidRPr="000D4E04">
        <w:rPr>
          <w:rStyle w:val="super"/>
          <w:b w:val="0"/>
        </w:rPr>
        <w:t>griculture and rural areas.</w:t>
      </w:r>
    </w:p>
    <w:p w14:paraId="145EDB99" w14:textId="6A0642A4" w:rsidR="00793AC0" w:rsidRPr="000D4E04" w:rsidRDefault="00645A0A" w:rsidP="005B6AF4">
      <w:pPr>
        <w:pStyle w:val="Style3"/>
        <w:rPr>
          <w:rStyle w:val="super"/>
          <w:b w:val="0"/>
        </w:rPr>
      </w:pPr>
      <w:r w:rsidRPr="000D4E04">
        <w:rPr>
          <w:rStyle w:val="super"/>
          <w:b w:val="0"/>
        </w:rPr>
        <w:t>N</w:t>
      </w:r>
      <w:r w:rsidR="005B6AF4" w:rsidRPr="000D4E04">
        <w:rPr>
          <w:rStyle w:val="super"/>
          <w:b w:val="0"/>
        </w:rPr>
        <w:t xml:space="preserve">etworking activities included the organisation of </w:t>
      </w:r>
      <w:r w:rsidRPr="000D4E04">
        <w:rPr>
          <w:rStyle w:val="super"/>
          <w:b w:val="0"/>
        </w:rPr>
        <w:t>t</w:t>
      </w:r>
      <w:r w:rsidR="005B6AF4" w:rsidRPr="000D4E04">
        <w:rPr>
          <w:rStyle w:val="super"/>
          <w:b w:val="0"/>
        </w:rPr>
        <w:t xml:space="preserve">wo </w:t>
      </w:r>
      <w:r w:rsidRPr="000D4E04">
        <w:rPr>
          <w:rStyle w:val="super"/>
          <w:b w:val="0"/>
        </w:rPr>
        <w:t>study</w:t>
      </w:r>
      <w:r w:rsidR="005B6AF4" w:rsidRPr="000D4E04">
        <w:rPr>
          <w:rStyle w:val="super"/>
          <w:b w:val="0"/>
        </w:rPr>
        <w:t xml:space="preserve"> trips to Romania</w:t>
      </w:r>
      <w:r w:rsidRPr="000D4E04">
        <w:rPr>
          <w:rStyle w:val="super"/>
          <w:b w:val="0"/>
        </w:rPr>
        <w:t>,</w:t>
      </w:r>
      <w:r w:rsidR="005B6AF4" w:rsidRPr="000D4E04">
        <w:rPr>
          <w:rStyle w:val="super"/>
          <w:b w:val="0"/>
        </w:rPr>
        <w:t xml:space="preserve"> and Finland</w:t>
      </w:r>
      <w:r w:rsidR="002468FF" w:rsidRPr="000D4E04">
        <w:rPr>
          <w:rStyle w:val="super"/>
          <w:b w:val="0"/>
        </w:rPr>
        <w:t xml:space="preserve"> </w:t>
      </w:r>
      <w:r w:rsidRPr="000D4E04">
        <w:rPr>
          <w:rStyle w:val="super"/>
          <w:b w:val="0"/>
        </w:rPr>
        <w:t>during the</w:t>
      </w:r>
      <w:r w:rsidR="00B00AAB" w:rsidRPr="000D4E04">
        <w:rPr>
          <w:rStyle w:val="super"/>
          <w:b w:val="0"/>
        </w:rPr>
        <w:t xml:space="preserve">ir </w:t>
      </w:r>
      <w:r w:rsidRPr="000D4E04">
        <w:rPr>
          <w:rStyle w:val="super"/>
          <w:b w:val="0"/>
        </w:rPr>
        <w:t>Presidenc</w:t>
      </w:r>
      <w:r w:rsidR="00B00AAB" w:rsidRPr="000D4E04">
        <w:rPr>
          <w:rStyle w:val="super"/>
          <w:b w:val="0"/>
        </w:rPr>
        <w:t xml:space="preserve">ies </w:t>
      </w:r>
      <w:r w:rsidRPr="000D4E04">
        <w:rPr>
          <w:rStyle w:val="super"/>
          <w:b w:val="0"/>
        </w:rPr>
        <w:t>of the EU</w:t>
      </w:r>
      <w:r w:rsidR="002468FF" w:rsidRPr="000D4E04">
        <w:rPr>
          <w:rStyle w:val="super"/>
          <w:b w:val="0"/>
        </w:rPr>
        <w:t xml:space="preserve"> in 2019</w:t>
      </w:r>
      <w:r w:rsidR="00AB6BF1" w:rsidRPr="000D4E04">
        <w:rPr>
          <w:rStyle w:val="super"/>
          <w:b w:val="0"/>
        </w:rPr>
        <w:t>.</w:t>
      </w:r>
      <w:r w:rsidR="00895447" w:rsidRPr="000D4E04">
        <w:rPr>
          <w:rStyle w:val="super"/>
          <w:b w:val="0"/>
        </w:rPr>
        <w:t xml:space="preserve"> </w:t>
      </w:r>
      <w:r w:rsidR="009226D7" w:rsidRPr="000D4E04">
        <w:rPr>
          <w:rStyle w:val="super"/>
          <w:b w:val="0"/>
        </w:rPr>
        <w:t xml:space="preserve">The study trip to the Cluj region of Romania included </w:t>
      </w:r>
      <w:r w:rsidR="00C0201E" w:rsidRPr="000D4E04">
        <w:rPr>
          <w:rStyle w:val="super"/>
          <w:b w:val="0"/>
        </w:rPr>
        <w:t xml:space="preserve">expert </w:t>
      </w:r>
      <w:r w:rsidR="009226D7" w:rsidRPr="000D4E04">
        <w:rPr>
          <w:rStyle w:val="super"/>
          <w:b w:val="0"/>
        </w:rPr>
        <w:t>bri</w:t>
      </w:r>
      <w:r w:rsidR="00C0201E" w:rsidRPr="000D4E04">
        <w:rPr>
          <w:rStyle w:val="super"/>
          <w:b w:val="0"/>
        </w:rPr>
        <w:t>e</w:t>
      </w:r>
      <w:r w:rsidR="009226D7" w:rsidRPr="000D4E04">
        <w:rPr>
          <w:rStyle w:val="super"/>
          <w:b w:val="0"/>
        </w:rPr>
        <w:t>fings</w:t>
      </w:r>
      <w:r w:rsidR="00A335A5" w:rsidRPr="000D4E04">
        <w:rPr>
          <w:rStyle w:val="super"/>
          <w:b w:val="0"/>
        </w:rPr>
        <w:t>,</w:t>
      </w:r>
      <w:r w:rsidR="009226D7" w:rsidRPr="000D4E04">
        <w:rPr>
          <w:rStyle w:val="super"/>
          <w:b w:val="0"/>
        </w:rPr>
        <w:t xml:space="preserve"> </w:t>
      </w:r>
      <w:r w:rsidR="00A335A5" w:rsidRPr="000D4E04">
        <w:rPr>
          <w:rStyle w:val="super"/>
          <w:b w:val="0"/>
        </w:rPr>
        <w:t xml:space="preserve">and visits to arable and wine enterprises, </w:t>
      </w:r>
      <w:r w:rsidR="00500AC6" w:rsidRPr="000D4E04">
        <w:rPr>
          <w:rStyle w:val="super"/>
          <w:b w:val="0"/>
        </w:rPr>
        <w:t xml:space="preserve">which demonstrated </w:t>
      </w:r>
      <w:r w:rsidR="00C0201E" w:rsidRPr="000D4E04">
        <w:rPr>
          <w:rStyle w:val="super"/>
          <w:b w:val="0"/>
        </w:rPr>
        <w:t xml:space="preserve">the role of </w:t>
      </w:r>
      <w:r w:rsidR="00BD2C0C" w:rsidRPr="000D4E04">
        <w:rPr>
          <w:rStyle w:val="super"/>
          <w:b w:val="0"/>
        </w:rPr>
        <w:t xml:space="preserve">modern </w:t>
      </w:r>
      <w:r w:rsidR="00C0201E" w:rsidRPr="000D4E04">
        <w:rPr>
          <w:rStyle w:val="super"/>
          <w:b w:val="0"/>
        </w:rPr>
        <w:t>technology in</w:t>
      </w:r>
      <w:r w:rsidR="00A335A5" w:rsidRPr="000D4E04">
        <w:rPr>
          <w:rStyle w:val="super"/>
          <w:b w:val="0"/>
        </w:rPr>
        <w:t xml:space="preserve"> their </w:t>
      </w:r>
      <w:r w:rsidR="005B3503" w:rsidRPr="000D4E04">
        <w:rPr>
          <w:rStyle w:val="super"/>
          <w:b w:val="0"/>
        </w:rPr>
        <w:t>achievements</w:t>
      </w:r>
      <w:r w:rsidR="009226D7" w:rsidRPr="000D4E04">
        <w:rPr>
          <w:rStyle w:val="super"/>
          <w:b w:val="0"/>
        </w:rPr>
        <w:t xml:space="preserve">. </w:t>
      </w:r>
      <w:r w:rsidR="00C0201E" w:rsidRPr="000D4E04">
        <w:rPr>
          <w:rStyle w:val="super"/>
          <w:b w:val="0"/>
        </w:rPr>
        <w:t xml:space="preserve">The rich </w:t>
      </w:r>
      <w:r w:rsidR="00A335A5" w:rsidRPr="000D4E04">
        <w:rPr>
          <w:rStyle w:val="super"/>
          <w:b w:val="0"/>
        </w:rPr>
        <w:t xml:space="preserve">traditional </w:t>
      </w:r>
      <w:r w:rsidR="00C0201E" w:rsidRPr="000D4E04">
        <w:rPr>
          <w:rStyle w:val="super"/>
          <w:b w:val="0"/>
        </w:rPr>
        <w:t>cheese making heritage of the region</w:t>
      </w:r>
      <w:r w:rsidR="009226D7" w:rsidRPr="000D4E04">
        <w:rPr>
          <w:rStyle w:val="super"/>
          <w:b w:val="0"/>
        </w:rPr>
        <w:t xml:space="preserve"> </w:t>
      </w:r>
      <w:r w:rsidR="00A335A5" w:rsidRPr="000D4E04">
        <w:rPr>
          <w:rStyle w:val="super"/>
          <w:b w:val="0"/>
        </w:rPr>
        <w:t>and its success on the EU market</w:t>
      </w:r>
      <w:r w:rsidR="008B143E" w:rsidRPr="000D4E04">
        <w:rPr>
          <w:rStyle w:val="super"/>
          <w:b w:val="0"/>
        </w:rPr>
        <w:t xml:space="preserve">, </w:t>
      </w:r>
      <w:r w:rsidR="00A335A5" w:rsidRPr="000D4E04">
        <w:rPr>
          <w:rStyle w:val="super"/>
          <w:b w:val="0"/>
        </w:rPr>
        <w:t xml:space="preserve">supported by </w:t>
      </w:r>
      <w:r w:rsidR="005B3503" w:rsidRPr="000D4E04">
        <w:rPr>
          <w:rStyle w:val="super"/>
          <w:b w:val="0"/>
        </w:rPr>
        <w:t xml:space="preserve">use of </w:t>
      </w:r>
      <w:r w:rsidR="00500AC6" w:rsidRPr="000D4E04">
        <w:rPr>
          <w:rStyle w:val="super"/>
          <w:b w:val="0"/>
        </w:rPr>
        <w:t>modern marketing techniques,</w:t>
      </w:r>
      <w:r w:rsidR="00A335A5" w:rsidRPr="000D4E04">
        <w:rPr>
          <w:rStyle w:val="super"/>
          <w:b w:val="0"/>
        </w:rPr>
        <w:t xml:space="preserve"> was also </w:t>
      </w:r>
      <w:r w:rsidR="009226D7" w:rsidRPr="000D4E04">
        <w:rPr>
          <w:rStyle w:val="super"/>
          <w:b w:val="0"/>
        </w:rPr>
        <w:t>showcased</w:t>
      </w:r>
      <w:r w:rsidR="008B143E" w:rsidRPr="000D4E04">
        <w:rPr>
          <w:rStyle w:val="super"/>
          <w:b w:val="0"/>
        </w:rPr>
        <w:t>. Another highlight</w:t>
      </w:r>
      <w:r w:rsidR="00A335A5" w:rsidRPr="000D4E04">
        <w:rPr>
          <w:rStyle w:val="super"/>
          <w:b w:val="0"/>
        </w:rPr>
        <w:t xml:space="preserve"> was a commercially successful organic project based on the</w:t>
      </w:r>
      <w:r w:rsidR="009226D7" w:rsidRPr="000D4E04">
        <w:rPr>
          <w:rStyle w:val="super"/>
          <w:b w:val="0"/>
        </w:rPr>
        <w:t xml:space="preserve"> Transylvanian tradition of cold pressing raw seeds</w:t>
      </w:r>
      <w:r w:rsidR="00A335A5" w:rsidRPr="000D4E04">
        <w:rPr>
          <w:rStyle w:val="super"/>
          <w:b w:val="0"/>
        </w:rPr>
        <w:t>.</w:t>
      </w:r>
      <w:r w:rsidR="00B0484B">
        <w:rPr>
          <w:rStyle w:val="super"/>
          <w:b w:val="0"/>
        </w:rPr>
        <w:t xml:space="preserve"> </w:t>
      </w:r>
      <w:r w:rsidR="00895447" w:rsidRPr="000D4E04">
        <w:rPr>
          <w:rStyle w:val="super"/>
          <w:b w:val="0"/>
        </w:rPr>
        <w:t xml:space="preserve">The exchanges with producers and rural entrepreneurs on the ground </w:t>
      </w:r>
      <w:r w:rsidR="00785A3C" w:rsidRPr="000D4E04">
        <w:rPr>
          <w:rStyle w:val="super"/>
          <w:b w:val="0"/>
        </w:rPr>
        <w:t xml:space="preserve">in both Finland and Romania </w:t>
      </w:r>
      <w:r w:rsidR="00895447" w:rsidRPr="000D4E04">
        <w:rPr>
          <w:rStyle w:val="super"/>
          <w:b w:val="0"/>
        </w:rPr>
        <w:t>provided insights into the diversity of farming conditions</w:t>
      </w:r>
      <w:r w:rsidR="00306EC8" w:rsidRPr="000D4E04">
        <w:rPr>
          <w:rStyle w:val="super"/>
          <w:b w:val="0"/>
        </w:rPr>
        <w:t xml:space="preserve"> </w:t>
      </w:r>
      <w:r w:rsidR="00BD2C0C" w:rsidRPr="000D4E04">
        <w:rPr>
          <w:rStyle w:val="super"/>
          <w:b w:val="0"/>
        </w:rPr>
        <w:t xml:space="preserve">in different Member States </w:t>
      </w:r>
      <w:r w:rsidR="00785A3C" w:rsidRPr="000D4E04">
        <w:rPr>
          <w:rStyle w:val="super"/>
          <w:b w:val="0"/>
        </w:rPr>
        <w:t xml:space="preserve">and the challenges they </w:t>
      </w:r>
      <w:r w:rsidR="00BD2C0C" w:rsidRPr="000D4E04">
        <w:rPr>
          <w:rStyle w:val="super"/>
          <w:b w:val="0"/>
        </w:rPr>
        <w:t>face.</w:t>
      </w:r>
    </w:p>
    <w:p w14:paraId="353D8D78" w14:textId="66C2909C" w:rsidR="00895447" w:rsidRPr="000D4E04" w:rsidRDefault="002468FF" w:rsidP="005B6AF4">
      <w:pPr>
        <w:pStyle w:val="Style3"/>
        <w:rPr>
          <w:rStyle w:val="super"/>
          <w:b w:val="0"/>
        </w:rPr>
      </w:pPr>
      <w:r w:rsidRPr="000D4E04">
        <w:rPr>
          <w:rStyle w:val="super"/>
          <w:b w:val="0"/>
        </w:rPr>
        <w:t>In addition,</w:t>
      </w:r>
      <w:r w:rsidR="00793AC0" w:rsidRPr="000D4E04">
        <w:rPr>
          <w:rStyle w:val="super"/>
          <w:b w:val="0"/>
        </w:rPr>
        <w:t xml:space="preserve"> in the first half of 2019,</w:t>
      </w:r>
      <w:r w:rsidR="00895447" w:rsidRPr="000D4E04">
        <w:rPr>
          <w:rStyle w:val="super"/>
          <w:b w:val="0"/>
        </w:rPr>
        <w:t xml:space="preserve"> a seminar was organised for the A</w:t>
      </w:r>
      <w:r w:rsidR="00CE2F27">
        <w:rPr>
          <w:rStyle w:val="super"/>
          <w:b w:val="0"/>
        </w:rPr>
        <w:t>g</w:t>
      </w:r>
      <w:r w:rsidR="00895447" w:rsidRPr="000D4E04">
        <w:rPr>
          <w:rStyle w:val="super"/>
          <w:b w:val="0"/>
        </w:rPr>
        <w:t xml:space="preserve"> Press network</w:t>
      </w:r>
      <w:r w:rsidR="00E51D22" w:rsidRPr="000D4E04">
        <w:rPr>
          <w:rStyle w:val="super"/>
          <w:b w:val="0"/>
        </w:rPr>
        <w:t xml:space="preserve"> </w:t>
      </w:r>
      <w:r w:rsidR="00306EC8" w:rsidRPr="000D4E04">
        <w:rPr>
          <w:rStyle w:val="super"/>
          <w:b w:val="0"/>
        </w:rPr>
        <w:t>as</w:t>
      </w:r>
      <w:r w:rsidR="00895447" w:rsidRPr="000D4E04">
        <w:rPr>
          <w:rStyle w:val="super"/>
          <w:b w:val="0"/>
        </w:rPr>
        <w:t xml:space="preserve"> part of </w:t>
      </w:r>
      <w:r w:rsidR="00793AC0" w:rsidRPr="000D4E04">
        <w:rPr>
          <w:rStyle w:val="super"/>
          <w:b w:val="0"/>
        </w:rPr>
        <w:t>a</w:t>
      </w:r>
      <w:r w:rsidR="00895447" w:rsidRPr="000D4E04">
        <w:rPr>
          <w:rStyle w:val="super"/>
          <w:b w:val="0"/>
        </w:rPr>
        <w:t xml:space="preserve"> sustained </w:t>
      </w:r>
      <w:r w:rsidR="00793AC0" w:rsidRPr="000D4E04">
        <w:rPr>
          <w:rStyle w:val="super"/>
          <w:b w:val="0"/>
        </w:rPr>
        <w:t xml:space="preserve">focus </w:t>
      </w:r>
      <w:r w:rsidR="00895447" w:rsidRPr="000D4E04">
        <w:rPr>
          <w:rStyle w:val="super"/>
          <w:b w:val="0"/>
        </w:rPr>
        <w:t xml:space="preserve">on communicating on </w:t>
      </w:r>
      <w:r w:rsidR="00793AC0" w:rsidRPr="000D4E04">
        <w:rPr>
          <w:rStyle w:val="super"/>
          <w:b w:val="0"/>
        </w:rPr>
        <w:t xml:space="preserve">the </w:t>
      </w:r>
      <w:r w:rsidR="006D0C68" w:rsidRPr="000D4E04">
        <w:rPr>
          <w:rStyle w:val="super"/>
          <w:b w:val="0"/>
        </w:rPr>
        <w:t xml:space="preserve">further </w:t>
      </w:r>
      <w:r w:rsidR="00793AC0" w:rsidRPr="000D4E04">
        <w:rPr>
          <w:rStyle w:val="super"/>
          <w:b w:val="0"/>
        </w:rPr>
        <w:t xml:space="preserve">progress made in the Africa-EU partnership in </w:t>
      </w:r>
      <w:r w:rsidR="006D0C68" w:rsidRPr="000D4E04">
        <w:rPr>
          <w:rStyle w:val="super"/>
          <w:b w:val="0"/>
        </w:rPr>
        <w:t xml:space="preserve">agriculture. </w:t>
      </w:r>
      <w:r w:rsidR="00A71740" w:rsidRPr="000D4E04">
        <w:rPr>
          <w:rStyle w:val="super"/>
          <w:b w:val="0"/>
        </w:rPr>
        <w:t>This followed the milestone third African Union – European Union agricultural ministerial conference in June 2019</w:t>
      </w:r>
      <w:r w:rsidR="006D0C68" w:rsidRPr="000D4E04">
        <w:rPr>
          <w:rStyle w:val="super"/>
          <w:b w:val="0"/>
        </w:rPr>
        <w:t xml:space="preserve"> which, for the first time, endorsed a Political Declaration, accompanied by an action agenda, with the overall aim of further strengthening cooperation in food and farming at all levels</w:t>
      </w:r>
      <w:r w:rsidR="00793AC0" w:rsidRPr="000D4E04">
        <w:rPr>
          <w:rStyle w:val="super"/>
          <w:b w:val="0"/>
        </w:rPr>
        <w:t xml:space="preserve">. </w:t>
      </w:r>
      <w:r w:rsidR="00B71EFA">
        <w:rPr>
          <w:rStyle w:val="super"/>
          <w:b w:val="0"/>
        </w:rPr>
        <w:t>This communication effort</w:t>
      </w:r>
      <w:r w:rsidR="00793AC0" w:rsidRPr="000D4E04">
        <w:rPr>
          <w:rStyle w:val="super"/>
          <w:b w:val="0"/>
        </w:rPr>
        <w:t xml:space="preserve"> involved mobilising different tools (press conference with participation of the EU Commissioner for Agriculture and his African Union counterpart, press releases, fact sheets, </w:t>
      </w:r>
      <w:r w:rsidR="00DF4E95" w:rsidRPr="000D4E04">
        <w:rPr>
          <w:rStyle w:val="super"/>
          <w:b w:val="0"/>
        </w:rPr>
        <w:t xml:space="preserve">extensive </w:t>
      </w:r>
      <w:r w:rsidR="00793AC0" w:rsidRPr="000D4E04">
        <w:rPr>
          <w:rStyle w:val="super"/>
          <w:b w:val="0"/>
        </w:rPr>
        <w:t xml:space="preserve">digital and social media </w:t>
      </w:r>
      <w:r w:rsidR="00AB6BF1" w:rsidRPr="000D4E04">
        <w:rPr>
          <w:rStyle w:val="super"/>
          <w:b w:val="0"/>
        </w:rPr>
        <w:t>activity</w:t>
      </w:r>
      <w:r w:rsidR="00DF4E95" w:rsidRPr="000D4E04">
        <w:rPr>
          <w:rStyle w:val="super"/>
          <w:b w:val="0"/>
        </w:rPr>
        <w:t>).</w:t>
      </w:r>
    </w:p>
    <w:p w14:paraId="56516395" w14:textId="5447D581" w:rsidR="005B6AF4" w:rsidRPr="00507003" w:rsidRDefault="00BE0022" w:rsidP="00F02FC9">
      <w:pPr>
        <w:jc w:val="both"/>
        <w:rPr>
          <w:rStyle w:val="super"/>
          <w:noProof/>
        </w:rPr>
      </w:pPr>
      <w:r w:rsidRPr="00507003">
        <w:rPr>
          <w:rStyle w:val="super"/>
          <w:noProof/>
        </w:rPr>
        <w:t>In</w:t>
      </w:r>
      <w:r w:rsidR="00D0285D" w:rsidRPr="00507003">
        <w:rPr>
          <w:rStyle w:val="super"/>
          <w:noProof/>
        </w:rPr>
        <w:t xml:space="preserve"> 2020, due to </w:t>
      </w:r>
      <w:r w:rsidR="001C4A0E" w:rsidRPr="00507003">
        <w:rPr>
          <w:rStyle w:val="super"/>
          <w:noProof/>
        </w:rPr>
        <w:t xml:space="preserve">the </w:t>
      </w:r>
      <w:r w:rsidR="005B6AF4" w:rsidRPr="00507003">
        <w:rPr>
          <w:rStyle w:val="super"/>
          <w:noProof/>
        </w:rPr>
        <w:t>pandemic</w:t>
      </w:r>
      <w:r w:rsidR="00A149DA" w:rsidRPr="00507003">
        <w:rPr>
          <w:rStyle w:val="super"/>
          <w:noProof/>
        </w:rPr>
        <w:t xml:space="preserve"> </w:t>
      </w:r>
      <w:r w:rsidR="001C4A0E" w:rsidRPr="00507003">
        <w:rPr>
          <w:rStyle w:val="super"/>
          <w:noProof/>
        </w:rPr>
        <w:t>restrictions</w:t>
      </w:r>
      <w:r w:rsidR="005B6AF4" w:rsidRPr="00507003">
        <w:rPr>
          <w:rStyle w:val="super"/>
          <w:noProof/>
        </w:rPr>
        <w:t xml:space="preserve">, no press trips </w:t>
      </w:r>
      <w:r w:rsidRPr="00507003">
        <w:rPr>
          <w:rStyle w:val="super"/>
          <w:noProof/>
        </w:rPr>
        <w:t>took place.</w:t>
      </w:r>
      <w:r w:rsidR="00D0285D" w:rsidRPr="00507003">
        <w:rPr>
          <w:rStyle w:val="super"/>
          <w:noProof/>
        </w:rPr>
        <w:t xml:space="preserve"> </w:t>
      </w:r>
      <w:r w:rsidR="005B6AF4" w:rsidRPr="00507003">
        <w:rPr>
          <w:rStyle w:val="super"/>
          <w:noProof/>
        </w:rPr>
        <w:t xml:space="preserve">However, three Ag-Press webinars </w:t>
      </w:r>
      <w:r w:rsidR="00B00AAB" w:rsidRPr="00507003">
        <w:rPr>
          <w:rStyle w:val="super"/>
          <w:noProof/>
        </w:rPr>
        <w:t xml:space="preserve">were organised </w:t>
      </w:r>
      <w:r w:rsidR="003653B6" w:rsidRPr="00507003">
        <w:rPr>
          <w:rStyle w:val="super"/>
          <w:noProof/>
        </w:rPr>
        <w:t>to highlight key</w:t>
      </w:r>
      <w:r w:rsidR="001E5D95" w:rsidRPr="00507003">
        <w:rPr>
          <w:rStyle w:val="super"/>
          <w:noProof/>
        </w:rPr>
        <w:t xml:space="preserve"> </w:t>
      </w:r>
      <w:r w:rsidR="00292FDC" w:rsidRPr="00507003">
        <w:rPr>
          <w:rStyle w:val="super"/>
          <w:noProof/>
        </w:rPr>
        <w:t xml:space="preserve">EU </w:t>
      </w:r>
      <w:r w:rsidR="001018DF" w:rsidRPr="00507003">
        <w:rPr>
          <w:rStyle w:val="super"/>
          <w:noProof/>
        </w:rPr>
        <w:t xml:space="preserve">policy priorities. </w:t>
      </w:r>
      <w:r w:rsidR="0019415D" w:rsidRPr="00507003">
        <w:rPr>
          <w:rStyle w:val="super"/>
          <w:noProof/>
        </w:rPr>
        <w:t>The extensive Covid-related EU support measures were the subject of the first webinar (20 May)</w:t>
      </w:r>
      <w:r w:rsidR="00836264" w:rsidRPr="00507003">
        <w:rPr>
          <w:rStyle w:val="super"/>
          <w:noProof/>
        </w:rPr>
        <w:t>; t</w:t>
      </w:r>
      <w:r w:rsidR="0019415D" w:rsidRPr="00507003">
        <w:rPr>
          <w:rStyle w:val="super"/>
          <w:noProof/>
        </w:rPr>
        <w:t xml:space="preserve">his focussed, in particular, on the diverse measures adopted to ensure that EU wide supply chains continued to operate, and </w:t>
      </w:r>
      <w:r w:rsidR="00836264" w:rsidRPr="00507003">
        <w:rPr>
          <w:rStyle w:val="super"/>
          <w:noProof/>
        </w:rPr>
        <w:t>EU</w:t>
      </w:r>
      <w:r w:rsidR="0019415D" w:rsidRPr="00507003">
        <w:rPr>
          <w:rStyle w:val="super"/>
          <w:noProof/>
        </w:rPr>
        <w:t xml:space="preserve"> support to SMEs, farmers and rural areas to </w:t>
      </w:r>
      <w:r w:rsidR="00836264" w:rsidRPr="00507003">
        <w:rPr>
          <w:rStyle w:val="super"/>
          <w:noProof/>
        </w:rPr>
        <w:t xml:space="preserve">help </w:t>
      </w:r>
      <w:r w:rsidR="0019415D" w:rsidRPr="00507003">
        <w:rPr>
          <w:rStyle w:val="super"/>
          <w:noProof/>
        </w:rPr>
        <w:t xml:space="preserve">mitigate the effects of the crisis. The second webinar </w:t>
      </w:r>
      <w:r w:rsidR="00306EC8" w:rsidRPr="00507003">
        <w:rPr>
          <w:rStyle w:val="super"/>
          <w:noProof/>
        </w:rPr>
        <w:t xml:space="preserve">marked </w:t>
      </w:r>
      <w:r w:rsidR="00494413" w:rsidRPr="00507003">
        <w:rPr>
          <w:rStyle w:val="super"/>
          <w:noProof/>
        </w:rPr>
        <w:t>the adoption of</w:t>
      </w:r>
      <w:r w:rsidR="00D0285D" w:rsidRPr="00507003">
        <w:rPr>
          <w:rStyle w:val="super"/>
          <w:noProof/>
        </w:rPr>
        <w:t xml:space="preserve"> the Farm to Fork strategy</w:t>
      </w:r>
      <w:r w:rsidR="0019415D" w:rsidRPr="00507003">
        <w:rPr>
          <w:rStyle w:val="super"/>
          <w:noProof/>
        </w:rPr>
        <w:t xml:space="preserve"> (20 May)</w:t>
      </w:r>
      <w:r w:rsidR="00494413" w:rsidRPr="00507003">
        <w:rPr>
          <w:rStyle w:val="super"/>
          <w:noProof/>
        </w:rPr>
        <w:t>,</w:t>
      </w:r>
      <w:r w:rsidR="00D0285D" w:rsidRPr="00507003">
        <w:rPr>
          <w:rStyle w:val="super"/>
          <w:noProof/>
        </w:rPr>
        <w:t xml:space="preserve"> with the participation of </w:t>
      </w:r>
      <w:r w:rsidR="00417BC1" w:rsidRPr="00507003">
        <w:rPr>
          <w:rStyle w:val="super"/>
          <w:noProof/>
        </w:rPr>
        <w:t>Mr Janusz Wojciechowski,</w:t>
      </w:r>
      <w:r w:rsidR="00D0285D" w:rsidRPr="00507003">
        <w:rPr>
          <w:rStyle w:val="super"/>
          <w:noProof/>
        </w:rPr>
        <w:t xml:space="preserve"> Commissioner for Agriculture and </w:t>
      </w:r>
      <w:r w:rsidR="00BD2C0C" w:rsidRPr="00507003">
        <w:rPr>
          <w:rStyle w:val="super"/>
          <w:noProof/>
        </w:rPr>
        <w:t>R</w:t>
      </w:r>
      <w:r w:rsidR="00D0285D" w:rsidRPr="00507003">
        <w:rPr>
          <w:rStyle w:val="super"/>
          <w:noProof/>
        </w:rPr>
        <w:t xml:space="preserve">ural </w:t>
      </w:r>
      <w:r w:rsidR="00BD2C0C" w:rsidRPr="00507003">
        <w:rPr>
          <w:rStyle w:val="super"/>
          <w:noProof/>
        </w:rPr>
        <w:t>D</w:t>
      </w:r>
      <w:r w:rsidR="00D0285D" w:rsidRPr="00507003">
        <w:rPr>
          <w:rStyle w:val="super"/>
          <w:noProof/>
        </w:rPr>
        <w:t xml:space="preserve">evelopment and </w:t>
      </w:r>
      <w:r w:rsidR="00417BC1" w:rsidRPr="00507003">
        <w:rPr>
          <w:rStyle w:val="super"/>
          <w:noProof/>
        </w:rPr>
        <w:t>Ms Stella Kyriakides,</w:t>
      </w:r>
      <w:r w:rsidR="00D0285D" w:rsidRPr="00507003">
        <w:rPr>
          <w:rStyle w:val="super"/>
          <w:noProof/>
        </w:rPr>
        <w:t xml:space="preserve"> Commissioner for </w:t>
      </w:r>
      <w:r w:rsidR="00A149DA" w:rsidRPr="00507003">
        <w:rPr>
          <w:rStyle w:val="super"/>
          <w:noProof/>
        </w:rPr>
        <w:t>H</w:t>
      </w:r>
      <w:r w:rsidR="00D0285D" w:rsidRPr="00507003">
        <w:rPr>
          <w:rStyle w:val="super"/>
          <w:noProof/>
        </w:rPr>
        <w:t xml:space="preserve">ealth and </w:t>
      </w:r>
      <w:r w:rsidR="00A149DA" w:rsidRPr="00507003">
        <w:rPr>
          <w:rStyle w:val="super"/>
          <w:noProof/>
        </w:rPr>
        <w:t>F</w:t>
      </w:r>
      <w:r w:rsidR="00D0285D" w:rsidRPr="00507003">
        <w:rPr>
          <w:rStyle w:val="super"/>
          <w:noProof/>
        </w:rPr>
        <w:t>ood Safety</w:t>
      </w:r>
      <w:r w:rsidR="00494413" w:rsidRPr="00507003">
        <w:rPr>
          <w:rStyle w:val="super"/>
          <w:noProof/>
        </w:rPr>
        <w:t>. Th</w:t>
      </w:r>
      <w:r w:rsidR="00CC52FD" w:rsidRPr="00507003">
        <w:rPr>
          <w:rStyle w:val="super"/>
          <w:noProof/>
        </w:rPr>
        <w:t>is</w:t>
      </w:r>
      <w:r w:rsidR="001941AB" w:rsidRPr="00507003">
        <w:rPr>
          <w:rStyle w:val="super"/>
          <w:noProof/>
        </w:rPr>
        <w:t xml:space="preserve"> </w:t>
      </w:r>
      <w:r w:rsidR="00CC52FD" w:rsidRPr="00507003">
        <w:rPr>
          <w:rStyle w:val="super"/>
          <w:noProof/>
        </w:rPr>
        <w:t>event</w:t>
      </w:r>
      <w:r w:rsidR="001941AB" w:rsidRPr="00507003">
        <w:rPr>
          <w:rStyle w:val="super"/>
          <w:noProof/>
        </w:rPr>
        <w:t xml:space="preserve"> </w:t>
      </w:r>
      <w:r w:rsidR="003653B6" w:rsidRPr="00507003">
        <w:rPr>
          <w:rStyle w:val="super"/>
          <w:noProof/>
        </w:rPr>
        <w:t>addressed</w:t>
      </w:r>
      <w:r w:rsidR="00D0285D" w:rsidRPr="00507003">
        <w:rPr>
          <w:rStyle w:val="super"/>
          <w:noProof/>
        </w:rPr>
        <w:t xml:space="preserve"> </w:t>
      </w:r>
      <w:r w:rsidR="001941AB" w:rsidRPr="00507003">
        <w:rPr>
          <w:rStyle w:val="super"/>
          <w:noProof/>
        </w:rPr>
        <w:t>sustainabil</w:t>
      </w:r>
      <w:r w:rsidR="00ED3308" w:rsidRPr="00507003">
        <w:rPr>
          <w:rStyle w:val="super"/>
          <w:noProof/>
        </w:rPr>
        <w:t>it</w:t>
      </w:r>
      <w:r w:rsidR="001941AB" w:rsidRPr="00507003">
        <w:rPr>
          <w:rStyle w:val="super"/>
          <w:noProof/>
        </w:rPr>
        <w:t xml:space="preserve">y </w:t>
      </w:r>
      <w:r w:rsidR="00D0285D" w:rsidRPr="00507003">
        <w:rPr>
          <w:rStyle w:val="super"/>
          <w:noProof/>
        </w:rPr>
        <w:t xml:space="preserve">and the </w:t>
      </w:r>
      <w:r w:rsidR="00494413" w:rsidRPr="00507003">
        <w:rPr>
          <w:rStyle w:val="super"/>
          <w:noProof/>
        </w:rPr>
        <w:t xml:space="preserve">role of the </w:t>
      </w:r>
      <w:r w:rsidR="00D0285D" w:rsidRPr="00507003">
        <w:rPr>
          <w:rStyle w:val="super"/>
          <w:noProof/>
        </w:rPr>
        <w:t>future CAP</w:t>
      </w:r>
      <w:r w:rsidR="001941AB" w:rsidRPr="00507003">
        <w:rPr>
          <w:rStyle w:val="super"/>
          <w:noProof/>
        </w:rPr>
        <w:t xml:space="preserve"> in achieving </w:t>
      </w:r>
      <w:r w:rsidR="00ED3308" w:rsidRPr="00507003">
        <w:rPr>
          <w:rStyle w:val="super"/>
          <w:noProof/>
        </w:rPr>
        <w:t>sustainable food sy</w:t>
      </w:r>
      <w:r w:rsidR="00AB6BF1" w:rsidRPr="00507003">
        <w:rPr>
          <w:rStyle w:val="super"/>
          <w:noProof/>
        </w:rPr>
        <w:t>s</w:t>
      </w:r>
      <w:r w:rsidR="00ED3308" w:rsidRPr="00507003">
        <w:rPr>
          <w:rStyle w:val="super"/>
          <w:noProof/>
        </w:rPr>
        <w:t>tems.</w:t>
      </w:r>
      <w:r w:rsidR="00417BC1" w:rsidRPr="00507003">
        <w:rPr>
          <w:rStyle w:val="super"/>
          <w:noProof/>
        </w:rPr>
        <w:t xml:space="preserve"> </w:t>
      </w:r>
      <w:r w:rsidR="0019415D" w:rsidRPr="00507003">
        <w:rPr>
          <w:rStyle w:val="super"/>
          <w:noProof/>
        </w:rPr>
        <w:t>T</w:t>
      </w:r>
      <w:r w:rsidR="00D0285D" w:rsidRPr="00507003">
        <w:rPr>
          <w:rStyle w:val="super"/>
          <w:noProof/>
        </w:rPr>
        <w:t xml:space="preserve">he </w:t>
      </w:r>
      <w:r w:rsidR="00494413" w:rsidRPr="00507003">
        <w:rPr>
          <w:rStyle w:val="super"/>
          <w:noProof/>
        </w:rPr>
        <w:t>issue</w:t>
      </w:r>
      <w:r w:rsidR="00CE2F27">
        <w:rPr>
          <w:rStyle w:val="super"/>
          <w:noProof/>
        </w:rPr>
        <w:t>s</w:t>
      </w:r>
      <w:r w:rsidR="00494413" w:rsidRPr="00507003">
        <w:rPr>
          <w:rStyle w:val="super"/>
          <w:noProof/>
        </w:rPr>
        <w:t xml:space="preserve"> of </w:t>
      </w:r>
      <w:r w:rsidR="00A149DA" w:rsidRPr="00507003">
        <w:rPr>
          <w:rStyle w:val="super"/>
          <w:noProof/>
        </w:rPr>
        <w:t xml:space="preserve">innovation and </w:t>
      </w:r>
      <w:r w:rsidR="00494413" w:rsidRPr="00507003">
        <w:rPr>
          <w:rStyle w:val="super"/>
          <w:noProof/>
        </w:rPr>
        <w:t xml:space="preserve">generational renewal </w:t>
      </w:r>
      <w:r w:rsidR="001941AB" w:rsidRPr="00507003">
        <w:rPr>
          <w:rStyle w:val="super"/>
          <w:noProof/>
        </w:rPr>
        <w:t xml:space="preserve">in farming </w:t>
      </w:r>
      <w:r w:rsidR="00494413" w:rsidRPr="00507003">
        <w:rPr>
          <w:rStyle w:val="super"/>
          <w:noProof/>
        </w:rPr>
        <w:t>w</w:t>
      </w:r>
      <w:r w:rsidR="00CE2F27">
        <w:rPr>
          <w:rStyle w:val="super"/>
          <w:noProof/>
        </w:rPr>
        <w:t>ere</w:t>
      </w:r>
      <w:r w:rsidR="00494413" w:rsidRPr="00507003">
        <w:rPr>
          <w:rStyle w:val="super"/>
          <w:noProof/>
        </w:rPr>
        <w:t xml:space="preserve"> </w:t>
      </w:r>
      <w:r w:rsidR="003653B6" w:rsidRPr="00507003">
        <w:rPr>
          <w:rStyle w:val="super"/>
          <w:noProof/>
        </w:rPr>
        <w:t>the subject of</w:t>
      </w:r>
      <w:r w:rsidR="00494413" w:rsidRPr="00507003">
        <w:rPr>
          <w:rStyle w:val="super"/>
          <w:noProof/>
        </w:rPr>
        <w:t xml:space="preserve"> </w:t>
      </w:r>
      <w:r w:rsidR="00441ACE" w:rsidRPr="00507003">
        <w:rPr>
          <w:rStyle w:val="super"/>
          <w:noProof/>
        </w:rPr>
        <w:t xml:space="preserve">a third </w:t>
      </w:r>
      <w:r w:rsidR="006900D5" w:rsidRPr="00507003">
        <w:rPr>
          <w:rStyle w:val="super"/>
          <w:noProof/>
        </w:rPr>
        <w:t>webinar</w:t>
      </w:r>
      <w:r w:rsidR="0019415D" w:rsidRPr="00507003">
        <w:rPr>
          <w:rStyle w:val="super"/>
          <w:noProof/>
        </w:rPr>
        <w:t xml:space="preserve"> (15 December)</w:t>
      </w:r>
      <w:r w:rsidR="00494413" w:rsidRPr="00507003">
        <w:rPr>
          <w:rStyle w:val="super"/>
          <w:noProof/>
        </w:rPr>
        <w:t>.</w:t>
      </w:r>
      <w:r w:rsidR="00DB0291" w:rsidRPr="00507003">
        <w:rPr>
          <w:rStyle w:val="super"/>
          <w:noProof/>
        </w:rPr>
        <w:t xml:space="preserve"> </w:t>
      </w:r>
      <w:r w:rsidR="00441ACE" w:rsidRPr="00507003">
        <w:rPr>
          <w:rStyle w:val="super"/>
          <w:noProof/>
        </w:rPr>
        <w:t xml:space="preserve">These in-depth exchanges </w:t>
      </w:r>
      <w:r w:rsidR="00CD65ED" w:rsidRPr="00507003">
        <w:rPr>
          <w:rStyle w:val="super"/>
          <w:noProof/>
        </w:rPr>
        <w:t xml:space="preserve">with </w:t>
      </w:r>
      <w:r w:rsidR="00441ACE" w:rsidRPr="00507003">
        <w:rPr>
          <w:rStyle w:val="super"/>
          <w:noProof/>
        </w:rPr>
        <w:t xml:space="preserve">senior </w:t>
      </w:r>
      <w:r w:rsidR="00CD65ED" w:rsidRPr="00507003">
        <w:rPr>
          <w:rStyle w:val="super"/>
          <w:noProof/>
        </w:rPr>
        <w:t>Co</w:t>
      </w:r>
      <w:r w:rsidR="00BD2C0C" w:rsidRPr="00507003">
        <w:rPr>
          <w:rStyle w:val="super"/>
          <w:noProof/>
        </w:rPr>
        <w:t>m</w:t>
      </w:r>
      <w:r w:rsidR="00CD65ED" w:rsidRPr="00507003">
        <w:rPr>
          <w:rStyle w:val="super"/>
          <w:noProof/>
        </w:rPr>
        <w:t xml:space="preserve">mission </w:t>
      </w:r>
      <w:r w:rsidR="00441ACE" w:rsidRPr="00507003">
        <w:rPr>
          <w:rStyle w:val="super"/>
          <w:noProof/>
        </w:rPr>
        <w:t xml:space="preserve">officials </w:t>
      </w:r>
      <w:r w:rsidR="0019415D" w:rsidRPr="00507003">
        <w:rPr>
          <w:rStyle w:val="super"/>
          <w:noProof/>
        </w:rPr>
        <w:t xml:space="preserve">from </w:t>
      </w:r>
      <w:r w:rsidR="00CC52FD" w:rsidRPr="00507003">
        <w:rPr>
          <w:rStyle w:val="super"/>
          <w:noProof/>
        </w:rPr>
        <w:t xml:space="preserve">DG </w:t>
      </w:r>
      <w:r w:rsidR="0019415D" w:rsidRPr="00507003">
        <w:rPr>
          <w:rStyle w:val="super"/>
          <w:noProof/>
        </w:rPr>
        <w:t xml:space="preserve">AGRI and JRC </w:t>
      </w:r>
      <w:r w:rsidR="00441ACE" w:rsidRPr="00507003">
        <w:rPr>
          <w:rStyle w:val="super"/>
          <w:noProof/>
        </w:rPr>
        <w:t xml:space="preserve">helped deepen the understanding of media representatives </w:t>
      </w:r>
      <w:r w:rsidR="00CD65ED" w:rsidRPr="00507003">
        <w:rPr>
          <w:rStyle w:val="super"/>
          <w:noProof/>
        </w:rPr>
        <w:t xml:space="preserve">on these </w:t>
      </w:r>
      <w:r w:rsidR="00BD2C0C" w:rsidRPr="00507003">
        <w:rPr>
          <w:rStyle w:val="super"/>
          <w:noProof/>
        </w:rPr>
        <w:t>crucial</w:t>
      </w:r>
      <w:r w:rsidR="00CD65ED" w:rsidRPr="00507003">
        <w:rPr>
          <w:rStyle w:val="super"/>
          <w:noProof/>
        </w:rPr>
        <w:t xml:space="preserve"> policy issues</w:t>
      </w:r>
      <w:r w:rsidR="00CC52FD" w:rsidRPr="00507003">
        <w:rPr>
          <w:rStyle w:val="super"/>
          <w:noProof/>
        </w:rPr>
        <w:t>,</w:t>
      </w:r>
      <w:r w:rsidR="00AF17E5" w:rsidRPr="00507003">
        <w:rPr>
          <w:rStyle w:val="super"/>
          <w:noProof/>
        </w:rPr>
        <w:t xml:space="preserve"> and allowed </w:t>
      </w:r>
      <w:r w:rsidR="00CC52FD" w:rsidRPr="00507003">
        <w:rPr>
          <w:rStyle w:val="super"/>
          <w:noProof/>
        </w:rPr>
        <w:t>sharing of</w:t>
      </w:r>
      <w:r w:rsidR="00AF17E5" w:rsidRPr="00507003">
        <w:rPr>
          <w:rStyle w:val="super"/>
          <w:noProof/>
        </w:rPr>
        <w:t xml:space="preserve"> embargoed information on the Agricultural Outlook 2020-2030 report and the Farmers of the Future study.</w:t>
      </w:r>
    </w:p>
    <w:p w14:paraId="736CEA78" w14:textId="593EC3AF" w:rsidR="00056ACF" w:rsidRPr="00507003" w:rsidRDefault="00056ACF" w:rsidP="00AB6BF1">
      <w:pPr>
        <w:rPr>
          <w:rStyle w:val="super"/>
          <w:noProof/>
        </w:rPr>
      </w:pPr>
    </w:p>
    <w:p w14:paraId="564A32C5" w14:textId="46F1FC99" w:rsidR="00CD65ED" w:rsidRDefault="001E2F2B" w:rsidP="00CD65ED">
      <w:pPr>
        <w:jc w:val="both"/>
        <w:rPr>
          <w:noProof/>
        </w:rPr>
      </w:pPr>
      <w:r w:rsidRPr="00507003">
        <w:rPr>
          <w:rStyle w:val="super"/>
          <w:noProof/>
        </w:rPr>
        <w:t xml:space="preserve">In the reporting period, DG AGRI continued to develop its social media capacity and </w:t>
      </w:r>
      <w:r w:rsidR="00EE3E20" w:rsidRPr="00507003">
        <w:rPr>
          <w:rStyle w:val="super"/>
          <w:noProof/>
        </w:rPr>
        <w:t>web</w:t>
      </w:r>
      <w:r w:rsidR="00CB6425" w:rsidRPr="00507003">
        <w:rPr>
          <w:rStyle w:val="super"/>
          <w:noProof/>
        </w:rPr>
        <w:t xml:space="preserve"> based communication</w:t>
      </w:r>
      <w:r w:rsidR="00EE3E20" w:rsidRPr="00507003">
        <w:rPr>
          <w:rStyle w:val="super"/>
          <w:noProof/>
        </w:rPr>
        <w:t xml:space="preserve">. </w:t>
      </w:r>
      <w:r w:rsidR="006C3BB9" w:rsidRPr="00507003">
        <w:rPr>
          <w:rStyle w:val="super"/>
          <w:noProof/>
        </w:rPr>
        <w:t>Expanded social media activity helped substantially to raise awareness of the CAP and resulted in increased engagement rates with key target audiences</w:t>
      </w:r>
      <w:r w:rsidR="00BC78CC" w:rsidRPr="00507003">
        <w:rPr>
          <w:rStyle w:val="super"/>
          <w:noProof/>
        </w:rPr>
        <w:t>.</w:t>
      </w:r>
      <w:r w:rsidRPr="00507003">
        <w:rPr>
          <w:rStyle w:val="super"/>
          <w:noProof/>
        </w:rPr>
        <w:t xml:space="preserve"> It </w:t>
      </w:r>
      <w:r w:rsidR="00417BC1" w:rsidRPr="00507003">
        <w:rPr>
          <w:rStyle w:val="super"/>
          <w:noProof/>
        </w:rPr>
        <w:t>led to</w:t>
      </w:r>
      <w:r w:rsidR="00707AF5" w:rsidRPr="00507003">
        <w:rPr>
          <w:rStyle w:val="super"/>
          <w:noProof/>
        </w:rPr>
        <w:t xml:space="preserve"> </w:t>
      </w:r>
      <w:r w:rsidRPr="00507003">
        <w:rPr>
          <w:rStyle w:val="super"/>
          <w:noProof/>
        </w:rPr>
        <w:t xml:space="preserve">more efficient and effective dissemination of messages across all platforms, ensuring regular coverage of a wide variety of topics. In parallel, improved tracking and monitoring of online content performance </w:t>
      </w:r>
      <w:r w:rsidR="001C4A0E" w:rsidRPr="00507003">
        <w:rPr>
          <w:rStyle w:val="super"/>
          <w:noProof/>
        </w:rPr>
        <w:t>facilitated</w:t>
      </w:r>
      <w:r w:rsidRPr="00507003">
        <w:rPr>
          <w:rStyle w:val="super"/>
          <w:noProof/>
        </w:rPr>
        <w:t xml:space="preserve"> making the necessary adjustments to ensure timely appropriate messaging for audiences; it also </w:t>
      </w:r>
      <w:r w:rsidR="006900D5" w:rsidRPr="00507003">
        <w:rPr>
          <w:rStyle w:val="super"/>
          <w:noProof/>
        </w:rPr>
        <w:t>generated</w:t>
      </w:r>
      <w:r w:rsidRPr="00507003">
        <w:rPr>
          <w:rStyle w:val="super"/>
          <w:noProof/>
        </w:rPr>
        <w:t xml:space="preserve"> faster and more effective response</w:t>
      </w:r>
      <w:r w:rsidR="00707AF5" w:rsidRPr="00507003">
        <w:rPr>
          <w:rStyle w:val="super"/>
          <w:noProof/>
        </w:rPr>
        <w:t>s</w:t>
      </w:r>
      <w:r w:rsidRPr="00507003">
        <w:rPr>
          <w:rStyle w:val="super"/>
          <w:noProof/>
        </w:rPr>
        <w:t xml:space="preserve"> to followers.</w:t>
      </w:r>
      <w:r w:rsidR="006D0C68" w:rsidRPr="00507003">
        <w:rPr>
          <w:rStyle w:val="super"/>
          <w:noProof/>
        </w:rPr>
        <w:t xml:space="preserve"> </w:t>
      </w:r>
      <w:r w:rsidR="00E95D90" w:rsidRPr="00507003">
        <w:rPr>
          <w:rStyle w:val="super"/>
          <w:noProof/>
        </w:rPr>
        <w:t xml:space="preserve">Extensive </w:t>
      </w:r>
      <w:r w:rsidR="00D92110" w:rsidRPr="00507003">
        <w:rPr>
          <w:rStyle w:val="super"/>
          <w:noProof/>
        </w:rPr>
        <w:t xml:space="preserve">user-friendly </w:t>
      </w:r>
      <w:r w:rsidR="00E95D90" w:rsidRPr="00507003">
        <w:rPr>
          <w:rStyle w:val="super"/>
          <w:noProof/>
        </w:rPr>
        <w:t>communication material developed for web and social media helped raise awareness of the</w:t>
      </w:r>
      <w:r w:rsidR="00707AF5" w:rsidRPr="00507003">
        <w:rPr>
          <w:rStyle w:val="super"/>
          <w:noProof/>
        </w:rPr>
        <w:t xml:space="preserve"> role of the CAP in meeting the Green Deal</w:t>
      </w:r>
      <w:r w:rsidR="00E95D90" w:rsidRPr="00507003">
        <w:rPr>
          <w:rStyle w:val="super"/>
          <w:noProof/>
        </w:rPr>
        <w:t xml:space="preserve"> </w:t>
      </w:r>
      <w:r w:rsidR="00707AF5" w:rsidRPr="00507003">
        <w:rPr>
          <w:rStyle w:val="super"/>
          <w:noProof/>
        </w:rPr>
        <w:t xml:space="preserve">priorities, and the </w:t>
      </w:r>
      <w:r w:rsidR="00E95D90" w:rsidRPr="00507003">
        <w:rPr>
          <w:rStyle w:val="super"/>
          <w:noProof/>
        </w:rPr>
        <w:t xml:space="preserve">measures adopted to address </w:t>
      </w:r>
      <w:r w:rsidR="006D0C68" w:rsidRPr="00507003">
        <w:rPr>
          <w:rStyle w:val="super"/>
          <w:noProof/>
        </w:rPr>
        <w:t>th</w:t>
      </w:r>
      <w:r w:rsidR="00702993" w:rsidRPr="00507003">
        <w:rPr>
          <w:rStyle w:val="super"/>
          <w:noProof/>
        </w:rPr>
        <w:t>e COVID</w:t>
      </w:r>
      <w:r w:rsidR="00E95D90" w:rsidRPr="00507003">
        <w:rPr>
          <w:rStyle w:val="super"/>
          <w:noProof/>
        </w:rPr>
        <w:t xml:space="preserve"> 19 crisis in the agro-food sector.</w:t>
      </w:r>
      <w:r w:rsidR="008344B4" w:rsidRPr="00507003">
        <w:rPr>
          <w:rStyle w:val="super"/>
          <w:noProof/>
        </w:rPr>
        <w:t xml:space="preserve"> </w:t>
      </w:r>
      <w:r w:rsidR="00AD3A70" w:rsidRPr="00507003">
        <w:rPr>
          <w:rStyle w:val="super"/>
          <w:noProof/>
        </w:rPr>
        <w:t xml:space="preserve">More </w:t>
      </w:r>
      <w:r w:rsidR="008344B4" w:rsidRPr="00507003">
        <w:rPr>
          <w:rStyle w:val="super"/>
          <w:noProof/>
        </w:rPr>
        <w:t xml:space="preserve">use of </w:t>
      </w:r>
      <w:r w:rsidR="000D4E04" w:rsidRPr="00507003">
        <w:rPr>
          <w:rStyle w:val="super"/>
          <w:noProof/>
        </w:rPr>
        <w:t>audio-visual</w:t>
      </w:r>
      <w:r w:rsidR="008344B4" w:rsidRPr="00507003">
        <w:rPr>
          <w:rStyle w:val="super"/>
          <w:noProof/>
        </w:rPr>
        <w:t xml:space="preserve"> and graphic</w:t>
      </w:r>
      <w:r w:rsidR="006C3BB9" w:rsidRPr="00507003">
        <w:rPr>
          <w:rStyle w:val="super"/>
          <w:noProof/>
        </w:rPr>
        <w:t xml:space="preserve"> tools increased </w:t>
      </w:r>
      <w:r w:rsidR="00AD3A70" w:rsidRPr="00507003">
        <w:rPr>
          <w:rStyle w:val="super"/>
          <w:noProof/>
        </w:rPr>
        <w:t xml:space="preserve">significantly </w:t>
      </w:r>
      <w:r w:rsidR="006C3BB9" w:rsidRPr="00507003">
        <w:rPr>
          <w:rStyle w:val="super"/>
          <w:noProof/>
        </w:rPr>
        <w:t xml:space="preserve">the range and appeal of </w:t>
      </w:r>
      <w:r w:rsidR="00AD3A70" w:rsidRPr="00507003">
        <w:rPr>
          <w:rStyle w:val="super"/>
          <w:noProof/>
        </w:rPr>
        <w:t xml:space="preserve">DG </w:t>
      </w:r>
      <w:r w:rsidR="006C3BB9" w:rsidRPr="00507003">
        <w:rPr>
          <w:rStyle w:val="super"/>
          <w:noProof/>
        </w:rPr>
        <w:t xml:space="preserve">AGRI’s social media </w:t>
      </w:r>
      <w:r w:rsidR="00056ACF" w:rsidRPr="00507003">
        <w:rPr>
          <w:rStyle w:val="super"/>
          <w:noProof/>
        </w:rPr>
        <w:t>communication</w:t>
      </w:r>
      <w:r w:rsidR="00CD65ED" w:rsidRPr="00507003">
        <w:rPr>
          <w:rStyle w:val="super"/>
          <w:noProof/>
        </w:rPr>
        <w:t>.</w:t>
      </w:r>
      <w:r w:rsidR="00707AF5" w:rsidRPr="00507003">
        <w:rPr>
          <w:rStyle w:val="super"/>
          <w:noProof/>
        </w:rPr>
        <w:t xml:space="preserve"> </w:t>
      </w:r>
      <w:r w:rsidR="00CD65ED" w:rsidRPr="00507003">
        <w:rPr>
          <w:rStyle w:val="super"/>
          <w:noProof/>
        </w:rPr>
        <w:t>A</w:t>
      </w:r>
      <w:r w:rsidR="00130CF3" w:rsidRPr="00507003">
        <w:rPr>
          <w:rStyle w:val="super"/>
          <w:noProof/>
        </w:rPr>
        <w:t xml:space="preserve"> </w:t>
      </w:r>
      <w:r w:rsidR="002E536B" w:rsidRPr="00507003">
        <w:rPr>
          <w:rStyle w:val="super"/>
          <w:noProof/>
        </w:rPr>
        <w:t xml:space="preserve">particularly noteworthy example </w:t>
      </w:r>
      <w:r w:rsidR="00130CF3" w:rsidRPr="00507003">
        <w:rPr>
          <w:rStyle w:val="super"/>
          <w:noProof/>
        </w:rPr>
        <w:t>was</w:t>
      </w:r>
      <w:r w:rsidRPr="00507003">
        <w:rPr>
          <w:rStyle w:val="super"/>
          <w:noProof/>
        </w:rPr>
        <w:t xml:space="preserve"> the </w:t>
      </w:r>
      <w:r w:rsidR="00056ACF" w:rsidRPr="00507003">
        <w:rPr>
          <w:rStyle w:val="super"/>
          <w:noProof/>
        </w:rPr>
        <w:t xml:space="preserve">attractive communication </w:t>
      </w:r>
      <w:r w:rsidR="00603318" w:rsidRPr="00507003">
        <w:rPr>
          <w:rStyle w:val="super"/>
          <w:noProof/>
        </w:rPr>
        <w:t xml:space="preserve">campaign developed </w:t>
      </w:r>
      <w:r w:rsidR="00056ACF" w:rsidRPr="00507003">
        <w:rPr>
          <w:rStyle w:val="super"/>
          <w:noProof/>
        </w:rPr>
        <w:t xml:space="preserve">to illustrate </w:t>
      </w:r>
      <w:r w:rsidR="00BE0022" w:rsidRPr="00507003">
        <w:rPr>
          <w:rStyle w:val="super"/>
          <w:noProof/>
        </w:rPr>
        <w:t>g</w:t>
      </w:r>
      <w:r w:rsidR="00BC78CC" w:rsidRPr="00507003">
        <w:rPr>
          <w:rStyle w:val="super"/>
          <w:noProof/>
        </w:rPr>
        <w:t xml:space="preserve">eographical </w:t>
      </w:r>
      <w:r w:rsidR="00BE0022" w:rsidRPr="00507003">
        <w:rPr>
          <w:rStyle w:val="super"/>
          <w:noProof/>
        </w:rPr>
        <w:t>i</w:t>
      </w:r>
      <w:r w:rsidR="00BC78CC" w:rsidRPr="00507003">
        <w:rPr>
          <w:rStyle w:val="super"/>
          <w:noProof/>
        </w:rPr>
        <w:t>ndications</w:t>
      </w:r>
      <w:r w:rsidR="00D92110" w:rsidRPr="00507003">
        <w:rPr>
          <w:rStyle w:val="super"/>
          <w:noProof/>
        </w:rPr>
        <w:t xml:space="preserve">, </w:t>
      </w:r>
      <w:r w:rsidR="00130CF3" w:rsidRPr="00507003">
        <w:rPr>
          <w:rStyle w:val="super"/>
          <w:noProof/>
        </w:rPr>
        <w:t>the EU’s culinary heritage</w:t>
      </w:r>
      <w:r w:rsidR="00D92110" w:rsidRPr="00507003">
        <w:rPr>
          <w:rStyle w:val="super"/>
          <w:noProof/>
        </w:rPr>
        <w:t>, and quality policy</w:t>
      </w:r>
      <w:r w:rsidR="00056ACF" w:rsidRPr="00507003">
        <w:rPr>
          <w:rStyle w:val="super"/>
          <w:noProof/>
        </w:rPr>
        <w:t>.</w:t>
      </w:r>
      <w:r w:rsidR="00CD65ED" w:rsidRPr="00507003">
        <w:rPr>
          <w:rStyle w:val="super"/>
          <w:noProof/>
        </w:rPr>
        <w:t xml:space="preserve"> Another was the production of vivid </w:t>
      </w:r>
      <w:r w:rsidR="000D4E04" w:rsidRPr="00507003">
        <w:rPr>
          <w:rStyle w:val="super"/>
          <w:noProof/>
        </w:rPr>
        <w:t>audio-visual</w:t>
      </w:r>
      <w:r w:rsidR="00CD65ED" w:rsidRPr="00507003">
        <w:rPr>
          <w:rStyle w:val="super"/>
          <w:noProof/>
        </w:rPr>
        <w:t xml:space="preserve"> </w:t>
      </w:r>
      <w:r w:rsidR="00D92110" w:rsidRPr="00507003">
        <w:rPr>
          <w:rStyle w:val="super"/>
          <w:noProof/>
        </w:rPr>
        <w:t>content</w:t>
      </w:r>
      <w:r w:rsidR="00CD65ED" w:rsidRPr="00507003">
        <w:rPr>
          <w:rStyle w:val="super"/>
          <w:noProof/>
        </w:rPr>
        <w:t xml:space="preserve"> </w:t>
      </w:r>
      <w:r w:rsidR="002E536B" w:rsidRPr="00507003">
        <w:rPr>
          <w:rStyle w:val="super"/>
          <w:noProof/>
        </w:rPr>
        <w:t xml:space="preserve">to highlight </w:t>
      </w:r>
      <w:r w:rsidR="00CD65ED" w:rsidRPr="00507003">
        <w:rPr>
          <w:rStyle w:val="super"/>
          <w:noProof/>
        </w:rPr>
        <w:t xml:space="preserve">the “farmers of the future” project, </w:t>
      </w:r>
      <w:r w:rsidR="003C320E">
        <w:rPr>
          <w:rStyle w:val="super"/>
          <w:noProof/>
        </w:rPr>
        <w:t>the</w:t>
      </w:r>
      <w:r w:rsidR="00CD65ED" w:rsidRPr="00507003">
        <w:rPr>
          <w:rStyle w:val="super"/>
          <w:noProof/>
        </w:rPr>
        <w:t xml:space="preserve"> joint DG AGRI-JRC initiative on innovative solutions to address future challenges in the agricultural sector.</w:t>
      </w:r>
      <w:r w:rsidR="00707AF5" w:rsidRPr="00507003">
        <w:rPr>
          <w:rStyle w:val="super"/>
          <w:noProof/>
        </w:rPr>
        <w:t xml:space="preserve"> </w:t>
      </w:r>
      <w:r w:rsidR="00056ACF" w:rsidRPr="00507003">
        <w:rPr>
          <w:rStyle w:val="super"/>
          <w:noProof/>
        </w:rPr>
        <w:t>DG AGRI continued to work with DG COMM and other DGs to ensure a coordinated dissemination of content at the corporate level, thus improving the efficiency of its output</w:t>
      </w:r>
      <w:r w:rsidR="007226A3">
        <w:rPr>
          <w:b/>
          <w:noProof/>
        </w:rPr>
        <w:t>.</w:t>
      </w:r>
      <w:r w:rsidR="00707AF5">
        <w:rPr>
          <w:b/>
          <w:noProof/>
        </w:rPr>
        <w:t xml:space="preserve"> </w:t>
      </w:r>
    </w:p>
    <w:p w14:paraId="6BCB6283" w14:textId="77777777" w:rsidR="007226A3" w:rsidRDefault="007226A3" w:rsidP="00190FA0">
      <w:pPr>
        <w:jc w:val="both"/>
        <w:rPr>
          <w:noProof/>
        </w:rPr>
      </w:pPr>
    </w:p>
    <w:p w14:paraId="0B807D2B" w14:textId="1FF14198" w:rsidR="0059162F" w:rsidRDefault="00F17E42" w:rsidP="0059162F">
      <w:pPr>
        <w:pStyle w:val="Style3"/>
      </w:pPr>
      <w:r>
        <w:t>b) C</w:t>
      </w:r>
      <w:r w:rsidR="0059162F">
        <w:t>onferences</w:t>
      </w:r>
      <w:r w:rsidR="000644C1">
        <w:t>,</w:t>
      </w:r>
      <w:r>
        <w:t xml:space="preserve"> fairs</w:t>
      </w:r>
      <w:r w:rsidR="0096325B">
        <w:t xml:space="preserve"> and events</w:t>
      </w:r>
    </w:p>
    <w:p w14:paraId="3FCD3661" w14:textId="342A39A3" w:rsidR="007226A3" w:rsidRPr="00A00152" w:rsidRDefault="007226A3" w:rsidP="00F02FC9">
      <w:pPr>
        <w:pStyle w:val="Style3"/>
        <w:rPr>
          <w:rStyle w:val="super"/>
          <w:b w:val="0"/>
        </w:rPr>
      </w:pPr>
      <w:r w:rsidRPr="00A00152">
        <w:rPr>
          <w:rStyle w:val="super"/>
          <w:b w:val="0"/>
        </w:rPr>
        <w:t xml:space="preserve">In this period, engaging with stakeholders and reaching out to the general public continued to be </w:t>
      </w:r>
      <w:r w:rsidR="00E73484">
        <w:rPr>
          <w:rStyle w:val="super"/>
          <w:b w:val="0"/>
        </w:rPr>
        <w:t>a priority for</w:t>
      </w:r>
      <w:r w:rsidRPr="00A00152">
        <w:rPr>
          <w:rStyle w:val="super"/>
          <w:b w:val="0"/>
        </w:rPr>
        <w:t xml:space="preserve"> DG AGRI’s communication actions.</w:t>
      </w:r>
    </w:p>
    <w:p w14:paraId="4A4713B1" w14:textId="5532C0A7" w:rsidR="003B6F86" w:rsidRPr="00507003" w:rsidRDefault="007226A3" w:rsidP="00F02FC9">
      <w:pPr>
        <w:autoSpaceDE w:val="0"/>
        <w:autoSpaceDN w:val="0"/>
        <w:adjustRightInd w:val="0"/>
        <w:spacing w:after="200"/>
        <w:contextualSpacing/>
        <w:jc w:val="both"/>
        <w:rPr>
          <w:rStyle w:val="super"/>
          <w:noProof/>
        </w:rPr>
      </w:pPr>
      <w:r w:rsidRPr="00507003">
        <w:rPr>
          <w:rStyle w:val="super"/>
          <w:noProof/>
        </w:rPr>
        <w:t xml:space="preserve">Conferences </w:t>
      </w:r>
      <w:r w:rsidR="00F04F30" w:rsidRPr="00507003">
        <w:rPr>
          <w:rStyle w:val="super"/>
          <w:noProof/>
        </w:rPr>
        <w:t>were</w:t>
      </w:r>
      <w:r w:rsidRPr="00507003">
        <w:rPr>
          <w:rStyle w:val="super"/>
          <w:noProof/>
        </w:rPr>
        <w:t xml:space="preserve"> an impor</w:t>
      </w:r>
      <w:r w:rsidR="00F04F30" w:rsidRPr="00507003">
        <w:rPr>
          <w:rStyle w:val="super"/>
          <w:noProof/>
        </w:rPr>
        <w:t>tant</w:t>
      </w:r>
      <w:r w:rsidRPr="00507003">
        <w:rPr>
          <w:rStyle w:val="super"/>
          <w:noProof/>
        </w:rPr>
        <w:t xml:space="preserve"> </w:t>
      </w:r>
      <w:r w:rsidR="00F04F30" w:rsidRPr="00507003">
        <w:rPr>
          <w:rStyle w:val="super"/>
          <w:noProof/>
        </w:rPr>
        <w:t>means</w:t>
      </w:r>
      <w:r w:rsidRPr="00507003">
        <w:rPr>
          <w:rStyle w:val="super"/>
          <w:noProof/>
        </w:rPr>
        <w:t xml:space="preserve"> for consulta</w:t>
      </w:r>
      <w:r w:rsidR="00F9533E" w:rsidRPr="00507003">
        <w:rPr>
          <w:rStyle w:val="super"/>
          <w:noProof/>
        </w:rPr>
        <w:t>t</w:t>
      </w:r>
      <w:r w:rsidRPr="00507003">
        <w:rPr>
          <w:rStyle w:val="super"/>
          <w:noProof/>
        </w:rPr>
        <w:t xml:space="preserve">ion and the exchange of </w:t>
      </w:r>
      <w:r w:rsidR="00F04F30" w:rsidRPr="00507003">
        <w:rPr>
          <w:rStyle w:val="super"/>
          <w:noProof/>
        </w:rPr>
        <w:t xml:space="preserve">information and </w:t>
      </w:r>
      <w:r w:rsidRPr="00507003">
        <w:rPr>
          <w:rStyle w:val="super"/>
          <w:noProof/>
        </w:rPr>
        <w:t>ideas on vital policy issues between the Commission and a wide variety of stakeholders</w:t>
      </w:r>
      <w:r w:rsidR="00F04F30" w:rsidRPr="00507003">
        <w:rPr>
          <w:rStyle w:val="super"/>
          <w:noProof/>
        </w:rPr>
        <w:t>, at regional</w:t>
      </w:r>
      <w:r w:rsidR="00473FF5" w:rsidRPr="00507003">
        <w:rPr>
          <w:rStyle w:val="super"/>
          <w:noProof/>
        </w:rPr>
        <w:t>,</w:t>
      </w:r>
      <w:r w:rsidR="00F04F30" w:rsidRPr="00507003">
        <w:rPr>
          <w:rStyle w:val="super"/>
          <w:noProof/>
        </w:rPr>
        <w:t xml:space="preserve"> national and international level.</w:t>
      </w:r>
      <w:r w:rsidR="00457D0C" w:rsidRPr="00507003">
        <w:rPr>
          <w:rStyle w:val="super"/>
          <w:noProof/>
        </w:rPr>
        <w:t xml:space="preserve"> For example,</w:t>
      </w:r>
      <w:r w:rsidR="008F7CED" w:rsidRPr="00507003">
        <w:rPr>
          <w:rStyle w:val="super"/>
          <w:noProof/>
        </w:rPr>
        <w:t xml:space="preserve"> </w:t>
      </w:r>
      <w:r w:rsidR="007931B2" w:rsidRPr="00507003">
        <w:rPr>
          <w:rStyle w:val="super"/>
          <w:noProof/>
        </w:rPr>
        <w:t>t</w:t>
      </w:r>
      <w:r w:rsidR="003B6F86" w:rsidRPr="00507003">
        <w:rPr>
          <w:rStyle w:val="super"/>
          <w:noProof/>
        </w:rPr>
        <w:t xml:space="preserve">he results of the review of the EU Forest Strategy were presented at the Conference "Our Forests, Our Future" organised by the Commission in Brussels on 25-26 April 2019. The conference confirmed the </w:t>
      </w:r>
      <w:r w:rsidR="00733677">
        <w:rPr>
          <w:rStyle w:val="super"/>
          <w:noProof/>
        </w:rPr>
        <w:t>vital</w:t>
      </w:r>
      <w:r w:rsidR="00473FF5" w:rsidRPr="00507003">
        <w:rPr>
          <w:rStyle w:val="super"/>
          <w:noProof/>
        </w:rPr>
        <w:t xml:space="preserve"> </w:t>
      </w:r>
      <w:r w:rsidR="003B6F86" w:rsidRPr="00507003">
        <w:rPr>
          <w:rStyle w:val="super"/>
          <w:noProof/>
        </w:rPr>
        <w:t xml:space="preserve">importance of forests and forestry in the context of the Paris Agreement and the 2030 UN Sustainable Development Goals. </w:t>
      </w:r>
      <w:r w:rsidR="00F04F30" w:rsidRPr="00507003">
        <w:rPr>
          <w:rStyle w:val="super"/>
          <w:noProof/>
        </w:rPr>
        <w:t>Keynote addresses by the Commissioner for Agriculture and Rural Development, the Romanian Secretary of State for Forests representing the Presidency of the Council of the EU, and the Commissioner for Climate Action and Energy set the scene for a comprehensive debate on the potential of the forestry sector to further contribute to advancing EU economic, social, environmental and climate goals.</w:t>
      </w:r>
      <w:r w:rsidR="003B6F86" w:rsidRPr="00507003">
        <w:rPr>
          <w:rStyle w:val="super"/>
          <w:noProof/>
        </w:rPr>
        <w:t xml:space="preserve"> </w:t>
      </w:r>
      <w:r w:rsidR="00BA651B" w:rsidRPr="00507003">
        <w:rPr>
          <w:rStyle w:val="super"/>
          <w:noProof/>
        </w:rPr>
        <w:t>Overall, c</w:t>
      </w:r>
      <w:r w:rsidR="003B6F86" w:rsidRPr="00507003">
        <w:rPr>
          <w:rStyle w:val="super"/>
          <w:noProof/>
        </w:rPr>
        <w:t xml:space="preserve">ommunicating </w:t>
      </w:r>
      <w:r w:rsidR="00FB65DA" w:rsidRPr="00507003">
        <w:rPr>
          <w:rStyle w:val="super"/>
          <w:noProof/>
        </w:rPr>
        <w:t xml:space="preserve">on </w:t>
      </w:r>
      <w:r w:rsidR="00BA651B" w:rsidRPr="00507003">
        <w:rPr>
          <w:rStyle w:val="super"/>
          <w:noProof/>
        </w:rPr>
        <w:t xml:space="preserve">this theme </w:t>
      </w:r>
      <w:r w:rsidR="00FB65DA" w:rsidRPr="00507003">
        <w:rPr>
          <w:rStyle w:val="super"/>
          <w:noProof/>
        </w:rPr>
        <w:t xml:space="preserve">continued </w:t>
      </w:r>
      <w:r w:rsidR="00BA651B" w:rsidRPr="00507003">
        <w:rPr>
          <w:rStyle w:val="super"/>
          <w:noProof/>
        </w:rPr>
        <w:t xml:space="preserve">to be a key objective </w:t>
      </w:r>
      <w:r w:rsidR="00473FF5" w:rsidRPr="00507003">
        <w:rPr>
          <w:rStyle w:val="super"/>
          <w:noProof/>
        </w:rPr>
        <w:t xml:space="preserve">over </w:t>
      </w:r>
      <w:r w:rsidR="00BA651B" w:rsidRPr="00507003">
        <w:rPr>
          <w:rStyle w:val="super"/>
          <w:noProof/>
        </w:rPr>
        <w:t>th</w:t>
      </w:r>
      <w:r w:rsidR="00473FF5" w:rsidRPr="00507003">
        <w:rPr>
          <w:rStyle w:val="super"/>
          <w:noProof/>
        </w:rPr>
        <w:t>e</w:t>
      </w:r>
      <w:r w:rsidR="008E4CBF">
        <w:rPr>
          <w:rStyle w:val="super"/>
          <w:noProof/>
        </w:rPr>
        <w:t xml:space="preserve"> period.</w:t>
      </w:r>
    </w:p>
    <w:p w14:paraId="19D67645" w14:textId="205CF800" w:rsidR="007931B2" w:rsidRPr="00507003" w:rsidRDefault="007931B2" w:rsidP="00F02FC9">
      <w:pPr>
        <w:autoSpaceDE w:val="0"/>
        <w:autoSpaceDN w:val="0"/>
        <w:adjustRightInd w:val="0"/>
        <w:spacing w:after="200"/>
        <w:contextualSpacing/>
        <w:jc w:val="both"/>
        <w:rPr>
          <w:rStyle w:val="super"/>
          <w:noProof/>
        </w:rPr>
      </w:pPr>
    </w:p>
    <w:p w14:paraId="0FD8E3BD" w14:textId="7C9B5928" w:rsidR="007931B2" w:rsidRPr="00507003" w:rsidRDefault="007931B2" w:rsidP="00F02FC9">
      <w:pPr>
        <w:autoSpaceDE w:val="0"/>
        <w:autoSpaceDN w:val="0"/>
        <w:adjustRightInd w:val="0"/>
        <w:spacing w:after="200"/>
        <w:contextualSpacing/>
        <w:jc w:val="both"/>
        <w:rPr>
          <w:rStyle w:val="super"/>
          <w:noProof/>
        </w:rPr>
      </w:pPr>
      <w:r w:rsidRPr="00507003">
        <w:rPr>
          <w:rStyle w:val="super"/>
          <w:noProof/>
        </w:rPr>
        <w:t xml:space="preserve">In addition, the work on the Farm to Fork strategy, </w:t>
      </w:r>
      <w:r w:rsidR="00BA651B" w:rsidRPr="00507003">
        <w:rPr>
          <w:rStyle w:val="super"/>
          <w:noProof/>
        </w:rPr>
        <w:t xml:space="preserve">a key component </w:t>
      </w:r>
      <w:r w:rsidRPr="00507003">
        <w:rPr>
          <w:rStyle w:val="super"/>
          <w:noProof/>
        </w:rPr>
        <w:t>of the Green</w:t>
      </w:r>
      <w:r w:rsidR="00696003" w:rsidRPr="00507003">
        <w:rPr>
          <w:rStyle w:val="super"/>
          <w:noProof/>
        </w:rPr>
        <w:t xml:space="preserve"> Deal, started in December 2019</w:t>
      </w:r>
      <w:r w:rsidR="001C4D80" w:rsidRPr="00507003">
        <w:rPr>
          <w:rStyle w:val="super"/>
          <w:noProof/>
        </w:rPr>
        <w:t>.</w:t>
      </w:r>
      <w:r w:rsidR="00696003" w:rsidRPr="00507003">
        <w:rPr>
          <w:rStyle w:val="super"/>
          <w:noProof/>
        </w:rPr>
        <w:t xml:space="preserve"> </w:t>
      </w:r>
      <w:r w:rsidRPr="00507003">
        <w:rPr>
          <w:rStyle w:val="super"/>
          <w:noProof/>
        </w:rPr>
        <w:t>The 2019 EU Agricultural Outlook Conference was focused on sustainability from farm to fork. More specifically, the interventions covered a number of initiatives undertaken by actors in the food chain to improve the sustainability of production, consumption and trade.  Be</w:t>
      </w:r>
      <w:r w:rsidR="00757873" w:rsidRPr="00507003">
        <w:rPr>
          <w:rStyle w:val="super"/>
          <w:noProof/>
        </w:rPr>
        <w:t>sides</w:t>
      </w:r>
      <w:r w:rsidRPr="00507003">
        <w:rPr>
          <w:rStyle w:val="super"/>
          <w:noProof/>
        </w:rPr>
        <w:t xml:space="preserve"> climate change, further sustainability aspects were explored, such as preserving the economic viability of farms, the vitality of rural communities, biodiversity and natural resources. </w:t>
      </w:r>
      <w:r w:rsidR="00970F51">
        <w:rPr>
          <w:rStyle w:val="super"/>
          <w:noProof/>
        </w:rPr>
        <w:t>Evolving</w:t>
      </w:r>
      <w:r w:rsidRPr="00507003">
        <w:rPr>
          <w:rStyle w:val="super"/>
          <w:noProof/>
        </w:rPr>
        <w:t xml:space="preserve"> societal demands and consumer expectations, in particular for sustainable food, were also addressed while </w:t>
      </w:r>
      <w:r w:rsidR="00BA651B" w:rsidRPr="00507003">
        <w:rPr>
          <w:rStyle w:val="super"/>
          <w:noProof/>
        </w:rPr>
        <w:t>examining</w:t>
      </w:r>
      <w:r w:rsidRPr="00507003">
        <w:rPr>
          <w:rStyle w:val="super"/>
          <w:noProof/>
        </w:rPr>
        <w:t xml:space="preserve"> the outlook for EU markets by 2030. The Conference gathered over 600 stakeholders, representing EU institutions, governments and international organisations, those involved in the food chain, the socio-professional sector, market experts, academics and think tanks, and the broader civil society.</w:t>
      </w:r>
      <w:r w:rsidR="004640FF" w:rsidRPr="00507003">
        <w:rPr>
          <w:rStyle w:val="super"/>
          <w:noProof/>
        </w:rPr>
        <w:t xml:space="preserve"> Widespread dissemination of proceedings was ensured using webstreaming, digital and social media tools.</w:t>
      </w:r>
    </w:p>
    <w:p w14:paraId="557EFD3B" w14:textId="7A06089B" w:rsidR="003B6F86" w:rsidRPr="00507003" w:rsidRDefault="003B6F86" w:rsidP="003B6F86">
      <w:pPr>
        <w:autoSpaceDE w:val="0"/>
        <w:autoSpaceDN w:val="0"/>
        <w:adjustRightInd w:val="0"/>
        <w:spacing w:after="200"/>
        <w:contextualSpacing/>
        <w:rPr>
          <w:rStyle w:val="super"/>
          <w:noProof/>
        </w:rPr>
      </w:pPr>
    </w:p>
    <w:p w14:paraId="15A18271" w14:textId="1751E691" w:rsidR="006113B8" w:rsidRPr="00507003" w:rsidRDefault="007931B2" w:rsidP="00F02FC9">
      <w:pPr>
        <w:autoSpaceDE w:val="0"/>
        <w:autoSpaceDN w:val="0"/>
        <w:adjustRightInd w:val="0"/>
        <w:spacing w:after="200"/>
        <w:contextualSpacing/>
        <w:jc w:val="both"/>
        <w:rPr>
          <w:rStyle w:val="super"/>
          <w:noProof/>
        </w:rPr>
      </w:pPr>
      <w:r w:rsidRPr="00507003">
        <w:rPr>
          <w:rStyle w:val="super"/>
          <w:noProof/>
        </w:rPr>
        <w:t>In 2020,</w:t>
      </w:r>
      <w:r w:rsidR="00297A6E" w:rsidRPr="00507003">
        <w:rPr>
          <w:rStyle w:val="super"/>
          <w:noProof/>
        </w:rPr>
        <w:t xml:space="preserve"> communication around</w:t>
      </w:r>
      <w:r w:rsidR="0069434D" w:rsidRPr="00507003">
        <w:rPr>
          <w:rStyle w:val="super"/>
          <w:noProof/>
        </w:rPr>
        <w:t xml:space="preserve"> </w:t>
      </w:r>
      <w:r w:rsidRPr="00507003">
        <w:rPr>
          <w:rStyle w:val="super"/>
          <w:noProof/>
        </w:rPr>
        <w:t>sustainability and</w:t>
      </w:r>
      <w:r w:rsidR="00696003" w:rsidRPr="00507003">
        <w:rPr>
          <w:rStyle w:val="super"/>
          <w:noProof/>
        </w:rPr>
        <w:t xml:space="preserve"> especially on</w:t>
      </w:r>
      <w:r w:rsidRPr="00507003">
        <w:rPr>
          <w:rStyle w:val="super"/>
          <w:noProof/>
        </w:rPr>
        <w:t xml:space="preserve"> achieving the </w:t>
      </w:r>
      <w:r w:rsidR="0069434D" w:rsidRPr="00507003">
        <w:rPr>
          <w:rStyle w:val="super"/>
          <w:noProof/>
        </w:rPr>
        <w:t xml:space="preserve">European </w:t>
      </w:r>
      <w:r w:rsidRPr="00507003">
        <w:rPr>
          <w:rStyle w:val="super"/>
          <w:noProof/>
        </w:rPr>
        <w:t xml:space="preserve">Green Deal objectives was </w:t>
      </w:r>
      <w:r w:rsidR="00297A6E" w:rsidRPr="00507003">
        <w:rPr>
          <w:rStyle w:val="super"/>
          <w:noProof/>
        </w:rPr>
        <w:t xml:space="preserve">further </w:t>
      </w:r>
      <w:r w:rsidRPr="00507003">
        <w:rPr>
          <w:rStyle w:val="super"/>
          <w:noProof/>
        </w:rPr>
        <w:t>enhance</w:t>
      </w:r>
      <w:r w:rsidR="00297A6E" w:rsidRPr="00507003">
        <w:rPr>
          <w:rStyle w:val="super"/>
          <w:noProof/>
        </w:rPr>
        <w:t>d. DG AGRI and DG SANTE jointly</w:t>
      </w:r>
      <w:r w:rsidR="00696003" w:rsidRPr="00507003">
        <w:rPr>
          <w:rStyle w:val="super"/>
          <w:noProof/>
        </w:rPr>
        <w:t xml:space="preserve"> organised the </w:t>
      </w:r>
      <w:r w:rsidR="00D6116E" w:rsidRPr="00507003">
        <w:rPr>
          <w:rStyle w:val="super"/>
          <w:noProof/>
        </w:rPr>
        <w:t xml:space="preserve">first </w:t>
      </w:r>
      <w:r w:rsidR="00696003" w:rsidRPr="00507003">
        <w:rPr>
          <w:rStyle w:val="super"/>
          <w:noProof/>
        </w:rPr>
        <w:t>“F</w:t>
      </w:r>
      <w:r w:rsidR="00297A6E" w:rsidRPr="00507003">
        <w:rPr>
          <w:rStyle w:val="super"/>
          <w:noProof/>
        </w:rPr>
        <w:t xml:space="preserve">arm to </w:t>
      </w:r>
      <w:r w:rsidR="00696003" w:rsidRPr="00507003">
        <w:rPr>
          <w:rStyle w:val="super"/>
          <w:noProof/>
        </w:rPr>
        <w:t>F</w:t>
      </w:r>
      <w:r w:rsidR="00297A6E" w:rsidRPr="00507003">
        <w:rPr>
          <w:rStyle w:val="super"/>
          <w:noProof/>
        </w:rPr>
        <w:t>ork</w:t>
      </w:r>
      <w:r w:rsidR="00BF31B6" w:rsidRPr="00507003">
        <w:rPr>
          <w:rStyle w:val="super"/>
          <w:noProof/>
        </w:rPr>
        <w:t>”</w:t>
      </w:r>
      <w:r w:rsidR="00297A6E" w:rsidRPr="00507003">
        <w:rPr>
          <w:rStyle w:val="super"/>
          <w:noProof/>
        </w:rPr>
        <w:t xml:space="preserve"> conference in</w:t>
      </w:r>
      <w:r w:rsidR="00D43DB1" w:rsidRPr="00507003">
        <w:rPr>
          <w:rStyle w:val="super"/>
          <w:noProof/>
        </w:rPr>
        <w:t xml:space="preserve"> an </w:t>
      </w:r>
      <w:r w:rsidR="00297A6E" w:rsidRPr="00507003">
        <w:rPr>
          <w:rStyle w:val="super"/>
          <w:noProof/>
        </w:rPr>
        <w:t>on-line format on 15-16 October 2020</w:t>
      </w:r>
      <w:r w:rsidR="004640FF" w:rsidRPr="00507003">
        <w:rPr>
          <w:rStyle w:val="super"/>
          <w:noProof/>
        </w:rPr>
        <w:t>. The Commiss</w:t>
      </w:r>
      <w:r w:rsidR="00BF31B6" w:rsidRPr="00507003">
        <w:rPr>
          <w:rStyle w:val="super"/>
          <w:noProof/>
        </w:rPr>
        <w:t>i</w:t>
      </w:r>
      <w:r w:rsidR="004640FF" w:rsidRPr="00507003">
        <w:rPr>
          <w:rStyle w:val="super"/>
          <w:noProof/>
        </w:rPr>
        <w:t xml:space="preserve">oners for Agriculture and </w:t>
      </w:r>
      <w:r w:rsidR="00BA651B" w:rsidRPr="00507003">
        <w:rPr>
          <w:rStyle w:val="super"/>
          <w:noProof/>
        </w:rPr>
        <w:t>R</w:t>
      </w:r>
      <w:r w:rsidR="004640FF" w:rsidRPr="00507003">
        <w:rPr>
          <w:rStyle w:val="super"/>
          <w:noProof/>
        </w:rPr>
        <w:t xml:space="preserve">ural </w:t>
      </w:r>
      <w:r w:rsidR="00BA651B" w:rsidRPr="00507003">
        <w:rPr>
          <w:rStyle w:val="super"/>
          <w:noProof/>
        </w:rPr>
        <w:t>D</w:t>
      </w:r>
      <w:r w:rsidR="004640FF" w:rsidRPr="00507003">
        <w:rPr>
          <w:rStyle w:val="super"/>
          <w:noProof/>
        </w:rPr>
        <w:t xml:space="preserve">evelopment, and Health and </w:t>
      </w:r>
      <w:r w:rsidR="00BA651B" w:rsidRPr="00507003">
        <w:rPr>
          <w:rStyle w:val="super"/>
          <w:noProof/>
        </w:rPr>
        <w:t>F</w:t>
      </w:r>
      <w:r w:rsidR="004640FF" w:rsidRPr="00507003">
        <w:rPr>
          <w:rStyle w:val="super"/>
          <w:noProof/>
        </w:rPr>
        <w:t xml:space="preserve">ood </w:t>
      </w:r>
      <w:r w:rsidR="00BA651B" w:rsidRPr="00507003">
        <w:rPr>
          <w:rStyle w:val="super"/>
          <w:noProof/>
        </w:rPr>
        <w:t>S</w:t>
      </w:r>
      <w:r w:rsidR="004640FF" w:rsidRPr="00507003">
        <w:rPr>
          <w:rStyle w:val="super"/>
          <w:noProof/>
        </w:rPr>
        <w:t>afety</w:t>
      </w:r>
      <w:r w:rsidR="009000FC" w:rsidRPr="00507003">
        <w:rPr>
          <w:rStyle w:val="super"/>
          <w:noProof/>
        </w:rPr>
        <w:t>,</w:t>
      </w:r>
      <w:r w:rsidR="004640FF" w:rsidRPr="00507003">
        <w:rPr>
          <w:rStyle w:val="super"/>
          <w:noProof/>
        </w:rPr>
        <w:t xml:space="preserve"> participated in the </w:t>
      </w:r>
      <w:r w:rsidR="009000FC" w:rsidRPr="00507003">
        <w:rPr>
          <w:rStyle w:val="super"/>
          <w:noProof/>
        </w:rPr>
        <w:t xml:space="preserve">opening and closing ceremonies </w:t>
      </w:r>
      <w:r w:rsidR="004640FF" w:rsidRPr="00507003">
        <w:rPr>
          <w:rStyle w:val="super"/>
          <w:noProof/>
        </w:rPr>
        <w:t>and emphasised the Commission’</w:t>
      </w:r>
      <w:r w:rsidR="009000FC" w:rsidRPr="00507003">
        <w:rPr>
          <w:rStyle w:val="super"/>
          <w:noProof/>
        </w:rPr>
        <w:t>s</w:t>
      </w:r>
      <w:r w:rsidR="004640FF" w:rsidRPr="00507003">
        <w:rPr>
          <w:rStyle w:val="super"/>
          <w:noProof/>
        </w:rPr>
        <w:t xml:space="preserve"> </w:t>
      </w:r>
      <w:r w:rsidR="0069434D" w:rsidRPr="00507003">
        <w:rPr>
          <w:rStyle w:val="super"/>
          <w:noProof/>
        </w:rPr>
        <w:t>wish</w:t>
      </w:r>
      <w:r w:rsidR="009000FC" w:rsidRPr="00507003">
        <w:rPr>
          <w:rStyle w:val="super"/>
          <w:noProof/>
        </w:rPr>
        <w:t xml:space="preserve"> </w:t>
      </w:r>
      <w:r w:rsidR="004640FF" w:rsidRPr="00507003">
        <w:rPr>
          <w:rStyle w:val="super"/>
          <w:noProof/>
        </w:rPr>
        <w:t xml:space="preserve">to engage with stakeholders </w:t>
      </w:r>
      <w:r w:rsidR="00650250" w:rsidRPr="00507003">
        <w:rPr>
          <w:rStyle w:val="super"/>
          <w:noProof/>
        </w:rPr>
        <w:t xml:space="preserve">and civil society </w:t>
      </w:r>
      <w:r w:rsidR="009000FC" w:rsidRPr="00507003">
        <w:rPr>
          <w:rStyle w:val="super"/>
          <w:noProof/>
        </w:rPr>
        <w:t>so as to advance together in achieving progress towards sustainable food systems.</w:t>
      </w:r>
      <w:r w:rsidR="001C4D80" w:rsidRPr="00507003">
        <w:rPr>
          <w:rStyle w:val="super"/>
          <w:noProof/>
        </w:rPr>
        <w:t xml:space="preserve"> </w:t>
      </w:r>
      <w:r w:rsidR="0069434D" w:rsidRPr="00507003">
        <w:rPr>
          <w:rStyle w:val="super"/>
          <w:noProof/>
        </w:rPr>
        <w:t>The advantages of the on-line format w</w:t>
      </w:r>
      <w:r w:rsidR="001C4D80" w:rsidRPr="00507003">
        <w:rPr>
          <w:rStyle w:val="super"/>
          <w:noProof/>
        </w:rPr>
        <w:t>ere</w:t>
      </w:r>
      <w:r w:rsidR="0069434D" w:rsidRPr="00507003">
        <w:rPr>
          <w:rStyle w:val="super"/>
          <w:noProof/>
        </w:rPr>
        <w:t xml:space="preserve"> reflected in the </w:t>
      </w:r>
      <w:r w:rsidR="00302F26" w:rsidRPr="00507003">
        <w:rPr>
          <w:rStyle w:val="super"/>
          <w:noProof/>
        </w:rPr>
        <w:t xml:space="preserve">high level of </w:t>
      </w:r>
      <w:r w:rsidR="0069434D" w:rsidRPr="00507003">
        <w:rPr>
          <w:rStyle w:val="super"/>
          <w:noProof/>
        </w:rPr>
        <w:t>participation</w:t>
      </w:r>
      <w:r w:rsidR="00A439F3" w:rsidRPr="00507003">
        <w:rPr>
          <w:rStyle w:val="super"/>
          <w:noProof/>
        </w:rPr>
        <w:t>;</w:t>
      </w:r>
      <w:r w:rsidR="001C4D80" w:rsidRPr="00507003">
        <w:rPr>
          <w:rStyle w:val="super"/>
          <w:noProof/>
        </w:rPr>
        <w:t xml:space="preserve"> this was also evident in th</w:t>
      </w:r>
      <w:r w:rsidR="00105932" w:rsidRPr="00507003">
        <w:rPr>
          <w:rStyle w:val="super"/>
          <w:noProof/>
        </w:rPr>
        <w:t xml:space="preserve">e </w:t>
      </w:r>
      <w:r w:rsidR="00D6116E" w:rsidRPr="00507003">
        <w:rPr>
          <w:rStyle w:val="super"/>
          <w:noProof/>
        </w:rPr>
        <w:t>“Strengthening geographical indications”</w:t>
      </w:r>
      <w:r w:rsidR="00105932" w:rsidRPr="00507003">
        <w:rPr>
          <w:rStyle w:val="super"/>
          <w:noProof/>
        </w:rPr>
        <w:t xml:space="preserve"> </w:t>
      </w:r>
      <w:r w:rsidR="001C4D80" w:rsidRPr="00507003">
        <w:rPr>
          <w:rStyle w:val="super"/>
          <w:noProof/>
        </w:rPr>
        <w:t>event</w:t>
      </w:r>
      <w:r w:rsidR="00105932" w:rsidRPr="00507003">
        <w:rPr>
          <w:rStyle w:val="super"/>
          <w:noProof/>
        </w:rPr>
        <w:t xml:space="preserve"> </w:t>
      </w:r>
      <w:r w:rsidR="001C4D80" w:rsidRPr="00507003">
        <w:rPr>
          <w:rStyle w:val="super"/>
          <w:noProof/>
        </w:rPr>
        <w:t xml:space="preserve">organised in November </w:t>
      </w:r>
      <w:r w:rsidR="00302F26" w:rsidRPr="00507003">
        <w:rPr>
          <w:rStyle w:val="super"/>
          <w:noProof/>
        </w:rPr>
        <w:t xml:space="preserve">which explored </w:t>
      </w:r>
      <w:r w:rsidR="001C4D80" w:rsidRPr="00507003">
        <w:rPr>
          <w:rStyle w:val="super"/>
          <w:noProof/>
        </w:rPr>
        <w:t xml:space="preserve">ways and means to </w:t>
      </w:r>
      <w:r w:rsidR="00302F26" w:rsidRPr="00507003">
        <w:rPr>
          <w:rStyle w:val="super"/>
          <w:noProof/>
        </w:rPr>
        <w:t>strengthen EU quality policy</w:t>
      </w:r>
      <w:r w:rsidR="001C4D80" w:rsidRPr="00507003">
        <w:rPr>
          <w:rStyle w:val="super"/>
          <w:noProof/>
        </w:rPr>
        <w:t>, and the December 2020 Outlook conference</w:t>
      </w:r>
      <w:r w:rsidR="00302F26" w:rsidRPr="00507003">
        <w:rPr>
          <w:rStyle w:val="super"/>
          <w:noProof/>
        </w:rPr>
        <w:t xml:space="preserve">. </w:t>
      </w:r>
      <w:r w:rsidR="00D6116E" w:rsidRPr="00507003">
        <w:rPr>
          <w:rStyle w:val="super"/>
          <w:noProof/>
        </w:rPr>
        <w:t xml:space="preserve">However, </w:t>
      </w:r>
      <w:r w:rsidR="009C24C0" w:rsidRPr="00507003">
        <w:rPr>
          <w:rStyle w:val="super"/>
          <w:noProof/>
        </w:rPr>
        <w:t>the less positive aspects of</w:t>
      </w:r>
      <w:r w:rsidR="00D6116E" w:rsidRPr="00507003">
        <w:rPr>
          <w:rStyle w:val="super"/>
          <w:noProof/>
        </w:rPr>
        <w:t xml:space="preserve"> </w:t>
      </w:r>
      <w:r w:rsidR="00A00152">
        <w:rPr>
          <w:rStyle w:val="super"/>
          <w:noProof/>
        </w:rPr>
        <w:t xml:space="preserve">the </w:t>
      </w:r>
      <w:r w:rsidR="00D6116E" w:rsidRPr="00507003">
        <w:rPr>
          <w:rStyle w:val="super"/>
          <w:noProof/>
        </w:rPr>
        <w:t xml:space="preserve">online </w:t>
      </w:r>
      <w:r w:rsidR="00A00152">
        <w:rPr>
          <w:rStyle w:val="super"/>
          <w:noProof/>
        </w:rPr>
        <w:t>format,</w:t>
      </w:r>
      <w:r w:rsidR="00D6116E" w:rsidRPr="00507003">
        <w:rPr>
          <w:rStyle w:val="super"/>
          <w:noProof/>
        </w:rPr>
        <w:t xml:space="preserve"> in relation to </w:t>
      </w:r>
      <w:r w:rsidR="009C24C0" w:rsidRPr="00507003">
        <w:rPr>
          <w:rStyle w:val="super"/>
          <w:noProof/>
        </w:rPr>
        <w:t xml:space="preserve">the lack of human </w:t>
      </w:r>
      <w:r w:rsidR="00D6116E" w:rsidRPr="00507003">
        <w:rPr>
          <w:rStyle w:val="super"/>
          <w:noProof/>
        </w:rPr>
        <w:t xml:space="preserve">interaction, </w:t>
      </w:r>
      <w:r w:rsidR="009C24C0" w:rsidRPr="00507003">
        <w:rPr>
          <w:rStyle w:val="super"/>
          <w:noProof/>
        </w:rPr>
        <w:t xml:space="preserve">and its impact on the </w:t>
      </w:r>
      <w:r w:rsidR="00D6116E" w:rsidRPr="00507003">
        <w:rPr>
          <w:rStyle w:val="super"/>
          <w:noProof/>
        </w:rPr>
        <w:t>exchange of good practice and networking were also highlighted by participants.</w:t>
      </w:r>
    </w:p>
    <w:p w14:paraId="35E56A35" w14:textId="77777777" w:rsidR="005B04BF" w:rsidRPr="00507003" w:rsidRDefault="005B04BF" w:rsidP="00F04F30">
      <w:pPr>
        <w:autoSpaceDE w:val="0"/>
        <w:autoSpaceDN w:val="0"/>
        <w:adjustRightInd w:val="0"/>
        <w:spacing w:after="200"/>
        <w:contextualSpacing/>
        <w:rPr>
          <w:rStyle w:val="super"/>
          <w:noProof/>
        </w:rPr>
      </w:pPr>
    </w:p>
    <w:p w14:paraId="3FF7B302" w14:textId="276E07E1" w:rsidR="005B04BF" w:rsidRPr="00507003" w:rsidRDefault="00C85EFD" w:rsidP="005B04BF">
      <w:pPr>
        <w:autoSpaceDE w:val="0"/>
        <w:autoSpaceDN w:val="0"/>
        <w:adjustRightInd w:val="0"/>
        <w:jc w:val="both"/>
        <w:rPr>
          <w:rStyle w:val="super"/>
          <w:noProof/>
        </w:rPr>
      </w:pPr>
      <w:r w:rsidRPr="00507003">
        <w:rPr>
          <w:rStyle w:val="super"/>
          <w:noProof/>
        </w:rPr>
        <w:t xml:space="preserve">Face to face interaction with the general public and stakeholders </w:t>
      </w:r>
      <w:r w:rsidR="00A3364B" w:rsidRPr="00507003">
        <w:rPr>
          <w:rStyle w:val="super"/>
          <w:noProof/>
        </w:rPr>
        <w:t>at farm fairs remained an important activity.</w:t>
      </w:r>
      <w:r w:rsidR="00BF31B6" w:rsidRPr="00507003">
        <w:rPr>
          <w:rStyle w:val="super"/>
          <w:noProof/>
        </w:rPr>
        <w:t xml:space="preserve"> DG AGRI was present at eight agricultural fairs</w:t>
      </w:r>
      <w:r w:rsidR="008A1A10" w:rsidRPr="00507003">
        <w:rPr>
          <w:rStyle w:val="super"/>
          <w:noProof/>
        </w:rPr>
        <w:t xml:space="preserve"> </w:t>
      </w:r>
      <w:r w:rsidR="005B04BF" w:rsidRPr="00507003">
        <w:rPr>
          <w:rStyle w:val="super"/>
          <w:noProof/>
        </w:rPr>
        <w:t>and</w:t>
      </w:r>
      <w:r w:rsidR="008A1A10" w:rsidRPr="00507003">
        <w:rPr>
          <w:rStyle w:val="super"/>
          <w:noProof/>
        </w:rPr>
        <w:t xml:space="preserve"> </w:t>
      </w:r>
      <w:r w:rsidR="00BF31B6" w:rsidRPr="00507003">
        <w:rPr>
          <w:rStyle w:val="super"/>
          <w:noProof/>
        </w:rPr>
        <w:t>events in 2019, often in cooperation with other Commission department</w:t>
      </w:r>
      <w:r w:rsidR="00395338" w:rsidRPr="00507003">
        <w:rPr>
          <w:rStyle w:val="super"/>
          <w:noProof/>
        </w:rPr>
        <w:t>s.</w:t>
      </w:r>
      <w:r w:rsidR="004E21A8" w:rsidRPr="00507003">
        <w:rPr>
          <w:rStyle w:val="super"/>
          <w:noProof/>
        </w:rPr>
        <w:t xml:space="preserve"> </w:t>
      </w:r>
      <w:r w:rsidR="00395338" w:rsidRPr="00507003">
        <w:rPr>
          <w:rStyle w:val="super"/>
          <w:noProof/>
        </w:rPr>
        <w:t>A</w:t>
      </w:r>
      <w:r w:rsidR="005B04BF" w:rsidRPr="00507003">
        <w:rPr>
          <w:rStyle w:val="super"/>
          <w:noProof/>
        </w:rPr>
        <w:t xml:space="preserve">ttractive </w:t>
      </w:r>
      <w:r w:rsidR="004E21A8" w:rsidRPr="00507003">
        <w:rPr>
          <w:rStyle w:val="super"/>
          <w:noProof/>
        </w:rPr>
        <w:t>dynamic</w:t>
      </w:r>
      <w:r w:rsidR="005B04BF" w:rsidRPr="00507003">
        <w:rPr>
          <w:rStyle w:val="super"/>
          <w:noProof/>
        </w:rPr>
        <w:t xml:space="preserve"> communication material</w:t>
      </w:r>
      <w:r w:rsidR="00E74099" w:rsidRPr="00507003">
        <w:rPr>
          <w:rStyle w:val="super"/>
          <w:noProof/>
        </w:rPr>
        <w:t xml:space="preserve"> including publications were made available; </w:t>
      </w:r>
      <w:r w:rsidR="005B04BF" w:rsidRPr="00507003">
        <w:rPr>
          <w:rStyle w:val="super"/>
          <w:noProof/>
        </w:rPr>
        <w:t>events were organised, in particular for families and schoolchildren.</w:t>
      </w:r>
      <w:r w:rsidR="000D4E04">
        <w:rPr>
          <w:rStyle w:val="super"/>
          <w:noProof/>
        </w:rPr>
        <w:t xml:space="preserve"> </w:t>
      </w:r>
      <w:r w:rsidR="005B04BF" w:rsidRPr="00507003">
        <w:rPr>
          <w:rStyle w:val="super"/>
          <w:noProof/>
        </w:rPr>
        <w:t xml:space="preserve">The objective was to listen and engage and increase the visibility and accessibility of the EU institutions at local level. </w:t>
      </w:r>
    </w:p>
    <w:p w14:paraId="47621362" w14:textId="77777777" w:rsidR="00D43DB1" w:rsidRPr="00507003" w:rsidRDefault="00D43DB1" w:rsidP="005B04BF">
      <w:pPr>
        <w:autoSpaceDE w:val="0"/>
        <w:autoSpaceDN w:val="0"/>
        <w:adjustRightInd w:val="0"/>
        <w:jc w:val="both"/>
        <w:rPr>
          <w:rStyle w:val="super"/>
          <w:noProof/>
        </w:rPr>
      </w:pPr>
    </w:p>
    <w:p w14:paraId="220E7DC7" w14:textId="196DA8A8" w:rsidR="00D43DB1" w:rsidRPr="00507003" w:rsidRDefault="005B04BF" w:rsidP="003D2B63">
      <w:pPr>
        <w:autoSpaceDE w:val="0"/>
        <w:autoSpaceDN w:val="0"/>
        <w:adjustRightInd w:val="0"/>
        <w:jc w:val="both"/>
        <w:rPr>
          <w:rStyle w:val="super"/>
          <w:noProof/>
        </w:rPr>
      </w:pPr>
      <w:r w:rsidRPr="00507003">
        <w:rPr>
          <w:rStyle w:val="super"/>
          <w:noProof/>
        </w:rPr>
        <w:t>I</w:t>
      </w:r>
      <w:r w:rsidR="002309AE" w:rsidRPr="00507003">
        <w:rPr>
          <w:rStyle w:val="super"/>
          <w:noProof/>
        </w:rPr>
        <w:t>n early 2020</w:t>
      </w:r>
      <w:r w:rsidRPr="00507003">
        <w:rPr>
          <w:rStyle w:val="super"/>
          <w:noProof/>
        </w:rPr>
        <w:t xml:space="preserve"> </w:t>
      </w:r>
      <w:r w:rsidR="002309AE" w:rsidRPr="00507003">
        <w:rPr>
          <w:rStyle w:val="super"/>
          <w:noProof/>
        </w:rPr>
        <w:t>(</w:t>
      </w:r>
      <w:r w:rsidRPr="00507003">
        <w:rPr>
          <w:rStyle w:val="super"/>
          <w:noProof/>
        </w:rPr>
        <w:t>as in 2019</w:t>
      </w:r>
      <w:r w:rsidR="002309AE" w:rsidRPr="00507003">
        <w:rPr>
          <w:rStyle w:val="super"/>
          <w:noProof/>
        </w:rPr>
        <w:t>)</w:t>
      </w:r>
      <w:r w:rsidRPr="00507003">
        <w:rPr>
          <w:rStyle w:val="super"/>
          <w:noProof/>
        </w:rPr>
        <w:t xml:space="preserve">, </w:t>
      </w:r>
      <w:r w:rsidR="00D43DB1" w:rsidRPr="00507003">
        <w:rPr>
          <w:rStyle w:val="super"/>
          <w:noProof/>
        </w:rPr>
        <w:t xml:space="preserve">DG </w:t>
      </w:r>
      <w:r w:rsidRPr="00507003">
        <w:rPr>
          <w:rStyle w:val="super"/>
          <w:noProof/>
        </w:rPr>
        <w:t>AGRI, in cooperation with DG SANTE, participated with a stand on the sustainability theme, in two major agricultural fairs: the Internationale Grüne Woche in Berlin, and the Paris Salon International de l’Agriculture</w:t>
      </w:r>
      <w:r w:rsidR="00D43DB1" w:rsidRPr="00507003">
        <w:rPr>
          <w:rStyle w:val="super"/>
          <w:noProof/>
        </w:rPr>
        <w:t>.</w:t>
      </w:r>
      <w:r w:rsidRPr="00507003">
        <w:rPr>
          <w:rStyle w:val="super"/>
          <w:noProof/>
        </w:rPr>
        <w:t xml:space="preserve"> </w:t>
      </w:r>
      <w:r w:rsidR="003D2B63" w:rsidRPr="00507003">
        <w:rPr>
          <w:rStyle w:val="super"/>
          <w:noProof/>
        </w:rPr>
        <w:t>All other fairs planned for 2020 were cancelled due to the pandemic restrictions</w:t>
      </w:r>
      <w:r w:rsidR="00B0484B">
        <w:rPr>
          <w:rStyle w:val="super"/>
          <w:noProof/>
        </w:rPr>
        <w:t>.</w:t>
      </w:r>
    </w:p>
    <w:p w14:paraId="7D02427B" w14:textId="29ABE59E" w:rsidR="003D2B63" w:rsidRPr="00507003" w:rsidRDefault="003D2B63" w:rsidP="003D2B63">
      <w:pPr>
        <w:autoSpaceDE w:val="0"/>
        <w:autoSpaceDN w:val="0"/>
        <w:adjustRightInd w:val="0"/>
        <w:jc w:val="both"/>
        <w:rPr>
          <w:rStyle w:val="super"/>
          <w:noProof/>
        </w:rPr>
      </w:pPr>
    </w:p>
    <w:p w14:paraId="5028385E" w14:textId="51B38D5B" w:rsidR="00D43DB1" w:rsidRDefault="00650250" w:rsidP="00D43DB1">
      <w:pPr>
        <w:autoSpaceDE w:val="0"/>
        <w:autoSpaceDN w:val="0"/>
        <w:adjustRightInd w:val="0"/>
        <w:jc w:val="both"/>
        <w:rPr>
          <w:rStyle w:val="super"/>
          <w:noProof/>
        </w:rPr>
      </w:pPr>
      <w:r w:rsidRPr="00507003">
        <w:rPr>
          <w:rStyle w:val="super"/>
          <w:noProof/>
        </w:rPr>
        <w:t xml:space="preserve">DG </w:t>
      </w:r>
      <w:r w:rsidR="003C529B" w:rsidRPr="00507003">
        <w:rPr>
          <w:rStyle w:val="super"/>
          <w:noProof/>
        </w:rPr>
        <w:t xml:space="preserve">AGRI continues to explore possibilities to leverage </w:t>
      </w:r>
      <w:r w:rsidR="0026529C" w:rsidRPr="00507003">
        <w:rPr>
          <w:rStyle w:val="super"/>
          <w:noProof/>
        </w:rPr>
        <w:t>its</w:t>
      </w:r>
      <w:r w:rsidR="003C529B" w:rsidRPr="00507003">
        <w:rPr>
          <w:rStyle w:val="super"/>
          <w:noProof/>
        </w:rPr>
        <w:t xml:space="preserve"> different events to maximise outreach to citizens, as for example, at the agricultural fair in Okra (FI) at the start of the Finnish presidency of the EU in July 2019. On that occasion, in cooperation with stakeholders and the national authorities, a Citizens’ Dialogue on the future CAP took place, with the participation of the Minister for Agriculture, the President of </w:t>
      </w:r>
      <w:r w:rsidR="00D43DB1" w:rsidRPr="00507003">
        <w:rPr>
          <w:rStyle w:val="super"/>
          <w:noProof/>
        </w:rPr>
        <w:t xml:space="preserve">MTK, </w:t>
      </w:r>
      <w:r w:rsidR="003C529B" w:rsidRPr="00507003">
        <w:rPr>
          <w:rStyle w:val="super"/>
          <w:noProof/>
        </w:rPr>
        <w:t>the producers and cooperatives association,</w:t>
      </w:r>
      <w:r w:rsidR="000D4E04">
        <w:rPr>
          <w:rStyle w:val="super"/>
          <w:noProof/>
        </w:rPr>
        <w:t xml:space="preserve"> </w:t>
      </w:r>
      <w:r w:rsidR="003C529B" w:rsidRPr="00507003">
        <w:rPr>
          <w:rStyle w:val="super"/>
          <w:noProof/>
        </w:rPr>
        <w:t>and AGRI officials.</w:t>
      </w:r>
      <w:r w:rsidR="00D43DB1" w:rsidRPr="00507003">
        <w:rPr>
          <w:rStyle w:val="super"/>
          <w:noProof/>
        </w:rPr>
        <w:t xml:space="preserve"> In addition, frequen</w:t>
      </w:r>
      <w:r w:rsidR="0026529C" w:rsidRPr="00507003">
        <w:rPr>
          <w:rStyle w:val="super"/>
          <w:noProof/>
        </w:rPr>
        <w:t>t</w:t>
      </w:r>
      <w:r w:rsidR="00D43DB1" w:rsidRPr="00507003">
        <w:rPr>
          <w:rStyle w:val="super"/>
          <w:noProof/>
        </w:rPr>
        <w:t xml:space="preserve">ly, the participation at major fairs of the Commissioner for Agriculture and </w:t>
      </w:r>
      <w:r w:rsidR="0026529C" w:rsidRPr="00507003">
        <w:rPr>
          <w:rStyle w:val="super"/>
          <w:noProof/>
        </w:rPr>
        <w:t>R</w:t>
      </w:r>
      <w:r w:rsidR="00D43DB1" w:rsidRPr="00507003">
        <w:rPr>
          <w:rStyle w:val="super"/>
          <w:noProof/>
        </w:rPr>
        <w:t xml:space="preserve">ural </w:t>
      </w:r>
      <w:r w:rsidR="0026529C" w:rsidRPr="00507003">
        <w:rPr>
          <w:rStyle w:val="super"/>
          <w:noProof/>
        </w:rPr>
        <w:t>D</w:t>
      </w:r>
      <w:r w:rsidR="00D43DB1" w:rsidRPr="00507003">
        <w:rPr>
          <w:rStyle w:val="super"/>
          <w:noProof/>
        </w:rPr>
        <w:t>evelopment, together with senior Member State representatives, generated widespread interest and extensive coverage in the national and regional media.</w:t>
      </w:r>
    </w:p>
    <w:p w14:paraId="16917B53" w14:textId="77777777" w:rsidR="00B71EFA" w:rsidRDefault="00B71EFA">
      <w:pPr>
        <w:spacing w:after="200" w:line="276" w:lineRule="auto"/>
        <w:rPr>
          <w:rFonts w:eastAsia="Times New Roman"/>
          <w:b/>
          <w:smallCaps/>
          <w:noProof/>
        </w:rPr>
      </w:pPr>
      <w:bookmarkStart w:id="7" w:name="_Toc478655577"/>
      <w:bookmarkStart w:id="8" w:name="_Toc478656307"/>
      <w:r>
        <w:rPr>
          <w:noProof/>
        </w:rPr>
        <w:br w:type="page"/>
      </w:r>
    </w:p>
    <w:p w14:paraId="6F37431D" w14:textId="4D8F8942" w:rsidR="0059162F" w:rsidRDefault="0059162F" w:rsidP="0059162F">
      <w:pPr>
        <w:pStyle w:val="Style1"/>
        <w:rPr>
          <w:color w:val="FF0000"/>
        </w:rPr>
      </w:pPr>
      <w:r>
        <w:t>IV.</w:t>
      </w:r>
      <w:r>
        <w:tab/>
        <w:t>THE PROPORTION OF SPENDING (COMMITTMENTS AND PAYMENTS) BETWEEN CO-FINANCED ACTIONS AT THE INITIATIVE OF THIRD PARTIES (GRANTS) AND INFORMATION ACTIONS AT THE INITIATIVE OF THE COMMISSION (PUBLIC PROCUREMENT)</w:t>
      </w:r>
      <w:r w:rsidR="00454C51">
        <w:rPr>
          <w:rStyle w:val="FootnoteReference"/>
        </w:rPr>
        <w:footnoteReference w:id="10"/>
      </w:r>
      <w:r>
        <w:t xml:space="preserve"> </w:t>
      </w:r>
      <w:bookmarkEnd w:id="7"/>
      <w:bookmarkEnd w:id="8"/>
    </w:p>
    <w:tbl>
      <w:tblPr>
        <w:tblStyle w:val="TableGridLight"/>
        <w:tblW w:w="9583" w:type="dxa"/>
        <w:jc w:val="center"/>
        <w:tblLayout w:type="fixed"/>
        <w:tblLook w:val="04A0" w:firstRow="1" w:lastRow="0" w:firstColumn="1" w:lastColumn="0" w:noHBand="0" w:noVBand="1"/>
      </w:tblPr>
      <w:tblGrid>
        <w:gridCol w:w="1576"/>
        <w:gridCol w:w="1080"/>
        <w:gridCol w:w="1080"/>
        <w:gridCol w:w="1442"/>
        <w:gridCol w:w="1509"/>
        <w:gridCol w:w="1509"/>
        <w:gridCol w:w="1387"/>
      </w:tblGrid>
      <w:tr w:rsidR="00CB6EF2" w:rsidRPr="004353B1" w14:paraId="1AA593FA" w14:textId="77777777" w:rsidTr="00F55783">
        <w:trPr>
          <w:trHeight w:val="255"/>
          <w:jc w:val="center"/>
        </w:trPr>
        <w:tc>
          <w:tcPr>
            <w:tcW w:w="1576" w:type="dxa"/>
            <w:tcBorders>
              <w:right w:val="single" w:sz="4" w:space="0" w:color="auto"/>
            </w:tcBorders>
            <w:hideMark/>
          </w:tcPr>
          <w:p w14:paraId="385F87F1" w14:textId="77777777" w:rsidR="00CB6EF2" w:rsidRPr="00A86312" w:rsidRDefault="00CB6EF2" w:rsidP="004353B1">
            <w:pPr>
              <w:jc w:val="center"/>
              <w:rPr>
                <w:rFonts w:eastAsia="Times New Roman"/>
                <w:noProof/>
                <w:color w:val="000000"/>
                <w:sz w:val="20"/>
                <w:szCs w:val="20"/>
                <w:lang w:eastAsia="fr-BE"/>
              </w:rPr>
            </w:pPr>
            <w:r w:rsidRPr="00A86312">
              <w:rPr>
                <w:rFonts w:eastAsia="Times New Roman"/>
                <w:noProof/>
                <w:color w:val="000000"/>
                <w:sz w:val="20"/>
                <w:szCs w:val="20"/>
                <w:lang w:eastAsia="fr-BE"/>
              </w:rPr>
              <w:t> </w:t>
            </w:r>
          </w:p>
        </w:tc>
        <w:tc>
          <w:tcPr>
            <w:tcW w:w="3602" w:type="dxa"/>
            <w:gridSpan w:val="3"/>
            <w:tcBorders>
              <w:top w:val="single" w:sz="4" w:space="0" w:color="auto"/>
              <w:left w:val="single" w:sz="4" w:space="0" w:color="auto"/>
              <w:bottom w:val="single" w:sz="4" w:space="0" w:color="auto"/>
              <w:right w:val="single" w:sz="4" w:space="0" w:color="auto"/>
            </w:tcBorders>
            <w:hideMark/>
          </w:tcPr>
          <w:p w14:paraId="43EF0CF4" w14:textId="28FD0538" w:rsidR="00CB6EF2" w:rsidRPr="004353B1" w:rsidRDefault="00CB6EF2" w:rsidP="004353B1">
            <w:pPr>
              <w:jc w:val="center"/>
              <w:rPr>
                <w:rFonts w:eastAsia="Times New Roman"/>
                <w:b/>
                <w:bCs/>
                <w:noProof/>
                <w:color w:val="000000"/>
                <w:sz w:val="20"/>
                <w:szCs w:val="20"/>
                <w:lang w:val="fr-BE" w:eastAsia="fr-BE"/>
              </w:rPr>
            </w:pPr>
            <w:r w:rsidRPr="004353B1">
              <w:rPr>
                <w:rFonts w:eastAsia="Times New Roman"/>
                <w:b/>
                <w:bCs/>
                <w:noProof/>
                <w:color w:val="000000"/>
                <w:sz w:val="20"/>
                <w:szCs w:val="20"/>
                <w:lang w:val="fr-BE" w:eastAsia="fr-BE"/>
              </w:rPr>
              <w:t>2019</w:t>
            </w:r>
          </w:p>
        </w:tc>
        <w:tc>
          <w:tcPr>
            <w:tcW w:w="4405" w:type="dxa"/>
            <w:gridSpan w:val="3"/>
            <w:tcBorders>
              <w:top w:val="single" w:sz="4" w:space="0" w:color="auto"/>
              <w:left w:val="single" w:sz="4" w:space="0" w:color="auto"/>
              <w:bottom w:val="single" w:sz="4" w:space="0" w:color="auto"/>
              <w:right w:val="single" w:sz="4" w:space="0" w:color="auto"/>
            </w:tcBorders>
            <w:hideMark/>
          </w:tcPr>
          <w:p w14:paraId="44D0D5C4" w14:textId="77777777" w:rsidR="00CB6EF2" w:rsidRPr="004353B1" w:rsidRDefault="00CB6EF2" w:rsidP="004353B1">
            <w:pPr>
              <w:jc w:val="center"/>
              <w:rPr>
                <w:rFonts w:eastAsia="Times New Roman"/>
                <w:b/>
                <w:bCs/>
                <w:noProof/>
                <w:color w:val="000000"/>
                <w:sz w:val="20"/>
                <w:szCs w:val="20"/>
                <w:lang w:val="fr-BE" w:eastAsia="fr-BE"/>
              </w:rPr>
            </w:pPr>
            <w:r w:rsidRPr="004353B1">
              <w:rPr>
                <w:rFonts w:eastAsia="Times New Roman"/>
                <w:b/>
                <w:bCs/>
                <w:noProof/>
                <w:color w:val="000000"/>
                <w:sz w:val="20"/>
                <w:szCs w:val="20"/>
                <w:lang w:val="fr-BE" w:eastAsia="fr-BE"/>
              </w:rPr>
              <w:t>2020</w:t>
            </w:r>
          </w:p>
        </w:tc>
      </w:tr>
      <w:tr w:rsidR="00CB6EF2" w:rsidRPr="004353B1" w14:paraId="179837B9" w14:textId="77777777" w:rsidTr="00F55783">
        <w:trPr>
          <w:trHeight w:val="510"/>
          <w:jc w:val="center"/>
        </w:trPr>
        <w:tc>
          <w:tcPr>
            <w:tcW w:w="1576" w:type="dxa"/>
            <w:tcBorders>
              <w:bottom w:val="single" w:sz="4" w:space="0" w:color="auto"/>
              <w:right w:val="single" w:sz="4" w:space="0" w:color="auto"/>
            </w:tcBorders>
            <w:hideMark/>
          </w:tcPr>
          <w:p w14:paraId="5D2A9424" w14:textId="77777777" w:rsidR="00CB6EF2" w:rsidRPr="004353B1" w:rsidRDefault="00CB6EF2" w:rsidP="004353B1">
            <w:pPr>
              <w:jc w:val="center"/>
              <w:rPr>
                <w:rFonts w:eastAsia="Times New Roman"/>
                <w:i/>
                <w:iCs/>
                <w:noProof/>
                <w:color w:val="000000"/>
                <w:sz w:val="20"/>
                <w:szCs w:val="20"/>
                <w:lang w:val="fr-BE" w:eastAsia="fr-BE"/>
              </w:rPr>
            </w:pPr>
            <w:r w:rsidRPr="004353B1">
              <w:rPr>
                <w:rFonts w:eastAsia="Times New Roman"/>
                <w:i/>
                <w:iCs/>
                <w:noProof/>
                <w:color w:val="000000"/>
                <w:sz w:val="20"/>
                <w:szCs w:val="20"/>
                <w:lang w:val="fr-BE" w:eastAsia="fr-BE"/>
              </w:rPr>
              <w:t>All figures in EUR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821D5E" w14:textId="4F4530A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Grants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AD7564"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Public procurement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87D59CA"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Total</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BEA79C4"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Grants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D4E36CF"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Public procurement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C997E8A"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Total</w:t>
            </w:r>
          </w:p>
        </w:tc>
      </w:tr>
      <w:tr w:rsidR="00CB6EF2" w:rsidRPr="004353B1" w14:paraId="45684C11" w14:textId="77777777" w:rsidTr="00F55783">
        <w:trPr>
          <w:trHeight w:val="480"/>
          <w:jc w:val="center"/>
        </w:trPr>
        <w:tc>
          <w:tcPr>
            <w:tcW w:w="1576" w:type="dxa"/>
            <w:tcBorders>
              <w:top w:val="single" w:sz="4" w:space="0" w:color="auto"/>
              <w:left w:val="single" w:sz="4" w:space="0" w:color="auto"/>
              <w:bottom w:val="single" w:sz="4" w:space="0" w:color="auto"/>
              <w:right w:val="single" w:sz="4" w:space="0" w:color="auto"/>
            </w:tcBorders>
            <w:vAlign w:val="center"/>
            <w:hideMark/>
          </w:tcPr>
          <w:p w14:paraId="459E618A" w14:textId="675D996F" w:rsidR="00CB6EF2" w:rsidRPr="004353B1" w:rsidRDefault="00CB6EF2" w:rsidP="00CB6EF2">
            <w:pPr>
              <w:jc w:val="center"/>
              <w:rPr>
                <w:rFonts w:eastAsia="Times New Roman"/>
                <w:b/>
                <w:bCs/>
                <w:noProof/>
                <w:color w:val="000000"/>
                <w:sz w:val="18"/>
                <w:szCs w:val="18"/>
                <w:lang w:val="fr-BE" w:eastAsia="fr-BE"/>
              </w:rPr>
            </w:pPr>
            <w:r w:rsidRPr="004353B1">
              <w:rPr>
                <w:rFonts w:eastAsia="Times New Roman"/>
                <w:b/>
                <w:bCs/>
                <w:noProof/>
                <w:color w:val="000000"/>
                <w:sz w:val="18"/>
                <w:szCs w:val="18"/>
                <w:lang w:val="fr-BE" w:eastAsia="fr-BE"/>
              </w:rPr>
              <w:t xml:space="preserve">Actual </w:t>
            </w:r>
            <w:r>
              <w:rPr>
                <w:rFonts w:eastAsia="Times New Roman"/>
                <w:b/>
                <w:bCs/>
                <w:noProof/>
                <w:color w:val="000000"/>
                <w:sz w:val="18"/>
                <w:szCs w:val="18"/>
                <w:lang w:val="fr-BE" w:eastAsia="fr-BE"/>
              </w:rPr>
              <w:t>budget</w:t>
            </w:r>
            <w:r w:rsidRPr="004353B1">
              <w:rPr>
                <w:rFonts w:eastAsia="Times New Roman"/>
                <w:b/>
                <w:bCs/>
                <w:noProof/>
                <w:color w:val="000000"/>
                <w:sz w:val="18"/>
                <w:szCs w:val="18"/>
                <w:lang w:val="fr-BE" w:eastAsia="fr-BE"/>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10C0D9" w14:textId="37670E19"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4.000.000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C33D3D"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4.000.000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E114965"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8.000.000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396150"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3.935.189</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C5707B0"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3.064.812</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1CECBAC" w14:textId="77777777"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7.000.001</w:t>
            </w:r>
          </w:p>
        </w:tc>
      </w:tr>
      <w:tr w:rsidR="00CB6EF2" w:rsidRPr="004353B1" w14:paraId="43E5989A" w14:textId="77777777" w:rsidTr="00F55783">
        <w:trPr>
          <w:trHeight w:val="255"/>
          <w:jc w:val="center"/>
        </w:trPr>
        <w:tc>
          <w:tcPr>
            <w:tcW w:w="1576" w:type="dxa"/>
            <w:vMerge w:val="restart"/>
            <w:tcBorders>
              <w:top w:val="single" w:sz="4" w:space="0" w:color="auto"/>
              <w:left w:val="single" w:sz="4" w:space="0" w:color="auto"/>
              <w:bottom w:val="single" w:sz="4" w:space="0" w:color="auto"/>
              <w:right w:val="single" w:sz="4" w:space="0" w:color="auto"/>
            </w:tcBorders>
            <w:vAlign w:val="center"/>
            <w:hideMark/>
          </w:tcPr>
          <w:p w14:paraId="4D3B060F" w14:textId="53C730E0" w:rsidR="00CB6EF2" w:rsidRPr="004353B1" w:rsidRDefault="00CB6EF2" w:rsidP="004353B1">
            <w:pPr>
              <w:jc w:val="center"/>
              <w:rPr>
                <w:rFonts w:eastAsia="Times New Roman"/>
                <w:b/>
                <w:bCs/>
                <w:noProof/>
                <w:color w:val="000000"/>
                <w:sz w:val="18"/>
                <w:szCs w:val="18"/>
                <w:lang w:val="fr-BE" w:eastAsia="fr-BE"/>
              </w:rPr>
            </w:pPr>
            <w:r w:rsidRPr="004353B1">
              <w:rPr>
                <w:rFonts w:eastAsia="Times New Roman"/>
                <w:b/>
                <w:bCs/>
                <w:noProof/>
                <w:color w:val="000000"/>
                <w:sz w:val="18"/>
                <w:szCs w:val="18"/>
                <w:lang w:val="fr-BE" w:eastAsia="fr-BE"/>
              </w:rPr>
              <w:t>Commitments</w:t>
            </w:r>
            <w:r w:rsidR="005763D4">
              <w:rPr>
                <w:rFonts w:eastAsia="Times New Roman"/>
                <w:b/>
                <w:bCs/>
                <w:noProof/>
                <w:color w:val="000000"/>
                <w:sz w:val="18"/>
                <w:szCs w:val="18"/>
                <w:lang w:val="fr-BE" w:eastAsia="fr-BE"/>
              </w:rPr>
              <w:t xml:space="preserve"> </w:t>
            </w:r>
            <w:r w:rsidRPr="004353B1">
              <w:rPr>
                <w:rFonts w:eastAsia="Times New Roman"/>
                <w:b/>
                <w:bCs/>
                <w:noProof/>
                <w:color w:val="000000"/>
                <w:sz w:val="18"/>
                <w:szCs w:val="18"/>
                <w:lang w:val="fr-BE" w:eastAsia="fr-BE"/>
              </w:rPr>
              <w:t>+</w:t>
            </w:r>
            <w:r w:rsidRPr="004353B1">
              <w:rPr>
                <w:rFonts w:eastAsia="Times New Roman"/>
                <w:b/>
                <w:bCs/>
                <w:noProof/>
                <w:color w:val="000000"/>
                <w:sz w:val="18"/>
                <w:szCs w:val="18"/>
                <w:lang w:val="fr-BE" w:eastAsia="fr-BE"/>
              </w:rPr>
              <w:br/>
              <w:t>Co-Delegation (*)</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C645E24" w14:textId="6F9CB32B"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4.025.093</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17C6C1C" w14:textId="0CD4320F" w:rsidR="00CB6EF2" w:rsidRPr="004353B1" w:rsidRDefault="00CB6EF2" w:rsidP="004353B1">
            <w:pPr>
              <w:jc w:val="center"/>
              <w:rPr>
                <w:rFonts w:eastAsia="Times New Roman"/>
                <w:noProof/>
                <w:color w:val="000000"/>
                <w:sz w:val="20"/>
                <w:szCs w:val="20"/>
                <w:lang w:val="fr-BE" w:eastAsia="fr-BE"/>
              </w:rPr>
            </w:pPr>
            <w:r>
              <w:rPr>
                <w:rFonts w:eastAsia="Times New Roman"/>
                <w:noProof/>
                <w:color w:val="000000"/>
                <w:sz w:val="20"/>
                <w:szCs w:val="20"/>
                <w:lang w:val="fr-BE" w:eastAsia="fr-BE"/>
              </w:rPr>
              <w:t>3.974.786</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14:paraId="7D4C50B3" w14:textId="43913128"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7.999.879</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3C0DDC2" w14:textId="34179EDA"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3.935.189</w:t>
            </w:r>
          </w:p>
        </w:tc>
        <w:tc>
          <w:tcPr>
            <w:tcW w:w="1509" w:type="dxa"/>
            <w:tcBorders>
              <w:top w:val="single" w:sz="4" w:space="0" w:color="auto"/>
              <w:left w:val="single" w:sz="4" w:space="0" w:color="auto"/>
              <w:bottom w:val="nil"/>
              <w:right w:val="single" w:sz="4" w:space="0" w:color="auto"/>
            </w:tcBorders>
            <w:vAlign w:val="center"/>
            <w:hideMark/>
          </w:tcPr>
          <w:p w14:paraId="490849B2" w14:textId="0935EA70"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2.844.906</w:t>
            </w:r>
          </w:p>
        </w:tc>
        <w:tc>
          <w:tcPr>
            <w:tcW w:w="1387" w:type="dxa"/>
            <w:tcBorders>
              <w:top w:val="single" w:sz="4" w:space="0" w:color="auto"/>
              <w:left w:val="single" w:sz="4" w:space="0" w:color="auto"/>
              <w:bottom w:val="nil"/>
              <w:right w:val="single" w:sz="4" w:space="0" w:color="auto"/>
            </w:tcBorders>
            <w:vAlign w:val="center"/>
            <w:hideMark/>
          </w:tcPr>
          <w:p w14:paraId="5E0012FF" w14:textId="746F8AF9"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6.780.095</w:t>
            </w:r>
          </w:p>
        </w:tc>
      </w:tr>
      <w:tr w:rsidR="00CB6EF2" w:rsidRPr="004353B1" w14:paraId="751F6A34" w14:textId="77777777" w:rsidTr="00F55783">
        <w:trPr>
          <w:trHeight w:val="255"/>
          <w:jc w:val="center"/>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5A1C2F39" w14:textId="77777777" w:rsidR="00CB6EF2" w:rsidRPr="004353B1" w:rsidRDefault="00CB6EF2" w:rsidP="004353B1">
            <w:pPr>
              <w:rPr>
                <w:rFonts w:eastAsia="Times New Roman"/>
                <w:b/>
                <w:bCs/>
                <w:noProof/>
                <w:color w:val="000000"/>
                <w:sz w:val="18"/>
                <w:szCs w:val="18"/>
                <w:lang w:val="fr-BE" w:eastAsia="fr-B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64C9166" w14:textId="324932F3" w:rsidR="00CB6EF2" w:rsidRPr="004353B1" w:rsidRDefault="00CB6EF2" w:rsidP="004353B1">
            <w:pPr>
              <w:rPr>
                <w:rFonts w:eastAsia="Times New Roman"/>
                <w:noProof/>
                <w:color w:val="000000"/>
                <w:sz w:val="20"/>
                <w:szCs w:val="20"/>
                <w:lang w:val="fr-BE" w:eastAsia="fr-B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272BAEA" w14:textId="77777777" w:rsidR="00CB6EF2" w:rsidRPr="004353B1" w:rsidRDefault="00CB6EF2" w:rsidP="004353B1">
            <w:pPr>
              <w:rPr>
                <w:rFonts w:eastAsia="Times New Roman"/>
                <w:noProof/>
                <w:color w:val="000000"/>
                <w:sz w:val="20"/>
                <w:szCs w:val="20"/>
                <w:lang w:val="fr-BE" w:eastAsia="fr-BE"/>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46797A13" w14:textId="77777777" w:rsidR="00CB6EF2" w:rsidRPr="004353B1" w:rsidRDefault="00CB6EF2" w:rsidP="004353B1">
            <w:pPr>
              <w:rPr>
                <w:rFonts w:eastAsia="Times New Roman"/>
                <w:noProof/>
                <w:sz w:val="20"/>
                <w:szCs w:val="20"/>
                <w:lang w:val="fr-BE" w:eastAsia="fr-BE"/>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3D4D074A" w14:textId="77777777" w:rsidR="00CB6EF2" w:rsidRPr="004353B1" w:rsidRDefault="00CB6EF2" w:rsidP="004353B1">
            <w:pPr>
              <w:rPr>
                <w:rFonts w:eastAsia="Times New Roman"/>
                <w:noProof/>
                <w:sz w:val="20"/>
                <w:szCs w:val="20"/>
                <w:lang w:val="fr-BE" w:eastAsia="fr-BE"/>
              </w:rPr>
            </w:pPr>
          </w:p>
        </w:tc>
        <w:tc>
          <w:tcPr>
            <w:tcW w:w="1509" w:type="dxa"/>
            <w:tcBorders>
              <w:top w:val="nil"/>
              <w:left w:val="single" w:sz="4" w:space="0" w:color="auto"/>
              <w:bottom w:val="single" w:sz="4" w:space="0" w:color="auto"/>
              <w:right w:val="single" w:sz="4" w:space="0" w:color="auto"/>
            </w:tcBorders>
            <w:vAlign w:val="center"/>
            <w:hideMark/>
          </w:tcPr>
          <w:p w14:paraId="4F1D7A4C"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w:t>
            </w:r>
          </w:p>
        </w:tc>
        <w:tc>
          <w:tcPr>
            <w:tcW w:w="1387" w:type="dxa"/>
            <w:tcBorders>
              <w:top w:val="nil"/>
              <w:left w:val="single" w:sz="4" w:space="0" w:color="auto"/>
              <w:bottom w:val="single" w:sz="4" w:space="0" w:color="auto"/>
              <w:right w:val="single" w:sz="4" w:space="0" w:color="auto"/>
            </w:tcBorders>
            <w:vAlign w:val="center"/>
            <w:hideMark/>
          </w:tcPr>
          <w:p w14:paraId="38E99C56"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w:t>
            </w:r>
          </w:p>
        </w:tc>
      </w:tr>
      <w:tr w:rsidR="00CB6EF2" w:rsidRPr="004353B1" w14:paraId="169519F5" w14:textId="77777777" w:rsidTr="00F55783">
        <w:trPr>
          <w:trHeight w:val="390"/>
          <w:jc w:val="center"/>
        </w:trPr>
        <w:tc>
          <w:tcPr>
            <w:tcW w:w="1576" w:type="dxa"/>
            <w:tcBorders>
              <w:top w:val="single" w:sz="4" w:space="0" w:color="auto"/>
              <w:left w:val="single" w:sz="4" w:space="0" w:color="auto"/>
              <w:bottom w:val="single" w:sz="4" w:space="0" w:color="auto"/>
              <w:right w:val="single" w:sz="4" w:space="0" w:color="auto"/>
            </w:tcBorders>
            <w:vAlign w:val="center"/>
            <w:hideMark/>
          </w:tcPr>
          <w:p w14:paraId="513A3A5C" w14:textId="77777777" w:rsidR="00CB6EF2" w:rsidRPr="004353B1" w:rsidRDefault="00CB6EF2" w:rsidP="004353B1">
            <w:pPr>
              <w:jc w:val="center"/>
              <w:rPr>
                <w:rFonts w:eastAsia="Times New Roman"/>
                <w:b/>
                <w:bCs/>
                <w:noProof/>
                <w:color w:val="000000"/>
                <w:sz w:val="18"/>
                <w:szCs w:val="18"/>
                <w:lang w:val="fr-BE" w:eastAsia="fr-BE"/>
              </w:rPr>
            </w:pPr>
            <w:r w:rsidRPr="004353B1">
              <w:rPr>
                <w:rFonts w:eastAsia="Times New Roman"/>
                <w:b/>
                <w:bCs/>
                <w:noProof/>
                <w:color w:val="000000"/>
                <w:sz w:val="18"/>
                <w:szCs w:val="18"/>
                <w:lang w:val="fr-BE" w:eastAsia="fr-BE"/>
              </w:rPr>
              <w:t>% of consumption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DDC3CC" w14:textId="1FBEE315"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100,63%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AD43EB" w14:textId="76336CD0"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9</w:t>
            </w:r>
            <w:r>
              <w:rPr>
                <w:rFonts w:eastAsia="Times New Roman"/>
                <w:noProof/>
                <w:sz w:val="20"/>
                <w:szCs w:val="20"/>
                <w:lang w:val="fr-BE" w:eastAsia="fr-BE"/>
              </w:rPr>
              <w:t>9,37</w:t>
            </w:r>
            <w:r w:rsidRPr="004353B1">
              <w:rPr>
                <w:rFonts w:eastAsia="Times New Roman"/>
                <w:noProof/>
                <w:sz w:val="20"/>
                <w:szCs w:val="20"/>
                <w:lang w:val="fr-BE" w:eastAsia="fr-BE"/>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9139444" w14:textId="2DE2593B"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100,00</w:t>
            </w:r>
            <w:r w:rsidRPr="004353B1">
              <w:rPr>
                <w:rFonts w:eastAsia="Times New Roman"/>
                <w:noProof/>
                <w:sz w:val="20"/>
                <w:szCs w:val="20"/>
                <w:lang w:val="fr-BE" w:eastAsia="fr-BE"/>
              </w:rPr>
              <w: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F2BE552" w14:textId="5F85F50A" w:rsidR="00CB6EF2" w:rsidRPr="004353B1" w:rsidRDefault="00CB6EF2" w:rsidP="00CB6EF2">
            <w:pPr>
              <w:jc w:val="center"/>
              <w:rPr>
                <w:rFonts w:eastAsia="Times New Roman"/>
                <w:noProof/>
                <w:sz w:val="20"/>
                <w:szCs w:val="20"/>
                <w:lang w:val="fr-BE" w:eastAsia="fr-BE"/>
              </w:rPr>
            </w:pPr>
            <w:r w:rsidRPr="004353B1">
              <w:rPr>
                <w:rFonts w:eastAsia="Times New Roman"/>
                <w:noProof/>
                <w:sz w:val="20"/>
                <w:szCs w:val="20"/>
                <w:lang w:val="fr-BE" w:eastAsia="fr-BE"/>
              </w:rPr>
              <w:t>100,</w:t>
            </w:r>
            <w:r>
              <w:rPr>
                <w:rFonts w:eastAsia="Times New Roman"/>
                <w:noProof/>
                <w:sz w:val="20"/>
                <w:szCs w:val="20"/>
                <w:lang w:val="fr-BE" w:eastAsia="fr-BE"/>
              </w:rPr>
              <w:t>00</w:t>
            </w:r>
            <w:r w:rsidRPr="004353B1">
              <w:rPr>
                <w:rFonts w:eastAsia="Times New Roman"/>
                <w:noProof/>
                <w:sz w:val="20"/>
                <w:szCs w:val="20"/>
                <w:lang w:val="fr-BE" w:eastAsia="fr-BE"/>
              </w:rPr>
              <w: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20954DB" w14:textId="31165AD9" w:rsidR="00CB6EF2" w:rsidRPr="004353B1" w:rsidRDefault="00CB6EF2" w:rsidP="00CB6EF2">
            <w:pPr>
              <w:jc w:val="center"/>
              <w:rPr>
                <w:rFonts w:eastAsia="Times New Roman"/>
                <w:noProof/>
                <w:sz w:val="20"/>
                <w:szCs w:val="20"/>
                <w:lang w:val="fr-BE" w:eastAsia="fr-BE"/>
              </w:rPr>
            </w:pPr>
            <w:r w:rsidRPr="004353B1">
              <w:rPr>
                <w:rFonts w:eastAsia="Times New Roman"/>
                <w:noProof/>
                <w:sz w:val="20"/>
                <w:szCs w:val="20"/>
                <w:lang w:val="fr-BE" w:eastAsia="fr-BE"/>
              </w:rPr>
              <w:t>92,</w:t>
            </w:r>
            <w:r>
              <w:rPr>
                <w:rFonts w:eastAsia="Times New Roman"/>
                <w:noProof/>
                <w:sz w:val="20"/>
                <w:szCs w:val="20"/>
                <w:lang w:val="fr-BE" w:eastAsia="fr-BE"/>
              </w:rPr>
              <w:t>82</w:t>
            </w:r>
            <w:r w:rsidRPr="004353B1">
              <w:rPr>
                <w:rFonts w:eastAsia="Times New Roman"/>
                <w:noProof/>
                <w:sz w:val="20"/>
                <w:szCs w:val="20"/>
                <w:lang w:val="fr-BE" w:eastAsia="fr-BE"/>
              </w:rPr>
              <w: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B0915C6" w14:textId="41A804FC"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96.86</w:t>
            </w:r>
            <w:r w:rsidRPr="004353B1">
              <w:rPr>
                <w:rFonts w:eastAsia="Times New Roman"/>
                <w:noProof/>
                <w:sz w:val="20"/>
                <w:szCs w:val="20"/>
                <w:lang w:val="fr-BE" w:eastAsia="fr-BE"/>
              </w:rPr>
              <w:t>%</w:t>
            </w:r>
          </w:p>
        </w:tc>
      </w:tr>
      <w:tr w:rsidR="00CB6EF2" w:rsidRPr="004353B1" w14:paraId="1ACA64C8" w14:textId="77777777" w:rsidTr="00F55783">
        <w:trPr>
          <w:trHeight w:val="510"/>
          <w:jc w:val="center"/>
        </w:trPr>
        <w:tc>
          <w:tcPr>
            <w:tcW w:w="1576" w:type="dxa"/>
            <w:tcBorders>
              <w:top w:val="single" w:sz="4" w:space="0" w:color="auto"/>
              <w:left w:val="single" w:sz="4" w:space="0" w:color="auto"/>
              <w:bottom w:val="single" w:sz="4" w:space="0" w:color="auto"/>
              <w:right w:val="single" w:sz="4" w:space="0" w:color="auto"/>
            </w:tcBorders>
            <w:vAlign w:val="center"/>
            <w:hideMark/>
          </w:tcPr>
          <w:p w14:paraId="71119B5A" w14:textId="77777777" w:rsidR="00CB6EF2" w:rsidRPr="004353B1" w:rsidRDefault="00CB6EF2" w:rsidP="004353B1">
            <w:pPr>
              <w:jc w:val="center"/>
              <w:rPr>
                <w:rFonts w:eastAsia="Times New Roman"/>
                <w:b/>
                <w:bCs/>
                <w:noProof/>
                <w:color w:val="000000"/>
                <w:sz w:val="18"/>
                <w:szCs w:val="18"/>
                <w:lang w:val="fr-BE" w:eastAsia="fr-BE"/>
              </w:rPr>
            </w:pPr>
            <w:r w:rsidRPr="004353B1">
              <w:rPr>
                <w:rFonts w:eastAsia="Times New Roman"/>
                <w:b/>
                <w:bCs/>
                <w:noProof/>
                <w:color w:val="000000"/>
                <w:sz w:val="18"/>
                <w:szCs w:val="18"/>
                <w:lang w:val="fr-BE" w:eastAsia="fr-BE"/>
              </w:rPr>
              <w:t>Payments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81B33F" w14:textId="020147AA" w:rsidR="00CB6EF2" w:rsidRPr="004353B1" w:rsidRDefault="00CB6EF2" w:rsidP="004353B1">
            <w:pPr>
              <w:jc w:val="center"/>
              <w:rPr>
                <w:rFonts w:eastAsia="Times New Roman"/>
                <w:noProof/>
                <w:color w:val="000000"/>
                <w:sz w:val="20"/>
                <w:szCs w:val="20"/>
                <w:lang w:val="fr-BE" w:eastAsia="fr-BE"/>
              </w:rPr>
            </w:pPr>
            <w:r w:rsidRPr="004353B1">
              <w:rPr>
                <w:rFonts w:eastAsia="Times New Roman"/>
                <w:noProof/>
                <w:color w:val="000000"/>
                <w:sz w:val="20"/>
                <w:szCs w:val="20"/>
                <w:lang w:val="fr-BE" w:eastAsia="fr-BE"/>
              </w:rPr>
              <w:t>3.674.830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C652ED" w14:textId="65D3FC54" w:rsidR="00CB6EF2" w:rsidRPr="004353B1" w:rsidRDefault="00CB6EF2" w:rsidP="004353B1">
            <w:pPr>
              <w:jc w:val="center"/>
              <w:rPr>
                <w:rFonts w:eastAsia="Times New Roman"/>
                <w:noProof/>
                <w:color w:val="000000"/>
                <w:sz w:val="20"/>
                <w:szCs w:val="20"/>
                <w:lang w:val="fr-BE" w:eastAsia="fr-BE"/>
              </w:rPr>
            </w:pPr>
            <w:r>
              <w:rPr>
                <w:rFonts w:eastAsia="Times New Roman"/>
                <w:noProof/>
                <w:color w:val="000000"/>
                <w:sz w:val="20"/>
                <w:szCs w:val="20"/>
                <w:lang w:val="fr-BE" w:eastAsia="fr-BE"/>
              </w:rPr>
              <w:t>3.757.698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8681C2C" w14:textId="108418FB"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7.432.528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D0DA82A"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FF92779"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46C5375"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r>
      <w:tr w:rsidR="00CB6EF2" w:rsidRPr="004353B1" w14:paraId="7E5C2B35" w14:textId="77777777" w:rsidTr="00F55783">
        <w:trPr>
          <w:trHeight w:val="720"/>
          <w:jc w:val="center"/>
        </w:trPr>
        <w:tc>
          <w:tcPr>
            <w:tcW w:w="1576" w:type="dxa"/>
            <w:tcBorders>
              <w:top w:val="single" w:sz="4" w:space="0" w:color="auto"/>
              <w:left w:val="single" w:sz="4" w:space="0" w:color="auto"/>
              <w:bottom w:val="single" w:sz="4" w:space="0" w:color="auto"/>
              <w:right w:val="single" w:sz="4" w:space="0" w:color="auto"/>
            </w:tcBorders>
            <w:vAlign w:val="center"/>
            <w:hideMark/>
          </w:tcPr>
          <w:p w14:paraId="618905C0" w14:textId="77777777" w:rsidR="00CB6EF2" w:rsidRPr="00A86312" w:rsidRDefault="00CB6EF2" w:rsidP="004353B1">
            <w:pPr>
              <w:jc w:val="center"/>
              <w:rPr>
                <w:rFonts w:eastAsia="Times New Roman"/>
                <w:b/>
                <w:bCs/>
                <w:noProof/>
                <w:color w:val="000000"/>
                <w:sz w:val="18"/>
                <w:szCs w:val="18"/>
                <w:lang w:eastAsia="fr-BE"/>
              </w:rPr>
            </w:pPr>
            <w:r w:rsidRPr="00A86312">
              <w:rPr>
                <w:rFonts w:eastAsia="Times New Roman"/>
                <w:b/>
                <w:bCs/>
                <w:noProof/>
                <w:color w:val="000000"/>
                <w:sz w:val="18"/>
                <w:szCs w:val="18"/>
                <w:lang w:eastAsia="fr-BE"/>
              </w:rPr>
              <w:t>% of payment vs. Commitment/Co-Delegation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AE8053" w14:textId="20F3DD21"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91,30%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7DC75F" w14:textId="36BF0F54"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94,54</w:t>
            </w:r>
            <w:r w:rsidRPr="004353B1">
              <w:rPr>
                <w:rFonts w:eastAsia="Times New Roman"/>
                <w:noProof/>
                <w:sz w:val="20"/>
                <w:szCs w:val="20"/>
                <w:lang w:val="fr-BE" w:eastAsia="fr-BE"/>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1564B78" w14:textId="5ABBE18E" w:rsidR="00CB6EF2" w:rsidRPr="004353B1" w:rsidRDefault="00CB6EF2" w:rsidP="004353B1">
            <w:pPr>
              <w:jc w:val="center"/>
              <w:rPr>
                <w:rFonts w:eastAsia="Times New Roman"/>
                <w:noProof/>
                <w:sz w:val="20"/>
                <w:szCs w:val="20"/>
                <w:lang w:val="fr-BE" w:eastAsia="fr-BE"/>
              </w:rPr>
            </w:pPr>
            <w:r>
              <w:rPr>
                <w:rFonts w:eastAsia="Times New Roman"/>
                <w:noProof/>
                <w:sz w:val="20"/>
                <w:szCs w:val="20"/>
                <w:lang w:val="fr-BE" w:eastAsia="fr-BE"/>
              </w:rPr>
              <w:t>92,91</w:t>
            </w:r>
            <w:r w:rsidRPr="004353B1">
              <w:rPr>
                <w:rFonts w:eastAsia="Times New Roman"/>
                <w:noProof/>
                <w:sz w:val="20"/>
                <w:szCs w:val="20"/>
                <w:lang w:val="fr-BE" w:eastAsia="fr-BE"/>
              </w:rPr>
              <w: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69A3122"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45BA69D"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B13B6E4" w14:textId="77777777" w:rsidR="00CB6EF2" w:rsidRPr="004353B1" w:rsidRDefault="00CB6EF2" w:rsidP="004353B1">
            <w:pPr>
              <w:jc w:val="center"/>
              <w:rPr>
                <w:rFonts w:eastAsia="Times New Roman"/>
                <w:noProof/>
                <w:sz w:val="20"/>
                <w:szCs w:val="20"/>
                <w:lang w:val="fr-BE" w:eastAsia="fr-BE"/>
              </w:rPr>
            </w:pPr>
            <w:r w:rsidRPr="004353B1">
              <w:rPr>
                <w:rFonts w:eastAsia="Times New Roman"/>
                <w:noProof/>
                <w:sz w:val="20"/>
                <w:szCs w:val="20"/>
                <w:lang w:val="fr-BE" w:eastAsia="fr-BE"/>
              </w:rPr>
              <w:t>N/A</w:t>
            </w:r>
            <w:r w:rsidRPr="004353B1">
              <w:rPr>
                <w:rFonts w:eastAsia="Times New Roman"/>
                <w:noProof/>
                <w:sz w:val="20"/>
                <w:szCs w:val="20"/>
                <w:lang w:val="fr-BE" w:eastAsia="fr-BE"/>
              </w:rPr>
              <w:br/>
              <w:t xml:space="preserve"> (***)</w:t>
            </w:r>
          </w:p>
        </w:tc>
      </w:tr>
    </w:tbl>
    <w:p w14:paraId="082F8B71" w14:textId="13CB060B" w:rsidR="004353B1" w:rsidRDefault="002F4DAF" w:rsidP="002F4DAF">
      <w:pPr>
        <w:jc w:val="both"/>
        <w:rPr>
          <w:noProof/>
          <w:sz w:val="18"/>
          <w:szCs w:val="18"/>
        </w:rPr>
      </w:pPr>
      <w:r>
        <w:rPr>
          <w:noProof/>
          <w:sz w:val="18"/>
          <w:szCs w:val="18"/>
        </w:rPr>
        <w:t xml:space="preserve">(*) </w:t>
      </w:r>
      <w:r w:rsidR="004353B1">
        <w:rPr>
          <w:noProof/>
          <w:sz w:val="18"/>
          <w:szCs w:val="18"/>
        </w:rPr>
        <w:t>Figures including commitments level 1 or 2 as well as budget spent by co-delegated entities.</w:t>
      </w:r>
    </w:p>
    <w:p w14:paraId="6B56EEC6" w14:textId="6B5903B3" w:rsidR="002F4DAF" w:rsidRPr="00B03AFD" w:rsidRDefault="004353B1" w:rsidP="002F4DAF">
      <w:pPr>
        <w:jc w:val="both"/>
        <w:rPr>
          <w:noProof/>
          <w:color w:val="FF0000"/>
          <w:sz w:val="18"/>
          <w:szCs w:val="18"/>
        </w:rPr>
      </w:pPr>
      <w:r>
        <w:rPr>
          <w:noProof/>
          <w:sz w:val="18"/>
          <w:szCs w:val="18"/>
        </w:rPr>
        <w:t xml:space="preserve">(**) Based on </w:t>
      </w:r>
      <w:r w:rsidR="002F4DAF">
        <w:rPr>
          <w:noProof/>
          <w:sz w:val="18"/>
          <w:szCs w:val="18"/>
        </w:rPr>
        <w:t>DG AGRI's external communication action plan</w:t>
      </w:r>
      <w:r>
        <w:rPr>
          <w:noProof/>
          <w:sz w:val="18"/>
          <w:szCs w:val="18"/>
        </w:rPr>
        <w:t xml:space="preserve"> amendment</w:t>
      </w:r>
      <w:r w:rsidR="002F4DAF" w:rsidRPr="00B03AFD">
        <w:rPr>
          <w:noProof/>
          <w:color w:val="FF0000"/>
          <w:sz w:val="18"/>
          <w:szCs w:val="18"/>
        </w:rPr>
        <w:t>.</w:t>
      </w:r>
    </w:p>
    <w:p w14:paraId="011320DD" w14:textId="51712B23" w:rsidR="002F4DAF" w:rsidRDefault="002F4DAF" w:rsidP="002F4DAF">
      <w:pPr>
        <w:jc w:val="both"/>
        <w:rPr>
          <w:noProof/>
          <w:sz w:val="18"/>
          <w:szCs w:val="18"/>
        </w:rPr>
      </w:pPr>
      <w:r>
        <w:rPr>
          <w:noProof/>
          <w:sz w:val="18"/>
          <w:szCs w:val="18"/>
        </w:rPr>
        <w:t>(</w:t>
      </w:r>
      <w:r w:rsidR="004353B1">
        <w:rPr>
          <w:noProof/>
          <w:sz w:val="18"/>
          <w:szCs w:val="18"/>
        </w:rPr>
        <w:t>*</w:t>
      </w:r>
      <w:r>
        <w:rPr>
          <w:noProof/>
          <w:sz w:val="18"/>
          <w:szCs w:val="18"/>
        </w:rPr>
        <w:t>**) Payments of these actions are ongoing and not yet finalised</w:t>
      </w:r>
      <w:r w:rsidR="00853B20">
        <w:rPr>
          <w:noProof/>
          <w:sz w:val="18"/>
          <w:szCs w:val="18"/>
        </w:rPr>
        <w:t>.</w:t>
      </w:r>
    </w:p>
    <w:p w14:paraId="747454DC" w14:textId="61BFFD08" w:rsidR="0059162F" w:rsidRPr="00507003" w:rsidRDefault="0059162F" w:rsidP="0059162F">
      <w:pPr>
        <w:spacing w:before="120" w:after="120"/>
        <w:jc w:val="both"/>
        <w:rPr>
          <w:rStyle w:val="super"/>
          <w:noProof/>
        </w:rPr>
      </w:pPr>
      <w:r w:rsidRPr="00507003">
        <w:rPr>
          <w:rStyle w:val="super"/>
          <w:noProof/>
        </w:rPr>
        <w:t>Payments are generally lower than the amounts originally committed. In the case of grants, this can be explained by the fact that final costs of the actions are lower than initially foreseen by the beneficiary, and secondly, because not all expenses declared by the beneficiaries can be considered as eligible. In the case of actions taken at the initiative of the Commission, the difference between payments and commitments arises from the fact that, while commitments are fixed, actual expenditure is less than that foreseen due to savings and the use of more cost-effective measures during implementation</w:t>
      </w:r>
      <w:r w:rsidR="000D5116" w:rsidRPr="00507003">
        <w:rPr>
          <w:rStyle w:val="super"/>
          <w:noProof/>
        </w:rPr>
        <w:t>.</w:t>
      </w:r>
    </w:p>
    <w:p w14:paraId="4A114F2A" w14:textId="77777777" w:rsidR="00F05F4C" w:rsidRDefault="00F05F4C" w:rsidP="0059162F">
      <w:pPr>
        <w:spacing w:before="120" w:after="120"/>
        <w:jc w:val="both"/>
        <w:rPr>
          <w:noProof/>
        </w:rPr>
      </w:pPr>
    </w:p>
    <w:p w14:paraId="1516E463" w14:textId="6045B1C4" w:rsidR="0059162F" w:rsidRPr="00B71EFA" w:rsidRDefault="0059162F" w:rsidP="0059162F">
      <w:pPr>
        <w:pStyle w:val="Style1"/>
        <w:rPr>
          <w:color w:val="000000" w:themeColor="text1"/>
        </w:rPr>
      </w:pPr>
      <w:bookmarkStart w:id="9" w:name="_Toc478655578"/>
      <w:bookmarkStart w:id="10" w:name="_Toc478656308"/>
      <w:r w:rsidRPr="00B71EFA">
        <w:rPr>
          <w:color w:val="000000" w:themeColor="text1"/>
        </w:rPr>
        <w:t>V.</w:t>
      </w:r>
      <w:r w:rsidRPr="00B71EFA">
        <w:rPr>
          <w:color w:val="000000" w:themeColor="text1"/>
        </w:rPr>
        <w:tab/>
        <w:t>CONCLUSION</w:t>
      </w:r>
      <w:bookmarkEnd w:id="9"/>
      <w:bookmarkEnd w:id="10"/>
      <w:r w:rsidRPr="00B71EFA">
        <w:rPr>
          <w:color w:val="000000" w:themeColor="text1"/>
        </w:rPr>
        <w:t xml:space="preserve"> </w:t>
      </w:r>
    </w:p>
    <w:p w14:paraId="0D3BD855" w14:textId="1989201F" w:rsidR="007701E8" w:rsidRPr="00507003" w:rsidRDefault="00A439F3" w:rsidP="00F02FC9">
      <w:pPr>
        <w:jc w:val="both"/>
        <w:rPr>
          <w:rStyle w:val="super"/>
          <w:noProof/>
        </w:rPr>
      </w:pPr>
      <w:r w:rsidRPr="00507003">
        <w:rPr>
          <w:rStyle w:val="super"/>
          <w:noProof/>
        </w:rPr>
        <w:t>Promoting the EU’s sustainability objective, its aim to transform the EU into a fair and prosperous</w:t>
      </w:r>
      <w:r w:rsidR="008A1A10" w:rsidRPr="00507003">
        <w:rPr>
          <w:rStyle w:val="super"/>
          <w:noProof/>
        </w:rPr>
        <w:t xml:space="preserve"> society</w:t>
      </w:r>
      <w:r w:rsidRPr="00507003">
        <w:rPr>
          <w:rStyle w:val="super"/>
          <w:noProof/>
        </w:rPr>
        <w:t xml:space="preserve">, with a modern, resource-efficient and competitive economy, was central to the </w:t>
      </w:r>
      <w:r w:rsidR="007701E8" w:rsidRPr="00507003">
        <w:rPr>
          <w:rStyle w:val="super"/>
          <w:noProof/>
        </w:rPr>
        <w:t>Commission</w:t>
      </w:r>
      <w:r w:rsidRPr="00507003">
        <w:rPr>
          <w:rStyle w:val="super"/>
          <w:noProof/>
        </w:rPr>
        <w:t>’s communication actions in 2019-2020.</w:t>
      </w:r>
      <w:r w:rsidR="007701E8" w:rsidRPr="00507003">
        <w:rPr>
          <w:rStyle w:val="super"/>
          <w:noProof/>
        </w:rPr>
        <w:t xml:space="preserve"> In this period, the CAP information measures</w:t>
      </w:r>
      <w:r w:rsidR="008A1A10" w:rsidRPr="00507003">
        <w:rPr>
          <w:rStyle w:val="super"/>
          <w:noProof/>
        </w:rPr>
        <w:t>, reflecting this objective,</w:t>
      </w:r>
      <w:r w:rsidR="007701E8" w:rsidRPr="00507003">
        <w:rPr>
          <w:rStyle w:val="super"/>
          <w:noProof/>
        </w:rPr>
        <w:t xml:space="preserve"> </w:t>
      </w:r>
      <w:r w:rsidR="008A1A10" w:rsidRPr="00507003">
        <w:rPr>
          <w:rStyle w:val="super"/>
          <w:noProof/>
        </w:rPr>
        <w:t>highlighted the simplification and modernisation of the future CAP, its capacity to better respond to the emerging economic, environmental and social challenges, its focus on supporting viable farm income, bolstering environmental and climate action, strengthening the socio-economic fabric of rural areas and addressing societal concerns.</w:t>
      </w:r>
    </w:p>
    <w:p w14:paraId="0C80713A" w14:textId="5F366D42" w:rsidR="003B4B87" w:rsidRPr="00A9112E" w:rsidRDefault="003B4B87" w:rsidP="007701E8">
      <w:pPr>
        <w:rPr>
          <w:noProof/>
        </w:rPr>
      </w:pPr>
    </w:p>
    <w:sectPr w:rsidR="003B4B87" w:rsidRPr="00A9112E" w:rsidSect="000D4E0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8637" w14:textId="77777777" w:rsidR="0059162F" w:rsidRDefault="0059162F" w:rsidP="0059162F">
      <w:r>
        <w:separator/>
      </w:r>
    </w:p>
  </w:endnote>
  <w:endnote w:type="continuationSeparator" w:id="0">
    <w:p w14:paraId="00B8324E" w14:textId="77777777" w:rsidR="0059162F" w:rsidRDefault="0059162F" w:rsidP="0059162F">
      <w:r>
        <w:continuationSeparator/>
      </w:r>
    </w:p>
  </w:endnote>
  <w:endnote w:type="continuationNotice" w:id="1">
    <w:p w14:paraId="5019C736" w14:textId="77777777" w:rsidR="00DC72A2" w:rsidRDefault="00DC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Malgun Gothic Semilight"/>
    <w:panose1 w:val="00000000000000000000"/>
    <w:charset w:val="00"/>
    <w:family w:val="roman"/>
    <w:notTrueType/>
    <w:pitch w:val="default"/>
    <w:sig w:usb0="00000000"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16B4" w14:textId="77777777" w:rsidR="00B244F6" w:rsidRPr="00B244F6" w:rsidRDefault="00B244F6" w:rsidP="00B2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2D98" w14:textId="5A7EB964" w:rsidR="001813C0" w:rsidRPr="00B244F6" w:rsidRDefault="00B244F6" w:rsidP="00B244F6">
    <w:pPr>
      <w:pStyle w:val="FooterCoverPage"/>
      <w:rPr>
        <w:rFonts w:ascii="Arial" w:hAnsi="Arial" w:cs="Arial"/>
        <w:b/>
        <w:sz w:val="48"/>
      </w:rPr>
    </w:pPr>
    <w:r w:rsidRPr="00B244F6">
      <w:rPr>
        <w:rFonts w:ascii="Arial" w:hAnsi="Arial" w:cs="Arial"/>
        <w:b/>
        <w:sz w:val="48"/>
      </w:rPr>
      <w:t>EN</w:t>
    </w:r>
    <w:r w:rsidRPr="00B244F6">
      <w:rPr>
        <w:rFonts w:ascii="Arial" w:hAnsi="Arial" w:cs="Arial"/>
        <w:b/>
        <w:sz w:val="48"/>
      </w:rPr>
      <w:tab/>
    </w:r>
    <w:r w:rsidRPr="00B244F6">
      <w:rPr>
        <w:rFonts w:ascii="Arial" w:hAnsi="Arial" w:cs="Arial"/>
        <w:b/>
        <w:sz w:val="48"/>
      </w:rPr>
      <w:tab/>
    </w:r>
    <w:r w:rsidRPr="00B244F6">
      <w:tab/>
    </w:r>
    <w:r w:rsidRPr="00B244F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87C7" w14:textId="77777777" w:rsidR="00B244F6" w:rsidRPr="00B244F6" w:rsidRDefault="00B244F6" w:rsidP="00B244F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C7F4" w14:textId="77777777" w:rsidR="00F665BD" w:rsidRDefault="00F665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60523"/>
      <w:docPartObj>
        <w:docPartGallery w:val="Page Numbers (Bottom of Page)"/>
        <w:docPartUnique/>
      </w:docPartObj>
    </w:sdtPr>
    <w:sdtEndPr>
      <w:rPr>
        <w:noProof/>
      </w:rPr>
    </w:sdtEndPr>
    <w:sdtContent>
      <w:p w14:paraId="227BE067" w14:textId="4BEE096E" w:rsidR="00F665BD" w:rsidRDefault="00F665BD">
        <w:pPr>
          <w:pStyle w:val="Footer"/>
          <w:jc w:val="center"/>
        </w:pPr>
        <w:r>
          <w:fldChar w:fldCharType="begin"/>
        </w:r>
        <w:r>
          <w:instrText xml:space="preserve"> PAGE   \* MERGEFORMAT </w:instrText>
        </w:r>
        <w:r>
          <w:fldChar w:fldCharType="separate"/>
        </w:r>
        <w:r w:rsidR="00B244F6">
          <w:rPr>
            <w:noProof/>
          </w:rPr>
          <w:t>1</w:t>
        </w:r>
        <w:r>
          <w:rPr>
            <w:noProof/>
          </w:rPr>
          <w:fldChar w:fldCharType="end"/>
        </w:r>
      </w:p>
    </w:sdtContent>
  </w:sdt>
  <w:p w14:paraId="055C8512" w14:textId="77777777" w:rsidR="00F665BD" w:rsidRDefault="00F665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2DF3" w14:textId="77777777" w:rsidR="00F665BD" w:rsidRDefault="00F66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3CE1" w14:textId="77777777" w:rsidR="0059162F" w:rsidRDefault="0059162F" w:rsidP="0059162F">
      <w:r>
        <w:separator/>
      </w:r>
    </w:p>
  </w:footnote>
  <w:footnote w:type="continuationSeparator" w:id="0">
    <w:p w14:paraId="3350CFBD" w14:textId="77777777" w:rsidR="0059162F" w:rsidRDefault="0059162F" w:rsidP="0059162F">
      <w:r>
        <w:continuationSeparator/>
      </w:r>
    </w:p>
  </w:footnote>
  <w:footnote w:type="continuationNotice" w:id="1">
    <w:p w14:paraId="4F4AE015" w14:textId="77777777" w:rsidR="00DC72A2" w:rsidRDefault="00DC72A2"/>
  </w:footnote>
  <w:footnote w:id="2">
    <w:p w14:paraId="14E2E4A6" w14:textId="076D1951" w:rsidR="00B93628" w:rsidRPr="00B93628" w:rsidRDefault="00B93628">
      <w:pPr>
        <w:pStyle w:val="FootnoteText"/>
      </w:pPr>
      <w:r>
        <w:rPr>
          <w:rStyle w:val="FootnoteReference"/>
        </w:rPr>
        <w:footnoteRef/>
      </w:r>
      <w:r w:rsidRPr="00B93628">
        <w:tab/>
      </w:r>
      <w:r>
        <w:t>Official Journal of the European Union, OJ L 347, 20.12.2013, p. 549.</w:t>
      </w:r>
    </w:p>
  </w:footnote>
  <w:footnote w:id="3">
    <w:p w14:paraId="3D2AD60C" w14:textId="670B2DBE" w:rsidR="00B93628" w:rsidRPr="00B93628" w:rsidRDefault="00B93628">
      <w:pPr>
        <w:pStyle w:val="FootnoteText"/>
      </w:pPr>
      <w:r>
        <w:rPr>
          <w:rStyle w:val="FootnoteReference"/>
        </w:rPr>
        <w:footnoteRef/>
      </w:r>
      <w:r w:rsidRPr="00B93628">
        <w:tab/>
      </w:r>
      <w:r>
        <w:t>COM(2003) 235 final of 8.5.2003; COM(2007) 324 final of 13.6.2007; COM(2009) 237 final of 20.5.2009; COM(2011) 294 final of 25.5.2011;</w:t>
      </w:r>
      <w:r w:rsidR="00EE0A49">
        <w:t xml:space="preserve"> </w:t>
      </w:r>
      <w:r>
        <w:t>COM(2013) 645 final of 20.9.2013;</w:t>
      </w:r>
      <w:r w:rsidR="00750FE7">
        <w:t xml:space="preserve"> </w:t>
      </w:r>
      <w:r>
        <w:t>COM(2016) 83 final of 23.2.2016; COM(2017) 777 final of 19.12.2017;</w:t>
      </w:r>
      <w:r w:rsidR="00750FE7">
        <w:t xml:space="preserve"> </w:t>
      </w:r>
      <w:r>
        <w:t>COM(2019) 634 final of 17.12.2019</w:t>
      </w:r>
      <w:r w:rsidR="00C96F0B">
        <w:t>.</w:t>
      </w:r>
    </w:p>
  </w:footnote>
  <w:footnote w:id="4">
    <w:p w14:paraId="469D1A53" w14:textId="3B9994CC" w:rsidR="00B93628" w:rsidRPr="00B93628" w:rsidRDefault="00B93628">
      <w:pPr>
        <w:pStyle w:val="FootnoteText"/>
      </w:pPr>
      <w:r>
        <w:rPr>
          <w:rStyle w:val="FootnoteReference"/>
        </w:rPr>
        <w:footnoteRef/>
      </w:r>
      <w:r w:rsidRPr="00B93628">
        <w:tab/>
      </w:r>
      <w:hyperlink r:id="rId1" w:history="1">
        <w:r w:rsidRPr="00454C51">
          <w:rPr>
            <w:rStyle w:val="Hyperlink"/>
          </w:rPr>
          <w:t>https://europa.eu/eurobarometer/surveys/detail/2229</w:t>
        </w:r>
      </w:hyperlink>
      <w:r w:rsidR="00DA3657">
        <w:rPr>
          <w:rStyle w:val="Hyperlink"/>
        </w:rPr>
        <w:t>.</w:t>
      </w:r>
    </w:p>
  </w:footnote>
  <w:footnote w:id="5">
    <w:p w14:paraId="6226A1BC" w14:textId="53DD5DC5" w:rsidR="00B93628" w:rsidRPr="00B93628" w:rsidRDefault="00B93628">
      <w:pPr>
        <w:pStyle w:val="FootnoteText"/>
      </w:pPr>
      <w:r>
        <w:rPr>
          <w:rStyle w:val="FootnoteReference"/>
        </w:rPr>
        <w:footnoteRef/>
      </w:r>
      <w:r w:rsidRPr="00B93628">
        <w:tab/>
      </w:r>
      <w:hyperlink r:id="rId2" w:history="1">
        <w:r w:rsidRPr="00454C51">
          <w:rPr>
            <w:rStyle w:val="Hyperlink"/>
          </w:rPr>
          <w:t>https://ec.europa.eu/info/food-farming-fisheries/key-policies/common-agricultural-policy/cmef/regulation-and-simplification/information-policy-common-agricultural-policy-1_en</w:t>
        </w:r>
      </w:hyperlink>
      <w:r w:rsidR="00DA3657">
        <w:rPr>
          <w:rStyle w:val="Hyperlink"/>
        </w:rPr>
        <w:t>.</w:t>
      </w:r>
    </w:p>
  </w:footnote>
  <w:footnote w:id="6">
    <w:p w14:paraId="0F8303EC" w14:textId="609A2B54" w:rsidR="008C4EB5" w:rsidRPr="008C4EB5" w:rsidRDefault="008C4EB5">
      <w:pPr>
        <w:pStyle w:val="FootnoteText"/>
        <w:rPr>
          <w:lang w:val="en-IE"/>
        </w:rPr>
      </w:pPr>
      <w:r>
        <w:rPr>
          <w:rStyle w:val="FootnoteReference"/>
        </w:rPr>
        <w:footnoteRef/>
      </w:r>
      <w:r>
        <w:t xml:space="preserve"> </w:t>
      </w:r>
      <w:r w:rsidR="00872EF4">
        <w:tab/>
      </w:r>
      <w:r w:rsidR="00872EF4">
        <w:rPr>
          <w:rStyle w:val="super"/>
        </w:rPr>
        <w:t>Commission Staff Working Document, Evaluation on the information policy on the Common</w:t>
      </w:r>
      <w:r w:rsidR="001848B4">
        <w:rPr>
          <w:rStyle w:val="super"/>
        </w:rPr>
        <w:t xml:space="preserve"> Agricultural Policy, SWD(2021</w:t>
      </w:r>
      <w:r w:rsidR="00872EF4">
        <w:rPr>
          <w:rStyle w:val="super"/>
        </w:rPr>
        <w:t>)</w:t>
      </w:r>
      <w:r w:rsidR="001848B4">
        <w:rPr>
          <w:rStyle w:val="super"/>
        </w:rPr>
        <w:t>980</w:t>
      </w:r>
      <w:r w:rsidR="00773190">
        <w:rPr>
          <w:rStyle w:val="super"/>
        </w:rPr>
        <w:t>.</w:t>
      </w:r>
    </w:p>
  </w:footnote>
  <w:footnote w:id="7">
    <w:p w14:paraId="454099B6" w14:textId="54A19625" w:rsidR="000D4E04" w:rsidRPr="000D4E04" w:rsidRDefault="000D4E04">
      <w:pPr>
        <w:pStyle w:val="FootnoteText"/>
      </w:pPr>
      <w:r>
        <w:rPr>
          <w:rStyle w:val="FootnoteReference"/>
        </w:rPr>
        <w:footnoteRef/>
      </w:r>
      <w:r w:rsidRPr="000D4E04">
        <w:tab/>
      </w:r>
      <w:r w:rsidRPr="008A1A10">
        <w:t>Call for proposals for grants 2019,</w:t>
      </w:r>
      <w:r w:rsidR="00CC7F40">
        <w:t xml:space="preserve"> </w:t>
      </w:r>
      <w:r w:rsidRPr="008A1A10">
        <w:t>Official Journal of the European Union</w:t>
      </w:r>
      <w:r w:rsidRPr="008A1A10">
        <w:rPr>
          <w:color w:val="000000"/>
          <w:shd w:val="clear" w:color="auto" w:fill="FFFFFF"/>
        </w:rPr>
        <w:t xml:space="preserve"> 2018/C 395/03 of 31.10.2018</w:t>
      </w:r>
      <w:r w:rsidR="00DA3657">
        <w:rPr>
          <w:color w:val="000000"/>
          <w:shd w:val="clear" w:color="auto" w:fill="FFFFFF"/>
        </w:rPr>
        <w:t>.</w:t>
      </w:r>
    </w:p>
  </w:footnote>
  <w:footnote w:id="8">
    <w:p w14:paraId="48FEFEE6" w14:textId="2B5B58E6" w:rsidR="000D4E04" w:rsidRPr="000D4E04" w:rsidRDefault="000D4E04">
      <w:pPr>
        <w:pStyle w:val="FootnoteText"/>
      </w:pPr>
      <w:r>
        <w:rPr>
          <w:rStyle w:val="FootnoteReference"/>
        </w:rPr>
        <w:footnoteRef/>
      </w:r>
      <w:r w:rsidRPr="000D4E04">
        <w:tab/>
      </w:r>
      <w:r w:rsidRPr="007451BA">
        <w:t>Call for proposals for grants 2020,</w:t>
      </w:r>
      <w:r w:rsidRPr="007451BA">
        <w:rPr>
          <w:noProof/>
        </w:rPr>
        <w:t xml:space="preserve"> </w:t>
      </w:r>
      <w:hyperlink r:id="rId3" w:history="1">
        <w:r w:rsidRPr="00F67AA8">
          <w:rPr>
            <w:rStyle w:val="Hyperlink"/>
            <w:noProof/>
          </w:rPr>
          <w:t>https://ec.europa.eu/research/participants/data/ref/other_eu_prog/imcap/wp-call/infome-01-2020_en.pdf</w:t>
        </w:r>
      </w:hyperlink>
      <w:r w:rsidR="00DA3657">
        <w:rPr>
          <w:rStyle w:val="Hyperlink"/>
          <w:noProof/>
        </w:rPr>
        <w:t>.</w:t>
      </w:r>
    </w:p>
  </w:footnote>
  <w:footnote w:id="9">
    <w:p w14:paraId="7DEA4293" w14:textId="36DB2E86" w:rsidR="000D4E04" w:rsidRPr="000D4E04" w:rsidRDefault="000D4E04">
      <w:pPr>
        <w:pStyle w:val="FootnoteText"/>
      </w:pPr>
      <w:r>
        <w:rPr>
          <w:rStyle w:val="FootnoteReference"/>
        </w:rPr>
        <w:footnoteRef/>
      </w:r>
      <w:r w:rsidRPr="000D4E04">
        <w:tab/>
      </w:r>
      <w:r>
        <w:t xml:space="preserve">More detailed information on grants are also to be found on the Europa website: </w:t>
      </w:r>
      <w:hyperlink r:id="rId4" w:history="1">
        <w:r>
          <w:rPr>
            <w:rStyle w:val="Hyperlink"/>
          </w:rPr>
          <w:t>http://ec.europa.eu/agriculture/grants-for-information-measures_en</w:t>
        </w:r>
      </w:hyperlink>
      <w:r w:rsidR="00DA3657">
        <w:rPr>
          <w:rStyle w:val="Hyperlink"/>
        </w:rPr>
        <w:t>.</w:t>
      </w:r>
    </w:p>
  </w:footnote>
  <w:footnote w:id="10">
    <w:p w14:paraId="46B9C82E" w14:textId="33D722BB" w:rsidR="00454C51" w:rsidRPr="00454C51" w:rsidRDefault="00454C51">
      <w:pPr>
        <w:pStyle w:val="FootnoteText"/>
      </w:pPr>
      <w:r>
        <w:rPr>
          <w:rStyle w:val="FootnoteReference"/>
        </w:rPr>
        <w:footnoteRef/>
      </w:r>
      <w:r w:rsidRPr="00454C51">
        <w:tab/>
      </w:r>
      <w:r>
        <w:t>EUR 13.200.000 – codelegated to DG Communication in 2019 and 2020 for corporate communication activities is not included in this table</w:t>
      </w:r>
      <w:r w:rsidR="00DA365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4487" w14:textId="77777777" w:rsidR="00B244F6" w:rsidRPr="00B244F6" w:rsidRDefault="00B244F6" w:rsidP="00B2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ABA3" w14:textId="77777777" w:rsidR="00B244F6" w:rsidRPr="00B244F6" w:rsidRDefault="00B244F6" w:rsidP="00B244F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18C0" w14:textId="77777777" w:rsidR="00B244F6" w:rsidRPr="00B244F6" w:rsidRDefault="00B244F6" w:rsidP="00B244F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A37D" w14:textId="77777777" w:rsidR="00F665BD" w:rsidRDefault="00F665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C12A" w14:textId="77777777" w:rsidR="00F665BD" w:rsidRDefault="00F665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D75F" w14:textId="77777777" w:rsidR="00F665BD" w:rsidRDefault="00F66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14ED"/>
    <w:multiLevelType w:val="hybridMultilevel"/>
    <w:tmpl w:val="4FC2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A5E17"/>
    <w:multiLevelType w:val="hybridMultilevel"/>
    <w:tmpl w:val="7954F6F2"/>
    <w:lvl w:ilvl="0" w:tplc="6CB0284A">
      <w:start w:val="1"/>
      <w:numFmt w:val="bullet"/>
      <w:pStyle w:val="AARsimplelist"/>
      <w:lvlText w:val="-"/>
      <w:lvlJc w:val="left"/>
      <w:pPr>
        <w:ind w:left="2771" w:hanging="360"/>
      </w:pPr>
      <w:rPr>
        <w:rFonts w:ascii="Times New Roman" w:hAnsi="Times New Roman" w:cs="Times New Roman" w:hint="default"/>
      </w:rPr>
    </w:lvl>
    <w:lvl w:ilvl="1" w:tplc="08090003">
      <w:start w:val="1"/>
      <w:numFmt w:val="bullet"/>
      <w:lvlText w:val="o"/>
      <w:lvlJc w:val="left"/>
      <w:pPr>
        <w:ind w:left="3491" w:hanging="360"/>
      </w:pPr>
      <w:rPr>
        <w:rFonts w:ascii="Courier New" w:hAnsi="Courier New" w:cs="Courier New" w:hint="default"/>
      </w:rPr>
    </w:lvl>
    <w:lvl w:ilvl="2" w:tplc="08090005">
      <w:start w:val="1"/>
      <w:numFmt w:val="bullet"/>
      <w:lvlText w:val=""/>
      <w:lvlJc w:val="left"/>
      <w:pPr>
        <w:ind w:left="4211" w:hanging="360"/>
      </w:pPr>
      <w:rPr>
        <w:rFonts w:ascii="Wingdings" w:hAnsi="Wingdings" w:hint="default"/>
      </w:rPr>
    </w:lvl>
    <w:lvl w:ilvl="3" w:tplc="08090001">
      <w:start w:val="1"/>
      <w:numFmt w:val="bullet"/>
      <w:lvlText w:val=""/>
      <w:lvlJc w:val="left"/>
      <w:pPr>
        <w:ind w:left="4931" w:hanging="360"/>
      </w:pPr>
      <w:rPr>
        <w:rFonts w:ascii="Symbol" w:hAnsi="Symbol" w:hint="default"/>
      </w:rPr>
    </w:lvl>
    <w:lvl w:ilvl="4" w:tplc="08090003">
      <w:start w:val="1"/>
      <w:numFmt w:val="bullet"/>
      <w:lvlText w:val="o"/>
      <w:lvlJc w:val="left"/>
      <w:pPr>
        <w:ind w:left="5651" w:hanging="360"/>
      </w:pPr>
      <w:rPr>
        <w:rFonts w:ascii="Courier New" w:hAnsi="Courier New" w:cs="Courier New" w:hint="default"/>
      </w:rPr>
    </w:lvl>
    <w:lvl w:ilvl="5" w:tplc="08090005">
      <w:start w:val="1"/>
      <w:numFmt w:val="bullet"/>
      <w:lvlText w:val=""/>
      <w:lvlJc w:val="left"/>
      <w:pPr>
        <w:ind w:left="6371" w:hanging="360"/>
      </w:pPr>
      <w:rPr>
        <w:rFonts w:ascii="Wingdings" w:hAnsi="Wingdings" w:hint="default"/>
      </w:rPr>
    </w:lvl>
    <w:lvl w:ilvl="6" w:tplc="08090001">
      <w:start w:val="1"/>
      <w:numFmt w:val="bullet"/>
      <w:lvlText w:val=""/>
      <w:lvlJc w:val="left"/>
      <w:pPr>
        <w:ind w:left="7091" w:hanging="360"/>
      </w:pPr>
      <w:rPr>
        <w:rFonts w:ascii="Symbol" w:hAnsi="Symbol" w:hint="default"/>
      </w:rPr>
    </w:lvl>
    <w:lvl w:ilvl="7" w:tplc="08090003">
      <w:start w:val="1"/>
      <w:numFmt w:val="bullet"/>
      <w:lvlText w:val="o"/>
      <w:lvlJc w:val="left"/>
      <w:pPr>
        <w:ind w:left="7811" w:hanging="360"/>
      </w:pPr>
      <w:rPr>
        <w:rFonts w:ascii="Courier New" w:hAnsi="Courier New" w:cs="Courier New" w:hint="default"/>
      </w:rPr>
    </w:lvl>
    <w:lvl w:ilvl="8" w:tplc="08090005">
      <w:start w:val="1"/>
      <w:numFmt w:val="bullet"/>
      <w:lvlText w:val=""/>
      <w:lvlJc w:val="left"/>
      <w:pPr>
        <w:ind w:left="8531" w:hanging="360"/>
      </w:pPr>
      <w:rPr>
        <w:rFonts w:ascii="Wingdings" w:hAnsi="Wingdings" w:hint="default"/>
      </w:rPr>
    </w:lvl>
  </w:abstractNum>
  <w:abstractNum w:abstractNumId="2"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 w15:restartNumberingAfterBreak="0">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87D77"/>
    <w:multiLevelType w:val="hybridMultilevel"/>
    <w:tmpl w:val="BC6ADE9E"/>
    <w:lvl w:ilvl="0" w:tplc="DDC674C8">
      <w:start w:val="202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F267B1"/>
    <w:multiLevelType w:val="hybridMultilevel"/>
    <w:tmpl w:val="5CBACBEA"/>
    <w:lvl w:ilvl="0" w:tplc="ED0A27D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8C73D4"/>
    <w:multiLevelType w:val="hybridMultilevel"/>
    <w:tmpl w:val="DA709CEA"/>
    <w:lvl w:ilvl="0" w:tplc="A35A294E">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2"/>
    <w:lvlOverride w:ilvl="0">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95E366-B927-47BB-BAF1-10CBEEE84B7F"/>
    <w:docVar w:name="LW_COVERPAGE_TYPE" w:val="1"/>
    <w:docVar w:name="LW_CROSSREFERENCE" w:val="{SWD(2021) 399 final}"/>
    <w:docVar w:name="LW_DocType" w:val="NORMAL"/>
    <w:docVar w:name="LW_EMISSION" w:val="20.12.2021"/>
    <w:docVar w:name="LW_EMISSION_ISODATE" w:val="2021-12-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Article 45 of Regulation (EU) N° 1306/2013 of the European Parliament and of the Council on information measures relating to the common agriculture policy "/>
    <w:docVar w:name="LW_TYPE.DOC.CP" w:val="REPORT FROM THE COMMISSION TO THE EUROPEAN PARLIAMENT AND THE COUNCIL"/>
    <w:docVar w:name="LwApiVersions" w:val="LW4CoDe 1.23.2.0; LW 8.0, Build 20211117"/>
  </w:docVars>
  <w:rsids>
    <w:rsidRoot w:val="00331063"/>
    <w:rsid w:val="0000231C"/>
    <w:rsid w:val="0000638E"/>
    <w:rsid w:val="00007A7F"/>
    <w:rsid w:val="00013578"/>
    <w:rsid w:val="000304CB"/>
    <w:rsid w:val="000306AD"/>
    <w:rsid w:val="00032365"/>
    <w:rsid w:val="00037C73"/>
    <w:rsid w:val="0004073E"/>
    <w:rsid w:val="00042EE0"/>
    <w:rsid w:val="00044C16"/>
    <w:rsid w:val="000517D5"/>
    <w:rsid w:val="00053737"/>
    <w:rsid w:val="00056ACF"/>
    <w:rsid w:val="0006027D"/>
    <w:rsid w:val="00061855"/>
    <w:rsid w:val="000644C1"/>
    <w:rsid w:val="00071DF8"/>
    <w:rsid w:val="00077113"/>
    <w:rsid w:val="00083DEB"/>
    <w:rsid w:val="00086AB6"/>
    <w:rsid w:val="0008794B"/>
    <w:rsid w:val="00091413"/>
    <w:rsid w:val="000B10F0"/>
    <w:rsid w:val="000C1912"/>
    <w:rsid w:val="000C6970"/>
    <w:rsid w:val="000C7545"/>
    <w:rsid w:val="000D4E04"/>
    <w:rsid w:val="000D5116"/>
    <w:rsid w:val="000E4C1A"/>
    <w:rsid w:val="001018DF"/>
    <w:rsid w:val="00105932"/>
    <w:rsid w:val="00110D3A"/>
    <w:rsid w:val="00111AB5"/>
    <w:rsid w:val="0011725A"/>
    <w:rsid w:val="00130CF3"/>
    <w:rsid w:val="00142635"/>
    <w:rsid w:val="0015151B"/>
    <w:rsid w:val="00152971"/>
    <w:rsid w:val="00156414"/>
    <w:rsid w:val="00164E58"/>
    <w:rsid w:val="00172D7D"/>
    <w:rsid w:val="00173757"/>
    <w:rsid w:val="001742FE"/>
    <w:rsid w:val="001762A4"/>
    <w:rsid w:val="001813C0"/>
    <w:rsid w:val="001846A6"/>
    <w:rsid w:val="001848B4"/>
    <w:rsid w:val="00185C88"/>
    <w:rsid w:val="001875CF"/>
    <w:rsid w:val="00190F61"/>
    <w:rsid w:val="00190FA0"/>
    <w:rsid w:val="0019415D"/>
    <w:rsid w:val="001941AB"/>
    <w:rsid w:val="001A14E9"/>
    <w:rsid w:val="001A22CD"/>
    <w:rsid w:val="001B5357"/>
    <w:rsid w:val="001C4A0E"/>
    <w:rsid w:val="001C4D80"/>
    <w:rsid w:val="001D1218"/>
    <w:rsid w:val="001E2F2B"/>
    <w:rsid w:val="001E37B6"/>
    <w:rsid w:val="001E555B"/>
    <w:rsid w:val="001E5D95"/>
    <w:rsid w:val="001F386A"/>
    <w:rsid w:val="001F5EA9"/>
    <w:rsid w:val="001F770E"/>
    <w:rsid w:val="00213D88"/>
    <w:rsid w:val="00221E55"/>
    <w:rsid w:val="002227A4"/>
    <w:rsid w:val="002263F4"/>
    <w:rsid w:val="002309AE"/>
    <w:rsid w:val="00234872"/>
    <w:rsid w:val="00246354"/>
    <w:rsid w:val="002468FF"/>
    <w:rsid w:val="00252048"/>
    <w:rsid w:val="0025257A"/>
    <w:rsid w:val="00254356"/>
    <w:rsid w:val="002554F6"/>
    <w:rsid w:val="0026064C"/>
    <w:rsid w:val="00262FE5"/>
    <w:rsid w:val="00264C8C"/>
    <w:rsid w:val="0026529C"/>
    <w:rsid w:val="00267880"/>
    <w:rsid w:val="00270C14"/>
    <w:rsid w:val="002819AC"/>
    <w:rsid w:val="002833BB"/>
    <w:rsid w:val="00292FDC"/>
    <w:rsid w:val="00297A6E"/>
    <w:rsid w:val="002A6BFB"/>
    <w:rsid w:val="002B04F0"/>
    <w:rsid w:val="002B06AD"/>
    <w:rsid w:val="002B070C"/>
    <w:rsid w:val="002C1ABC"/>
    <w:rsid w:val="002C213B"/>
    <w:rsid w:val="002C48E5"/>
    <w:rsid w:val="002D01B0"/>
    <w:rsid w:val="002D2C3C"/>
    <w:rsid w:val="002E536B"/>
    <w:rsid w:val="002F4359"/>
    <w:rsid w:val="002F4A15"/>
    <w:rsid w:val="002F4DAF"/>
    <w:rsid w:val="00302F26"/>
    <w:rsid w:val="00306EC8"/>
    <w:rsid w:val="00312237"/>
    <w:rsid w:val="003151AE"/>
    <w:rsid w:val="0031619D"/>
    <w:rsid w:val="0032039D"/>
    <w:rsid w:val="003220F0"/>
    <w:rsid w:val="00331063"/>
    <w:rsid w:val="00337938"/>
    <w:rsid w:val="00342A0E"/>
    <w:rsid w:val="00356D0A"/>
    <w:rsid w:val="0036505E"/>
    <w:rsid w:val="003653B6"/>
    <w:rsid w:val="0039224A"/>
    <w:rsid w:val="00395338"/>
    <w:rsid w:val="003A437E"/>
    <w:rsid w:val="003B0FE1"/>
    <w:rsid w:val="003B4B87"/>
    <w:rsid w:val="003B6F86"/>
    <w:rsid w:val="003C320E"/>
    <w:rsid w:val="003C529B"/>
    <w:rsid w:val="003C697F"/>
    <w:rsid w:val="003C6CE0"/>
    <w:rsid w:val="003D2B63"/>
    <w:rsid w:val="003E21AC"/>
    <w:rsid w:val="003E5426"/>
    <w:rsid w:val="003E57D3"/>
    <w:rsid w:val="003F3FA3"/>
    <w:rsid w:val="0040468C"/>
    <w:rsid w:val="00407827"/>
    <w:rsid w:val="00414895"/>
    <w:rsid w:val="004153AC"/>
    <w:rsid w:val="00417BC1"/>
    <w:rsid w:val="00423762"/>
    <w:rsid w:val="00424193"/>
    <w:rsid w:val="00430576"/>
    <w:rsid w:val="004353B1"/>
    <w:rsid w:val="00440405"/>
    <w:rsid w:val="00441ACE"/>
    <w:rsid w:val="00450167"/>
    <w:rsid w:val="004526A1"/>
    <w:rsid w:val="00454C51"/>
    <w:rsid w:val="00457D0C"/>
    <w:rsid w:val="004640FF"/>
    <w:rsid w:val="00465278"/>
    <w:rsid w:val="00473FF5"/>
    <w:rsid w:val="00474CD8"/>
    <w:rsid w:val="004773F2"/>
    <w:rsid w:val="00480F4E"/>
    <w:rsid w:val="00482DED"/>
    <w:rsid w:val="004913EF"/>
    <w:rsid w:val="00494413"/>
    <w:rsid w:val="004A562F"/>
    <w:rsid w:val="004B10B6"/>
    <w:rsid w:val="004B338D"/>
    <w:rsid w:val="004B7D9D"/>
    <w:rsid w:val="004C538D"/>
    <w:rsid w:val="004D6C40"/>
    <w:rsid w:val="004E21A8"/>
    <w:rsid w:val="004E5EED"/>
    <w:rsid w:val="004F6BA0"/>
    <w:rsid w:val="004F6C18"/>
    <w:rsid w:val="004F6DF0"/>
    <w:rsid w:val="00500AC6"/>
    <w:rsid w:val="00505E97"/>
    <w:rsid w:val="00507003"/>
    <w:rsid w:val="00510FEF"/>
    <w:rsid w:val="00511BD4"/>
    <w:rsid w:val="00513BCD"/>
    <w:rsid w:val="00522CDA"/>
    <w:rsid w:val="00523397"/>
    <w:rsid w:val="00524C55"/>
    <w:rsid w:val="005367E3"/>
    <w:rsid w:val="00541B03"/>
    <w:rsid w:val="00543D83"/>
    <w:rsid w:val="00563611"/>
    <w:rsid w:val="005663A2"/>
    <w:rsid w:val="0057107A"/>
    <w:rsid w:val="00572476"/>
    <w:rsid w:val="005763D4"/>
    <w:rsid w:val="005835EE"/>
    <w:rsid w:val="00590C25"/>
    <w:rsid w:val="0059162F"/>
    <w:rsid w:val="00591823"/>
    <w:rsid w:val="00597510"/>
    <w:rsid w:val="005B04BF"/>
    <w:rsid w:val="005B3503"/>
    <w:rsid w:val="005B3D1F"/>
    <w:rsid w:val="005B6AF4"/>
    <w:rsid w:val="005C2FC2"/>
    <w:rsid w:val="005C4FCD"/>
    <w:rsid w:val="005D15AD"/>
    <w:rsid w:val="005E405D"/>
    <w:rsid w:val="005F08A3"/>
    <w:rsid w:val="005F3581"/>
    <w:rsid w:val="00603318"/>
    <w:rsid w:val="006113B8"/>
    <w:rsid w:val="00614019"/>
    <w:rsid w:val="00620110"/>
    <w:rsid w:val="00620A7E"/>
    <w:rsid w:val="00622C61"/>
    <w:rsid w:val="006311DA"/>
    <w:rsid w:val="00631E71"/>
    <w:rsid w:val="0063215A"/>
    <w:rsid w:val="00645A0A"/>
    <w:rsid w:val="00650250"/>
    <w:rsid w:val="006538D5"/>
    <w:rsid w:val="00660617"/>
    <w:rsid w:val="00671462"/>
    <w:rsid w:val="00671833"/>
    <w:rsid w:val="00675414"/>
    <w:rsid w:val="00680B2C"/>
    <w:rsid w:val="006815EE"/>
    <w:rsid w:val="00682B55"/>
    <w:rsid w:val="006900D5"/>
    <w:rsid w:val="0069434D"/>
    <w:rsid w:val="0069488D"/>
    <w:rsid w:val="00696003"/>
    <w:rsid w:val="00696951"/>
    <w:rsid w:val="00697548"/>
    <w:rsid w:val="006A40AE"/>
    <w:rsid w:val="006A64B7"/>
    <w:rsid w:val="006A67A3"/>
    <w:rsid w:val="006A7D5F"/>
    <w:rsid w:val="006B7DBC"/>
    <w:rsid w:val="006C0944"/>
    <w:rsid w:val="006C3BB9"/>
    <w:rsid w:val="006C3D06"/>
    <w:rsid w:val="006C5334"/>
    <w:rsid w:val="006D00B2"/>
    <w:rsid w:val="006D0C68"/>
    <w:rsid w:val="006E1052"/>
    <w:rsid w:val="006E6027"/>
    <w:rsid w:val="00702993"/>
    <w:rsid w:val="00705503"/>
    <w:rsid w:val="00707AF5"/>
    <w:rsid w:val="007135B8"/>
    <w:rsid w:val="0071641A"/>
    <w:rsid w:val="007226A3"/>
    <w:rsid w:val="00726B88"/>
    <w:rsid w:val="00727A07"/>
    <w:rsid w:val="00733677"/>
    <w:rsid w:val="007338A7"/>
    <w:rsid w:val="0073736A"/>
    <w:rsid w:val="007451BA"/>
    <w:rsid w:val="00750FE7"/>
    <w:rsid w:val="00757873"/>
    <w:rsid w:val="00766740"/>
    <w:rsid w:val="007701E8"/>
    <w:rsid w:val="00773190"/>
    <w:rsid w:val="0078119F"/>
    <w:rsid w:val="00785A3C"/>
    <w:rsid w:val="00792421"/>
    <w:rsid w:val="007931B2"/>
    <w:rsid w:val="00793AC0"/>
    <w:rsid w:val="00795418"/>
    <w:rsid w:val="007A4737"/>
    <w:rsid w:val="007B2DC9"/>
    <w:rsid w:val="007B7EC5"/>
    <w:rsid w:val="007C2763"/>
    <w:rsid w:val="007C665A"/>
    <w:rsid w:val="007C6DE3"/>
    <w:rsid w:val="007F0766"/>
    <w:rsid w:val="00805182"/>
    <w:rsid w:val="008107CC"/>
    <w:rsid w:val="00821E2B"/>
    <w:rsid w:val="00822A36"/>
    <w:rsid w:val="0082473C"/>
    <w:rsid w:val="00832C4F"/>
    <w:rsid w:val="008344B4"/>
    <w:rsid w:val="00834A7B"/>
    <w:rsid w:val="00836264"/>
    <w:rsid w:val="00843BB3"/>
    <w:rsid w:val="0085228F"/>
    <w:rsid w:val="00852F74"/>
    <w:rsid w:val="00853B20"/>
    <w:rsid w:val="008558D0"/>
    <w:rsid w:val="00871BD9"/>
    <w:rsid w:val="00872EF4"/>
    <w:rsid w:val="00874420"/>
    <w:rsid w:val="008763F8"/>
    <w:rsid w:val="00893C5A"/>
    <w:rsid w:val="00895447"/>
    <w:rsid w:val="0089578E"/>
    <w:rsid w:val="00897CDE"/>
    <w:rsid w:val="008A150B"/>
    <w:rsid w:val="008A1A10"/>
    <w:rsid w:val="008A5B0F"/>
    <w:rsid w:val="008B143E"/>
    <w:rsid w:val="008B43C8"/>
    <w:rsid w:val="008B5AA3"/>
    <w:rsid w:val="008C0451"/>
    <w:rsid w:val="008C4265"/>
    <w:rsid w:val="008C4EB5"/>
    <w:rsid w:val="008C5A67"/>
    <w:rsid w:val="008E41D4"/>
    <w:rsid w:val="008E4CBF"/>
    <w:rsid w:val="008F4D35"/>
    <w:rsid w:val="008F72D4"/>
    <w:rsid w:val="008F743F"/>
    <w:rsid w:val="008F7CED"/>
    <w:rsid w:val="009000FC"/>
    <w:rsid w:val="00911078"/>
    <w:rsid w:val="00914008"/>
    <w:rsid w:val="009226D7"/>
    <w:rsid w:val="00954532"/>
    <w:rsid w:val="0096296C"/>
    <w:rsid w:val="0096325B"/>
    <w:rsid w:val="009644C3"/>
    <w:rsid w:val="00970F51"/>
    <w:rsid w:val="0097374C"/>
    <w:rsid w:val="00976829"/>
    <w:rsid w:val="009912C4"/>
    <w:rsid w:val="009B0FDD"/>
    <w:rsid w:val="009B1DD1"/>
    <w:rsid w:val="009B2C9A"/>
    <w:rsid w:val="009C12B4"/>
    <w:rsid w:val="009C24C0"/>
    <w:rsid w:val="009C6C71"/>
    <w:rsid w:val="009C7430"/>
    <w:rsid w:val="009D1EBE"/>
    <w:rsid w:val="009D34CF"/>
    <w:rsid w:val="009E7093"/>
    <w:rsid w:val="009F1F12"/>
    <w:rsid w:val="009F3E21"/>
    <w:rsid w:val="009F717D"/>
    <w:rsid w:val="00A00152"/>
    <w:rsid w:val="00A10CC2"/>
    <w:rsid w:val="00A12C35"/>
    <w:rsid w:val="00A149DA"/>
    <w:rsid w:val="00A335A5"/>
    <w:rsid w:val="00A3364B"/>
    <w:rsid w:val="00A33CFE"/>
    <w:rsid w:val="00A35F90"/>
    <w:rsid w:val="00A41D4F"/>
    <w:rsid w:val="00A439F3"/>
    <w:rsid w:val="00A505A9"/>
    <w:rsid w:val="00A5520D"/>
    <w:rsid w:val="00A60B30"/>
    <w:rsid w:val="00A65C87"/>
    <w:rsid w:val="00A71740"/>
    <w:rsid w:val="00A822BB"/>
    <w:rsid w:val="00A86312"/>
    <w:rsid w:val="00A8680E"/>
    <w:rsid w:val="00A9112E"/>
    <w:rsid w:val="00A96723"/>
    <w:rsid w:val="00A97102"/>
    <w:rsid w:val="00AA2478"/>
    <w:rsid w:val="00AB6BF1"/>
    <w:rsid w:val="00AD3A70"/>
    <w:rsid w:val="00AE64AE"/>
    <w:rsid w:val="00AF17E5"/>
    <w:rsid w:val="00AF2607"/>
    <w:rsid w:val="00B00AAB"/>
    <w:rsid w:val="00B0484B"/>
    <w:rsid w:val="00B074A5"/>
    <w:rsid w:val="00B10760"/>
    <w:rsid w:val="00B17A8C"/>
    <w:rsid w:val="00B244F6"/>
    <w:rsid w:val="00B376A6"/>
    <w:rsid w:val="00B40B82"/>
    <w:rsid w:val="00B42398"/>
    <w:rsid w:val="00B42D2C"/>
    <w:rsid w:val="00B46555"/>
    <w:rsid w:val="00B61F91"/>
    <w:rsid w:val="00B66D09"/>
    <w:rsid w:val="00B66D68"/>
    <w:rsid w:val="00B67B19"/>
    <w:rsid w:val="00B7128A"/>
    <w:rsid w:val="00B71EFA"/>
    <w:rsid w:val="00B93628"/>
    <w:rsid w:val="00BA651B"/>
    <w:rsid w:val="00BC0B02"/>
    <w:rsid w:val="00BC78CC"/>
    <w:rsid w:val="00BD0761"/>
    <w:rsid w:val="00BD2C0C"/>
    <w:rsid w:val="00BD3244"/>
    <w:rsid w:val="00BD537B"/>
    <w:rsid w:val="00BE0022"/>
    <w:rsid w:val="00BE23D0"/>
    <w:rsid w:val="00BF0F19"/>
    <w:rsid w:val="00BF2F5F"/>
    <w:rsid w:val="00BF31B6"/>
    <w:rsid w:val="00BF5848"/>
    <w:rsid w:val="00BF7B1A"/>
    <w:rsid w:val="00C0201E"/>
    <w:rsid w:val="00C0310D"/>
    <w:rsid w:val="00C04895"/>
    <w:rsid w:val="00C15E6E"/>
    <w:rsid w:val="00C20037"/>
    <w:rsid w:val="00C20107"/>
    <w:rsid w:val="00C40808"/>
    <w:rsid w:val="00C55D72"/>
    <w:rsid w:val="00C633E4"/>
    <w:rsid w:val="00C707FC"/>
    <w:rsid w:val="00C80711"/>
    <w:rsid w:val="00C85EFD"/>
    <w:rsid w:val="00C96F0B"/>
    <w:rsid w:val="00C979F1"/>
    <w:rsid w:val="00CA4996"/>
    <w:rsid w:val="00CA75B9"/>
    <w:rsid w:val="00CB4D33"/>
    <w:rsid w:val="00CB6425"/>
    <w:rsid w:val="00CB6EF2"/>
    <w:rsid w:val="00CC52FD"/>
    <w:rsid w:val="00CC7F40"/>
    <w:rsid w:val="00CD2B25"/>
    <w:rsid w:val="00CD56EB"/>
    <w:rsid w:val="00CD65ED"/>
    <w:rsid w:val="00CE2F27"/>
    <w:rsid w:val="00CF1957"/>
    <w:rsid w:val="00CF2227"/>
    <w:rsid w:val="00CF3300"/>
    <w:rsid w:val="00CF564F"/>
    <w:rsid w:val="00D0285D"/>
    <w:rsid w:val="00D05527"/>
    <w:rsid w:val="00D33010"/>
    <w:rsid w:val="00D35598"/>
    <w:rsid w:val="00D360E9"/>
    <w:rsid w:val="00D42BEA"/>
    <w:rsid w:val="00D43DB1"/>
    <w:rsid w:val="00D6116E"/>
    <w:rsid w:val="00D65C8F"/>
    <w:rsid w:val="00D731F6"/>
    <w:rsid w:val="00D80B2C"/>
    <w:rsid w:val="00D82703"/>
    <w:rsid w:val="00D92110"/>
    <w:rsid w:val="00DA3060"/>
    <w:rsid w:val="00DA33A6"/>
    <w:rsid w:val="00DA3657"/>
    <w:rsid w:val="00DB0291"/>
    <w:rsid w:val="00DB24A7"/>
    <w:rsid w:val="00DC190D"/>
    <w:rsid w:val="00DC5AA0"/>
    <w:rsid w:val="00DC72A2"/>
    <w:rsid w:val="00DE3B21"/>
    <w:rsid w:val="00DF4E95"/>
    <w:rsid w:val="00E05694"/>
    <w:rsid w:val="00E13488"/>
    <w:rsid w:val="00E14887"/>
    <w:rsid w:val="00E2138F"/>
    <w:rsid w:val="00E23B33"/>
    <w:rsid w:val="00E3432B"/>
    <w:rsid w:val="00E51D22"/>
    <w:rsid w:val="00E73484"/>
    <w:rsid w:val="00E74099"/>
    <w:rsid w:val="00E80BE5"/>
    <w:rsid w:val="00E95D90"/>
    <w:rsid w:val="00E96F9F"/>
    <w:rsid w:val="00EA39F2"/>
    <w:rsid w:val="00EA4C62"/>
    <w:rsid w:val="00EB4F67"/>
    <w:rsid w:val="00EB76DB"/>
    <w:rsid w:val="00ED3308"/>
    <w:rsid w:val="00EE0A49"/>
    <w:rsid w:val="00EE16AC"/>
    <w:rsid w:val="00EE3B1E"/>
    <w:rsid w:val="00EE3E20"/>
    <w:rsid w:val="00EF274D"/>
    <w:rsid w:val="00EF4DF7"/>
    <w:rsid w:val="00F02FC9"/>
    <w:rsid w:val="00F0378F"/>
    <w:rsid w:val="00F03D09"/>
    <w:rsid w:val="00F04CDA"/>
    <w:rsid w:val="00F04F30"/>
    <w:rsid w:val="00F05F4C"/>
    <w:rsid w:val="00F13432"/>
    <w:rsid w:val="00F17E42"/>
    <w:rsid w:val="00F25459"/>
    <w:rsid w:val="00F32CD0"/>
    <w:rsid w:val="00F4193E"/>
    <w:rsid w:val="00F5007B"/>
    <w:rsid w:val="00F55783"/>
    <w:rsid w:val="00F65157"/>
    <w:rsid w:val="00F665BD"/>
    <w:rsid w:val="00F754B8"/>
    <w:rsid w:val="00F77394"/>
    <w:rsid w:val="00F81CE7"/>
    <w:rsid w:val="00F9533E"/>
    <w:rsid w:val="00FA2386"/>
    <w:rsid w:val="00FA50ED"/>
    <w:rsid w:val="00FA6CC0"/>
    <w:rsid w:val="00FB213C"/>
    <w:rsid w:val="00FB65DA"/>
    <w:rsid w:val="00FD5C2B"/>
    <w:rsid w:val="00FE1143"/>
    <w:rsid w:val="00FE2A5A"/>
    <w:rsid w:val="00FF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AE2506C"/>
  <w15:docId w15:val="{2FAD1BBD-B129-4444-8BFB-EDB5B712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62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911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1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11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911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9162F"/>
    <w:pPr>
      <w:ind w:left="720" w:hanging="720"/>
      <w:jc w:val="both"/>
    </w:pPr>
    <w:rPr>
      <w:rFonts w:eastAsia="Times New Roman"/>
      <w:sz w:val="20"/>
      <w:szCs w:val="20"/>
    </w:rPr>
  </w:style>
  <w:style w:type="character" w:customStyle="1" w:styleId="FootnoteTextChar">
    <w:name w:val="Footnote Text Char"/>
    <w:basedOn w:val="DefaultParagraphFont"/>
    <w:link w:val="FootnoteText"/>
    <w:uiPriority w:val="99"/>
    <w:rsid w:val="0059162F"/>
    <w:rPr>
      <w:rFonts w:ascii="Times New Roman" w:eastAsia="Times New Roman" w:hAnsi="Times New Roman" w:cs="Times New Roman"/>
      <w:sz w:val="20"/>
      <w:szCs w:val="20"/>
    </w:rPr>
  </w:style>
  <w:style w:type="character" w:styleId="FootnoteReference">
    <w:name w:val="footnote reference"/>
    <w:uiPriority w:val="99"/>
    <w:rsid w:val="0059162F"/>
    <w:rPr>
      <w:shd w:val="clear" w:color="auto" w:fill="auto"/>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59162F"/>
    <w:pPr>
      <w:ind w:left="720"/>
      <w:contextualSpacing/>
    </w:pPr>
  </w:style>
  <w:style w:type="paragraph" w:customStyle="1" w:styleId="Default">
    <w:name w:val="Default"/>
    <w:uiPriority w:val="99"/>
    <w:rsid w:val="0059162F"/>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59162F"/>
    <w:rPr>
      <w:color w:val="0000FF"/>
      <w:u w:val="single"/>
      <w:shd w:val="clear" w:color="auto" w:fill="auto"/>
    </w:rPr>
  </w:style>
  <w:style w:type="paragraph" w:customStyle="1" w:styleId="Style1">
    <w:name w:val="Style1"/>
    <w:basedOn w:val="Normal"/>
    <w:link w:val="Style1Char"/>
    <w:qFormat/>
    <w:rsid w:val="0059162F"/>
    <w:pPr>
      <w:keepNext/>
      <w:tabs>
        <w:tab w:val="left" w:pos="850"/>
      </w:tabs>
      <w:spacing w:before="360" w:after="120"/>
      <w:ind w:left="850" w:hanging="850"/>
      <w:jc w:val="both"/>
      <w:outlineLvl w:val="0"/>
    </w:pPr>
    <w:rPr>
      <w:rFonts w:eastAsia="Times New Roman"/>
      <w:b/>
      <w:smallCaps/>
      <w:noProof/>
    </w:rPr>
  </w:style>
  <w:style w:type="paragraph" w:customStyle="1" w:styleId="Style2">
    <w:name w:val="Style2"/>
    <w:basedOn w:val="Normal"/>
    <w:qFormat/>
    <w:rsid w:val="0059162F"/>
    <w:pPr>
      <w:jc w:val="both"/>
    </w:pPr>
    <w:rPr>
      <w:b/>
      <w:noProof/>
    </w:rPr>
  </w:style>
  <w:style w:type="paragraph" w:customStyle="1" w:styleId="Style3">
    <w:name w:val="Style3"/>
    <w:basedOn w:val="Normal"/>
    <w:qFormat/>
    <w:rsid w:val="0059162F"/>
    <w:pPr>
      <w:spacing w:before="120" w:after="120"/>
      <w:jc w:val="both"/>
    </w:pPr>
    <w:rPr>
      <w:b/>
      <w:noProof/>
    </w:rPr>
  </w:style>
  <w:style w:type="character" w:customStyle="1" w:styleId="Style1Char">
    <w:name w:val="Style1 Char"/>
    <w:basedOn w:val="DefaultParagraphFont"/>
    <w:link w:val="Style1"/>
    <w:rsid w:val="0059162F"/>
    <w:rPr>
      <w:rFonts w:ascii="Times New Roman" w:eastAsia="Times New Roman" w:hAnsi="Times New Roman" w:cs="Times New Roman"/>
      <w:b/>
      <w:smallCaps/>
      <w:noProof/>
      <w:sz w:val="24"/>
      <w:szCs w:val="24"/>
    </w:rPr>
  </w:style>
  <w:style w:type="character" w:customStyle="1" w:styleId="AARsimplelistChar">
    <w:name w:val="AAR simple list Char"/>
    <w:link w:val="AARsimplelist"/>
    <w:locked/>
    <w:rsid w:val="0059162F"/>
    <w:rPr>
      <w:rFonts w:ascii="Verdana" w:hAnsi="Verdana"/>
      <w:szCs w:val="24"/>
    </w:rPr>
  </w:style>
  <w:style w:type="paragraph" w:customStyle="1" w:styleId="AARsimplelist">
    <w:name w:val="AAR simple list"/>
    <w:basedOn w:val="Normal"/>
    <w:link w:val="AARsimplelistChar"/>
    <w:qFormat/>
    <w:rsid w:val="0059162F"/>
    <w:pPr>
      <w:widowControl w:val="0"/>
      <w:numPr>
        <w:numId w:val="2"/>
      </w:numPr>
      <w:autoSpaceDE w:val="0"/>
      <w:autoSpaceDN w:val="0"/>
      <w:adjustRightInd w:val="0"/>
      <w:spacing w:after="120" w:line="240" w:lineRule="atLeast"/>
      <w:ind w:right="1"/>
      <w:jc w:val="both"/>
    </w:pPr>
    <w:rPr>
      <w:rFonts w:ascii="Verdana" w:eastAsiaTheme="minorHAnsi" w:hAnsi="Verdana" w:cstheme="minorBidi"/>
      <w:sz w:val="22"/>
    </w:rPr>
  </w:style>
  <w:style w:type="paragraph" w:styleId="NormalWeb">
    <w:name w:val="Normal (Web)"/>
    <w:basedOn w:val="Normal"/>
    <w:uiPriority w:val="99"/>
    <w:unhideWhenUsed/>
    <w:rsid w:val="0059162F"/>
    <w:pPr>
      <w:spacing w:before="100" w:beforeAutospacing="1" w:after="100" w:afterAutospacing="1"/>
    </w:pPr>
    <w:rPr>
      <w:rFonts w:eastAsia="Times New Roman"/>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59162F"/>
    <w:rPr>
      <w:rFonts w:ascii="Times New Roman" w:eastAsia="Calibri" w:hAnsi="Times New Roman" w:cs="Times New Roman"/>
      <w:sz w:val="24"/>
      <w:szCs w:val="24"/>
    </w:rPr>
  </w:style>
  <w:style w:type="paragraph" w:styleId="BodyText">
    <w:name w:val="Body Text"/>
    <w:basedOn w:val="Normal"/>
    <w:link w:val="BodyTextChar"/>
    <w:rsid w:val="0059162F"/>
    <w:pPr>
      <w:spacing w:after="120"/>
      <w:jc w:val="both"/>
    </w:pPr>
    <w:rPr>
      <w:rFonts w:eastAsia="Times New Roman"/>
      <w:szCs w:val="20"/>
    </w:rPr>
  </w:style>
  <w:style w:type="character" w:customStyle="1" w:styleId="BodyTextChar">
    <w:name w:val="Body Text Char"/>
    <w:basedOn w:val="DefaultParagraphFont"/>
    <w:link w:val="BodyText"/>
    <w:rsid w:val="0059162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91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62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E64AE"/>
    <w:rPr>
      <w:sz w:val="16"/>
      <w:szCs w:val="16"/>
    </w:rPr>
  </w:style>
  <w:style w:type="paragraph" w:styleId="CommentText">
    <w:name w:val="annotation text"/>
    <w:basedOn w:val="Normal"/>
    <w:link w:val="CommentTextChar"/>
    <w:uiPriority w:val="99"/>
    <w:unhideWhenUsed/>
    <w:rsid w:val="00AE64AE"/>
    <w:rPr>
      <w:sz w:val="20"/>
      <w:szCs w:val="20"/>
    </w:rPr>
  </w:style>
  <w:style w:type="character" w:customStyle="1" w:styleId="CommentTextChar">
    <w:name w:val="Comment Text Char"/>
    <w:basedOn w:val="DefaultParagraphFont"/>
    <w:link w:val="CommentText"/>
    <w:uiPriority w:val="99"/>
    <w:rsid w:val="00AE64A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4AE"/>
    <w:rPr>
      <w:b/>
      <w:bCs/>
    </w:rPr>
  </w:style>
  <w:style w:type="character" w:customStyle="1" w:styleId="CommentSubjectChar">
    <w:name w:val="Comment Subject Char"/>
    <w:basedOn w:val="CommentTextChar"/>
    <w:link w:val="CommentSubject"/>
    <w:uiPriority w:val="99"/>
    <w:semiHidden/>
    <w:rsid w:val="00AE64AE"/>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1875CF"/>
    <w:pPr>
      <w:tabs>
        <w:tab w:val="center" w:pos="4513"/>
        <w:tab w:val="right" w:pos="9026"/>
      </w:tabs>
    </w:pPr>
  </w:style>
  <w:style w:type="character" w:customStyle="1" w:styleId="HeaderChar">
    <w:name w:val="Header Char"/>
    <w:basedOn w:val="DefaultParagraphFont"/>
    <w:link w:val="Header"/>
    <w:uiPriority w:val="99"/>
    <w:rsid w:val="001875CF"/>
    <w:rPr>
      <w:rFonts w:ascii="Times New Roman" w:eastAsia="Calibri" w:hAnsi="Times New Roman" w:cs="Times New Roman"/>
      <w:sz w:val="24"/>
      <w:szCs w:val="24"/>
    </w:rPr>
  </w:style>
  <w:style w:type="paragraph" w:styleId="Footer">
    <w:name w:val="footer"/>
    <w:basedOn w:val="Normal"/>
    <w:link w:val="FooterChar"/>
    <w:uiPriority w:val="99"/>
    <w:unhideWhenUsed/>
    <w:rsid w:val="001875CF"/>
    <w:pPr>
      <w:tabs>
        <w:tab w:val="center" w:pos="4513"/>
        <w:tab w:val="right" w:pos="9026"/>
      </w:tabs>
    </w:pPr>
  </w:style>
  <w:style w:type="character" w:customStyle="1" w:styleId="FooterChar">
    <w:name w:val="Footer Char"/>
    <w:basedOn w:val="DefaultParagraphFont"/>
    <w:link w:val="Footer"/>
    <w:uiPriority w:val="99"/>
    <w:rsid w:val="001875CF"/>
    <w:rPr>
      <w:rFonts w:ascii="Times New Roman" w:eastAsia="Calibri" w:hAnsi="Times New Roman" w:cs="Times New Roman"/>
      <w:sz w:val="24"/>
      <w:szCs w:val="24"/>
    </w:rPr>
  </w:style>
  <w:style w:type="paragraph" w:customStyle="1" w:styleId="Normal1">
    <w:name w:val="Normal1"/>
    <w:basedOn w:val="Normal"/>
    <w:rsid w:val="00792421"/>
    <w:pPr>
      <w:spacing w:before="100" w:beforeAutospacing="1" w:after="100" w:afterAutospacing="1"/>
    </w:pPr>
    <w:rPr>
      <w:rFonts w:eastAsia="Times New Roman"/>
      <w:lang w:eastAsia="en-GB"/>
    </w:rPr>
  </w:style>
  <w:style w:type="character" w:customStyle="1" w:styleId="super">
    <w:name w:val="super"/>
    <w:basedOn w:val="DefaultParagraphFont"/>
    <w:rsid w:val="00792421"/>
  </w:style>
  <w:style w:type="character" w:styleId="FollowedHyperlink">
    <w:name w:val="FollowedHyperlink"/>
    <w:basedOn w:val="DefaultParagraphFont"/>
    <w:uiPriority w:val="99"/>
    <w:semiHidden/>
    <w:unhideWhenUsed/>
    <w:rsid w:val="00505E97"/>
    <w:rPr>
      <w:color w:val="800080" w:themeColor="followedHyperlink"/>
      <w:u w:val="single"/>
    </w:rPr>
  </w:style>
  <w:style w:type="paragraph" w:customStyle="1" w:styleId="Text2">
    <w:name w:val="Text 2"/>
    <w:basedOn w:val="Normal"/>
    <w:qFormat/>
    <w:rsid w:val="00C15E6E"/>
    <w:pPr>
      <w:tabs>
        <w:tab w:val="left" w:pos="2302"/>
      </w:tabs>
      <w:spacing w:after="240"/>
      <w:ind w:left="1202"/>
      <w:jc w:val="both"/>
    </w:pPr>
    <w:rPr>
      <w:rFonts w:eastAsia="Times New Roman"/>
      <w:szCs w:val="20"/>
      <w:lang w:eastAsia="en-GB"/>
    </w:rPr>
  </w:style>
  <w:style w:type="paragraph" w:customStyle="1" w:styleId="ListDash2">
    <w:name w:val="List Dash 2"/>
    <w:basedOn w:val="Text2"/>
    <w:rsid w:val="00C15E6E"/>
    <w:pPr>
      <w:numPr>
        <w:numId w:val="5"/>
      </w:numPr>
      <w:tabs>
        <w:tab w:val="clear" w:pos="2302"/>
      </w:tabs>
    </w:pPr>
  </w:style>
  <w:style w:type="paragraph" w:customStyle="1" w:styleId="Text1">
    <w:name w:val="Text 1"/>
    <w:basedOn w:val="Normal"/>
    <w:rsid w:val="004B10B6"/>
    <w:pPr>
      <w:spacing w:after="240"/>
      <w:ind w:left="482"/>
      <w:jc w:val="both"/>
    </w:pPr>
    <w:rPr>
      <w:rFonts w:eastAsiaTheme="minorHAnsi"/>
      <w:lang w:eastAsia="en-GB"/>
    </w:rPr>
  </w:style>
  <w:style w:type="character" w:customStyle="1" w:styleId="Marker">
    <w:name w:val="Marker"/>
    <w:basedOn w:val="DefaultParagraphFont"/>
    <w:rsid w:val="00F665BD"/>
    <w:rPr>
      <w:color w:val="0000FF"/>
      <w:shd w:val="clear" w:color="auto" w:fill="auto"/>
    </w:rPr>
  </w:style>
  <w:style w:type="paragraph" w:customStyle="1" w:styleId="Pagedecouverture">
    <w:name w:val="Page de couverture"/>
    <w:basedOn w:val="Normal"/>
    <w:next w:val="Normal"/>
    <w:rsid w:val="00F665BD"/>
    <w:pPr>
      <w:jc w:val="both"/>
    </w:pPr>
    <w:rPr>
      <w:rFonts w:eastAsiaTheme="minorHAnsi"/>
      <w:szCs w:val="22"/>
    </w:rPr>
  </w:style>
  <w:style w:type="paragraph" w:customStyle="1" w:styleId="FooterCoverPage">
    <w:name w:val="Footer Cover Page"/>
    <w:basedOn w:val="Normal"/>
    <w:link w:val="FooterCoverPageChar"/>
    <w:rsid w:val="00F665BD"/>
    <w:pPr>
      <w:tabs>
        <w:tab w:val="center" w:pos="4535"/>
        <w:tab w:val="right" w:pos="9071"/>
        <w:tab w:val="right" w:pos="9921"/>
      </w:tabs>
      <w:spacing w:before="360"/>
      <w:ind w:left="-850" w:right="-850"/>
    </w:pPr>
  </w:style>
  <w:style w:type="character" w:customStyle="1" w:styleId="FooterCoverPageChar">
    <w:name w:val="Footer Cover Page Char"/>
    <w:basedOn w:val="Style1Char"/>
    <w:link w:val="FooterCoverPage"/>
    <w:rsid w:val="00F665BD"/>
    <w:rPr>
      <w:rFonts w:ascii="Times New Roman" w:eastAsia="Calibri" w:hAnsi="Times New Roman" w:cs="Times New Roman"/>
      <w:b w:val="0"/>
      <w:smallCaps w:val="0"/>
      <w:noProof/>
      <w:sz w:val="24"/>
      <w:szCs w:val="24"/>
    </w:rPr>
  </w:style>
  <w:style w:type="paragraph" w:customStyle="1" w:styleId="FooterSensitivity">
    <w:name w:val="Footer Sensitivity"/>
    <w:basedOn w:val="Normal"/>
    <w:link w:val="FooterSensitivityChar"/>
    <w:rsid w:val="00F665BD"/>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Style1Char"/>
    <w:link w:val="FooterSensitivity"/>
    <w:rsid w:val="00F665BD"/>
    <w:rPr>
      <w:rFonts w:ascii="Times New Roman" w:eastAsia="Calibri" w:hAnsi="Times New Roman" w:cs="Times New Roman"/>
      <w:b/>
      <w:smallCaps w:val="0"/>
      <w:noProof/>
      <w:sz w:val="32"/>
      <w:szCs w:val="24"/>
    </w:rPr>
  </w:style>
  <w:style w:type="paragraph" w:customStyle="1" w:styleId="HeaderCoverPage">
    <w:name w:val="Header Cover Page"/>
    <w:basedOn w:val="Normal"/>
    <w:link w:val="HeaderCoverPageChar"/>
    <w:rsid w:val="00F665BD"/>
    <w:pPr>
      <w:tabs>
        <w:tab w:val="center" w:pos="4535"/>
        <w:tab w:val="right" w:pos="9071"/>
      </w:tabs>
      <w:spacing w:after="120"/>
      <w:jc w:val="both"/>
    </w:pPr>
  </w:style>
  <w:style w:type="character" w:customStyle="1" w:styleId="HeaderCoverPageChar">
    <w:name w:val="Header Cover Page Char"/>
    <w:basedOn w:val="Style1Char"/>
    <w:link w:val="HeaderCoverPage"/>
    <w:rsid w:val="00F665BD"/>
    <w:rPr>
      <w:rFonts w:ascii="Times New Roman" w:eastAsia="Calibri" w:hAnsi="Times New Roman" w:cs="Times New Roman"/>
      <w:b w:val="0"/>
      <w:smallCaps w:val="0"/>
      <w:noProof/>
      <w:sz w:val="24"/>
      <w:szCs w:val="24"/>
    </w:rPr>
  </w:style>
  <w:style w:type="paragraph" w:customStyle="1" w:styleId="HeaderSensitivity">
    <w:name w:val="Header Sensitivity"/>
    <w:basedOn w:val="Normal"/>
    <w:link w:val="HeaderSensitivityChar"/>
    <w:rsid w:val="00F665BD"/>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Style1Char"/>
    <w:link w:val="HeaderSensitivity"/>
    <w:rsid w:val="00F665BD"/>
    <w:rPr>
      <w:rFonts w:ascii="Times New Roman" w:eastAsia="Calibri" w:hAnsi="Times New Roman" w:cs="Times New Roman"/>
      <w:b/>
      <w:smallCaps w:val="0"/>
      <w:noProof/>
      <w:sz w:val="32"/>
      <w:szCs w:val="24"/>
    </w:rPr>
  </w:style>
  <w:style w:type="paragraph" w:customStyle="1" w:styleId="HeaderSensitivityRight">
    <w:name w:val="Header Sensitivity Right"/>
    <w:basedOn w:val="Normal"/>
    <w:link w:val="HeaderSensitivityRightChar"/>
    <w:rsid w:val="00F665BD"/>
    <w:pPr>
      <w:spacing w:after="120"/>
      <w:jc w:val="right"/>
    </w:pPr>
    <w:rPr>
      <w:sz w:val="28"/>
    </w:rPr>
  </w:style>
  <w:style w:type="character" w:customStyle="1" w:styleId="HeaderSensitivityRightChar">
    <w:name w:val="Header Sensitivity Right Char"/>
    <w:basedOn w:val="Style1Char"/>
    <w:link w:val="HeaderSensitivityRight"/>
    <w:rsid w:val="00F665BD"/>
    <w:rPr>
      <w:rFonts w:ascii="Times New Roman" w:eastAsia="Calibri" w:hAnsi="Times New Roman" w:cs="Times New Roman"/>
      <w:b w:val="0"/>
      <w:smallCaps w:val="0"/>
      <w:noProof/>
      <w:sz w:val="28"/>
      <w:szCs w:val="24"/>
    </w:rPr>
  </w:style>
  <w:style w:type="table" w:styleId="TableGridLight">
    <w:name w:val="Grid Table Light"/>
    <w:basedOn w:val="TableNormal"/>
    <w:uiPriority w:val="40"/>
    <w:rsid w:val="005070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911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911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11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112E"/>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F5578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951">
      <w:bodyDiv w:val="1"/>
      <w:marLeft w:val="0"/>
      <w:marRight w:val="0"/>
      <w:marTop w:val="0"/>
      <w:marBottom w:val="0"/>
      <w:divBdr>
        <w:top w:val="none" w:sz="0" w:space="0" w:color="auto"/>
        <w:left w:val="none" w:sz="0" w:space="0" w:color="auto"/>
        <w:bottom w:val="none" w:sz="0" w:space="0" w:color="auto"/>
        <w:right w:val="none" w:sz="0" w:space="0" w:color="auto"/>
      </w:divBdr>
    </w:div>
    <w:div w:id="186528351">
      <w:bodyDiv w:val="1"/>
      <w:marLeft w:val="0"/>
      <w:marRight w:val="0"/>
      <w:marTop w:val="0"/>
      <w:marBottom w:val="0"/>
      <w:divBdr>
        <w:top w:val="none" w:sz="0" w:space="0" w:color="auto"/>
        <w:left w:val="none" w:sz="0" w:space="0" w:color="auto"/>
        <w:bottom w:val="none" w:sz="0" w:space="0" w:color="auto"/>
        <w:right w:val="none" w:sz="0" w:space="0" w:color="auto"/>
      </w:divBdr>
    </w:div>
    <w:div w:id="436022985">
      <w:bodyDiv w:val="1"/>
      <w:marLeft w:val="0"/>
      <w:marRight w:val="0"/>
      <w:marTop w:val="0"/>
      <w:marBottom w:val="0"/>
      <w:divBdr>
        <w:top w:val="none" w:sz="0" w:space="0" w:color="auto"/>
        <w:left w:val="none" w:sz="0" w:space="0" w:color="auto"/>
        <w:bottom w:val="none" w:sz="0" w:space="0" w:color="auto"/>
        <w:right w:val="none" w:sz="0" w:space="0" w:color="auto"/>
      </w:divBdr>
      <w:divsChild>
        <w:div w:id="471168886">
          <w:marLeft w:val="0"/>
          <w:marRight w:val="0"/>
          <w:marTop w:val="0"/>
          <w:marBottom w:val="0"/>
          <w:divBdr>
            <w:top w:val="none" w:sz="0" w:space="0" w:color="auto"/>
            <w:left w:val="none" w:sz="0" w:space="0" w:color="auto"/>
            <w:bottom w:val="none" w:sz="0" w:space="0" w:color="auto"/>
            <w:right w:val="none" w:sz="0" w:space="0" w:color="auto"/>
          </w:divBdr>
          <w:divsChild>
            <w:div w:id="21076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858">
      <w:bodyDiv w:val="1"/>
      <w:marLeft w:val="0"/>
      <w:marRight w:val="0"/>
      <w:marTop w:val="0"/>
      <w:marBottom w:val="0"/>
      <w:divBdr>
        <w:top w:val="none" w:sz="0" w:space="0" w:color="auto"/>
        <w:left w:val="none" w:sz="0" w:space="0" w:color="auto"/>
        <w:bottom w:val="none" w:sz="0" w:space="0" w:color="auto"/>
        <w:right w:val="none" w:sz="0" w:space="0" w:color="auto"/>
      </w:divBdr>
    </w:div>
    <w:div w:id="1236621403">
      <w:bodyDiv w:val="1"/>
      <w:marLeft w:val="0"/>
      <w:marRight w:val="0"/>
      <w:marTop w:val="0"/>
      <w:marBottom w:val="0"/>
      <w:divBdr>
        <w:top w:val="none" w:sz="0" w:space="0" w:color="auto"/>
        <w:left w:val="none" w:sz="0" w:space="0" w:color="auto"/>
        <w:bottom w:val="none" w:sz="0" w:space="0" w:color="auto"/>
        <w:right w:val="none" w:sz="0" w:space="0" w:color="auto"/>
      </w:divBdr>
    </w:div>
    <w:div w:id="1530678449">
      <w:bodyDiv w:val="1"/>
      <w:marLeft w:val="0"/>
      <w:marRight w:val="0"/>
      <w:marTop w:val="0"/>
      <w:marBottom w:val="0"/>
      <w:divBdr>
        <w:top w:val="none" w:sz="0" w:space="0" w:color="auto"/>
        <w:left w:val="none" w:sz="0" w:space="0" w:color="auto"/>
        <w:bottom w:val="none" w:sz="0" w:space="0" w:color="auto"/>
        <w:right w:val="none" w:sz="0" w:space="0" w:color="auto"/>
      </w:divBdr>
    </w:div>
    <w:div w:id="1550070176">
      <w:bodyDiv w:val="1"/>
      <w:marLeft w:val="0"/>
      <w:marRight w:val="0"/>
      <w:marTop w:val="0"/>
      <w:marBottom w:val="0"/>
      <w:divBdr>
        <w:top w:val="none" w:sz="0" w:space="0" w:color="auto"/>
        <w:left w:val="none" w:sz="0" w:space="0" w:color="auto"/>
        <w:bottom w:val="none" w:sz="0" w:space="0" w:color="auto"/>
        <w:right w:val="none" w:sz="0" w:space="0" w:color="auto"/>
      </w:divBdr>
    </w:div>
    <w:div w:id="1837987619">
      <w:bodyDiv w:val="1"/>
      <w:marLeft w:val="0"/>
      <w:marRight w:val="0"/>
      <w:marTop w:val="0"/>
      <w:marBottom w:val="0"/>
      <w:divBdr>
        <w:top w:val="none" w:sz="0" w:space="0" w:color="auto"/>
        <w:left w:val="none" w:sz="0" w:space="0" w:color="auto"/>
        <w:bottom w:val="none" w:sz="0" w:space="0" w:color="auto"/>
        <w:right w:val="none" w:sz="0" w:space="0" w:color="auto"/>
      </w:divBdr>
    </w:div>
    <w:div w:id="2010983704">
      <w:bodyDiv w:val="1"/>
      <w:marLeft w:val="0"/>
      <w:marRight w:val="0"/>
      <w:marTop w:val="0"/>
      <w:marBottom w:val="0"/>
      <w:divBdr>
        <w:top w:val="none" w:sz="0" w:space="0" w:color="auto"/>
        <w:left w:val="none" w:sz="0" w:space="0" w:color="auto"/>
        <w:bottom w:val="none" w:sz="0" w:space="0" w:color="auto"/>
        <w:right w:val="none" w:sz="0" w:space="0" w:color="auto"/>
      </w:divBdr>
    </w:div>
    <w:div w:id="2056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Press.e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search/participants/data/ref/other_eu_prog/imcap/wp-call/infome-01-2020_en.pdf" TargetMode="External"/><Relationship Id="rId2" Type="http://schemas.openxmlformats.org/officeDocument/2006/relationships/hyperlink" Target="https://ec.europa.eu/info/food-farming-fisheries/key-policies/common-agricultural-policy/cmef/regulation-and-simplification/information-policy-common-agricultural-policy-1_en" TargetMode="External"/><Relationship Id="rId1" Type="http://schemas.openxmlformats.org/officeDocument/2006/relationships/hyperlink" Target="https://europa.eu/eurobarometer/surveys/detail/2229" TargetMode="External"/><Relationship Id="rId4" Type="http://schemas.openxmlformats.org/officeDocument/2006/relationships/hyperlink" Target="http://ec.europa.eu/agriculture/grants-for-information-measur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37B4-BBE2-462D-8646-886A0B6B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3900</Words>
  <Characters>22040</Characters>
  <Application>Microsoft Office Word</Application>
  <DocSecurity>0</DocSecurity>
  <Lines>400</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cp:lastPrinted>2019-09-18T08:34:00Z</cp:lastPrinted>
  <dcterms:created xsi:type="dcterms:W3CDTF">2021-11-23T07:13:00Z</dcterms:created>
  <dcterms:modified xsi:type="dcterms:W3CDTF">2021-12-17T10:19:00Z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20200226</vt:lpwstr>
  </property>
</Properties>
</file>