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8B08A" w14:textId="77777777" w:rsidR="00DB73A0" w:rsidRPr="007E3B4E" w:rsidRDefault="009C3D5C" w:rsidP="00E6107E">
      <w:pPr>
        <w:pStyle w:val="Pagedecouverture"/>
      </w:pPr>
      <w:bookmarkStart w:id="0" w:name="_GoBack"/>
      <w:bookmarkEnd w:id="0"/>
      <w:r>
        <w:pict w14:anchorId="3BEA3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3985DF8-3F12-49C5-87F0-575216B52089" style="width:450.75pt;height:546pt">
            <v:imagedata r:id="rId11" o:title=""/>
          </v:shape>
        </w:pict>
      </w:r>
    </w:p>
    <w:p w14:paraId="12198E87" w14:textId="77777777" w:rsidR="00DB73A0" w:rsidRPr="007E3B4E" w:rsidRDefault="00DB73A0" w:rsidP="00DB73A0">
      <w:pPr>
        <w:sectPr w:rsidR="00DB73A0" w:rsidRPr="007E3B4E" w:rsidSect="002A7954">
          <w:footerReference w:type="default" r:id="rId12"/>
          <w:pgSz w:w="11907" w:h="16839"/>
          <w:pgMar w:top="1134" w:right="1417" w:bottom="1134" w:left="1417" w:header="709" w:footer="709" w:gutter="0"/>
          <w:pgNumType w:start="0"/>
          <w:cols w:space="720"/>
          <w:docGrid w:linePitch="360"/>
        </w:sectPr>
      </w:pPr>
    </w:p>
    <w:p w14:paraId="797D9633" w14:textId="77777777" w:rsidR="005C021A" w:rsidRPr="007E3B4E" w:rsidRDefault="005C021A" w:rsidP="005C021A">
      <w:pPr>
        <w:pStyle w:val="CRSeparator"/>
      </w:pPr>
    </w:p>
    <w:p w14:paraId="61F81577" w14:textId="77777777" w:rsidR="005C021A" w:rsidRPr="007E3B4E" w:rsidRDefault="005C021A" w:rsidP="005C021A">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055C68A6" w14:textId="77777777" w:rsidR="00DB73A0" w:rsidRPr="007E3B4E" w:rsidRDefault="00DB73A0" w:rsidP="008620D5">
      <w:pPr>
        <w:pStyle w:val="Annexetitre"/>
        <w:rPr>
          <w:highlight w:val="lightGray"/>
        </w:rPr>
      </w:pPr>
      <w:r w:rsidRPr="007E3B4E">
        <w:rPr>
          <w:highlight w:val="lightGray"/>
        </w:rPr>
        <w:t>I. MELLÉKLET</w:t>
      </w:r>
    </w:p>
    <w:p w14:paraId="452769CB" w14:textId="77777777" w:rsidR="00DB73A0" w:rsidRPr="007E3B4E" w:rsidRDefault="00DB73A0" w:rsidP="00DB73A0">
      <w:pPr>
        <w:pStyle w:val="ManualHeading1"/>
        <w:tabs>
          <w:tab w:val="clear" w:pos="850"/>
        </w:tabs>
        <w:ind w:left="851" w:hanging="851"/>
        <w:rPr>
          <w:i/>
          <w:highlight w:val="lightGray"/>
        </w:rPr>
      </w:pPr>
      <w:r w:rsidRPr="007E3B4E">
        <w:rPr>
          <w:i/>
          <w:iCs/>
          <w:highlight w:val="lightGray"/>
        </w:rPr>
        <w:t>A VÉGSŐENERGIA-FOGYASZTÁS ÉS/VAGY A PRIMERENERGIA-FOGYASZTÁS TERÉN MEGHATÁROZOTT, 2030-RA VONATKOZÓ UNIÓS ENERGIAHATÉKONYSÁGI CÉLKITŰZÉSEKHEZ VALÓ NEMZETI HOZZÁJÁRULÁSOK</w:t>
      </w:r>
    </w:p>
    <w:p w14:paraId="14126126" w14:textId="77777777" w:rsidR="00DB73A0" w:rsidRPr="007E3B4E" w:rsidRDefault="0091058E" w:rsidP="0091058E">
      <w:pPr>
        <w:pStyle w:val="Point0"/>
        <w:rPr>
          <w:highlight w:val="lightGray"/>
        </w:rPr>
      </w:pPr>
      <w:r w:rsidRPr="007E3B4E">
        <w:rPr>
          <w:highlight w:val="lightGray"/>
        </w:rPr>
        <w:t>1.</w:t>
      </w:r>
      <w:r w:rsidRPr="007E3B4E">
        <w:tab/>
      </w:r>
      <w:r w:rsidRPr="007E3B4E">
        <w:rPr>
          <w:highlight w:val="lightGray"/>
        </w:rPr>
        <w:t>A nemzeti hozzájárulások szintjét az alábbi indikatív képlet alapján kell kiszámítani:</w:t>
      </w:r>
    </w:p>
    <w:p w14:paraId="20259E76" w14:textId="77777777" w:rsidR="00DB73A0" w:rsidRPr="007E3B4E" w:rsidRDefault="009C3D5C" w:rsidP="000C0FA0">
      <w:pPr>
        <w:pStyle w:val="Text1"/>
        <w:rPr>
          <w:highlight w:val="lightGray"/>
        </w:rPr>
      </w:pPr>
      <m:oMathPara>
        <m:oMath>
          <m:sSub>
            <m:sSubPr>
              <m:ctrlPr>
                <w:rPr>
                  <w:rFonts w:ascii="Cambria Math" w:hAnsi="Cambria Math"/>
                  <w:highlight w:val="lightGray"/>
                </w:rPr>
              </m:ctrlPr>
            </m:sSubPr>
            <m:e>
              <m:r>
                <w:rPr>
                  <w:rFonts w:ascii="Cambria Math" w:hAnsi="Cambria Math"/>
                  <w:highlight w:val="lightGray"/>
                </w:rPr>
                <m:t>FEC</m:t>
              </m:r>
            </m:e>
            <m:sub>
              <m:sSub>
                <m:sSubPr>
                  <m:ctrlPr>
                    <w:rPr>
                      <w:rFonts w:ascii="Cambria Math" w:hAnsi="Cambria Math"/>
                      <w:highlight w:val="lightGray"/>
                    </w:rPr>
                  </m:ctrlPr>
                </m:sSubPr>
                <m:e>
                  <m:r>
                    <w:rPr>
                      <w:rFonts w:ascii="Cambria Math" w:hAnsi="Cambria Math"/>
                      <w:highlight w:val="lightGray"/>
                    </w:rPr>
                    <m:t>C</m:t>
                  </m:r>
                </m:e>
                <m:sub>
                  <m:r>
                    <m:rPr>
                      <m:sty m:val="p"/>
                    </m:rPr>
                    <w:rPr>
                      <w:rFonts w:ascii="Cambria Math" w:hAnsi="Cambria Math"/>
                      <w:highlight w:val="lightGray"/>
                    </w:rPr>
                    <m:t>2030</m:t>
                  </m:r>
                </m:sub>
              </m:sSub>
            </m:sub>
          </m:sSub>
          <m:r>
            <m:rPr>
              <m:sty m:val="p"/>
            </m:rPr>
            <w:rPr>
              <w:rFonts w:ascii="Cambria Math" w:hAnsi="Cambria Math"/>
              <w:highlight w:val="lightGray"/>
            </w:rPr>
            <m:t>= </m:t>
          </m:r>
          <m:sSub>
            <m:sSubPr>
              <m:ctrlPr>
                <w:rPr>
                  <w:rFonts w:ascii="Cambria Math" w:hAnsi="Cambria Math"/>
                  <w:highlight w:val="lightGray"/>
                </w:rPr>
              </m:ctrlPr>
            </m:sSubPr>
            <m:e>
              <m:r>
                <w:rPr>
                  <w:rFonts w:ascii="Cambria Math" w:hAnsi="Cambria Math"/>
                  <w:highlight w:val="lightGray"/>
                </w:rPr>
                <m:t>C</m:t>
              </m:r>
            </m:e>
            <m:sub>
              <m:r>
                <w:rPr>
                  <w:rFonts w:ascii="Cambria Math" w:hAnsi="Cambria Math"/>
                  <w:highlight w:val="lightGray"/>
                </w:rPr>
                <m:t>EU</m:t>
              </m:r>
            </m:sub>
          </m:sSub>
          <m:d>
            <m:dPr>
              <m:ctrlPr>
                <w:rPr>
                  <w:rFonts w:ascii="Cambria Math" w:hAnsi="Cambria Math"/>
                  <w:highlight w:val="lightGray"/>
                </w:rPr>
              </m:ctrlPr>
            </m:dPr>
            <m:e>
              <m:r>
                <m:rPr>
                  <m:sty m:val="p"/>
                </m:rPr>
                <w:rPr>
                  <w:rFonts w:ascii="Cambria Math" w:hAnsi="Cambria Math"/>
                  <w:highlight w:val="lightGray"/>
                </w:rPr>
                <m:t>1-</m:t>
              </m:r>
              <m:r>
                <w:rPr>
                  <w:rFonts w:ascii="Cambria Math" w:hAnsi="Cambria Math"/>
                  <w:highlight w:val="lightGray"/>
                </w:rPr>
                <m:t>Target</m:t>
              </m:r>
            </m:e>
          </m:d>
          <m:sSub>
            <m:sSubPr>
              <m:ctrlPr>
                <w:rPr>
                  <w:rFonts w:ascii="Cambria Math" w:hAnsi="Cambria Math"/>
                  <w:highlight w:val="lightGray"/>
                </w:rPr>
              </m:ctrlPr>
            </m:sSubPr>
            <m:e>
              <m:r>
                <w:rPr>
                  <w:rFonts w:ascii="Cambria Math" w:hAnsi="Cambria Math"/>
                  <w:highlight w:val="lightGray"/>
                </w:rPr>
                <m:t>FEC</m:t>
              </m:r>
            </m:e>
            <m:sub>
              <m:sSub>
                <m:sSubPr>
                  <m:ctrlPr>
                    <w:rPr>
                      <w:rFonts w:ascii="Cambria Math" w:hAnsi="Cambria Math"/>
                      <w:highlight w:val="lightGray"/>
                    </w:rPr>
                  </m:ctrlPr>
                </m:sSubPr>
                <m:e>
                  <m:r>
                    <w:rPr>
                      <w:rFonts w:ascii="Cambria Math" w:hAnsi="Cambria Math"/>
                      <w:highlight w:val="lightGray"/>
                    </w:rPr>
                    <m:t>B</m:t>
                  </m:r>
                </m:e>
                <m:sub>
                  <m:r>
                    <m:rPr>
                      <m:sty m:val="p"/>
                    </m:rPr>
                    <w:rPr>
                      <w:rFonts w:ascii="Cambria Math" w:hAnsi="Cambria Math"/>
                      <w:highlight w:val="lightGray"/>
                    </w:rPr>
                    <m:t>2030</m:t>
                  </m:r>
                </m:sub>
              </m:sSub>
            </m:sub>
          </m:sSub>
        </m:oMath>
      </m:oMathPara>
    </w:p>
    <w:p w14:paraId="5E3CDC6C" w14:textId="77777777" w:rsidR="00DB73A0" w:rsidRPr="007E3B4E" w:rsidRDefault="009C3D5C" w:rsidP="000C0FA0">
      <w:pPr>
        <w:pStyle w:val="Text1"/>
        <w:rPr>
          <w:highlight w:val="lightGray"/>
        </w:rPr>
      </w:pPr>
      <m:oMathPara>
        <m:oMathParaPr>
          <m:jc m:val="center"/>
        </m:oMathParaPr>
        <m:oMath>
          <m:sSub>
            <m:sSubPr>
              <m:ctrlPr>
                <w:rPr>
                  <w:rFonts w:ascii="Cambria Math" w:hAnsi="Cambria Math"/>
                  <w:iCs/>
                  <w:highlight w:val="lightGray"/>
                </w:rPr>
              </m:ctrlPr>
            </m:sSubPr>
            <m:e>
              <m:r>
                <w:rPr>
                  <w:rFonts w:ascii="Cambria Math" w:hAnsi="Cambria Math"/>
                  <w:highlight w:val="lightGray"/>
                </w:rPr>
                <m:t>PEC</m:t>
              </m:r>
            </m:e>
            <m:sub>
              <m:sSub>
                <m:sSubPr>
                  <m:ctrlPr>
                    <w:rPr>
                      <w:rFonts w:ascii="Cambria Math" w:hAnsi="Cambria Math"/>
                      <w:iCs/>
                      <w:highlight w:val="lightGray"/>
                    </w:rPr>
                  </m:ctrlPr>
                </m:sSubPr>
                <m:e>
                  <m:r>
                    <w:rPr>
                      <w:rFonts w:ascii="Cambria Math" w:hAnsi="Cambria Math"/>
                      <w:highlight w:val="lightGray"/>
                    </w:rPr>
                    <m:t>C</m:t>
                  </m:r>
                </m:e>
                <m:sub>
                  <m:r>
                    <m:rPr>
                      <m:sty m:val="p"/>
                    </m:rPr>
                    <w:rPr>
                      <w:rFonts w:ascii="Cambria Math" w:hAnsi="Cambria Math"/>
                      <w:highlight w:val="lightGray"/>
                    </w:rPr>
                    <m:t>2030</m:t>
                  </m:r>
                </m:sub>
              </m:sSub>
            </m:sub>
          </m:sSub>
          <m:r>
            <m:rPr>
              <m:sty m:val="p"/>
            </m:rPr>
            <w:rPr>
              <w:rFonts w:ascii="Cambria Math" w:hAnsi="Cambria Math"/>
              <w:highlight w:val="lightGray"/>
            </w:rPr>
            <m:t>= </m:t>
          </m:r>
          <m:sSub>
            <m:sSubPr>
              <m:ctrlPr>
                <w:rPr>
                  <w:rFonts w:ascii="Cambria Math" w:hAnsi="Cambria Math"/>
                  <w:iCs/>
                  <w:highlight w:val="lightGray"/>
                </w:rPr>
              </m:ctrlPr>
            </m:sSubPr>
            <m:e>
              <m:r>
                <w:rPr>
                  <w:rFonts w:ascii="Cambria Math" w:hAnsi="Cambria Math"/>
                  <w:highlight w:val="lightGray"/>
                </w:rPr>
                <m:t>C</m:t>
              </m:r>
            </m:e>
            <m:sub>
              <m:r>
                <w:rPr>
                  <w:rFonts w:ascii="Cambria Math" w:hAnsi="Cambria Math"/>
                  <w:highlight w:val="lightGray"/>
                </w:rPr>
                <m:t>EU</m:t>
              </m:r>
            </m:sub>
          </m:sSub>
          <m:d>
            <m:dPr>
              <m:ctrlPr>
                <w:rPr>
                  <w:rFonts w:ascii="Cambria Math" w:hAnsi="Cambria Math"/>
                  <w:iCs/>
                  <w:highlight w:val="lightGray"/>
                </w:rPr>
              </m:ctrlPr>
            </m:dPr>
            <m:e>
              <m:r>
                <m:rPr>
                  <m:sty m:val="p"/>
                </m:rPr>
                <w:rPr>
                  <w:rFonts w:ascii="Cambria Math" w:hAnsi="Cambria Math"/>
                  <w:highlight w:val="lightGray"/>
                </w:rPr>
                <m:t>1-</m:t>
              </m:r>
              <m:r>
                <w:rPr>
                  <w:rFonts w:ascii="Cambria Math" w:hAnsi="Cambria Math"/>
                  <w:highlight w:val="lightGray"/>
                </w:rPr>
                <m:t>Target</m:t>
              </m:r>
            </m:e>
          </m:d>
          <m:sSub>
            <m:sSubPr>
              <m:ctrlPr>
                <w:rPr>
                  <w:rFonts w:ascii="Cambria Math" w:hAnsi="Cambria Math"/>
                  <w:iCs/>
                  <w:highlight w:val="lightGray"/>
                </w:rPr>
              </m:ctrlPr>
            </m:sSubPr>
            <m:e>
              <m:r>
                <w:rPr>
                  <w:rFonts w:ascii="Cambria Math" w:hAnsi="Cambria Math"/>
                  <w:highlight w:val="lightGray"/>
                </w:rPr>
                <m:t>PEC</m:t>
              </m:r>
            </m:e>
            <m:sub>
              <m:sSub>
                <m:sSubPr>
                  <m:ctrlPr>
                    <w:rPr>
                      <w:rFonts w:ascii="Cambria Math" w:hAnsi="Cambria Math"/>
                      <w:iCs/>
                      <w:highlight w:val="lightGray"/>
                    </w:rPr>
                  </m:ctrlPr>
                </m:sSubPr>
                <m:e>
                  <m:r>
                    <w:rPr>
                      <w:rFonts w:ascii="Cambria Math" w:hAnsi="Cambria Math"/>
                      <w:highlight w:val="lightGray"/>
                    </w:rPr>
                    <m:t>B</m:t>
                  </m:r>
                </m:e>
                <m:sub>
                  <m:r>
                    <m:rPr>
                      <m:sty m:val="p"/>
                    </m:rPr>
                    <w:rPr>
                      <w:rFonts w:ascii="Cambria Math" w:hAnsi="Cambria Math"/>
                      <w:highlight w:val="lightGray"/>
                    </w:rPr>
                    <m:t>2030</m:t>
                  </m:r>
                </m:sub>
              </m:sSub>
            </m:sub>
          </m:sSub>
        </m:oMath>
      </m:oMathPara>
    </w:p>
    <w:p w14:paraId="5FE106FB" w14:textId="77777777" w:rsidR="00DB73A0" w:rsidRPr="007E3B4E" w:rsidRDefault="00DB73A0" w:rsidP="0091058E">
      <w:pPr>
        <w:pStyle w:val="Text1"/>
        <w:rPr>
          <w:highlight w:val="lightGray"/>
        </w:rPr>
      </w:pPr>
      <w:r w:rsidRPr="007E3B4E">
        <w:rPr>
          <w:highlight w:val="lightGray"/>
        </w:rPr>
        <w:t>Ahol a C</w:t>
      </w:r>
      <w:r w:rsidRPr="007E3B4E">
        <w:rPr>
          <w:highlight w:val="lightGray"/>
          <w:vertAlign w:val="subscript"/>
        </w:rPr>
        <w:t>EU</w:t>
      </w:r>
      <w:r w:rsidRPr="007E3B4E">
        <w:rPr>
          <w:highlight w:val="lightGray"/>
        </w:rPr>
        <w:t xml:space="preserve"> korrekciós tényező, a </w:t>
      </w:r>
      <w:r w:rsidRPr="007E3B4E">
        <w:rPr>
          <w:i/>
          <w:highlight w:val="lightGray"/>
        </w:rPr>
        <w:t>Target</w:t>
      </w:r>
      <w:r w:rsidRPr="007E3B4E">
        <w:rPr>
          <w:highlight w:val="lightGray"/>
        </w:rPr>
        <w:t xml:space="preserve"> a nemzeti szintű célkitűzés szintje, az FEC</w:t>
      </w:r>
      <w:r w:rsidRPr="007E3B4E">
        <w:rPr>
          <w:highlight w:val="lightGray"/>
          <w:vertAlign w:val="subscript"/>
        </w:rPr>
        <w:t>B2030</w:t>
      </w:r>
      <w:r w:rsidRPr="007E3B4E">
        <w:rPr>
          <w:highlight w:val="lightGray"/>
        </w:rPr>
        <w:t xml:space="preserve"> és a PEC</w:t>
      </w:r>
      <w:r w:rsidRPr="007E3B4E">
        <w:rPr>
          <w:highlight w:val="lightGray"/>
          <w:vertAlign w:val="subscript"/>
        </w:rPr>
        <w:t>B2030</w:t>
      </w:r>
      <w:r w:rsidRPr="007E3B4E">
        <w:rPr>
          <w:highlight w:val="lightGray"/>
        </w:rPr>
        <w:t xml:space="preserve"> pedig a 2030-as alapforgatókönyvként használt 2020. évi referencia-forgatókönyv.</w:t>
      </w:r>
    </w:p>
    <w:p w14:paraId="56D5ACAA" w14:textId="77777777" w:rsidR="00DB73A0" w:rsidRPr="007E3B4E" w:rsidRDefault="008620D5" w:rsidP="008620D5">
      <w:pPr>
        <w:pStyle w:val="Point0"/>
        <w:rPr>
          <w:highlight w:val="lightGray"/>
        </w:rPr>
      </w:pPr>
      <w:r w:rsidRPr="007E3B4E">
        <w:rPr>
          <w:highlight w:val="lightGray"/>
        </w:rPr>
        <w:t>2.</w:t>
      </w:r>
      <w:r w:rsidRPr="007E3B4E">
        <w:tab/>
      </w:r>
      <w:r w:rsidRPr="007E3B4E">
        <w:rPr>
          <w:highlight w:val="lightGray"/>
        </w:rPr>
        <w:t>A következő indikatív képlet a 4. cikk (2) bekezdése d) pontjának i–iv. alpontjában felsorolt tényezőket tükröző objektív kritériumokat tartalmazza, amelyek mindegyike a nemzeti szintű célkitűzés (</w:t>
      </w:r>
      <w:r w:rsidRPr="007E3B4E">
        <w:rPr>
          <w:i/>
          <w:iCs/>
          <w:highlight w:val="lightGray"/>
        </w:rPr>
        <w:t>Target</w:t>
      </w:r>
      <w:r w:rsidRPr="007E3B4E">
        <w:rPr>
          <w:highlight w:val="lightGray"/>
        </w:rPr>
        <w:t>) százalékban kifejezett szintjének meghatározásához használatos, és a képletben (0,25) azonos súllyal szerepel:</w:t>
      </w:r>
    </w:p>
    <w:p w14:paraId="5E4DDBA9" w14:textId="77777777" w:rsidR="00DB73A0" w:rsidRPr="007E3B4E" w:rsidRDefault="008620D5" w:rsidP="008620D5">
      <w:pPr>
        <w:pStyle w:val="Point1"/>
        <w:rPr>
          <w:highlight w:val="lightGray"/>
        </w:rPr>
      </w:pPr>
      <w:r w:rsidRPr="007E3B4E">
        <w:rPr>
          <w:highlight w:val="lightGray"/>
        </w:rPr>
        <w:t>a)</w:t>
      </w:r>
      <w:r w:rsidRPr="007E3B4E">
        <w:tab/>
      </w:r>
      <w:r w:rsidRPr="007E3B4E">
        <w:rPr>
          <w:highlight w:val="lightGray"/>
        </w:rPr>
        <w:t>átalányalapú hozzájárulás („F</w:t>
      </w:r>
      <w:r w:rsidRPr="007E3B4E">
        <w:rPr>
          <w:highlight w:val="lightGray"/>
          <w:vertAlign w:val="subscript"/>
        </w:rPr>
        <w:t>flat</w:t>
      </w:r>
      <w:r w:rsidRPr="007E3B4E">
        <w:rPr>
          <w:highlight w:val="lightGray"/>
        </w:rPr>
        <w:t>”);</w:t>
      </w:r>
    </w:p>
    <w:p w14:paraId="6BF0BD6E" w14:textId="77777777" w:rsidR="00DB73A0" w:rsidRPr="007E3B4E" w:rsidRDefault="008620D5" w:rsidP="008620D5">
      <w:pPr>
        <w:pStyle w:val="Point1"/>
        <w:rPr>
          <w:highlight w:val="lightGray"/>
        </w:rPr>
      </w:pPr>
      <w:r w:rsidRPr="007E3B4E">
        <w:rPr>
          <w:highlight w:val="lightGray"/>
        </w:rPr>
        <w:t>b)</w:t>
      </w:r>
      <w:r w:rsidRPr="007E3B4E">
        <w:tab/>
      </w:r>
      <w:r w:rsidRPr="007E3B4E">
        <w:rPr>
          <w:highlight w:val="lightGray"/>
        </w:rPr>
        <w:t>az egy főre jutó GDP-től függő hozzájárulás („F</w:t>
      </w:r>
      <w:r w:rsidRPr="007E3B4E">
        <w:rPr>
          <w:highlight w:val="lightGray"/>
          <w:vertAlign w:val="subscript"/>
        </w:rPr>
        <w:t>wealth</w:t>
      </w:r>
      <w:r w:rsidRPr="007E3B4E">
        <w:rPr>
          <w:highlight w:val="lightGray"/>
        </w:rPr>
        <w:t>”);</w:t>
      </w:r>
    </w:p>
    <w:p w14:paraId="0DA01967" w14:textId="77777777" w:rsidR="00DB73A0" w:rsidRPr="007E3B4E" w:rsidRDefault="008620D5" w:rsidP="008620D5">
      <w:pPr>
        <w:pStyle w:val="Point1"/>
        <w:rPr>
          <w:highlight w:val="lightGray"/>
        </w:rPr>
      </w:pPr>
      <w:r w:rsidRPr="007E3B4E">
        <w:rPr>
          <w:highlight w:val="lightGray"/>
        </w:rPr>
        <w:t>c)</w:t>
      </w:r>
      <w:r w:rsidRPr="007E3B4E">
        <w:tab/>
      </w:r>
      <w:r w:rsidRPr="007E3B4E">
        <w:rPr>
          <w:highlight w:val="lightGray"/>
        </w:rPr>
        <w:t>energiaintenzitás-függő hozzájárulás („F</w:t>
      </w:r>
      <w:r w:rsidRPr="007E3B4E">
        <w:rPr>
          <w:highlight w:val="lightGray"/>
          <w:vertAlign w:val="subscript"/>
        </w:rPr>
        <w:t>intensity</w:t>
      </w:r>
      <w:r w:rsidRPr="007E3B4E">
        <w:rPr>
          <w:highlight w:val="lightGray"/>
        </w:rPr>
        <w:t>”);</w:t>
      </w:r>
    </w:p>
    <w:p w14:paraId="51FB4262" w14:textId="77777777" w:rsidR="00DB73A0" w:rsidRPr="007E3B4E" w:rsidRDefault="008620D5" w:rsidP="008620D5">
      <w:pPr>
        <w:pStyle w:val="Point1"/>
        <w:rPr>
          <w:highlight w:val="lightGray"/>
        </w:rPr>
      </w:pPr>
      <w:r w:rsidRPr="007E3B4E">
        <w:rPr>
          <w:highlight w:val="lightGray"/>
        </w:rPr>
        <w:t>d)</w:t>
      </w:r>
      <w:r w:rsidRPr="007E3B4E">
        <w:tab/>
      </w:r>
      <w:r w:rsidRPr="007E3B4E">
        <w:rPr>
          <w:highlight w:val="lightGray"/>
        </w:rPr>
        <w:t>a költséghatékony energiamegtakarítási potenciállal kapcsolatos hozzájárulás („F</w:t>
      </w:r>
      <w:r w:rsidRPr="007E3B4E">
        <w:rPr>
          <w:highlight w:val="lightGray"/>
          <w:vertAlign w:val="subscript"/>
        </w:rPr>
        <w:t>potential</w:t>
      </w:r>
      <w:r w:rsidRPr="007E3B4E">
        <w:rPr>
          <w:highlight w:val="lightGray"/>
        </w:rPr>
        <w:t>”).</w:t>
      </w:r>
    </w:p>
    <w:p w14:paraId="2F2E8BC2" w14:textId="77777777" w:rsidR="00DB73A0" w:rsidRPr="007E3B4E" w:rsidRDefault="008620D5" w:rsidP="008620D5">
      <w:pPr>
        <w:pStyle w:val="Point0"/>
        <w:rPr>
          <w:highlight w:val="lightGray"/>
        </w:rPr>
      </w:pPr>
      <w:r w:rsidRPr="007E3B4E">
        <w:rPr>
          <w:highlight w:val="lightGray"/>
        </w:rPr>
        <w:t>3.</w:t>
      </w:r>
      <w:r w:rsidRPr="007E3B4E">
        <w:tab/>
      </w:r>
      <w:r w:rsidRPr="007E3B4E">
        <w:rPr>
          <w:highlight w:val="lightGray"/>
        </w:rPr>
        <w:t>Az F</w:t>
      </w:r>
      <w:r w:rsidRPr="007E3B4E">
        <w:rPr>
          <w:highlight w:val="lightGray"/>
          <w:vertAlign w:val="subscript"/>
        </w:rPr>
        <w:t>flat</w:t>
      </w:r>
      <w:r w:rsidRPr="007E3B4E">
        <w:rPr>
          <w:highlight w:val="lightGray"/>
        </w:rPr>
        <w:t xml:space="preserve"> azt a 2030-as uniós célkitűzést jelenti, amely magában foglalja a végsőenergia-fogyasztás (FEC) és a primerenergia-fogyasztás (PEC) terén a 2020-as referencia-forgatókönyv 2030-ra vonatkozó előrejelzéseihez képest meghatározott uniós energiahatékonysági célkitűzések eléréséhez szükséges további erőfeszítéseket.</w:t>
      </w:r>
    </w:p>
    <w:p w14:paraId="27B4695F" w14:textId="77777777" w:rsidR="00DB73A0" w:rsidRPr="007E3B4E" w:rsidRDefault="008620D5" w:rsidP="008620D5">
      <w:pPr>
        <w:pStyle w:val="Point0"/>
        <w:rPr>
          <w:highlight w:val="lightGray"/>
        </w:rPr>
      </w:pPr>
      <w:r w:rsidRPr="007E3B4E">
        <w:rPr>
          <w:highlight w:val="lightGray"/>
        </w:rPr>
        <w:t>4.</w:t>
      </w:r>
      <w:r w:rsidRPr="007E3B4E">
        <w:tab/>
      </w:r>
      <w:r w:rsidRPr="007E3B4E">
        <w:rPr>
          <w:highlight w:val="lightGray"/>
        </w:rPr>
        <w:t>Az F</w:t>
      </w:r>
      <w:r w:rsidRPr="007E3B4E">
        <w:rPr>
          <w:highlight w:val="lightGray"/>
          <w:vertAlign w:val="subscript"/>
        </w:rPr>
        <w:t>wealth</w:t>
      </w:r>
      <w:r w:rsidRPr="007E3B4E">
        <w:rPr>
          <w:highlight w:val="lightGray"/>
        </w:rPr>
        <w:t xml:space="preserve"> értékét minden egyes tagállam esetében az Eurostat által a 2017–2019-es időszakra vonatkozóan megállapított, egy főre jutó reál GDP uniós indexének hároméves átlagához viszonyított, egy főre jutó reál GDP tagállami indexe alapján kell kiszámítani, vásárlóerő-paritásban kifejezve.</w:t>
      </w:r>
    </w:p>
    <w:p w14:paraId="4F3B1776" w14:textId="77777777" w:rsidR="00DB73A0" w:rsidRPr="007E3B4E" w:rsidRDefault="008620D5" w:rsidP="008620D5">
      <w:pPr>
        <w:pStyle w:val="Point0"/>
        <w:rPr>
          <w:highlight w:val="lightGray"/>
        </w:rPr>
      </w:pPr>
      <w:r w:rsidRPr="007E3B4E">
        <w:rPr>
          <w:highlight w:val="lightGray"/>
        </w:rPr>
        <w:t>5.</w:t>
      </w:r>
      <w:r w:rsidRPr="007E3B4E">
        <w:tab/>
      </w:r>
      <w:r w:rsidRPr="007E3B4E">
        <w:rPr>
          <w:highlight w:val="lightGray"/>
        </w:rPr>
        <w:t>Az F</w:t>
      </w:r>
      <w:r w:rsidRPr="007E3B4E">
        <w:rPr>
          <w:highlight w:val="lightGray"/>
          <w:vertAlign w:val="subscript"/>
        </w:rPr>
        <w:t>intensity</w:t>
      </w:r>
      <w:r w:rsidRPr="007E3B4E">
        <w:rPr>
          <w:highlight w:val="lightGray"/>
        </w:rPr>
        <w:t xml:space="preserve"> értékét minden egyes tagállam esetében a 2017–2019-es időszak uniós hároméves átlagos végsőenergia-intenzitásához viszonyított tagállami hároméves átlagos végsőenergia-intenzitás (az FEC, illetve az PEC vásárlóerő-paritásban kifejezett reál GDP-hez viszonyított aránya) alapján kell kiszámítani.</w:t>
      </w:r>
    </w:p>
    <w:p w14:paraId="28FFDB51" w14:textId="77777777" w:rsidR="00DB73A0" w:rsidRPr="007E3B4E" w:rsidRDefault="008620D5" w:rsidP="008620D5">
      <w:pPr>
        <w:pStyle w:val="Point0"/>
        <w:rPr>
          <w:highlight w:val="lightGray"/>
        </w:rPr>
      </w:pPr>
      <w:r w:rsidRPr="007E3B4E">
        <w:rPr>
          <w:highlight w:val="lightGray"/>
        </w:rPr>
        <w:t>6.</w:t>
      </w:r>
      <w:r w:rsidRPr="007E3B4E">
        <w:tab/>
      </w:r>
      <w:r w:rsidRPr="007E3B4E">
        <w:rPr>
          <w:highlight w:val="lightGray"/>
        </w:rPr>
        <w:t>Az F</w:t>
      </w:r>
      <w:r w:rsidRPr="007E3B4E">
        <w:rPr>
          <w:highlight w:val="lightGray"/>
          <w:vertAlign w:val="subscript"/>
        </w:rPr>
        <w:t>potential</w:t>
      </w:r>
      <w:r w:rsidRPr="007E3B4E">
        <w:rPr>
          <w:highlight w:val="lightGray"/>
        </w:rPr>
        <w:t xml:space="preserve"> értékét minden tagállam esetében a 2030-ra vonatkozó PRIMES MIX 55 %-os forgatókönyv szerinti végsőenergia-, illetve primerenergia-megtakarítás alapján kell kiszámítani. A megtakarításokat a 2020-as referencia-forgatókönyv 2030-ra vonatkozó előrejelzéseihez viszonyítva kell kifejezni.</w:t>
      </w:r>
    </w:p>
    <w:p w14:paraId="7A8D76E8" w14:textId="77777777" w:rsidR="00DB73A0" w:rsidRPr="007E3B4E" w:rsidRDefault="008620D5" w:rsidP="008620D5">
      <w:pPr>
        <w:pStyle w:val="Point0"/>
        <w:rPr>
          <w:highlight w:val="lightGray"/>
        </w:rPr>
      </w:pPr>
      <w:r w:rsidRPr="007E3B4E">
        <w:rPr>
          <w:highlight w:val="lightGray"/>
        </w:rPr>
        <w:t>7.</w:t>
      </w:r>
      <w:r w:rsidRPr="007E3B4E">
        <w:tab/>
      </w:r>
      <w:r w:rsidRPr="007E3B4E">
        <w:rPr>
          <w:highlight w:val="lightGray"/>
        </w:rPr>
        <w:t>A 2. pont a)–d) alpontjában előírt minden egyes kritérium esetében alsó és felső határértéket kell alkalmazni. Az egyes tényezőkre vonatkozó célkitűzések alsó, illetve felső határértéke az uniós átlagos ambíciószint 50 %-a, illetve 150 %-a az adott tényező esetében.</w:t>
      </w:r>
    </w:p>
    <w:p w14:paraId="2017A33C" w14:textId="77777777" w:rsidR="00DB73A0" w:rsidRPr="007E3B4E" w:rsidRDefault="008620D5" w:rsidP="008620D5">
      <w:pPr>
        <w:pStyle w:val="Point0"/>
        <w:rPr>
          <w:highlight w:val="lightGray"/>
        </w:rPr>
      </w:pPr>
      <w:r w:rsidRPr="007E3B4E">
        <w:rPr>
          <w:highlight w:val="lightGray"/>
        </w:rPr>
        <w:t>8.</w:t>
      </w:r>
      <w:r w:rsidRPr="007E3B4E">
        <w:tab/>
      </w:r>
      <w:r w:rsidRPr="007E3B4E">
        <w:rPr>
          <w:highlight w:val="lightGray"/>
        </w:rPr>
        <w:t>Eltérő rendelkezés hiányában a tényezők kiszámításához használt bemeneti adatok forrása az Eurostat.</w:t>
      </w:r>
    </w:p>
    <w:p w14:paraId="45DDFF80" w14:textId="77777777" w:rsidR="00DB73A0" w:rsidRPr="007E3B4E" w:rsidRDefault="008620D5" w:rsidP="008620D5">
      <w:pPr>
        <w:pStyle w:val="Point0"/>
        <w:rPr>
          <w:highlight w:val="lightGray"/>
        </w:rPr>
      </w:pPr>
      <w:r w:rsidRPr="007E3B4E">
        <w:rPr>
          <w:highlight w:val="lightGray"/>
        </w:rPr>
        <w:t>9.</w:t>
      </w:r>
      <w:r w:rsidRPr="007E3B4E">
        <w:tab/>
      </w:r>
      <w:r w:rsidRPr="007E3B4E">
        <w:rPr>
          <w:highlight w:val="lightGray"/>
        </w:rPr>
        <w:t>Az F</w:t>
      </w:r>
      <w:r w:rsidRPr="007E3B4E">
        <w:rPr>
          <w:highlight w:val="lightGray"/>
          <w:vertAlign w:val="subscript"/>
        </w:rPr>
        <w:t>total</w:t>
      </w:r>
      <w:r w:rsidRPr="007E3B4E">
        <w:rPr>
          <w:highlight w:val="lightGray"/>
        </w:rPr>
        <w:t xml:space="preserve"> értékét mind a négy tényező súlyozott összegeként kell kiszámítani (F</w:t>
      </w:r>
      <w:r w:rsidRPr="007E3B4E">
        <w:rPr>
          <w:highlight w:val="lightGray"/>
          <w:vertAlign w:val="subscript"/>
        </w:rPr>
        <w:t>flat</w:t>
      </w:r>
      <w:r w:rsidRPr="007E3B4E">
        <w:rPr>
          <w:highlight w:val="lightGray"/>
        </w:rPr>
        <w:t>, F</w:t>
      </w:r>
      <w:r w:rsidRPr="007E3B4E">
        <w:rPr>
          <w:highlight w:val="lightGray"/>
          <w:vertAlign w:val="subscript"/>
        </w:rPr>
        <w:t xml:space="preserve">wealth </w:t>
      </w:r>
      <w:r w:rsidRPr="007E3B4E">
        <w:rPr>
          <w:highlight w:val="lightGray"/>
        </w:rPr>
        <w:t>F</w:t>
      </w:r>
      <w:r w:rsidRPr="007E3B4E">
        <w:rPr>
          <w:highlight w:val="lightGray"/>
          <w:vertAlign w:val="subscript"/>
        </w:rPr>
        <w:t xml:space="preserve">intensity </w:t>
      </w:r>
      <w:r w:rsidRPr="007E3B4E">
        <w:rPr>
          <w:highlight w:val="lightGray"/>
        </w:rPr>
        <w:t>és</w:t>
      </w:r>
      <w:r w:rsidRPr="007E3B4E">
        <w:rPr>
          <w:highlight w:val="lightGray"/>
          <w:vertAlign w:val="subscript"/>
        </w:rPr>
        <w:t xml:space="preserve"> </w:t>
      </w:r>
      <w:r w:rsidRPr="007E3B4E">
        <w:rPr>
          <w:highlight w:val="lightGray"/>
        </w:rPr>
        <w:t>F</w:t>
      </w:r>
      <w:r w:rsidRPr="007E3B4E">
        <w:rPr>
          <w:highlight w:val="lightGray"/>
          <w:vertAlign w:val="subscript"/>
        </w:rPr>
        <w:t>potential</w:t>
      </w:r>
      <w:r w:rsidRPr="007E3B4E">
        <w:rPr>
          <w:highlight w:val="lightGray"/>
        </w:rPr>
        <w:t>). Ezt követően a célértéket a teljes F</w:t>
      </w:r>
      <w:r w:rsidRPr="007E3B4E">
        <w:rPr>
          <w:highlight w:val="lightGray"/>
          <w:vertAlign w:val="subscript"/>
        </w:rPr>
        <w:t>total</w:t>
      </w:r>
      <w:r w:rsidRPr="007E3B4E">
        <w:rPr>
          <w:highlight w:val="lightGray"/>
        </w:rPr>
        <w:t xml:space="preserve"> tényező és az uniós célkitűzés szorzataként kell kiszámítani.</w:t>
      </w:r>
    </w:p>
    <w:p w14:paraId="709FAF02" w14:textId="77777777" w:rsidR="0073339D" w:rsidRPr="007E3B4E" w:rsidRDefault="008620D5" w:rsidP="008620D5">
      <w:pPr>
        <w:pStyle w:val="Point0"/>
        <w:rPr>
          <w:highlight w:val="lightGray"/>
        </w:rPr>
      </w:pPr>
      <w:r w:rsidRPr="007E3B4E">
        <w:rPr>
          <w:highlight w:val="lightGray"/>
        </w:rPr>
        <w:t>10.</w:t>
      </w:r>
      <w:r w:rsidRPr="007E3B4E">
        <w:tab/>
      </w:r>
      <w:r w:rsidRPr="007E3B4E">
        <w:rPr>
          <w:highlight w:val="lightGray"/>
        </w:rPr>
        <w:t>Valamennyi tagállam esetében egy C</w:t>
      </w:r>
      <w:r w:rsidRPr="007E3B4E">
        <w:rPr>
          <w:highlight w:val="lightGray"/>
          <w:vertAlign w:val="subscript"/>
        </w:rPr>
        <w:t>EU</w:t>
      </w:r>
      <w:r w:rsidRPr="007E3B4E">
        <w:rPr>
          <w:highlight w:val="lightGray"/>
        </w:rPr>
        <w:t xml:space="preserve"> primer- és végsőenergia-korrekciós tényezőt kell alkalmazni a 2030-ra vonatkozó uniós primerenergia-fogyasztási és végsőenergia-fogyasztási célokhoz való összes nemzeti hozzájárulás összegének kalibrálása céljából. A C</w:t>
      </w:r>
      <w:r w:rsidRPr="007E3B4E">
        <w:rPr>
          <w:highlight w:val="lightGray"/>
          <w:vertAlign w:val="subscript"/>
        </w:rPr>
        <w:t>EU</w:t>
      </w:r>
      <w:r w:rsidRPr="007E3B4E">
        <w:rPr>
          <w:highlight w:val="lightGray"/>
        </w:rPr>
        <w:t xml:space="preserve"> tényező valamennyi tagállam esetében azonos.</w:t>
      </w:r>
    </w:p>
    <w:p w14:paraId="3909D3F1" w14:textId="77777777" w:rsidR="0073339D" w:rsidRPr="007E3B4E" w:rsidRDefault="0073339D" w:rsidP="0073339D">
      <w:pPr>
        <w:pStyle w:val="Point0"/>
        <w:jc w:val="center"/>
        <w:rPr>
          <w:highlight w:val="lightGray"/>
        </w:rPr>
      </w:pPr>
      <w:r w:rsidRPr="007E3B4E">
        <w:rPr>
          <w:szCs w:val="20"/>
          <w:highlight w:val="lightGray"/>
        </w:rPr>
        <w:t>_____________</w:t>
      </w:r>
    </w:p>
    <w:p w14:paraId="491493E6" w14:textId="77777777" w:rsidR="0073339D" w:rsidRPr="007E3B4E" w:rsidRDefault="0073339D" w:rsidP="008620D5">
      <w:pPr>
        <w:pStyle w:val="Point0"/>
        <w:rPr>
          <w:highlight w:val="lightGray"/>
        </w:rPr>
        <w:sectPr w:rsidR="0073339D" w:rsidRPr="007E3B4E" w:rsidSect="002A7954">
          <w:footerReference w:type="default" r:id="rId13"/>
          <w:footerReference w:type="first" r:id="rId14"/>
          <w:pgSz w:w="11906" w:h="16838"/>
          <w:pgMar w:top="1134" w:right="1418" w:bottom="1134" w:left="1418" w:header="709" w:footer="709" w:gutter="0"/>
          <w:cols w:space="709"/>
          <w:docGrid w:linePitch="326"/>
        </w:sectPr>
      </w:pPr>
    </w:p>
    <w:p w14:paraId="357AC61B" w14:textId="77777777" w:rsidR="00DB73A0" w:rsidRPr="007E3B4E" w:rsidRDefault="00DB73A0" w:rsidP="00DB73A0">
      <w:pPr>
        <w:pStyle w:val="CRSeparator"/>
      </w:pPr>
    </w:p>
    <w:p w14:paraId="420ED4B2" w14:textId="77777777" w:rsidR="00DB73A0" w:rsidRPr="007E3B4E" w:rsidRDefault="00DB73A0" w:rsidP="00DB73A0">
      <w:pPr>
        <w:pStyle w:val="CRReference"/>
        <w:rPr>
          <w:highlight w:val="lightGray"/>
        </w:rPr>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4E02972A" w14:textId="77777777" w:rsidR="00DB73A0" w:rsidRPr="007E3B4E" w:rsidRDefault="00DB73A0" w:rsidP="00C23E1D">
      <w:pPr>
        <w:pStyle w:val="Annexetitre"/>
      </w:pPr>
      <w:r w:rsidRPr="007E3B4E">
        <w:rPr>
          <w:rStyle w:val="CRMinorChangeAdded"/>
        </w:rPr>
        <w:t>II</w:t>
      </w:r>
      <w:r w:rsidRPr="007E3B4E">
        <w:rPr>
          <w:rStyle w:val="CRMinorChangeDeleted"/>
        </w:rPr>
        <w:t>I</w:t>
      </w:r>
      <w:r w:rsidRPr="007E3B4E">
        <w:t>. MELLÉKLET</w:t>
      </w:r>
    </w:p>
    <w:p w14:paraId="546E12AE" w14:textId="77777777" w:rsidR="00DB73A0" w:rsidRPr="007E3B4E" w:rsidRDefault="00DB73A0" w:rsidP="00DB73A0">
      <w:pPr>
        <w:pStyle w:val="ManualHeading1"/>
        <w:tabs>
          <w:tab w:val="clear" w:pos="850"/>
        </w:tabs>
        <w:ind w:left="851" w:hanging="851"/>
      </w:pPr>
      <w:r w:rsidRPr="007E3B4E">
        <w:rPr>
          <w:i/>
          <w:iCs/>
        </w:rPr>
        <w:t>A KAPCSOLT ENERGIATERMELÉSBŐL SZÁRMAZÓ VILLAMOS ENERGIA KISZÁMÍTÁSÁNAK ÁLTALÁNOS ELVEI</w:t>
      </w:r>
    </w:p>
    <w:p w14:paraId="1DCF70AF" w14:textId="77777777" w:rsidR="00DB73A0" w:rsidRPr="007E3B4E" w:rsidRDefault="00DB73A0" w:rsidP="00DB73A0">
      <w:pPr>
        <w:pStyle w:val="ManualHeading2"/>
        <w:numPr>
          <w:ilvl w:val="1"/>
          <w:numId w:val="0"/>
        </w:numPr>
        <w:ind w:left="851" w:hanging="851"/>
      </w:pPr>
      <w:r w:rsidRPr="007E3B4E">
        <w:rPr>
          <w:i/>
          <w:iCs/>
        </w:rPr>
        <w:t>I. rész</w:t>
      </w:r>
    </w:p>
    <w:p w14:paraId="3A22AA63" w14:textId="77777777" w:rsidR="00DB73A0" w:rsidRPr="007E3B4E" w:rsidRDefault="00DB73A0" w:rsidP="00DB73A0">
      <w:pPr>
        <w:pStyle w:val="ManualHeading3"/>
        <w:numPr>
          <w:ilvl w:val="2"/>
          <w:numId w:val="0"/>
        </w:numPr>
        <w:ind w:left="850" w:hanging="850"/>
      </w:pPr>
      <w:r w:rsidRPr="007E3B4E">
        <w:t>Általános elvek</w:t>
      </w:r>
    </w:p>
    <w:p w14:paraId="5EEF765F" w14:textId="77777777" w:rsidR="00DB73A0" w:rsidRPr="007E3B4E" w:rsidRDefault="00DB73A0" w:rsidP="00DB73A0">
      <w:r w:rsidRPr="007E3B4E">
        <w:t>A kapcsolt energiatermelésből származó villamos energia kiszámításához felhasznált értékek meghatározása az adott egység várható vagy tényleges rendeltetésszerű használata során tapasztaltak alapján történik. A mikroegységek esetében a számítást hiteles értékekre lehet alapozni.</w:t>
      </w:r>
    </w:p>
    <w:p w14:paraId="239D159F" w14:textId="77777777" w:rsidR="00DB73A0" w:rsidRPr="007E3B4E" w:rsidRDefault="00DB73A0" w:rsidP="00DB73A0">
      <w:pPr>
        <w:pStyle w:val="Point0"/>
      </w:pPr>
      <w:r w:rsidRPr="007E3B4E">
        <w:t>a)</w:t>
      </w:r>
      <w:r w:rsidRPr="007E3B4E">
        <w:tab/>
        <w:t xml:space="preserve">A kapcsolt energiatermelésből származó villamos energia mennyiségét </w:t>
      </w:r>
      <w:r w:rsidRPr="007E3B4E">
        <w:rPr>
          <w:rStyle w:val="CRMinorChangeDeleted"/>
        </w:rPr>
        <w:t>a következő esetekben</w:t>
      </w:r>
      <w:r w:rsidRPr="007E3B4E">
        <w:t xml:space="preserve"> az adott egységnek a főgenerátorok generátorkapcsán mért teljes évi villamosenergia-termelésével azonosnak kell tekinteni </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az alábbi feltételek teljesülése esetén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r w:rsidRPr="007E3B4E">
        <w:rPr>
          <w:rStyle w:val="CRMinorChangeDeleted"/>
        </w:rPr>
        <w:t>;</w:t>
      </w:r>
      <w:r w:rsidRPr="007E3B4E">
        <w:rPr>
          <w:rStyle w:val="CRMinorChangeAdded"/>
        </w:rPr>
        <w:t>:</w:t>
      </w:r>
    </w:p>
    <w:p w14:paraId="5C5338F2" w14:textId="77777777" w:rsidR="00DB73A0" w:rsidRPr="007E3B4E" w:rsidRDefault="00DB73A0" w:rsidP="00DB73A0">
      <w:pPr>
        <w:pStyle w:val="Point1"/>
      </w:pPr>
      <w:r w:rsidRPr="007E3B4E">
        <w:t>i.</w:t>
      </w:r>
      <w:r w:rsidRPr="007E3B4E">
        <w:tab/>
        <w:t xml:space="preserve">a II. részben említett b), d), e), f), g), valamint h) típusú, kapcsolt energiatermelő egységek esetében, amelyeknek a tagállamok által megállapított éves összhatásfoka legalább 75 %; </w:t>
      </w:r>
      <w:r w:rsidRPr="007E3B4E">
        <w:rPr>
          <w:rStyle w:val="CRDeleted"/>
        </w:rPr>
        <w:t>és</w:t>
      </w:r>
    </w:p>
    <w:p w14:paraId="7FBC80FD" w14:textId="77777777" w:rsidR="00DB73A0" w:rsidRPr="007E3B4E" w:rsidRDefault="00DB73A0" w:rsidP="00DB73A0">
      <w:pPr>
        <w:pStyle w:val="Point1"/>
      </w:pPr>
      <w:r w:rsidRPr="007E3B4E">
        <w:t>ii.</w:t>
      </w:r>
      <w:r w:rsidRPr="007E3B4E">
        <w:tab/>
        <w:t>a II. részben említett a) és c) típusú kapcsolt energiatermelő egységek esetében, amelyeknek a tagállamok által megállapított éves összhatásfoka legalább 80 %.</w:t>
      </w:r>
    </w:p>
    <w:p w14:paraId="7DAD6B62" w14:textId="77777777" w:rsidR="00DB73A0" w:rsidRPr="007E3B4E" w:rsidRDefault="00DB73A0" w:rsidP="00DB73A0">
      <w:pPr>
        <w:pStyle w:val="Point0"/>
      </w:pPr>
      <w:r w:rsidRPr="007E3B4E">
        <w:t>b)</w:t>
      </w:r>
      <w:r w:rsidRPr="007E3B4E">
        <w:tab/>
        <w:t>Azon kapcsolt energiatermelő egységek esetében, amelyek nem érik el az a) pont i. alpontjában megállapított éves összhatásfokot (a II. részben említett b), d), e), f), g), valamint h) típusú, kapcsolt energiatermelő egységek), illetve azon kapcsolt energiatermelő egységek esetében, amelyek nem érik el az a) pont ii. alpontjában megállapított éves összhatásfokot (a II. részben említett a) és c) típusú, kapcsolt energiatermelő egységek), a kapcsolt energiatermelés</w:t>
      </w:r>
      <w:r w:rsidRPr="007E3B4E">
        <w:rPr>
          <w:rStyle w:val="CRMinorChangeDeleted"/>
        </w:rPr>
        <w:t>t</w:t>
      </w:r>
      <w:r w:rsidRPr="007E3B4E">
        <w:rPr>
          <w:rStyle w:val="CRMinorChangeAdded"/>
        </w:rPr>
        <w:t>ből</w:t>
      </w:r>
      <w:r w:rsidRPr="007E3B4E">
        <w:t xml:space="preserve"> </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származó villamos energiát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r w:rsidRPr="007E3B4E">
        <w:t xml:space="preserve"> a következő képlet szerint kell kiszámítani:</w:t>
      </w:r>
    </w:p>
    <w:p w14:paraId="00FD8A03" w14:textId="77777777" w:rsidR="00DB73A0" w:rsidRPr="007E3B4E" w:rsidRDefault="00DB73A0" w:rsidP="00C23E1D">
      <w:pPr>
        <w:pStyle w:val="Text1"/>
      </w:pPr>
      <w:r w:rsidRPr="007E3B4E">
        <w:t>E</w:t>
      </w:r>
      <w:r w:rsidRPr="007E3B4E">
        <w:rPr>
          <w:vertAlign w:val="subscript"/>
        </w:rPr>
        <w:t>CHP</w:t>
      </w:r>
      <w:r w:rsidRPr="007E3B4E">
        <w:t>=H</w:t>
      </w:r>
      <w:r w:rsidRPr="007E3B4E">
        <w:rPr>
          <w:vertAlign w:val="subscript"/>
        </w:rPr>
        <w:t>CHP</w:t>
      </w:r>
      <w:r w:rsidRPr="007E3B4E">
        <w:t>*C</w:t>
      </w:r>
    </w:p>
    <w:p w14:paraId="19A44EDD" w14:textId="77777777" w:rsidR="00DB73A0" w:rsidRPr="007E3B4E" w:rsidRDefault="00DB73A0" w:rsidP="00C23E1D">
      <w:pPr>
        <w:pStyle w:val="Text1"/>
      </w:pPr>
      <w:r w:rsidRPr="007E3B4E">
        <w:t>ahol:</w:t>
      </w:r>
    </w:p>
    <w:p w14:paraId="4F72297C" w14:textId="77777777" w:rsidR="00DB73A0" w:rsidRPr="007E3B4E" w:rsidRDefault="00DB73A0" w:rsidP="00C23E1D">
      <w:pPr>
        <w:pStyle w:val="Text1"/>
      </w:pPr>
      <w:r w:rsidRPr="007E3B4E">
        <w:t>E</w:t>
      </w:r>
      <w:r w:rsidRPr="007E3B4E">
        <w:rPr>
          <w:vertAlign w:val="subscript"/>
        </w:rPr>
        <w:t>CHP</w:t>
      </w:r>
      <w:r w:rsidRPr="007E3B4E">
        <w:t xml:space="preserve"> a kapcsolt energiatermelésből származó villamos energia mennyisége;</w:t>
      </w:r>
    </w:p>
    <w:p w14:paraId="69AE5E09" w14:textId="77777777" w:rsidR="00DB73A0" w:rsidRPr="007E3B4E" w:rsidRDefault="00DB73A0" w:rsidP="00C23E1D">
      <w:pPr>
        <w:pStyle w:val="Text1"/>
      </w:pPr>
      <w:r w:rsidRPr="007E3B4E">
        <w:t>C a villamos energia/hő arány,</w:t>
      </w:r>
    </w:p>
    <w:p w14:paraId="615A7BA6" w14:textId="77777777" w:rsidR="00DB73A0" w:rsidRPr="007E3B4E" w:rsidRDefault="00DB73A0" w:rsidP="00C23E1D">
      <w:pPr>
        <w:pStyle w:val="Text1"/>
      </w:pPr>
      <w:r w:rsidRPr="007E3B4E">
        <w:t>H</w:t>
      </w:r>
      <w:r w:rsidRPr="007E3B4E">
        <w:rPr>
          <w:vertAlign w:val="subscript"/>
        </w:rPr>
        <w:t>CHP</w:t>
      </w:r>
      <w:r w:rsidRPr="007E3B4E">
        <w:t xml:space="preserve"> a kapcsolt energiatermelésből származó hasznos hő mennyisége (e célból úgy kell számítani, hogy a teljes hőtermelésből kivonjuk a külön kazánokban termelt hőmennyiséget vagy azt a frissgőzelvételt, amelyet a gőztermelés során vesznek le a turbina előtt).</w:t>
      </w:r>
    </w:p>
    <w:p w14:paraId="67467D39" w14:textId="77777777" w:rsidR="00DB73A0" w:rsidRPr="007E3B4E" w:rsidRDefault="00DB73A0" w:rsidP="00C23E1D">
      <w:pPr>
        <w:pStyle w:val="Text1"/>
      </w:pPr>
      <w:r w:rsidRPr="007E3B4E">
        <w:t>A kapcsolt energiatermelésből származó villamos energia számításához a tényleges villamos energia/hő arányt kell felhasználni. Amennyiben valamely, kapcsolt energiatermelő egység tényleges villamos energia/hő aránya nem ismert, a következő alapértékekkel kell számolni, különösen statisztikai számítások céljából, a II. részben említett a), b), c), d) és e) típusú, kapcsolt energiatermelő egységek esetében, feltéve, hogy a számított kapcsolt energiatermelésből származó villamos energia értéke kisebb az egység tényleges összvillamosenergia-termelésénél, vagy megegyezik azzal:</w:t>
      </w:r>
    </w:p>
    <w:tbl>
      <w:tblPr>
        <w:tblW w:w="0" w:type="auto"/>
        <w:tblInd w:w="959" w:type="dxa"/>
        <w:tblLayout w:type="fixed"/>
        <w:tblLook w:val="0000" w:firstRow="0" w:lastRow="0" w:firstColumn="0" w:lastColumn="0" w:noHBand="0" w:noVBand="0"/>
      </w:tblPr>
      <w:tblGrid>
        <w:gridCol w:w="4483"/>
        <w:gridCol w:w="3738"/>
      </w:tblGrid>
      <w:tr w:rsidR="00DB73A0" w:rsidRPr="007E3B4E" w14:paraId="361527AA" w14:textId="77777777" w:rsidTr="002A72C8">
        <w:tc>
          <w:tcPr>
            <w:tcW w:w="4483" w:type="dxa"/>
            <w:tcBorders>
              <w:top w:val="single" w:sz="2" w:space="0" w:color="auto"/>
              <w:left w:val="single" w:sz="2" w:space="0" w:color="auto"/>
              <w:bottom w:val="single" w:sz="2" w:space="0" w:color="auto"/>
              <w:right w:val="single" w:sz="2" w:space="0" w:color="auto"/>
            </w:tcBorders>
          </w:tcPr>
          <w:p w14:paraId="163EDF75" w14:textId="77777777" w:rsidR="00DB73A0" w:rsidRPr="007E3B4E" w:rsidRDefault="00DB73A0" w:rsidP="00857194">
            <w:pPr>
              <w:pStyle w:val="NormalCentered"/>
              <w:keepNext/>
            </w:pPr>
            <w:r w:rsidRPr="007E3B4E">
              <w:t>Egység típusa</w:t>
            </w:r>
          </w:p>
        </w:tc>
        <w:tc>
          <w:tcPr>
            <w:tcW w:w="3738" w:type="dxa"/>
            <w:tcBorders>
              <w:top w:val="single" w:sz="2" w:space="0" w:color="auto"/>
              <w:left w:val="single" w:sz="2" w:space="0" w:color="auto"/>
              <w:bottom w:val="single" w:sz="2" w:space="0" w:color="auto"/>
              <w:right w:val="single" w:sz="2" w:space="0" w:color="auto"/>
            </w:tcBorders>
          </w:tcPr>
          <w:p w14:paraId="050F46A0" w14:textId="77777777" w:rsidR="00DB73A0" w:rsidRPr="007E3B4E" w:rsidRDefault="00DB73A0" w:rsidP="00857194">
            <w:pPr>
              <w:pStyle w:val="NormalCentered"/>
              <w:keepNext/>
            </w:pPr>
            <w:r w:rsidRPr="007E3B4E">
              <w:t>Alapértelmezett villamos energia/hő arány (C)</w:t>
            </w:r>
          </w:p>
        </w:tc>
      </w:tr>
      <w:tr w:rsidR="00DB73A0" w:rsidRPr="007E3B4E" w14:paraId="6D138640" w14:textId="77777777" w:rsidTr="002A72C8">
        <w:tc>
          <w:tcPr>
            <w:tcW w:w="4483" w:type="dxa"/>
            <w:tcBorders>
              <w:top w:val="single" w:sz="2" w:space="0" w:color="auto"/>
              <w:left w:val="single" w:sz="2" w:space="0" w:color="auto"/>
              <w:bottom w:val="single" w:sz="2" w:space="0" w:color="auto"/>
              <w:right w:val="single" w:sz="2" w:space="0" w:color="auto"/>
            </w:tcBorders>
          </w:tcPr>
          <w:p w14:paraId="649F7FCB" w14:textId="77777777" w:rsidR="00DB73A0" w:rsidRPr="007E3B4E" w:rsidRDefault="00DB73A0" w:rsidP="00857194">
            <w:pPr>
              <w:pStyle w:val="NormalLeft"/>
              <w:keepNext/>
            </w:pPr>
            <w:r w:rsidRPr="007E3B4E">
              <w:t>Gázturbinás erőmű kombinált ciklussal;</w:t>
            </w:r>
          </w:p>
        </w:tc>
        <w:tc>
          <w:tcPr>
            <w:tcW w:w="3738" w:type="dxa"/>
            <w:tcBorders>
              <w:top w:val="single" w:sz="2" w:space="0" w:color="auto"/>
              <w:left w:val="single" w:sz="2" w:space="0" w:color="auto"/>
              <w:bottom w:val="single" w:sz="2" w:space="0" w:color="auto"/>
              <w:right w:val="single" w:sz="2" w:space="0" w:color="auto"/>
            </w:tcBorders>
          </w:tcPr>
          <w:p w14:paraId="55F6832F" w14:textId="77777777" w:rsidR="00DB73A0" w:rsidRPr="007E3B4E" w:rsidRDefault="00DB73A0" w:rsidP="00857194">
            <w:pPr>
              <w:pStyle w:val="NormalLeft"/>
              <w:keepNext/>
            </w:pPr>
            <w:r w:rsidRPr="007E3B4E">
              <w:t>0,95</w:t>
            </w:r>
          </w:p>
        </w:tc>
      </w:tr>
      <w:tr w:rsidR="00DB73A0" w:rsidRPr="007E3B4E" w14:paraId="115EB328" w14:textId="77777777" w:rsidTr="002A72C8">
        <w:tc>
          <w:tcPr>
            <w:tcW w:w="4483" w:type="dxa"/>
            <w:tcBorders>
              <w:top w:val="single" w:sz="2" w:space="0" w:color="auto"/>
              <w:left w:val="single" w:sz="2" w:space="0" w:color="auto"/>
              <w:bottom w:val="single" w:sz="2" w:space="0" w:color="auto"/>
              <w:right w:val="single" w:sz="2" w:space="0" w:color="auto"/>
            </w:tcBorders>
          </w:tcPr>
          <w:p w14:paraId="21123FD6" w14:textId="77777777" w:rsidR="00DB73A0" w:rsidRPr="007E3B4E" w:rsidRDefault="00DB73A0" w:rsidP="0043088E">
            <w:pPr>
              <w:pStyle w:val="NormalLeft"/>
            </w:pPr>
            <w:r w:rsidRPr="007E3B4E">
              <w:t>ellennyomású gőzturbina;</w:t>
            </w:r>
          </w:p>
        </w:tc>
        <w:tc>
          <w:tcPr>
            <w:tcW w:w="3738" w:type="dxa"/>
            <w:tcBorders>
              <w:top w:val="single" w:sz="2" w:space="0" w:color="auto"/>
              <w:left w:val="single" w:sz="2" w:space="0" w:color="auto"/>
              <w:bottom w:val="single" w:sz="2" w:space="0" w:color="auto"/>
              <w:right w:val="single" w:sz="2" w:space="0" w:color="auto"/>
            </w:tcBorders>
          </w:tcPr>
          <w:p w14:paraId="5427AE83" w14:textId="77777777" w:rsidR="00DB73A0" w:rsidRPr="007E3B4E" w:rsidRDefault="00DB73A0" w:rsidP="0043088E">
            <w:pPr>
              <w:pStyle w:val="NormalLeft"/>
            </w:pPr>
            <w:r w:rsidRPr="007E3B4E">
              <w:t>0,45</w:t>
            </w:r>
          </w:p>
        </w:tc>
      </w:tr>
      <w:tr w:rsidR="00DB73A0" w:rsidRPr="007E3B4E" w14:paraId="5929D769" w14:textId="77777777" w:rsidTr="002A72C8">
        <w:tc>
          <w:tcPr>
            <w:tcW w:w="4483" w:type="dxa"/>
            <w:tcBorders>
              <w:top w:val="single" w:sz="2" w:space="0" w:color="auto"/>
              <w:left w:val="single" w:sz="2" w:space="0" w:color="auto"/>
              <w:bottom w:val="single" w:sz="2" w:space="0" w:color="auto"/>
              <w:right w:val="single" w:sz="2" w:space="0" w:color="auto"/>
            </w:tcBorders>
          </w:tcPr>
          <w:p w14:paraId="790BB7A8" w14:textId="77777777" w:rsidR="00DB73A0" w:rsidRPr="007E3B4E" w:rsidRDefault="00DB73A0" w:rsidP="0043088E">
            <w:pPr>
              <w:pStyle w:val="NormalLeft"/>
            </w:pPr>
            <w:r w:rsidRPr="007E3B4E">
              <w:t>kondenzációs megcsapolásos (elvételes) gőzturbina;</w:t>
            </w:r>
          </w:p>
        </w:tc>
        <w:tc>
          <w:tcPr>
            <w:tcW w:w="3738" w:type="dxa"/>
            <w:tcBorders>
              <w:top w:val="single" w:sz="2" w:space="0" w:color="auto"/>
              <w:left w:val="single" w:sz="2" w:space="0" w:color="auto"/>
              <w:bottom w:val="single" w:sz="2" w:space="0" w:color="auto"/>
              <w:right w:val="single" w:sz="2" w:space="0" w:color="auto"/>
            </w:tcBorders>
          </w:tcPr>
          <w:p w14:paraId="519195BA" w14:textId="77777777" w:rsidR="00DB73A0" w:rsidRPr="007E3B4E" w:rsidRDefault="00DB73A0" w:rsidP="0043088E">
            <w:pPr>
              <w:pStyle w:val="NormalLeft"/>
            </w:pPr>
            <w:r w:rsidRPr="007E3B4E">
              <w:t>0,45</w:t>
            </w:r>
          </w:p>
        </w:tc>
      </w:tr>
      <w:tr w:rsidR="00DB73A0" w:rsidRPr="007E3B4E" w14:paraId="333EFF8B" w14:textId="77777777" w:rsidTr="002A72C8">
        <w:tc>
          <w:tcPr>
            <w:tcW w:w="4483" w:type="dxa"/>
            <w:tcBorders>
              <w:top w:val="single" w:sz="2" w:space="0" w:color="auto"/>
              <w:left w:val="single" w:sz="2" w:space="0" w:color="auto"/>
              <w:bottom w:val="single" w:sz="2" w:space="0" w:color="auto"/>
              <w:right w:val="single" w:sz="2" w:space="0" w:color="auto"/>
            </w:tcBorders>
          </w:tcPr>
          <w:p w14:paraId="3539C4FE" w14:textId="77777777" w:rsidR="00DB73A0" w:rsidRPr="007E3B4E" w:rsidRDefault="00DB73A0" w:rsidP="0043088E">
            <w:pPr>
              <w:pStyle w:val="NormalLeft"/>
            </w:pPr>
            <w:r w:rsidRPr="007E3B4E">
              <w:t>gázturbinás erőmű;</w:t>
            </w:r>
          </w:p>
        </w:tc>
        <w:tc>
          <w:tcPr>
            <w:tcW w:w="3738" w:type="dxa"/>
            <w:tcBorders>
              <w:top w:val="single" w:sz="2" w:space="0" w:color="auto"/>
              <w:left w:val="single" w:sz="2" w:space="0" w:color="auto"/>
              <w:bottom w:val="single" w:sz="2" w:space="0" w:color="auto"/>
              <w:right w:val="single" w:sz="2" w:space="0" w:color="auto"/>
            </w:tcBorders>
          </w:tcPr>
          <w:p w14:paraId="044702B1" w14:textId="77777777" w:rsidR="00DB73A0" w:rsidRPr="007E3B4E" w:rsidRDefault="00DB73A0" w:rsidP="0043088E">
            <w:pPr>
              <w:pStyle w:val="NormalLeft"/>
            </w:pPr>
            <w:r w:rsidRPr="007E3B4E">
              <w:t>0,55</w:t>
            </w:r>
          </w:p>
        </w:tc>
      </w:tr>
      <w:tr w:rsidR="00DB73A0" w:rsidRPr="007E3B4E" w14:paraId="4BADA652" w14:textId="77777777" w:rsidTr="002A72C8">
        <w:tc>
          <w:tcPr>
            <w:tcW w:w="4483" w:type="dxa"/>
            <w:tcBorders>
              <w:top w:val="single" w:sz="2" w:space="0" w:color="auto"/>
              <w:left w:val="single" w:sz="2" w:space="0" w:color="auto"/>
              <w:bottom w:val="single" w:sz="2" w:space="0" w:color="auto"/>
              <w:right w:val="single" w:sz="2" w:space="0" w:color="auto"/>
            </w:tcBorders>
          </w:tcPr>
          <w:p w14:paraId="12DE36AA" w14:textId="77777777" w:rsidR="00DB73A0" w:rsidRPr="007E3B4E" w:rsidRDefault="00DB73A0" w:rsidP="0043088E">
            <w:pPr>
              <w:pStyle w:val="NormalLeft"/>
            </w:pPr>
            <w:r w:rsidRPr="007E3B4E">
              <w:t>belső égésű motor;</w:t>
            </w:r>
          </w:p>
        </w:tc>
        <w:tc>
          <w:tcPr>
            <w:tcW w:w="3738" w:type="dxa"/>
            <w:tcBorders>
              <w:top w:val="single" w:sz="2" w:space="0" w:color="auto"/>
              <w:left w:val="single" w:sz="2" w:space="0" w:color="auto"/>
              <w:bottom w:val="single" w:sz="2" w:space="0" w:color="auto"/>
              <w:right w:val="single" w:sz="2" w:space="0" w:color="auto"/>
            </w:tcBorders>
          </w:tcPr>
          <w:p w14:paraId="71E3CFF4" w14:textId="77777777" w:rsidR="00DB73A0" w:rsidRPr="007E3B4E" w:rsidRDefault="00DB73A0" w:rsidP="0043088E">
            <w:pPr>
              <w:pStyle w:val="NormalLeft"/>
            </w:pPr>
            <w:r w:rsidRPr="007E3B4E">
              <w:t>0,75</w:t>
            </w:r>
          </w:p>
        </w:tc>
      </w:tr>
    </w:tbl>
    <w:p w14:paraId="5FD27A2B" w14:textId="77777777" w:rsidR="00DB73A0" w:rsidRPr="007E3B4E" w:rsidRDefault="00DB73A0" w:rsidP="002A72C8">
      <w:pPr>
        <w:pStyle w:val="Text1"/>
      </w:pPr>
      <w:r w:rsidRPr="007E3B4E">
        <w:t>Ha a tagállamok a II. részben említett f), g), h), i), j) és k) típusú, kapcsolt energiatermelő egységek esetében a villamos energia/hő arányra standardértékeket vezetnek be, ezeket a standardértékeket közzé kell tenni és közölni kell Bizottsággal.</w:t>
      </w:r>
    </w:p>
    <w:p w14:paraId="28A5B06B" w14:textId="77777777" w:rsidR="00DB73A0" w:rsidRPr="007E3B4E" w:rsidRDefault="00DB73A0" w:rsidP="00DB73A0">
      <w:pPr>
        <w:pStyle w:val="Point0"/>
      </w:pPr>
      <w:r w:rsidRPr="007E3B4E">
        <w:t>c)</w:t>
      </w:r>
      <w:r w:rsidRPr="007E3B4E">
        <w:tab/>
        <w:t>Amennyiben a kapcsolt energiatermeléshez felhasznált tüzelőanyag energiatartalmának egy részét vegyi anyagok formájában visszanyerik és azokat újra felhasználják, ezt a részt le kell vonni a felhasznált tüzelőanyag mennyiségéből, mielőtt az a) és b) pontban említett összhatásfok kiszámítását elvégeznék.</w:t>
      </w:r>
    </w:p>
    <w:p w14:paraId="776DC8D1" w14:textId="77777777" w:rsidR="00DB73A0" w:rsidRPr="007E3B4E" w:rsidRDefault="00DB73A0" w:rsidP="00DB73A0">
      <w:pPr>
        <w:pStyle w:val="Point0"/>
      </w:pPr>
      <w:r w:rsidRPr="007E3B4E">
        <w:t>d)</w:t>
      </w:r>
      <w:r w:rsidRPr="007E3B4E">
        <w:tab/>
        <w:t>A tagállamok a villamos energia/hő arányt az alacsonyabb kapacitású üzemmódban végzett kapcsolt energiatermelésből származó villamos energia és hasznos hő arányaként is meghatározhatják az adott energiatermelő egység üzemeltetési adatainak felhasználásával.</w:t>
      </w:r>
    </w:p>
    <w:p w14:paraId="49BDF2DC" w14:textId="77777777" w:rsidR="00DB73A0" w:rsidRPr="007E3B4E" w:rsidRDefault="00DB73A0" w:rsidP="00DB73A0">
      <w:pPr>
        <w:pStyle w:val="Point0"/>
      </w:pPr>
      <w:r w:rsidRPr="007E3B4E">
        <w:t>e)</w:t>
      </w:r>
      <w:r w:rsidRPr="007E3B4E">
        <w:tab/>
        <w:t>A tagállamok az a) és b) pont szerinti számítások céljából az egyévestől eltérő jelentéstételi időszakot is alkalmazhatnak.</w:t>
      </w:r>
    </w:p>
    <w:p w14:paraId="171AC25B" w14:textId="77777777" w:rsidR="00DB73A0" w:rsidRPr="007E3B4E" w:rsidRDefault="00DB73A0" w:rsidP="00DB73A0">
      <w:pPr>
        <w:pStyle w:val="ManualHeading2"/>
        <w:numPr>
          <w:ilvl w:val="1"/>
          <w:numId w:val="0"/>
        </w:numPr>
        <w:ind w:left="851" w:hanging="851"/>
      </w:pPr>
      <w:r w:rsidRPr="007E3B4E">
        <w:rPr>
          <w:i/>
          <w:iCs/>
        </w:rPr>
        <w:t>II. rész</w:t>
      </w:r>
    </w:p>
    <w:p w14:paraId="789EEE21" w14:textId="77777777" w:rsidR="00DB73A0" w:rsidRPr="007E3B4E" w:rsidRDefault="00DB73A0" w:rsidP="00DB73A0">
      <w:pPr>
        <w:pStyle w:val="ManualHeading3"/>
        <w:numPr>
          <w:ilvl w:val="2"/>
          <w:numId w:val="0"/>
        </w:numPr>
        <w:ind w:left="850" w:hanging="850"/>
      </w:pPr>
      <w:r w:rsidRPr="007E3B4E">
        <w:t>Az ezen irányelv hatókörébe tartozó kapcsolt energiatermelési technológiák</w:t>
      </w:r>
    </w:p>
    <w:p w14:paraId="0422565D" w14:textId="77777777" w:rsidR="00DB73A0" w:rsidRPr="007E3B4E" w:rsidRDefault="00DB73A0" w:rsidP="002A72C8">
      <w:pPr>
        <w:pStyle w:val="Point0"/>
      </w:pPr>
      <w:r w:rsidRPr="007E3B4E">
        <w:t>a)</w:t>
      </w:r>
      <w:r w:rsidRPr="007E3B4E">
        <w:tab/>
        <w:t>Gázturbinás erőmű kombinált ciklussal;</w:t>
      </w:r>
    </w:p>
    <w:p w14:paraId="3457D054" w14:textId="77777777" w:rsidR="00DB73A0" w:rsidRPr="007E3B4E" w:rsidRDefault="00DB73A0" w:rsidP="002A72C8">
      <w:pPr>
        <w:pStyle w:val="Point0"/>
      </w:pPr>
      <w:r w:rsidRPr="007E3B4E">
        <w:t>b)</w:t>
      </w:r>
      <w:r w:rsidRPr="007E3B4E">
        <w:tab/>
        <w:t>ellennyomású gőzturbina;</w:t>
      </w:r>
    </w:p>
    <w:p w14:paraId="27DFF63E" w14:textId="77777777" w:rsidR="00DB73A0" w:rsidRPr="007E3B4E" w:rsidRDefault="00DB73A0" w:rsidP="002A72C8">
      <w:pPr>
        <w:pStyle w:val="Point0"/>
      </w:pPr>
      <w:r w:rsidRPr="007E3B4E">
        <w:t>c)</w:t>
      </w:r>
      <w:r w:rsidRPr="007E3B4E">
        <w:tab/>
        <w:t>kondenzációs megcsapolásos (elvételes) gőzturbina;</w:t>
      </w:r>
    </w:p>
    <w:p w14:paraId="55F66630" w14:textId="77777777" w:rsidR="00DB73A0" w:rsidRPr="007E3B4E" w:rsidRDefault="00DB73A0" w:rsidP="002A72C8">
      <w:pPr>
        <w:pStyle w:val="Point0"/>
      </w:pPr>
      <w:r w:rsidRPr="007E3B4E">
        <w:t>d)</w:t>
      </w:r>
      <w:r w:rsidRPr="007E3B4E">
        <w:tab/>
        <w:t>gázturbinás erőmű;</w:t>
      </w:r>
    </w:p>
    <w:p w14:paraId="68BB2C15" w14:textId="77777777" w:rsidR="00DB73A0" w:rsidRPr="007E3B4E" w:rsidRDefault="00DB73A0" w:rsidP="002A72C8">
      <w:pPr>
        <w:pStyle w:val="Point0"/>
      </w:pPr>
      <w:r w:rsidRPr="007E3B4E">
        <w:t>e)</w:t>
      </w:r>
      <w:r w:rsidRPr="007E3B4E">
        <w:tab/>
        <w:t>belső égésű motor;</w:t>
      </w:r>
    </w:p>
    <w:p w14:paraId="6F970A00" w14:textId="77777777" w:rsidR="00DB73A0" w:rsidRPr="007E3B4E" w:rsidRDefault="00DB73A0" w:rsidP="002A72C8">
      <w:pPr>
        <w:pStyle w:val="Point0"/>
      </w:pPr>
      <w:r w:rsidRPr="007E3B4E">
        <w:t>f)</w:t>
      </w:r>
      <w:r w:rsidRPr="007E3B4E">
        <w:tab/>
        <w:t>mikroturbinák;</w:t>
      </w:r>
    </w:p>
    <w:p w14:paraId="1067A32E" w14:textId="77777777" w:rsidR="00DB73A0" w:rsidRPr="007E3B4E" w:rsidRDefault="00DB73A0" w:rsidP="002A72C8">
      <w:pPr>
        <w:pStyle w:val="Point0"/>
      </w:pPr>
      <w:r w:rsidRPr="007E3B4E">
        <w:t>g)</w:t>
      </w:r>
      <w:r w:rsidRPr="007E3B4E">
        <w:tab/>
        <w:t>stirlingmotorok;</w:t>
      </w:r>
    </w:p>
    <w:p w14:paraId="72EBD4E1" w14:textId="77777777" w:rsidR="00DB73A0" w:rsidRPr="007E3B4E" w:rsidRDefault="00DB73A0" w:rsidP="002A72C8">
      <w:pPr>
        <w:pStyle w:val="Point0"/>
      </w:pPr>
      <w:r w:rsidRPr="007E3B4E">
        <w:t>h)</w:t>
      </w:r>
      <w:r w:rsidRPr="007E3B4E">
        <w:tab/>
        <w:t>üzemanyagcellák;</w:t>
      </w:r>
    </w:p>
    <w:p w14:paraId="5C52AC47" w14:textId="77777777" w:rsidR="00DB73A0" w:rsidRPr="007E3B4E" w:rsidRDefault="00DB73A0" w:rsidP="002A72C8">
      <w:pPr>
        <w:pStyle w:val="Point0"/>
      </w:pPr>
      <w:r w:rsidRPr="007E3B4E">
        <w:t>i)</w:t>
      </w:r>
      <w:r w:rsidRPr="007E3B4E">
        <w:tab/>
        <w:t>gőzgépek;</w:t>
      </w:r>
    </w:p>
    <w:p w14:paraId="6AA81966" w14:textId="77777777" w:rsidR="00DB73A0" w:rsidRPr="007E3B4E" w:rsidRDefault="00DB73A0" w:rsidP="002A72C8">
      <w:pPr>
        <w:pStyle w:val="Point0"/>
      </w:pPr>
      <w:r w:rsidRPr="007E3B4E">
        <w:t>j)</w:t>
      </w:r>
      <w:r w:rsidRPr="007E3B4E">
        <w:tab/>
        <w:t>organikus „Rankine” ciklusok;</w:t>
      </w:r>
    </w:p>
    <w:p w14:paraId="4DE356B0" w14:textId="77777777" w:rsidR="00DB73A0" w:rsidRPr="007E3B4E" w:rsidRDefault="00DB73A0" w:rsidP="002A72C8">
      <w:pPr>
        <w:pStyle w:val="Point0"/>
      </w:pPr>
      <w:r w:rsidRPr="007E3B4E">
        <w:t>k)</w:t>
      </w:r>
      <w:r w:rsidRPr="007E3B4E">
        <w:tab/>
        <w:t xml:space="preserve">bármely egyéb típusú technológia vagy ezek kombinációja, amely a 2. cikk </w:t>
      </w:r>
      <w:r w:rsidRPr="007E3B4E">
        <w:rPr>
          <w:rStyle w:val="CRDeleted"/>
        </w:rPr>
        <w:t>30</w:t>
      </w:r>
      <w:r w:rsidRPr="007E3B4E">
        <w:t xml:space="preserve">. </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32.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r w:rsidRPr="007E3B4E">
        <w:t xml:space="preserve"> pontjában megfogalmazott meghatározás alá tartozik. </w:t>
      </w:r>
    </w:p>
    <w:p w14:paraId="258188B6" w14:textId="77777777" w:rsidR="00DB73A0" w:rsidRPr="007E3B4E" w:rsidRDefault="00DB73A0" w:rsidP="00DB73A0">
      <w:r w:rsidRPr="007E3B4E">
        <w:t xml:space="preserve">A kapcsolt energiatermelésből származó villamos energia mennyiségének kiszámításához használandó általános elvek végrehajtása és alkalmazása során a tagállamok a </w:t>
      </w:r>
      <w:r w:rsidRPr="007E3B4E">
        <w:rPr>
          <w:rStyle w:val="CRMinorChangeDeleted"/>
        </w:rPr>
        <w:t>2004/8/EK európai parlamenti és tanácsi irányelv II. mellékletének végrehajtására és alkalmazására vonatkozó részletes iránymutatás létrehozásáról szóló, 2008. november 19-i bizottsági</w:t>
      </w:r>
      <w:r w:rsidRPr="007E3B4E">
        <w:t xml:space="preserve"> 2008/952/EK határozattal</w:t>
      </w:r>
      <w:r w:rsidRPr="007E3B4E">
        <w:rPr>
          <w:rStyle w:val="FootnoteReference"/>
        </w:rPr>
        <w:footnoteReference w:id="1"/>
      </w:r>
      <w:r w:rsidRPr="007E3B4E">
        <w:t xml:space="preserve"> létrehozott részletes útmutatókat követik.</w:t>
      </w:r>
    </w:p>
    <w:p w14:paraId="756681BC" w14:textId="77777777" w:rsidR="0046561E" w:rsidRPr="007E3B4E" w:rsidRDefault="0046561E" w:rsidP="0046561E">
      <w:pPr>
        <w:jc w:val="center"/>
      </w:pPr>
      <w:r w:rsidRPr="007E3B4E">
        <w:t>_____________</w:t>
      </w:r>
    </w:p>
    <w:p w14:paraId="788BFE68"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2DABD863" w14:textId="77777777" w:rsidR="00DB73A0" w:rsidRPr="007E3B4E" w:rsidRDefault="00DB73A0" w:rsidP="00DB73A0">
      <w:pPr>
        <w:pStyle w:val="CRSeparator"/>
      </w:pPr>
    </w:p>
    <w:p w14:paraId="34992A81"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730056D9" w14:textId="77777777" w:rsidR="00DB73A0" w:rsidRPr="007E3B4E" w:rsidRDefault="00DB73A0" w:rsidP="00A11681">
      <w:pPr>
        <w:pStyle w:val="Annexetitre"/>
      </w:pPr>
      <w:r w:rsidRPr="007E3B4E">
        <w:rPr>
          <w:rStyle w:val="CRMinorChangeAdded"/>
        </w:rPr>
        <w:t>III</w:t>
      </w:r>
      <w:r w:rsidRPr="007E3B4E">
        <w:rPr>
          <w:rStyle w:val="CRMinorChangeDeleted"/>
        </w:rPr>
        <w:t>II</w:t>
      </w:r>
      <w:r w:rsidRPr="007E3B4E">
        <w:t>. MELLÉKLET</w:t>
      </w:r>
    </w:p>
    <w:p w14:paraId="6F10C7AD" w14:textId="77777777" w:rsidR="00DB73A0" w:rsidRPr="007E3B4E" w:rsidRDefault="00DB73A0" w:rsidP="00DB73A0">
      <w:pPr>
        <w:pStyle w:val="ManualHeading1"/>
        <w:tabs>
          <w:tab w:val="clear" w:pos="850"/>
        </w:tabs>
        <w:ind w:left="851" w:hanging="851"/>
      </w:pPr>
      <w:r w:rsidRPr="007E3B4E">
        <w:rPr>
          <w:i/>
          <w:iCs/>
        </w:rPr>
        <w:t>A KAPCSOLT ENERGIATERMELÉSI FOLYAMAT HATÁSFOKÁNAK MEGHATÁROZÁSÁRA SZOLGÁLÓ MÓDSZER</w:t>
      </w:r>
    </w:p>
    <w:p w14:paraId="71C939FF" w14:textId="77777777" w:rsidR="00DB73A0" w:rsidRPr="007E3B4E" w:rsidRDefault="00DB73A0" w:rsidP="00DB73A0">
      <w:r w:rsidRPr="007E3B4E">
        <w:t>A kapcsolt energiatermelés hatásfoka és a primerenergia-megtakarítás kiszámításához felhasznált értékek meghatározása az adott egység várható vagy tényleges, rendeltetésszerű használata során tapasztaltak alapján történik.</w:t>
      </w:r>
    </w:p>
    <w:p w14:paraId="4FC2D91B" w14:textId="77777777" w:rsidR="00DB73A0" w:rsidRPr="007E3B4E" w:rsidRDefault="00DB73A0" w:rsidP="00DB73A0">
      <w:pPr>
        <w:pStyle w:val="ManualHeading2"/>
        <w:numPr>
          <w:ilvl w:val="1"/>
          <w:numId w:val="0"/>
        </w:numPr>
        <w:ind w:left="851" w:hanging="851"/>
      </w:pPr>
      <w:r w:rsidRPr="007E3B4E">
        <w:t>a)</w:t>
      </w:r>
      <w:r w:rsidRPr="007E3B4E">
        <w:tab/>
        <w:t>Nagy hatásfokú kapcsolt energiatermelés</w:t>
      </w:r>
    </w:p>
    <w:p w14:paraId="010FC930" w14:textId="77777777" w:rsidR="00DB73A0" w:rsidRPr="007E3B4E" w:rsidRDefault="00DB73A0" w:rsidP="00DB73A0">
      <w:r w:rsidRPr="007E3B4E">
        <w:t>Ezen irányelv alkalmazásában a nagy hatásfokú kapcsolt energiatermelésnek a következő követelményeknek kell megfelelnie:</w:t>
      </w:r>
    </w:p>
    <w:p w14:paraId="55A5EAE3" w14:textId="77777777" w:rsidR="00A11681" w:rsidRPr="007E3B4E" w:rsidRDefault="00DB73A0" w:rsidP="00441DBF">
      <w:pPr>
        <w:pStyle w:val="Tiret0"/>
        <w:numPr>
          <w:ilvl w:val="0"/>
          <w:numId w:val="10"/>
        </w:numPr>
        <w:ind w:left="851"/>
        <w:rPr>
          <w:rStyle w:val="CRMinorChangeDeleted"/>
          <w:dstrike w:val="0"/>
          <w:u w:val="none"/>
        </w:rPr>
      </w:pPr>
      <w:r w:rsidRPr="007E3B4E">
        <w:t>a kapcsolt energiatermelő egységekből származó kapcsolt energiatermelésnek a b) pont szerint számítva legalább 10 %-os primerenergia-megtakarítást kell elérnie a külön hőtermelésre, illetve külön villamosenergia-termelésre vonatkozó referenciaértékekhez képest</w:t>
      </w:r>
      <w:r w:rsidRPr="007E3B4E">
        <w:rPr>
          <w:rStyle w:val="CRMinorChangeAdded"/>
        </w:rPr>
        <w:t>;</w:t>
      </w:r>
      <w:r w:rsidRPr="007E3B4E">
        <w:rPr>
          <w:rStyle w:val="CRMinorChangeDeleted"/>
        </w:rPr>
        <w:t>,</w:t>
      </w:r>
    </w:p>
    <w:p w14:paraId="5930E600" w14:textId="77777777" w:rsidR="00DB73A0" w:rsidRPr="007E3B4E" w:rsidRDefault="00DB73A0" w:rsidP="00AD3EF3">
      <w:pPr>
        <w:pStyle w:val="Tiret0"/>
        <w:ind w:left="851"/>
        <w:rPr>
          <w:rStyle w:val="CRMinorChangeDeleted"/>
          <w:dstrike w:val="0"/>
          <w:u w:val="none"/>
        </w:rPr>
      </w:pPr>
      <w:r w:rsidRPr="007E3B4E">
        <w:t>a primerenergia-megtakarítást biztosító, kapcsolt energiatermelő kis- és mikroegységek termelése nagy hatásfokú kapcsolt energiatermelésnek minősíthető</w:t>
      </w:r>
      <w:r w:rsidRPr="007E3B4E">
        <w:rPr>
          <w:rStyle w:val="CRMinorChangeAdded"/>
        </w:rPr>
        <w:t>;</w:t>
      </w:r>
      <w:r w:rsidRPr="007E3B4E">
        <w:rPr>
          <w:rStyle w:val="CRMinorChangeDeleted"/>
        </w:rPr>
        <w:t>.</w:t>
      </w:r>
    </w:p>
    <w:p w14:paraId="43F463A5" w14:textId="77777777" w:rsidR="00DB73A0" w:rsidRPr="007E3B4E" w:rsidRDefault="00DB73A0" w:rsidP="00DB73A0">
      <w:pPr>
        <w:pStyle w:val="CRSeparator"/>
      </w:pPr>
    </w:p>
    <w:p w14:paraId="119F7C06" w14:textId="77777777" w:rsidR="00DB73A0" w:rsidRPr="007E3B4E" w:rsidRDefault="00DB73A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2E65A5CF" w14:textId="77777777" w:rsidR="00DB73A0" w:rsidRPr="007E3B4E" w:rsidRDefault="00DB73A0" w:rsidP="00AD3EF3">
      <w:pPr>
        <w:pStyle w:val="Tiret0"/>
        <w:ind w:left="851"/>
        <w:rPr>
          <w:highlight w:val="lightGray"/>
        </w:rPr>
      </w:pPr>
      <w:r w:rsidRPr="007E3B4E">
        <w:rPr>
          <w:highlight w:val="lightGray"/>
        </w:rPr>
        <w:t>a fosszilis tüzelőanyagokkal táplált kapcsolt energiatermelésből származó közvetlen szén-dioxid-kibocsátás nem éri el a 270 g CO</w:t>
      </w:r>
      <w:r w:rsidRPr="007E3B4E">
        <w:rPr>
          <w:highlight w:val="lightGray"/>
          <w:vertAlign w:val="subscript"/>
        </w:rPr>
        <w:t>2</w:t>
      </w:r>
      <w:r w:rsidRPr="007E3B4E">
        <w:rPr>
          <w:highlight w:val="lightGray"/>
        </w:rPr>
        <w:t>-t a kombinált termelésből származó energiateljesítmény 1 kWh-jára vetítve (beleértve a fűtést/hűtést, a villamos energiát és a mechanikai energiát),</w:t>
      </w:r>
    </w:p>
    <w:p w14:paraId="0C96AF73" w14:textId="77777777" w:rsidR="00DB73A0" w:rsidRPr="007E3B4E" w:rsidRDefault="00BE7C8F" w:rsidP="00D40509">
      <w:pPr>
        <w:pStyle w:val="Tiret0"/>
        <w:rPr>
          <w:highlight w:val="lightGray"/>
        </w:rPr>
      </w:pPr>
      <w:r w:rsidRPr="007E3B4E">
        <w:rPr>
          <w:highlight w:val="lightGray"/>
        </w:rPr>
        <w:t>egy kapcsolt energiatermelő egység megépítésekor vagy jelentős felújításakor a tagállamok biztosítják, hogy a távfűtési és -hűtési rendszer megépítése vagy jelentős felújítása során a meglévő hőforrásokban ne növekedjen a földgáztól eltérő fosszilis tüzelőanyagok felhasználása a felújítás előtti teljes üzemelés előző három naptári évének átlagához képest, és hogy a rendszerben az új hőforrások ne használjanak fel földgázon kívüli egyéb fosszilis tüzelőanyagokat.</w:t>
      </w:r>
      <w:r w:rsidRPr="007E3B4E">
        <w:t xml:space="preserve"> </w:t>
      </w:r>
    </w:p>
    <w:p w14:paraId="0BD57991" w14:textId="77777777" w:rsidR="00DB73A0" w:rsidRPr="007E3B4E" w:rsidRDefault="00DB73A0" w:rsidP="00DB73A0">
      <w:pPr>
        <w:pStyle w:val="CRSeparator"/>
      </w:pPr>
    </w:p>
    <w:p w14:paraId="17A5584A"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3D38D398" w14:textId="77777777" w:rsidR="00DB73A0" w:rsidRPr="007E3B4E" w:rsidRDefault="00DB73A0" w:rsidP="00DB73A0">
      <w:pPr>
        <w:pStyle w:val="ManualHeading2"/>
        <w:numPr>
          <w:ilvl w:val="1"/>
          <w:numId w:val="0"/>
        </w:numPr>
        <w:ind w:left="851" w:hanging="851"/>
      </w:pPr>
      <w:r w:rsidRPr="007E3B4E">
        <w:t>b)</w:t>
      </w:r>
      <w:r w:rsidRPr="007E3B4E">
        <w:tab/>
        <w:t>A primerenergia-megtakarítás számításának módja</w:t>
      </w:r>
    </w:p>
    <w:p w14:paraId="481A3759" w14:textId="77777777" w:rsidR="00DB73A0" w:rsidRPr="007E3B4E" w:rsidRDefault="00DB73A0" w:rsidP="00DB73A0">
      <w:r w:rsidRPr="007E3B4E">
        <w:t>A</w:t>
      </w:r>
      <w:r w:rsidRPr="007E3B4E">
        <w:rPr>
          <w:rStyle w:val="CRMinorChangeDeleted"/>
        </w:rPr>
        <w:t>z I</w:t>
      </w:r>
      <w:r w:rsidRPr="007E3B4E">
        <w:t xml:space="preserve"> </w:t>
      </w:r>
      <w:r w:rsidRPr="007E3B4E">
        <w:rPr>
          <w:rStyle w:val="CRMinorChangeAdded"/>
        </w:rPr>
        <w:t>II</w:t>
      </w:r>
      <w:r w:rsidRPr="007E3B4E">
        <w:t>. melléklettel összhangban meghatározott kapcsolt energiatermelésből származó primerenergia-megtakarítás kiszámítását a következő képlet alapján kell elvégezni:</w:t>
      </w:r>
    </w:p>
    <w:p w14:paraId="30CA35F6" w14:textId="77777777" w:rsidR="00DB73A0" w:rsidRPr="007E3B4E" w:rsidRDefault="00DB73A0" w:rsidP="00DB73A0">
      <w:r w:rsidRPr="007E3B4E">
        <w:rPr>
          <w:noProof/>
          <w:lang w:eastAsia="hu-HU"/>
        </w:rPr>
        <w:drawing>
          <wp:inline distT="0" distB="0" distL="0" distR="0" wp14:anchorId="23AC0338" wp14:editId="19044587">
            <wp:extent cx="1828800" cy="38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381635"/>
                    </a:xfrm>
                    <a:prstGeom prst="rect">
                      <a:avLst/>
                    </a:prstGeom>
                    <a:noFill/>
                    <a:ln>
                      <a:noFill/>
                    </a:ln>
                  </pic:spPr>
                </pic:pic>
              </a:graphicData>
            </a:graphic>
          </wp:inline>
        </w:drawing>
      </w:r>
    </w:p>
    <w:p w14:paraId="5884F608" w14:textId="77777777" w:rsidR="00DB73A0" w:rsidRPr="007E3B4E" w:rsidRDefault="00DB73A0" w:rsidP="00DB73A0">
      <w:r w:rsidRPr="007E3B4E">
        <w:t>ahol:</w:t>
      </w:r>
    </w:p>
    <w:p w14:paraId="7FDF7EAC" w14:textId="77777777" w:rsidR="00DB73A0" w:rsidRPr="007E3B4E" w:rsidRDefault="00DB73A0" w:rsidP="00DB73A0">
      <w:r w:rsidRPr="007E3B4E">
        <w:t>PES a primerenergia-megtakarítás,</w:t>
      </w:r>
    </w:p>
    <w:p w14:paraId="3C0B90A9" w14:textId="77777777" w:rsidR="00DB73A0" w:rsidRPr="007E3B4E" w:rsidRDefault="00DB73A0" w:rsidP="00DB73A0">
      <w:r w:rsidRPr="007E3B4E">
        <w:t>CHP Hη a kapcsolt energiatermelés hőtermelési hatásfoka, amelyet az éves hasznos hőtermelésnek a kapcsolt energiatermelésből származó hasznos hő és villamos energia előállítására felhasznált tüzelőanyag mennyiségével történő elosztásával lehet meghatározni,</w:t>
      </w:r>
    </w:p>
    <w:p w14:paraId="22B966C2" w14:textId="77777777" w:rsidR="00DB73A0" w:rsidRPr="007E3B4E" w:rsidRDefault="00DB73A0" w:rsidP="00DB73A0">
      <w:r w:rsidRPr="007E3B4E">
        <w:t>Ref Hη a külön hőtermelés hatásfokának referenciaértéke,</w:t>
      </w:r>
    </w:p>
    <w:p w14:paraId="3DA7DF44" w14:textId="77777777" w:rsidR="00DB73A0" w:rsidRPr="007E3B4E" w:rsidRDefault="00DB73A0" w:rsidP="00DB73A0">
      <w:r w:rsidRPr="007E3B4E">
        <w:t xml:space="preserve">CHP Eη a kapcsolt energiatermelésből származó villamosenergia-termelés hatásfoka, amelyet a kapcsolt energiatermelésből származó éves villamos energiának a kapcsolt energiatermelésből származó hasznos hő és villamos energia előállítására felhasznált tüzelőanyag mennyiségével történő elosztásával lehet meghatározni. Ha a kapcsolt energiatermelő egység mozgási energiát is előállít, a kapcsolt energiatermelésből származó éves villamos energia mennyiségét meg lehet növelni egy olyan kiegészítő értékkel, amely a mozgási energia mennyiségével egyenértékű villamos energiának felel meg. Ez a kiegészítő elem azonban nem jogosít fel arra, hogy a </w:t>
      </w:r>
      <w:r w:rsidRPr="007E3B4E">
        <w:rPr>
          <w:rStyle w:val="CRMinorChangeAdded"/>
        </w:rPr>
        <w:t>24</w:t>
      </w:r>
      <w:r w:rsidRPr="007E3B4E">
        <w:rPr>
          <w:rStyle w:val="CRMinorChangeDeleted"/>
        </w:rPr>
        <w:t>14</w:t>
      </w:r>
      <w:r w:rsidRPr="007E3B4E">
        <w:t>. cikk (10) bekezdésének megfelelően származási garanciát állítsanak ki.</w:t>
      </w:r>
    </w:p>
    <w:p w14:paraId="6C2D15C8" w14:textId="77777777" w:rsidR="00DB73A0" w:rsidRPr="007E3B4E" w:rsidRDefault="00DB73A0" w:rsidP="00DB73A0">
      <w:r w:rsidRPr="007E3B4E">
        <w:t>Ref Eη a külön villamosenergia-termelés hatásfokának referenciaértéke.</w:t>
      </w:r>
    </w:p>
    <w:p w14:paraId="18A990F2" w14:textId="77777777" w:rsidR="00DB73A0" w:rsidRPr="007E3B4E" w:rsidRDefault="00DB73A0" w:rsidP="00DB73A0">
      <w:pPr>
        <w:pStyle w:val="ManualHeading2"/>
        <w:numPr>
          <w:ilvl w:val="1"/>
          <w:numId w:val="0"/>
        </w:numPr>
        <w:ind w:left="851" w:hanging="851"/>
      </w:pPr>
      <w:r w:rsidRPr="007E3B4E">
        <w:t>c)</w:t>
      </w:r>
      <w:r w:rsidRPr="007E3B4E">
        <w:tab/>
        <w:t>Az energiamegtakarítás alternatív számítási módszerrel történő kiszámítása</w:t>
      </w:r>
    </w:p>
    <w:p w14:paraId="3C2A4DFC" w14:textId="77777777" w:rsidR="00DB73A0" w:rsidRPr="007E3B4E" w:rsidRDefault="00DB73A0" w:rsidP="00DB73A0">
      <w:r w:rsidRPr="007E3B4E">
        <w:t>A tagállamok a kapcsolt hő- és villamos-, valamint mozgásienergia-termelésből származó primerenergia-megtakarítást az alábbi módon számíthatják ki anélkül, hogy az ugyanazon eljárásnak a nem kapcsolt energiatermelése keretében termelt hő és villamos energiarészek levonása érdekében a</w:t>
      </w:r>
      <w:r w:rsidRPr="007E3B4E">
        <w:rPr>
          <w:rStyle w:val="CRMinorChangeDeleted"/>
        </w:rPr>
        <w:t>z I</w:t>
      </w:r>
      <w:r w:rsidRPr="007E3B4E">
        <w:rPr>
          <w:rStyle w:val="CRMinorChangeAdded"/>
        </w:rPr>
        <w:t>II</w:t>
      </w:r>
      <w:r w:rsidRPr="007E3B4E">
        <w:t>. mellékletet alkalmaznák. Az ilyen termelést nagy hatásfokú kapcsolt energiatermelésnek lehet tekinteni, feltéve hogy az megfelel az e melléklet a) pontjában meghatározott hatásfok-követelményeknek, valamint ha a 25 MW-ot meghaladó teljesítményű kapcsolt energiatermelő egységek összhatásfoka nagyobb, mint 70 %. Mindazonáltal az ilyen termelés során a kapcsolt energiatermelésből származó villamos energia mennyiségének származási garancia kiállítása céljából, illetve statisztikai célokból történő meghatározását a</w:t>
      </w:r>
      <w:r w:rsidRPr="007E3B4E">
        <w:rPr>
          <w:rStyle w:val="CRMinorChangeDeleted"/>
        </w:rPr>
        <w:t>z I</w:t>
      </w:r>
      <w:r w:rsidRPr="007E3B4E">
        <w:rPr>
          <w:rStyle w:val="CRMinorChangeAdded"/>
        </w:rPr>
        <w:t>II</w:t>
      </w:r>
      <w:r w:rsidRPr="007E3B4E">
        <w:t>. melléklettel összhangban kell végezni.</w:t>
      </w:r>
    </w:p>
    <w:p w14:paraId="3DFE8D9F" w14:textId="77777777" w:rsidR="00DB73A0" w:rsidRPr="007E3B4E" w:rsidRDefault="00DB73A0" w:rsidP="00DB73A0">
      <w:r w:rsidRPr="007E3B4E">
        <w:t>Amennyiben egy folyamat primerenergia-megtakarítását a fent ismertetett alternatív számítási módszerrel számítják ki, a primerenergia-megtakarítást az e melléklet b) pontjában ismertetett képlet alapján kell kiszámítani az alábbi behelyettesítésekkel: CHP Hη helyett Hη és CHP Eη helyett Eη, ahol:</w:t>
      </w:r>
    </w:p>
    <w:p w14:paraId="698BD4C4" w14:textId="77777777" w:rsidR="00DB73A0" w:rsidRPr="007E3B4E" w:rsidRDefault="00DB73A0" w:rsidP="00DB73A0">
      <w:r w:rsidRPr="007E3B4E">
        <w:t>Hη a folyamat hőtermelési hatásfoka, amelyet úgy határoznak meg, hogy az éves hőtermelést elosztják a hő és villamos energia előállításához felhasznált tüzelőanyaggal.</w:t>
      </w:r>
    </w:p>
    <w:p w14:paraId="346E5266" w14:textId="77777777" w:rsidR="00DB73A0" w:rsidRPr="007E3B4E" w:rsidRDefault="00DB73A0" w:rsidP="00DB73A0">
      <w:r w:rsidRPr="007E3B4E">
        <w:t xml:space="preserve">Eη a folyamat villamos energia hatásfoka, amelyet úgy határoznak meg, hogy az éves villamosenergia-termelést elosztják a hő és villamos energia előállításához felhasznált tüzelőanyaggal. Ha a kapcsolt energiatermelő egység mozgási energiát is előállít, a kapcsolt energiatermelésből származó éves villamos energia mennyiségét meg lehet növelni egy olyan kiegészítő értékkel, amely a mozgási energia mennyiségével egyenértékű villamos energiának felel meg. Ez a kiegészítő elem azonban nem jogosít fel arra, hogy a </w:t>
      </w:r>
      <w:r w:rsidRPr="007E3B4E">
        <w:rPr>
          <w:rStyle w:val="CRMinorChangeAdded"/>
        </w:rPr>
        <w:t>24</w:t>
      </w:r>
      <w:r w:rsidRPr="007E3B4E">
        <w:rPr>
          <w:rStyle w:val="CRMinorChangeDeleted"/>
        </w:rPr>
        <w:t>14</w:t>
      </w:r>
      <w:r w:rsidRPr="007E3B4E">
        <w:t>. cikk (10) bekezdésének megfelelően származási garanciát állítsanak ki.</w:t>
      </w:r>
    </w:p>
    <w:p w14:paraId="075BDBD0" w14:textId="77777777" w:rsidR="00DB73A0" w:rsidRPr="007E3B4E" w:rsidRDefault="00DB73A0" w:rsidP="00DB73A0">
      <w:r w:rsidRPr="007E3B4E">
        <w:t>d)</w:t>
      </w:r>
      <w:r w:rsidRPr="007E3B4E">
        <w:tab/>
        <w:t>A tagállamok az e melléklet b) és c) pontja szerinti számítások elvégzéséhez az egyévestől eltérő más jelentéstételi időszakot is alkalmazhatnak.</w:t>
      </w:r>
    </w:p>
    <w:p w14:paraId="6A0C7C59" w14:textId="77777777" w:rsidR="00DB73A0" w:rsidRPr="007E3B4E" w:rsidRDefault="00DB73A0" w:rsidP="00DB73A0">
      <w:r w:rsidRPr="007E3B4E">
        <w:t>e)</w:t>
      </w:r>
      <w:r w:rsidRPr="007E3B4E">
        <w:tab/>
        <w:t>A mikroegységek esetében a primerenergia-megtakarításra vonatkozó számítást hiteles értékekre lehet alapozni.</w:t>
      </w:r>
    </w:p>
    <w:p w14:paraId="7C0B4E9A" w14:textId="77777777" w:rsidR="00DB73A0" w:rsidRPr="007E3B4E" w:rsidRDefault="00DB73A0" w:rsidP="00DB73A0">
      <w:pPr>
        <w:pStyle w:val="ManualHeading2"/>
        <w:numPr>
          <w:ilvl w:val="1"/>
          <w:numId w:val="0"/>
        </w:numPr>
        <w:ind w:left="851" w:hanging="851"/>
      </w:pPr>
      <w:r w:rsidRPr="007E3B4E">
        <w:t>f)</w:t>
      </w:r>
      <w:r w:rsidRPr="007E3B4E">
        <w:tab/>
        <w:t>Hatásfok-referenciaértékek számítása külön hőtermelésre és villamosenergia-előállításra</w:t>
      </w:r>
    </w:p>
    <w:p w14:paraId="58D355D7" w14:textId="77777777" w:rsidR="00DB73A0" w:rsidRPr="007E3B4E" w:rsidRDefault="00DB73A0" w:rsidP="00DB73A0">
      <w:r w:rsidRPr="007E3B4E">
        <w:t>Ezek az egységes hatásfok-referenciaértékek a vonatkozó tényezőkkel differenciált értékek mátrixából állnak, beleértve a létesítmény építésének évét, valamint a tüzelőanyag típusát is, és megfelelően dokumentált elemzésen kell alapulniuk, amely többek között figyelembe veszi a valóságos üzemi körülmények között végzett használatból származó adatokat, a tüzelőanyag-keveréket és az éghajlati tényezőket éppúgy, mint az alkalmazott kapcsolt energiatermelési technológiát.</w:t>
      </w:r>
    </w:p>
    <w:p w14:paraId="3E910886" w14:textId="77777777" w:rsidR="00DB73A0" w:rsidRPr="007E3B4E" w:rsidRDefault="00DB73A0" w:rsidP="00DB73A0">
      <w:r w:rsidRPr="007E3B4E">
        <w:t>A külön hőtermelésre és villamosenergia-előállításra vonatkozó, a b) pontban meghatározott képlettel összhangban számított hatásfok-referenciaértékek alakítják ki annak a külön hőtermelésnek és villamosenergia-előállításnak a működési hatásfokát, amelyek helyettesítésére a kapcsolt energiatermelési módszert szánják.</w:t>
      </w:r>
    </w:p>
    <w:p w14:paraId="5D00DA57" w14:textId="77777777" w:rsidR="00DB73A0" w:rsidRPr="007E3B4E" w:rsidRDefault="00DB73A0" w:rsidP="00DB73A0">
      <w:r w:rsidRPr="007E3B4E">
        <w:t>A hatásfok-referenciaértékeket a következő alapelvek szerint kell kiszámítani:</w:t>
      </w:r>
    </w:p>
    <w:p w14:paraId="04C51766" w14:textId="77777777" w:rsidR="00DB73A0" w:rsidRPr="007E3B4E" w:rsidRDefault="00DB73A0" w:rsidP="00DB73A0">
      <w:pPr>
        <w:pStyle w:val="Point0"/>
      </w:pPr>
      <w:r w:rsidRPr="007E3B4E">
        <w:rPr>
          <w:rStyle w:val="CRMinorChangeAdded"/>
        </w:rPr>
        <w:t>i.</w:t>
      </w:r>
      <w:r w:rsidRPr="007E3B4E">
        <w:rPr>
          <w:rStyle w:val="CRMinorChangeDeleted"/>
        </w:rPr>
        <w:t>1.</w:t>
      </w:r>
      <w:r w:rsidRPr="007E3B4E">
        <w:tab/>
      </w:r>
      <w:r w:rsidRPr="007E3B4E">
        <w:rPr>
          <w:rStyle w:val="CRMinorChangeAdded"/>
        </w:rPr>
        <w:t>a</w:t>
      </w:r>
      <w:r w:rsidRPr="007E3B4E">
        <w:rPr>
          <w:rStyle w:val="CRMinorChangeDeleted"/>
        </w:rPr>
        <w:t>A</w:t>
      </w:r>
      <w:r w:rsidRPr="007E3B4E">
        <w:t xml:space="preserve"> kapcsolt energiatermelő egységek esetében a külön villamosenergia-termeléssel való összehasonlítás alapja az az elv, hogy azonos tüzelőanyag-kategóriákat hasonlítanak össze</w:t>
      </w:r>
      <w:r w:rsidRPr="007E3B4E">
        <w:rPr>
          <w:rStyle w:val="CRMinorChangeAdded"/>
        </w:rPr>
        <w:t>;</w:t>
      </w:r>
      <w:r w:rsidRPr="007E3B4E">
        <w:rPr>
          <w:rStyle w:val="CRMinorChangeDeleted"/>
        </w:rPr>
        <w:t>.</w:t>
      </w:r>
    </w:p>
    <w:p w14:paraId="181F44BA" w14:textId="77777777" w:rsidR="00DB73A0" w:rsidRPr="007E3B4E" w:rsidRDefault="00DB73A0" w:rsidP="00DB73A0">
      <w:pPr>
        <w:pStyle w:val="Point0"/>
      </w:pPr>
      <w:r w:rsidRPr="007E3B4E">
        <w:rPr>
          <w:rStyle w:val="CRMinorChangeAdded"/>
        </w:rPr>
        <w:t>ii.</w:t>
      </w:r>
      <w:r w:rsidRPr="007E3B4E">
        <w:rPr>
          <w:rStyle w:val="CRMinorChangeDeleted"/>
        </w:rPr>
        <w:t>2.</w:t>
      </w:r>
      <w:r w:rsidRPr="007E3B4E">
        <w:tab/>
      </w:r>
      <w:r w:rsidRPr="007E3B4E">
        <w:rPr>
          <w:rStyle w:val="CRMinorChangeAdded"/>
        </w:rPr>
        <w:t>a</w:t>
      </w:r>
      <w:r w:rsidRPr="007E3B4E">
        <w:rPr>
          <w:rStyle w:val="CRMinorChangeDeleted"/>
        </w:rPr>
        <w:t>A</w:t>
      </w:r>
      <w:r w:rsidRPr="007E3B4E">
        <w:t>z egyes kapcsolt energiatermelő egységeket az egység építésének évében a piacon rendelkezésre álló legjobb és gazdaságilag indokolható, külön hőtermelésre és villamosenergia-előállításra alkalmas technológiával hasonlítják össze</w:t>
      </w:r>
      <w:r w:rsidRPr="007E3B4E">
        <w:rPr>
          <w:rStyle w:val="CRMinorChangeAdded"/>
        </w:rPr>
        <w:t>;</w:t>
      </w:r>
      <w:r w:rsidRPr="007E3B4E">
        <w:rPr>
          <w:rStyle w:val="CRMinorChangeDeleted"/>
        </w:rPr>
        <w:t>.</w:t>
      </w:r>
    </w:p>
    <w:p w14:paraId="029C4E8B" w14:textId="77777777" w:rsidR="00DB73A0" w:rsidRPr="007E3B4E" w:rsidRDefault="00DB73A0" w:rsidP="00DB73A0">
      <w:pPr>
        <w:pStyle w:val="Point0"/>
      </w:pPr>
      <w:r w:rsidRPr="007E3B4E">
        <w:rPr>
          <w:rStyle w:val="CRMinorChangeAdded"/>
        </w:rPr>
        <w:t>iii.</w:t>
      </w:r>
      <w:r w:rsidRPr="007E3B4E">
        <w:rPr>
          <w:rStyle w:val="CRMinorChangeDeleted"/>
        </w:rPr>
        <w:t>3.</w:t>
      </w:r>
      <w:r w:rsidRPr="007E3B4E">
        <w:tab/>
      </w:r>
      <w:r w:rsidRPr="007E3B4E">
        <w:rPr>
          <w:rStyle w:val="CRMinorChangeAdded"/>
        </w:rPr>
        <w:t>a</w:t>
      </w:r>
      <w:r w:rsidRPr="007E3B4E">
        <w:rPr>
          <w:rStyle w:val="CRMinorChangeDeleted"/>
        </w:rPr>
        <w:t>A</w:t>
      </w:r>
      <w:r w:rsidRPr="007E3B4E">
        <w:t xml:space="preserve"> 10 évnél régebbi kapcsolt energiatermelő egységek hatásfok-referenciaértékeit a 10 éves egységek referenciaértékeinek szintjén kell rögzíteni</w:t>
      </w:r>
      <w:r w:rsidRPr="007E3B4E">
        <w:rPr>
          <w:rStyle w:val="CRMinorChangeAdded"/>
        </w:rPr>
        <w:t>;</w:t>
      </w:r>
      <w:r w:rsidRPr="007E3B4E">
        <w:rPr>
          <w:rStyle w:val="CRMinorChangeDeleted"/>
        </w:rPr>
        <w:t>.</w:t>
      </w:r>
    </w:p>
    <w:p w14:paraId="417DDC19" w14:textId="77777777" w:rsidR="00DB73A0" w:rsidRPr="007E3B4E" w:rsidRDefault="00DB73A0" w:rsidP="00DB73A0">
      <w:pPr>
        <w:pStyle w:val="Point0"/>
      </w:pPr>
      <w:r w:rsidRPr="007E3B4E">
        <w:rPr>
          <w:rStyle w:val="CRMinorChangeAdded"/>
        </w:rPr>
        <w:t>iv.</w:t>
      </w:r>
      <w:r w:rsidRPr="007E3B4E">
        <w:rPr>
          <w:rStyle w:val="CRMinorChangeDeleted"/>
        </w:rPr>
        <w:t>4.</w:t>
      </w:r>
      <w:r w:rsidRPr="007E3B4E">
        <w:tab/>
      </w:r>
      <w:r w:rsidRPr="007E3B4E">
        <w:rPr>
          <w:rStyle w:val="CRMinorChangeAdded"/>
        </w:rPr>
        <w:t>a</w:t>
      </w:r>
      <w:r w:rsidRPr="007E3B4E">
        <w:rPr>
          <w:rStyle w:val="CRMinorChangeDeleted"/>
        </w:rPr>
        <w:t>A</w:t>
      </w:r>
      <w:r w:rsidRPr="007E3B4E">
        <w:t xml:space="preserve"> külön hőtermelésre és villamosenergia-előállításra vonatkozó hatásfok-referenciaértékeknek tükrözniük kell az egyes tagállamok közötti éghajlati eltéréseket.</w:t>
      </w:r>
    </w:p>
    <w:p w14:paraId="14718E5E" w14:textId="77777777" w:rsidR="00BD6649" w:rsidRPr="007E3B4E" w:rsidRDefault="00BD6649" w:rsidP="00BD6649">
      <w:pPr>
        <w:pStyle w:val="Point0"/>
        <w:jc w:val="center"/>
      </w:pPr>
      <w:r w:rsidRPr="007E3B4E">
        <w:t>_____________</w:t>
      </w:r>
    </w:p>
    <w:p w14:paraId="636F6A1D"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4446BCB1" w14:textId="77777777" w:rsidR="00DB73A0" w:rsidRPr="007E3B4E" w:rsidRDefault="00DB73A0" w:rsidP="00DB73A0">
      <w:pPr>
        <w:pStyle w:val="CRSeparator"/>
      </w:pPr>
    </w:p>
    <w:p w14:paraId="68C1AA31"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68AAF61C"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01B087FD" w14:textId="77777777" w:rsidR="00DB73A0" w:rsidRPr="007E3B4E" w:rsidRDefault="00DB73A0" w:rsidP="00A05BB8">
      <w:pPr>
        <w:pStyle w:val="Annexetitre"/>
      </w:pPr>
      <w:r w:rsidRPr="007E3B4E">
        <w:rPr>
          <w:rStyle w:val="CRMinorChangeAdded"/>
        </w:rPr>
        <w:t>IV</w:t>
      </w:r>
      <w:r w:rsidRPr="007E3B4E">
        <w:rPr>
          <w:rStyle w:val="CRMinorChangeDeleted"/>
        </w:rPr>
        <w:t>III</w:t>
      </w:r>
      <w:r w:rsidRPr="007E3B4E">
        <w:t>. MELLÉKLET</w:t>
      </w:r>
    </w:p>
    <w:p w14:paraId="6C5D9307" w14:textId="77777777" w:rsidR="00DB73A0" w:rsidRPr="007E3B4E" w:rsidRDefault="00DB73A0" w:rsidP="00DB73A0">
      <w:pPr>
        <w:pStyle w:val="ManualHeading1"/>
        <w:tabs>
          <w:tab w:val="clear" w:pos="850"/>
        </w:tabs>
        <w:ind w:left="851" w:hanging="851"/>
        <w:rPr>
          <w:rStyle w:val="CRDeleted"/>
          <w:i/>
        </w:rPr>
      </w:pPr>
      <w:r w:rsidRPr="007E3B4E">
        <w:rPr>
          <w:rStyle w:val="CRDeleted"/>
          <w:i/>
          <w:iCs/>
        </w:rPr>
        <w:t>TERMÉKEKNEK, SZOLGÁLTATÁSOKNAK ÉS ÉPÜLETEKNEK A KÖZPONTI KORMÁNYZAT ÁLTALI</w:t>
      </w:r>
      <w:r w:rsidRPr="007E3B4E">
        <w:rPr>
          <w:i/>
          <w:iCs/>
        </w:rPr>
        <w:t xml:space="preserve"> </w:t>
      </w:r>
      <w:r w:rsidRPr="007E3B4E">
        <w:rPr>
          <w:rStyle w:val="CRMinorChangeAdded"/>
          <w:i/>
          <w:iCs/>
        </w:rPr>
        <w:t>A KÖZBESZERZÉS</w:t>
      </w:r>
      <w:r w:rsidRPr="007E3B4E">
        <w:rPr>
          <w:rStyle w:val="CRMinorChangeDeleted"/>
          <w:i/>
          <w:iCs/>
        </w:rPr>
        <w:t>E</w:t>
      </w:r>
      <w:r w:rsidRPr="007E3B4E">
        <w:rPr>
          <w:i/>
          <w:iCs/>
        </w:rPr>
        <w:t xml:space="preserve"> SORÁN ALKALMAZANDÓ ENERGIAHATÉKONYSÁGI KÖVETELMÉNYEK</w:t>
      </w:r>
    </w:p>
    <w:p w14:paraId="5CDE747F" w14:textId="77777777" w:rsidR="00DB73A0" w:rsidRPr="007E3B4E" w:rsidRDefault="00DB73A0" w:rsidP="00DB73A0">
      <w:r w:rsidRPr="007E3B4E">
        <w:t>A termékeket, szolgáltatásokat</w:t>
      </w:r>
      <w:r w:rsidRPr="007E3B4E">
        <w:rPr>
          <w:rStyle w:val="CRMinorChangeAdded"/>
        </w:rPr>
        <w:t>,</w:t>
      </w:r>
      <w:r w:rsidRPr="007E3B4E">
        <w:t xml:space="preserve"> </w:t>
      </w:r>
      <w:r w:rsidRPr="007E3B4E">
        <w:rPr>
          <w:rStyle w:val="CRDeleted"/>
        </w:rPr>
        <w:t>vagy</w:t>
      </w:r>
      <w:r w:rsidRPr="007E3B4E">
        <w:t xml:space="preserve"> épületeket </w:t>
      </w:r>
      <w:r w:rsidRPr="007E3B4E">
        <w:rPr>
          <w:rStyle w:val="CRRefonteDeleted"/>
          <w:highlight w:val="lightGray"/>
        </w:rPr>
        <w:t>beszerző központi kormányzatok</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és építési beruházásokat beszerző ajánlatkérő szervek és közszolgáltató ajánlatkérők a közbeszerzési szerződésekre és koncessziókra vonatkozó valamennyi odaítélési eljárás során</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w:t>
      </w:r>
      <w:r w:rsidRPr="007E3B4E">
        <w:rPr>
          <w:rStyle w:val="CRRefonteDeleted"/>
          <w:highlight w:val="lightGray"/>
        </w:rPr>
        <w:t>,amennyiben ez összeegyeztethető a költséghatékonysággal, a gazdasági megvalósíthatósággal, a tágabban értelmezett fenntarthatósággal, a műszaki alkalmassággal, valamint a verseny megfelelő érvényesülésével</w:t>
      </w:r>
      <w:r w:rsidRPr="007E3B4E">
        <w:t>:</w:t>
      </w:r>
    </w:p>
    <w:p w14:paraId="5D280DC4" w14:textId="77777777" w:rsidR="00DB73A0" w:rsidRPr="007E3B4E" w:rsidRDefault="00DB73A0" w:rsidP="00DB73A0">
      <w:pPr>
        <w:pStyle w:val="Point0"/>
        <w:rPr>
          <w:highlight w:val="lightGray"/>
        </w:rPr>
      </w:pPr>
      <w:r w:rsidRPr="007E3B4E">
        <w:t>a)</w:t>
      </w:r>
      <w:r w:rsidRPr="007E3B4E">
        <w:tab/>
        <w:t>amennyiben valamely termék a</w:t>
      </w:r>
      <w:r w:rsidRPr="007E3B4E">
        <w:rPr>
          <w:rStyle w:val="CRMinorChangeAdded"/>
        </w:rPr>
        <w:t>z (EU) 2017/1369 rendelet</w:t>
      </w:r>
      <w:r w:rsidRPr="007E3B4E">
        <w:rPr>
          <w:rStyle w:val="CRMinorChangeDeleted"/>
        </w:rPr>
        <w:t>2010/30/EU irányelv</w:t>
      </w:r>
      <w:r w:rsidRPr="007E3B4E">
        <w:t xml:space="preserve"> alapján elfogadott felhatalmazáson alapuló jogi aktus vagy egy kapcsolódó bizottsági végrehajtási irányelv hatálya alá tartozik, csak olyan termékeket szerezhetnek be, amelyek megfelelnek </w:t>
      </w:r>
      <w:r w:rsidRPr="007E3B4E">
        <w:rPr>
          <w:rStyle w:val="CRRefonteDeleted"/>
          <w:highlight w:val="lightGray"/>
        </w:rPr>
        <w:t>a lehető legmagasabb energiahatékonysági osztályba való tartozás kritériumának, a verseny megfelelő biztosításának figyelembevétele mellett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az említett rendelet 7. cikkének (2) bekezdésében megállapított kritériumoknak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w:t>
      </w:r>
    </w:p>
    <w:p w14:paraId="64A50C0A" w14:textId="77777777" w:rsidR="00DB73A0" w:rsidRPr="007E3B4E" w:rsidRDefault="00DB73A0" w:rsidP="00DB73A0">
      <w:pPr>
        <w:pStyle w:val="Point0"/>
      </w:pPr>
      <w:r w:rsidRPr="007E3B4E">
        <w:t>b)</w:t>
      </w:r>
      <w:r w:rsidRPr="007E3B4E">
        <w:tab/>
        <w:t>amennyiben valamely, az a) pontba nem tartozó termék az ezen irányelv hatálybalépését követően, a 2009/125/EK irányelv értelmében elfogadott végrehajtási intézkedés hatálya alá tartozik, csak olyan termékeket szerezhetnek be, amelyek megfelelnek az említett végrehajtási intézkedésben foglalt energiahatékonysági referenciaértékeknek;</w:t>
      </w:r>
    </w:p>
    <w:p w14:paraId="2ACBD4CB" w14:textId="77777777" w:rsidR="00DB73A0" w:rsidRPr="007E3B4E" w:rsidRDefault="00DB73A0" w:rsidP="00DB73A0">
      <w:pPr>
        <w:pStyle w:val="Point0"/>
        <w:rPr>
          <w:highlight w:val="lightGray"/>
        </w:rPr>
      </w:pPr>
      <w:r w:rsidRPr="007E3B4E">
        <w:tab/>
      </w:r>
      <w:r w:rsidRPr="007E3B4E">
        <w:rPr>
          <w:rStyle w:val="CRRefonteDeleted"/>
          <w:highlight w:val="lightGray"/>
        </w:rPr>
        <w:t>c)</w:t>
      </w:r>
      <w:r w:rsidRPr="007E3B4E">
        <w:tab/>
      </w:r>
      <w:r w:rsidRPr="007E3B4E">
        <w:rPr>
          <w:rStyle w:val="CRRefonteDeleted"/>
          <w:highlight w:val="lightGray"/>
        </w:rPr>
        <w:t>csak olyan, az Amerikai Egyesült Államok kormánya és az Európai Közösség közötti, az irodai berendezések energiahatékonyságára vonatkozó címkézési programok összehangolásáról szóló megállapodás megkötéséről szóló, 2006. december 18-i 2006/1005/EK tanácsi határozat</w:t>
      </w:r>
      <w:r w:rsidRPr="007E3B4E">
        <w:rPr>
          <w:rStyle w:val="CRRefonteDeleted"/>
          <w:highlight w:val="lightGray"/>
          <w:vertAlign w:val="superscript"/>
        </w:rPr>
        <w:footnoteReference w:id="2"/>
      </w:r>
      <w:r w:rsidRPr="007E3B4E">
        <w:rPr>
          <w:rStyle w:val="CRRefonteDeleted"/>
          <w:highlight w:val="lightGray"/>
        </w:rPr>
        <w:t xml:space="preserve"> hatálya alá tartozó irodai berendezéseket szerezhetnek be, amelyek megfelelnek legalább az e határozathoz csatolt megállapodás C. mellékletében felsoroltakkal egyenértékű energiahatékonysági követelményeknek;</w:t>
      </w:r>
    </w:p>
    <w:p w14:paraId="68AF3E92" w14:textId="77777777" w:rsidR="00DB73A0" w:rsidRPr="007E3B4E" w:rsidRDefault="00DB73A0" w:rsidP="00DB73A0">
      <w:pPr>
        <w:pStyle w:val="CRSeparator"/>
      </w:pPr>
    </w:p>
    <w:p w14:paraId="2600442D"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734443B8" w14:textId="77777777" w:rsidR="00DB73A0" w:rsidRPr="007E3B4E" w:rsidRDefault="00DB73A0" w:rsidP="00A05BB8">
      <w:pPr>
        <w:pStyle w:val="Point0"/>
        <w:rPr>
          <w:highlight w:val="lightGray"/>
        </w:rPr>
      </w:pPr>
      <w:r w:rsidRPr="007E3B4E">
        <w:rPr>
          <w:highlight w:val="lightGray"/>
        </w:rPr>
        <w:t>c)</w:t>
      </w:r>
      <w:r w:rsidRPr="007E3B4E">
        <w:tab/>
      </w:r>
      <w:r w:rsidRPr="007E3B4E">
        <w:rPr>
          <w:highlight w:val="lightGray"/>
        </w:rPr>
        <w:t>amennyiben egy termék vagy szolgáltatás az energiahatékonysága szempontjából releváns uniós zöld közbeszerzési kritériumok hatálya alá tartozik, minden tőlük telhetőt megtesznek annak érdekében, hogy csak olyan termékeket és szolgáltatásokat vásároljanak, amelyek megfelelnek legalább azoknak az alapvető szintű műszaki előírásoknak, amelyek a megfelelő uniós zöld közbeszerzési kritériumokban – többek között az adatközpontokra, szervertermekre és felhőszolgáltatásokra, az útvilágításra és a forgalmi jelzésekre, a számítógépekre, a monitorokra, a táblagépekre, okostelefonokra vonatkozóan – megállapításra kerültek;</w:t>
      </w:r>
    </w:p>
    <w:p w14:paraId="1CE6CDBA" w14:textId="77777777" w:rsidR="00DB73A0" w:rsidRPr="007E3B4E" w:rsidRDefault="00DB73A0" w:rsidP="00DB73A0">
      <w:pPr>
        <w:pStyle w:val="CRSeparator"/>
      </w:pPr>
    </w:p>
    <w:p w14:paraId="5D6F10FD"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08EBB180"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55052B14" w14:textId="77777777" w:rsidR="00DB73A0" w:rsidRPr="007E3B4E" w:rsidRDefault="00DB73A0" w:rsidP="00DB73A0">
      <w:pPr>
        <w:pStyle w:val="Point0"/>
      </w:pPr>
      <w:r w:rsidRPr="007E3B4E">
        <w:t>d)</w:t>
      </w:r>
      <w:r w:rsidRPr="007E3B4E">
        <w:tab/>
        <w:t xml:space="preserve">csak olyan gumiabroncsokat szerezhetnek be, amelyek megfelelnek a </w:t>
      </w:r>
      <w:r w:rsidRPr="007E3B4E">
        <w:rPr>
          <w:rStyle w:val="CRMinorChangeDeleted"/>
        </w:rPr>
        <w:t>gumiabroncsok üzemanyag-hatékonyság és más lényeges paraméterek tekintetében történő címkézéséről szóló, 2009. november 25-i 1222/2009/EK európai parlamenti és tanácsi rendeletben</w:t>
      </w:r>
      <w:r w:rsidRPr="007E3B4E">
        <w:rPr>
          <w:rStyle w:val="CRMinorChangeDeleted"/>
          <w:vertAlign w:val="superscript"/>
        </w:rPr>
        <w:footnoteReference w:id="3"/>
      </w:r>
      <w:r w:rsidRPr="007E3B4E">
        <w:rPr>
          <w:rStyle w:val="CRMinorChangeAdded"/>
        </w:rPr>
        <w:t>az (EU) 2020/740 európai parlamenti és tanácsi rendeletben</w:t>
      </w:r>
      <w:r w:rsidRPr="007E3B4E">
        <w:rPr>
          <w:rStyle w:val="CRMinorChangeAdded"/>
          <w:vertAlign w:val="superscript"/>
        </w:rPr>
        <w:footnoteReference w:id="4"/>
      </w:r>
      <w:r w:rsidRPr="007E3B4E">
        <w:t xml:space="preserve"> meghatározott legmagasabb üzemanyag-hatékonysági osztályba történő besorolás kritériumainak. Ez a követelmény nem akadályozza meg a közintézményeket abban, hogy amennyiben azt biztonsági vagy közegészségügyi okok indokolják, a nedves tapadás vagy külső gördülési zaj szempontjából a legmagasabb osztályba tartozó gumiabroncsokat szerezzenek be;</w:t>
      </w:r>
    </w:p>
    <w:p w14:paraId="42528538" w14:textId="77777777" w:rsidR="00DB73A0" w:rsidRPr="007E3B4E" w:rsidRDefault="00DB73A0" w:rsidP="00DB73A0">
      <w:pPr>
        <w:pStyle w:val="Point0"/>
      </w:pPr>
      <w:r w:rsidRPr="007E3B4E">
        <w:t>e)</w:t>
      </w:r>
      <w:r w:rsidRPr="007E3B4E">
        <w:tab/>
        <w:t>a szolgáltatási szerződésekre kiírt pályázataikban előírják, hogy a szóban forgó szolgáltatások nyújtása céljából a szolgáltatók csak az a)</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xml:space="preserve"> , b)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és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w:t>
      </w:r>
      <w:r w:rsidRPr="007E3B4E">
        <w:rPr>
          <w:rStyle w:val="CRRefonteDeleted"/>
          <w:highlight w:val="lightGray"/>
        </w:rPr>
        <w:t>–</w:t>
      </w:r>
      <w:r w:rsidRPr="007E3B4E">
        <w:t>d) pontokban említett követelményeknek megfelelő termékeket lehet használnia szolgáltatások nyújtásakor. Ez a követelmény kizárólag a szolgáltatók által részben vagy egészben a szóban forgó szolgáltatás nyújtása céljára beszerzett új termékekre vonatkozik.</w:t>
      </w:r>
    </w:p>
    <w:p w14:paraId="72CD7ED8" w14:textId="77777777" w:rsidR="00DB73A0" w:rsidRPr="007E3B4E" w:rsidRDefault="00DB73A0" w:rsidP="00DB73A0">
      <w:pPr>
        <w:pStyle w:val="Point0"/>
      </w:pPr>
      <w:r w:rsidRPr="007E3B4E">
        <w:t>f)</w:t>
      </w:r>
      <w:r w:rsidRPr="007E3B4E">
        <w:tab/>
        <w:t xml:space="preserve">csak olyan épületeket vásárolhatnak vagy olyan épületek vonatkozásában írhatnak alá új bérleti szerződést, amelyek megfelelnek legalább az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2010/31/EU irányelv 4. cikke (1)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w:t>
      </w:r>
      <w:r w:rsidRPr="007E3B4E">
        <w:rPr>
          <w:rStyle w:val="CRRefonteDeleted"/>
          <w:highlight w:val="lightGray"/>
        </w:rPr>
        <w:t>5. cikk (1)</w:t>
      </w:r>
      <w:r w:rsidRPr="007E3B4E">
        <w:t xml:space="preserve"> bekezdésében említett, az energiahatékonyságra vonatkozó minimumkövetelményeknek, kivéve ha a vásárlás célja</w:t>
      </w:r>
    </w:p>
    <w:p w14:paraId="50882BF0" w14:textId="77777777" w:rsidR="00DB73A0" w:rsidRPr="007E3B4E" w:rsidRDefault="00DB73A0" w:rsidP="00DB73A0">
      <w:pPr>
        <w:pStyle w:val="Point1"/>
      </w:pPr>
      <w:r w:rsidRPr="007E3B4E">
        <w:t>i.</w:t>
      </w:r>
      <w:r w:rsidRPr="007E3B4E">
        <w:tab/>
        <w:t>mélyfelújítás vagy lebontás;</w:t>
      </w:r>
    </w:p>
    <w:p w14:paraId="130A7F9D" w14:textId="77777777" w:rsidR="00DB73A0" w:rsidRPr="007E3B4E" w:rsidRDefault="00DB73A0" w:rsidP="00DB73A0">
      <w:pPr>
        <w:pStyle w:val="Point1"/>
      </w:pPr>
      <w:r w:rsidRPr="007E3B4E">
        <w:t>ii.</w:t>
      </w:r>
      <w:r w:rsidRPr="007E3B4E">
        <w:tab/>
        <w:t>a közintézmény esetében az épület viszonteladásra bocsátása anélkül, hogy a közintézmény azt saját céljaira használná, vagy vagy</w:t>
      </w:r>
    </w:p>
    <w:p w14:paraId="14CE7351" w14:textId="77777777" w:rsidR="00DB73A0" w:rsidRPr="007E3B4E" w:rsidRDefault="00DB73A0" w:rsidP="00DB73A0">
      <w:pPr>
        <w:pStyle w:val="Point1"/>
      </w:pPr>
      <w:r w:rsidRPr="007E3B4E">
        <w:t>iii.</w:t>
      </w:r>
      <w:r w:rsidRPr="007E3B4E">
        <w:tab/>
        <w:t>az épületnek egy kijelölt környezet részét képező épületként, illetve – különleges építészeti vagy történelmi értékénél fogva – hivatalosan védett épületként való megőrzése.</w:t>
      </w:r>
    </w:p>
    <w:p w14:paraId="4F2AB6A1" w14:textId="77777777" w:rsidR="00DB73A0" w:rsidRPr="007E3B4E" w:rsidRDefault="00DB73A0" w:rsidP="00DB73A0">
      <w:r w:rsidRPr="007E3B4E">
        <w:t>Az e követelményeknek való megfelelést a 2010/31/EU irányelv 11. cikkében említett energiahatékonysági-tanúsítvány útján ellenőrzik.</w:t>
      </w:r>
    </w:p>
    <w:p w14:paraId="34AD0DEA" w14:textId="77777777" w:rsidR="009528E0" w:rsidRPr="007E3B4E" w:rsidRDefault="009528E0" w:rsidP="009528E0">
      <w:pPr>
        <w:adjustRightInd w:val="0"/>
        <w:spacing w:before="0" w:after="0"/>
        <w:jc w:val="left"/>
        <w:sectPr w:rsidR="009528E0" w:rsidRPr="007E3B4E" w:rsidSect="002A7954">
          <w:pgSz w:w="11906" w:h="16838"/>
          <w:pgMar w:top="1134" w:right="1418" w:bottom="1134" w:left="1418" w:header="709" w:footer="709" w:gutter="0"/>
          <w:cols w:space="709"/>
          <w:docGrid w:linePitch="326"/>
        </w:sectPr>
      </w:pPr>
    </w:p>
    <w:p w14:paraId="6DFB9229" w14:textId="77777777" w:rsidR="009528E0" w:rsidRPr="007E3B4E" w:rsidRDefault="009528E0" w:rsidP="009528E0">
      <w:pPr>
        <w:pStyle w:val="CRSeparator"/>
      </w:pPr>
    </w:p>
    <w:p w14:paraId="67232C06" w14:textId="77777777" w:rsidR="009528E0" w:rsidRPr="007E3B4E" w:rsidRDefault="009528E0" w:rsidP="009528E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4B5CC935" w14:textId="77777777" w:rsidR="00C36C57" w:rsidRPr="007E3B4E" w:rsidRDefault="00C36C57" w:rsidP="00D57782">
      <w:pPr>
        <w:jc w:val="center"/>
        <w:rPr>
          <w:rStyle w:val="CRRefonteDeleted"/>
          <w:highlight w:val="lightGray"/>
        </w:rPr>
      </w:pPr>
      <w:r w:rsidRPr="007E3B4E">
        <w:rPr>
          <w:rStyle w:val="CRRefonteDeleted"/>
          <w:highlight w:val="lightGray"/>
        </w:rPr>
        <w:t>IV. MELLÉKLET</w:t>
      </w:r>
    </w:p>
    <w:p w14:paraId="419FC6BA" w14:textId="77777777" w:rsidR="00C36C57" w:rsidRPr="007E3B4E" w:rsidRDefault="00C36C57" w:rsidP="00DB73A0">
      <w:pPr>
        <w:rPr>
          <w:rStyle w:val="CRRefonteDeleted"/>
          <w:highlight w:val="lightGray"/>
        </w:rPr>
      </w:pPr>
      <w:r w:rsidRPr="007E3B4E">
        <w:rPr>
          <w:rStyle w:val="CRRefonteDeleted"/>
          <w:b/>
          <w:color w:val="000000"/>
          <w:highlight w:val="lightGray"/>
        </w:rPr>
        <w:t>EGYES VÉGSŐ FELHASZNÁLÁSRA SZÁNT TÜZELŐANYAGOK ENERGIATARTALMA – ÁTVÁLTÁSI TÁBLÁZAT</w:t>
      </w:r>
      <w:r w:rsidRPr="007E3B4E">
        <w:rPr>
          <w:rStyle w:val="CRRefonteDeleted"/>
          <w:b/>
          <w:color w:val="3366CC"/>
          <w:highlight w:val="lightGray"/>
        </w:rPr>
        <w:t xml:space="preserve"> </w:t>
      </w:r>
      <w:r w:rsidRPr="007E3B4E">
        <w:rPr>
          <w:rStyle w:val="CRRefonteDeleted"/>
          <w:b/>
          <w:color w:val="3366CC"/>
          <w:highlight w:val="lightGray"/>
          <w:u w:val="single"/>
        </w:rPr>
        <w:t>(</w:t>
      </w:r>
      <w:r w:rsidRPr="007E3B4E">
        <w:rPr>
          <w:rStyle w:val="CRRefonteDeleted"/>
          <w:b/>
          <w:color w:val="3366CC"/>
          <w:sz w:val="17"/>
          <w:highlight w:val="lightGray"/>
          <w:vertAlign w:val="superscript"/>
        </w:rPr>
        <w:t>1</w:t>
      </w:r>
      <w:r w:rsidRPr="007E3B4E">
        <w:rPr>
          <w:rStyle w:val="CRRefonteDeleted"/>
          <w:b/>
          <w:color w:val="3366CC"/>
          <w:highlight w:val="lightGray"/>
          <w:u w:val="single"/>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182"/>
        <w:gridCol w:w="1376"/>
        <w:gridCol w:w="1376"/>
        <w:gridCol w:w="1376"/>
      </w:tblGrid>
      <w:tr w:rsidR="00C36C57" w:rsidRPr="007E3B4E" w14:paraId="29828FEC"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7AA8F" w14:textId="77777777" w:rsidR="00C36C57" w:rsidRPr="007E3B4E" w:rsidRDefault="00C36C57" w:rsidP="00C36C57">
            <w:pPr>
              <w:spacing w:before="60" w:after="60"/>
              <w:ind w:right="195"/>
              <w:jc w:val="center"/>
              <w:rPr>
                <w:rStyle w:val="CRRefonteDeleted"/>
                <w:rFonts w:ascii="inherit" w:hAnsi="inherit"/>
                <w:b/>
                <w:color w:val="000000"/>
                <w:sz w:val="22"/>
                <w:highlight w:val="lightGray"/>
              </w:rPr>
            </w:pPr>
            <w:r w:rsidRPr="007E3B4E">
              <w:rPr>
                <w:rStyle w:val="CRRefonteDeleted"/>
                <w:rFonts w:ascii="inherit" w:hAnsi="inherit"/>
                <w:b/>
                <w:color w:val="000000"/>
                <w:sz w:val="22"/>
                <w:highlight w:val="lightGray"/>
              </w:rPr>
              <w:t>Energiahordozó</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76F363" w14:textId="77777777" w:rsidR="00C36C57" w:rsidRPr="007E3B4E" w:rsidRDefault="00C36C57" w:rsidP="00C36C57">
            <w:pPr>
              <w:spacing w:before="60" w:after="60"/>
              <w:ind w:right="195"/>
              <w:jc w:val="center"/>
              <w:rPr>
                <w:rStyle w:val="CRRefonteDeleted"/>
                <w:rFonts w:ascii="inherit" w:hAnsi="inherit"/>
                <w:b/>
                <w:color w:val="000000"/>
                <w:sz w:val="22"/>
                <w:highlight w:val="lightGray"/>
              </w:rPr>
            </w:pPr>
            <w:r w:rsidRPr="007E3B4E">
              <w:rPr>
                <w:rStyle w:val="CRRefonteDeleted"/>
                <w:rFonts w:ascii="inherit" w:hAnsi="inherit"/>
                <w:b/>
                <w:color w:val="000000"/>
                <w:sz w:val="22"/>
                <w:highlight w:val="lightGray"/>
              </w:rPr>
              <w:t>kJ (nettó f</w:t>
            </w:r>
            <w:r w:rsidRPr="00AC5779">
              <w:rPr>
                <w:rStyle w:val="CRRefonteDeleted"/>
                <w:b/>
                <w:color w:val="000000"/>
                <w:sz w:val="22"/>
                <w:highlight w:val="lightGray"/>
              </w:rPr>
              <w:t>ű</w:t>
            </w:r>
            <w:r w:rsidRPr="007E3B4E">
              <w:rPr>
                <w:rStyle w:val="CRRefonteDeleted"/>
                <w:rFonts w:ascii="inherit" w:hAnsi="inherit"/>
                <w:b/>
                <w:color w:val="000000"/>
                <w:sz w:val="22"/>
                <w:highlight w:val="lightGray"/>
              </w:rPr>
              <w:t>t</w:t>
            </w:r>
            <w:r w:rsidRPr="00AC5779">
              <w:rPr>
                <w:rStyle w:val="CRRefonteDeleted"/>
                <w:b/>
                <w:color w:val="000000"/>
                <w:sz w:val="22"/>
                <w:highlight w:val="lightGray"/>
              </w:rPr>
              <w:t>ő</w:t>
            </w:r>
            <w:r w:rsidRPr="007E3B4E">
              <w:rPr>
                <w:rStyle w:val="CRRefonteDeleted"/>
                <w:rFonts w:ascii="inherit" w:hAnsi="inherit"/>
                <w:b/>
                <w:color w:val="000000"/>
                <w:sz w:val="22"/>
                <w:highlight w:val="lightGray"/>
              </w:rPr>
              <w:t>érték)</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3E2BA" w14:textId="77777777" w:rsidR="00C36C57" w:rsidRPr="007E3B4E" w:rsidRDefault="00C36C57" w:rsidP="007E3B4E">
            <w:pPr>
              <w:spacing w:before="60" w:after="60"/>
              <w:ind w:right="195"/>
              <w:jc w:val="center"/>
              <w:rPr>
                <w:rStyle w:val="CRRefonteDeleted"/>
                <w:rFonts w:ascii="inherit" w:hAnsi="inherit"/>
                <w:b/>
                <w:color w:val="000000"/>
                <w:sz w:val="22"/>
                <w:highlight w:val="lightGray"/>
              </w:rPr>
            </w:pPr>
            <w:r w:rsidRPr="007E3B4E">
              <w:rPr>
                <w:rStyle w:val="CRRefonteDeleted"/>
                <w:rFonts w:ascii="inherit" w:hAnsi="inherit"/>
                <w:b/>
                <w:color w:val="000000"/>
                <w:sz w:val="22"/>
                <w:highlight w:val="lightGray"/>
              </w:rPr>
              <w:t>kgoe (nettó f</w:t>
            </w:r>
            <w:r w:rsidR="007E3B4E" w:rsidRPr="00AC5779">
              <w:rPr>
                <w:rStyle w:val="CRRefonteDeleted"/>
                <w:b/>
                <w:color w:val="000000"/>
                <w:sz w:val="22"/>
                <w:highlight w:val="lightGray"/>
              </w:rPr>
              <w:t>ű</w:t>
            </w:r>
            <w:r w:rsidRPr="007E3B4E">
              <w:rPr>
                <w:rStyle w:val="CRRefonteDeleted"/>
                <w:rFonts w:ascii="inherit" w:hAnsi="inherit"/>
                <w:b/>
                <w:color w:val="000000"/>
                <w:sz w:val="22"/>
                <w:highlight w:val="lightGray"/>
              </w:rPr>
              <w:t>t</w:t>
            </w:r>
            <w:r w:rsidR="007E3B4E" w:rsidRPr="00AC5779">
              <w:rPr>
                <w:rStyle w:val="CRRefonteDeleted"/>
                <w:b/>
                <w:color w:val="000000"/>
                <w:sz w:val="22"/>
                <w:highlight w:val="lightGray"/>
              </w:rPr>
              <w:t>ő</w:t>
            </w:r>
            <w:r w:rsidRPr="007E3B4E">
              <w:rPr>
                <w:rStyle w:val="CRRefonteDeleted"/>
                <w:rFonts w:ascii="inherit" w:hAnsi="inherit"/>
                <w:b/>
                <w:color w:val="000000"/>
                <w:sz w:val="22"/>
                <w:highlight w:val="lightGray"/>
              </w:rPr>
              <w:t>érték)</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FDB12C" w14:textId="77777777" w:rsidR="00C36C57" w:rsidRPr="007E3B4E" w:rsidRDefault="00C36C57" w:rsidP="007E3B4E">
            <w:pPr>
              <w:spacing w:before="60" w:after="60"/>
              <w:ind w:right="195"/>
              <w:jc w:val="center"/>
              <w:rPr>
                <w:rStyle w:val="CRRefonteDeleted"/>
                <w:rFonts w:ascii="inherit" w:hAnsi="inherit"/>
                <w:b/>
                <w:color w:val="000000"/>
                <w:sz w:val="22"/>
                <w:highlight w:val="lightGray"/>
              </w:rPr>
            </w:pPr>
            <w:r w:rsidRPr="007E3B4E">
              <w:rPr>
                <w:rStyle w:val="CRRefonteDeleted"/>
                <w:rFonts w:ascii="inherit" w:hAnsi="inherit"/>
                <w:b/>
                <w:color w:val="000000"/>
                <w:sz w:val="22"/>
                <w:highlight w:val="lightGray"/>
              </w:rPr>
              <w:t>kWh (nettó f</w:t>
            </w:r>
            <w:r w:rsidR="007E3B4E" w:rsidRPr="00AC5779">
              <w:rPr>
                <w:rStyle w:val="CRRefonteDeleted"/>
                <w:b/>
                <w:color w:val="000000"/>
                <w:sz w:val="22"/>
                <w:highlight w:val="lightGray"/>
              </w:rPr>
              <w:t>ű</w:t>
            </w:r>
            <w:r w:rsidRPr="007E3B4E">
              <w:rPr>
                <w:rStyle w:val="CRRefonteDeleted"/>
                <w:rFonts w:ascii="inherit" w:hAnsi="inherit"/>
                <w:b/>
                <w:color w:val="000000"/>
                <w:sz w:val="22"/>
                <w:highlight w:val="lightGray"/>
              </w:rPr>
              <w:t>t</w:t>
            </w:r>
            <w:r w:rsidR="007E3B4E" w:rsidRPr="00AC5779">
              <w:rPr>
                <w:rStyle w:val="CRRefonteDeleted"/>
                <w:b/>
                <w:color w:val="000000"/>
                <w:sz w:val="22"/>
                <w:highlight w:val="lightGray"/>
              </w:rPr>
              <w:t>ő</w:t>
            </w:r>
            <w:r w:rsidRPr="007E3B4E">
              <w:rPr>
                <w:rStyle w:val="CRRefonteDeleted"/>
                <w:rFonts w:ascii="inherit" w:hAnsi="inherit"/>
                <w:b/>
                <w:color w:val="000000"/>
                <w:sz w:val="22"/>
                <w:highlight w:val="lightGray"/>
              </w:rPr>
              <w:t>érték)</w:t>
            </w:r>
          </w:p>
        </w:tc>
      </w:tr>
      <w:tr w:rsidR="00C36C57" w:rsidRPr="007E3B4E" w14:paraId="63B05C1E"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D815A7"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koksz</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36735"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28 500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374A"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0,676</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50652"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7,917</w:t>
            </w:r>
          </w:p>
        </w:tc>
      </w:tr>
      <w:tr w:rsidR="00C36C57" w:rsidRPr="007E3B4E" w14:paraId="062AC3DA"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ACD0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k</w:t>
            </w:r>
            <w:r w:rsidRPr="00AC5779">
              <w:rPr>
                <w:rStyle w:val="CRRefonteDeleted"/>
                <w:color w:val="000000"/>
                <w:sz w:val="22"/>
                <w:highlight w:val="lightGray"/>
              </w:rPr>
              <w:t>ő</w:t>
            </w:r>
            <w:r w:rsidRPr="007E3B4E">
              <w:rPr>
                <w:rStyle w:val="CRRefonteDeleted"/>
                <w:rFonts w:ascii="inherit" w:hAnsi="inherit"/>
                <w:color w:val="000000"/>
                <w:sz w:val="22"/>
                <w:highlight w:val="lightGray"/>
              </w:rPr>
              <w:t>szén</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2969FB"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17 200 — 30 700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37835"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0,411 — 0,733</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761AC"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4,778 — 8,528</w:t>
            </w:r>
          </w:p>
        </w:tc>
      </w:tr>
      <w:tr w:rsidR="00C36C57" w:rsidRPr="007E3B4E" w14:paraId="672CF2A7"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836CC"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barnaszénbrikett</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AF738"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20 000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AE147"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0,478</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15B00"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5,556</w:t>
            </w:r>
          </w:p>
        </w:tc>
      </w:tr>
      <w:tr w:rsidR="00C36C57" w:rsidRPr="007E3B4E" w14:paraId="4263A4CB"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65E0D6"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fekete lignit</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6F485C"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10 500 — 21 000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7CA5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0,251 — 0,502</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5B1C91"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2,917 — 5,833</w:t>
            </w:r>
          </w:p>
        </w:tc>
      </w:tr>
      <w:tr w:rsidR="00C36C57" w:rsidRPr="007E3B4E" w14:paraId="4843527F"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97B"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barnaszén</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FF2B5A"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5 600 — 10 500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F1A53"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0,134 — 0,251</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11BB18"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1,556 — 2,917</w:t>
            </w:r>
          </w:p>
        </w:tc>
      </w:tr>
      <w:tr w:rsidR="00C36C57" w:rsidRPr="007E3B4E" w14:paraId="0549C233"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B69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olajpala</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A9521"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8 000 — 9 000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7E2A3"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0,191 — 0,215</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E6446"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2 222 — 2 500</w:t>
            </w:r>
          </w:p>
        </w:tc>
      </w:tr>
      <w:tr w:rsidR="00C36C57" w:rsidRPr="007E3B4E" w14:paraId="42BE9325"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BE029" w14:textId="77777777" w:rsidR="00C36C57" w:rsidRPr="007E3B4E" w:rsidRDefault="00C36C57" w:rsidP="007E3B4E">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t</w:t>
            </w:r>
            <w:r w:rsidR="007E3B4E" w:rsidRPr="00AC5779">
              <w:rPr>
                <w:rStyle w:val="CRRefonteDeleted"/>
                <w:color w:val="000000"/>
                <w:sz w:val="22"/>
                <w:highlight w:val="lightGray"/>
              </w:rPr>
              <w:t>ő</w:t>
            </w:r>
            <w:r w:rsidRPr="007E3B4E">
              <w:rPr>
                <w:rStyle w:val="CRRefonteDeleted"/>
                <w:rFonts w:ascii="inherit" w:hAnsi="inherit"/>
                <w:color w:val="000000"/>
                <w:sz w:val="22"/>
                <w:highlight w:val="lightGray"/>
              </w:rPr>
              <w:t>zeg</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38997"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7 800 — 13 800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825A11"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0,186 — 0,330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633D1"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2,167 — 3,833</w:t>
            </w:r>
          </w:p>
        </w:tc>
      </w:tr>
      <w:tr w:rsidR="00C36C57" w:rsidRPr="007E3B4E" w14:paraId="1FDAD9AF"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FD174" w14:textId="77777777" w:rsidR="00C36C57" w:rsidRPr="007E3B4E" w:rsidRDefault="00C36C57" w:rsidP="007E3B4E">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t</w:t>
            </w:r>
            <w:r w:rsidR="007E3B4E" w:rsidRPr="00AC5779">
              <w:rPr>
                <w:rStyle w:val="CRRefonteDeleted"/>
                <w:color w:val="000000"/>
                <w:sz w:val="22"/>
                <w:highlight w:val="lightGray"/>
              </w:rPr>
              <w:t>ő</w:t>
            </w:r>
            <w:r w:rsidRPr="007E3B4E">
              <w:rPr>
                <w:rStyle w:val="CRRefonteDeleted"/>
                <w:rFonts w:ascii="inherit" w:hAnsi="inherit"/>
                <w:color w:val="000000"/>
                <w:sz w:val="22"/>
                <w:highlight w:val="lightGray"/>
              </w:rPr>
              <w:t>zegbrikett</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B30EE7"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16 000 — 16 800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4FA3D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0,382 — 0,401</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4E1727"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4,444 — 4,667</w:t>
            </w:r>
          </w:p>
        </w:tc>
      </w:tr>
      <w:tr w:rsidR="00C36C57" w:rsidRPr="007E3B4E" w14:paraId="586F70F1"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CFF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f</w:t>
            </w:r>
            <w:r w:rsidR="007E3B4E" w:rsidRPr="00AC5779">
              <w:rPr>
                <w:rStyle w:val="CRRefonteDeleted"/>
                <w:color w:val="000000"/>
                <w:sz w:val="22"/>
                <w:highlight w:val="lightGray"/>
              </w:rPr>
              <w:t>ű</w:t>
            </w:r>
            <w:r w:rsidRPr="007E3B4E">
              <w:rPr>
                <w:rStyle w:val="CRRefonteDeleted"/>
                <w:rFonts w:ascii="inherit" w:hAnsi="inherit"/>
                <w:color w:val="000000"/>
                <w:sz w:val="22"/>
                <w:highlight w:val="lightGray"/>
              </w:rPr>
              <w:t>t</w:t>
            </w:r>
            <w:r w:rsidR="007E3B4E" w:rsidRPr="00AC5779">
              <w:rPr>
                <w:rStyle w:val="CRRefonteDeleted"/>
                <w:color w:val="000000"/>
                <w:sz w:val="22"/>
                <w:highlight w:val="lightGray"/>
              </w:rPr>
              <w:t>ő</w:t>
            </w:r>
            <w:r w:rsidRPr="007E3B4E">
              <w:rPr>
                <w:rStyle w:val="CRRefonteDeleted"/>
                <w:rFonts w:ascii="inherit" w:hAnsi="inherit"/>
                <w:color w:val="000000"/>
                <w:sz w:val="22"/>
                <w:highlight w:val="lightGray"/>
              </w:rPr>
              <w:t>olaj (nehézolaj)</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0E657"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40 000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1171BF"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0,955</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57391"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11,111</w:t>
            </w:r>
          </w:p>
        </w:tc>
      </w:tr>
      <w:tr w:rsidR="00C36C57" w:rsidRPr="007E3B4E" w14:paraId="1D9F5D74"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CC3A3" w14:textId="77777777" w:rsidR="00C36C57" w:rsidRPr="007E3B4E" w:rsidRDefault="00C36C57" w:rsidP="007E3B4E">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könny</w:t>
            </w:r>
            <w:r w:rsidR="007E3B4E" w:rsidRPr="00AC5779">
              <w:rPr>
                <w:rStyle w:val="CRRefonteDeleted"/>
                <w:color w:val="000000"/>
                <w:sz w:val="22"/>
                <w:highlight w:val="lightGray"/>
              </w:rPr>
              <w:t>ű</w:t>
            </w:r>
            <w:r w:rsidRPr="007E3B4E">
              <w:rPr>
                <w:rStyle w:val="CRRefonteDeleted"/>
                <w:rFonts w:ascii="inherit" w:hAnsi="inherit"/>
                <w:color w:val="000000"/>
                <w:sz w:val="22"/>
                <w:highlight w:val="lightGray"/>
              </w:rPr>
              <w:t xml:space="preserve"> f</w:t>
            </w:r>
            <w:r w:rsidR="007E3B4E">
              <w:rPr>
                <w:rStyle w:val="CRRefonteDeleted"/>
                <w:rFonts w:ascii="inherit" w:hAnsi="inherit"/>
                <w:color w:val="000000"/>
                <w:sz w:val="22"/>
                <w:highlight w:val="lightGray"/>
              </w:rPr>
              <w:t>ű</w:t>
            </w:r>
            <w:r w:rsidRPr="007E3B4E">
              <w:rPr>
                <w:rStyle w:val="CRRefonteDeleted"/>
                <w:rFonts w:ascii="inherit" w:hAnsi="inherit"/>
                <w:color w:val="000000"/>
                <w:sz w:val="22"/>
                <w:highlight w:val="lightGray"/>
              </w:rPr>
              <w:t>t</w:t>
            </w:r>
            <w:r w:rsidR="007E3B4E" w:rsidRPr="00AC5779">
              <w:rPr>
                <w:rStyle w:val="CRRefonteDeleted"/>
                <w:color w:val="000000"/>
                <w:sz w:val="22"/>
                <w:highlight w:val="lightGray"/>
              </w:rPr>
              <w:t>ő</w:t>
            </w:r>
            <w:r w:rsidRPr="007E3B4E">
              <w:rPr>
                <w:rStyle w:val="CRRefonteDeleted"/>
                <w:rFonts w:ascii="inherit" w:hAnsi="inherit"/>
                <w:color w:val="000000"/>
                <w:sz w:val="22"/>
                <w:highlight w:val="lightGray"/>
              </w:rPr>
              <w:t>olaj</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FA283F"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42 300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6BF2B"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1,010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0BD00"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11,750</w:t>
            </w:r>
          </w:p>
        </w:tc>
      </w:tr>
      <w:tr w:rsidR="00C36C57" w:rsidRPr="007E3B4E" w14:paraId="53EB8FBC"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0E451"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motorbenzin (benzin)</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39B3E"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44 000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76C9F"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1,051</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0ED41A"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12,222</w:t>
            </w:r>
          </w:p>
        </w:tc>
      </w:tr>
      <w:tr w:rsidR="00C36C57" w:rsidRPr="007E3B4E" w14:paraId="3C1490DC"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5F22C"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paraffin</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83F0E"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40 000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7B0FD"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0,955</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D9686"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11,111</w:t>
            </w:r>
          </w:p>
        </w:tc>
      </w:tr>
      <w:tr w:rsidR="00C36C57" w:rsidRPr="007E3B4E" w14:paraId="09A5AD8B"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61D43"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LPG (cseppfolyósított propán-bután gáz)</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D8F46"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46 000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E34B0"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1,099</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82FFC"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12,778</w:t>
            </w:r>
          </w:p>
        </w:tc>
      </w:tr>
      <w:tr w:rsidR="00C36C57" w:rsidRPr="007E3B4E" w14:paraId="40650637"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F5C8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földgáz</w:t>
            </w:r>
            <w:hyperlink r:id="rId16" w:anchor="ntr2-L_2012315EN.01003401-E0002" w:history="1">
              <w:r w:rsidRPr="007E3B4E">
                <w:rPr>
                  <w:rStyle w:val="CRRefonteDeleted"/>
                  <w:rFonts w:ascii="inherit" w:hAnsi="inherit"/>
                  <w:color w:val="000000"/>
                  <w:sz w:val="22"/>
                  <w:highlight w:val="lightGray"/>
                </w:rPr>
                <w:t xml:space="preserve"> </w:t>
              </w:r>
              <w:r w:rsidRPr="007E3B4E">
                <w:rPr>
                  <w:rStyle w:val="CRRefonteDeleted"/>
                  <w:rFonts w:ascii="inherit" w:hAnsi="inherit"/>
                  <w:color w:val="3366CC"/>
                  <w:sz w:val="22"/>
                  <w:highlight w:val="lightGray"/>
                  <w:u w:val="single"/>
                </w:rPr>
                <w:t>(</w:t>
              </w:r>
              <w:r w:rsidRPr="007E3B4E">
                <w:rPr>
                  <w:rStyle w:val="CRRefonteDeleted"/>
                  <w:rFonts w:ascii="inherit" w:hAnsi="inherit"/>
                  <w:color w:val="3366CC"/>
                  <w:sz w:val="15"/>
                  <w:highlight w:val="lightGray"/>
                  <w:vertAlign w:val="superscript"/>
                </w:rPr>
                <w:t>2</w:t>
              </w:r>
              <w:r w:rsidRPr="007E3B4E">
                <w:rPr>
                  <w:rStyle w:val="CRRefonteDeleted"/>
                  <w:rFonts w:ascii="inherit" w:hAnsi="inherit"/>
                  <w:color w:val="3366CC"/>
                  <w:sz w:val="22"/>
                  <w:highlight w:val="lightGray"/>
                  <w:u w:val="single"/>
                </w:rPr>
                <w:t>)</w:t>
              </w:r>
            </w:hyperlink>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E69C2"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47 200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C1DD5"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1,126</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12C80"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13,10</w:t>
            </w:r>
          </w:p>
        </w:tc>
      </w:tr>
      <w:tr w:rsidR="00C36C57" w:rsidRPr="007E3B4E" w14:paraId="5DD3853B"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C378B"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LNG (cseppfolyósított földgáz)</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DBC3A3"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45 190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D0CAC"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1,079</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BEEC3"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12,553</w:t>
            </w:r>
          </w:p>
        </w:tc>
      </w:tr>
      <w:tr w:rsidR="00C36C57" w:rsidRPr="007E3B4E" w14:paraId="24754065"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AB12D6"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fa (25 %-os nedvességtartalmú)</w:t>
            </w:r>
            <w:hyperlink r:id="rId17" w:anchor="ntr3-L_2012315EN.01003401-E0003" w:history="1">
              <w:r w:rsidRPr="007E3B4E">
                <w:rPr>
                  <w:rStyle w:val="CRRefonteDeleted"/>
                  <w:rFonts w:ascii="inherit" w:hAnsi="inherit"/>
                  <w:color w:val="000000"/>
                  <w:sz w:val="22"/>
                  <w:highlight w:val="lightGray"/>
                </w:rPr>
                <w:t xml:space="preserve"> </w:t>
              </w:r>
              <w:r w:rsidRPr="007E3B4E">
                <w:rPr>
                  <w:rStyle w:val="CRRefonteDeleted"/>
                  <w:rFonts w:ascii="inherit" w:hAnsi="inherit"/>
                  <w:color w:val="3366CC"/>
                  <w:sz w:val="22"/>
                  <w:highlight w:val="lightGray"/>
                  <w:u w:val="single"/>
                </w:rPr>
                <w:t>(</w:t>
              </w:r>
              <w:r w:rsidRPr="007E3B4E">
                <w:rPr>
                  <w:rStyle w:val="CRRefonteDeleted"/>
                  <w:rFonts w:ascii="inherit" w:hAnsi="inherit"/>
                  <w:color w:val="3366CC"/>
                  <w:sz w:val="15"/>
                  <w:highlight w:val="lightGray"/>
                  <w:vertAlign w:val="superscript"/>
                </w:rPr>
                <w:t>3</w:t>
              </w:r>
              <w:r w:rsidRPr="007E3B4E">
                <w:rPr>
                  <w:rStyle w:val="CRRefonteDeleted"/>
                  <w:rFonts w:ascii="inherit" w:hAnsi="inherit"/>
                  <w:color w:val="3366CC"/>
                  <w:sz w:val="22"/>
                  <w:highlight w:val="lightGray"/>
                  <w:u w:val="single"/>
                </w:rPr>
                <w:t>)</w:t>
              </w:r>
            </w:hyperlink>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E4C85"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13 800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6DAC"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0,330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E33C7"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3,833</w:t>
            </w:r>
          </w:p>
        </w:tc>
      </w:tr>
      <w:tr w:rsidR="00C36C57" w:rsidRPr="007E3B4E" w14:paraId="213985EC"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343A22"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pellet/fabrikett</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A70338"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16 800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33F28"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0,401</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AA3C5"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4,667</w:t>
            </w:r>
          </w:p>
        </w:tc>
      </w:tr>
      <w:tr w:rsidR="00C36C57" w:rsidRPr="007E3B4E" w14:paraId="54EF13F1"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381E8"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kg hulladék</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B6C95"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7 400 — 10 700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17F05"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0,177 — 0,256</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A2DC6C"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2,056 — 2,972</w:t>
            </w:r>
          </w:p>
        </w:tc>
      </w:tr>
      <w:tr w:rsidR="00C36C57" w:rsidRPr="007E3B4E" w14:paraId="483A2433"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CF65D"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MJ derived heat</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4A9E"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1 000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F5A8D"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0,024</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1B42E"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0,278</w:t>
            </w:r>
          </w:p>
        </w:tc>
      </w:tr>
      <w:tr w:rsidR="00C36C57" w:rsidRPr="007E3B4E" w14:paraId="5C76873E" w14:textId="77777777" w:rsidTr="007D0A7F">
        <w:tc>
          <w:tcPr>
            <w:tcW w:w="61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B8A0C" w14:textId="77777777" w:rsidR="00C36C57" w:rsidRPr="007E3B4E" w:rsidRDefault="00C36C57" w:rsidP="00C36C57">
            <w:pPr>
              <w:spacing w:before="60" w:after="60"/>
              <w:jc w:val="lef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kWh electrical energy</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BE02C"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3 600</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13F4E5"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0,086</w:t>
            </w:r>
          </w:p>
        </w:tc>
        <w:tc>
          <w:tcPr>
            <w:tcW w:w="1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6A0E0" w14:textId="77777777" w:rsidR="00C36C57" w:rsidRPr="007E3B4E" w:rsidRDefault="00C36C57" w:rsidP="00C36C57">
            <w:pPr>
              <w:spacing w:before="60" w:after="60"/>
              <w:ind w:right="195"/>
              <w:jc w:val="right"/>
              <w:rPr>
                <w:rStyle w:val="CRRefonteDeleted"/>
                <w:rFonts w:ascii="inherit" w:hAnsi="inherit"/>
                <w:color w:val="000000"/>
                <w:sz w:val="22"/>
                <w:highlight w:val="lightGray"/>
              </w:rPr>
            </w:pPr>
            <w:r w:rsidRPr="007E3B4E">
              <w:rPr>
                <w:rStyle w:val="CRRefonteDeleted"/>
                <w:rFonts w:ascii="inherit" w:hAnsi="inherit"/>
                <w:color w:val="000000"/>
                <w:sz w:val="22"/>
                <w:highlight w:val="lightGray"/>
              </w:rPr>
              <w:t>1 </w:t>
            </w:r>
            <w:r w:rsidRPr="007E3B4E">
              <w:rPr>
                <w:rStyle w:val="CRRefonteDeleted"/>
                <w:rFonts w:ascii="inherit" w:hAnsi="inherit"/>
                <w:color w:val="3366CC"/>
                <w:sz w:val="22"/>
                <w:highlight w:val="lightGray"/>
                <w:u w:val="single"/>
              </w:rPr>
              <w:t>(</w:t>
            </w:r>
            <w:r w:rsidRPr="007E3B4E">
              <w:rPr>
                <w:rStyle w:val="CRRefonteDeleted"/>
                <w:rFonts w:ascii="inherit" w:hAnsi="inherit"/>
                <w:color w:val="3366CC"/>
                <w:sz w:val="15"/>
                <w:highlight w:val="lightGray"/>
                <w:vertAlign w:val="superscript"/>
              </w:rPr>
              <w:t>4</w:t>
            </w:r>
            <w:r w:rsidRPr="007E3B4E">
              <w:rPr>
                <w:rStyle w:val="CRRefonteDeleted"/>
                <w:rFonts w:ascii="inherit" w:hAnsi="inherit"/>
                <w:color w:val="3366CC"/>
                <w:sz w:val="22"/>
                <w:highlight w:val="lightGray"/>
                <w:u w:val="single"/>
              </w:rPr>
              <w:t>)</w:t>
            </w:r>
          </w:p>
        </w:tc>
      </w:tr>
      <w:tr w:rsidR="00C36C57" w:rsidRPr="007E3B4E" w14:paraId="102489DB" w14:textId="77777777" w:rsidTr="00C36C57">
        <w:tc>
          <w:tcPr>
            <w:tcW w:w="0" w:type="auto"/>
            <w:gridSpan w:val="4"/>
            <w:tcBorders>
              <w:top w:val="single" w:sz="6" w:space="0" w:color="DDE7EB"/>
            </w:tcBorders>
            <w:shd w:val="clear" w:color="auto" w:fill="FFFFFF"/>
            <w:tcMar>
              <w:top w:w="120" w:type="dxa"/>
              <w:left w:w="120" w:type="dxa"/>
              <w:bottom w:w="120" w:type="dxa"/>
              <w:right w:w="120" w:type="dxa"/>
            </w:tcMar>
            <w:hideMark/>
          </w:tcPr>
          <w:p w14:paraId="4A2F3582" w14:textId="77777777" w:rsidR="00C36C57" w:rsidRPr="007E3B4E" w:rsidRDefault="00C36C57" w:rsidP="00C36C57">
            <w:pPr>
              <w:numPr>
                <w:ilvl w:val="0"/>
                <w:numId w:val="1"/>
              </w:numPr>
              <w:tabs>
                <w:tab w:val="clear" w:pos="360"/>
              </w:tabs>
              <w:spacing w:after="0"/>
              <w:ind w:left="0" w:firstLine="0"/>
              <w:rPr>
                <w:rStyle w:val="CRRefonteDeleted"/>
                <w:rFonts w:ascii="inherit" w:hAnsi="inherit"/>
                <w:color w:val="000000"/>
                <w:highlight w:val="lightGray"/>
              </w:rPr>
            </w:pPr>
            <w:r w:rsidRPr="007E3B4E">
              <w:rPr>
                <w:rStyle w:val="CRRefonteDeleted"/>
                <w:rFonts w:ascii="inherit" w:hAnsi="inherit"/>
                <w:i/>
                <w:color w:val="000000"/>
                <w:highlight w:val="lightGray"/>
              </w:rPr>
              <w:t>Forrás: </w:t>
            </w:r>
            <w:r w:rsidRPr="007E3B4E">
              <w:rPr>
                <w:rStyle w:val="CRRefonteDeleted"/>
                <w:rFonts w:ascii="inherit" w:hAnsi="inherit"/>
                <w:color w:val="000000"/>
                <w:highlight w:val="lightGray"/>
              </w:rPr>
              <w:t>Eurostat.</w:t>
            </w:r>
          </w:p>
        </w:tc>
      </w:tr>
    </w:tbl>
    <w:p w14:paraId="64C950ED" w14:textId="77777777" w:rsidR="00C36C57" w:rsidRPr="007E3B4E" w:rsidRDefault="009C3D5C" w:rsidP="00C36C57">
      <w:pPr>
        <w:spacing w:before="240" w:after="60"/>
        <w:jc w:val="left"/>
        <w:rPr>
          <w:rStyle w:val="CRRefonteDeleted"/>
          <w:highlight w:val="lightGray"/>
        </w:rPr>
      </w:pPr>
      <w:r>
        <w:rPr>
          <w:rStyle w:val="CRRefonteDeleted"/>
          <w:highlight w:val="lightGray"/>
        </w:rPr>
        <w:pict w14:anchorId="53EBF8C6">
          <v:rect id="_x0000_i1026" style="width:168.8pt;height:.75pt" o:hrpct="0" o:hrstd="t" o:hrnoshade="t" o:hr="t" fillcolor="black" stroked="f"/>
        </w:pict>
      </w:r>
    </w:p>
    <w:p w14:paraId="1A32810C" w14:textId="77777777" w:rsidR="00C36C57" w:rsidRPr="007E3B4E" w:rsidRDefault="00C36C57" w:rsidP="00C36C57">
      <w:pPr>
        <w:shd w:val="clear" w:color="auto" w:fill="FFFFFF"/>
        <w:spacing w:before="60" w:after="60"/>
        <w:rPr>
          <w:rStyle w:val="CRRefonteDeleted"/>
          <w:color w:val="000000"/>
          <w:sz w:val="19"/>
          <w:highlight w:val="lightGray"/>
        </w:rPr>
      </w:pPr>
      <w:r w:rsidRPr="007E3B4E">
        <w:rPr>
          <w:rStyle w:val="CRRefonteDeleted"/>
          <w:color w:val="3366CC"/>
          <w:sz w:val="19"/>
          <w:highlight w:val="lightGray"/>
          <w:u w:val="single"/>
        </w:rPr>
        <w:t>(</w:t>
      </w:r>
      <w:r w:rsidRPr="007E3B4E">
        <w:rPr>
          <w:rStyle w:val="CRRefonteDeleted"/>
          <w:color w:val="3366CC"/>
          <w:sz w:val="13"/>
          <w:highlight w:val="lightGray"/>
          <w:vertAlign w:val="superscript"/>
        </w:rPr>
        <w:t>1</w:t>
      </w:r>
      <w:r w:rsidRPr="007E3B4E">
        <w:rPr>
          <w:rStyle w:val="CRRefonteDeleted"/>
          <w:color w:val="3366CC"/>
          <w:sz w:val="19"/>
          <w:highlight w:val="lightGray"/>
          <w:u w:val="single"/>
        </w:rPr>
        <w:t>)</w:t>
      </w:r>
      <w:r w:rsidRPr="007E3B4E">
        <w:rPr>
          <w:rStyle w:val="CRRefonteDeleted"/>
          <w:color w:val="000000"/>
          <w:sz w:val="19"/>
          <w:highlight w:val="lightGray"/>
        </w:rPr>
        <w:t>  A tagállamok indokolt esetben alkalmazhatnak eltérő átváltási tényezőket.</w:t>
      </w:r>
    </w:p>
    <w:p w14:paraId="1E8D60E2" w14:textId="77777777" w:rsidR="00C36C57" w:rsidRPr="007E3B4E" w:rsidRDefault="00C36C57" w:rsidP="00C36C57">
      <w:pPr>
        <w:shd w:val="clear" w:color="auto" w:fill="FFFFFF"/>
        <w:spacing w:before="60" w:after="60"/>
        <w:rPr>
          <w:rStyle w:val="CRRefonteDeleted"/>
          <w:color w:val="000000"/>
          <w:sz w:val="19"/>
          <w:highlight w:val="lightGray"/>
        </w:rPr>
      </w:pPr>
      <w:r w:rsidRPr="007E3B4E">
        <w:rPr>
          <w:rStyle w:val="CRRefonteDeleted"/>
          <w:color w:val="3366CC"/>
          <w:sz w:val="19"/>
          <w:highlight w:val="lightGray"/>
          <w:u w:val="single"/>
        </w:rPr>
        <w:t>(</w:t>
      </w:r>
      <w:r w:rsidRPr="007E3B4E">
        <w:rPr>
          <w:rStyle w:val="CRRefonteDeleted"/>
          <w:color w:val="3366CC"/>
          <w:sz w:val="13"/>
          <w:highlight w:val="lightGray"/>
          <w:vertAlign w:val="superscript"/>
        </w:rPr>
        <w:t>2</w:t>
      </w:r>
      <w:r w:rsidRPr="007E3B4E">
        <w:rPr>
          <w:rStyle w:val="CRRefonteDeleted"/>
          <w:color w:val="3366CC"/>
          <w:sz w:val="19"/>
          <w:highlight w:val="lightGray"/>
          <w:u w:val="single"/>
        </w:rPr>
        <w:t>)  </w:t>
      </w:r>
      <w:r w:rsidRPr="007E3B4E">
        <w:rPr>
          <w:rStyle w:val="CRRefonteDeleted"/>
          <w:color w:val="000000"/>
          <w:sz w:val="19"/>
          <w:highlight w:val="lightGray"/>
        </w:rPr>
        <w:t>93 % metán.</w:t>
      </w:r>
    </w:p>
    <w:p w14:paraId="30CA886F" w14:textId="77777777" w:rsidR="00C36C57" w:rsidRPr="007E3B4E" w:rsidRDefault="00C36C57" w:rsidP="00C36C57">
      <w:pPr>
        <w:shd w:val="clear" w:color="auto" w:fill="FFFFFF"/>
        <w:spacing w:before="60" w:after="60"/>
        <w:rPr>
          <w:rStyle w:val="CRRefonteDeleted"/>
          <w:color w:val="000000"/>
          <w:sz w:val="19"/>
          <w:highlight w:val="lightGray"/>
        </w:rPr>
      </w:pPr>
      <w:r w:rsidRPr="007E3B4E">
        <w:rPr>
          <w:rStyle w:val="CRRefonteDeleted"/>
          <w:color w:val="3366CC"/>
          <w:sz w:val="19"/>
          <w:highlight w:val="lightGray"/>
          <w:u w:val="single"/>
        </w:rPr>
        <w:t>(</w:t>
      </w:r>
      <w:r w:rsidRPr="007E3B4E">
        <w:rPr>
          <w:rStyle w:val="CRRefonteDeleted"/>
          <w:color w:val="3366CC"/>
          <w:sz w:val="13"/>
          <w:highlight w:val="lightGray"/>
          <w:vertAlign w:val="superscript"/>
        </w:rPr>
        <w:t>3</w:t>
      </w:r>
      <w:r w:rsidRPr="007E3B4E">
        <w:rPr>
          <w:rStyle w:val="CRRefonteDeleted"/>
          <w:color w:val="3366CC"/>
          <w:sz w:val="19"/>
          <w:highlight w:val="lightGray"/>
          <w:u w:val="single"/>
        </w:rPr>
        <w:t>)  </w:t>
      </w:r>
      <w:r w:rsidRPr="007E3B4E">
        <w:rPr>
          <w:rStyle w:val="CRRefonteDeleted"/>
          <w:color w:val="000000"/>
          <w:sz w:val="19"/>
          <w:highlight w:val="lightGray"/>
        </w:rPr>
        <w:t>Akkor alkalmazandó, ha az energiamegtakarítást a primer energia viszonylatában számítják ki a végsőenergia-fogyasztáson alapuló, alulról építkező módszer alkalmazásával. A kWh-ban kifejezett villamosenergia-megtakarítás esetében a tagállamok olyan együtthatót alkalmaznak, amelyet átlátható módszerrel állapítanak meg a primerenergia-fogyasztást befolyásoló nemzeti körülmények alapján, a tényleges megtakarítások pontos kiszámításának biztosítása érekében. Az említett körülményeknek alátámasztottnak és ellenőrizhetőnek kell lenniük, valamint objektív és megkülönböztetésmentes kritériumokon kell alapulniuk. A kWh-ban kifejezett villamosenergia-megtakarítás esetében a tagállamok alapértelmezett 2,1-es együtthatót alkalmazhatnak vagy élhetnek az ettől eltérő együttható meghatározására vonatkozó mérlegelési jogkörükkel, feltéve, hogy azt meg tudják indokolni. Ennek során a tagállamok figyelembe veszik az integrált nemzeti energia- és klímaterveikben foglalt energiamixüket, amely tervekről az (EU) 2018/1999 rendelettel összhangban a Bizottságot értesíteni kell. 2022. december 25-ig és azt követően négyévente a Bizottság a megfigyelt adatok alapján felülvizsgálja az alapértelmezett együtthatót. Ezen átdolgozás során figyelembe kell venni annak a más uniós jogra, például a 2009/125/EK irányelvre és az energiacímkézés keretének meghatározásáról és a 2010/30/EU irányelv hatályon kívül helyezéséről szóló, 2017. július 4-i (EU) 2017/1369 európai parlamenti és tanácsi rendeletre (HL L 198., 2017.7.28., 1. o.) gyakorolt hatásait.</w:t>
      </w:r>
    </w:p>
    <w:p w14:paraId="64E0C4FE" w14:textId="77777777" w:rsidR="00C36C57" w:rsidRPr="007E3B4E" w:rsidRDefault="009C3D5C" w:rsidP="00C36C57">
      <w:pPr>
        <w:shd w:val="clear" w:color="auto" w:fill="FFFFFF"/>
        <w:spacing w:before="60" w:after="60"/>
        <w:rPr>
          <w:rStyle w:val="CRRefonteDeleted"/>
          <w:color w:val="000000"/>
          <w:sz w:val="19"/>
          <w:highlight w:val="lightGray"/>
        </w:rPr>
      </w:pPr>
      <w:hyperlink r:id="rId18" w:anchor="ntc4-L_2012315EN.01003401-E0004" w:history="1">
        <w:r w:rsidR="000F1589" w:rsidRPr="007E3B4E">
          <w:rPr>
            <w:rStyle w:val="CRRefonteDeleted"/>
            <w:color w:val="3366CC"/>
            <w:sz w:val="19"/>
            <w:highlight w:val="lightGray"/>
            <w:u w:val="single"/>
          </w:rPr>
          <w:t>(</w:t>
        </w:r>
        <w:r w:rsidR="000F1589" w:rsidRPr="007E3B4E">
          <w:rPr>
            <w:rStyle w:val="CRRefonteDeleted"/>
            <w:color w:val="3366CC"/>
            <w:sz w:val="13"/>
            <w:highlight w:val="lightGray"/>
            <w:vertAlign w:val="superscript"/>
          </w:rPr>
          <w:t>4</w:t>
        </w:r>
        <w:r w:rsidR="000F1589" w:rsidRPr="007E3B4E">
          <w:rPr>
            <w:rStyle w:val="CRRefonteDeleted"/>
            <w:color w:val="3366CC"/>
            <w:sz w:val="19"/>
            <w:highlight w:val="lightGray"/>
            <w:u w:val="single"/>
          </w:rPr>
          <w:t>)  </w:t>
        </w:r>
      </w:hyperlink>
      <w:r w:rsidR="000F1589" w:rsidRPr="007E3B4E">
        <w:rPr>
          <w:rStyle w:val="CRRefonteDeleted"/>
          <w:color w:val="000000"/>
          <w:sz w:val="19"/>
          <w:highlight w:val="lightGray"/>
        </w:rPr>
        <w:t>Akkor alkalmazandó, ha az energiamegtakarítást a primer energia viszonylatában számítják ki a végsőenergia-fogyasztáson alapuló, alulról építkező módszer alkalmazásával. A kWh-ban kifejezett villamosenergia-megtakarítás esetében a tagállamok alapértelmezett 2,5-ös együtthatót alkalmazhatnak. A tagállamok alkalmazhatnak eltérő együtthatót, amennyiben azt meg tudják indokolni.</w:t>
      </w:r>
    </w:p>
    <w:p w14:paraId="1DF226BB" w14:textId="77777777" w:rsidR="00A05BB8" w:rsidRPr="007E3B4E" w:rsidRDefault="00A05BB8" w:rsidP="00A05BB8">
      <w:pPr>
        <w:jc w:val="center"/>
        <w:rPr>
          <w:rStyle w:val="CRRefonteDeleted"/>
          <w:highlight w:val="lightGray"/>
        </w:rPr>
      </w:pPr>
      <w:r w:rsidRPr="007E3B4E">
        <w:rPr>
          <w:rStyle w:val="CRRefonteDeleted"/>
          <w:highlight w:val="lightGray"/>
        </w:rPr>
        <w:t>_____________</w:t>
      </w:r>
    </w:p>
    <w:p w14:paraId="6DC4A155"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2B6E2C12" w14:textId="77777777" w:rsidR="00DB73A0" w:rsidRPr="007E3B4E" w:rsidRDefault="00DB73A0" w:rsidP="00DB73A0">
      <w:pPr>
        <w:pStyle w:val="CRSeparator"/>
      </w:pPr>
    </w:p>
    <w:p w14:paraId="3C9D817C"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017D4ED0" w14:textId="77777777" w:rsidR="00DB73A0" w:rsidRPr="007E3B4E" w:rsidRDefault="00DB73A0" w:rsidP="00A05BB8">
      <w:pPr>
        <w:pStyle w:val="Annexetitre"/>
      </w:pPr>
      <w:r w:rsidRPr="007E3B4E">
        <w:t>V. MELLÉKLET</w:t>
      </w:r>
    </w:p>
    <w:p w14:paraId="3F453018" w14:textId="77777777" w:rsidR="00DB73A0" w:rsidRPr="007E3B4E" w:rsidRDefault="00DB73A0" w:rsidP="00DB73A0">
      <w:pPr>
        <w:pStyle w:val="ManualHeading1"/>
        <w:tabs>
          <w:tab w:val="clear" w:pos="850"/>
        </w:tabs>
        <w:ind w:left="851" w:hanging="851"/>
      </w:pPr>
      <w:r w:rsidRPr="007E3B4E">
        <w:t xml:space="preserve">Közös módszerek és elvek a </w:t>
      </w:r>
      <w:r w:rsidRPr="007E3B4E">
        <w:rPr>
          <w:rStyle w:val="CRMinorChangeAdded"/>
        </w:rPr>
        <w:t>8</w:t>
      </w:r>
      <w:r w:rsidRPr="007E3B4E">
        <w:rPr>
          <w:rStyle w:val="CRMinorChangeDeleted"/>
        </w:rPr>
        <w:t>7</w:t>
      </w:r>
      <w:r w:rsidRPr="007E3B4E">
        <w:t xml:space="preserve">., a </w:t>
      </w:r>
      <w:r w:rsidRPr="007E3B4E">
        <w:rPr>
          <w:rStyle w:val="CRMinorChangeAdded"/>
        </w:rPr>
        <w:t>9</w:t>
      </w:r>
      <w:r w:rsidRPr="007E3B4E">
        <w:rPr>
          <w:rStyle w:val="CRMinorChangeDeleted"/>
        </w:rPr>
        <w:t>7a</w:t>
      </w:r>
      <w:r w:rsidRPr="007E3B4E">
        <w:t xml:space="preserve">. és a </w:t>
      </w:r>
      <w:r w:rsidRPr="007E3B4E">
        <w:rPr>
          <w:rStyle w:val="CRMinorChangeAdded"/>
        </w:rPr>
        <w:t>10</w:t>
      </w:r>
      <w:r w:rsidRPr="007E3B4E">
        <w:rPr>
          <w:rStyle w:val="CRMinorChangeDeleted"/>
        </w:rPr>
        <w:t>7b</w:t>
      </w:r>
      <w:r w:rsidRPr="007E3B4E">
        <w:t xml:space="preserve">. cikk, valamint a </w:t>
      </w:r>
      <w:r w:rsidRPr="007E3B4E">
        <w:rPr>
          <w:rStyle w:val="CRMinorChangeAdded"/>
        </w:rPr>
        <w:t>28</w:t>
      </w:r>
      <w:r w:rsidRPr="007E3B4E">
        <w:rPr>
          <w:rStyle w:val="CRMinorChangeDeleted"/>
        </w:rPr>
        <w:t>20</w:t>
      </w:r>
      <w:r w:rsidRPr="007E3B4E">
        <w:t xml:space="preserve">. cikk </w:t>
      </w:r>
      <w:r w:rsidRPr="007E3B4E">
        <w:rPr>
          <w:rStyle w:val="CRMinorChangeAdded"/>
        </w:rPr>
        <w:t>(11)</w:t>
      </w:r>
      <w:r w:rsidRPr="007E3B4E">
        <w:rPr>
          <w:rStyle w:val="CRMinorChangeDeleted"/>
        </w:rPr>
        <w:t>(6)</w:t>
      </w:r>
      <w:r w:rsidRPr="007E3B4E">
        <w:t xml:space="preserve"> bekezdése szerinti energiahatékonysági kötelezettségi rendszerek vagy más szakpolitikai intézkedések hatásának kiszámításához</w:t>
      </w:r>
    </w:p>
    <w:p w14:paraId="5C52DAD7" w14:textId="77777777" w:rsidR="00DB73A0" w:rsidRPr="007E3B4E" w:rsidRDefault="00DB73A0" w:rsidP="00A05BB8">
      <w:pPr>
        <w:pStyle w:val="Point0"/>
      </w:pPr>
      <w:r w:rsidRPr="007E3B4E">
        <w:t>1.</w:t>
      </w:r>
      <w:r w:rsidRPr="007E3B4E">
        <w:tab/>
        <w:t xml:space="preserve">Módszerek az adózási intézkedésekből származóktól eltérő energiamegtakarításnak a </w:t>
      </w:r>
      <w:r w:rsidRPr="007E3B4E">
        <w:rPr>
          <w:rStyle w:val="CRMinorChangeAdded"/>
        </w:rPr>
        <w:t>8</w:t>
      </w:r>
      <w:r w:rsidRPr="007E3B4E">
        <w:rPr>
          <w:rStyle w:val="CRMinorChangeDeleted"/>
        </w:rPr>
        <w:t>7</w:t>
      </w:r>
      <w:r w:rsidRPr="007E3B4E">
        <w:t xml:space="preserve">., a </w:t>
      </w:r>
      <w:r w:rsidRPr="007E3B4E">
        <w:rPr>
          <w:rStyle w:val="CRMinorChangeAdded"/>
        </w:rPr>
        <w:t>9</w:t>
      </w:r>
      <w:r w:rsidRPr="007E3B4E">
        <w:rPr>
          <w:rStyle w:val="CRMinorChangeDeleted"/>
        </w:rPr>
        <w:t>7a</w:t>
      </w:r>
      <w:r w:rsidRPr="007E3B4E">
        <w:t xml:space="preserve">. és a </w:t>
      </w:r>
      <w:r w:rsidRPr="007E3B4E">
        <w:rPr>
          <w:rStyle w:val="CRMinorChangeAdded"/>
        </w:rPr>
        <w:t>10</w:t>
      </w:r>
      <w:r w:rsidRPr="007E3B4E">
        <w:rPr>
          <w:rStyle w:val="CRMinorChangeDeleted"/>
        </w:rPr>
        <w:t>7b</w:t>
      </w:r>
      <w:r w:rsidRPr="007E3B4E">
        <w:t xml:space="preserve">. cikk, valamint a </w:t>
      </w:r>
      <w:r w:rsidRPr="007E3B4E">
        <w:rPr>
          <w:rStyle w:val="CRMinorChangeAdded"/>
        </w:rPr>
        <w:t>28</w:t>
      </w:r>
      <w:r w:rsidRPr="007E3B4E">
        <w:rPr>
          <w:rStyle w:val="CRMinorChangeDeleted"/>
        </w:rPr>
        <w:t>20</w:t>
      </w:r>
      <w:r w:rsidRPr="007E3B4E">
        <w:t xml:space="preserve">. cikk </w:t>
      </w:r>
      <w:r w:rsidRPr="007E3B4E">
        <w:rPr>
          <w:rStyle w:val="CRMinorChangeAdded"/>
        </w:rPr>
        <w:t>(11)</w:t>
      </w:r>
      <w:r w:rsidRPr="007E3B4E">
        <w:rPr>
          <w:rStyle w:val="CRMinorChangeDeleted"/>
        </w:rPr>
        <w:t>(6)</w:t>
      </w:r>
      <w:r w:rsidRPr="007E3B4E">
        <w:t xml:space="preserve"> bekezdése alkalmazásában történő kiszámításához.</w:t>
      </w:r>
    </w:p>
    <w:p w14:paraId="71A25267" w14:textId="77777777" w:rsidR="00DB73A0" w:rsidRPr="007E3B4E" w:rsidRDefault="00DB73A0" w:rsidP="00A05BB8">
      <w:pPr>
        <w:pStyle w:val="Text1"/>
      </w:pPr>
      <w:r w:rsidRPr="007E3B4E">
        <w:t>A kötelezett, a részt vevő vagy a megbízott felek, illetve a végrehajtó állami hatóságok az energiamegtakarítás kiszámításához az alábbi módszereket alkalmazhatják:</w:t>
      </w:r>
    </w:p>
    <w:p w14:paraId="7B40339F" w14:textId="77777777" w:rsidR="00DB73A0" w:rsidRPr="007E3B4E" w:rsidRDefault="00DB73A0" w:rsidP="00A05BB8">
      <w:pPr>
        <w:pStyle w:val="Point1"/>
      </w:pPr>
      <w:r w:rsidRPr="007E3B4E">
        <w:t>a)</w:t>
      </w:r>
      <w:r w:rsidRPr="007E3B4E">
        <w:tab/>
        <w:t>várható energiamegtakarítás, hasonló létesítményekben végrehajtott korábbi, függetlenül ellenőrzött energiafejlesztések eredményeire tett hivatkozással. Az általános megközelítés „előzetes” megközelítésnek minősül;</w:t>
      </w:r>
    </w:p>
    <w:p w14:paraId="690964DA" w14:textId="77777777" w:rsidR="00DB73A0" w:rsidRPr="007E3B4E" w:rsidRDefault="00DB73A0" w:rsidP="00A05BB8">
      <w:pPr>
        <w:pStyle w:val="Point1"/>
      </w:pPr>
      <w:r w:rsidRPr="007E3B4E">
        <w:t>b)</w:t>
      </w:r>
      <w:r w:rsidRPr="007E3B4E">
        <w:tab/>
        <w:t>mért megtakarítás, amikor az intézkedés vagy intézkedéscsomag megvalósítása nyomán elért megtakarítás úgy kerül meghatározásra, hogy rögzítik az energiafelhasználás tényleges csökkenését, kellően figyelembe véve olyan, a fogyasztást befolyásolható tényezőket, mint az addicionalitás, a kihasználtság, a termelési szintek és az időjárás. Az általános megközelítés „utólagos” megközelítésnek minősül;</w:t>
      </w:r>
    </w:p>
    <w:p w14:paraId="286EF668" w14:textId="77777777" w:rsidR="00DB73A0" w:rsidRPr="007E3B4E" w:rsidRDefault="00DB73A0" w:rsidP="00A05BB8">
      <w:pPr>
        <w:pStyle w:val="Point1"/>
      </w:pPr>
      <w:r w:rsidRPr="007E3B4E">
        <w:t>c)</w:t>
      </w:r>
      <w:r w:rsidRPr="007E3B4E">
        <w:tab/>
        <w:t>nagyságrendi megtakarítás, ahol a megtakarítások műszaki becslését alkalmazzák. Ez a megközelítés csak akkor alkalmazható, amikor egy adott létesítmény tekintetében nehéz vagy aránytalanul költséges megbízható mért adatokat megállapítani; ilyen eset például egy attól eltérő kWh teljesítményű kompresszor vagy elektromos motor cseréje, mint amellyel kapcsolatban független megtakarítási adatokat mértek, vagy ha a szóban forgó becsléseket nemzeti szinten meghatározott módszertanok és referenciaértékek alapján végezték olyan, képesítéssel vagy akkreditációval rendelkező szakértők, akik függetlenek az érintett kötelezett, részt vevő vagy megbízott felektől;</w:t>
      </w:r>
    </w:p>
    <w:p w14:paraId="43EFCD3F" w14:textId="77777777" w:rsidR="00DB73A0" w:rsidRPr="007E3B4E" w:rsidRDefault="00DB73A0" w:rsidP="00A05BB8">
      <w:pPr>
        <w:pStyle w:val="Point1"/>
      </w:pPr>
      <w:r w:rsidRPr="007E3B4E">
        <w:t>d)</w:t>
      </w:r>
      <w:r w:rsidRPr="007E3B4E">
        <w:tab/>
        <w:t>felmérésen alapuló megtakarítás, amikor a fogyasztóknak a tanácsokra, tájékoztató kampányokra, címkézési vagy tanúsítási rendszerekre vagy az okos mérésre adott reakcióit mérik fel. Ez a megközelítés csak a fogyasztói magatartás változásából fakadó megtakarítások esetében alkalmazható. Nem használható a fizikai intézkedések foganatosításából adódó megtakarításokra.</w:t>
      </w:r>
    </w:p>
    <w:p w14:paraId="61A1BF14" w14:textId="77777777" w:rsidR="00DB73A0" w:rsidRPr="007E3B4E" w:rsidRDefault="00DB73A0" w:rsidP="00A05BB8">
      <w:pPr>
        <w:pStyle w:val="Point0"/>
      </w:pPr>
      <w:r w:rsidRPr="007E3B4E">
        <w:t>2.</w:t>
      </w:r>
      <w:r w:rsidRPr="007E3B4E">
        <w:tab/>
        <w:t xml:space="preserve">Az energiahatékonysági intézkedéshez fűződő, a </w:t>
      </w:r>
      <w:r w:rsidRPr="007E3B4E">
        <w:rPr>
          <w:rStyle w:val="CRMinorChangeAdded"/>
        </w:rPr>
        <w:t>8</w:t>
      </w:r>
      <w:r w:rsidRPr="007E3B4E">
        <w:rPr>
          <w:rStyle w:val="CRMinorChangeDeleted"/>
        </w:rPr>
        <w:t>7</w:t>
      </w:r>
      <w:r w:rsidRPr="007E3B4E">
        <w:t xml:space="preserve">. cikk, a </w:t>
      </w:r>
      <w:r w:rsidRPr="007E3B4E">
        <w:rPr>
          <w:rStyle w:val="CRMinorChangeAdded"/>
        </w:rPr>
        <w:t>9</w:t>
      </w:r>
      <w:r w:rsidRPr="007E3B4E">
        <w:rPr>
          <w:rStyle w:val="CRMinorChangeDeleted"/>
        </w:rPr>
        <w:t>7a</w:t>
      </w:r>
      <w:r w:rsidRPr="007E3B4E">
        <w:t xml:space="preserve">. és a </w:t>
      </w:r>
      <w:r w:rsidRPr="007E3B4E">
        <w:rPr>
          <w:rStyle w:val="CRMinorChangeAdded"/>
        </w:rPr>
        <w:t>10</w:t>
      </w:r>
      <w:r w:rsidRPr="007E3B4E">
        <w:rPr>
          <w:rStyle w:val="CRMinorChangeDeleted"/>
        </w:rPr>
        <w:t>7b</w:t>
      </w:r>
      <w:r w:rsidRPr="007E3B4E">
        <w:t xml:space="preserve">. cikk, valamint a </w:t>
      </w:r>
      <w:r w:rsidRPr="007E3B4E">
        <w:rPr>
          <w:rStyle w:val="CRMinorChangeAdded"/>
        </w:rPr>
        <w:t>28</w:t>
      </w:r>
      <w:r w:rsidRPr="007E3B4E">
        <w:rPr>
          <w:rStyle w:val="CRMinorChangeDeleted"/>
        </w:rPr>
        <w:t>20</w:t>
      </w:r>
      <w:r w:rsidRPr="007E3B4E">
        <w:t xml:space="preserve">. cikk </w:t>
      </w:r>
      <w:r w:rsidRPr="007E3B4E">
        <w:rPr>
          <w:rStyle w:val="CRMinorChangeAdded"/>
        </w:rPr>
        <w:t>(11)</w:t>
      </w:r>
      <w:r w:rsidRPr="007E3B4E">
        <w:rPr>
          <w:rStyle w:val="CRMinorChangeDeleted"/>
        </w:rPr>
        <w:t>(6)</w:t>
      </w:r>
      <w:r w:rsidRPr="007E3B4E">
        <w:t xml:space="preserve"> bekezdése alkalmazásában az energiamegtakarítás megállapításakor a következő elvek alkalmazandók:</w:t>
      </w:r>
    </w:p>
    <w:p w14:paraId="152C5043" w14:textId="77777777" w:rsidR="00DB73A0" w:rsidRPr="007E3B4E" w:rsidRDefault="00DB73A0" w:rsidP="00DB73A0">
      <w:pPr>
        <w:pStyle w:val="CRSeparator"/>
      </w:pPr>
    </w:p>
    <w:p w14:paraId="600FE6B1"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5D11F1A9" w14:textId="77777777" w:rsidR="00DB73A0" w:rsidRPr="007E3B4E" w:rsidRDefault="00A05BB8" w:rsidP="00A05BB8">
      <w:pPr>
        <w:pStyle w:val="Point1"/>
      </w:pPr>
      <w:r w:rsidRPr="007E3B4E">
        <w:rPr>
          <w:highlight w:val="lightGray"/>
        </w:rPr>
        <w:t>a)</w:t>
      </w:r>
      <w:r w:rsidRPr="007E3B4E">
        <w:tab/>
      </w:r>
      <w:r w:rsidRPr="007E3B4E">
        <w:rPr>
          <w:highlight w:val="lightGray"/>
        </w:rPr>
        <w:t>a tagállamok igazolják, hogy a szakpolitikai intézkedést a 8. cikk (1) bekezdése szerinti energiamegtakarítási kötelezettség teljesítése és végfelhasználási energiamegtakarítás elérése céljából hajtották végre. A tagállamok bizonyítékot és dokumentációt szolgáltatnak arra vonatkozóan, hogy az energiamegtakarítás szakpolitikai intézkedések, többek között önkéntes megállapodások eredményeként jött létre;</w:t>
      </w:r>
    </w:p>
    <w:p w14:paraId="1470C6AD" w14:textId="77777777" w:rsidR="00DB73A0" w:rsidRPr="007E3B4E" w:rsidRDefault="00DB73A0" w:rsidP="00DB73A0">
      <w:pPr>
        <w:pStyle w:val="CRSeparator"/>
      </w:pPr>
    </w:p>
    <w:p w14:paraId="45828C00"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3C41BBD5"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40CFC06E" w14:textId="77777777" w:rsidR="00DB73A0" w:rsidRPr="007E3B4E" w:rsidRDefault="00DB73A0" w:rsidP="00A05BB8">
      <w:pPr>
        <w:pStyle w:val="Point1"/>
      </w:pPr>
      <w:r w:rsidRPr="007E3B4E">
        <w:rPr>
          <w:rStyle w:val="CRMinorChangeAdded"/>
        </w:rPr>
        <w:t>b</w:t>
      </w:r>
      <w:r w:rsidRPr="007E3B4E">
        <w:rPr>
          <w:rStyle w:val="CRMinorChangeDeleted"/>
        </w:rPr>
        <w:t>a</w:t>
      </w:r>
      <w:r w:rsidRPr="007E3B4E">
        <w:t>)</w:t>
      </w:r>
      <w:r w:rsidRPr="007E3B4E">
        <w:tab/>
        <w:t>a megtakarításról bizonyítani kell, hogy többletmegtakarítás ahhoz képest, amelyre mindenképpen sor került volna, függetlenül a kötelezett, a részt vevő vagy a megbízott felek, vagy a végrehajtó állami hatóságok tevékenységétől. Annak meghatározásához, hogy mely megtakarítások jelenthetők be többletmegtakarításként, a tagállamok áttekintik, hogy hogy az adott szakpolitikai intézkedés hiányában hogyan alakulna az energiafogyasztás és -kereslet, figyelembe véve legalább a következő tényezőket: az energiafogyasztási trendek, a fogyasztói magatartás változása, a műszaki fejlődés, valamint az uniós és nemzeti szinten végrehajtott egyéb intézkedések által okozott változások</w:t>
      </w:r>
      <w:r w:rsidRPr="007E3B4E">
        <w:rPr>
          <w:rStyle w:val="CRMinorChangeAdded"/>
        </w:rPr>
        <w:t>;</w:t>
      </w:r>
      <w:r w:rsidRPr="007E3B4E">
        <w:rPr>
          <w:rStyle w:val="CRMinorChangeDeleted"/>
        </w:rPr>
        <w:t>.</w:t>
      </w:r>
    </w:p>
    <w:p w14:paraId="7D1624EF" w14:textId="77777777" w:rsidR="00DB73A0" w:rsidRPr="007E3B4E" w:rsidRDefault="00DB73A0" w:rsidP="00A05BB8">
      <w:pPr>
        <w:pStyle w:val="Point1"/>
        <w:rPr>
          <w:highlight w:val="lightGray"/>
        </w:rPr>
      </w:pPr>
      <w:r w:rsidRPr="007E3B4E">
        <w:rPr>
          <w:rStyle w:val="CRMinorChangeAdded"/>
        </w:rPr>
        <w:t>c</w:t>
      </w:r>
      <w:r w:rsidRPr="007E3B4E">
        <w:rPr>
          <w:rStyle w:val="CRMinorChangeDeleted"/>
        </w:rPr>
        <w:t>b</w:t>
      </w:r>
      <w:r w:rsidRPr="007E3B4E">
        <w:t>)</w:t>
      </w:r>
      <w:r w:rsidRPr="007E3B4E">
        <w:tab/>
        <w:t xml:space="preserve">a kötelező erejű uniós jog végrehajtásából származó megtakarítások olyan megtakarításnak tekintendők, amelyekre mindenképpen sor került volna, ezért azokat a </w:t>
      </w:r>
      <w:r w:rsidRPr="007E3B4E">
        <w:rPr>
          <w:rStyle w:val="CRMinorChangeAdded"/>
        </w:rPr>
        <w:t>8</w:t>
      </w:r>
      <w:r w:rsidRPr="007E3B4E">
        <w:rPr>
          <w:rStyle w:val="CRMinorChangeDeleted"/>
        </w:rPr>
        <w:t>7</w:t>
      </w:r>
      <w:r w:rsidRPr="007E3B4E">
        <w:t xml:space="preserve">. cikk (1) bekezdése alkalmazásában nem lehet energiamegtakarításként bejelenteni. Ezen követelménytől eltérve, a meglévő épületek felújításához kapcsolódó megtakarítások a </w:t>
      </w:r>
      <w:r w:rsidRPr="007E3B4E">
        <w:rPr>
          <w:rStyle w:val="CRMinorChangeAdded"/>
        </w:rPr>
        <w:t>8</w:t>
      </w:r>
      <w:r w:rsidRPr="007E3B4E">
        <w:rPr>
          <w:rStyle w:val="CRMinorChangeDeleted"/>
        </w:rPr>
        <w:t>7</w:t>
      </w:r>
      <w:r w:rsidRPr="007E3B4E">
        <w:t xml:space="preserve">. cikk (1) bekezdése alkalmazásában bejelenthetők energiamegtakarításként, amennyiben biztosítva van az ezen melléklet 3. pontjának h) alpontjában említett lényegességi kritérium teljesülése. </w:t>
      </w:r>
      <w:r w:rsidRPr="007E3B4E">
        <w:rPr>
          <w:rStyle w:val="CRRefonteDeleted"/>
          <w:highlight w:val="lightGray"/>
        </w:rPr>
        <w:t>Az új épületekre vonatkozóan a 2010/31/EU irányelv átültetése előtt meghatározott nemzeti minimumkövetelmények végrehajtásából származó megtakarítások a 7. cikk (1) bekezdésének a) pontja alkalmazásában bejelenthetők energiamegtakarításként, amennyiben biztosítva van az ezen melléklet 3. pontjának h) alpontjában említett lényegességi kritérium teljesülése, és amennyiben a tagállamok e megtakarításokról a nemzeti energiahatékonysági cselekvési terveikben a 24. cikk (2) bekezdésével összhangban beszámoltak.</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az 5. és a 6. cikk szerinti, a közszféra energiahatékonyság-javítását támogató intézkedéseket be lehet számítani a 8. cikk (1) bekezdése szerinti energiamegtakarításra vonatkozó kötelezettség teljesítése tekintetében, feltéve, hogy ellenőrizhető és mérhető vagy felbecsülhető végfelhasználási energiamegtakarítást eredményeznek. A megtakarítások kiszámításának meg kell felelnie az e mellékletben foglalt követelményeknek;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p>
    <w:p w14:paraId="5593D105" w14:textId="77777777" w:rsidR="00D862CD" w:rsidRPr="007E3B4E" w:rsidRDefault="00D862CD" w:rsidP="00D862CD">
      <w:pPr>
        <w:pStyle w:val="CRSeparator"/>
      </w:pPr>
    </w:p>
    <w:p w14:paraId="22C691BF" w14:textId="77777777" w:rsidR="00D862CD" w:rsidRPr="007E3B4E" w:rsidRDefault="00D862CD" w:rsidP="00D862CD">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36D21990" w14:textId="77777777" w:rsidR="00DB73A0" w:rsidRPr="007E3B4E" w:rsidRDefault="00DB73A0" w:rsidP="00A05BB8">
      <w:pPr>
        <w:pStyle w:val="Point1"/>
        <w:rPr>
          <w:highlight w:val="lightGray"/>
        </w:rPr>
      </w:pPr>
      <w:r w:rsidRPr="007E3B4E">
        <w:rPr>
          <w:highlight w:val="lightGray"/>
        </w:rPr>
        <w:t>d)</w:t>
      </w:r>
      <w:r w:rsidRPr="007E3B4E">
        <w:tab/>
      </w:r>
      <w:r w:rsidRPr="007E3B4E">
        <w:rPr>
          <w:highlight w:val="lightGray"/>
        </w:rPr>
        <w:t>az üvegházhatásúgáz-kibocsátás kötelező éves csökkentéséről szóló (EU) 2018/842 rendelet alapján hozott intézkedések lényegesnek tekinthetők, de a tagállamoknak bizonyítaniuk kell, hogy azok ellenőrizhető és mérhető vagy felbecsülhető végfelhasználási energiamegtakarítást eredményeznek. A megtakarítások kiszámításának meg kell felelnie az e mellékletben foglalt követelményeknek;</w:t>
      </w:r>
    </w:p>
    <w:p w14:paraId="352B8699" w14:textId="77777777" w:rsidR="00DB73A0" w:rsidRPr="007E3B4E" w:rsidRDefault="00B918D9" w:rsidP="00D31C38">
      <w:pPr>
        <w:pStyle w:val="Point1"/>
        <w:rPr>
          <w:highlight w:val="lightGray"/>
        </w:rPr>
      </w:pPr>
      <w:r w:rsidRPr="007E3B4E">
        <w:rPr>
          <w:highlight w:val="lightGray"/>
        </w:rPr>
        <w:t>e)</w:t>
      </w:r>
      <w:r w:rsidRPr="007E3B4E">
        <w:tab/>
      </w:r>
      <w:r w:rsidRPr="007E3B4E">
        <w:rPr>
          <w:highlight w:val="lightGray"/>
        </w:rPr>
        <w:t>a tagállamok nem számíthatják be a 8. cikk (1) bekezdése szerinti energiamegtakarítási kötelezettség teljesítésébe az olyan ágazatokban – többek között a közlekedési és építőipari ágazatban – megvalósított energiafelhasználás-csökkentést, amelyre mindenképpen sor került volna az EU ETS irányelv szerinti kibocsátáskereskedelem eredményeként. Amennyiben egy jogalany az ezen irányelv 9. cikke szerinti nemzeti energiahatékonysági kötelezettségi rendszer és az épületekre és közúti közlekedésre vonatkozó uniós kibocsátáskereskedelmi rendszer [COM(2021) 551 final,2021/0211 (COD)] alapján kötelezett fél, a nyomonkövetési és hitelesítési rendszernek biztosítani kell, hogy a [COM(2021) 551 final, 2021/0211 (COD) 1 cikkének (21) bekezdésével összhangban] a tüzelőanyag fogyasztásra bocsátásakor továbbadott szén-dioxid-kibocsátási árat vegyék figyelembe az energiamegtakarítási intézkedéseiből származó energiamegtakarítás kiszámításához és jelentéséhez;</w:t>
      </w:r>
    </w:p>
    <w:p w14:paraId="61D77AE4" w14:textId="77777777" w:rsidR="00DB73A0" w:rsidRPr="007E3B4E" w:rsidRDefault="00DB73A0" w:rsidP="00DB73A0">
      <w:pPr>
        <w:pStyle w:val="CRSeparator"/>
      </w:pPr>
    </w:p>
    <w:p w14:paraId="22925878"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6358ACB0"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5BE5C583" w14:textId="77777777" w:rsidR="00DB73A0" w:rsidRPr="007E3B4E" w:rsidRDefault="00DB73A0" w:rsidP="00A05BB8">
      <w:pPr>
        <w:pStyle w:val="Point1"/>
      </w:pPr>
      <w:r w:rsidRPr="007E3B4E">
        <w:rPr>
          <w:rStyle w:val="CRMinorChangeAdded"/>
        </w:rPr>
        <w:t>f</w:t>
      </w:r>
      <w:r w:rsidRPr="007E3B4E">
        <w:rPr>
          <w:rStyle w:val="CRMinorChangeDeleted"/>
        </w:rPr>
        <w:t>c</w:t>
      </w:r>
      <w:r w:rsidRPr="007E3B4E">
        <w:t>)</w:t>
      </w:r>
      <w:r w:rsidRPr="007E3B4E">
        <w:tab/>
        <w:t>a megtakarítások csak akkor írhatók jóvá, ha azok meghaladják az alábbi szinteket:</w:t>
      </w:r>
    </w:p>
    <w:p w14:paraId="18D709CF" w14:textId="77777777" w:rsidR="00DB73A0" w:rsidRPr="007E3B4E" w:rsidRDefault="00DB73A0" w:rsidP="00A05BB8">
      <w:pPr>
        <w:pStyle w:val="Point2"/>
      </w:pPr>
      <w:r w:rsidRPr="007E3B4E">
        <w:t>i.</w:t>
      </w:r>
      <w:r w:rsidRPr="007E3B4E">
        <w:tab/>
        <w:t>a</w:t>
      </w:r>
      <w:r w:rsidRPr="007E3B4E">
        <w:rPr>
          <w:rStyle w:val="CRMinorChangeAdded"/>
        </w:rPr>
        <w:t>z</w:t>
      </w:r>
      <w:r w:rsidRPr="007E3B4E">
        <w:t xml:space="preserve"> </w:t>
      </w:r>
      <w:r w:rsidRPr="007E3B4E">
        <w:rPr>
          <w:rStyle w:val="CRMinorChangeDeleted"/>
        </w:rPr>
        <w:t>443/2009/EK</w:t>
      </w:r>
      <w:r w:rsidRPr="007E3B4E">
        <w:rPr>
          <w:rStyle w:val="CRMinorChangeDeleted"/>
          <w:vertAlign w:val="superscript"/>
        </w:rPr>
        <w:footnoteReference w:id="5"/>
      </w:r>
      <w:r w:rsidRPr="007E3B4E">
        <w:rPr>
          <w:rStyle w:val="CRMinorChangeDeleted"/>
        </w:rPr>
        <w:t>, illetve az 510/2011/EU európai parlamenti és tanácsi rendelet</w:t>
      </w:r>
      <w:r w:rsidRPr="007E3B4E">
        <w:rPr>
          <w:rStyle w:val="CRMinorChangeDeleted"/>
          <w:vertAlign w:val="superscript"/>
        </w:rPr>
        <w:footnoteReference w:id="6"/>
      </w:r>
      <w:r w:rsidRPr="007E3B4E">
        <w:t xml:space="preserve"> </w:t>
      </w:r>
      <w:r w:rsidRPr="007E3B4E">
        <w:rPr>
          <w:rStyle w:val="CRMinorChangeAdded"/>
        </w:rPr>
        <w:t>(EU) 2019/631 európai parlamenti és tanácsi rendelet</w:t>
      </w:r>
      <w:r w:rsidRPr="007E3B4E">
        <w:rPr>
          <w:rStyle w:val="CRMinorChangeAdded"/>
          <w:vertAlign w:val="superscript"/>
        </w:rPr>
        <w:footnoteReference w:id="7"/>
      </w:r>
      <w:r w:rsidRPr="007E3B4E">
        <w:t xml:space="preserve"> végrehajtását követő uniós kibocsátási követelmények az új személygépkocsikra és az új könnyű haszongépjárművekre vonatkozóan</w:t>
      </w:r>
      <w:r w:rsidRPr="007E3B4E">
        <w:rPr>
          <w:rStyle w:val="CRMinorChangeDeleted"/>
        </w:rPr>
        <w:t>;</w:t>
      </w:r>
      <w:r w:rsidRPr="007E3B4E">
        <w:rPr>
          <w:rStyle w:val="CRMinorChangeAdded"/>
        </w:rPr>
        <w: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A tagállamok bizonyítékot szolgáltatnak az új járművekre vonatkozó uniós szén-dioxid-kibocsátási követelményekkel kapcsolatos addicionalitás igazolására, valamint benyújtják idevágó feltevéseiket és számítási módszereiket;</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p>
    <w:p w14:paraId="0CA00E2A" w14:textId="77777777" w:rsidR="00DB73A0" w:rsidRPr="007E3B4E" w:rsidRDefault="00DB73A0" w:rsidP="00A05BB8">
      <w:pPr>
        <w:pStyle w:val="Point2"/>
      </w:pPr>
      <w:r w:rsidRPr="007E3B4E">
        <w:t>ii.</w:t>
      </w:r>
      <w:r w:rsidRPr="007E3B4E">
        <w:tab/>
        <w:t>a 2009/125/EK irányelv szerinti végrehajtási intézkedések végrehajtását követően bizonyos, energiafogyasztást befolyásoló termékek piacról való kivonására vonatkozó uniós követelmények</w:t>
      </w:r>
      <w:r w:rsidRPr="007E3B4E">
        <w:rPr>
          <w:rStyle w:val="CRMinorChangeAdded"/>
        </w:rPr>
        <w:t>;</w:t>
      </w:r>
      <w:r w:rsidRPr="007E3B4E">
        <w:rPr>
          <w:rStyle w:val="CRMinorChangeDeleted"/>
        </w:rPr>
        <w: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A tagállamok bizonyítékokat szolgáltatnak az addicionalitás igazolására, valamint benyújtják feltevéseiket és számítási módszereiket;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p>
    <w:p w14:paraId="734C0B11" w14:textId="77777777" w:rsidR="00DB73A0" w:rsidRPr="007E3B4E" w:rsidRDefault="00DB73A0" w:rsidP="00A05BB8">
      <w:pPr>
        <w:pStyle w:val="Point1"/>
      </w:pPr>
      <w:r w:rsidRPr="007E3B4E">
        <w:rPr>
          <w:rStyle w:val="CRMinorChangeAdded"/>
        </w:rPr>
        <w:t>g</w:t>
      </w:r>
      <w:r w:rsidRPr="007E3B4E">
        <w:rPr>
          <w:rStyle w:val="CRMinorChangeDeleted"/>
        </w:rPr>
        <w:t>d</w:t>
      </w:r>
      <w:r w:rsidRPr="007E3B4E">
        <w:t>)</w:t>
      </w:r>
      <w:r w:rsidRPr="007E3B4E">
        <w:tab/>
        <w:t xml:space="preserve">a termékek, berendezések, közlekedési rendszerek, járművek és üzemanyagok, épületek és épületelemek, folyamatok vagy piacok energiahatékonysági szintjének növelését ösztönző célú szakpolitikák megengedettek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 azon szakpolitikai intézkedések kivételével, amelyek a fosszilis tüzelőanyagok közvetlen égetésén alapuló technológiák használatát érintik, és amelyek végrehajtására 2024. január 1-jét követően kerül sor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rPr>
          <w:rStyle w:val="CRMinorChangeDeleted"/>
        </w:rPr>
        <w:t>.</w:t>
      </w:r>
      <w:r w:rsidRPr="007E3B4E">
        <w:rPr>
          <w:rStyle w:val="CRMinorChangeAdded"/>
        </w:rPr>
        <w:t>;</w:t>
      </w:r>
    </w:p>
    <w:p w14:paraId="475172A7" w14:textId="77777777" w:rsidR="00DB73A0" w:rsidRPr="007E3B4E" w:rsidRDefault="00DB73A0" w:rsidP="00DB73A0">
      <w:pPr>
        <w:pStyle w:val="CRSeparator"/>
      </w:pPr>
    </w:p>
    <w:p w14:paraId="1AA844AA"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445EF8FC" w14:textId="77777777" w:rsidR="00DB73A0" w:rsidRPr="007E3B4E" w:rsidRDefault="00DB73A0" w:rsidP="00A05BB8">
      <w:pPr>
        <w:pStyle w:val="Point1"/>
        <w:rPr>
          <w:highlight w:val="lightGray"/>
        </w:rPr>
      </w:pPr>
      <w:r w:rsidRPr="007E3B4E">
        <w:rPr>
          <w:highlight w:val="lightGray"/>
        </w:rPr>
        <w:t>h)</w:t>
      </w:r>
      <w:r w:rsidRPr="007E3B4E">
        <w:tab/>
      </w:r>
      <w:r w:rsidRPr="007E3B4E">
        <w:rPr>
          <w:highlight w:val="lightGray"/>
        </w:rPr>
        <w:t>a fosszilis tüzelőanyagok közvetlen égetésének termékekben, berendezésekben, közlekedési rendszerekben, járművekben, épületekben vagy építési beruházásokban történő alkalmazására vonatkozó szakpolitikai intézkedések eredményeként elért energiamegtakarítások 2024. január 1-jétől nem számítanak bele az energiamegtakarítási kötelezettség teljesítésébe;</w:t>
      </w:r>
    </w:p>
    <w:p w14:paraId="0A82C37A" w14:textId="77777777" w:rsidR="00DB73A0" w:rsidRPr="007E3B4E" w:rsidRDefault="00DB73A0" w:rsidP="00DB73A0">
      <w:pPr>
        <w:pStyle w:val="CRSeparator"/>
      </w:pPr>
    </w:p>
    <w:p w14:paraId="5591D053"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55F1D20C"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391404A8" w14:textId="77777777" w:rsidR="00DB73A0" w:rsidRPr="007E3B4E" w:rsidRDefault="00DB73A0" w:rsidP="00A05BB8">
      <w:pPr>
        <w:pStyle w:val="Point1"/>
      </w:pPr>
      <w:r w:rsidRPr="007E3B4E">
        <w:rPr>
          <w:rStyle w:val="CRMinorChangeAdded"/>
        </w:rPr>
        <w:t>i</w:t>
      </w:r>
      <w:r w:rsidRPr="007E3B4E">
        <w:rPr>
          <w:rStyle w:val="CRMinorChangeDeleted"/>
        </w:rPr>
        <w:t>e</w:t>
      </w:r>
      <w:r w:rsidRPr="007E3B4E">
        <w:t>)</w:t>
      </w:r>
      <w:r w:rsidRPr="007E3B4E">
        <w:tab/>
        <w:t xml:space="preserve">a kisléptékű, fogyasztásközeli megújulóenergia-technológiák épületekbe való beépítését vagy épületekre való felszerelését támogató intézkedéseket figyelembe lehet venni a </w:t>
      </w:r>
      <w:r w:rsidRPr="007E3B4E">
        <w:rPr>
          <w:u w:val="double"/>
        </w:rPr>
        <w:t>8</w:t>
      </w:r>
      <w:r w:rsidRPr="007E3B4E">
        <w:rPr>
          <w:dstrike/>
          <w:u w:val="double"/>
        </w:rPr>
        <w:t>7</w:t>
      </w:r>
      <w:r w:rsidRPr="007E3B4E">
        <w:t xml:space="preserve">. cikk (1) bekezdése szerinti energiamegtakarításra vonatkozó kötelezettség teljesítése tekintetében, feltéve, hogy ellenőrizhető, és mérhető vagy felbecsülhető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végfelhasználási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energiamegtakarítást eredményeznek. A megtakarítások kiszámításának meg kell felelnie az e mellékletben foglalt követelményeknek</w:t>
      </w:r>
      <w:r w:rsidRPr="007E3B4E">
        <w:rPr>
          <w:rStyle w:val="CRMinorChangeAdded"/>
        </w:rPr>
        <w:t>;</w:t>
      </w:r>
      <w:r w:rsidRPr="007E3B4E">
        <w:rPr>
          <w:rStyle w:val="CRMinorChangeDeleted"/>
        </w:rPr>
        <w:t>.</w:t>
      </w:r>
    </w:p>
    <w:p w14:paraId="500362E4" w14:textId="77777777" w:rsidR="00DB73A0" w:rsidRPr="007E3B4E" w:rsidRDefault="00DB73A0" w:rsidP="00DB73A0">
      <w:pPr>
        <w:pStyle w:val="CRSeparator"/>
      </w:pPr>
    </w:p>
    <w:p w14:paraId="2CF5B812"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69A34BF3" w14:textId="77777777" w:rsidR="00DB73A0" w:rsidRPr="007E3B4E" w:rsidRDefault="00DB73A0" w:rsidP="00A05BB8">
      <w:pPr>
        <w:pStyle w:val="Point1"/>
      </w:pPr>
      <w:r w:rsidRPr="007E3B4E">
        <w:rPr>
          <w:highlight w:val="lightGray"/>
        </w:rPr>
        <w:t>j)</w:t>
      </w:r>
      <w:r w:rsidRPr="007E3B4E">
        <w:tab/>
      </w:r>
      <w:r w:rsidRPr="007E3B4E">
        <w:rPr>
          <w:highlight w:val="lightGray"/>
        </w:rPr>
        <w:t>a naphőenergia-technológiák épületekbe való beépítését vagy épületekre való felszerelését támogató intézkedéseket be lehet számítani a 8. cikk (1) bekezdése szerinti energiamegtakarításra vonatkozó kötelezettség teljesítése tekintetében, feltéve, hogy ellenőrizhető és mérhető vagy felbecsülhető végfelhasználási energiamegtakarítást eredményeznek. A naphőenergia-technológiákkal begyűjtött környezeti hő kihagyható azok végfelhasználási energiafogyasztásából;</w:t>
      </w:r>
    </w:p>
    <w:p w14:paraId="38A59912" w14:textId="77777777" w:rsidR="00DB73A0" w:rsidRPr="007E3B4E" w:rsidRDefault="00DB73A0" w:rsidP="00DB73A0">
      <w:pPr>
        <w:pStyle w:val="CRSeparator"/>
      </w:pPr>
    </w:p>
    <w:p w14:paraId="43EE21AE"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 (kiigazított szöveg)</w:t>
      </w:r>
    </w:p>
    <w:p w14:paraId="218ED765"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7FEA0698" w14:textId="77777777" w:rsidR="00DB73A0" w:rsidRPr="007E3B4E" w:rsidRDefault="00DB73A0" w:rsidP="00A05BB8">
      <w:pPr>
        <w:pStyle w:val="Point1"/>
      </w:pPr>
      <w:r w:rsidRPr="007E3B4E">
        <w:rPr>
          <w:rStyle w:val="CRMinorChangeAdded"/>
        </w:rPr>
        <w:t>k</w:t>
      </w:r>
      <w:r w:rsidRPr="007E3B4E">
        <w:rPr>
          <w:rStyle w:val="CRMinorChangeDeleted"/>
        </w:rPr>
        <w:t>f</w:t>
      </w:r>
      <w:r w:rsidRPr="007E3B4E">
        <w:t>)</w:t>
      </w:r>
      <w:r w:rsidRPr="007E3B4E">
        <w:tab/>
        <w:t xml:space="preserve">a hatékonyabb termékek és járművek elterjedésének felgyorsítására irányuló szakpolitikák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 kivéve azokat, amelyek a fosszilis tüzelőanyagok közvetlen égetésének használatát érintik –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tekintetében teljes jóváírás igényelhető, feltéve, hogy az említett elterjedés bizonyítottan a termék vagy a jármű átlagos várható élettartamának lejárta előtt valósul meg, vagy azt megelőzően, hogy a terméket vagy a járművet normál esetben lecserélnék, és a megtakarítást csak a lecserélendő termék vagy jármű átlagos várható élettartamának lejártáig tartó időszakra jelentik be</w:t>
      </w:r>
      <w:r w:rsidRPr="007E3B4E">
        <w:rPr>
          <w:rStyle w:val="CRMinorChangeAdded"/>
        </w:rPr>
        <w:t>;</w:t>
      </w:r>
      <w:r w:rsidRPr="007E3B4E">
        <w:rPr>
          <w:rStyle w:val="CRMinorChangeDeleted"/>
        </w:rPr>
        <w:t>.</w:t>
      </w:r>
    </w:p>
    <w:p w14:paraId="500BEB4E" w14:textId="77777777" w:rsidR="00DB73A0" w:rsidRPr="007E3B4E" w:rsidRDefault="00DB73A0" w:rsidP="00A05BB8">
      <w:pPr>
        <w:pStyle w:val="Point1"/>
      </w:pPr>
      <w:r w:rsidRPr="007E3B4E">
        <w:rPr>
          <w:rStyle w:val="CRMinorChangeAdded"/>
        </w:rPr>
        <w:t>l</w:t>
      </w:r>
      <w:r w:rsidRPr="007E3B4E">
        <w:rPr>
          <w:rStyle w:val="CRMinorChangeDeleted"/>
        </w:rPr>
        <w:t>g</w:t>
      </w:r>
      <w:r w:rsidRPr="007E3B4E">
        <w:t>)</w:t>
      </w:r>
      <w:r w:rsidRPr="007E3B4E">
        <w:tab/>
        <w:t>az energiahatékonysági intézkedések elterjedésének előmozdítása terén a tagállamok adott esetben gondoskodnak a termékekre, a szolgáltatásokra és az intézkedések végrehajtására vonatkozó minőségi előírások fenntartásáról, illetve ilyen előírások hiányában azok bevezetéséről</w:t>
      </w:r>
      <w:r w:rsidRPr="007E3B4E">
        <w:rPr>
          <w:rStyle w:val="CRMinorChangeAdded"/>
        </w:rPr>
        <w:t>;</w:t>
      </w:r>
      <w:r w:rsidRPr="007E3B4E">
        <w:rPr>
          <w:rStyle w:val="CRMinorChangeDeleted"/>
        </w:rPr>
        <w:t>.</w:t>
      </w:r>
    </w:p>
    <w:p w14:paraId="744EF35D" w14:textId="77777777" w:rsidR="00DB73A0" w:rsidRPr="007E3B4E" w:rsidRDefault="00DB73A0" w:rsidP="00A05BB8">
      <w:pPr>
        <w:pStyle w:val="Point1"/>
      </w:pPr>
      <w:r w:rsidRPr="007E3B4E">
        <w:rPr>
          <w:rStyle w:val="CRMinorChangeAdded"/>
        </w:rPr>
        <w:t>m</w:t>
      </w:r>
      <w:r w:rsidRPr="007E3B4E">
        <w:rPr>
          <w:rStyle w:val="CRMinorChangeDeleted"/>
        </w:rPr>
        <w:t>h</w:t>
      </w:r>
      <w:r w:rsidRPr="007E3B4E">
        <w:t>)</w:t>
      </w:r>
      <w:r w:rsidRPr="007E3B4E">
        <w:tab/>
        <w:t>a régiók közötti éghajlati eltérések figyelembevétele érdekében a tagállamok választhatják azt, hogy a megtakarításokat hozzáigazítják egy standard értékhez, vagy hogy a különböző megtakarításokat egyeztetik a régiók közötti hőmérsékleti ingadozással</w:t>
      </w:r>
      <w:r w:rsidRPr="007E3B4E">
        <w:rPr>
          <w:rStyle w:val="CRMinorChangeAdded"/>
        </w:rPr>
        <w:t>;</w:t>
      </w:r>
      <w:r w:rsidRPr="007E3B4E">
        <w:rPr>
          <w:rStyle w:val="CRMinorChangeDeleted"/>
        </w:rPr>
        <w:t>.</w:t>
      </w:r>
    </w:p>
    <w:p w14:paraId="13DB236F" w14:textId="77777777" w:rsidR="00DB73A0" w:rsidRPr="007E3B4E" w:rsidRDefault="00DB73A0" w:rsidP="00A05BB8">
      <w:pPr>
        <w:pStyle w:val="Point1"/>
      </w:pPr>
      <w:r w:rsidRPr="007E3B4E">
        <w:rPr>
          <w:rStyle w:val="CRMinorChangeAdded"/>
        </w:rPr>
        <w:t>n</w:t>
      </w:r>
      <w:r w:rsidRPr="007E3B4E">
        <w:rPr>
          <w:rStyle w:val="CRMinorChangeDeleted"/>
        </w:rPr>
        <w:t>i</w:t>
      </w:r>
      <w:r w:rsidRPr="007E3B4E">
        <w:t>)</w:t>
      </w:r>
      <w:r w:rsidRPr="007E3B4E">
        <w:tab/>
        <w:t xml:space="preserve">az energiamegtakarítás kiszámítása során figyelembe kell venni az intézkedések élettartamát és azt, hogy idővel milyen arányban csökkennek a megtakarítások. Ezt a kiszámítást az egyes egyéni fellépések által a végrehajtásuk időpontjától </w:t>
      </w:r>
      <w:r w:rsidRPr="007E3B4E">
        <w:rPr>
          <w:rStyle w:val="CRRefonteDeleted"/>
          <w:highlight w:val="lightGray"/>
        </w:rPr>
        <w:t>2020. december 31-ig vagy adott esetben 2030. december 31-ig tartó időszak</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az egyes kötelezettségi időszakok végéig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majd  elért megtakarítások összeadásával kell elvégezni. A tagállamok ehelyett bevezethetnek más olyan módszert is, amely a becslések szerint legalább ugyanolyan teljes megtakarításmennyiséget eredményez. Más módszerek használata esetén a tagállamok biztosítják, hogy az e módszerrel kiszámított energiamegtakarítás teljes mennyisége ne haladja meg az energiamegtakarítás azon mennyiségét, amelyet annak eredményeképpen kaptak volna, ha összeszámolják az egyes egyéni fellépések által a végrehajtásuk időpontjától </w:t>
      </w:r>
      <w:r w:rsidRPr="007E3B4E">
        <w:rPr>
          <w:rStyle w:val="CRDeleted"/>
        </w:rPr>
        <w:t>2020. december 31-ig vagy adott esetben</w:t>
      </w:r>
      <w:r w:rsidRPr="007E3B4E">
        <w:t xml:space="preserve"> 2030. </w:t>
      </w:r>
      <w:r w:rsidRPr="007E3B4E">
        <w:rPr>
          <w:rStyle w:val="CRDeleted"/>
        </w:rPr>
        <w:t>december 31</w:t>
      </w:r>
      <w:r w:rsidRPr="007E3B4E">
        <w:t xml:space="preserve">-ig tartó időszakban </w:t>
      </w:r>
      <w:r w:rsidRPr="007E3B4E">
        <w:rPr>
          <w:rStyle w:val="CRMinorChangeDeleted"/>
        </w:rPr>
        <w:t xml:space="preserve">majd </w:t>
      </w:r>
      <w:r w:rsidRPr="007E3B4E">
        <w:t xml:space="preserve"> elért megtakarításokat. A tagállamok az (EU) 2018/1999 rendelet szerinti integrált nemzeti energia- és klímatervükben részletesen bemutatják a kötelező számítási követelménynek való megfelelés biztosítására szolgáló egyéb módszert és rendelkezéseket.</w:t>
      </w:r>
    </w:p>
    <w:p w14:paraId="58EB1B7C" w14:textId="77777777" w:rsidR="00DB73A0" w:rsidRPr="007E3B4E" w:rsidRDefault="00DB73A0" w:rsidP="00A05BB8">
      <w:pPr>
        <w:pStyle w:val="Point0"/>
      </w:pPr>
      <w:r w:rsidRPr="007E3B4E">
        <w:t>3.</w:t>
      </w:r>
      <w:r w:rsidRPr="007E3B4E">
        <w:tab/>
        <w:t xml:space="preserve">A tagállamok biztosítják a </w:t>
      </w:r>
      <w:r w:rsidRPr="007E3B4E">
        <w:rPr>
          <w:rStyle w:val="CRMinorChangeAdded"/>
        </w:rPr>
        <w:t>10</w:t>
      </w:r>
      <w:r w:rsidRPr="007E3B4E">
        <w:rPr>
          <w:rStyle w:val="CRMinorChangeDeleted"/>
        </w:rPr>
        <w:t>87b</w:t>
      </w:r>
      <w:r w:rsidRPr="007E3B4E">
        <w:t xml:space="preserve">. cikk és a </w:t>
      </w:r>
      <w:r w:rsidRPr="007E3B4E">
        <w:rPr>
          <w:rStyle w:val="CRMinorChangeAdded"/>
        </w:rPr>
        <w:t>28</w:t>
      </w:r>
      <w:r w:rsidRPr="007E3B4E">
        <w:rPr>
          <w:rStyle w:val="CRMinorChangeDeleted"/>
        </w:rPr>
        <w:t>20</w:t>
      </w:r>
      <w:r w:rsidRPr="007E3B4E">
        <w:t xml:space="preserve">. cikk </w:t>
      </w:r>
      <w:r w:rsidRPr="007E3B4E">
        <w:rPr>
          <w:rStyle w:val="CRMinorChangeAdded"/>
        </w:rPr>
        <w:t>(11)</w:t>
      </w:r>
      <w:r w:rsidRPr="007E3B4E">
        <w:rPr>
          <w:rStyle w:val="CRMinorChangeDeleted"/>
        </w:rPr>
        <w:t>(6)</w:t>
      </w:r>
      <w:r w:rsidRPr="007E3B4E">
        <w:t xml:space="preserve"> bekezdése alapján hozott szakpolitikai intézkedésekre vonatkozó következő követelmények teljesülését:</w:t>
      </w:r>
    </w:p>
    <w:p w14:paraId="4E8A4CCC" w14:textId="77777777" w:rsidR="00DB73A0" w:rsidRPr="007E3B4E" w:rsidRDefault="00DB73A0" w:rsidP="00A05BB8">
      <w:pPr>
        <w:pStyle w:val="Point1"/>
      </w:pPr>
      <w:r w:rsidRPr="007E3B4E">
        <w:t>a)</w:t>
      </w:r>
      <w:r w:rsidRPr="007E3B4E">
        <w:tab/>
        <w:t>a szakpolitikai intézkedések és az egyéni fellépések ellenőrizhető végfelhasználási energiamegtakarítást eredményeznek;</w:t>
      </w:r>
    </w:p>
    <w:p w14:paraId="2AB10567" w14:textId="77777777" w:rsidR="00DB73A0" w:rsidRPr="007E3B4E" w:rsidRDefault="00DB73A0" w:rsidP="00A05BB8">
      <w:pPr>
        <w:pStyle w:val="Point1"/>
      </w:pPr>
      <w:r w:rsidRPr="007E3B4E">
        <w:t>b)</w:t>
      </w:r>
      <w:r w:rsidRPr="007E3B4E">
        <w:tab/>
        <w:t>az esettől függően az egyes részt vevő felek, megbízott felek vagy a végrehajtó állami hatóság felelőssége egyértelműen meghatározott;</w:t>
      </w:r>
    </w:p>
    <w:p w14:paraId="64290B58" w14:textId="77777777" w:rsidR="00DB73A0" w:rsidRPr="007E3B4E" w:rsidRDefault="00DB73A0" w:rsidP="00A05BB8">
      <w:pPr>
        <w:pStyle w:val="Point1"/>
      </w:pPr>
      <w:r w:rsidRPr="007E3B4E">
        <w:t>c)</w:t>
      </w:r>
      <w:r w:rsidRPr="007E3B4E">
        <w:tab/>
        <w:t>az elért vagy az elérendő energiamegtakarítást átlátható módon határozzák meg;</w:t>
      </w:r>
    </w:p>
    <w:p w14:paraId="15A52163" w14:textId="77777777" w:rsidR="00DB73A0" w:rsidRPr="007E3B4E" w:rsidRDefault="00DB73A0" w:rsidP="00A05BB8">
      <w:pPr>
        <w:pStyle w:val="Point1"/>
      </w:pPr>
      <w:r w:rsidRPr="007E3B4E">
        <w:t>d)</w:t>
      </w:r>
      <w:r w:rsidRPr="007E3B4E">
        <w:tab/>
        <w:t xml:space="preserve">a szakpolitikai intézkedések által előírt vagy elérendő energiamegtakarítás mennyisége végsőenergia-felhasználásban vagy primerenergia-felhasználásban van kifejezve a </w:t>
      </w:r>
      <w:r w:rsidRPr="007E3B4E">
        <w:rPr>
          <w:rStyle w:val="CRRefonteDeleted"/>
          <w:highlight w:val="lightGray"/>
        </w:rPr>
        <w:t>IV. mellékletben foglalt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29. cikkben említett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00A6019E" w:rsidRPr="007E3B4E">
        <w:rPr>
          <w:highlight w:val="lightGray"/>
        </w:rPr>
        <w:t> </w:t>
      </w:r>
      <w:r w:rsidRPr="007E3B4E">
        <w:rPr>
          <w:highlight w:val="lightGray"/>
        </w:rPr>
        <w:t>fűtőértékek vagy primerenergia</w:t>
      </w:r>
      <w:r w:rsidR="00A6019E" w:rsidRPr="007E3B4E">
        <w:rPr>
          <w:highlight w:val="lightGray"/>
        </w:rPr>
        <w:t>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w:t>
      </w:r>
      <w:r w:rsidRPr="007E3B4E">
        <w:rPr>
          <w:rStyle w:val="CRRefonteDeleted"/>
          <w:highlight w:val="lightGray"/>
        </w:rPr>
        <w:t>átváltási</w:t>
      </w:r>
      <w:r w:rsidRPr="007E3B4E">
        <w:t xml:space="preserve"> tényezők alkalmazásával;</w:t>
      </w:r>
    </w:p>
    <w:p w14:paraId="7AFE9473" w14:textId="77777777" w:rsidR="00DB73A0" w:rsidRPr="007E3B4E" w:rsidRDefault="00DB73A0" w:rsidP="00A05BB8">
      <w:pPr>
        <w:pStyle w:val="Point1"/>
      </w:pPr>
      <w:r w:rsidRPr="007E3B4E">
        <w:t>e)</w:t>
      </w:r>
      <w:r w:rsidRPr="007E3B4E">
        <w:tab/>
        <w:t>éves jelentést készítése és közzététele a megbízott felek, a részt vevő felek és a végrehajtó állami hatóságok által elért energiamegtakarításról és az energiamegtakarítás terén érvényesülő éves tendenciákkal kapcsolatos adatokról;</w:t>
      </w:r>
    </w:p>
    <w:p w14:paraId="1391F68B" w14:textId="77777777" w:rsidR="00DB73A0" w:rsidRPr="007E3B4E" w:rsidRDefault="00DB73A0" w:rsidP="00A05BB8">
      <w:pPr>
        <w:pStyle w:val="Point1"/>
      </w:pPr>
      <w:r w:rsidRPr="007E3B4E">
        <w:t>f)</w:t>
      </w:r>
      <w:r w:rsidRPr="007E3B4E">
        <w:tab/>
        <w:t>az eredmények nyomon követése és megfelelő intézkedések meghozatala arra az esetre, ha a</w:t>
      </w:r>
      <w:r w:rsidRPr="007E3B4E">
        <w:rPr>
          <w:rStyle w:val="CRMinorChangeDeleted"/>
        </w:rPr>
        <w:t>z előre</w:t>
      </w:r>
      <w:r w:rsidRPr="007E3B4E">
        <w:t>haladás nem kielégítő;</w:t>
      </w:r>
    </w:p>
    <w:p w14:paraId="61ABE239" w14:textId="77777777" w:rsidR="00DB73A0" w:rsidRPr="007E3B4E" w:rsidRDefault="00DB73A0" w:rsidP="00A05BB8">
      <w:pPr>
        <w:pStyle w:val="Point1"/>
      </w:pPr>
      <w:r w:rsidRPr="007E3B4E">
        <w:t>g)</w:t>
      </w:r>
      <w:r w:rsidRPr="007E3B4E">
        <w:tab/>
        <w:t>az egyéni fellépésből származó energiamegtakarítást nem jelenti be egynél több fél;</w:t>
      </w:r>
    </w:p>
    <w:p w14:paraId="1A129999" w14:textId="77777777" w:rsidR="00DB73A0" w:rsidRPr="007E3B4E" w:rsidRDefault="00DB73A0" w:rsidP="00A05BB8">
      <w:pPr>
        <w:pStyle w:val="Point1"/>
        <w:rPr>
          <w:rStyle w:val="CRMinorChangeDeleted"/>
        </w:rPr>
      </w:pPr>
      <w:r w:rsidRPr="007E3B4E">
        <w:t>h)</w:t>
      </w:r>
      <w:r w:rsidRPr="007E3B4E">
        <w:tab/>
        <w:t>a részt vevő fél, a megbízott fél vagy a végrehajtó állami hatóság tevékenységei bizonyítottan lényegesek a bejelentett energiamegtakarítás elérésében</w:t>
      </w:r>
      <w:r w:rsidRPr="007E3B4E">
        <w:rPr>
          <w:rStyle w:val="CRMinorChangeAdded"/>
        </w:rPr>
        <w:t>;</w:t>
      </w:r>
      <w:r w:rsidRPr="007E3B4E">
        <w:rPr>
          <w:rStyle w:val="CRMinorChangeDeleted"/>
        </w:rPr>
        <w:t>.</w:t>
      </w:r>
    </w:p>
    <w:p w14:paraId="569B43D8" w14:textId="77777777" w:rsidR="00DB73A0" w:rsidRPr="007E3B4E" w:rsidRDefault="00DB73A0" w:rsidP="00DB73A0">
      <w:pPr>
        <w:pStyle w:val="CRSeparator"/>
      </w:pPr>
    </w:p>
    <w:p w14:paraId="1D869754"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4F682D88" w14:textId="77777777" w:rsidR="00DB73A0" w:rsidRPr="007E3B4E" w:rsidRDefault="00DB73A0" w:rsidP="00A05BB8">
      <w:pPr>
        <w:pStyle w:val="Point1"/>
      </w:pPr>
      <w:r w:rsidRPr="007E3B4E">
        <w:rPr>
          <w:highlight w:val="lightGray"/>
        </w:rPr>
        <w:t>i)</w:t>
      </w:r>
      <w:r w:rsidRPr="007E3B4E">
        <w:tab/>
      </w:r>
      <w:r w:rsidRPr="007E3B4E">
        <w:rPr>
          <w:highlight w:val="lightGray"/>
        </w:rPr>
        <w:t>a részt vevő fél, megbízott fél vagy végrehajtó hatóság tevékenysége nem gyakorol kedvezőtlen hatást a kiszolgáltatott helyzetben lévő felhasználókra, az energiaszegénység által érintett személyekre és adott esetben a szociális bérlakásokban élőkre.</w:t>
      </w:r>
    </w:p>
    <w:p w14:paraId="6AA7A733" w14:textId="77777777" w:rsidR="00DB73A0" w:rsidRPr="007E3B4E" w:rsidRDefault="00DB73A0" w:rsidP="00DB73A0">
      <w:pPr>
        <w:pStyle w:val="CRSeparator"/>
      </w:pPr>
    </w:p>
    <w:p w14:paraId="3CC645D7"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1D721BAE"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3D9C9C22" w14:textId="77777777" w:rsidR="00DB73A0" w:rsidRPr="007E3B4E" w:rsidRDefault="00DB73A0" w:rsidP="00A05BB8">
      <w:pPr>
        <w:pStyle w:val="Point0"/>
      </w:pPr>
      <w:r w:rsidRPr="007E3B4E">
        <w:t>4.</w:t>
      </w:r>
      <w:r w:rsidRPr="007E3B4E">
        <w:tab/>
        <w:t xml:space="preserve">A </w:t>
      </w:r>
      <w:r w:rsidRPr="007E3B4E">
        <w:rPr>
          <w:rStyle w:val="CRMinorChangeAdded"/>
        </w:rPr>
        <w:t>10</w:t>
      </w:r>
      <w:r w:rsidRPr="007E3B4E">
        <w:rPr>
          <w:rStyle w:val="CRMinorChangeDeleted"/>
        </w:rPr>
        <w:t>7b</w:t>
      </w:r>
      <w:r w:rsidRPr="007E3B4E">
        <w:t>. cikk alapján bevezetett adózási intézkedésekhez kapcsolódó szakpolitikai intézkedésekből származó energiamegtakarítás meghatározásakor a következő elvek alkalmazandók:</w:t>
      </w:r>
    </w:p>
    <w:p w14:paraId="3C1E877D" w14:textId="77777777" w:rsidR="00DB73A0" w:rsidRPr="007E3B4E" w:rsidRDefault="00DB73A0" w:rsidP="00A05BB8">
      <w:pPr>
        <w:pStyle w:val="Point1"/>
      </w:pPr>
      <w:r w:rsidRPr="007E3B4E">
        <w:t>a)</w:t>
      </w:r>
      <w:r w:rsidRPr="007E3B4E">
        <w:tab/>
        <w:t>csak a 2003/96/EK</w:t>
      </w:r>
      <w:r w:rsidRPr="007E3B4E">
        <w:rPr>
          <w:rStyle w:val="FootnoteReference"/>
        </w:rPr>
        <w:footnoteReference w:id="8"/>
      </w:r>
      <w:r w:rsidRPr="007E3B4E">
        <w:t xml:space="preserve"> vagy a 2006/112/EK tanácsi irányelvben</w:t>
      </w:r>
      <w:r w:rsidRPr="007E3B4E">
        <w:rPr>
          <w:rStyle w:val="FootnoteReference"/>
        </w:rPr>
        <w:footnoteReference w:id="9"/>
      </w:r>
      <w:r w:rsidRPr="007E3B4E">
        <w:t xml:space="preserve"> előírt, a tüzelő-, fűtő-, illetve üzemanyagokra vonatkozó adóztatás minimális szintjét meghaladó adózási intézkedésekből származó energiamegtakarítást lehet jóváírni;</w:t>
      </w:r>
    </w:p>
    <w:p w14:paraId="7A4096A8" w14:textId="77777777" w:rsidR="00DB73A0" w:rsidRPr="007E3B4E" w:rsidRDefault="00DB73A0" w:rsidP="00A05BB8">
      <w:pPr>
        <w:pStyle w:val="Point1"/>
      </w:pPr>
      <w:r w:rsidRPr="007E3B4E">
        <w:t>b)</w:t>
      </w:r>
      <w:r w:rsidRPr="007E3B4E">
        <w:tab/>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00A6019E" w:rsidRPr="007E3B4E">
        <w:rPr>
          <w:highlight w:val="lightGray"/>
        </w:rPr>
        <w:t> </w:t>
      </w:r>
      <w:r w:rsidRPr="007E3B4E">
        <w:rPr>
          <w:highlight w:val="lightGray"/>
        </w:rPr>
        <w:t>az (energiára vonatkozó) adózási intézkedések hatásának kiszámítása során figyelembe vett rövid távú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árrugalmasságnak tükröznie kell az energia iránti kereslet alkalmazkodóképességét az árváltozásokhoz, és az árrugalmasság becsléséhez olyan friss és reprezentatív hivatalos forrásadatokat kell felhasználni</w:t>
      </w:r>
      <w:r w:rsidRPr="007E3B4E">
        <w:rPr>
          <w:rStyle w:val="CRMinorChangeDeleted"/>
        </w:rPr>
        <w: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00A6019E" w:rsidRPr="007E3B4E">
        <w:rPr>
          <w:highlight w:val="lightGray"/>
        </w:rPr>
        <w:t> </w:t>
      </w:r>
      <w:r w:rsidRPr="007E3B4E">
        <w:rPr>
          <w:highlight w:val="lightGray"/>
        </w:rPr>
        <w:t>amelyek az adott tagállamra vonatkoznak, és adott esetben független intézet kísérő tanulmányain alapulnak. Ha nem rövid távú árrugalmasságot alkalmaznak, a tagállamok kifejtik, hogy az egyéb uniós jogszabályok végrehajtásából eredő energiahatékonyság-javulást hogyan vették figyelembe az energiamegtakarítás becslésére használt alapforgatókönyvben, illetve hogyan kerülték el az egyéb uniós jogszabályokból eredő energiamegtakarítások kétszeres beszámítását;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p>
    <w:p w14:paraId="1AE0997A" w14:textId="77777777" w:rsidR="00DB73A0" w:rsidRPr="007E3B4E" w:rsidRDefault="00DB73A0" w:rsidP="00A05BB8">
      <w:pPr>
        <w:pStyle w:val="Point1"/>
        <w:rPr>
          <w:rStyle w:val="CRMinorChangeDeleted"/>
        </w:rPr>
      </w:pPr>
      <w:r w:rsidRPr="007E3B4E">
        <w:t>c)</w:t>
      </w:r>
      <w:r w:rsidRPr="007E3B4E">
        <w:tab/>
        <w:t>külön kell elszámolni a kísérő adópolitikai intézkedésekből – köztük a pénzügyi ösztönzőkből vagy az alapokba történő befizetésekből – származó energiamegtakarítást</w:t>
      </w:r>
      <w:r w:rsidRPr="007E3B4E">
        <w:rPr>
          <w:rStyle w:val="CRMinorChangeAdded"/>
        </w:rPr>
        <w:t>;</w:t>
      </w:r>
      <w:r w:rsidRPr="007E3B4E">
        <w:rPr>
          <w:rStyle w:val="CRMinorChangeDeleted"/>
        </w:rPr>
        <w:t>.</w:t>
      </w:r>
    </w:p>
    <w:p w14:paraId="356CAD45" w14:textId="77777777" w:rsidR="00D862CD" w:rsidRPr="007E3B4E" w:rsidRDefault="00D862CD" w:rsidP="00D862CD">
      <w:pPr>
        <w:pStyle w:val="CRSeparator"/>
      </w:pPr>
    </w:p>
    <w:p w14:paraId="254002A4" w14:textId="77777777" w:rsidR="00D862CD" w:rsidRPr="007E3B4E" w:rsidRDefault="00D862CD" w:rsidP="00D862CD">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23B20780" w14:textId="77777777" w:rsidR="00DB73A0" w:rsidRPr="007E3B4E" w:rsidRDefault="00DB73A0" w:rsidP="00A05BB8">
      <w:pPr>
        <w:pStyle w:val="Point1"/>
        <w:rPr>
          <w:highlight w:val="lightGray"/>
        </w:rPr>
      </w:pPr>
      <w:r w:rsidRPr="007E3B4E">
        <w:rPr>
          <w:highlight w:val="lightGray"/>
        </w:rPr>
        <w:t>d)</w:t>
      </w:r>
      <w:r w:rsidRPr="007E3B4E">
        <w:tab/>
      </w:r>
      <w:r w:rsidRPr="007E3B4E">
        <w:rPr>
          <w:highlight w:val="lightGray"/>
        </w:rPr>
        <w:t>az uniós joggal és más szakpolitikai intézkedésekkel való átfedések elkerülése érdekében rövid távú rugalmassági becsléseket kell alkalmazni az adózási intézkedésekből származó energiamegtakarítás felmérésére;</w:t>
      </w:r>
    </w:p>
    <w:p w14:paraId="7FD67CA2" w14:textId="77777777" w:rsidR="00DB73A0" w:rsidRPr="007E3B4E" w:rsidRDefault="00DB73A0" w:rsidP="00A05BB8">
      <w:pPr>
        <w:pStyle w:val="Point1"/>
        <w:rPr>
          <w:highlight w:val="lightGray"/>
        </w:rPr>
      </w:pPr>
      <w:r w:rsidRPr="007E3B4E">
        <w:rPr>
          <w:highlight w:val="lightGray"/>
        </w:rPr>
        <w:t>e)</w:t>
      </w:r>
      <w:r w:rsidRPr="007E3B4E">
        <w:tab/>
      </w:r>
      <w:r w:rsidRPr="007E3B4E">
        <w:rPr>
          <w:highlight w:val="lightGray"/>
        </w:rPr>
        <w:t>a tagállamok meghatározzák az adózásnak és az azzal egyenértékű intézkedéseknek a kiszolgáltatott helyzetben lévő felhasználókra, az energiaszegénység által érintett személyekre és adott esetben a szociális bérlakásokban élőkre gyakorolt elosztási hatásait, és bemutatják a 22. cikk (1)–(3) bekezdésével összhangban végrehajtott kockázatcsökkentő intézkedések hatásait;</w:t>
      </w:r>
    </w:p>
    <w:p w14:paraId="62784976" w14:textId="77777777" w:rsidR="00DB73A0" w:rsidRPr="007E3B4E" w:rsidRDefault="00DB73A0" w:rsidP="00A05BB8">
      <w:pPr>
        <w:pStyle w:val="Point1"/>
        <w:rPr>
          <w:highlight w:val="lightGray"/>
        </w:rPr>
      </w:pPr>
      <w:r w:rsidRPr="007E3B4E">
        <w:rPr>
          <w:highlight w:val="lightGray"/>
        </w:rPr>
        <w:t>f)</w:t>
      </w:r>
      <w:r w:rsidRPr="007E3B4E">
        <w:tab/>
      </w:r>
      <w:r w:rsidRPr="007E3B4E">
        <w:rPr>
          <w:highlight w:val="lightGray"/>
        </w:rPr>
        <w:t>a tagállamok bizonyítékot – többek között számítási módszereket – szolgáltatnak arra vonatkozóan, hogy amennyiben átfedés van az energia- vagy szén-dioxid-adóztatási intézkedések vagy az EU ETS irányelv [COM(2021) 551 final,2021/0211 (COD)] szerinti kibocsátáskereskedelem hatása között, nem kerül sor az energiamegtakarítás kétszeres beszámítására.</w:t>
      </w:r>
    </w:p>
    <w:p w14:paraId="3BA72263" w14:textId="77777777" w:rsidR="00DB73A0" w:rsidRPr="007E3B4E" w:rsidRDefault="00DB73A0" w:rsidP="00DB73A0">
      <w:pPr>
        <w:pStyle w:val="CRSeparator"/>
      </w:pPr>
    </w:p>
    <w:p w14:paraId="15DF06BC"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 (kiigazított szöveg)</w:t>
      </w:r>
    </w:p>
    <w:p w14:paraId="28121AD0" w14:textId="77777777" w:rsidR="00DB73A0" w:rsidRPr="007E3B4E" w:rsidRDefault="00DB73A0" w:rsidP="00A46725">
      <w:pPr>
        <w:pStyle w:val="Point0"/>
      </w:pPr>
      <w:r w:rsidRPr="007E3B4E">
        <w:t>5.</w:t>
      </w:r>
      <w:r w:rsidRPr="007E3B4E">
        <w:tab/>
        <w:t>A módszertan bejelentése</w:t>
      </w:r>
    </w:p>
    <w:p w14:paraId="599B6019" w14:textId="77777777" w:rsidR="00DB73A0" w:rsidRPr="007E3B4E" w:rsidRDefault="00DB73A0" w:rsidP="009B2F85">
      <w:pPr>
        <w:pStyle w:val="Text1"/>
      </w:pPr>
      <w:r w:rsidRPr="007E3B4E">
        <w:t xml:space="preserve">A tagállamok az (EU) 2018/1999 rendelettel összhangban értesítik a Bizottságot a </w:t>
      </w:r>
      <w:r w:rsidRPr="007E3B4E">
        <w:rPr>
          <w:rStyle w:val="CRMinorChangeAdded"/>
        </w:rPr>
        <w:t>9</w:t>
      </w:r>
      <w:r w:rsidRPr="007E3B4E">
        <w:rPr>
          <w:rStyle w:val="CRMinorChangeDeleted"/>
        </w:rPr>
        <w:t>7a</w:t>
      </w:r>
      <w:r w:rsidRPr="007E3B4E">
        <w:t xml:space="preserve">., és a </w:t>
      </w:r>
      <w:r w:rsidRPr="007E3B4E">
        <w:rPr>
          <w:rStyle w:val="CRMinorChangeAdded"/>
        </w:rPr>
        <w:t>10</w:t>
      </w:r>
      <w:r w:rsidRPr="007E3B4E">
        <w:rPr>
          <w:rStyle w:val="CRMinorChangeDeleted"/>
        </w:rPr>
        <w:t>7b</w:t>
      </w:r>
      <w:r w:rsidRPr="007E3B4E">
        <w:t xml:space="preserve">. cikkben, valamint a </w:t>
      </w:r>
      <w:r w:rsidRPr="007E3B4E">
        <w:rPr>
          <w:rStyle w:val="CRMinorChangeAdded"/>
        </w:rPr>
        <w:t>28</w:t>
      </w:r>
      <w:r w:rsidRPr="007E3B4E">
        <w:rPr>
          <w:rStyle w:val="CRMinorChangeDeleted"/>
        </w:rPr>
        <w:t>20</w:t>
      </w:r>
      <w:r w:rsidRPr="007E3B4E">
        <w:t xml:space="preserve">. cikk </w:t>
      </w:r>
      <w:r w:rsidRPr="007E3B4E">
        <w:rPr>
          <w:rStyle w:val="CRMinorChangeAdded"/>
        </w:rPr>
        <w:t>(11)</w:t>
      </w:r>
      <w:r w:rsidRPr="007E3B4E">
        <w:rPr>
          <w:rStyle w:val="CRMinorChangeDeleted"/>
        </w:rPr>
        <w:t>(6)</w:t>
      </w:r>
      <w:r w:rsidRPr="007E3B4E">
        <w:t xml:space="preserve"> bekezdésében említett energiahatékonysági kötelezettségi rendszerek működtetésére és alternatív intézkedések végrehajtására vonatkozóan javasolt részletes módszertanukról. Az értesítésben – az adózástól eltérő esetekben – részletesen meg kell adni a következőket:</w:t>
      </w:r>
    </w:p>
    <w:p w14:paraId="38C28450" w14:textId="77777777" w:rsidR="00DB73A0" w:rsidRPr="007E3B4E" w:rsidRDefault="00DB73A0" w:rsidP="009B2F85">
      <w:pPr>
        <w:pStyle w:val="Point1"/>
      </w:pPr>
      <w:r w:rsidRPr="007E3B4E">
        <w:t>a)</w:t>
      </w:r>
      <w:r w:rsidRPr="007E3B4E">
        <w:tab/>
        <w:t xml:space="preserve">a </w:t>
      </w:r>
      <w:r w:rsidRPr="007E3B4E">
        <w:rPr>
          <w:rStyle w:val="CRMinorChangeAdded"/>
        </w:rPr>
        <w:t>8</w:t>
      </w:r>
      <w:r w:rsidRPr="007E3B4E">
        <w:rPr>
          <w:rStyle w:val="CRMinorChangeDeleted"/>
        </w:rPr>
        <w:t>7</w:t>
      </w:r>
      <w:r w:rsidRPr="007E3B4E">
        <w:t>. cikk (1) bekezdése első albekezdés</w:t>
      </w:r>
      <w:r w:rsidRPr="007E3B4E">
        <w:rPr>
          <w:rStyle w:val="CRMinorChangeAdded"/>
        </w:rPr>
        <w:t>e</w:t>
      </w:r>
      <w:r w:rsidRPr="007E3B4E">
        <w:rPr>
          <w:rStyle w:val="CRMinorChangeDeleted"/>
        </w:rPr>
        <w:t>ének</w:t>
      </w:r>
      <w:r w:rsidRPr="007E3B4E">
        <w:t xml:space="preserve"> </w:t>
      </w:r>
      <w:r w:rsidRPr="007E3B4E">
        <w:rPr>
          <w:rStyle w:val="CRDeleted"/>
        </w:rPr>
        <w:t>b) pontja</w:t>
      </w:r>
      <w:r w:rsidRPr="007E3B4E">
        <w:t xml:space="preserve"> szerint előírt energiamegtakarítás szintje vagy a 2021. január 1-jétől 2030. december 31-ig tartó teljes időszakban várható megtakarítás;</w:t>
      </w:r>
    </w:p>
    <w:p w14:paraId="195AB3C0" w14:textId="77777777" w:rsidR="00DB73A0" w:rsidRPr="007E3B4E" w:rsidRDefault="00DB73A0" w:rsidP="00DB73A0">
      <w:pPr>
        <w:pStyle w:val="CRSeparator"/>
      </w:pPr>
    </w:p>
    <w:p w14:paraId="47AE998D"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10459709" w14:textId="77777777" w:rsidR="00DB73A0" w:rsidRPr="007E3B4E" w:rsidRDefault="00CA63E0" w:rsidP="009B2F85">
      <w:pPr>
        <w:pStyle w:val="Point1"/>
      </w:pPr>
      <w:r w:rsidRPr="007E3B4E">
        <w:rPr>
          <w:highlight w:val="lightGray"/>
        </w:rPr>
        <w:t>b)</w:t>
      </w:r>
      <w:r w:rsidRPr="007E3B4E">
        <w:tab/>
      </w:r>
      <w:r w:rsidRPr="007E3B4E">
        <w:rPr>
          <w:highlight w:val="lightGray"/>
        </w:rPr>
        <w:t>a 8. cikk (1) bekezdésének első albekezdésében előírt új energiamegtakarítás vagy a várhatóan elért energiamegtakarítás kiszámított mennyiségét hogyan szakaszolják a kötelezettségi időszakon belül;</w:t>
      </w:r>
    </w:p>
    <w:p w14:paraId="58BFDB75" w14:textId="77777777" w:rsidR="00DB73A0" w:rsidRPr="007E3B4E" w:rsidRDefault="00DB73A0" w:rsidP="00DB73A0">
      <w:pPr>
        <w:pStyle w:val="CRSeparator"/>
      </w:pPr>
    </w:p>
    <w:p w14:paraId="5352F144"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2FFEAEC5" w14:textId="77777777" w:rsidR="00DB73A0" w:rsidRPr="007E3B4E" w:rsidRDefault="00DB73A0" w:rsidP="009B2F85">
      <w:pPr>
        <w:pStyle w:val="Point1"/>
      </w:pPr>
      <w:r w:rsidRPr="007E3B4E">
        <w:rPr>
          <w:rStyle w:val="CRMinorChangeAdded"/>
        </w:rPr>
        <w:t>c</w:t>
      </w:r>
      <w:r w:rsidRPr="007E3B4E">
        <w:rPr>
          <w:rStyle w:val="CRMinorChangeDeleted"/>
        </w:rPr>
        <w:t>b</w:t>
      </w:r>
      <w:r w:rsidRPr="007E3B4E">
        <w:t>)</w:t>
      </w:r>
      <w:r w:rsidRPr="007E3B4E">
        <w:tab/>
        <w:t>a kötelezett, a részt vevő vagy a megbízott felek, vagy a végrehajtó állami hatóságok;</w:t>
      </w:r>
    </w:p>
    <w:p w14:paraId="58839913" w14:textId="77777777" w:rsidR="00DB73A0" w:rsidRPr="007E3B4E" w:rsidRDefault="00DB73A0" w:rsidP="009B2F85">
      <w:pPr>
        <w:pStyle w:val="Point1"/>
      </w:pPr>
      <w:r w:rsidRPr="007E3B4E">
        <w:rPr>
          <w:rStyle w:val="CRMinorChangeAdded"/>
        </w:rPr>
        <w:t>d</w:t>
      </w:r>
      <w:r w:rsidRPr="007E3B4E">
        <w:rPr>
          <w:rStyle w:val="CRMinorChangeDeleted"/>
        </w:rPr>
        <w:t>c</w:t>
      </w:r>
      <w:r w:rsidRPr="007E3B4E">
        <w:t>)</w:t>
      </w:r>
      <w:r w:rsidRPr="007E3B4E">
        <w:tab/>
        <w:t>a célzott ágazatok;</w:t>
      </w:r>
    </w:p>
    <w:p w14:paraId="4B94621E" w14:textId="77777777" w:rsidR="00DB73A0" w:rsidRPr="007E3B4E" w:rsidRDefault="00DB73A0" w:rsidP="009B2F85">
      <w:pPr>
        <w:pStyle w:val="Point1"/>
      </w:pPr>
      <w:r w:rsidRPr="007E3B4E">
        <w:rPr>
          <w:rStyle w:val="CRMinorChangeAdded"/>
        </w:rPr>
        <w:t>e</w:t>
      </w:r>
      <w:r w:rsidRPr="007E3B4E">
        <w:rPr>
          <w:rStyle w:val="CRMinorChangeDeleted"/>
        </w:rPr>
        <w:t>d</w:t>
      </w:r>
      <w:r w:rsidRPr="007E3B4E">
        <w:t>)</w:t>
      </w:r>
      <w:r w:rsidRPr="007E3B4E">
        <w:tab/>
        <w:t>a szakpolitikai intézkedések és egyéni fellépések, beleértve a halmozott energiamegtakarítás egyes intézkedésenkénti várható teljes mennyiségét;</w:t>
      </w:r>
    </w:p>
    <w:p w14:paraId="1684E82D" w14:textId="77777777" w:rsidR="00DB73A0" w:rsidRPr="007E3B4E" w:rsidRDefault="00DB73A0" w:rsidP="00DB73A0">
      <w:pPr>
        <w:pStyle w:val="CRSeparator"/>
      </w:pPr>
    </w:p>
    <w:p w14:paraId="03CBC092"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3AA759AF" w14:textId="77777777" w:rsidR="00DB73A0" w:rsidRPr="007E3B4E" w:rsidRDefault="009B2F85" w:rsidP="009B2F85">
      <w:pPr>
        <w:pStyle w:val="Point1"/>
        <w:rPr>
          <w:highlight w:val="lightGray"/>
        </w:rPr>
      </w:pPr>
      <w:r w:rsidRPr="007E3B4E">
        <w:rPr>
          <w:highlight w:val="lightGray"/>
        </w:rPr>
        <w:t>f)</w:t>
      </w:r>
      <w:r w:rsidRPr="007E3B4E">
        <w:tab/>
      </w:r>
      <w:r w:rsidRPr="007E3B4E">
        <w:rPr>
          <w:highlight w:val="lightGray"/>
        </w:rPr>
        <w:t>tájékoztatás a nemzeti energiahatékonysági alapból finanszírozott azon szakpolitikai intézkedésekről, illetve programokról, amelyeket prioritásként hajtanak végre az energiaszegénység által érintett személyek, a kiszolgáltatott helyzetben lévő felhasználók és adott esetben a szociális bérlakásokban élők körében;</w:t>
      </w:r>
    </w:p>
    <w:p w14:paraId="412874B4" w14:textId="77777777" w:rsidR="00DB73A0" w:rsidRPr="007E3B4E" w:rsidRDefault="00DB73A0" w:rsidP="009B2F85">
      <w:pPr>
        <w:pStyle w:val="Point1"/>
        <w:rPr>
          <w:highlight w:val="lightGray"/>
        </w:rPr>
      </w:pPr>
      <w:r w:rsidRPr="007E3B4E">
        <w:rPr>
          <w:highlight w:val="lightGray"/>
        </w:rPr>
        <w:t>g)</w:t>
      </w:r>
      <w:r w:rsidRPr="007E3B4E">
        <w:tab/>
      </w:r>
      <w:r w:rsidRPr="007E3B4E">
        <w:rPr>
          <w:highlight w:val="lightGray"/>
        </w:rPr>
        <w:t>az energiamegtakarítás azon előírt részaránya és mennyisége, amelyet az energiaszegénység által érintett személyek, a kiszolgáltatott helyzetben lévő felhasználók és adott esetben a szociális bérlakásokban élők körében kell elérni;</w:t>
      </w:r>
    </w:p>
    <w:p w14:paraId="4811E6F8" w14:textId="77777777" w:rsidR="00DB73A0" w:rsidRPr="007E3B4E" w:rsidRDefault="00DB73A0" w:rsidP="009B2F85">
      <w:pPr>
        <w:pStyle w:val="Point1"/>
        <w:rPr>
          <w:highlight w:val="lightGray"/>
        </w:rPr>
      </w:pPr>
      <w:r w:rsidRPr="007E3B4E">
        <w:rPr>
          <w:highlight w:val="lightGray"/>
        </w:rPr>
        <w:t>h)</w:t>
      </w:r>
      <w:r w:rsidRPr="007E3B4E">
        <w:tab/>
      </w:r>
      <w:r w:rsidRPr="007E3B4E">
        <w:rPr>
          <w:highlight w:val="lightGray"/>
        </w:rPr>
        <w:t>adott esetben tájékoztatás az alkalmazott mutatókról, a részarány számtani átlagáról és a 8. cikk (3) bekezdése szerint megállapított szakpolitikai intézkedések eredményéről;</w:t>
      </w:r>
    </w:p>
    <w:p w14:paraId="71D6A02B" w14:textId="77777777" w:rsidR="00DB73A0" w:rsidRPr="007E3B4E" w:rsidRDefault="00DB73A0" w:rsidP="009B2F85">
      <w:pPr>
        <w:pStyle w:val="Point1"/>
      </w:pPr>
      <w:r w:rsidRPr="007E3B4E">
        <w:rPr>
          <w:highlight w:val="lightGray"/>
        </w:rPr>
        <w:t>i)</w:t>
      </w:r>
      <w:r w:rsidRPr="007E3B4E">
        <w:tab/>
      </w:r>
      <w:r w:rsidRPr="007E3B4E">
        <w:rPr>
          <w:highlight w:val="lightGray"/>
        </w:rPr>
        <w:t>adott esetben tájékoztatás a 8. cikk (3) bekezdése szerint végrehajtott szakpolitikai intézkedéseknek az energiaszegénység által érintett személyekre, a kiszolgáltatott helyzetben lévő felhasználókra és adott esetben a szociális bérlakásokban élőkre gyakorolt kedvező vagy kedvezőtlen hatásairól;</w:t>
      </w:r>
    </w:p>
    <w:p w14:paraId="51CB76EC" w14:textId="77777777" w:rsidR="00DB73A0" w:rsidRPr="007E3B4E" w:rsidRDefault="00DB73A0" w:rsidP="00DB73A0">
      <w:pPr>
        <w:pStyle w:val="CRSeparator"/>
      </w:pPr>
    </w:p>
    <w:p w14:paraId="059E2BC2"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p>
    <w:p w14:paraId="200153CC" w14:textId="77777777" w:rsidR="00DB73A0" w:rsidRPr="007E3B4E" w:rsidRDefault="00DB73A0" w:rsidP="009B2F85">
      <w:pPr>
        <w:pStyle w:val="Point1"/>
      </w:pPr>
      <w:r w:rsidRPr="007E3B4E">
        <w:rPr>
          <w:rStyle w:val="CRMinorChangeAdded"/>
        </w:rPr>
        <w:t>j</w:t>
      </w:r>
      <w:r w:rsidRPr="007E3B4E">
        <w:rPr>
          <w:rStyle w:val="CRMinorChangeDeleted"/>
        </w:rPr>
        <w:t>e</w:t>
      </w:r>
      <w:r w:rsidRPr="007E3B4E">
        <w:t>)</w:t>
      </w:r>
      <w:r w:rsidRPr="007E3B4E">
        <w:tab/>
        <w:t>az energiahatékonysági kötelezettségi rendszer keretében meghatározott kötelezettségi időszak időtartama;</w:t>
      </w:r>
    </w:p>
    <w:p w14:paraId="6DF873ED" w14:textId="77777777" w:rsidR="00DB73A0" w:rsidRPr="007E3B4E" w:rsidRDefault="00DB73A0" w:rsidP="00DB73A0">
      <w:pPr>
        <w:pStyle w:val="CRSeparator"/>
      </w:pPr>
    </w:p>
    <w:p w14:paraId="6F843B7D"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3EEB15EF" w14:textId="77777777" w:rsidR="00DB73A0" w:rsidRPr="007E3B4E" w:rsidRDefault="00CA63E0" w:rsidP="009B2F85">
      <w:pPr>
        <w:pStyle w:val="Point1"/>
      </w:pPr>
      <w:r w:rsidRPr="007E3B4E">
        <w:rPr>
          <w:highlight w:val="lightGray"/>
        </w:rPr>
        <w:t>k)</w:t>
      </w:r>
      <w:r w:rsidRPr="007E3B4E">
        <w:tab/>
      </w:r>
      <w:r w:rsidRPr="007E3B4E">
        <w:rPr>
          <w:highlight w:val="lightGray"/>
        </w:rPr>
        <w:t>adott esetben a kötelezett felek által az energiaszegénység által érintett személyek, a kiszolgáltatott helyzetben lévő felhasználók és adott esetben a szociális bérlakásokban élők körében elérendő energiamegtakarítási vagy költségcsökkentési célkitűzések;</w:t>
      </w:r>
    </w:p>
    <w:p w14:paraId="5BB53E79" w14:textId="77777777" w:rsidR="00DB73A0" w:rsidRPr="007E3B4E" w:rsidRDefault="00DB73A0" w:rsidP="00DB73A0">
      <w:pPr>
        <w:pStyle w:val="CRSeparator"/>
      </w:pPr>
    </w:p>
    <w:p w14:paraId="532AA131"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2. melléklet</w:t>
      </w:r>
      <w:r w:rsidR="00E6107E" w:rsidRPr="007E3B4E">
        <w:t xml:space="preserve"> (kiigazított szöveg)</w:t>
      </w:r>
    </w:p>
    <w:p w14:paraId="2576AA98" w14:textId="77777777" w:rsidR="00C4327F" w:rsidRPr="007E3B4E" w:rsidRDefault="00C4327F" w:rsidP="00C4327F">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547B623C" w14:textId="77777777" w:rsidR="00DB73A0" w:rsidRPr="007E3B4E" w:rsidRDefault="00DB73A0" w:rsidP="009B2F85">
      <w:pPr>
        <w:pStyle w:val="Point1"/>
      </w:pPr>
      <w:r w:rsidRPr="007E3B4E">
        <w:rPr>
          <w:rStyle w:val="CRMinorChangeAdded"/>
        </w:rPr>
        <w:t>l</w:t>
      </w:r>
      <w:r w:rsidRPr="007E3B4E">
        <w:rPr>
          <w:rStyle w:val="CRMinorChangeDeleted"/>
        </w:rPr>
        <w:t>f</w:t>
      </w:r>
      <w:r w:rsidRPr="007E3B4E">
        <w:t>)</w:t>
      </w:r>
      <w:r w:rsidRPr="007E3B4E">
        <w:tab/>
        <w:t>a szakpolitikai intézkedés által meghatározott fellépések;</w:t>
      </w:r>
    </w:p>
    <w:p w14:paraId="1C74698C" w14:textId="77777777" w:rsidR="00DB73A0" w:rsidRPr="007E3B4E" w:rsidRDefault="00DB73A0" w:rsidP="009B2F85">
      <w:pPr>
        <w:pStyle w:val="Point1"/>
      </w:pPr>
      <w:r w:rsidRPr="007E3B4E">
        <w:rPr>
          <w:rStyle w:val="CRMinorChangeAdded"/>
        </w:rPr>
        <w:t>m</w:t>
      </w:r>
      <w:r w:rsidRPr="007E3B4E">
        <w:rPr>
          <w:rStyle w:val="CRMinorChangeDeleted"/>
        </w:rPr>
        <w:t>g</w:t>
      </w:r>
      <w:r w:rsidRPr="007E3B4E">
        <w:t>)</w:t>
      </w:r>
      <w:r w:rsidRPr="007E3B4E">
        <w:tab/>
        <w:t>a számítás módszertana, beleértve azt is, hogy miként határozták meg az addicionalitást és a lényegességet, valamint hogy milyen módszertanokat és referenciaértékeket alkalmaznak a várható és a nagyságrendi megtakarítás tekintetében</w:t>
      </w:r>
      <w:r w:rsidRPr="007E3B4E">
        <w:rPr>
          <w:rStyle w:val="CRMinorChangeAdded"/>
        </w:rPr>
        <w: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továbbá adott esetben a használt fűtőértéket és átváltási tényezőket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w:t>
      </w:r>
    </w:p>
    <w:p w14:paraId="3901D9DB" w14:textId="77777777" w:rsidR="00DB73A0" w:rsidRPr="007E3B4E" w:rsidRDefault="00DB73A0" w:rsidP="009B2F85">
      <w:pPr>
        <w:pStyle w:val="Point1"/>
      </w:pPr>
      <w:r w:rsidRPr="007E3B4E">
        <w:rPr>
          <w:rStyle w:val="CRMinorChangeAdded"/>
        </w:rPr>
        <w:t>n</w:t>
      </w:r>
      <w:r w:rsidRPr="007E3B4E">
        <w:rPr>
          <w:rStyle w:val="CRMinorChangeDeleted"/>
        </w:rPr>
        <w:t>h</w:t>
      </w:r>
      <w:r w:rsidRPr="007E3B4E">
        <w:t>)</w:t>
      </w:r>
      <w:r w:rsidRPr="007E3B4E">
        <w:tab/>
        <w:t>az intézkedések élettartama és számításuk módja, vagy az, hogy min alapulnak;</w:t>
      </w:r>
    </w:p>
    <w:p w14:paraId="170F70AA" w14:textId="77777777" w:rsidR="00DB73A0" w:rsidRPr="007E3B4E" w:rsidRDefault="00DB73A0" w:rsidP="009B2F85">
      <w:pPr>
        <w:pStyle w:val="Point1"/>
      </w:pPr>
      <w:r w:rsidRPr="007E3B4E">
        <w:rPr>
          <w:rStyle w:val="CRMinorChangeAdded"/>
        </w:rPr>
        <w:t>o</w:t>
      </w:r>
      <w:r w:rsidRPr="007E3B4E">
        <w:rPr>
          <w:rStyle w:val="CRMinorChangeDeleted"/>
        </w:rPr>
        <w:t>i</w:t>
      </w:r>
      <w:r w:rsidRPr="007E3B4E">
        <w:t>)</w:t>
      </w:r>
      <w:r w:rsidRPr="007E3B4E">
        <w:tab/>
        <w:t>a tagállamon belüli éghajlati eltérések figyelembevételére alkalmazott megközelítés;</w:t>
      </w:r>
    </w:p>
    <w:p w14:paraId="4661F5E3" w14:textId="77777777" w:rsidR="00DB73A0" w:rsidRPr="007E3B4E" w:rsidRDefault="00DB73A0" w:rsidP="009B2F85">
      <w:pPr>
        <w:pStyle w:val="Point1"/>
      </w:pPr>
      <w:r w:rsidRPr="007E3B4E">
        <w:rPr>
          <w:rStyle w:val="CRMinorChangeAdded"/>
        </w:rPr>
        <w:t>p</w:t>
      </w:r>
      <w:r w:rsidRPr="007E3B4E">
        <w:rPr>
          <w:rStyle w:val="CRMinorChangeDeleted"/>
        </w:rPr>
        <w:t>j</w:t>
      </w:r>
      <w:r w:rsidRPr="007E3B4E">
        <w:t>)</w:t>
      </w:r>
      <w:r w:rsidRPr="007E3B4E">
        <w:tab/>
        <w:t xml:space="preserve">a </w:t>
      </w:r>
      <w:r w:rsidRPr="007E3B4E">
        <w:rPr>
          <w:rStyle w:val="CRMinorChangeAdded"/>
        </w:rPr>
        <w:t>9</w:t>
      </w:r>
      <w:r w:rsidRPr="007E3B4E">
        <w:rPr>
          <w:rStyle w:val="CRMinorChangeDeleted"/>
        </w:rPr>
        <w:t>7a</w:t>
      </w:r>
      <w:r w:rsidRPr="007E3B4E">
        <w:t xml:space="preserve">. és a </w:t>
      </w:r>
      <w:r w:rsidRPr="007E3B4E">
        <w:rPr>
          <w:rStyle w:val="CRMinorChangeAdded"/>
        </w:rPr>
        <w:t>10</w:t>
      </w:r>
      <w:r w:rsidRPr="007E3B4E">
        <w:rPr>
          <w:rStyle w:val="CRMinorChangeDeleted"/>
        </w:rPr>
        <w:t>7b</w:t>
      </w:r>
      <w:r w:rsidRPr="007E3B4E">
        <w:t>. cikk szerinti intézkedésekre vonatkozó nyomonkövetési és ellenőrzési rendszerek, valamint azoknak a kötelezett, a részt vevő vagy a megbízott felektől való függetlensége biztosításának módja;</w:t>
      </w:r>
    </w:p>
    <w:p w14:paraId="3722CDEC" w14:textId="77777777" w:rsidR="00DB73A0" w:rsidRPr="007E3B4E" w:rsidRDefault="00DB73A0" w:rsidP="009B2F85">
      <w:pPr>
        <w:pStyle w:val="Point1"/>
      </w:pPr>
      <w:r w:rsidRPr="007E3B4E">
        <w:rPr>
          <w:rStyle w:val="CRMinorChangeAdded"/>
        </w:rPr>
        <w:t>q</w:t>
      </w:r>
      <w:r w:rsidRPr="007E3B4E">
        <w:rPr>
          <w:rStyle w:val="CRMinorChangeDeleted"/>
        </w:rPr>
        <w:t>k</w:t>
      </w:r>
      <w:r w:rsidRPr="007E3B4E">
        <w:t>)</w:t>
      </w:r>
      <w:r w:rsidRPr="007E3B4E">
        <w:tab/>
        <w:t>az adózás esetében:</w:t>
      </w:r>
    </w:p>
    <w:p w14:paraId="4D42A303" w14:textId="77777777" w:rsidR="00DB73A0" w:rsidRPr="007E3B4E" w:rsidRDefault="00DB73A0" w:rsidP="009B2F85">
      <w:pPr>
        <w:pStyle w:val="Point2"/>
      </w:pPr>
      <w:r w:rsidRPr="007E3B4E">
        <w:t>i.</w:t>
      </w:r>
      <w:r w:rsidRPr="007E3B4E">
        <w:tab/>
        <w:t>a célzott ágazatok és az adózók célzott rétege;</w:t>
      </w:r>
    </w:p>
    <w:p w14:paraId="1074807C" w14:textId="77777777" w:rsidR="00DB73A0" w:rsidRPr="007E3B4E" w:rsidRDefault="00DB73A0" w:rsidP="009B2F85">
      <w:pPr>
        <w:pStyle w:val="Point2"/>
      </w:pPr>
      <w:r w:rsidRPr="007E3B4E">
        <w:t>ii.</w:t>
      </w:r>
      <w:r w:rsidRPr="007E3B4E">
        <w:tab/>
        <w:t>a végrehajtó állami hatóság;</w:t>
      </w:r>
    </w:p>
    <w:p w14:paraId="6071D915" w14:textId="77777777" w:rsidR="00DB73A0" w:rsidRPr="007E3B4E" w:rsidRDefault="00DB73A0" w:rsidP="009B2F85">
      <w:pPr>
        <w:pStyle w:val="Point2"/>
      </w:pPr>
      <w:r w:rsidRPr="007E3B4E">
        <w:t>iii.</w:t>
      </w:r>
      <w:r w:rsidRPr="007E3B4E">
        <w:tab/>
        <w:t>a várható megtakarítás;</w:t>
      </w:r>
    </w:p>
    <w:p w14:paraId="0AA1D1C6" w14:textId="77777777" w:rsidR="00DB73A0" w:rsidRPr="007E3B4E" w:rsidRDefault="00DB73A0" w:rsidP="009B2F85">
      <w:pPr>
        <w:pStyle w:val="Point2"/>
      </w:pPr>
      <w:r w:rsidRPr="007E3B4E">
        <w:t>iv.</w:t>
      </w:r>
      <w:r w:rsidRPr="007E3B4E">
        <w:tab/>
        <w:t xml:space="preserve">az adózási intézkedés időtartama; </w:t>
      </w:r>
      <w:r w:rsidRPr="007E3B4E">
        <w:rPr>
          <w:rStyle w:val="CRDeleted"/>
        </w:rPr>
        <w:t>és</w:t>
      </w:r>
    </w:p>
    <w:p w14:paraId="7CF955EB" w14:textId="77777777" w:rsidR="00DB73A0" w:rsidRPr="007E3B4E" w:rsidRDefault="00DB73A0" w:rsidP="009B2F85">
      <w:pPr>
        <w:pStyle w:val="Point2"/>
      </w:pPr>
      <w:r w:rsidRPr="007E3B4E">
        <w:t>v.</w:t>
      </w:r>
      <w:r w:rsidRPr="007E3B4E">
        <w:tab/>
        <w:t>a számítás módja, beleértve az alkalmazott árrugalmasságot és megállapításának ; módját</w:t>
      </w:r>
      <w:r w:rsidRPr="007E3B4E">
        <w:rPr>
          <w:rStyle w:val="CRMinorChangeAdded"/>
        </w:rPr>
        <w:t>;</w:t>
      </w:r>
      <w:r w:rsidRPr="007E3B4E">
        <w:rPr>
          <w:rStyle w:val="CRMinorChangeDeleted"/>
        </w:rPr>
        <w:t>.</w:t>
      </w:r>
      <w:r w:rsidRPr="007E3B4E">
        <w:t xml:space="preserve"> </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xml:space="preserve"> valamint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p>
    <w:p w14:paraId="04621308" w14:textId="77777777" w:rsidR="00341DF3" w:rsidRPr="007E3B4E" w:rsidRDefault="00341DF3" w:rsidP="00341DF3">
      <w:pPr>
        <w:pStyle w:val="CRSeparator"/>
      </w:pPr>
    </w:p>
    <w:p w14:paraId="4180DAB8" w14:textId="77777777" w:rsidR="00341DF3" w:rsidRPr="007E3B4E" w:rsidRDefault="00341DF3" w:rsidP="00341DF3">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0753A342" w14:textId="77777777" w:rsidR="00DB73A0" w:rsidRPr="007E3B4E" w:rsidRDefault="00DB73A0" w:rsidP="00197FC9">
      <w:pPr>
        <w:pStyle w:val="Point2"/>
        <w:rPr>
          <w:highlight w:val="lightGray"/>
        </w:rPr>
      </w:pPr>
      <w:r w:rsidRPr="007E3B4E">
        <w:rPr>
          <w:highlight w:val="lightGray"/>
        </w:rPr>
        <w:t>vi.</w:t>
      </w:r>
      <w:r w:rsidRPr="007E3B4E">
        <w:tab/>
      </w:r>
      <w:r w:rsidRPr="007E3B4E">
        <w:rPr>
          <w:highlight w:val="lightGray"/>
        </w:rPr>
        <w:t>hogyan kerülték el az EU ETS irányelv [COM(2021) 551 final,2021/0211 (COD)] szerinti kibocsátáskereskedelemmel való átfedéseket és hogyan szüntették meg a kétszeres beszámítás kockázatát.</w:t>
      </w:r>
    </w:p>
    <w:p w14:paraId="2EAAC95C" w14:textId="77777777" w:rsidR="00872875" w:rsidRPr="007E3B4E" w:rsidRDefault="00872875" w:rsidP="00872875">
      <w:pPr>
        <w:jc w:val="center"/>
        <w:rPr>
          <w:highlight w:val="lightGray"/>
        </w:rPr>
      </w:pPr>
      <w:r w:rsidRPr="007E3B4E">
        <w:rPr>
          <w:szCs w:val="20"/>
          <w:highlight w:val="lightGray"/>
        </w:rPr>
        <w:t>_____________</w:t>
      </w:r>
    </w:p>
    <w:p w14:paraId="68FB929B"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16342964" w14:textId="77777777" w:rsidR="00DB73A0" w:rsidRPr="007E3B4E" w:rsidRDefault="00DB73A0" w:rsidP="00DB73A0">
      <w:pPr>
        <w:pStyle w:val="CRSeparator"/>
      </w:pPr>
    </w:p>
    <w:p w14:paraId="6A249613"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189E5250"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0CC880C3" w14:textId="77777777" w:rsidR="00DB73A0" w:rsidRPr="007E3B4E" w:rsidRDefault="00DB73A0" w:rsidP="00B16F82">
      <w:pPr>
        <w:pStyle w:val="Annexetitre"/>
      </w:pPr>
      <w:r w:rsidRPr="007E3B4E">
        <w:t>VI. MELLÉKLET</w:t>
      </w:r>
    </w:p>
    <w:p w14:paraId="03006713" w14:textId="77777777" w:rsidR="00DB73A0" w:rsidRPr="007E3B4E" w:rsidRDefault="00DB73A0" w:rsidP="00CA727B">
      <w:pPr>
        <w:pStyle w:val="ManualHeading1"/>
        <w:tabs>
          <w:tab w:val="clear" w:pos="850"/>
        </w:tabs>
        <w:ind w:left="851" w:hanging="851"/>
      </w:pPr>
      <w:r w:rsidRPr="007E3B4E">
        <w:rPr>
          <w:i/>
          <w:iCs/>
        </w:rPr>
        <w:t>Az energetikai auditokra vonatkozó minimumkövetelmények, beleértve az energiagazdálkodási rendszerek keretében elvégzett auditokat is</w:t>
      </w:r>
    </w:p>
    <w:p w14:paraId="417EFA27" w14:textId="77777777" w:rsidR="00DB73A0" w:rsidRPr="007E3B4E" w:rsidRDefault="00DB73A0" w:rsidP="00DB73A0">
      <w:r w:rsidRPr="007E3B4E">
        <w:t xml:space="preserve">A </w:t>
      </w:r>
      <w:r w:rsidRPr="007E3B4E">
        <w:rPr>
          <w:rStyle w:val="CRMinorChangeAdded"/>
        </w:rPr>
        <w:t>11</w:t>
      </w:r>
      <w:r w:rsidRPr="007E3B4E">
        <w:rPr>
          <w:rStyle w:val="CRMinorChangeDeleted"/>
        </w:rPr>
        <w:t>8</w:t>
      </w:r>
      <w:r w:rsidRPr="007E3B4E">
        <w:t xml:space="preserve">. cikkben említett energetikai auditoknak az alábbi </w:t>
      </w:r>
      <w:r w:rsidRPr="007E3B4E">
        <w:rPr>
          <w:rStyle w:val="CRDeleted"/>
        </w:rPr>
        <w:t>iránymutatásokon</w:t>
      </w:r>
      <w:r w:rsidRPr="007E3B4E">
        <w:t xml:space="preserve"> </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kritériumokon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r w:rsidRPr="007E3B4E">
        <w:t xml:space="preserve"> kell alapulniuk:</w:t>
      </w:r>
    </w:p>
    <w:p w14:paraId="3F4F7121" w14:textId="77777777" w:rsidR="00DB73A0" w:rsidRPr="007E3B4E" w:rsidRDefault="00DB73A0" w:rsidP="00DB73A0">
      <w:pPr>
        <w:pStyle w:val="Point0"/>
      </w:pPr>
      <w:r w:rsidRPr="007E3B4E">
        <w:t>a)</w:t>
      </w:r>
      <w:r w:rsidRPr="007E3B4E">
        <w:tab/>
        <w:t>az energiafogyasztással és a (villamos energiára vonatkozó) terhelési profilokkal kapcsolatos naprakész, mért és visszakövethető műveleti adatokra kell épülniük;</w:t>
      </w:r>
    </w:p>
    <w:p w14:paraId="65B3C9FD" w14:textId="77777777" w:rsidR="00DB73A0" w:rsidRPr="007E3B4E" w:rsidRDefault="00DB73A0" w:rsidP="00B16F82">
      <w:pPr>
        <w:pStyle w:val="Point0"/>
      </w:pPr>
      <w:r w:rsidRPr="007E3B4E">
        <w:t>b)</w:t>
      </w:r>
      <w:r w:rsidRPr="007E3B4E">
        <w:tab/>
        <w:t>az auditok során el kell végezni az épületek vagy épületcsoportok, ipari műveletek vagy létesítmények energiafogyasztási profiljának részletes felülvizsgálatát, beleértve a szállítást is;</w:t>
      </w:r>
    </w:p>
    <w:p w14:paraId="3D58E84B" w14:textId="77777777" w:rsidR="00DB73A0" w:rsidRPr="007E3B4E" w:rsidRDefault="00DB73A0" w:rsidP="00DB73A0">
      <w:pPr>
        <w:pStyle w:val="CRSeparator"/>
      </w:pPr>
    </w:p>
    <w:p w14:paraId="16D468FA"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6DCC0F97" w14:textId="77777777" w:rsidR="00DB73A0" w:rsidRPr="007E3B4E" w:rsidRDefault="00B16F82" w:rsidP="00DB73A0">
      <w:pPr>
        <w:pStyle w:val="Point0"/>
        <w:rPr>
          <w:highlight w:val="lightGray"/>
        </w:rPr>
      </w:pPr>
      <w:r w:rsidRPr="007E3B4E">
        <w:rPr>
          <w:highlight w:val="lightGray"/>
        </w:rPr>
        <w:t>c)</w:t>
      </w:r>
      <w:r w:rsidRPr="007E3B4E">
        <w:tab/>
      </w:r>
      <w:r w:rsidRPr="007E3B4E">
        <w:rPr>
          <w:highlight w:val="lightGray"/>
        </w:rPr>
        <w:t>az energiafogyasztás csökkentése érdekében energiahatékonysági intézkedéseket kell azonosítani;</w:t>
      </w:r>
    </w:p>
    <w:p w14:paraId="487F0CB7" w14:textId="77777777" w:rsidR="00DB73A0" w:rsidRPr="007E3B4E" w:rsidRDefault="00DB73A0" w:rsidP="00B16F82">
      <w:pPr>
        <w:pStyle w:val="Point0"/>
      </w:pPr>
      <w:r w:rsidRPr="007E3B4E">
        <w:rPr>
          <w:highlight w:val="lightGray"/>
        </w:rPr>
        <w:t>d)</w:t>
      </w:r>
      <w:r w:rsidRPr="007E3B4E">
        <w:tab/>
      </w:r>
      <w:r w:rsidRPr="007E3B4E">
        <w:rPr>
          <w:highlight w:val="lightGray"/>
        </w:rPr>
        <w:t>azonosítani kell a megújuló energia költséghatékony felhasználásának vagy előállításának lehetőségét;</w:t>
      </w:r>
    </w:p>
    <w:p w14:paraId="4D17A1DF" w14:textId="77777777" w:rsidR="00DB73A0" w:rsidRPr="007E3B4E" w:rsidRDefault="00DB73A0" w:rsidP="00DB73A0">
      <w:pPr>
        <w:pStyle w:val="CRSeparator"/>
      </w:pPr>
    </w:p>
    <w:p w14:paraId="1EA9B63D"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6FC10DE9" w14:textId="77777777" w:rsidR="00DB73A0" w:rsidRPr="007E3B4E" w:rsidRDefault="00DB73A0" w:rsidP="00DB73A0">
      <w:pPr>
        <w:pStyle w:val="Point0"/>
      </w:pPr>
      <w:r w:rsidRPr="007E3B4E">
        <w:rPr>
          <w:rStyle w:val="CRMinorChangeAdded"/>
        </w:rPr>
        <w:t>e</w:t>
      </w:r>
      <w:r w:rsidRPr="007E3B4E">
        <w:rPr>
          <w:rStyle w:val="CRMinorChangeDeleted"/>
        </w:rPr>
        <w:t>c</w:t>
      </w:r>
      <w:r w:rsidRPr="007E3B4E">
        <w:t>)</w:t>
      </w:r>
      <w:r w:rsidRPr="007E3B4E">
        <w:tab/>
        <w:t>ha lehetséges, az életciklus</w:t>
      </w:r>
      <w:r w:rsidRPr="007E3B4E">
        <w:rPr>
          <w:rStyle w:val="CRMinorChangeDeleted"/>
        </w:rPr>
        <w:t>-</w:t>
      </w:r>
      <w:r w:rsidRPr="007E3B4E">
        <w:t>költségek elemzésére (LCCA) kell épülniük, nem pedig az egyszerű megtérülési időszakokra (SPP), annak érdekében, hogy figyelembe vegyék többek között a hosszú távú megtakarításokat, a hosszú távú beruházások maradványértékeit, valamint a diszkontrátákat;</w:t>
      </w:r>
    </w:p>
    <w:p w14:paraId="5C3F95FC" w14:textId="77777777" w:rsidR="00DB73A0" w:rsidRPr="007E3B4E" w:rsidRDefault="00DB73A0" w:rsidP="00DB73A0">
      <w:pPr>
        <w:pStyle w:val="Point0"/>
      </w:pPr>
      <w:r w:rsidRPr="007E3B4E">
        <w:rPr>
          <w:rStyle w:val="CRMinorChangeAdded"/>
        </w:rPr>
        <w:t>f</w:t>
      </w:r>
      <w:r w:rsidRPr="007E3B4E">
        <w:rPr>
          <w:rStyle w:val="CRMinorChangeDeleted"/>
        </w:rPr>
        <w:t>d</w:t>
      </w:r>
      <w:r w:rsidRPr="007E3B4E">
        <w:t>)</w:t>
      </w:r>
      <w:r w:rsidRPr="007E3B4E">
        <w:tab/>
        <w:t>arányosnak és megfelelően reprezentatívnak kell lenniük, hogy megbízható képet adhassanak az általános energiahatékonyságról, és segítségükkel megbízhatóan meg lehessen határozni a legjelentősebb javítási lehetőségeket.</w:t>
      </w:r>
    </w:p>
    <w:p w14:paraId="0E69C595" w14:textId="77777777" w:rsidR="00DB73A0" w:rsidRPr="007E3B4E" w:rsidRDefault="00DB73A0" w:rsidP="00DB73A0">
      <w:r w:rsidRPr="007E3B4E">
        <w:t>Az energetikai auditoknak részletes és hitelesített számításokat kell lehetővé tenniük a javasolt intézkedésekre vonatkozóan annak érdekében, hogy világos tájékoztatást adjanak a potenciális megtakarításokról.</w:t>
      </w:r>
    </w:p>
    <w:p w14:paraId="0ACDA13A" w14:textId="77777777" w:rsidR="00DB73A0" w:rsidRPr="007E3B4E" w:rsidRDefault="00DB73A0" w:rsidP="00DB73A0">
      <w:r w:rsidRPr="007E3B4E">
        <w:t>Az energetikai audit során felhasznált adatoknak a visszamenőleges elemzés és a teljesítmény nyomon követése érdekében tárolhatónak kell lenniük.</w:t>
      </w:r>
    </w:p>
    <w:p w14:paraId="0DAED51D" w14:textId="77777777" w:rsidR="00341DF3" w:rsidRPr="007E3B4E" w:rsidRDefault="00341DF3" w:rsidP="00341DF3">
      <w:pPr>
        <w:pStyle w:val="CRSeparator"/>
      </w:pPr>
    </w:p>
    <w:p w14:paraId="07325F01" w14:textId="77777777" w:rsidR="00341DF3" w:rsidRPr="007E3B4E" w:rsidRDefault="00341DF3" w:rsidP="00341DF3">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327355F2" w14:textId="77777777" w:rsidR="00DB73A0" w:rsidRPr="007E3B4E" w:rsidRDefault="00DB73A0" w:rsidP="00CA727B">
      <w:pPr>
        <w:pStyle w:val="ManualHeading1"/>
        <w:tabs>
          <w:tab w:val="clear" w:pos="850"/>
        </w:tabs>
        <w:ind w:left="851" w:hanging="851"/>
        <w:rPr>
          <w:i/>
          <w:highlight w:val="lightGray"/>
        </w:rPr>
      </w:pPr>
      <w:r w:rsidRPr="007E3B4E">
        <w:rPr>
          <w:i/>
          <w:iCs/>
          <w:highlight w:val="lightGray"/>
        </w:rPr>
        <w:t>Az adatközpontok energiateljesítményi adatainak nyomon követésére és közzétételére vonatkozó minimumkövetelmények</w:t>
      </w:r>
    </w:p>
    <w:p w14:paraId="0DB501AE" w14:textId="77777777" w:rsidR="00DB73A0" w:rsidRPr="007E3B4E" w:rsidRDefault="00DB73A0" w:rsidP="009D092B">
      <w:pPr>
        <w:pStyle w:val="Point0"/>
        <w:ind w:left="0" w:firstLine="0"/>
        <w:rPr>
          <w:highlight w:val="lightGray"/>
        </w:rPr>
      </w:pPr>
      <w:r w:rsidRPr="007E3B4E">
        <w:rPr>
          <w:highlight w:val="lightGray"/>
        </w:rPr>
        <w:t>A 11. cikk (10) bekezdésében említett adatközpontok energiahatékonyságával kapcsolatban legalább a következő információkat nyomon kell követni és közzé kell tenni:</w:t>
      </w:r>
    </w:p>
    <w:p w14:paraId="740E1EBD" w14:textId="77777777" w:rsidR="00DB73A0" w:rsidRPr="007E3B4E" w:rsidRDefault="00FE0BA0" w:rsidP="00FE0BA0">
      <w:pPr>
        <w:pStyle w:val="Point0"/>
        <w:rPr>
          <w:highlight w:val="lightGray"/>
        </w:rPr>
      </w:pPr>
      <w:r w:rsidRPr="007E3B4E">
        <w:rPr>
          <w:highlight w:val="lightGray"/>
        </w:rPr>
        <w:t>a)</w:t>
      </w:r>
      <w:r w:rsidRPr="007E3B4E">
        <w:tab/>
      </w:r>
      <w:r w:rsidRPr="007E3B4E">
        <w:rPr>
          <w:highlight w:val="lightGray"/>
        </w:rPr>
        <w:t>az adatközpont neve, az adatközpont tulajdonosának és üzemeltetőinek neve, az adatközpont székhelye szerinti település;</w:t>
      </w:r>
    </w:p>
    <w:p w14:paraId="5CBE3125" w14:textId="77777777" w:rsidR="00DB73A0" w:rsidRPr="007E3B4E" w:rsidRDefault="00FE0BA0" w:rsidP="00FE0BA0">
      <w:pPr>
        <w:pStyle w:val="Point0"/>
        <w:rPr>
          <w:highlight w:val="lightGray"/>
        </w:rPr>
      </w:pPr>
      <w:r w:rsidRPr="007E3B4E">
        <w:rPr>
          <w:highlight w:val="lightGray"/>
        </w:rPr>
        <w:t>b)</w:t>
      </w:r>
      <w:r w:rsidRPr="007E3B4E">
        <w:tab/>
      </w:r>
      <w:r w:rsidRPr="007E3B4E">
        <w:rPr>
          <w:highlight w:val="lightGray"/>
        </w:rPr>
        <w:t>az adatközpont alapterülete; a beépített teljesítőképesség; az éves bejövő és kimenő adatforgalom; valamint az adatközpontban tárolt és feldolgozott adatok mennyisége;</w:t>
      </w:r>
    </w:p>
    <w:p w14:paraId="07703548" w14:textId="77777777" w:rsidR="00DB73A0" w:rsidRPr="007E3B4E" w:rsidRDefault="00FE0BA0" w:rsidP="00FE0BA0">
      <w:pPr>
        <w:pStyle w:val="Point0"/>
        <w:rPr>
          <w:highlight w:val="lightGray"/>
        </w:rPr>
      </w:pPr>
      <w:r w:rsidRPr="007E3B4E">
        <w:rPr>
          <w:highlight w:val="lightGray"/>
        </w:rPr>
        <w:t>c)</w:t>
      </w:r>
      <w:r w:rsidRPr="007E3B4E">
        <w:tab/>
      </w:r>
      <w:r w:rsidRPr="007E3B4E">
        <w:rPr>
          <w:highlight w:val="lightGray"/>
        </w:rPr>
        <w:t>az adatközpont teljesítménye az utolsó teljes naptári évben, többek között a következő fő teljesítménymutatókkal összhangban: energiafogyasztás, villamosenergia-felhasználás, hőmérséklet-beállítási pontok, hulladékhő-hasznosítás, vízhasználat és megújulóenergia-felhasználás.</w:t>
      </w:r>
    </w:p>
    <w:p w14:paraId="76B8C0A7" w14:textId="77777777" w:rsidR="00FE0BA0" w:rsidRPr="007E3B4E" w:rsidRDefault="00FE0BA0" w:rsidP="00341DF3">
      <w:pPr>
        <w:pStyle w:val="Point0"/>
        <w:jc w:val="center"/>
        <w:rPr>
          <w:highlight w:val="lightGray"/>
        </w:rPr>
      </w:pPr>
      <w:r w:rsidRPr="007E3B4E">
        <w:rPr>
          <w:highlight w:val="lightGray"/>
        </w:rPr>
        <w:t>_____________</w:t>
      </w:r>
    </w:p>
    <w:p w14:paraId="28C3BB09"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77EAFF30" w14:textId="77777777" w:rsidR="00DB73A0" w:rsidRPr="007E3B4E" w:rsidRDefault="00DB73A0" w:rsidP="00DB73A0">
      <w:pPr>
        <w:pStyle w:val="CRSeparator"/>
      </w:pPr>
    </w:p>
    <w:p w14:paraId="0D4CDA1D"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58583FCF" w14:textId="77777777" w:rsidR="00DB73A0" w:rsidRPr="007E3B4E" w:rsidRDefault="00DB73A0" w:rsidP="00BF227B">
      <w:pPr>
        <w:pStyle w:val="Annexetitre"/>
      </w:pPr>
      <w:r w:rsidRPr="007E3B4E">
        <w:t>VII. MELLÉKLET</w:t>
      </w:r>
    </w:p>
    <w:p w14:paraId="4C94C7A8" w14:textId="77777777" w:rsidR="00DB73A0" w:rsidRPr="007E3B4E" w:rsidRDefault="00DB73A0" w:rsidP="00DB73A0">
      <w:pPr>
        <w:pStyle w:val="CRSeparator"/>
      </w:pPr>
    </w:p>
    <w:p w14:paraId="02BC619C"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2019/944 70. cikk, 6. pont</w:t>
      </w:r>
    </w:p>
    <w:p w14:paraId="0FF94E87" w14:textId="77777777" w:rsidR="00DB73A0" w:rsidRPr="007E3B4E" w:rsidRDefault="00DB73A0" w:rsidP="00DB73A0">
      <w:pPr>
        <w:pStyle w:val="ManualHeading1"/>
        <w:tabs>
          <w:tab w:val="clear" w:pos="850"/>
        </w:tabs>
        <w:ind w:left="851" w:hanging="851"/>
      </w:pPr>
      <w:r w:rsidRPr="007E3B4E">
        <w:rPr>
          <w:i/>
          <w:iCs/>
        </w:rPr>
        <w:t>A tényleges fogyasztáson alapuló számlázásra és a számlainformációkra vonatkozó minimumkövetelmények a földgáz tekintetében</w:t>
      </w:r>
    </w:p>
    <w:p w14:paraId="6A465501" w14:textId="77777777" w:rsidR="00DB73A0" w:rsidRPr="007E3B4E" w:rsidRDefault="00DB73A0" w:rsidP="00DB73A0">
      <w:pPr>
        <w:pStyle w:val="CRSeparator"/>
      </w:pPr>
    </w:p>
    <w:p w14:paraId="2737EE8B"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27C7028B" w14:textId="77777777" w:rsidR="00DB73A0" w:rsidRPr="007E3B4E" w:rsidRDefault="00DB73A0" w:rsidP="00DB73A0">
      <w:pPr>
        <w:pStyle w:val="ManualHeading2"/>
        <w:numPr>
          <w:ilvl w:val="1"/>
          <w:numId w:val="0"/>
        </w:numPr>
        <w:ind w:left="851" w:hanging="851"/>
      </w:pPr>
      <w:r w:rsidRPr="007E3B4E">
        <w:t>1.</w:t>
      </w:r>
      <w:r w:rsidRPr="007E3B4E">
        <w:tab/>
        <w:t>A számlázásra vonatkozó minimumkövetelmények</w:t>
      </w:r>
    </w:p>
    <w:p w14:paraId="18B9633E" w14:textId="77777777" w:rsidR="00DB73A0" w:rsidRPr="007E3B4E" w:rsidRDefault="00DB73A0" w:rsidP="00DB73A0">
      <w:pPr>
        <w:pStyle w:val="ManualHeading3"/>
        <w:numPr>
          <w:ilvl w:val="2"/>
          <w:numId w:val="0"/>
        </w:numPr>
        <w:ind w:left="850" w:hanging="850"/>
      </w:pPr>
      <w:r w:rsidRPr="007E3B4E">
        <w:t>1.1.</w:t>
      </w:r>
      <w:r w:rsidRPr="007E3B4E">
        <w:tab/>
        <w:t>A tényleges fogyasztáson alapuló számlázás</w:t>
      </w:r>
    </w:p>
    <w:p w14:paraId="1B2105B6" w14:textId="77777777" w:rsidR="00DB73A0" w:rsidRPr="007E3B4E" w:rsidRDefault="00DB73A0" w:rsidP="00DB73A0">
      <w:r w:rsidRPr="007E3B4E">
        <w:t>Annak lehetővé tétele érdekében, hogy a végső felhasználók szabályozhassák saját energiafogyasztásukat, legalább évente egyszer a tényleges fogyasztáson alapuló számlázást kell végezni, a számlainformációkat pedig legalább negyedévente a fogyasztó rendelkezésére kell bocsátani, ha az ezt kéri, vagy ha az elektronikus számlázást választotta, egyéb esetben pedig évente kétszer. A kizárólag főzési célra használt földgáz kivételt képezhet e követelmény alól.</w:t>
      </w:r>
    </w:p>
    <w:p w14:paraId="5CE4D5D5" w14:textId="77777777" w:rsidR="00DB73A0" w:rsidRPr="007E3B4E" w:rsidRDefault="00DB73A0" w:rsidP="00DB73A0">
      <w:pPr>
        <w:pStyle w:val="ManualHeading3"/>
        <w:numPr>
          <w:ilvl w:val="2"/>
          <w:numId w:val="0"/>
        </w:numPr>
        <w:ind w:left="850" w:hanging="850"/>
      </w:pPr>
      <w:r w:rsidRPr="007E3B4E">
        <w:t>1.2.</w:t>
      </w:r>
      <w:r w:rsidRPr="007E3B4E">
        <w:tab/>
        <w:t>A számlán feltüntetendő minimális információk</w:t>
      </w:r>
    </w:p>
    <w:p w14:paraId="51EC277E" w14:textId="77777777" w:rsidR="00DB73A0" w:rsidRPr="007E3B4E" w:rsidRDefault="00DB73A0" w:rsidP="00DB73A0">
      <w:r w:rsidRPr="007E3B4E">
        <w:t>A tagállamok biztosítják, hogy adott esetben a számlákon, szerződésekben, tranzakcióikban vagy az elosztóállomásokon adott nyugtákon vagy azokhoz csatoltan, világos, érthető módon a végső felhasználók rendelkezésére bocsássák az alábbi információkat:</w:t>
      </w:r>
    </w:p>
    <w:p w14:paraId="6BB3E1D1" w14:textId="77777777" w:rsidR="00DB73A0" w:rsidRPr="007E3B4E" w:rsidRDefault="00DB73A0" w:rsidP="00DB73A0">
      <w:pPr>
        <w:pStyle w:val="Point0"/>
      </w:pPr>
      <w:r w:rsidRPr="007E3B4E">
        <w:t>a)</w:t>
      </w:r>
      <w:r w:rsidRPr="007E3B4E">
        <w:tab/>
        <w:t>a tényleges aktuális árak és a tényleges energiafogyasztás;</w:t>
      </w:r>
    </w:p>
    <w:p w14:paraId="6EEAEEFB" w14:textId="77777777" w:rsidR="00DB73A0" w:rsidRPr="007E3B4E" w:rsidRDefault="00DB73A0" w:rsidP="00DB73A0">
      <w:pPr>
        <w:pStyle w:val="Point0"/>
      </w:pPr>
      <w:r w:rsidRPr="007E3B4E">
        <w:t>b)</w:t>
      </w:r>
      <w:r w:rsidRPr="007E3B4E">
        <w:tab/>
        <w:t>a végső felhasználó aktuális energiafogyasztásának és az előző év ugyanezen időszakában mért fogyasztásnak az összehasonlítása, lehetőleg grafikus formában;</w:t>
      </w:r>
    </w:p>
    <w:p w14:paraId="45DF0E4A" w14:textId="77777777" w:rsidR="00DB73A0" w:rsidRPr="007E3B4E" w:rsidRDefault="00DB73A0" w:rsidP="00DB73A0">
      <w:pPr>
        <w:pStyle w:val="Point0"/>
      </w:pPr>
      <w:r w:rsidRPr="007E3B4E">
        <w:t>c)</w:t>
      </w:r>
      <w:r w:rsidRPr="007E3B4E">
        <w:tab/>
        <w:t>a végső felhasználói szervezetek, energiaügynökségek vagy egyéb hasonló szervek kapcsolatfelvételhez szükséges adatai, beleértve a weboldalak címeit is, ahol hozzáférhetők a rendelkezésre álló energiahatékonyság-javító intézkedésekre, az összehasonlításhoz használható végfelhasználói profilokra és az energiafelhasználó berendezések objektív, részletes műszaki leírására vonatkozó információk.</w:t>
      </w:r>
    </w:p>
    <w:p w14:paraId="19341782" w14:textId="77777777" w:rsidR="00DB73A0" w:rsidRPr="007E3B4E" w:rsidRDefault="00DB73A0" w:rsidP="00DB73A0">
      <w:r w:rsidRPr="007E3B4E">
        <w:t>Ezen túlmenően – amennyiben lehetséges és hasznos – a tagállamok biztosítják, hogy a számlákon, szerződésekben, tranzakcióikban vagy az elosztóállomásokon adott nyugtákon, azokhoz csatoltan vagy azokon belül jelezve, világos, érthető módon a végső felhasználók rendelkezésére bocsássák az ugyanazon felhasználói kategóriába tartozó, átlagos normál vagy viszonyítási alapként figyelembe vett végső felhasználóval történő összehasonlításokat.</w:t>
      </w:r>
    </w:p>
    <w:p w14:paraId="7E769BE8" w14:textId="77777777" w:rsidR="00DB73A0" w:rsidRPr="007E3B4E" w:rsidRDefault="00DB73A0" w:rsidP="00DB73A0">
      <w:pPr>
        <w:pStyle w:val="ManualHeading3"/>
        <w:numPr>
          <w:ilvl w:val="2"/>
          <w:numId w:val="0"/>
        </w:numPr>
        <w:ind w:left="850" w:hanging="850"/>
      </w:pPr>
      <w:r w:rsidRPr="007E3B4E">
        <w:t>1.3.</w:t>
      </w:r>
      <w:r w:rsidRPr="007E3B4E">
        <w:tab/>
        <w:t>A számlákhoz csatolva a végső felhasználóval közölt, energiahatékonyságot célzó tanácsok és egyéb visszajelzések</w:t>
      </w:r>
    </w:p>
    <w:p w14:paraId="274810A3" w14:textId="77777777" w:rsidR="00DB73A0" w:rsidRPr="007E3B4E" w:rsidRDefault="00DB73A0" w:rsidP="00DB73A0">
      <w:r w:rsidRPr="007E3B4E">
        <w:t>Az energiaelosztók, az elosztórendszer-üzemeltetők és a kiskereskedelmienergia-értékesítő vállalkozások a szerződések és szerződésmódosítások megküldésekor, a fogyasztóknak küldött számlákon, illetve az egyéni fogyasztókat megszólító internetes oldalakon keresztül világos és érthető módon közlik a fogyasztóikkal a független fogyasztói tanácsadó központok, energiaügynökségek vagy hasonló intézmények elérhetőségeit (beleértve azok internetes címét is), amelyeken a fogyasztók tanácsot kérhetnek a lehetséges energiahatékonysági intézkedésekről, az energiafogyasztásukra vonatkozó referenciaértékekről és az energiát használó készülékek fogyasztáscsökkentést eredményező műszaki specifikációiról.</w:t>
      </w:r>
    </w:p>
    <w:p w14:paraId="12B312B6" w14:textId="77777777" w:rsidR="00BF227B" w:rsidRPr="007E3B4E" w:rsidRDefault="00BF227B" w:rsidP="00BF227B">
      <w:pPr>
        <w:jc w:val="center"/>
      </w:pPr>
      <w:r w:rsidRPr="007E3B4E">
        <w:t>_____________</w:t>
      </w:r>
    </w:p>
    <w:p w14:paraId="7AE18D41"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39F4FF35" w14:textId="77777777" w:rsidR="00DB73A0" w:rsidRPr="007E3B4E" w:rsidRDefault="00DB73A0" w:rsidP="00DB73A0">
      <w:pPr>
        <w:pStyle w:val="CRSeparator"/>
      </w:pPr>
    </w:p>
    <w:p w14:paraId="06EF7331" w14:textId="77777777" w:rsidR="0089353E" w:rsidRPr="007E3B4E" w:rsidRDefault="00DB73A0" w:rsidP="0089353E">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4. melléklet (kiigazított szöveg)</w:t>
      </w:r>
    </w:p>
    <w:p w14:paraId="2B22D799" w14:textId="77777777" w:rsidR="00DB73A0" w:rsidRPr="007E3B4E" w:rsidRDefault="00DB73A0" w:rsidP="004743AB">
      <w:pPr>
        <w:pStyle w:val="Annexetitre"/>
      </w:pPr>
      <w:r w:rsidRPr="007E3B4E">
        <w:rPr>
          <w:rStyle w:val="CRMinorChangeAdded"/>
        </w:rPr>
        <w:t>VIII</w:t>
      </w:r>
      <w:r w:rsidRPr="007E3B4E">
        <w:rPr>
          <w:rStyle w:val="CRMinorChangeDeleted"/>
        </w:rPr>
        <w:t>VIIa</w:t>
      </w:r>
      <w:r w:rsidRPr="007E3B4E">
        <w:t>. melléklet</w:t>
      </w:r>
    </w:p>
    <w:p w14:paraId="72B5D648" w14:textId="77777777" w:rsidR="00DB73A0" w:rsidRPr="007E3B4E" w:rsidRDefault="00DB73A0" w:rsidP="00DB73A0">
      <w:pPr>
        <w:pStyle w:val="ManualHeading1"/>
        <w:tabs>
          <w:tab w:val="clear" w:pos="850"/>
        </w:tabs>
        <w:ind w:left="851" w:hanging="851"/>
      </w:pPr>
      <w:r w:rsidRPr="007E3B4E">
        <w:t>A fűtésre, hűtésre, valamint a használati meleg</w:t>
      </w:r>
      <w:r w:rsidRPr="007E3B4E">
        <w:rPr>
          <w:rStyle w:val="CRMinorChangeDeleted"/>
        </w:rPr>
        <w:t xml:space="preserve"> </w:t>
      </w:r>
      <w:r w:rsidRPr="007E3B4E">
        <w:t>vízre vonatkozó fogyasztási és számlainformációk minimumkövetelményei</w:t>
      </w:r>
    </w:p>
    <w:p w14:paraId="44EA6FDB" w14:textId="77777777" w:rsidR="00DB73A0" w:rsidRPr="007E3B4E" w:rsidRDefault="00DB73A0" w:rsidP="00DB73A0">
      <w:pPr>
        <w:pStyle w:val="ManualHeading2"/>
        <w:numPr>
          <w:ilvl w:val="1"/>
          <w:numId w:val="0"/>
        </w:numPr>
        <w:ind w:left="851" w:hanging="851"/>
      </w:pPr>
      <w:r w:rsidRPr="007E3B4E">
        <w:t>1.</w:t>
      </w:r>
      <w:r w:rsidRPr="007E3B4E">
        <w:tab/>
        <w:t>A tényleges fogyasztáson vagy a fűtési költségmegosztóról leolvasott értékeken alapuló számlázás</w:t>
      </w:r>
    </w:p>
    <w:p w14:paraId="70D20D61" w14:textId="77777777" w:rsidR="00DB73A0" w:rsidRPr="007E3B4E" w:rsidRDefault="00DB73A0" w:rsidP="00DB73A0">
      <w:r w:rsidRPr="007E3B4E">
        <w:t>Annak érdekében, hogy a hasznosító fogyasztók szabályozhassák saját energiafogyasztásukat, legalább évente egyszer a tényleges fogyasztáson vagy a fűtési költségmegosztóról leolvasott értékeken alapuló számlázást kell végezni.</w:t>
      </w:r>
    </w:p>
    <w:p w14:paraId="455846DD" w14:textId="77777777" w:rsidR="00DB73A0" w:rsidRPr="007E3B4E" w:rsidRDefault="00DB73A0" w:rsidP="00DB73A0">
      <w:pPr>
        <w:pStyle w:val="ManualHeading2"/>
        <w:numPr>
          <w:ilvl w:val="1"/>
          <w:numId w:val="0"/>
        </w:numPr>
        <w:ind w:left="851" w:hanging="851"/>
      </w:pPr>
      <w:r w:rsidRPr="007E3B4E">
        <w:t>2.</w:t>
      </w:r>
      <w:r w:rsidRPr="007E3B4E">
        <w:tab/>
        <w:t>A fogyasztási vagy számlainformációk rendelkezésre bocsátásának minimális gyakorisága</w:t>
      </w:r>
    </w:p>
    <w:p w14:paraId="66A3533D" w14:textId="77777777" w:rsidR="00DB73A0" w:rsidRPr="007E3B4E" w:rsidRDefault="00DB73A0" w:rsidP="00DB73A0">
      <w:r w:rsidRPr="007E3B4E">
        <w:t xml:space="preserve"> </w:t>
      </w:r>
      <w:r w:rsidRPr="007E3B4E">
        <w:fldChar w:fldCharType="begin"/>
      </w:r>
      <w:r w:rsidRPr="007E3B4E">
        <w:instrText xml:space="preserve"> QUOTE "Ö" </w:instrText>
      </w:r>
      <w:r w:rsidRPr="007E3B4E">
        <w:fldChar w:fldCharType="separate"/>
      </w:r>
      <w:r w:rsidRPr="007E3B4E">
        <w:rPr>
          <w:rStyle w:val="CRMarker"/>
        </w:rPr>
        <w:t>Ö</w:t>
      </w:r>
      <w:r w:rsidRPr="007E3B4E">
        <w:fldChar w:fldCharType="end"/>
      </w:r>
      <w:r w:rsidRPr="007E3B4E">
        <w:t> 2021. december 31-ig </w:t>
      </w:r>
      <w:r w:rsidRPr="007E3B4E">
        <w:fldChar w:fldCharType="begin"/>
      </w:r>
      <w:r w:rsidRPr="007E3B4E">
        <w:instrText xml:space="preserve"> QUOTE "Õ" </w:instrText>
      </w:r>
      <w:r w:rsidRPr="007E3B4E">
        <w:fldChar w:fldCharType="separate"/>
      </w:r>
      <w:r w:rsidRPr="007E3B4E">
        <w:rPr>
          <w:rStyle w:val="CRMarker"/>
        </w:rPr>
        <w:t>Õ</w:t>
      </w:r>
      <w:r w:rsidRPr="007E3B4E">
        <w:fldChar w:fldCharType="end"/>
      </w:r>
      <w:r w:rsidRPr="007E3B4E">
        <w:t xml:space="preserve"> </w:t>
      </w:r>
      <w:r w:rsidRPr="007E3B4E">
        <w:rPr>
          <w:rStyle w:val="CRDeleted"/>
        </w:rPr>
        <w:t>2020. október 25-től</w:t>
      </w:r>
      <w:r w:rsidRPr="007E3B4E">
        <w:t>, amennyiben távolról is leolvasható fogyasztásmérők vagy fűtési költségmegosztók vannak felszerelve, a tényleges fogyasztáson vagy a fűtési költségmegosztóról leolvasott értékeken alapuló fogyasztási vagy számlainformációkat – kérésre, vagy ha a hasznosító fogyasztó az az elektronikus számlázást választotta – legalább negyedévente kell a végső felhasználók rendelkezésére bocsátani, egyéb esetben pedig évente kétszer.</w:t>
      </w:r>
    </w:p>
    <w:p w14:paraId="22BD4BE4" w14:textId="77777777" w:rsidR="00DB73A0" w:rsidRPr="007E3B4E" w:rsidRDefault="00DB73A0" w:rsidP="00DB73A0">
      <w:r w:rsidRPr="007E3B4E">
        <w:t>2022. január 1-jétől, amennyiben távolról is leolvasható fogyasztásmérők vagy fűtési költségmegosztók vannak felszerelve, a tényleges fogyasztáson vagy a fűtési költségmegosztóról leolvasott értékeken alapuló fogyasztási vagy számlainformációkat legalább havonta a hasznosító fogyasztó rendelkezésére kell bocsátani. Ezt hozzáférhetővé lehet tenni az interneten is, és az alkalmazott mérőeszközök és rendszerek által lehetővé tett gyakorisággal frissíteni kell. A fűtési/hűtési szezonon kívüli időszakban a fűtés és a hűtés kivételt képezhet e követelmény alól.</w:t>
      </w:r>
    </w:p>
    <w:p w14:paraId="53151F8D" w14:textId="77777777" w:rsidR="00DB73A0" w:rsidRPr="007E3B4E" w:rsidRDefault="00DB73A0" w:rsidP="00DB73A0">
      <w:pPr>
        <w:pStyle w:val="ManualHeading2"/>
        <w:numPr>
          <w:ilvl w:val="1"/>
          <w:numId w:val="0"/>
        </w:numPr>
        <w:ind w:left="851" w:hanging="851"/>
      </w:pPr>
      <w:r w:rsidRPr="007E3B4E">
        <w:t>3.</w:t>
      </w:r>
      <w:r w:rsidRPr="007E3B4E">
        <w:tab/>
        <w:t>A számlán feltüntetendő minimális információk</w:t>
      </w:r>
    </w:p>
    <w:p w14:paraId="6C684720" w14:textId="77777777" w:rsidR="00DB73A0" w:rsidRPr="007E3B4E" w:rsidRDefault="00DB73A0" w:rsidP="00DB73A0">
      <w:r w:rsidRPr="007E3B4E">
        <w:t>A tagállamok biztosítják, hogy a tényleges fogyasztáson vagy a fűtési költségmegosztóról leolvasott értékeken alapuló számlák esetében a számláikon vagy azokhoz csatoltan az alábbi információk egyértelmű és érthető módon a hasznosító fogyasztók rendelkezésére álljanak:</w:t>
      </w:r>
    </w:p>
    <w:p w14:paraId="777D8DD5" w14:textId="77777777" w:rsidR="00DB73A0" w:rsidRPr="007E3B4E" w:rsidRDefault="00DB73A0" w:rsidP="00DB73A0">
      <w:pPr>
        <w:pStyle w:val="Point0"/>
      </w:pPr>
      <w:r w:rsidRPr="007E3B4E">
        <w:t>a)</w:t>
      </w:r>
      <w:r w:rsidRPr="007E3B4E">
        <w:tab/>
        <w:t>az aktuális tényleges árak és a tényleges energiafogyasztás vagy a teljes fűtési költség és a fűtési költségmegosztóról leolvasott értékek;</w:t>
      </w:r>
    </w:p>
    <w:p w14:paraId="26B72449" w14:textId="77777777" w:rsidR="00DB73A0" w:rsidRPr="007E3B4E" w:rsidRDefault="00DB73A0" w:rsidP="00DB73A0">
      <w:pPr>
        <w:pStyle w:val="Point0"/>
      </w:pPr>
      <w:r w:rsidRPr="007E3B4E">
        <w:t>b)</w:t>
      </w:r>
      <w:r w:rsidRPr="007E3B4E">
        <w:tab/>
        <w:t xml:space="preserve">az alkalmazott energiahordozó összetételére, valamint a kapcsolódó éves üvegházhatásúgáz-kibocsátásra vonatkozó információk, többek között a távfűtés illetve a távhűtés hasznosító fogyasztóinak esetében is, továbbá az alkalmazott különböző adók, illetékek és </w:t>
      </w:r>
      <w:r w:rsidRPr="007E3B4E">
        <w:rPr>
          <w:rStyle w:val="CRMinorChangeDeleted"/>
        </w:rPr>
        <w:t>tarifák</w:t>
      </w:r>
      <w:r w:rsidRPr="007E3B4E">
        <w:t xml:space="preserve"> </w:t>
      </w:r>
      <w:r w:rsidRPr="007E3B4E">
        <w:rPr>
          <w:rStyle w:val="CRMinorChangeAdded"/>
        </w:rPr>
        <w:t>díjak</w:t>
      </w:r>
      <w:r w:rsidRPr="007E3B4E">
        <w:t xml:space="preserve"> ismertetése. A tagállamok korlátozhatják az üvegházhatásúgáz-kibocsátással kapcsolatos információszolgáltatási követelmény hatályát oly módon, hogy az csak az olyan távfűtési rendszerekből való szolgáltatásokra vonatkozzon, amelyek teljes névleges bemenő hőteljesítménye meghaladja a 20 MW-ot;</w:t>
      </w:r>
    </w:p>
    <w:p w14:paraId="5AF7BA64" w14:textId="77777777" w:rsidR="00DB73A0" w:rsidRPr="007E3B4E" w:rsidRDefault="00DB73A0" w:rsidP="00DB73A0">
      <w:pPr>
        <w:pStyle w:val="Point0"/>
      </w:pPr>
      <w:r w:rsidRPr="007E3B4E">
        <w:t>c)</w:t>
      </w:r>
      <w:r w:rsidRPr="007E3B4E">
        <w:tab/>
        <w:t>a hasznosító fogyasztóinak tényleges energiafogyasztásának és az előző év ugyanezen időszakában mért fogyasztásnak az összehasonlítása a fűtés és a hűtés tekintetében, grafikus formában, az éghajlati viszonyok szerinti kiigazítással;</w:t>
      </w:r>
    </w:p>
    <w:p w14:paraId="6CB67F2B" w14:textId="77777777" w:rsidR="00DB73A0" w:rsidRPr="007E3B4E" w:rsidRDefault="00DB73A0" w:rsidP="00DB73A0">
      <w:pPr>
        <w:pStyle w:val="Point0"/>
      </w:pPr>
      <w:r w:rsidRPr="007E3B4E">
        <w:t>d)</w:t>
      </w:r>
      <w:r w:rsidRPr="007E3B4E">
        <w:tab/>
        <w:t>a végső felhasználók szervezetei, energiaügynökségek vagy hasonló szervek elérhetőségi adatai, beleértve a weboldalak címeit is, ahol hozzáférhetők a rendelkezésre álló energiahatékonyság-javító intézkedésekre, az összehasonlításhoz használható végfelhasználói profilokra és az energiafelhasználó berendezések objektív műszaki leírására vonatkozó információk;</w:t>
      </w:r>
    </w:p>
    <w:p w14:paraId="30398397" w14:textId="77777777" w:rsidR="00DB73A0" w:rsidRPr="007E3B4E" w:rsidRDefault="00DB73A0" w:rsidP="00DB73A0">
      <w:pPr>
        <w:pStyle w:val="Point0"/>
      </w:pPr>
      <w:r w:rsidRPr="007E3B4E">
        <w:t>e)</w:t>
      </w:r>
      <w:r w:rsidRPr="007E3B4E">
        <w:tab/>
        <w:t>a tagállamokban alkalmazandó, vonatkozó panasztételi eljárásokkal, az ombudsman által nyújtott szolgáltatásokkal vagy alternatív vitarendezési mechanizmusokkal kapcsolatos információk;</w:t>
      </w:r>
    </w:p>
    <w:p w14:paraId="297A1225" w14:textId="77777777" w:rsidR="00DB73A0" w:rsidRPr="007E3B4E" w:rsidRDefault="00DB73A0" w:rsidP="00DB73A0">
      <w:pPr>
        <w:pStyle w:val="Point0"/>
      </w:pPr>
      <w:r w:rsidRPr="007E3B4E">
        <w:t>f)</w:t>
      </w:r>
      <w:r w:rsidRPr="007E3B4E">
        <w:tab/>
        <w:t>egy átlagos normál vagy viszonyítási alapként figyelembe vett, ugyanazon felhasználói kategóriába tartozó hasznosító fogyasztóval történő összehasonlítások. Elektronikus számlák esetében az ilyen összehasonlítások interneten is elérhetővé tehetők, a számlákon belüli hivatkozás révén.</w:t>
      </w:r>
    </w:p>
    <w:p w14:paraId="4B16EA8F" w14:textId="77777777" w:rsidR="00DB73A0" w:rsidRPr="007E3B4E" w:rsidRDefault="00DB73A0" w:rsidP="00DB73A0">
      <w:r w:rsidRPr="007E3B4E">
        <w:t>A nem a tényleges fogyasztáson vagy a fűtési költségmegosztóról leolvasott értékeken alapuló számláknak egyértelmű és érthető magyarázatot kell magukban foglalniuk a számlán szereplő összeg kiszámításának módjára vonatkozóan, továbbá tartalmazniuk kell legalább a d) és az e) pontban említett információkat.</w:t>
      </w:r>
    </w:p>
    <w:p w14:paraId="493156FA" w14:textId="77777777" w:rsidR="004743AB" w:rsidRPr="007E3B4E" w:rsidRDefault="004743AB" w:rsidP="004743AB">
      <w:pPr>
        <w:jc w:val="center"/>
      </w:pPr>
      <w:r w:rsidRPr="007E3B4E">
        <w:t>_____________</w:t>
      </w:r>
    </w:p>
    <w:p w14:paraId="04E2854C"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01206B3C" w14:textId="77777777" w:rsidR="00DB73A0" w:rsidRPr="007E3B4E" w:rsidRDefault="00DB73A0" w:rsidP="00DB73A0">
      <w:pPr>
        <w:pStyle w:val="CRSeparator"/>
      </w:pPr>
    </w:p>
    <w:p w14:paraId="53BEA03B"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2019/826 1. cikk (1) bekezdés és I. melléklet (kiigazított szöveg)</w:t>
      </w:r>
    </w:p>
    <w:p w14:paraId="5315E38E" w14:textId="77777777" w:rsidR="00DB73A0" w:rsidRPr="007E3B4E" w:rsidRDefault="00DB73A0" w:rsidP="004743AB">
      <w:pPr>
        <w:pStyle w:val="Annexetitre"/>
      </w:pPr>
      <w:r w:rsidRPr="007E3B4E">
        <w:rPr>
          <w:rStyle w:val="CRMinorChangeAdded"/>
        </w:rPr>
        <w:t>IX</w:t>
      </w:r>
      <w:r w:rsidRPr="007E3B4E">
        <w:rPr>
          <w:rStyle w:val="CRMinorChangeDeleted"/>
        </w:rPr>
        <w:t>VIII</w:t>
      </w:r>
      <w:r w:rsidRPr="007E3B4E">
        <w:t>. melléklet</w:t>
      </w:r>
    </w:p>
    <w:p w14:paraId="09C7A804" w14:textId="77777777" w:rsidR="00DB73A0" w:rsidRPr="007E3B4E" w:rsidRDefault="00DB73A0" w:rsidP="00DB73A0">
      <w:pPr>
        <w:pStyle w:val="ManualHeading1"/>
        <w:tabs>
          <w:tab w:val="clear" w:pos="850"/>
        </w:tabs>
        <w:ind w:left="851" w:hanging="851"/>
      </w:pPr>
      <w:r w:rsidRPr="007E3B4E">
        <w:rPr>
          <w:i/>
          <w:iCs/>
        </w:rPr>
        <w:t>A fűtés és a hűtés hatékonysági potenciálja</w:t>
      </w:r>
    </w:p>
    <w:p w14:paraId="4B85445F" w14:textId="77777777" w:rsidR="00DB73A0" w:rsidRPr="007E3B4E" w:rsidRDefault="00DB73A0" w:rsidP="00DB73A0">
      <w:r w:rsidRPr="007E3B4E">
        <w:t xml:space="preserve">A </w:t>
      </w:r>
      <w:r w:rsidRPr="007E3B4E">
        <w:rPr>
          <w:rStyle w:val="CRMinorChangeAdded"/>
        </w:rPr>
        <w:t>23</w:t>
      </w:r>
      <w:r w:rsidRPr="007E3B4E">
        <w:rPr>
          <w:rStyle w:val="CRMinorChangeDeleted"/>
        </w:rPr>
        <w:t>14</w:t>
      </w:r>
      <w:r w:rsidRPr="007E3B4E">
        <w:t>. cikk (1) bekezdésében említett nemzeti fűtési és hűtési potenciálok átfogó értékelései a következőket tartalmazzák, és a következőkre épülnek:</w:t>
      </w:r>
    </w:p>
    <w:p w14:paraId="529CBCB7" w14:textId="77777777" w:rsidR="00DB73A0" w:rsidRPr="007E3B4E" w:rsidRDefault="00DB73A0" w:rsidP="00DB73A0">
      <w:pPr>
        <w:pStyle w:val="ManualHeading2"/>
        <w:numPr>
          <w:ilvl w:val="1"/>
          <w:numId w:val="0"/>
        </w:numPr>
        <w:ind w:left="851" w:hanging="851"/>
      </w:pPr>
      <w:r w:rsidRPr="007E3B4E">
        <w:rPr>
          <w:i/>
          <w:iCs/>
        </w:rPr>
        <w:t>I. rész</w:t>
      </w:r>
    </w:p>
    <w:p w14:paraId="620087E7" w14:textId="77777777" w:rsidR="00DB73A0" w:rsidRPr="007E3B4E" w:rsidRDefault="00DB73A0" w:rsidP="00DB73A0">
      <w:pPr>
        <w:pStyle w:val="ManualHeading3"/>
        <w:numPr>
          <w:ilvl w:val="2"/>
          <w:numId w:val="0"/>
        </w:numPr>
        <w:ind w:left="850" w:hanging="850"/>
      </w:pPr>
      <w:r w:rsidRPr="007E3B4E">
        <w:t>A FŰTÉS ÉS A HŰTÉS ÁTTEKINTÉSE</w:t>
      </w:r>
    </w:p>
    <w:p w14:paraId="496A9770" w14:textId="77777777" w:rsidR="00DB73A0" w:rsidRPr="007E3B4E" w:rsidRDefault="00DB73A0" w:rsidP="004743AB">
      <w:pPr>
        <w:pStyle w:val="Point0"/>
      </w:pPr>
      <w:r w:rsidRPr="007E3B4E">
        <w:t>1.</w:t>
      </w:r>
      <w:r w:rsidRPr="007E3B4E">
        <w:tab/>
        <w:t>Fűtési és hűtési igény becsült hasznos energiaként</w:t>
      </w:r>
      <w:r w:rsidRPr="007E3B4E">
        <w:rPr>
          <w:rStyle w:val="FootnoteReference"/>
        </w:rPr>
        <w:footnoteReference w:id="10"/>
      </w:r>
      <w:r w:rsidRPr="007E3B4E">
        <w:t xml:space="preserve"> és ágazatonkénti végsőenergia-fogyasztásként GWh/év</w:t>
      </w:r>
      <w:r w:rsidRPr="007E3B4E">
        <w:rPr>
          <w:rStyle w:val="FootnoteReference"/>
        </w:rPr>
        <w:footnoteReference w:id="11"/>
      </w:r>
      <w:r w:rsidRPr="007E3B4E">
        <w:t>-ben kifejezve:</w:t>
      </w:r>
    </w:p>
    <w:p w14:paraId="19407A75" w14:textId="77777777" w:rsidR="00DB73A0" w:rsidRPr="007E3B4E" w:rsidRDefault="00DB73A0" w:rsidP="004743AB">
      <w:pPr>
        <w:pStyle w:val="Point1"/>
      </w:pPr>
      <w:r w:rsidRPr="007E3B4E">
        <w:t>a)</w:t>
      </w:r>
      <w:r w:rsidRPr="007E3B4E">
        <w:tab/>
        <w:t>háztartások;</w:t>
      </w:r>
    </w:p>
    <w:p w14:paraId="59A69B04" w14:textId="77777777" w:rsidR="00DB73A0" w:rsidRPr="007E3B4E" w:rsidRDefault="00DB73A0" w:rsidP="004743AB">
      <w:pPr>
        <w:pStyle w:val="Point1"/>
      </w:pPr>
      <w:r w:rsidRPr="007E3B4E">
        <w:t>b)</w:t>
      </w:r>
      <w:r w:rsidRPr="007E3B4E">
        <w:tab/>
        <w:t>szolgáltatások;</w:t>
      </w:r>
    </w:p>
    <w:p w14:paraId="6795D15A" w14:textId="77777777" w:rsidR="00DB73A0" w:rsidRPr="007E3B4E" w:rsidRDefault="00DB73A0" w:rsidP="004743AB">
      <w:pPr>
        <w:pStyle w:val="Point1"/>
      </w:pPr>
      <w:r w:rsidRPr="007E3B4E">
        <w:t>c)</w:t>
      </w:r>
      <w:r w:rsidRPr="007E3B4E">
        <w:tab/>
        <w:t>ágazati szereplők;</w:t>
      </w:r>
    </w:p>
    <w:p w14:paraId="798D4EEC" w14:textId="77777777" w:rsidR="00DB73A0" w:rsidRPr="007E3B4E" w:rsidRDefault="00DB73A0" w:rsidP="004743AB">
      <w:pPr>
        <w:pStyle w:val="Point1"/>
      </w:pPr>
      <w:r w:rsidRPr="007E3B4E">
        <w:t>d)</w:t>
      </w:r>
      <w:r w:rsidRPr="007E3B4E">
        <w:tab/>
        <w:t>bármely más, az összes nemzeti hasznos fűtési és hűtési igény több mint 5 %-át fogyasztó ágazat.</w:t>
      </w:r>
    </w:p>
    <w:p w14:paraId="3D199CC9" w14:textId="77777777" w:rsidR="00DB73A0" w:rsidRPr="007E3B4E" w:rsidRDefault="00DB73A0" w:rsidP="004743AB">
      <w:pPr>
        <w:pStyle w:val="Point0"/>
      </w:pPr>
      <w:r w:rsidRPr="007E3B4E">
        <w:t>2.</w:t>
      </w:r>
      <w:r w:rsidRPr="007E3B4E">
        <w:tab/>
        <w:t>A fűtés és hűtés jelenlegi ellátási mennyiségének meghatározása, illetve a 2.a) pont i. alpontja esetében meghatározása vagy becslése:</w:t>
      </w:r>
    </w:p>
    <w:p w14:paraId="1AA097F9" w14:textId="77777777" w:rsidR="00DB73A0" w:rsidRPr="007E3B4E" w:rsidRDefault="00DB73A0" w:rsidP="004743AB">
      <w:pPr>
        <w:pStyle w:val="Point1"/>
      </w:pPr>
      <w:r w:rsidRPr="007E3B4E">
        <w:t>a)</w:t>
      </w:r>
      <w:r w:rsidRPr="007E3B4E">
        <w:tab/>
        <w:t>technológia szerint, GWh/év</w:t>
      </w:r>
      <w:r w:rsidRPr="007E3B4E">
        <w:rPr>
          <w:rStyle w:val="FootnoteReference"/>
        </w:rPr>
        <w:footnoteReference w:id="12"/>
      </w:r>
      <w:r w:rsidRPr="007E3B4E">
        <w:t>-ben kifejezve, lehetőség szerint az 1. pontban említett szektorokon belül, különbséget téve a fosszilis és a megújuló energia között:</w:t>
      </w:r>
    </w:p>
    <w:p w14:paraId="1DF2F3D7" w14:textId="77777777" w:rsidR="00DB73A0" w:rsidRPr="007E3B4E" w:rsidRDefault="00DB73A0" w:rsidP="004743AB">
      <w:pPr>
        <w:pStyle w:val="Point2"/>
      </w:pPr>
      <w:r w:rsidRPr="007E3B4E">
        <w:t>i.</w:t>
      </w:r>
      <w:r w:rsidRPr="007E3B4E">
        <w:tab/>
        <w:t>helyszíni ellátás lakó- és szolgáltatási területeken az alábbiak révén:</w:t>
      </w:r>
    </w:p>
    <w:p w14:paraId="0C81446B" w14:textId="77777777" w:rsidR="00DB73A0" w:rsidRPr="007E3B4E" w:rsidRDefault="00DB73A0" w:rsidP="00441DBF">
      <w:pPr>
        <w:pStyle w:val="Tiret3"/>
        <w:numPr>
          <w:ilvl w:val="0"/>
          <w:numId w:val="11"/>
        </w:numPr>
      </w:pPr>
      <w:r w:rsidRPr="007E3B4E">
        <w:t>csak hőt termelő kazánok;</w:t>
      </w:r>
    </w:p>
    <w:p w14:paraId="562A7105" w14:textId="77777777" w:rsidR="00DB73A0" w:rsidRPr="007E3B4E" w:rsidRDefault="00DB73A0" w:rsidP="004743AB">
      <w:pPr>
        <w:pStyle w:val="Tiret3"/>
      </w:pPr>
      <w:r w:rsidRPr="007E3B4E">
        <w:t>nagy hatásfokú kapcsolt hő- és villamosenergia-termelés;</w:t>
      </w:r>
    </w:p>
    <w:p w14:paraId="353EB6D7" w14:textId="77777777" w:rsidR="00DB73A0" w:rsidRPr="007E3B4E" w:rsidRDefault="00DB73A0" w:rsidP="004743AB">
      <w:pPr>
        <w:pStyle w:val="Tiret3"/>
      </w:pPr>
      <w:r w:rsidRPr="007E3B4E">
        <w:t>hőszivattyúk;</w:t>
      </w:r>
    </w:p>
    <w:p w14:paraId="41F930C5" w14:textId="77777777" w:rsidR="00DB73A0" w:rsidRPr="007E3B4E" w:rsidRDefault="00DB73A0" w:rsidP="004743AB">
      <w:pPr>
        <w:pStyle w:val="Tiret3"/>
      </w:pPr>
      <w:r w:rsidRPr="007E3B4E">
        <w:t>egyéb helyszíni technológiák és források;</w:t>
      </w:r>
    </w:p>
    <w:p w14:paraId="0FD0C72B" w14:textId="77777777" w:rsidR="00DB73A0" w:rsidRPr="007E3B4E" w:rsidRDefault="00DB73A0" w:rsidP="004743AB">
      <w:pPr>
        <w:pStyle w:val="Point2"/>
      </w:pPr>
      <w:r w:rsidRPr="007E3B4E">
        <w:t>ii.</w:t>
      </w:r>
      <w:r w:rsidRPr="007E3B4E">
        <w:tab/>
        <w:t>helyszíni ellátás lakó- és szolgáltatási területektől eltérő területeken az alábbiak révén:</w:t>
      </w:r>
    </w:p>
    <w:p w14:paraId="577568AE" w14:textId="77777777" w:rsidR="00DB73A0" w:rsidRPr="007E3B4E" w:rsidRDefault="00DB73A0" w:rsidP="004743AB">
      <w:pPr>
        <w:pStyle w:val="Tiret3"/>
      </w:pPr>
      <w:r w:rsidRPr="007E3B4E">
        <w:t>csak hőt termelő kazánok;</w:t>
      </w:r>
    </w:p>
    <w:p w14:paraId="4E3DAD8E" w14:textId="77777777" w:rsidR="00DB73A0" w:rsidRPr="007E3B4E" w:rsidRDefault="00DB73A0" w:rsidP="004743AB">
      <w:pPr>
        <w:pStyle w:val="Tiret3"/>
      </w:pPr>
      <w:r w:rsidRPr="007E3B4E">
        <w:t>nagy hatásfokú kapcsolt hő- és villamosenergia-termelés;</w:t>
      </w:r>
    </w:p>
    <w:p w14:paraId="2F381254" w14:textId="77777777" w:rsidR="00DB73A0" w:rsidRPr="007E3B4E" w:rsidRDefault="00DB73A0" w:rsidP="004743AB">
      <w:pPr>
        <w:pStyle w:val="Tiret3"/>
      </w:pPr>
      <w:r w:rsidRPr="007E3B4E">
        <w:t>hőszivattyúk;</w:t>
      </w:r>
    </w:p>
    <w:p w14:paraId="1523F004" w14:textId="77777777" w:rsidR="00DB73A0" w:rsidRPr="007E3B4E" w:rsidRDefault="00DB73A0" w:rsidP="004743AB">
      <w:pPr>
        <w:pStyle w:val="Tiret3"/>
      </w:pPr>
      <w:r w:rsidRPr="007E3B4E">
        <w:t>egyéb helyszíni technológiák és források;</w:t>
      </w:r>
    </w:p>
    <w:p w14:paraId="1EBB9894" w14:textId="77777777" w:rsidR="00DB73A0" w:rsidRPr="007E3B4E" w:rsidRDefault="00DB73A0" w:rsidP="004743AB">
      <w:pPr>
        <w:pStyle w:val="Point2"/>
      </w:pPr>
      <w:r w:rsidRPr="007E3B4E">
        <w:t>iii.</w:t>
      </w:r>
      <w:r w:rsidRPr="007E3B4E">
        <w:tab/>
        <w:t>helyszínen kívüli ellátás az alábbiak révén:</w:t>
      </w:r>
    </w:p>
    <w:p w14:paraId="1DD9386A" w14:textId="77777777" w:rsidR="00DB73A0" w:rsidRPr="007E3B4E" w:rsidRDefault="00DB73A0" w:rsidP="004743AB">
      <w:pPr>
        <w:pStyle w:val="Tiret3"/>
      </w:pPr>
      <w:r w:rsidRPr="007E3B4E">
        <w:t>nagy hatásfokú kapcsolt hő- és villamosenergia-termelés;</w:t>
      </w:r>
    </w:p>
    <w:p w14:paraId="3155FB66" w14:textId="77777777" w:rsidR="00DB73A0" w:rsidRPr="007E3B4E" w:rsidRDefault="00DB73A0" w:rsidP="004743AB">
      <w:pPr>
        <w:pStyle w:val="Tiret3"/>
      </w:pPr>
      <w:r w:rsidRPr="007E3B4E">
        <w:t>hulladékhő;</w:t>
      </w:r>
    </w:p>
    <w:p w14:paraId="4A9A3712" w14:textId="77777777" w:rsidR="00DB73A0" w:rsidRPr="007E3B4E" w:rsidRDefault="00DB73A0" w:rsidP="0098121E">
      <w:pPr>
        <w:pStyle w:val="Tiret3"/>
        <w:keepNext/>
        <w:ind w:left="2552"/>
      </w:pPr>
      <w:r w:rsidRPr="007E3B4E">
        <w:t>egyéb helyszín</w:t>
      </w:r>
      <w:r w:rsidRPr="007E3B4E">
        <w:rPr>
          <w:rStyle w:val="CRMinorChangeDeleted"/>
        </w:rPr>
        <w:t>i</w:t>
      </w:r>
      <w:r w:rsidRPr="007E3B4E">
        <w:rPr>
          <w:rStyle w:val="CRMinorChangeAdded"/>
        </w:rPr>
        <w:t>en kívüli</w:t>
      </w:r>
      <w:r w:rsidRPr="007E3B4E">
        <w:t xml:space="preserve"> technológiák és források;</w:t>
      </w:r>
    </w:p>
    <w:p w14:paraId="193F7E2A" w14:textId="77777777" w:rsidR="00DB73A0" w:rsidRPr="007E3B4E" w:rsidRDefault="00DB73A0" w:rsidP="004743AB">
      <w:pPr>
        <w:pStyle w:val="Point1"/>
      </w:pPr>
      <w:r w:rsidRPr="007E3B4E">
        <w:t>b)</w:t>
      </w:r>
      <w:r w:rsidRPr="007E3B4E">
        <w:tab/>
        <w:t>hulladékhő vagy hulladék hűtőenergia előállítására szolgáló létesítmények azonosítása és azok lehetséges fűtési vagy hűtési ellátási potenciálja GWh/év-ben kifejezve:</w:t>
      </w:r>
    </w:p>
    <w:p w14:paraId="33D7D5D1" w14:textId="77777777" w:rsidR="00DB73A0" w:rsidRPr="007E3B4E" w:rsidRDefault="00DB73A0" w:rsidP="004743AB">
      <w:pPr>
        <w:pStyle w:val="Point2"/>
      </w:pPr>
      <w:r w:rsidRPr="007E3B4E">
        <w:t>i.</w:t>
      </w:r>
      <w:r w:rsidRPr="007E3B4E">
        <w:tab/>
        <w:t>a több mint 50 MW teljes bemenő hőteljesítményű hőenergia-termelő létesítmények, amelyek hulladékhőt képesek termelni, vagy utólagosan erre a célra átalakíthatók;</w:t>
      </w:r>
    </w:p>
    <w:p w14:paraId="7A32947B" w14:textId="77777777" w:rsidR="00DB73A0" w:rsidRPr="007E3B4E" w:rsidRDefault="00DB73A0" w:rsidP="004743AB">
      <w:pPr>
        <w:pStyle w:val="Point2"/>
      </w:pPr>
      <w:r w:rsidRPr="007E3B4E">
        <w:t>ii.</w:t>
      </w:r>
      <w:r w:rsidRPr="007E3B4E">
        <w:tab/>
        <w:t>a több mint 20 MW teljes bemenő hőteljesítményű, kapcsolt hő- és villamosenergia-termelő létesítmények, amelyek a</w:t>
      </w:r>
      <w:r w:rsidRPr="007E3B4E">
        <w:rPr>
          <w:rStyle w:val="CRMinorChangeDeleted"/>
        </w:rPr>
        <w:t>z I</w:t>
      </w:r>
      <w:r w:rsidRPr="007E3B4E">
        <w:rPr>
          <w:rStyle w:val="CRMinorChangeAdded"/>
        </w:rPr>
        <w:t>II</w:t>
      </w:r>
      <w:r w:rsidRPr="007E3B4E">
        <w:t>. melléklet II. részében felsorolt technológiákat alkalmaznak;</w:t>
      </w:r>
    </w:p>
    <w:p w14:paraId="01771F8F" w14:textId="77777777" w:rsidR="00DB73A0" w:rsidRPr="007E3B4E" w:rsidRDefault="00DB73A0" w:rsidP="004743AB">
      <w:pPr>
        <w:pStyle w:val="Point2"/>
      </w:pPr>
      <w:r w:rsidRPr="007E3B4E">
        <w:t>iii.</w:t>
      </w:r>
      <w:r w:rsidRPr="007E3B4E">
        <w:tab/>
        <w:t>hulladék-égetőművek;</w:t>
      </w:r>
    </w:p>
    <w:p w14:paraId="52026194" w14:textId="77777777" w:rsidR="00DB73A0" w:rsidRPr="007E3B4E" w:rsidRDefault="00DB73A0" w:rsidP="004743AB">
      <w:pPr>
        <w:pStyle w:val="Point2"/>
      </w:pPr>
      <w:r w:rsidRPr="007E3B4E">
        <w:t>iv.</w:t>
      </w:r>
      <w:r w:rsidRPr="007E3B4E">
        <w:tab/>
        <w:t>a 2.b) pont i. és ii. alpontjában meghatározott létesítményektől eltérő, több mint 20 MW teljes bemenő hőteljesítményű megújulóenergia-létesítmények, amelyek megújuló forrásokból származó energia felhasználásával állítanak elő fűtést vagy hűtést;</w:t>
      </w:r>
    </w:p>
    <w:p w14:paraId="4066402F" w14:textId="77777777" w:rsidR="00DB73A0" w:rsidRPr="007E3B4E" w:rsidRDefault="00DB73A0" w:rsidP="004743AB">
      <w:pPr>
        <w:pStyle w:val="Point2"/>
      </w:pPr>
      <w:r w:rsidRPr="007E3B4E">
        <w:t>v.</w:t>
      </w:r>
      <w:r w:rsidRPr="007E3B4E">
        <w:tab/>
        <w:t>olyan, több mint 20 MW teljes bemenő hőteljesítményű ipari létesítmények, amelyek képesek hulladékhőt előállítani;</w:t>
      </w:r>
    </w:p>
    <w:p w14:paraId="2DB93313" w14:textId="77777777" w:rsidR="00DB73A0" w:rsidRPr="007E3B4E" w:rsidRDefault="00DB73A0" w:rsidP="004743AB">
      <w:pPr>
        <w:pStyle w:val="Point1"/>
      </w:pPr>
      <w:r w:rsidRPr="007E3B4E">
        <w:t>c)</w:t>
      </w:r>
      <w:r w:rsidRPr="007E3B4E">
        <w:tab/>
        <w:t xml:space="preserve">a megújuló energiából és a hulladékhőből vagy hulladék hűtőenergiából származó energia részaránya </w:t>
      </w:r>
      <w:r w:rsidRPr="007E3B4E">
        <w:rPr>
          <w:rStyle w:val="CRMinorChangeAdded"/>
        </w:rPr>
        <w:t>a végsőenergia-fogyasztáson belül</w:t>
      </w:r>
      <w:r w:rsidRPr="007E3B4E">
        <w:t xml:space="preserve"> a távfűtési és -hűtési</w:t>
      </w:r>
      <w:r w:rsidRPr="007E3B4E">
        <w:rPr>
          <w:rStyle w:val="FootnoteReference"/>
        </w:rPr>
        <w:footnoteReference w:id="13"/>
      </w:r>
      <w:r w:rsidRPr="007E3B4E">
        <w:t xml:space="preserve"> ágazatban az elmúlt 5 évben, az (EU) 2018/2001 irányelvvel összhangban.</w:t>
      </w:r>
    </w:p>
    <w:p w14:paraId="34E93E3D" w14:textId="77777777" w:rsidR="00DB73A0" w:rsidRPr="007E3B4E" w:rsidRDefault="00DB73A0" w:rsidP="004743AB">
      <w:pPr>
        <w:pStyle w:val="Point0"/>
      </w:pPr>
      <w:r w:rsidRPr="007E3B4E">
        <w:t>3.</w:t>
      </w:r>
      <w:r w:rsidRPr="007E3B4E">
        <w:tab/>
        <w:t>Az ország teljes területét ábrázoló térkép az alábbiak megjelölésével (megőrizve ugyanakkor a bizalmas üzleti adatokat):</w:t>
      </w:r>
    </w:p>
    <w:p w14:paraId="730577EF" w14:textId="77777777" w:rsidR="00DB73A0" w:rsidRPr="007E3B4E" w:rsidRDefault="00DB73A0" w:rsidP="004743AB">
      <w:pPr>
        <w:pStyle w:val="Point1"/>
      </w:pPr>
      <w:r w:rsidRPr="007E3B4E">
        <w:t>a)</w:t>
      </w:r>
      <w:r w:rsidRPr="007E3B4E">
        <w:tab/>
        <w:t>a fűtési és hűtési igény által érintett területek az 1. pont elemzése alapján, egységes kritériumok alkalmazásával a települési és a konurbációk energiaintenzívebb területeire való összpontosítás érdekében;</w:t>
      </w:r>
    </w:p>
    <w:p w14:paraId="33D6FA7F" w14:textId="77777777" w:rsidR="00DB73A0" w:rsidRPr="007E3B4E" w:rsidRDefault="00DB73A0" w:rsidP="004743AB">
      <w:pPr>
        <w:pStyle w:val="Point1"/>
      </w:pPr>
      <w:r w:rsidRPr="007E3B4E">
        <w:t>b)</w:t>
      </w:r>
      <w:r w:rsidRPr="007E3B4E">
        <w:tab/>
        <w:t>a 2.b) pontban meghatározott meglévő fűtési és hűtési elosztópontok, valamint a távhőtovábbító létesítmények;</w:t>
      </w:r>
    </w:p>
    <w:p w14:paraId="5954988D" w14:textId="77777777" w:rsidR="00DB73A0" w:rsidRPr="007E3B4E" w:rsidRDefault="00DB73A0" w:rsidP="004743AB">
      <w:pPr>
        <w:pStyle w:val="Point1"/>
      </w:pPr>
      <w:r w:rsidRPr="007E3B4E">
        <w:t>c)</w:t>
      </w:r>
      <w:r w:rsidRPr="007E3B4E">
        <w:tab/>
        <w:t>a 2.b) pontban leírt típusú tervezett fűtési és hűtési elosztópontok, valamint a távhőtovábbító létesítmények.</w:t>
      </w:r>
    </w:p>
    <w:p w14:paraId="1D6D3ED4" w14:textId="77777777" w:rsidR="00DB73A0" w:rsidRPr="007E3B4E" w:rsidRDefault="00DB73A0" w:rsidP="004743AB">
      <w:pPr>
        <w:pStyle w:val="Point0"/>
      </w:pPr>
      <w:r w:rsidRPr="007E3B4E">
        <w:t>4.</w:t>
      </w:r>
      <w:r w:rsidRPr="007E3B4E">
        <w:tab/>
        <w:t>A fűtési és hűtési igények alakulásának előrejelzése a következő 30 évre, GWh-ban kifejezve, figyelembe véve mindenekelőtt a következő 10 évre vonatkozó előrejelzéseket, az igények változását az épületekben és az ipar különböző ágazataiban, valamint a keresletszabályozásra vonatkozó szakpolitikák és stratégiák, például az (EU) 2018/844 irányelv szerinti hosszú távú épületfelújítási stratégiák hatását.</w:t>
      </w:r>
    </w:p>
    <w:p w14:paraId="03100A2F" w14:textId="77777777" w:rsidR="00DB73A0" w:rsidRPr="007E3B4E" w:rsidRDefault="00DB73A0" w:rsidP="00DB73A0">
      <w:pPr>
        <w:pStyle w:val="ManualHeading2"/>
        <w:numPr>
          <w:ilvl w:val="1"/>
          <w:numId w:val="0"/>
        </w:numPr>
        <w:ind w:left="851" w:hanging="851"/>
      </w:pPr>
      <w:r w:rsidRPr="007E3B4E">
        <w:rPr>
          <w:i/>
          <w:iCs/>
        </w:rPr>
        <w:t>II. rész</w:t>
      </w:r>
    </w:p>
    <w:p w14:paraId="19636546" w14:textId="77777777" w:rsidR="00DB73A0" w:rsidRPr="007E3B4E" w:rsidRDefault="00DB73A0" w:rsidP="000C0FA0">
      <w:pPr>
        <w:pStyle w:val="ManualHeading3"/>
        <w:numPr>
          <w:ilvl w:val="2"/>
          <w:numId w:val="0"/>
        </w:numPr>
        <w:ind w:left="850" w:hanging="850"/>
      </w:pPr>
      <w:r w:rsidRPr="007E3B4E">
        <w:t>CÉLKITŰZÉSEK, STRATÉGIÁK ÉS SZAKPOLITIKAI INTÉZKEDÉSEK</w:t>
      </w:r>
    </w:p>
    <w:p w14:paraId="1530EAC1" w14:textId="77777777" w:rsidR="00DB73A0" w:rsidRPr="007E3B4E" w:rsidRDefault="00DB73A0" w:rsidP="00EE2C63">
      <w:pPr>
        <w:pStyle w:val="Point0"/>
      </w:pPr>
      <w:r w:rsidRPr="007E3B4E">
        <w:t>5.</w:t>
      </w:r>
      <w:r w:rsidRPr="007E3B4E">
        <w:tab/>
        <w:t xml:space="preserve">A tagállam tervezett hozzájárulása az energiaunió öt dimenzióival kapcsolatos nemzeti célkitűzésekhez, célokhoz és hozzájárulásokhoz az (EU) 2018/1999 rendelet 3. cikke (2) bekezdésének b) pontjában meghatározottak szerint, a fűtés és hűtés hatékonnyá tétele révén, különös tekintettel a rendelet 4. cikke b) pontjának 1–4. alpontjára és 15. cikke (4) bekezdésének b) pontjára, meghatározva azokat az elemeket, amelyek kiegészítik az integrált nemzeti energia- és </w:t>
      </w:r>
      <w:r w:rsidRPr="007E3B4E">
        <w:rPr>
          <w:rStyle w:val="CRMinorChangeDeleted"/>
        </w:rPr>
        <w:t>éghajlat-politikai</w:t>
      </w:r>
      <w:r w:rsidRPr="007E3B4E">
        <w:t xml:space="preserve"> </w:t>
      </w:r>
      <w:r w:rsidRPr="007E3B4E">
        <w:rPr>
          <w:rStyle w:val="CRMinorChangeAdded"/>
        </w:rPr>
        <w:t>klíma</w:t>
      </w:r>
      <w:r w:rsidRPr="007E3B4E">
        <w:t>terveket.</w:t>
      </w:r>
    </w:p>
    <w:p w14:paraId="10AA9AB3" w14:textId="77777777" w:rsidR="00DB73A0" w:rsidRPr="007E3B4E" w:rsidRDefault="00DB73A0" w:rsidP="00EE2C63">
      <w:pPr>
        <w:pStyle w:val="Point0"/>
      </w:pPr>
      <w:r w:rsidRPr="007E3B4E">
        <w:t>6.</w:t>
      </w:r>
      <w:r w:rsidRPr="007E3B4E">
        <w:tab/>
        <w:t>Az (EU) 2018/1999 rendelet 3., 20., 21. cikkével és 27. cikkének a) pontjával összhangban benyújtott legfrissebb jelentésben ismertetett meglévő szakpolitikák és intézkedések általános áttekintése.</w:t>
      </w:r>
    </w:p>
    <w:p w14:paraId="7BFD7B6C" w14:textId="77777777" w:rsidR="00DB73A0" w:rsidRPr="007E3B4E" w:rsidRDefault="00DB73A0" w:rsidP="000C0FA0">
      <w:pPr>
        <w:pStyle w:val="ManualHeading2"/>
        <w:numPr>
          <w:ilvl w:val="1"/>
          <w:numId w:val="0"/>
        </w:numPr>
        <w:ind w:left="850" w:hanging="850"/>
      </w:pPr>
      <w:r w:rsidRPr="007E3B4E">
        <w:rPr>
          <w:i/>
          <w:iCs/>
        </w:rPr>
        <w:t>III. rész</w:t>
      </w:r>
    </w:p>
    <w:p w14:paraId="4674D97E" w14:textId="77777777" w:rsidR="00DB73A0" w:rsidRPr="007E3B4E" w:rsidRDefault="00DB73A0" w:rsidP="000C0FA0">
      <w:pPr>
        <w:pStyle w:val="ManualHeading3"/>
        <w:numPr>
          <w:ilvl w:val="2"/>
          <w:numId w:val="0"/>
        </w:numPr>
        <w:ind w:left="850" w:hanging="850"/>
      </w:pPr>
      <w:r w:rsidRPr="007E3B4E">
        <w:t>A FŰTÉSI ÉS HŰTÉSI HATÉKONYSÁG GAZDASÁGI POTENCIÁLJÁNAK ELEMZÉSE</w:t>
      </w:r>
    </w:p>
    <w:p w14:paraId="0BC888F9" w14:textId="77777777" w:rsidR="00DB73A0" w:rsidRPr="007E3B4E" w:rsidRDefault="00DB73A0" w:rsidP="00EE2C63">
      <w:pPr>
        <w:pStyle w:val="Point0"/>
      </w:pPr>
      <w:r w:rsidRPr="007E3B4E">
        <w:t>7.</w:t>
      </w:r>
      <w:r w:rsidRPr="007E3B4E">
        <w:tab/>
        <w:t>A különböző fűtési és hűtési technológiákban rejlő gazdasági potenciálra</w:t>
      </w:r>
      <w:r w:rsidRPr="007E3B4E">
        <w:rPr>
          <w:rStyle w:val="FootnoteReference"/>
        </w:rPr>
        <w:footnoteReference w:id="14"/>
      </w:r>
      <w:r w:rsidRPr="007E3B4E">
        <w:t xml:space="preserve"> vonatkozó elemzést az ország egész területére kiterjedően, a </w:t>
      </w:r>
      <w:r w:rsidRPr="007E3B4E">
        <w:rPr>
          <w:rStyle w:val="CRMinorChangeAdded"/>
        </w:rPr>
        <w:t>23</w:t>
      </w:r>
      <w:r w:rsidRPr="007E3B4E">
        <w:rPr>
          <w:rStyle w:val="CRMinorChangeDeleted"/>
        </w:rPr>
        <w:t>14</w:t>
      </w:r>
      <w:r w:rsidRPr="007E3B4E">
        <w:t>. cikk (3) bekezdésében említett költség-haszon elemzés segítségével kell elvégezni, meghatározva hatékonyabb, illetve megújuló energián alapuló fűtési és hűtési technológiák alternatív forgatókönyveit, lehetőség szerint különbséget téve a fosszilis és a megújuló forrásokból származó energia között.</w:t>
      </w:r>
    </w:p>
    <w:p w14:paraId="273B75E6" w14:textId="77777777" w:rsidR="00DB73A0" w:rsidRPr="007E3B4E" w:rsidRDefault="00DB73A0" w:rsidP="00EE2C63">
      <w:pPr>
        <w:pStyle w:val="Text1"/>
      </w:pPr>
      <w:r w:rsidRPr="007E3B4E">
        <w:t>A következő technológiákat kell figyelembe venni:</w:t>
      </w:r>
    </w:p>
    <w:p w14:paraId="2F26D04C" w14:textId="77777777" w:rsidR="00DB73A0" w:rsidRPr="007E3B4E" w:rsidRDefault="00DB73A0" w:rsidP="00EE2C63">
      <w:pPr>
        <w:pStyle w:val="Point1"/>
      </w:pPr>
      <w:r w:rsidRPr="007E3B4E">
        <w:t>a)</w:t>
      </w:r>
      <w:r w:rsidRPr="007E3B4E">
        <w:tab/>
        <w:t>ipari hulladékhő és hulladék hűtőenergia;</w:t>
      </w:r>
    </w:p>
    <w:p w14:paraId="7F11C1FB" w14:textId="77777777" w:rsidR="00DB73A0" w:rsidRPr="007E3B4E" w:rsidRDefault="00DB73A0" w:rsidP="00EE2C63">
      <w:pPr>
        <w:pStyle w:val="Point1"/>
      </w:pPr>
      <w:r w:rsidRPr="007E3B4E">
        <w:t>b)</w:t>
      </w:r>
      <w:r w:rsidRPr="007E3B4E">
        <w:tab/>
        <w:t>hulladékégetés;</w:t>
      </w:r>
    </w:p>
    <w:p w14:paraId="674BBA3C" w14:textId="77777777" w:rsidR="00DB73A0" w:rsidRPr="007E3B4E" w:rsidRDefault="00DB73A0" w:rsidP="00EE2C63">
      <w:pPr>
        <w:pStyle w:val="Point1"/>
      </w:pPr>
      <w:r w:rsidRPr="007E3B4E">
        <w:t>c)</w:t>
      </w:r>
      <w:r w:rsidRPr="007E3B4E">
        <w:tab/>
        <w:t>nagy hatásfokú kapcsolt energiatermelés;</w:t>
      </w:r>
    </w:p>
    <w:p w14:paraId="5F3479F8" w14:textId="77777777" w:rsidR="00DB73A0" w:rsidRPr="007E3B4E" w:rsidRDefault="00DB73A0" w:rsidP="00EE2C63">
      <w:pPr>
        <w:pStyle w:val="Point1"/>
      </w:pPr>
      <w:r w:rsidRPr="007E3B4E">
        <w:t>d)</w:t>
      </w:r>
      <w:r w:rsidRPr="007E3B4E">
        <w:tab/>
        <w:t>a nagy hatásfokú kapcsolt energiatermeléshez használtaktól eltérő megújuló energiaforrás (mint például a geotermikus energia, a termikus napenergia és a biomassza);</w:t>
      </w:r>
    </w:p>
    <w:p w14:paraId="7B3807B1" w14:textId="77777777" w:rsidR="00DB73A0" w:rsidRPr="007E3B4E" w:rsidRDefault="00DB73A0" w:rsidP="00EE2C63">
      <w:pPr>
        <w:pStyle w:val="Point1"/>
      </w:pPr>
      <w:r w:rsidRPr="007E3B4E">
        <w:t>e)</w:t>
      </w:r>
      <w:r w:rsidRPr="007E3B4E">
        <w:tab/>
        <w:t>hőszivattyúk;</w:t>
      </w:r>
    </w:p>
    <w:p w14:paraId="2F8C0105" w14:textId="77777777" w:rsidR="00DB73A0" w:rsidRPr="007E3B4E" w:rsidRDefault="00DB73A0" w:rsidP="00EE2C63">
      <w:pPr>
        <w:pStyle w:val="Point1"/>
      </w:pPr>
      <w:r w:rsidRPr="007E3B4E">
        <w:t>f)</w:t>
      </w:r>
      <w:r w:rsidRPr="007E3B4E">
        <w:tab/>
        <w:t>a meglévő távfűtési hálózatok hő- és hűtőenergia-veszteségének csökkentése.</w:t>
      </w:r>
    </w:p>
    <w:p w14:paraId="290FF010" w14:textId="77777777" w:rsidR="00DB73A0" w:rsidRPr="007E3B4E" w:rsidRDefault="00DB73A0" w:rsidP="00EE2C63">
      <w:pPr>
        <w:pStyle w:val="Point0"/>
      </w:pPr>
      <w:r w:rsidRPr="007E3B4E">
        <w:t>8.</w:t>
      </w:r>
      <w:r w:rsidRPr="007E3B4E">
        <w:tab/>
        <w:t>a gazdasági potenciálra vonatkozó elemzésnek tartalmaznia kell a következő lépéseket és megfontolásokat:</w:t>
      </w:r>
    </w:p>
    <w:p w14:paraId="63796815" w14:textId="77777777" w:rsidR="00DB73A0" w:rsidRPr="007E3B4E" w:rsidRDefault="00DB73A0" w:rsidP="00EE2C63">
      <w:pPr>
        <w:pStyle w:val="Point1"/>
      </w:pPr>
      <w:r w:rsidRPr="007E3B4E">
        <w:t>a)</w:t>
      </w:r>
      <w:r w:rsidRPr="007E3B4E">
        <w:tab/>
        <w:t>Megfontolások:</w:t>
      </w:r>
    </w:p>
    <w:p w14:paraId="439AD867" w14:textId="77777777" w:rsidR="00DB73A0" w:rsidRPr="007E3B4E" w:rsidRDefault="00DB73A0" w:rsidP="00EE2C63">
      <w:pPr>
        <w:pStyle w:val="Point2"/>
      </w:pPr>
      <w:r w:rsidRPr="007E3B4E">
        <w:t>i.</w:t>
      </w:r>
      <w:r w:rsidRPr="007E3B4E">
        <w:tab/>
        <w:t xml:space="preserve">a </w:t>
      </w:r>
      <w:r w:rsidRPr="007E3B4E">
        <w:rPr>
          <w:rStyle w:val="CRMinorChangeAdded"/>
        </w:rPr>
        <w:t>23</w:t>
      </w:r>
      <w:r w:rsidRPr="007E3B4E">
        <w:rPr>
          <w:rStyle w:val="CRMinorChangeDeleted"/>
        </w:rPr>
        <w:t>14</w:t>
      </w:r>
      <w:r w:rsidRPr="007E3B4E">
        <w:t>. cikk (3) bekezdése szerinti költség-haszon elemzésnek tartalmaznia kell egy gazdasági elemzést, amely társadalmi-gazdasági és környezeti tényezőket</w:t>
      </w:r>
      <w:r w:rsidRPr="007E3B4E">
        <w:rPr>
          <w:rStyle w:val="FootnoteReference"/>
        </w:rPr>
        <w:footnoteReference w:id="15"/>
      </w:r>
      <w:r w:rsidRPr="007E3B4E">
        <w:t xml:space="preserve"> is figyelembe vesz, valamint egy, a projektek befektetők szempontjából történő értékelése céljából végzett pénzügyi elemzést. Mind a gazdasági, mind a pénzügyi elemzésnek a nettó jelenértéket kell értékelési kritériumként figyelembe vennie;</w:t>
      </w:r>
    </w:p>
    <w:p w14:paraId="266CBB0A" w14:textId="77777777" w:rsidR="00DB73A0" w:rsidRPr="007E3B4E" w:rsidRDefault="00DB73A0" w:rsidP="00EE2C63">
      <w:pPr>
        <w:pStyle w:val="Point2"/>
      </w:pPr>
      <w:r w:rsidRPr="007E3B4E">
        <w:t>ii.</w:t>
      </w:r>
      <w:r w:rsidRPr="007E3B4E">
        <w:tab/>
        <w:t>az alapforgatókönyvnek kiindulópontként kell szolgálnia, és figyelembe kell vennie az átfogó értékelés</w:t>
      </w:r>
      <w:r w:rsidRPr="007E3B4E">
        <w:rPr>
          <w:rStyle w:val="FootnoteReference"/>
        </w:rPr>
        <w:footnoteReference w:id="16"/>
      </w:r>
      <w:r w:rsidRPr="007E3B4E">
        <w:t xml:space="preserve"> összeállításának idején meglévő szakpolitikákat, továbbá kapcsolódnia kell az e melléklet I. része és II. részének 6. pontja értelmében gyűjtött adatokhoz;</w:t>
      </w:r>
    </w:p>
    <w:p w14:paraId="34503D62" w14:textId="77777777" w:rsidR="00DB73A0" w:rsidRPr="007E3B4E" w:rsidRDefault="00DB73A0" w:rsidP="0098121E">
      <w:pPr>
        <w:pStyle w:val="Point2"/>
        <w:keepNext/>
        <w:ind w:left="1985"/>
      </w:pPr>
      <w:r w:rsidRPr="007E3B4E">
        <w:t>iii.</w:t>
      </w:r>
      <w:r w:rsidRPr="007E3B4E">
        <w:tab/>
        <w:t>az alapforgatókönyv alternatív forgatókönyveinek figyelembe kell venniük az (EU) 2018/1999 rendelet energiahatékonyságra és megújuló energiára vonatkozó célkitűzéseit. Az egyes forgatókönyveknek az alapforgatókönyvhöz képest az alábbi elemeket kell tartalmazniuk:</w:t>
      </w:r>
    </w:p>
    <w:p w14:paraId="054FAEC6" w14:textId="77777777" w:rsidR="00DB73A0" w:rsidRPr="007E3B4E" w:rsidRDefault="00DB73A0" w:rsidP="00EE2C63">
      <w:pPr>
        <w:pStyle w:val="Tiret3"/>
      </w:pPr>
      <w:r w:rsidRPr="007E3B4E">
        <w:t>a vizsgált technológiákban rejlő gazdasági potenciál a nettó jelenérték mint kritérium alkalmazásával;</w:t>
      </w:r>
    </w:p>
    <w:p w14:paraId="5CF0910F" w14:textId="77777777" w:rsidR="00DB73A0" w:rsidRPr="007E3B4E" w:rsidRDefault="00DB73A0" w:rsidP="00EE2C63">
      <w:pPr>
        <w:pStyle w:val="Tiret3"/>
      </w:pPr>
      <w:r w:rsidRPr="007E3B4E">
        <w:t>az üvegházhatásúgáz-kibocsátás csökkentése;</w:t>
      </w:r>
    </w:p>
    <w:p w14:paraId="13F9CFF5" w14:textId="77777777" w:rsidR="00DB73A0" w:rsidRPr="007E3B4E" w:rsidRDefault="00DB73A0" w:rsidP="00EE2C63">
      <w:pPr>
        <w:pStyle w:val="Tiret3"/>
      </w:pPr>
      <w:r w:rsidRPr="007E3B4E">
        <w:t>évi primerenergia-megtakarítás GWh-ban;</w:t>
      </w:r>
    </w:p>
    <w:p w14:paraId="71ABA5DE" w14:textId="77777777" w:rsidR="00DB73A0" w:rsidRPr="007E3B4E" w:rsidRDefault="00DB73A0" w:rsidP="00EE2C63">
      <w:pPr>
        <w:pStyle w:val="Tiret3"/>
      </w:pPr>
      <w:r w:rsidRPr="007E3B4E">
        <w:t>a megújuló energiaforrások arányára gyakorolt hatás a nemzeti energiaszerkezetben.</w:t>
      </w:r>
    </w:p>
    <w:p w14:paraId="61073ADF" w14:textId="77777777" w:rsidR="00DB73A0" w:rsidRPr="007E3B4E" w:rsidRDefault="00DB73A0" w:rsidP="00EE2C63">
      <w:pPr>
        <w:pStyle w:val="Text3"/>
      </w:pPr>
      <w:r w:rsidRPr="007E3B4E">
        <w:t>A technikai, pénzügyi okokból vagy a nemzeti szabályok miatt nem megvalósítható forgatókönyveket a költség-haszon elemzés korai szakaszában ki lehet zárni, ha ez körültekintő, pontos és jól dokumentált megfontolások alapján indokolt.</w:t>
      </w:r>
    </w:p>
    <w:p w14:paraId="6D6A555A" w14:textId="77777777" w:rsidR="00DB73A0" w:rsidRPr="007E3B4E" w:rsidRDefault="00DB73A0" w:rsidP="00EE2C63">
      <w:pPr>
        <w:pStyle w:val="Text3"/>
      </w:pPr>
      <w:r w:rsidRPr="007E3B4E">
        <w:t>Az értékelésnek és a döntéshozatalnak figyelembe kell vennie a költségeket és az energiaellátás megnövekedett rugalmasságából és a villamosenergia-hálózatok optimálisabb működéséből eredő energiamegtakarítást az elemzett forgatókönyvekben, beleértve a csökkentett infrastrukturális beruházásokból adódóan elkerült költségeket és az így nyert megtakarításokat.</w:t>
      </w:r>
    </w:p>
    <w:p w14:paraId="23593D75" w14:textId="77777777" w:rsidR="00DB73A0" w:rsidRPr="007E3B4E" w:rsidRDefault="00DB73A0" w:rsidP="00F743E2">
      <w:pPr>
        <w:pStyle w:val="Point1"/>
      </w:pPr>
      <w:r w:rsidRPr="007E3B4E">
        <w:t>b)</w:t>
      </w:r>
      <w:r w:rsidRPr="007E3B4E">
        <w:tab/>
        <w:t>Költségek és hasznok</w:t>
      </w:r>
    </w:p>
    <w:p w14:paraId="31976A60" w14:textId="77777777" w:rsidR="00DB73A0" w:rsidRPr="007E3B4E" w:rsidRDefault="00DB73A0" w:rsidP="00F743E2">
      <w:pPr>
        <w:pStyle w:val="Text2"/>
      </w:pPr>
      <w:r w:rsidRPr="007E3B4E">
        <w:t>A 8.a) pontban említett költségek és hasznok legalább az alábbi hasznokat és költségeket foglalják magukban:</w:t>
      </w:r>
    </w:p>
    <w:p w14:paraId="18D8B98C" w14:textId="77777777" w:rsidR="00DB73A0" w:rsidRPr="007E3B4E" w:rsidRDefault="00DB73A0" w:rsidP="00F743E2">
      <w:pPr>
        <w:pStyle w:val="Point2"/>
      </w:pPr>
      <w:r w:rsidRPr="007E3B4E">
        <w:t>i.</w:t>
      </w:r>
      <w:r w:rsidRPr="007E3B4E">
        <w:tab/>
        <w:t>Hasznok:</w:t>
      </w:r>
    </w:p>
    <w:p w14:paraId="4D52ED13" w14:textId="77777777" w:rsidR="00DB73A0" w:rsidRPr="007E3B4E" w:rsidRDefault="00DB73A0" w:rsidP="00F743E2">
      <w:pPr>
        <w:pStyle w:val="Tiret3"/>
      </w:pPr>
      <w:r w:rsidRPr="007E3B4E">
        <w:t>kibocsátás értéke a felhasználó számára (fűtés, hűtés és villamos energia);</w:t>
      </w:r>
    </w:p>
    <w:p w14:paraId="015DDB1B" w14:textId="77777777" w:rsidR="00DB73A0" w:rsidRPr="007E3B4E" w:rsidRDefault="00DB73A0" w:rsidP="00F743E2">
      <w:pPr>
        <w:pStyle w:val="Tiret3"/>
      </w:pPr>
      <w:r w:rsidRPr="007E3B4E">
        <w:t>külső hasznok, például a környezeti, üvegházhatásúgáz-kibocsátással kapcsolatos, továbbá egészségügyi és biztonsági hasznok, a lehetséges mértékben;</w:t>
      </w:r>
    </w:p>
    <w:p w14:paraId="08AB4F30" w14:textId="77777777" w:rsidR="00DB73A0" w:rsidRPr="007E3B4E" w:rsidRDefault="00DB73A0" w:rsidP="00F743E2">
      <w:pPr>
        <w:pStyle w:val="Tiret3"/>
      </w:pPr>
      <w:r w:rsidRPr="007E3B4E">
        <w:t>munkaerőpiaci hatások, energiabiztonság és versenyképesség, a lehetséges mértékben;</w:t>
      </w:r>
    </w:p>
    <w:p w14:paraId="2F0996A4" w14:textId="77777777" w:rsidR="00DB73A0" w:rsidRPr="007E3B4E" w:rsidRDefault="00DB73A0" w:rsidP="00F743E2">
      <w:pPr>
        <w:pStyle w:val="Point2"/>
      </w:pPr>
      <w:r w:rsidRPr="007E3B4E">
        <w:t>ii.</w:t>
      </w:r>
      <w:r w:rsidRPr="007E3B4E">
        <w:tab/>
        <w:t>Költségek:</w:t>
      </w:r>
    </w:p>
    <w:p w14:paraId="1DE4EB62" w14:textId="77777777" w:rsidR="00DB73A0" w:rsidRPr="007E3B4E" w:rsidRDefault="00DB73A0" w:rsidP="00F743E2">
      <w:pPr>
        <w:pStyle w:val="Tiret3"/>
      </w:pPr>
      <w:r w:rsidRPr="007E3B4E">
        <w:t>a létesítmények és felszerelések állóeszköz-beruházási költségei;</w:t>
      </w:r>
    </w:p>
    <w:p w14:paraId="7226C99B" w14:textId="77777777" w:rsidR="00DB73A0" w:rsidRPr="007E3B4E" w:rsidRDefault="00DB73A0" w:rsidP="00F743E2">
      <w:pPr>
        <w:pStyle w:val="Tiret3"/>
      </w:pPr>
      <w:r w:rsidRPr="007E3B4E">
        <w:t>a kapcsolódó energiahálózatok állóeszköz-beruházási költségei;</w:t>
      </w:r>
    </w:p>
    <w:p w14:paraId="55112DF0" w14:textId="77777777" w:rsidR="00DB73A0" w:rsidRPr="007E3B4E" w:rsidRDefault="00DB73A0" w:rsidP="00F743E2">
      <w:pPr>
        <w:pStyle w:val="Tiret3"/>
      </w:pPr>
      <w:r w:rsidRPr="007E3B4E">
        <w:t>változó és rögzített műveleti költségek;</w:t>
      </w:r>
    </w:p>
    <w:p w14:paraId="0F1C44B4" w14:textId="77777777" w:rsidR="00DB73A0" w:rsidRPr="007E3B4E" w:rsidRDefault="00DB73A0" w:rsidP="00F743E2">
      <w:pPr>
        <w:pStyle w:val="Tiret3"/>
      </w:pPr>
      <w:r w:rsidRPr="007E3B4E">
        <w:t>energiaköltségek;</w:t>
      </w:r>
    </w:p>
    <w:p w14:paraId="4A84722D" w14:textId="77777777" w:rsidR="00DB73A0" w:rsidRPr="007E3B4E" w:rsidRDefault="00DB73A0" w:rsidP="00F743E2">
      <w:pPr>
        <w:pStyle w:val="Tiret3"/>
      </w:pPr>
      <w:r w:rsidRPr="007E3B4E">
        <w:t>környezeti, egészségügyi és biztonsági költségek, a lehetséges mértékben;</w:t>
      </w:r>
    </w:p>
    <w:p w14:paraId="561CF872" w14:textId="77777777" w:rsidR="00DB73A0" w:rsidRPr="007E3B4E" w:rsidRDefault="00DB73A0" w:rsidP="00F743E2">
      <w:pPr>
        <w:pStyle w:val="Tiret3"/>
      </w:pPr>
      <w:r w:rsidRPr="007E3B4E">
        <w:t>munkaerőpiaci költségek, energiabiztonság és versenyképesség, a lehetséges mértékben;</w:t>
      </w:r>
    </w:p>
    <w:p w14:paraId="30740DEC" w14:textId="77777777" w:rsidR="00DB73A0" w:rsidRPr="007E3B4E" w:rsidRDefault="00DB73A0" w:rsidP="00F743E2">
      <w:pPr>
        <w:pStyle w:val="Point1"/>
      </w:pPr>
      <w:r w:rsidRPr="007E3B4E">
        <w:t>c)</w:t>
      </w:r>
      <w:r w:rsidRPr="007E3B4E">
        <w:tab/>
        <w:t>Az alapforgatókönyv szempontjából releváns forgatókönyvek:</w:t>
      </w:r>
    </w:p>
    <w:p w14:paraId="6F46EEC6" w14:textId="77777777" w:rsidR="00DB73A0" w:rsidRPr="007E3B4E" w:rsidRDefault="00DB73A0" w:rsidP="00F743E2">
      <w:pPr>
        <w:pStyle w:val="Text2"/>
      </w:pPr>
      <w:r w:rsidRPr="007E3B4E">
        <w:t>Az alapforgatókönyvvel kapcsolatos összes releváns forgatókönyvet figyelembe kell venni, beleértve a hatékony egyedi fűtés és hűtés szerepét.</w:t>
      </w:r>
    </w:p>
    <w:p w14:paraId="0F430C2E" w14:textId="77777777" w:rsidR="00DB73A0" w:rsidRPr="007E3B4E" w:rsidRDefault="00DB73A0" w:rsidP="00F743E2">
      <w:pPr>
        <w:pStyle w:val="Point2"/>
      </w:pPr>
      <w:r w:rsidRPr="007E3B4E">
        <w:t>i.</w:t>
      </w:r>
      <w:r w:rsidRPr="007E3B4E">
        <w:tab/>
        <w:t>a költség-haszon elemzés vagy egy projekt értékelésére vagy pedig projektcsoportra terjed ki egy tágabb helyi, regionális vagy nemzeti értékelés keretében annak érdekében, hogy meg lehessen állapítani az alapforgatókönyvhöz képest leginkább költséghatékony és legkedvezőbb fűtési vagy hűtési megoldást egy adott földrajzi terület számára a fűtés tervezése céljából;</w:t>
      </w:r>
    </w:p>
    <w:p w14:paraId="1A370A12" w14:textId="77777777" w:rsidR="00DB73A0" w:rsidRPr="007E3B4E" w:rsidRDefault="00DB73A0" w:rsidP="00DB73A0">
      <w:pPr>
        <w:pStyle w:val="Point1"/>
      </w:pPr>
      <w:r w:rsidRPr="007E3B4E">
        <w:tab/>
      </w:r>
      <w:r w:rsidRPr="007E3B4E">
        <w:rPr>
          <w:rStyle w:val="CRDeleted"/>
        </w:rPr>
        <w:t>ii.</w:t>
      </w:r>
      <w:r w:rsidRPr="007E3B4E">
        <w:tab/>
      </w:r>
      <w:r w:rsidRPr="007E3B4E">
        <w:rPr>
          <w:rStyle w:val="CRDeleted"/>
        </w:rPr>
        <w:t>a tagállamok kijelölik a 14. cikk szerinti költség-haszon elemzés elvégzésért felelős illetékes hatóságokat. Részletes módszertant és feltételezéseket kell biztosítaniuk e melléklettel összhangban és meg kell állapítaniuk és nyilvánosságra kell hozniuk a gazdasági elemzésre vonatkozó eljárásokat. 2.</w:t>
      </w:r>
    </w:p>
    <w:p w14:paraId="4C8A0159" w14:textId="77777777" w:rsidR="00DB73A0" w:rsidRPr="007E3B4E" w:rsidRDefault="00DB73A0" w:rsidP="00F743E2">
      <w:pPr>
        <w:pStyle w:val="Point1"/>
      </w:pPr>
      <w:r w:rsidRPr="007E3B4E">
        <w:t>d)</w:t>
      </w:r>
      <w:r w:rsidRPr="007E3B4E">
        <w:tab/>
        <w:t>Határok és integrált megközelítés:</w:t>
      </w:r>
    </w:p>
    <w:p w14:paraId="65627EA2" w14:textId="77777777" w:rsidR="00DB73A0" w:rsidRPr="007E3B4E" w:rsidRDefault="00DB73A0" w:rsidP="00F743E2">
      <w:pPr>
        <w:pStyle w:val="Point2"/>
      </w:pPr>
      <w:r w:rsidRPr="007E3B4E">
        <w:t>i.</w:t>
      </w:r>
      <w:r w:rsidRPr="007E3B4E">
        <w:tab/>
        <w:t>a földrajzi határnak egy megfelelő, jól meghatározott földrajzi területet kell lefednie;</w:t>
      </w:r>
    </w:p>
    <w:p w14:paraId="0EA0FBC0" w14:textId="77777777" w:rsidR="00DB73A0" w:rsidRPr="007E3B4E" w:rsidRDefault="00DB73A0" w:rsidP="00F743E2">
      <w:pPr>
        <w:pStyle w:val="Point2"/>
      </w:pPr>
      <w:r w:rsidRPr="007E3B4E">
        <w:t>ii.</w:t>
      </w:r>
      <w:r w:rsidRPr="007E3B4E">
        <w:tab/>
        <w:t>a költség-haszon elemzésben figyelembe kell venni a rendszeren és a földrajzi határon belüli valamennyi rendelkezésre álló centralizált vagy decentralizált kínálati erőforrást, beleértve az e melléklet III. részének 7. pontja szerinti technológiákat, valamint a fűtési és hűtési igények tendenciáit és jellemzőit.</w:t>
      </w:r>
    </w:p>
    <w:p w14:paraId="50E6A1A2" w14:textId="77777777" w:rsidR="00DB73A0" w:rsidRPr="007E3B4E" w:rsidRDefault="00DB73A0" w:rsidP="00F743E2">
      <w:pPr>
        <w:pStyle w:val="Point1"/>
      </w:pPr>
      <w:r w:rsidRPr="007E3B4E">
        <w:t>e)</w:t>
      </w:r>
      <w:r w:rsidRPr="007E3B4E">
        <w:tab/>
        <w:t>Feltételezések:</w:t>
      </w:r>
    </w:p>
    <w:p w14:paraId="3AD39620" w14:textId="77777777" w:rsidR="00DB73A0" w:rsidRPr="007E3B4E" w:rsidRDefault="00DB73A0" w:rsidP="00F743E2">
      <w:pPr>
        <w:pStyle w:val="Point2"/>
      </w:pPr>
      <w:r w:rsidRPr="007E3B4E">
        <w:t>i.</w:t>
      </w:r>
      <w:r w:rsidRPr="007E3B4E">
        <w:tab/>
        <w:t>a tagállamoknak a költség-haszon elemzések céljára feltételezéseket kell benyújtaniuk, amelyek a főbb input és output tényezők áraira és a diszkontrátára vonatkoznak;</w:t>
      </w:r>
    </w:p>
    <w:p w14:paraId="62330E08" w14:textId="77777777" w:rsidR="00DB73A0" w:rsidRPr="007E3B4E" w:rsidRDefault="00DB73A0" w:rsidP="00F743E2">
      <w:pPr>
        <w:pStyle w:val="Point2"/>
      </w:pPr>
      <w:r w:rsidRPr="007E3B4E">
        <w:t>ii.</w:t>
      </w:r>
      <w:r w:rsidRPr="007E3B4E">
        <w:tab/>
        <w:t>a gazdasági elemzésben a nettó jelenérték kiszámításához használt diszkontrátát európai vagy nemzeti iránymutatások alapján kell kiválasztani;</w:t>
      </w:r>
    </w:p>
    <w:p w14:paraId="5BAE42E3" w14:textId="77777777" w:rsidR="00DB73A0" w:rsidRPr="007E3B4E" w:rsidRDefault="00DB73A0" w:rsidP="00F743E2">
      <w:pPr>
        <w:pStyle w:val="Point2"/>
      </w:pPr>
      <w:r w:rsidRPr="007E3B4E">
        <w:t>iii.</w:t>
      </w:r>
      <w:r w:rsidRPr="007E3B4E">
        <w:tab/>
        <w:t>a tagállamoknak nemzeti, európai vagy nemzetközi energiaár-alakulási előrejelzéseket kell használniuk, ezeket adott esetben nemzeti és/vagy regionális/helyi összefüggésbe helyezve;</w:t>
      </w:r>
    </w:p>
    <w:p w14:paraId="4748F394" w14:textId="77777777" w:rsidR="00DB73A0" w:rsidRPr="007E3B4E" w:rsidRDefault="00DB73A0" w:rsidP="00F743E2">
      <w:pPr>
        <w:pStyle w:val="Point2"/>
      </w:pPr>
      <w:r w:rsidRPr="007E3B4E">
        <w:t>iv.</w:t>
      </w:r>
      <w:r w:rsidRPr="007E3B4E">
        <w:tab/>
        <w:t>a gazdasági elemzésben alkalmazott áraknak tükrözniük kell a társadalmi-gazdasági költségeket és hasznokat. A külső költségeket – például a környezeti és egészségügyi hatásokat – a lehető legnagyobb mértékben figyelembe kell venni, például ha létezik vonatkozó piaci ár, vagy ha már szerepel az európai vagy nemzeti szabályozásban.</w:t>
      </w:r>
    </w:p>
    <w:p w14:paraId="54B54AEF" w14:textId="77777777" w:rsidR="00DB73A0" w:rsidRPr="007E3B4E" w:rsidRDefault="00DB73A0" w:rsidP="00F743E2">
      <w:pPr>
        <w:pStyle w:val="Point1"/>
      </w:pPr>
      <w:r w:rsidRPr="007E3B4E">
        <w:t>f)</w:t>
      </w:r>
      <w:r w:rsidRPr="007E3B4E">
        <w:tab/>
        <w:t>Érzékenységi elemzés:</w:t>
      </w:r>
    </w:p>
    <w:p w14:paraId="4A088851" w14:textId="77777777" w:rsidR="00DB73A0" w:rsidRPr="007E3B4E" w:rsidRDefault="00DB73A0" w:rsidP="00F743E2">
      <w:pPr>
        <w:pStyle w:val="Point2"/>
      </w:pPr>
      <w:r w:rsidRPr="007E3B4E">
        <w:t>i.</w:t>
      </w:r>
      <w:r w:rsidRPr="007E3B4E">
        <w:tab/>
        <w:t>egy projekt vagy projektcsoport költségeinek és hasznainak értékeléséhez érzékenységi elemzést is végezni kell, és annak olyan változó tényezőkön kell alapulnia, amelyek jelentős hatással vannak a számítások eredményére, mint például a különböző energiaárak, a keresleti szintek, a diszkontráták és egyéb tényezők.</w:t>
      </w:r>
    </w:p>
    <w:p w14:paraId="44626EEE" w14:textId="77777777" w:rsidR="00DB73A0" w:rsidRPr="007E3B4E" w:rsidRDefault="00DB73A0" w:rsidP="00DB73A0">
      <w:pPr>
        <w:pStyle w:val="ManualHeading2"/>
        <w:numPr>
          <w:ilvl w:val="1"/>
          <w:numId w:val="0"/>
        </w:numPr>
        <w:ind w:left="851" w:hanging="851"/>
      </w:pPr>
      <w:r w:rsidRPr="007E3B4E">
        <w:rPr>
          <w:i/>
          <w:iCs/>
        </w:rPr>
        <w:t>IV. rész</w:t>
      </w:r>
    </w:p>
    <w:p w14:paraId="0F4682B2" w14:textId="77777777" w:rsidR="00DB73A0" w:rsidRPr="007E3B4E" w:rsidRDefault="00DB73A0" w:rsidP="00DB73A0">
      <w:pPr>
        <w:pStyle w:val="ManualHeading3"/>
        <w:numPr>
          <w:ilvl w:val="2"/>
          <w:numId w:val="0"/>
        </w:numPr>
        <w:ind w:left="850" w:hanging="850"/>
      </w:pPr>
      <w:r w:rsidRPr="007E3B4E">
        <w:t>POTENCIÁLIS ÚJ</w:t>
      </w:r>
      <w:r w:rsidRPr="007E3B4E">
        <w:rPr>
          <w:rStyle w:val="CRMinorChangeAdded"/>
        </w:rPr>
        <w:t xml:space="preserve"> </w:t>
      </w:r>
      <w:r w:rsidRPr="007E3B4E">
        <w:rPr>
          <w:rStyle w:val="CRMinorChangeDeleted"/>
        </w:rPr>
        <w:t>-</w:t>
      </w:r>
      <w:r w:rsidRPr="007E3B4E">
        <w:t>STRATÉGIÁK ÉS SZAKPOLITIKAI INTÉZKEDÉSEK</w:t>
      </w:r>
    </w:p>
    <w:p w14:paraId="1F109F2A" w14:textId="77777777" w:rsidR="00DB73A0" w:rsidRPr="007E3B4E" w:rsidRDefault="00DB73A0" w:rsidP="00CC35A4">
      <w:pPr>
        <w:pStyle w:val="Point0"/>
      </w:pPr>
      <w:r w:rsidRPr="007E3B4E">
        <w:t>9.</w:t>
      </w:r>
      <w:r w:rsidRPr="007E3B4E">
        <w:tab/>
        <w:t>A 7. és 8. ponttal összhangban azonosított gazdasági potenciál kiaknázására irányuló új jogalkotási és nem jogalkotási szakpolitikai intézkedések áttekintése</w:t>
      </w:r>
      <w:r w:rsidRPr="007E3B4E">
        <w:rPr>
          <w:rStyle w:val="FootnoteReference"/>
        </w:rPr>
        <w:footnoteReference w:id="17"/>
      </w:r>
      <w:r w:rsidRPr="007E3B4E">
        <w:t>, a hozzájuk fűzött elvárásokkal:</w:t>
      </w:r>
    </w:p>
    <w:p w14:paraId="5BB6C015" w14:textId="77777777" w:rsidR="00DB73A0" w:rsidRPr="007E3B4E" w:rsidRDefault="00DB73A0" w:rsidP="00CC35A4">
      <w:pPr>
        <w:pStyle w:val="Point1"/>
      </w:pPr>
      <w:r w:rsidRPr="007E3B4E">
        <w:t>a)</w:t>
      </w:r>
      <w:r w:rsidRPr="007E3B4E">
        <w:tab/>
        <w:t>az üvegházhatásúgáz-kibocsátás csökkentése;</w:t>
      </w:r>
    </w:p>
    <w:p w14:paraId="0CF3DDD1" w14:textId="77777777" w:rsidR="00DB73A0" w:rsidRPr="007E3B4E" w:rsidRDefault="00DB73A0" w:rsidP="00CC35A4">
      <w:pPr>
        <w:pStyle w:val="Point1"/>
      </w:pPr>
      <w:r w:rsidRPr="007E3B4E">
        <w:t>b)</w:t>
      </w:r>
      <w:r w:rsidRPr="007E3B4E">
        <w:tab/>
        <w:t>évi primerenergia-megtakarítás GWh-ban;</w:t>
      </w:r>
    </w:p>
    <w:p w14:paraId="02915BE5" w14:textId="77777777" w:rsidR="00DB73A0" w:rsidRPr="007E3B4E" w:rsidRDefault="00DB73A0" w:rsidP="00CC35A4">
      <w:pPr>
        <w:pStyle w:val="Point1"/>
      </w:pPr>
      <w:r w:rsidRPr="007E3B4E">
        <w:t>c)</w:t>
      </w:r>
      <w:r w:rsidRPr="007E3B4E">
        <w:tab/>
        <w:t>a nagy hatásfokú kapcsolt energiatermelés arányára gyakorolt hatás;</w:t>
      </w:r>
    </w:p>
    <w:p w14:paraId="1D7EFFD0" w14:textId="77777777" w:rsidR="00DB73A0" w:rsidRPr="007E3B4E" w:rsidRDefault="00DB73A0" w:rsidP="00CC35A4">
      <w:pPr>
        <w:pStyle w:val="Point1"/>
      </w:pPr>
      <w:r w:rsidRPr="007E3B4E">
        <w:t>d)</w:t>
      </w:r>
      <w:r w:rsidRPr="007E3B4E">
        <w:tab/>
        <w:t>a megújuló energiaforrások arányára gyakorolt hatás a nemzeti energiaszerkezetben és a fűtési és hűtési ágazatban;</w:t>
      </w:r>
    </w:p>
    <w:p w14:paraId="2C289B11" w14:textId="77777777" w:rsidR="00DB73A0" w:rsidRPr="007E3B4E" w:rsidRDefault="00DB73A0" w:rsidP="00CC35A4">
      <w:pPr>
        <w:pStyle w:val="Point1"/>
      </w:pPr>
      <w:r w:rsidRPr="007E3B4E">
        <w:t>e)</w:t>
      </w:r>
      <w:r w:rsidRPr="007E3B4E">
        <w:tab/>
        <w:t>összefüggések a nemzeti pénzügyi programozással és a költségmegtakarításokkal az állami költségvetés és a piaci résztvevők számára;</w:t>
      </w:r>
    </w:p>
    <w:p w14:paraId="2CD1B71D" w14:textId="77777777" w:rsidR="00DB73A0" w:rsidRPr="007E3B4E" w:rsidRDefault="00DB73A0" w:rsidP="00CC35A4">
      <w:pPr>
        <w:pStyle w:val="Point1"/>
      </w:pPr>
      <w:r w:rsidRPr="007E3B4E">
        <w:t>f)</w:t>
      </w:r>
      <w:r w:rsidRPr="007E3B4E">
        <w:tab/>
        <w:t>az esetleges állami támogatási intézkedésekre vonatkozó becslés, a vonatkozó éves költségvetéssel és a potenciális támogatási elem meghatározásával.</w:t>
      </w:r>
    </w:p>
    <w:p w14:paraId="046AA882" w14:textId="77777777" w:rsidR="00CC35A4" w:rsidRPr="007E3B4E" w:rsidRDefault="00CC35A4" w:rsidP="00CC35A4">
      <w:pPr>
        <w:jc w:val="center"/>
      </w:pPr>
      <w:r w:rsidRPr="007E3B4E">
        <w:t>_____________</w:t>
      </w:r>
    </w:p>
    <w:p w14:paraId="0ACF35F5"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4A55AA5B" w14:textId="77777777" w:rsidR="00A04E6E" w:rsidRPr="007E3B4E" w:rsidRDefault="00A04E6E" w:rsidP="00A04E6E">
      <w:pPr>
        <w:pStyle w:val="CRSeparator"/>
      </w:pPr>
    </w:p>
    <w:p w14:paraId="5375414B" w14:textId="77777777" w:rsidR="00A04E6E" w:rsidRPr="007E3B4E" w:rsidRDefault="00A04E6E" w:rsidP="000B0659">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5456CB16" w14:textId="77777777" w:rsidR="00A04E6E" w:rsidRPr="007E3B4E" w:rsidRDefault="000B0659" w:rsidP="000B0659">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20B9F9F7" w14:textId="77777777" w:rsidR="000B0659" w:rsidRPr="007E3B4E" w:rsidRDefault="000B0659" w:rsidP="000B0659"/>
    <w:p w14:paraId="19B72C95" w14:textId="77777777" w:rsidR="00DB73A0" w:rsidRPr="007E3B4E" w:rsidRDefault="00DB73A0" w:rsidP="00FD625F">
      <w:pPr>
        <w:pStyle w:val="Annexetitre"/>
      </w:pPr>
      <w:r w:rsidRPr="007E3B4E">
        <w:rPr>
          <w:rStyle w:val="CRMinorChangeAdded"/>
        </w:rPr>
        <w:t>X</w:t>
      </w:r>
      <w:r w:rsidRPr="007E3B4E">
        <w:rPr>
          <w:rStyle w:val="CRMinorChangeDeleted"/>
        </w:rPr>
        <w:t>IX</w:t>
      </w:r>
      <w:r w:rsidRPr="007E3B4E">
        <w:t>. MELLÉKLET</w:t>
      </w:r>
    </w:p>
    <w:p w14:paraId="23361E48" w14:textId="77777777" w:rsidR="00DB73A0" w:rsidRPr="007E3B4E" w:rsidRDefault="00DB73A0" w:rsidP="00DB73A0">
      <w:pPr>
        <w:pStyle w:val="ManualHeading1"/>
        <w:tabs>
          <w:tab w:val="clear" w:pos="850"/>
        </w:tabs>
        <w:ind w:left="851" w:hanging="851"/>
      </w:pPr>
      <w:r w:rsidRPr="007E3B4E">
        <w:rPr>
          <w:i/>
          <w:iCs/>
        </w:rPr>
        <w:t>KÖLTSÉG-HASZON ELEMZÉS</w:t>
      </w:r>
    </w:p>
    <w:p w14:paraId="6E3474F0" w14:textId="77777777" w:rsidR="00DB73A0" w:rsidRPr="007E3B4E" w:rsidRDefault="00DB73A0" w:rsidP="00DB73A0">
      <w:pPr>
        <w:pStyle w:val="ManualHeading2"/>
        <w:numPr>
          <w:ilvl w:val="1"/>
          <w:numId w:val="0"/>
        </w:numPr>
        <w:ind w:left="851" w:hanging="851"/>
      </w:pPr>
      <w:r w:rsidRPr="007E3B4E">
        <w:rPr>
          <w:rStyle w:val="CRDeleted"/>
          <w:i/>
        </w:rPr>
        <w:t>2. Rész</w:t>
      </w:r>
    </w:p>
    <w:p w14:paraId="6D7711A6" w14:textId="77777777" w:rsidR="00DB73A0" w:rsidRPr="007E3B4E" w:rsidRDefault="00DB73A0" w:rsidP="00DB73A0">
      <w:pPr>
        <w:pStyle w:val="ManualHeading3"/>
        <w:numPr>
          <w:ilvl w:val="2"/>
          <w:numId w:val="0"/>
        </w:numPr>
        <w:ind w:left="850" w:hanging="850"/>
      </w:pPr>
      <w:r w:rsidRPr="007E3B4E">
        <w:t xml:space="preserve">A </w:t>
      </w:r>
      <w:r w:rsidRPr="007E3B4E">
        <w:rPr>
          <w:rStyle w:val="CRMinorChangeAdded"/>
        </w:rPr>
        <w:t>24</w:t>
      </w:r>
      <w:r w:rsidRPr="007E3B4E">
        <w:rPr>
          <w:rStyle w:val="CRMinorChangeDeleted"/>
        </w:rPr>
        <w:t>14</w:t>
      </w:r>
      <w:r w:rsidRPr="007E3B4E">
        <w:t xml:space="preserve">. cikk </w:t>
      </w:r>
      <w:r w:rsidRPr="007E3B4E">
        <w:rPr>
          <w:rStyle w:val="CRMinorChangeAdded"/>
        </w:rPr>
        <w:t>(4)</w:t>
      </w:r>
      <w:r w:rsidRPr="007E3B4E">
        <w:rPr>
          <w:rStyle w:val="CRMinorChangeDeleted"/>
        </w:rPr>
        <w:t>(5)</w:t>
      </w:r>
      <w:r w:rsidRPr="007E3B4E">
        <w:t xml:space="preserve"> és (</w:t>
      </w:r>
      <w:r w:rsidRPr="007E3B4E">
        <w:rPr>
          <w:rStyle w:val="CRMinorChangeAdded"/>
        </w:rPr>
        <w:t>6</w:t>
      </w:r>
      <w:r w:rsidRPr="007E3B4E">
        <w:rPr>
          <w:rStyle w:val="CRMinorChangeDeleted"/>
        </w:rPr>
        <w:t>7</w:t>
      </w:r>
      <w:r w:rsidRPr="007E3B4E">
        <w:t>) bekezdésének alkalmazására vonatkozó elvek</w:t>
      </w:r>
    </w:p>
    <w:p w14:paraId="0BECEDE4" w14:textId="77777777" w:rsidR="00DB73A0" w:rsidRPr="007E3B4E" w:rsidRDefault="00DB73A0" w:rsidP="00DB73A0">
      <w:r w:rsidRPr="007E3B4E">
        <w:t xml:space="preserve">A költség-haszon elemzéseknek információt kell szolgáltatniuk a </w:t>
      </w:r>
      <w:r w:rsidRPr="007E3B4E">
        <w:rPr>
          <w:rStyle w:val="CRMinorChangeAdded"/>
        </w:rPr>
        <w:t>24</w:t>
      </w:r>
      <w:r w:rsidRPr="007E3B4E">
        <w:rPr>
          <w:rStyle w:val="CRMinorChangeDeleted"/>
        </w:rPr>
        <w:t>14</w:t>
      </w:r>
      <w:r w:rsidRPr="007E3B4E">
        <w:t>. cikk (</w:t>
      </w:r>
      <w:r w:rsidRPr="007E3B4E">
        <w:rPr>
          <w:rStyle w:val="CRMinorChangeAdded"/>
        </w:rPr>
        <w:t>4</w:t>
      </w:r>
      <w:r w:rsidRPr="007E3B4E">
        <w:rPr>
          <w:rStyle w:val="CRMinorChangeDeleted"/>
        </w:rPr>
        <w:t>5</w:t>
      </w:r>
      <w:r w:rsidRPr="007E3B4E">
        <w:t xml:space="preserve">) és </w:t>
      </w:r>
      <w:r w:rsidRPr="007E3B4E">
        <w:rPr>
          <w:rStyle w:val="CRMinorChangeAdded"/>
        </w:rPr>
        <w:t>6</w:t>
      </w:r>
      <w:r w:rsidRPr="007E3B4E">
        <w:rPr>
          <w:rStyle w:val="CRMinorChangeDeleted"/>
        </w:rPr>
        <w:t>7</w:t>
      </w:r>
      <w:r w:rsidRPr="007E3B4E">
        <w:t xml:space="preserve"> bekezdésében említett intézkedésekhez:</w:t>
      </w:r>
    </w:p>
    <w:p w14:paraId="1B6EFC8D" w14:textId="77777777" w:rsidR="00DB73A0" w:rsidRPr="007E3B4E" w:rsidRDefault="00DB73A0" w:rsidP="00DB73A0">
      <w:r w:rsidRPr="007E3B4E">
        <w:t>Ha a tervekben csak villamos energiára épülő létesítmény vagy egy hővisszanyerést nem alkalmazó létesítmény szerepel, akkor össze kell vetni a tervezett létesítményeket vagy a tervezett felújítást egy olyan azonos létesítménnyel, amely azonos mennyiségű villamos energiát vagy technológiai hőt termel, de visszanyeri a hulladékhőt, továbbá a hőt nagy hatásfokú kapcsolt energiatermelés és/vagy távfűtési/hűtési hálózatok segítségével biztosítja.</w:t>
      </w:r>
    </w:p>
    <w:p w14:paraId="0BDB73F5" w14:textId="77777777" w:rsidR="00DB73A0" w:rsidRPr="007E3B4E" w:rsidRDefault="00DB73A0" w:rsidP="00DB73A0">
      <w:r w:rsidRPr="007E3B4E">
        <w:t xml:space="preserve">Az értékelésnek egy adott földrajzi határon belül – racionális lehetőségeket (például a technikai megvalósíthatóságot és a távolságot) szem előtt tartva – figyelembe kell vennie a tervezett létesítményt és valamennyi megfelelő létező vagy potenciális </w:t>
      </w:r>
      <w:r w:rsidRPr="007E3B4E">
        <w:rPr>
          <w:rStyle w:val="CRMinorChangeDeleted"/>
        </w:rPr>
        <w:t>hő</w:t>
      </w:r>
      <w:r w:rsidRPr="007E3B4E">
        <w:rPr>
          <w:rStyle w:val="CRMinorChangeAdded"/>
        </w:rPr>
        <w:t>fűtési</w:t>
      </w:r>
      <w:r w:rsidRPr="007E3B4E">
        <w:t xml:space="preserve"> vagy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keresleti pontot, amelyet a létesítmény el tud látni.</w:t>
      </w:r>
    </w:p>
    <w:p w14:paraId="7CFC4376" w14:textId="77777777" w:rsidR="00DB73A0" w:rsidRPr="007E3B4E" w:rsidRDefault="00DB73A0" w:rsidP="00DB73A0">
      <w:r w:rsidRPr="007E3B4E">
        <w:t>A rendszerhatárt úgy kell megállapítani, hogy abba beletartozzon a tervezett létesítmény és a hő</w:t>
      </w:r>
      <w:r w:rsidRPr="007E3B4E">
        <w:rPr>
          <w:rStyle w:val="CRMinorChangeAdded"/>
        </w:rPr>
        <w:t>-</w:t>
      </w:r>
      <w:r w:rsidRPr="007E3B4E">
        <w:t xml:space="preserve">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és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terhelés, például az épület(ek) és az ipari folyamatok. Ezen a rendszerhatáron belül a hőenergia- és a villamosenergia-ellátás teljes költségét mindkét esetre meg kell határozni és össze kell hasonlítani.</w:t>
      </w:r>
    </w:p>
    <w:p w14:paraId="74B4EE50" w14:textId="77777777" w:rsidR="00DB73A0" w:rsidRPr="007E3B4E" w:rsidRDefault="00DB73A0" w:rsidP="00DB73A0">
      <w:r w:rsidRPr="007E3B4E">
        <w:t xml:space="preserve">A hő-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vagy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terhelésbe bele kell tartoznia a létező hő-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vagy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terheléseknek, például az ipari létesítményeknek vagy egy létező távfűtési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vagy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rendszernek, de városi térségekben az olyan hő-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vagy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terheléseknek és -költségeknek is, amelyek akkor állnának fenn, ha egy épületcsoportot vagy egy városrészt új távfűtési rendszerrel látnák el és/vagy új távfűtési </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xml:space="preserve"> vagy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rendszerre kapcsolnák.</w:t>
      </w:r>
    </w:p>
    <w:p w14:paraId="5C277B5B" w14:textId="77777777" w:rsidR="00DB73A0" w:rsidRPr="007E3B4E" w:rsidRDefault="00DB73A0" w:rsidP="00DB73A0">
      <w:r w:rsidRPr="007E3B4E">
        <w:t>A költség-haszon elemzést a tervezett létesítmény és az összehasonlított létesítmény(ek) azon ismertetésére kell építeni, amely kiterjed a hő- és villamosenergia-kapacitásra, adott esetben a tüzelőanyag típusára, a tervezett használatra, valamint a tervezett éves üzemóraszámra, az elhelyezkedésre és a villamosenergia- és hőigényre.</w:t>
      </w:r>
    </w:p>
    <w:p w14:paraId="71B43B7B" w14:textId="77777777" w:rsidR="00DB73A0" w:rsidRPr="007E3B4E" w:rsidRDefault="00DB73A0" w:rsidP="00DB73A0">
      <w:pPr>
        <w:pStyle w:val="CRSeparator"/>
      </w:pPr>
    </w:p>
    <w:p w14:paraId="2A5ACD54"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7883DBDD" w14:textId="77777777" w:rsidR="00DB73A0" w:rsidRPr="007E3B4E" w:rsidRDefault="00DB73A0" w:rsidP="00DB73A0">
      <w:r w:rsidRPr="007E3B4E">
        <w:rPr>
          <w:highlight w:val="lightGray"/>
        </w:rPr>
        <w:t>A hulladékhő felhasználásának értékelése során figyelembe kell venni az aktuális technológiákat. Az értékelés során figyelembe kell venni a hulladékhő közvetlen felhasználását vagy magasabb hőmérsékletre melegítését, illetve mindkettőt. Hulladékhő helyszíni hasznosítása esetén legalább a hőcserélők, hőszivattyúk és a hőt villamos energiává alakító technológiák alkalmazását értékelni kell. A helyszínen kívüli hulladékhő-visszanyerés esetében potenciális keresleti pontokként kell értékelni legalább az ipari létesítményeket, a mezőgazdasági létesítményeket és a távfűtési hálózatokat.</w:t>
      </w:r>
    </w:p>
    <w:p w14:paraId="7596B102" w14:textId="77777777" w:rsidR="00DB73A0" w:rsidRPr="007E3B4E" w:rsidRDefault="00DB73A0" w:rsidP="00DB73A0">
      <w:pPr>
        <w:pStyle w:val="CRSeparator"/>
      </w:pPr>
    </w:p>
    <w:p w14:paraId="31118028"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076E3DB3" w14:textId="77777777" w:rsidR="00DB73A0" w:rsidRPr="007E3B4E" w:rsidRDefault="00B92F0A" w:rsidP="00DB73A0">
      <w:pPr>
        <w:pStyle w:val="CRReference"/>
        <w:rPr>
          <w:highlight w:val="lightGray"/>
        </w:rPr>
      </w:pPr>
      <w:r w:rsidRPr="007E3B4E">
        <w:rPr>
          <w:highlight w:val="lightGray"/>
        </w:rPr>
        <w:fldChar w:fldCharType="begin"/>
      </w:r>
      <w:r w:rsidRPr="007E3B4E">
        <w:rPr>
          <w:highlight w:val="lightGray"/>
        </w:rPr>
        <w:instrText xml:space="preserve"> QUOTE "ð" </w:instrText>
      </w:r>
      <w:r w:rsidRPr="007E3B4E">
        <w:rPr>
          <w:highlight w:val="lightGray"/>
        </w:rPr>
        <w:fldChar w:fldCharType="separate"/>
      </w:r>
      <w:r w:rsidRPr="007E3B4E">
        <w:rPr>
          <w:rStyle w:val="CRMarker"/>
          <w:highlight w:val="lightGray"/>
        </w:rPr>
        <w:t>ð</w:t>
      </w:r>
      <w:r w:rsidRPr="007E3B4E">
        <w:rPr>
          <w:highlight w:val="lightGray"/>
        </w:rPr>
        <w:fldChar w:fldCharType="end"/>
      </w:r>
      <w:r w:rsidRPr="007E3B4E">
        <w:rPr>
          <w:highlight w:val="lightGray"/>
        </w:rPr>
        <w:t> új szöveg</w:t>
      </w:r>
    </w:p>
    <w:p w14:paraId="2B41B43A" w14:textId="77777777" w:rsidR="00DB73A0" w:rsidRPr="007E3B4E" w:rsidRDefault="00DB73A0" w:rsidP="00DB73A0">
      <w:r w:rsidRPr="007E3B4E">
        <w:t xml:space="preserve">Az összehasonlítás céljára figyelembe kell venni a hőenergia-igényt és a közelben lévő </w:t>
      </w:r>
      <w:r w:rsidRPr="007E3B4E">
        <w:rPr>
          <w:rStyle w:val="CRMinorChangeDeleted"/>
        </w:rPr>
        <w:t>hő</w:t>
      </w:r>
      <w:r w:rsidRPr="007E3B4E">
        <w:rPr>
          <w:rStyle w:val="CRMinorChangeAdded"/>
        </w:rPr>
        <w:t>fűtési</w:t>
      </w:r>
      <w:r w:rsidRPr="0073623E">
        <w:rPr>
          <w:highlight w:val="lightGray"/>
        </w:rPr>
        <w:fldChar w:fldCharType="begin"/>
      </w:r>
      <w:r w:rsidRPr="0073623E">
        <w:rPr>
          <w:highlight w:val="lightGray"/>
        </w:rPr>
        <w:instrText xml:space="preserve"> QUOTE "ð" </w:instrText>
      </w:r>
      <w:r w:rsidRPr="0073623E">
        <w:rPr>
          <w:highlight w:val="lightGray"/>
        </w:rPr>
        <w:fldChar w:fldCharType="separate"/>
      </w:r>
      <w:r w:rsidRPr="0073623E">
        <w:rPr>
          <w:rStyle w:val="CRMarker"/>
          <w:highlight w:val="lightGray"/>
        </w:rPr>
        <w:t>ð</w:t>
      </w:r>
      <w:r w:rsidRPr="0073623E">
        <w:rPr>
          <w:highlight w:val="lightGray"/>
        </w:rPr>
        <w:fldChar w:fldCharType="end"/>
      </w:r>
      <w:r w:rsidRPr="007E3B4E">
        <w:rPr>
          <w:highlight w:val="lightGray"/>
        </w:rPr>
        <w:t> vagy hűtési </w:t>
      </w:r>
      <w:r w:rsidRPr="007E3B4E">
        <w:rPr>
          <w:highlight w:val="lightGray"/>
        </w:rPr>
        <w:fldChar w:fldCharType="begin"/>
      </w:r>
      <w:r w:rsidRPr="007E3B4E">
        <w:rPr>
          <w:highlight w:val="lightGray"/>
        </w:rPr>
        <w:instrText xml:space="preserve"> QUOTE "ï" </w:instrText>
      </w:r>
      <w:r w:rsidRPr="007E3B4E">
        <w:rPr>
          <w:highlight w:val="lightGray"/>
        </w:rPr>
        <w:fldChar w:fldCharType="separate"/>
      </w:r>
      <w:r w:rsidRPr="007E3B4E">
        <w:rPr>
          <w:rStyle w:val="CRMarker"/>
          <w:highlight w:val="lightGray"/>
        </w:rPr>
        <w:t>ï</w:t>
      </w:r>
      <w:r w:rsidRPr="007E3B4E">
        <w:rPr>
          <w:highlight w:val="lightGray"/>
        </w:rPr>
        <w:fldChar w:fldCharType="end"/>
      </w:r>
      <w:r w:rsidRPr="007E3B4E">
        <w:t xml:space="preserve"> keresleti pontok által alkalmazott fűtés- és hűtéstípusokat. Az összehasonlításnak ki kell terjednie a tervezett és az összehasonlított létesítményhez kapcsolódó infrastrukturális költségekre is.</w:t>
      </w:r>
    </w:p>
    <w:p w14:paraId="12ABD164" w14:textId="77777777" w:rsidR="00DB73A0" w:rsidRPr="007E3B4E" w:rsidRDefault="00DB73A0" w:rsidP="00DB73A0">
      <w:r w:rsidRPr="007E3B4E">
        <w:t xml:space="preserve">A </w:t>
      </w:r>
      <w:r w:rsidRPr="007E3B4E">
        <w:rPr>
          <w:rStyle w:val="CRMinorChangeAdded"/>
        </w:rPr>
        <w:t>24</w:t>
      </w:r>
      <w:r w:rsidRPr="007E3B4E">
        <w:rPr>
          <w:rStyle w:val="CRMinorChangeDeleted"/>
        </w:rPr>
        <w:t>14</w:t>
      </w:r>
      <w:r w:rsidRPr="007E3B4E">
        <w:t xml:space="preserve">. cikk </w:t>
      </w:r>
      <w:r w:rsidRPr="007E3B4E">
        <w:rPr>
          <w:rStyle w:val="CRMinorChangeAdded"/>
        </w:rPr>
        <w:t>(4)</w:t>
      </w:r>
      <w:r w:rsidRPr="007E3B4E">
        <w:rPr>
          <w:rStyle w:val="CRMinorChangeDeleted"/>
        </w:rPr>
        <w:t>(5)</w:t>
      </w:r>
      <w:r w:rsidRPr="007E3B4E">
        <w:t xml:space="preserve"> bekezdése alkalmazásában készített költség-haszon elemzéseknek tartalmazniuk kell egy, az egyes létesítményekbe történő beruházásból és a létesítmények működéséből származó, a tényleges pénzforgalmi tranzakciókat tükröző pénzügyi elemzést is tartalmazó gazdasági elemzést.</w:t>
      </w:r>
    </w:p>
    <w:p w14:paraId="648CA545" w14:textId="77777777" w:rsidR="00DB73A0" w:rsidRPr="007E3B4E" w:rsidRDefault="00DB73A0" w:rsidP="00DB73A0">
      <w:r w:rsidRPr="007E3B4E">
        <w:t>A projektek költség-haszon elemzésének eredménye akkor pozitív, ha a gazdasági és a pénzügyi elemzésben szereplő diszkontált haszon összege meghaladja a diszkontált költségek összegét (pozitív költség-haszon tényező).</w:t>
      </w:r>
    </w:p>
    <w:p w14:paraId="02AD2DE6" w14:textId="77777777" w:rsidR="00DB73A0" w:rsidRPr="007E3B4E" w:rsidRDefault="00DB73A0" w:rsidP="00DB73A0">
      <w:r w:rsidRPr="007E3B4E">
        <w:t>A tagállamok meghatározzák a gazdasági elemzés módszertanára, feltételezéseire és időhorizontjára vonatkozó irányelveket.</w:t>
      </w:r>
    </w:p>
    <w:p w14:paraId="48C67E43" w14:textId="77777777" w:rsidR="00DB73A0" w:rsidRPr="007E3B4E" w:rsidRDefault="00DB73A0" w:rsidP="00DB73A0">
      <w:r w:rsidRPr="007E3B4E">
        <w:t>A tagállamok előírhatják a hő- és villamosenergia-termelő létesítményeket üzemeltető vállalatok, ipari vállalatok, a távfűtési/hűtési hálózatok üzemeltetői vagy más olyan felek számára, akikre a megállapított rendszerhatás vagy földrajzi hatás hatással van, hogy szolgáltassanak az egyes létesítmények költségeinek és hasznainak vizsgálata során felhasználható adatokat.</w:t>
      </w:r>
    </w:p>
    <w:p w14:paraId="01E6A28B" w14:textId="77777777" w:rsidR="00FD625F" w:rsidRPr="007E3B4E" w:rsidRDefault="00FD625F" w:rsidP="00FD625F">
      <w:pPr>
        <w:jc w:val="center"/>
      </w:pPr>
      <w:r w:rsidRPr="007E3B4E">
        <w:t>_____________</w:t>
      </w:r>
    </w:p>
    <w:p w14:paraId="07F65C95"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114A6872" w14:textId="77777777" w:rsidR="00DB73A0" w:rsidRPr="007E3B4E" w:rsidRDefault="00DB73A0" w:rsidP="00DB73A0">
      <w:pPr>
        <w:pStyle w:val="CRSeparator"/>
      </w:pPr>
    </w:p>
    <w:p w14:paraId="6E959D3E"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7CBE3B2F" w14:textId="77777777" w:rsidR="00DB73A0" w:rsidRPr="007E3B4E" w:rsidRDefault="00DB73A0" w:rsidP="006C32D7">
      <w:pPr>
        <w:pStyle w:val="Annexetitre"/>
      </w:pPr>
      <w:r w:rsidRPr="007E3B4E">
        <w:rPr>
          <w:rStyle w:val="CRMinorChangeAdded"/>
        </w:rPr>
        <w:t>XI</w:t>
      </w:r>
      <w:r w:rsidRPr="007E3B4E">
        <w:rPr>
          <w:rStyle w:val="CRMinorChangeDeleted"/>
        </w:rPr>
        <w:t>X</w:t>
      </w:r>
      <w:r w:rsidRPr="007E3B4E">
        <w:t>. MELLÉKLET</w:t>
      </w:r>
    </w:p>
    <w:p w14:paraId="28F172A3" w14:textId="77777777" w:rsidR="00DB73A0" w:rsidRPr="007E3B4E" w:rsidRDefault="00DB73A0" w:rsidP="00DB73A0">
      <w:pPr>
        <w:pStyle w:val="ManualHeading1"/>
        <w:tabs>
          <w:tab w:val="clear" w:pos="850"/>
        </w:tabs>
        <w:ind w:left="851" w:hanging="851"/>
      </w:pPr>
      <w:r w:rsidRPr="007E3B4E">
        <w:rPr>
          <w:i/>
          <w:iCs/>
        </w:rPr>
        <w:t>A nagy hatásfokú kapcsolt energiatermelésből származó villamos energia származási garanciája</w:t>
      </w:r>
    </w:p>
    <w:p w14:paraId="51C794BB" w14:textId="77777777" w:rsidR="00DB73A0" w:rsidRPr="007E3B4E" w:rsidRDefault="00DB73A0" w:rsidP="00DB73A0">
      <w:pPr>
        <w:pStyle w:val="Point0"/>
      </w:pPr>
      <w:r w:rsidRPr="007E3B4E">
        <w:t>a)</w:t>
      </w:r>
      <w:r w:rsidRPr="007E3B4E">
        <w:tab/>
        <w:t>A tagállamok intézkedéseket tesznek annak biztosítása érdekében, hogy</w:t>
      </w:r>
    </w:p>
    <w:p w14:paraId="70A1A8A4" w14:textId="77777777" w:rsidR="00DB73A0" w:rsidRPr="007E3B4E" w:rsidRDefault="00DB73A0" w:rsidP="00DB73A0">
      <w:pPr>
        <w:pStyle w:val="Point1"/>
      </w:pPr>
      <w:r w:rsidRPr="007E3B4E">
        <w:t>i.</w:t>
      </w:r>
      <w:r w:rsidRPr="007E3B4E">
        <w:tab/>
        <w:t>i. a nagy hatásfokú kapcsolt energiatermelésből származó villamos energia származási garanciája:</w:t>
      </w:r>
    </w:p>
    <w:p w14:paraId="04CF8C33" w14:textId="77777777" w:rsidR="00DB73A0" w:rsidRPr="007E3B4E" w:rsidRDefault="00DB73A0" w:rsidP="00441DBF">
      <w:pPr>
        <w:pStyle w:val="Tiret2"/>
        <w:numPr>
          <w:ilvl w:val="0"/>
          <w:numId w:val="12"/>
        </w:numPr>
        <w:ind w:left="1985"/>
      </w:pPr>
      <w:r w:rsidRPr="007E3B4E">
        <w:t>lehetővé tegye a termelők számára annak igazolását, hogy az általuk értékesített villamos energia nagy hatásfokú kapcsolt energiatermelésből származik, és azt a villamosenergia-termelő kérésére e célból kiállítsák</w:t>
      </w:r>
      <w:r w:rsidRPr="007E3B4E">
        <w:rPr>
          <w:rStyle w:val="CRMinorChangeAdded"/>
        </w:rPr>
        <w:t>;</w:t>
      </w:r>
      <w:r w:rsidRPr="007E3B4E">
        <w:rPr>
          <w:rStyle w:val="CRMinorChangeDeleted"/>
        </w:rPr>
        <w:t>,</w:t>
      </w:r>
    </w:p>
    <w:p w14:paraId="2942344E" w14:textId="77777777" w:rsidR="00DB73A0" w:rsidRPr="007E3B4E" w:rsidRDefault="00DB73A0" w:rsidP="00AD3EF3">
      <w:pPr>
        <w:pStyle w:val="Tiret2"/>
        <w:ind w:left="1985"/>
      </w:pPr>
      <w:r w:rsidRPr="007E3B4E">
        <w:t>pontos, megbízható és csalás ellen védett legyen</w:t>
      </w:r>
      <w:r w:rsidRPr="007E3B4E">
        <w:rPr>
          <w:rStyle w:val="CRMinorChangeAdded"/>
        </w:rPr>
        <w:t>;</w:t>
      </w:r>
      <w:r w:rsidRPr="007E3B4E">
        <w:rPr>
          <w:rStyle w:val="CRMinorChangeDeleted"/>
        </w:rPr>
        <w:t>,</w:t>
      </w:r>
    </w:p>
    <w:p w14:paraId="6BDD5B84" w14:textId="77777777" w:rsidR="00DB73A0" w:rsidRPr="007E3B4E" w:rsidRDefault="00DB73A0" w:rsidP="00AD3EF3">
      <w:pPr>
        <w:pStyle w:val="Tiret2"/>
        <w:ind w:left="1985"/>
      </w:pPr>
      <w:r w:rsidRPr="007E3B4E">
        <w:t>kiadása, átruházása és törlése elektronikus úton történjen;</w:t>
      </w:r>
    </w:p>
    <w:p w14:paraId="260CC639" w14:textId="77777777" w:rsidR="00DB73A0" w:rsidRPr="007E3B4E" w:rsidRDefault="00DB73A0" w:rsidP="00DB73A0">
      <w:pPr>
        <w:pStyle w:val="Point1"/>
      </w:pPr>
      <w:r w:rsidRPr="007E3B4E">
        <w:t>ii.</w:t>
      </w:r>
      <w:r w:rsidRPr="007E3B4E">
        <w:tab/>
        <w:t>egyazon nagy hatásfokú kapcsolt energiatermelésből származó energiaegységet csak egyszer vegyenek figyelembe.</w:t>
      </w:r>
    </w:p>
    <w:p w14:paraId="531D4881" w14:textId="77777777" w:rsidR="00DB73A0" w:rsidRPr="007E3B4E" w:rsidRDefault="00DB73A0" w:rsidP="00DB73A0">
      <w:pPr>
        <w:pStyle w:val="Point0"/>
      </w:pPr>
      <w:r w:rsidRPr="007E3B4E">
        <w:t>b)</w:t>
      </w:r>
      <w:r w:rsidRPr="007E3B4E">
        <w:tab/>
        <w:t xml:space="preserve">A </w:t>
      </w:r>
      <w:r w:rsidRPr="007E3B4E">
        <w:rPr>
          <w:rStyle w:val="CRMinorChangeAdded"/>
        </w:rPr>
        <w:t>24</w:t>
      </w:r>
      <w:r w:rsidRPr="007E3B4E">
        <w:rPr>
          <w:rStyle w:val="CRMinorChangeDeleted"/>
        </w:rPr>
        <w:t>14</w:t>
      </w:r>
      <w:r w:rsidRPr="007E3B4E">
        <w:t>. cikk (10) bekezdésében említett származási garanciának legalább az alábbi információkat kell tartalmaznia:</w:t>
      </w:r>
    </w:p>
    <w:p w14:paraId="257367DD" w14:textId="77777777" w:rsidR="00DB73A0" w:rsidRPr="007E3B4E" w:rsidRDefault="00DB73A0" w:rsidP="00DB73A0">
      <w:pPr>
        <w:pStyle w:val="Point1"/>
      </w:pPr>
      <w:r w:rsidRPr="007E3B4E">
        <w:t>i.</w:t>
      </w:r>
      <w:r w:rsidRPr="007E3B4E">
        <w:tab/>
        <w:t>az energiatermelő létesítmény neve, helye, típusa és (hő- és villamosenergia-) kapacitása;</w:t>
      </w:r>
    </w:p>
    <w:p w14:paraId="57644B72" w14:textId="77777777" w:rsidR="00DB73A0" w:rsidRPr="007E3B4E" w:rsidRDefault="00DB73A0" w:rsidP="00DB73A0">
      <w:pPr>
        <w:pStyle w:val="Point1"/>
      </w:pPr>
      <w:r w:rsidRPr="007E3B4E">
        <w:t>ii.</w:t>
      </w:r>
      <w:r w:rsidRPr="007E3B4E">
        <w:tab/>
        <w:t>a termelési időpontok és helyszínek;</w:t>
      </w:r>
    </w:p>
    <w:p w14:paraId="3DAF3D2A" w14:textId="77777777" w:rsidR="00DB73A0" w:rsidRPr="007E3B4E" w:rsidRDefault="00DB73A0" w:rsidP="00DB73A0">
      <w:pPr>
        <w:pStyle w:val="Point1"/>
      </w:pPr>
      <w:r w:rsidRPr="007E3B4E">
        <w:t>iii.</w:t>
      </w:r>
      <w:r w:rsidRPr="007E3B4E">
        <w:tab/>
        <w:t>a villamosenergia-termelés tüzelőanyag-forrásának alsó (nettó) fűtőértéke;</w:t>
      </w:r>
    </w:p>
    <w:p w14:paraId="06CA4B8E" w14:textId="77777777" w:rsidR="00DB73A0" w:rsidRPr="007E3B4E" w:rsidRDefault="00DB73A0" w:rsidP="00DB73A0">
      <w:pPr>
        <w:pStyle w:val="Point1"/>
      </w:pPr>
      <w:r w:rsidRPr="007E3B4E">
        <w:t>iv.</w:t>
      </w:r>
      <w:r w:rsidRPr="007E3B4E">
        <w:tab/>
        <w:t>a villamos energiával együtt termelt hő mennyisége és felhasználása;</w:t>
      </w:r>
    </w:p>
    <w:p w14:paraId="19C12B27" w14:textId="77777777" w:rsidR="00DB73A0" w:rsidRPr="007E3B4E" w:rsidRDefault="00DB73A0" w:rsidP="00DB73A0">
      <w:pPr>
        <w:pStyle w:val="Point1"/>
      </w:pPr>
      <w:r w:rsidRPr="007E3B4E">
        <w:t>v.</w:t>
      </w:r>
      <w:r w:rsidRPr="007E3B4E">
        <w:tab/>
        <w:t xml:space="preserve">v. a garancia tárgyát képező, a </w:t>
      </w:r>
      <w:r w:rsidRPr="007E3B4E">
        <w:rPr>
          <w:rStyle w:val="CRMinorChangeAdded"/>
        </w:rPr>
        <w:t>III</w:t>
      </w:r>
      <w:r w:rsidRPr="007E3B4E">
        <w:rPr>
          <w:rStyle w:val="CRMinorChangeDeleted"/>
        </w:rPr>
        <w:t>II</w:t>
      </w:r>
      <w:r w:rsidRPr="007E3B4E">
        <w:t>. melléklet szerinti nagy hatásfokú kapcsolt energiatermelésből származó villamosenergia-mennyiség;</w:t>
      </w:r>
    </w:p>
    <w:p w14:paraId="22A14339" w14:textId="77777777" w:rsidR="00DB73A0" w:rsidRPr="007E3B4E" w:rsidRDefault="00DB73A0" w:rsidP="00DB73A0">
      <w:pPr>
        <w:pStyle w:val="Point1"/>
      </w:pPr>
      <w:r w:rsidRPr="007E3B4E">
        <w:t>vi.</w:t>
      </w:r>
      <w:r w:rsidRPr="007E3B4E">
        <w:tab/>
        <w:t xml:space="preserve">a </w:t>
      </w:r>
      <w:r w:rsidRPr="007E3B4E">
        <w:rPr>
          <w:rStyle w:val="CRMinorChangeAdded"/>
        </w:rPr>
        <w:t>III</w:t>
      </w:r>
      <w:r w:rsidRPr="007E3B4E">
        <w:rPr>
          <w:rStyle w:val="CRMinorChangeDeleted"/>
        </w:rPr>
        <w:t>II</w:t>
      </w:r>
      <w:r w:rsidRPr="007E3B4E">
        <w:t xml:space="preserve">. melléklettel összhangban, a </w:t>
      </w:r>
      <w:r w:rsidRPr="007E3B4E">
        <w:rPr>
          <w:rStyle w:val="CRMinorChangeAdded"/>
        </w:rPr>
        <w:t>III</w:t>
      </w:r>
      <w:r w:rsidRPr="007E3B4E">
        <w:rPr>
          <w:rStyle w:val="CRMinorChangeDeleted"/>
        </w:rPr>
        <w:t>II</w:t>
      </w:r>
      <w:r w:rsidRPr="007E3B4E">
        <w:t>. melléklet f) pontjában feltüntetett egységes hatásfok-referenciaértékek alapján kiszámított primerenergia-megtakarítás;</w:t>
      </w:r>
    </w:p>
    <w:p w14:paraId="1F9CA332" w14:textId="77777777" w:rsidR="00DB73A0" w:rsidRPr="007E3B4E" w:rsidRDefault="00DB73A0" w:rsidP="00DB73A0">
      <w:pPr>
        <w:pStyle w:val="Point1"/>
      </w:pPr>
      <w:r w:rsidRPr="007E3B4E">
        <w:t>vii.</w:t>
      </w:r>
      <w:r w:rsidRPr="007E3B4E">
        <w:tab/>
        <w:t>az erőmű névleges villamosenergia- és hő-termelési hatásfoka;</w:t>
      </w:r>
    </w:p>
    <w:p w14:paraId="572D8590" w14:textId="77777777" w:rsidR="00DB73A0" w:rsidRPr="007E3B4E" w:rsidRDefault="00DB73A0" w:rsidP="00DB73A0">
      <w:pPr>
        <w:pStyle w:val="Point1"/>
      </w:pPr>
      <w:r w:rsidRPr="007E3B4E">
        <w:t>viii.</w:t>
      </w:r>
      <w:r w:rsidRPr="007E3B4E">
        <w:tab/>
        <w:t>annak megjelölése, hogy a létesítmény részesült-e beruházási támogatásban és ha igen, milyen mértékben;</w:t>
      </w:r>
    </w:p>
    <w:p w14:paraId="0869BB55" w14:textId="77777777" w:rsidR="00DB73A0" w:rsidRPr="007E3B4E" w:rsidRDefault="00DB73A0" w:rsidP="00DB73A0">
      <w:pPr>
        <w:pStyle w:val="Point1"/>
      </w:pPr>
      <w:r w:rsidRPr="007E3B4E">
        <w:t>ix.</w:t>
      </w:r>
      <w:r w:rsidRPr="007E3B4E">
        <w:tab/>
        <w:t>annak megjelölése, hogy az energiaegység valamely nemzeti támogatási rendszer kedvezményezettje volt-e és ha igen, milyen típusú volt ez a rendszer és milyen mértékű a támogatás;</w:t>
      </w:r>
    </w:p>
    <w:p w14:paraId="5B44736F" w14:textId="77777777" w:rsidR="00DB73A0" w:rsidRPr="007E3B4E" w:rsidRDefault="00DB73A0" w:rsidP="00DB73A0">
      <w:pPr>
        <w:pStyle w:val="Point1"/>
      </w:pPr>
      <w:r w:rsidRPr="007E3B4E">
        <w:t>x.</w:t>
      </w:r>
      <w:r w:rsidRPr="007E3B4E">
        <w:tab/>
        <w:t>a létesítmény üzembe helyezésének dátuma; és</w:t>
      </w:r>
    </w:p>
    <w:p w14:paraId="6C0D5512" w14:textId="77777777" w:rsidR="00DB73A0" w:rsidRPr="007E3B4E" w:rsidRDefault="00DB73A0" w:rsidP="00DB73A0">
      <w:pPr>
        <w:pStyle w:val="Point1"/>
      </w:pPr>
      <w:r w:rsidRPr="007E3B4E">
        <w:t>xi.</w:t>
      </w:r>
      <w:r w:rsidRPr="007E3B4E">
        <w:tab/>
        <w:t>a kiállítás dátuma és országa és az egyedi azonosító szám.</w:t>
      </w:r>
    </w:p>
    <w:p w14:paraId="56857505" w14:textId="77777777" w:rsidR="00DB73A0" w:rsidRPr="007E3B4E" w:rsidRDefault="00DB73A0" w:rsidP="006C32D7">
      <w:pPr>
        <w:pStyle w:val="Text1"/>
      </w:pPr>
      <w:r w:rsidRPr="007E3B4E">
        <w:t>A származási garancia szabványos mérete 1 MWh. Ez az állomás határánál mért és a hálózatba betáplált nettó villamosenergia-mennyiségnek felel meg.</w:t>
      </w:r>
    </w:p>
    <w:p w14:paraId="58E726CB" w14:textId="77777777" w:rsidR="005278D8" w:rsidRPr="007E3B4E" w:rsidRDefault="005278D8" w:rsidP="005278D8">
      <w:pPr>
        <w:jc w:val="center"/>
      </w:pPr>
      <w:r w:rsidRPr="007E3B4E">
        <w:t>_____________</w:t>
      </w:r>
    </w:p>
    <w:p w14:paraId="36C81BC1"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35DD8512" w14:textId="77777777" w:rsidR="00DB73A0" w:rsidRPr="007E3B4E" w:rsidRDefault="00DB73A0" w:rsidP="00DB73A0">
      <w:pPr>
        <w:pStyle w:val="CRSeparator"/>
      </w:pPr>
    </w:p>
    <w:p w14:paraId="0E46C1BC"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4B82F3A2" w14:textId="77777777" w:rsidR="00DB73A0" w:rsidRPr="007E3B4E" w:rsidRDefault="00DB73A0" w:rsidP="00D9469C">
      <w:pPr>
        <w:pStyle w:val="Annexetitre"/>
      </w:pPr>
      <w:r w:rsidRPr="007E3B4E">
        <w:rPr>
          <w:rStyle w:val="CRMinorChangeAdded"/>
        </w:rPr>
        <w:t>XII</w:t>
      </w:r>
      <w:r w:rsidRPr="007E3B4E">
        <w:rPr>
          <w:rStyle w:val="CRMinorChangeDeleted"/>
        </w:rPr>
        <w:t>XI</w:t>
      </w:r>
      <w:r w:rsidRPr="007E3B4E">
        <w:t>. MELLÉKLET</w:t>
      </w:r>
    </w:p>
    <w:p w14:paraId="79C95960" w14:textId="77777777" w:rsidR="00DB73A0" w:rsidRPr="007E3B4E" w:rsidRDefault="00DB73A0" w:rsidP="00DB73A0">
      <w:pPr>
        <w:pStyle w:val="ManualHeading1"/>
        <w:tabs>
          <w:tab w:val="clear" w:pos="850"/>
        </w:tabs>
        <w:ind w:left="851" w:hanging="851"/>
      </w:pPr>
      <w:r w:rsidRPr="007E3B4E">
        <w:rPr>
          <w:i/>
          <w:iCs/>
        </w:rPr>
        <w:t>Az energiahálózati szabályzatokra és villamosenergia-hálózati díjszabásokra vonatkozó energiahatékonysági kritériumok</w:t>
      </w:r>
    </w:p>
    <w:p w14:paraId="3C76BBAD" w14:textId="77777777" w:rsidR="00DB73A0" w:rsidRPr="007E3B4E" w:rsidRDefault="00DB73A0" w:rsidP="00D9469C">
      <w:pPr>
        <w:pStyle w:val="Point0"/>
      </w:pPr>
      <w:r w:rsidRPr="007E3B4E">
        <w:t>1.</w:t>
      </w:r>
      <w:r w:rsidRPr="007E3B4E">
        <w:tab/>
        <w:t>A hálózati díjszabással tükrözni kell a hálózatokon a fogyasztásbefolyásolás és a keresletoldali válaszintézkedések, valamint az elosztott termelés útján elért költségmegtakarítást, beleértve a szállítás vagy a hálózati beruházások költségének csökkentésén és a hálózat optimálisabb működésén keresztül elért megtakarításokat is.</w:t>
      </w:r>
    </w:p>
    <w:p w14:paraId="320AA2CE" w14:textId="77777777" w:rsidR="00DB73A0" w:rsidRPr="007E3B4E" w:rsidRDefault="00DB73A0" w:rsidP="00D9469C">
      <w:pPr>
        <w:pStyle w:val="Point0"/>
      </w:pPr>
      <w:r w:rsidRPr="007E3B4E">
        <w:t>2.</w:t>
      </w:r>
      <w:r w:rsidRPr="007E3B4E">
        <w:tab/>
        <w:t>A hálózati szabályzatok és díjszabások nem akadályozhatják meg a hálózatüzemeltetőket vagy az energetikai kiskereskedőket abban, hogy rendszerszintű szolgáltatásokat bocsássanak rendelkezésre a keresletoldali válaszintézkedések, a fogyasztásbefolyásolás és az elosztott termelés esetében a szervezett villamosenergia-piacokon, különös tekintettel az alábbiakra:</w:t>
      </w:r>
    </w:p>
    <w:p w14:paraId="5D149333" w14:textId="77777777" w:rsidR="00DB73A0" w:rsidRPr="007E3B4E" w:rsidRDefault="00DB73A0" w:rsidP="00D9469C">
      <w:pPr>
        <w:pStyle w:val="Point1"/>
      </w:pPr>
      <w:r w:rsidRPr="007E3B4E">
        <w:t>a)</w:t>
      </w:r>
      <w:r w:rsidRPr="007E3B4E">
        <w:tab/>
        <w:t>a végső felhasználók általi terhelésnek a csúcsidőről a csúcsidőn kívülre tolódása, figyelembe véve a megújuló energia, a kapcsolt energiatermelésből származó energia és az elosztott termelés rendelkezésre állását;</w:t>
      </w:r>
    </w:p>
    <w:p w14:paraId="795FE79C" w14:textId="77777777" w:rsidR="00DB73A0" w:rsidRPr="007E3B4E" w:rsidRDefault="00DB73A0" w:rsidP="00D9469C">
      <w:pPr>
        <w:pStyle w:val="Point1"/>
      </w:pPr>
      <w:r w:rsidRPr="007E3B4E">
        <w:t>b)</w:t>
      </w:r>
      <w:r w:rsidRPr="007E3B4E">
        <w:tab/>
        <w:t>a kiszolgált fogyasztók szintjén keresletoldali válaszintézkedésekkel elért energiamegtakarítás, beszerzési közösségek szolgáltatói révén;</w:t>
      </w:r>
    </w:p>
    <w:p w14:paraId="6F4554F0" w14:textId="77777777" w:rsidR="00DB73A0" w:rsidRPr="007E3B4E" w:rsidRDefault="00DB73A0" w:rsidP="00D9469C">
      <w:pPr>
        <w:pStyle w:val="Point1"/>
      </w:pPr>
      <w:r w:rsidRPr="007E3B4E">
        <w:t>c)</w:t>
      </w:r>
      <w:r w:rsidRPr="007E3B4E">
        <w:tab/>
        <w:t>az energiahatékonysági szolgáltatók által tett energiahatékonysági intézkedések útján elért igénycsökkenés, beleértve az energetikai szolgáltató vállalkozásokat is;</w:t>
      </w:r>
    </w:p>
    <w:p w14:paraId="51D87266" w14:textId="77777777" w:rsidR="00DB73A0" w:rsidRPr="007E3B4E" w:rsidRDefault="00DB73A0" w:rsidP="00D9469C">
      <w:pPr>
        <w:pStyle w:val="Point1"/>
      </w:pPr>
      <w:r w:rsidRPr="007E3B4E">
        <w:t>d)</w:t>
      </w:r>
      <w:r w:rsidRPr="007E3B4E">
        <w:tab/>
        <w:t>a termelési források alacsonyabb feszültségszinten történő összekapcsolása és teherelosztása;</w:t>
      </w:r>
    </w:p>
    <w:p w14:paraId="77A98C97" w14:textId="77777777" w:rsidR="00DB73A0" w:rsidRPr="007E3B4E" w:rsidRDefault="00DB73A0" w:rsidP="00D9469C">
      <w:pPr>
        <w:pStyle w:val="Point1"/>
      </w:pPr>
      <w:r w:rsidRPr="007E3B4E">
        <w:t>e)</w:t>
      </w:r>
      <w:r w:rsidRPr="007E3B4E">
        <w:tab/>
        <w:t>a fogyasztási helyhez közelebb elhelyezkedő termelési források bekapcsolása; és</w:t>
      </w:r>
    </w:p>
    <w:p w14:paraId="3E837F62" w14:textId="77777777" w:rsidR="00DB73A0" w:rsidRPr="007E3B4E" w:rsidRDefault="00DB73A0" w:rsidP="00D9469C">
      <w:pPr>
        <w:pStyle w:val="Point1"/>
      </w:pPr>
      <w:r w:rsidRPr="007E3B4E">
        <w:t>f)</w:t>
      </w:r>
      <w:r w:rsidRPr="007E3B4E">
        <w:tab/>
        <w:t>az energia tárolása.</w:t>
      </w:r>
    </w:p>
    <w:p w14:paraId="55BA9643" w14:textId="77777777" w:rsidR="00DB73A0" w:rsidRPr="007E3B4E" w:rsidRDefault="00DB73A0" w:rsidP="00D9469C">
      <w:pPr>
        <w:pStyle w:val="Text1"/>
      </w:pPr>
      <w:r w:rsidRPr="007E3B4E">
        <w:t>E rendelkezés alkalmazásában a „szervezett villamosenergia-piac” kifejezés magában foglalja a bármely időkeretben energiával, kapacitással, kiegyenlítéssel és járulékos szolgáltatásokkal kereskedő tőzsdén kívüli piacokat és villamosenergia-tőzsdéket is, beleértve a határidős, a másnapi és a napon belüli piacokat is.</w:t>
      </w:r>
    </w:p>
    <w:p w14:paraId="72236300" w14:textId="77777777" w:rsidR="00DB73A0" w:rsidRPr="007E3B4E" w:rsidRDefault="00DB73A0" w:rsidP="00D9469C">
      <w:pPr>
        <w:pStyle w:val="Point0"/>
      </w:pPr>
      <w:r w:rsidRPr="007E3B4E">
        <w:t>3.</w:t>
      </w:r>
      <w:r w:rsidRPr="007E3B4E">
        <w:tab/>
        <w:t>Olyan hálózati vagy kiskereskedelmi díjszabásokat kell biztosítani, amelyek támogathatják a keresletoldali válaszintézkedéseket vállaló végső felhasználók esetében a dinamikus árszabást, például:</w:t>
      </w:r>
    </w:p>
    <w:p w14:paraId="5299EEF6" w14:textId="77777777" w:rsidR="00DB73A0" w:rsidRPr="007E3B4E" w:rsidRDefault="00DB73A0" w:rsidP="00D9469C">
      <w:pPr>
        <w:pStyle w:val="Point1"/>
      </w:pPr>
      <w:r w:rsidRPr="007E3B4E">
        <w:t>a)</w:t>
      </w:r>
      <w:r w:rsidRPr="007E3B4E">
        <w:tab/>
        <w:t>a használat időpontján alapuló díjszabást;</w:t>
      </w:r>
    </w:p>
    <w:p w14:paraId="767125DC" w14:textId="77777777" w:rsidR="00DB73A0" w:rsidRPr="007E3B4E" w:rsidRDefault="00DB73A0" w:rsidP="00D9469C">
      <w:pPr>
        <w:pStyle w:val="Point1"/>
      </w:pPr>
      <w:r w:rsidRPr="007E3B4E">
        <w:t>b)</w:t>
      </w:r>
      <w:r w:rsidRPr="007E3B4E">
        <w:tab/>
        <w:t>a kritikus csúcsidőszakokra vonatkozó árszabást;</w:t>
      </w:r>
    </w:p>
    <w:p w14:paraId="6DC66899" w14:textId="77777777" w:rsidR="00DB73A0" w:rsidRPr="007E3B4E" w:rsidRDefault="00DB73A0" w:rsidP="00D9469C">
      <w:pPr>
        <w:pStyle w:val="Point1"/>
      </w:pPr>
      <w:r w:rsidRPr="007E3B4E">
        <w:t>c)</w:t>
      </w:r>
      <w:r w:rsidRPr="007E3B4E">
        <w:tab/>
        <w:t>valós idejű árszabást; és</w:t>
      </w:r>
    </w:p>
    <w:p w14:paraId="6FA7A333" w14:textId="77777777" w:rsidR="00DB73A0" w:rsidRPr="007E3B4E" w:rsidRDefault="00DB73A0" w:rsidP="00D9469C">
      <w:pPr>
        <w:pStyle w:val="Point1"/>
      </w:pPr>
      <w:r w:rsidRPr="007E3B4E">
        <w:t>d)</w:t>
      </w:r>
      <w:r w:rsidRPr="007E3B4E">
        <w:tab/>
        <w:t>csúcsidőn kívül nyújtott kedvezményeket.</w:t>
      </w:r>
    </w:p>
    <w:p w14:paraId="0D2CD1D8" w14:textId="77777777" w:rsidR="00D9469C" w:rsidRPr="007E3B4E" w:rsidRDefault="00D9469C" w:rsidP="00D9469C">
      <w:pPr>
        <w:jc w:val="center"/>
      </w:pPr>
      <w:r w:rsidRPr="007E3B4E">
        <w:t>_____________</w:t>
      </w:r>
    </w:p>
    <w:p w14:paraId="0B7AF7C1"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077F6801" w14:textId="77777777" w:rsidR="00DB73A0" w:rsidRPr="007E3B4E" w:rsidRDefault="00DB73A0" w:rsidP="00DB73A0">
      <w:pPr>
        <w:pStyle w:val="CRSeparator"/>
      </w:pPr>
    </w:p>
    <w:p w14:paraId="3DC5AD61"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639932DC" w14:textId="77777777" w:rsidR="00DB73A0" w:rsidRPr="007E3B4E" w:rsidRDefault="00DB73A0" w:rsidP="00CE7487">
      <w:pPr>
        <w:pStyle w:val="Annexetitre"/>
      </w:pPr>
      <w:r w:rsidRPr="007E3B4E">
        <w:rPr>
          <w:rStyle w:val="CRMinorChangeAdded"/>
        </w:rPr>
        <w:t>XIII</w:t>
      </w:r>
      <w:r w:rsidRPr="007E3B4E">
        <w:rPr>
          <w:rStyle w:val="CRMinorChangeDeleted"/>
        </w:rPr>
        <w:t>XII</w:t>
      </w:r>
      <w:r w:rsidRPr="007E3B4E">
        <w:t>. MELLÉKLET</w:t>
      </w:r>
    </w:p>
    <w:p w14:paraId="07410CD9" w14:textId="77777777" w:rsidR="00DB73A0" w:rsidRPr="007E3B4E" w:rsidRDefault="00DB73A0" w:rsidP="00DB73A0">
      <w:pPr>
        <w:pStyle w:val="ManualHeading1"/>
        <w:tabs>
          <w:tab w:val="clear" w:pos="850"/>
        </w:tabs>
        <w:ind w:left="851" w:hanging="851"/>
      </w:pPr>
      <w:r w:rsidRPr="007E3B4E">
        <w:rPr>
          <w:i/>
          <w:iCs/>
        </w:rPr>
        <w:t>A SZÁLLÍTÁSIRENDSZER-ÜZEMELTETŐKRE ÉS ELOSZTÓRENDSZER-ÜZEMELTETŐKRE ALKALMAZANDÓ ENERGIAHATÉKONYSÁGI KÖVETELMÉNYEK</w:t>
      </w:r>
    </w:p>
    <w:p w14:paraId="65969C06" w14:textId="77777777" w:rsidR="00DB73A0" w:rsidRPr="007E3B4E" w:rsidRDefault="00DB73A0" w:rsidP="00DB73A0">
      <w:r w:rsidRPr="007E3B4E">
        <w:t>A szállításirendszer-üzemeltetők és az elosztórendszer-üzemeltetők:</w:t>
      </w:r>
    </w:p>
    <w:p w14:paraId="5DEC7F0D" w14:textId="77777777" w:rsidR="00DB73A0" w:rsidRPr="007E3B4E" w:rsidRDefault="00DB73A0" w:rsidP="00DB73A0">
      <w:pPr>
        <w:pStyle w:val="CRSeparator"/>
      </w:pPr>
    </w:p>
    <w:p w14:paraId="54D2ECA3"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(EU) 2018/2002 1. cikk, 16. pont és 6. melléklet</w:t>
      </w:r>
    </w:p>
    <w:p w14:paraId="3ACD1E07" w14:textId="77777777" w:rsidR="00DB73A0" w:rsidRPr="007E3B4E" w:rsidRDefault="00DB73A0" w:rsidP="00DB73A0">
      <w:pPr>
        <w:pStyle w:val="Point0"/>
      </w:pPr>
      <w:r w:rsidRPr="007E3B4E">
        <w:t>a)</w:t>
      </w:r>
      <w:r w:rsidRPr="007E3B4E">
        <w:tab/>
        <w:t>megalkotják és nyilvánosságra hozzák standard szabályzatukat az újonnan belépő, nagy hatásfokú kapcsolt energiatermelésből származó energiát előállító energiatermelőknek az összekapcsolt hálózatba történő bekapcsolásához szükséges műszaki átalakítások – például hálózati csatlakozások, a hálózat megerősítése és új hálózatok bevezetése, a hálózat működésének javítása és a hálózati szabályzat megkülönböztetésmentes végrehajtása – költségeinek viselésére és megosztására vonatkozóan;</w:t>
      </w:r>
    </w:p>
    <w:p w14:paraId="6A05D333" w14:textId="77777777" w:rsidR="00DB73A0" w:rsidRPr="007E3B4E" w:rsidRDefault="00DB73A0" w:rsidP="00DB73A0">
      <w:pPr>
        <w:pStyle w:val="CRSeparator"/>
      </w:pPr>
    </w:p>
    <w:p w14:paraId="7C843180"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766C03DE" w14:textId="77777777" w:rsidR="00DB73A0" w:rsidRPr="007E3B4E" w:rsidRDefault="00DB73A0" w:rsidP="00DB73A0">
      <w:pPr>
        <w:pStyle w:val="Point0"/>
      </w:pPr>
      <w:r w:rsidRPr="007E3B4E">
        <w:t>b)</w:t>
      </w:r>
      <w:r w:rsidRPr="007E3B4E">
        <w:tab/>
        <w:t>az újonnan belépő, nagy hatásfokú kapcsolt energiatermelésből származó energiát előállító, a rendszerre csatlakozni kívánó energiatermelők számára biztosítják a szükséges átfogó tájékoztatást, beleértve az alábbiakat:</w:t>
      </w:r>
    </w:p>
    <w:p w14:paraId="28DD4BF8" w14:textId="77777777" w:rsidR="00DB73A0" w:rsidRPr="007E3B4E" w:rsidRDefault="00DB73A0" w:rsidP="00DB73A0">
      <w:pPr>
        <w:pStyle w:val="Point1"/>
      </w:pPr>
      <w:r w:rsidRPr="007E3B4E">
        <w:t>i.</w:t>
      </w:r>
      <w:r w:rsidRPr="007E3B4E">
        <w:tab/>
        <w:t>átfogó, részletes becslés a csatlakozással kapcsolatos költségekről;</w:t>
      </w:r>
    </w:p>
    <w:p w14:paraId="4CB8275C" w14:textId="77777777" w:rsidR="00DB73A0" w:rsidRPr="007E3B4E" w:rsidRDefault="00DB73A0" w:rsidP="00DB73A0">
      <w:pPr>
        <w:pStyle w:val="Point1"/>
      </w:pPr>
      <w:r w:rsidRPr="007E3B4E">
        <w:t>ii.</w:t>
      </w:r>
      <w:r w:rsidRPr="007E3B4E">
        <w:tab/>
        <w:t>a hálózathoz való csatlakozás iránti kérelem fogadásának és feldolgozásának és</w:t>
      </w:r>
      <w:r w:rsidRPr="007E3B4E">
        <w:rPr>
          <w:rStyle w:val="CRMinorChangeAdded"/>
        </w:rPr>
        <w:t>z</w:t>
      </w:r>
      <w:r w:rsidRPr="007E3B4E">
        <w:t>szerű és pontos menetrendje;</w:t>
      </w:r>
    </w:p>
    <w:p w14:paraId="4FCACC16" w14:textId="77777777" w:rsidR="00DB73A0" w:rsidRPr="007E3B4E" w:rsidRDefault="00DB73A0" w:rsidP="00DB73A0">
      <w:pPr>
        <w:pStyle w:val="Point1"/>
      </w:pPr>
      <w:r w:rsidRPr="007E3B4E">
        <w:t>iii.</w:t>
      </w:r>
      <w:r w:rsidRPr="007E3B4E">
        <w:tab/>
        <w:t>a hálózathoz való javasolt csatlakozás és</w:t>
      </w:r>
      <w:r w:rsidRPr="007E3B4E">
        <w:rPr>
          <w:rStyle w:val="CRMinorChangeAdded"/>
        </w:rPr>
        <w:t>z</w:t>
      </w:r>
      <w:r w:rsidRPr="007E3B4E">
        <w:t>szerű, előirányzott menetrendje. A hálózathoz történő csatlakozás teljes folyamata legfeljebb 24 hónapot vehet igénybe, szem előtt tartva az és</w:t>
      </w:r>
      <w:r w:rsidRPr="007E3B4E">
        <w:rPr>
          <w:rStyle w:val="CRMinorChangeAdded"/>
        </w:rPr>
        <w:t>z</w:t>
      </w:r>
      <w:r w:rsidRPr="007E3B4E">
        <w:t>szerű kivitelezhetőség és a megkülönböztetésmentesség szempontját;</w:t>
      </w:r>
    </w:p>
    <w:p w14:paraId="320455C3" w14:textId="77777777" w:rsidR="00DB73A0" w:rsidRPr="007E3B4E" w:rsidRDefault="00DB73A0" w:rsidP="00DB73A0">
      <w:pPr>
        <w:pStyle w:val="Point0"/>
      </w:pPr>
      <w:r w:rsidRPr="007E3B4E">
        <w:t>c)</w:t>
      </w:r>
      <w:r w:rsidRPr="007E3B4E">
        <w:tab/>
        <w:t>szabványosított és egyszerűsített eljárások bevezetése az elosztott nagy hatásfokú kapcsolt energiatermelésből származó energiát előállító energiatermelők hálózathoz történő csatlakozásának megkönnyítésére.</w:t>
      </w:r>
    </w:p>
    <w:p w14:paraId="6B5AF7A6" w14:textId="77777777" w:rsidR="00DB73A0" w:rsidRPr="007E3B4E" w:rsidRDefault="00DB73A0" w:rsidP="00DB73A0">
      <w:r w:rsidRPr="007E3B4E">
        <w:t>Az a) pontban említett szabályzat objektív, átlátható és megkülönböztetésmentes feltételekre épül, különös tekintettel valamennyi olyan költségre és haszonra, amely az új termelőknek a hálózatra történő rákapcsolásával függ össze. A szabályzat többfajta hálózati kapcsolatot is meghatározhat.</w:t>
      </w:r>
    </w:p>
    <w:p w14:paraId="1BDB8508" w14:textId="77777777" w:rsidR="00CE7487" w:rsidRPr="007E3B4E" w:rsidRDefault="00CE7487" w:rsidP="00CE7487">
      <w:pPr>
        <w:jc w:val="center"/>
      </w:pPr>
      <w:r w:rsidRPr="007E3B4E">
        <w:t>_____________</w:t>
      </w:r>
    </w:p>
    <w:p w14:paraId="4F8B42C5"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2C8D689E" w14:textId="77777777" w:rsidR="00DB73A0" w:rsidRPr="007E3B4E" w:rsidRDefault="00DB73A0" w:rsidP="00DB73A0">
      <w:pPr>
        <w:pStyle w:val="CRSeparator"/>
      </w:pPr>
    </w:p>
    <w:p w14:paraId="47F34233"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5A3F7F55" w14:textId="77777777" w:rsidR="00DB73A0" w:rsidRPr="007E3B4E" w:rsidRDefault="00DB73A0" w:rsidP="00A37673">
      <w:pPr>
        <w:pStyle w:val="Annexetitre"/>
      </w:pPr>
      <w:r w:rsidRPr="007E3B4E">
        <w:rPr>
          <w:rStyle w:val="CRMinorChangeAdded"/>
        </w:rPr>
        <w:t>XIV</w:t>
      </w:r>
      <w:r w:rsidRPr="007E3B4E">
        <w:rPr>
          <w:rStyle w:val="CRMinorChangeDeleted"/>
        </w:rPr>
        <w:t>XIII</w:t>
      </w:r>
      <w:r w:rsidRPr="007E3B4E">
        <w:t>. MELLÉKLET</w:t>
      </w:r>
    </w:p>
    <w:p w14:paraId="5104D3CB" w14:textId="77777777" w:rsidR="00DB73A0" w:rsidRPr="007E3B4E" w:rsidRDefault="00DB73A0" w:rsidP="00DB73A0">
      <w:pPr>
        <w:pStyle w:val="ManualHeading1"/>
        <w:tabs>
          <w:tab w:val="clear" w:pos="850"/>
        </w:tabs>
        <w:ind w:left="851" w:hanging="851"/>
        <w:rPr>
          <w:i/>
        </w:rPr>
      </w:pPr>
      <w:r w:rsidRPr="007E3B4E">
        <w:rPr>
          <w:i/>
          <w:iCs/>
        </w:rPr>
        <w:t>A</w:t>
      </w:r>
      <w:r w:rsidRPr="007E3B4E">
        <w:rPr>
          <w:rStyle w:val="CRMinorChangeAdded"/>
          <w:i/>
          <w:iCs/>
        </w:rPr>
        <w:t>z</w:t>
      </w:r>
      <w:r w:rsidRPr="007E3B4E">
        <w:rPr>
          <w:i/>
        </w:rPr>
        <w:t xml:space="preserve"> </w:t>
      </w:r>
      <w:r w:rsidRPr="007E3B4E">
        <w:rPr>
          <w:rStyle w:val="CRDeleted"/>
          <w:i/>
        </w:rPr>
        <w:t>közszférával kötendő,</w:t>
      </w:r>
      <w:r w:rsidRPr="007E3B4E">
        <w:rPr>
          <w:i/>
        </w:rPr>
        <w:t xml:space="preserve"> </w:t>
      </w:r>
      <w:r w:rsidRPr="007E3B4E">
        <w:rPr>
          <w:i/>
          <w:iCs/>
        </w:rPr>
        <w:t>energiahatékonyság</w:t>
      </w:r>
      <w:r w:rsidRPr="007E3B4E">
        <w:rPr>
          <w:rStyle w:val="CRMinorChangeAdded"/>
          <w:i/>
          <w:iCs/>
        </w:rPr>
        <w:t>ra vonatkozó</w:t>
      </w:r>
      <w:r w:rsidRPr="007E3B4E">
        <w:rPr>
          <w:i/>
          <w:iCs/>
        </w:rPr>
        <w:t xml:space="preserve"> </w:t>
      </w:r>
      <w:r w:rsidRPr="007E3B4E">
        <w:rPr>
          <w:rStyle w:val="CRMinorChangeAdded"/>
          <w:i/>
          <w:iCs/>
        </w:rPr>
        <w:t> -alapú</w:t>
      </w:r>
      <w:r w:rsidRPr="007E3B4E">
        <w:rPr>
          <w:i/>
          <w:iCs/>
        </w:rPr>
        <w:t xml:space="preserve"> szerződések vagy az ajánlattételhez szükséges dokumentáció minimális tartalma</w:t>
      </w:r>
    </w:p>
    <w:p w14:paraId="413DEC83" w14:textId="77777777" w:rsidR="00DB73A0" w:rsidRPr="007E3B4E" w:rsidRDefault="00DB73A0" w:rsidP="00DB73A0">
      <w:pPr>
        <w:pStyle w:val="CRSeparator"/>
      </w:pPr>
    </w:p>
    <w:p w14:paraId="7FA7284A" w14:textId="77777777" w:rsidR="00DB73A0" w:rsidRPr="007E3B4E" w:rsidRDefault="00CA63E0" w:rsidP="00DB73A0">
      <w:pPr>
        <w:pStyle w:val="CRReference"/>
        <w:rPr>
          <w:highlight w:val="lightGray"/>
        </w:rPr>
      </w:pPr>
      <w:r w:rsidRPr="007E3B4E">
        <w:rPr>
          <w:highlight w:val="lightGray"/>
        </w:rPr>
        <w:fldChar w:fldCharType="begin"/>
      </w:r>
      <w:r w:rsidRPr="007E3B4E">
        <w:rPr>
          <w:highlight w:val="lightGray"/>
        </w:rPr>
        <w:instrText xml:space="preserve"> QUOTE "ò" </w:instrText>
      </w:r>
      <w:r w:rsidRPr="007E3B4E">
        <w:rPr>
          <w:highlight w:val="lightGray"/>
        </w:rPr>
        <w:fldChar w:fldCharType="separate"/>
      </w:r>
      <w:r w:rsidRPr="007E3B4E">
        <w:rPr>
          <w:rStyle w:val="CRMarker"/>
          <w:highlight w:val="lightGray"/>
        </w:rPr>
        <w:t>ò</w:t>
      </w:r>
      <w:r w:rsidRPr="007E3B4E">
        <w:rPr>
          <w:highlight w:val="lightGray"/>
        </w:rPr>
        <w:fldChar w:fldCharType="end"/>
      </w:r>
      <w:r w:rsidRPr="007E3B4E">
        <w:rPr>
          <w:highlight w:val="lightGray"/>
        </w:rPr>
        <w:t> új szöveg</w:t>
      </w:r>
    </w:p>
    <w:p w14:paraId="4AC1A2C2" w14:textId="77777777" w:rsidR="00DB73A0" w:rsidRPr="007E3B4E" w:rsidRDefault="00DB73A0" w:rsidP="00AD3EF3">
      <w:pPr>
        <w:pStyle w:val="Tiret0"/>
        <w:ind w:left="851"/>
        <w:rPr>
          <w:highlight w:val="lightGray"/>
        </w:rPr>
      </w:pPr>
      <w:r w:rsidRPr="007E3B4E">
        <w:rPr>
          <w:highlight w:val="lightGray"/>
        </w:rPr>
        <w:t>Azon elemzés/audit megállapításai/ajánlásai, amelyet az épület energiafelhasználására vonatkozó szerződés megkötése előtt végeztek azzal a céllal, hogy intézkedéseket hajtsanak végre az épület energiahatékonyságának javítására.</w:t>
      </w:r>
    </w:p>
    <w:p w14:paraId="018DBA55" w14:textId="77777777" w:rsidR="00DB73A0" w:rsidRPr="007E3B4E" w:rsidRDefault="00DB73A0" w:rsidP="00DB73A0">
      <w:pPr>
        <w:pStyle w:val="CRSeparator"/>
      </w:pPr>
    </w:p>
    <w:p w14:paraId="3531F7CA"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w:t>
      </w:r>
    </w:p>
    <w:p w14:paraId="58FBE0F7" w14:textId="77777777" w:rsidR="00DB73A0" w:rsidRPr="007E3B4E" w:rsidRDefault="00DB73A0" w:rsidP="00AD3EF3">
      <w:pPr>
        <w:pStyle w:val="Tiret0"/>
        <w:ind w:left="851"/>
      </w:pPr>
      <w:r w:rsidRPr="007E3B4E">
        <w:t>A végrehajtandó hatékonysági intézkedések vagy az elérendő hatékonysági eredmények egyértelmű és átlátható felsorolása.</w:t>
      </w:r>
    </w:p>
    <w:p w14:paraId="51F24E3E" w14:textId="77777777" w:rsidR="00DB73A0" w:rsidRPr="007E3B4E" w:rsidRDefault="00DB73A0" w:rsidP="00AD3EF3">
      <w:pPr>
        <w:pStyle w:val="Tiret0"/>
        <w:ind w:left="851"/>
      </w:pPr>
      <w:r w:rsidRPr="007E3B4E">
        <w:t>A szerződésben foglalt intézkedések végrehajtása révén várható garantált megtakarítás.</w:t>
      </w:r>
    </w:p>
    <w:p w14:paraId="57B06EE6" w14:textId="77777777" w:rsidR="00DB73A0" w:rsidRPr="007E3B4E" w:rsidRDefault="00DB73A0" w:rsidP="00AD3EF3">
      <w:pPr>
        <w:pStyle w:val="Tiret0"/>
        <w:ind w:left="851"/>
      </w:pPr>
      <w:r w:rsidRPr="007E3B4E">
        <w:t>A szerződés időtartama és mérföldkövei, valamint tárgyi és időbeni felmondási feltételei.</w:t>
      </w:r>
    </w:p>
    <w:p w14:paraId="269B473F" w14:textId="77777777" w:rsidR="00DB73A0" w:rsidRPr="007E3B4E" w:rsidRDefault="00DB73A0" w:rsidP="00AD3EF3">
      <w:pPr>
        <w:pStyle w:val="Tiret0"/>
        <w:ind w:left="851"/>
      </w:pPr>
      <w:r w:rsidRPr="007E3B4E">
        <w:t>Az egyes szerződő felek kötelezettségeinek egyértelmű és átlátható felsorolása.</w:t>
      </w:r>
    </w:p>
    <w:p w14:paraId="2E08FFA0" w14:textId="77777777" w:rsidR="00DB73A0" w:rsidRPr="007E3B4E" w:rsidRDefault="00DB73A0" w:rsidP="00AD3EF3">
      <w:pPr>
        <w:pStyle w:val="Tiret0"/>
        <w:ind w:left="851"/>
      </w:pPr>
      <w:r w:rsidRPr="007E3B4E">
        <w:t>Az elért megtakarítások megállapításának referenciaidőpontja(i).</w:t>
      </w:r>
    </w:p>
    <w:p w14:paraId="2A435865" w14:textId="77777777" w:rsidR="00DB73A0" w:rsidRPr="007E3B4E" w:rsidRDefault="00DB73A0" w:rsidP="00AD3EF3">
      <w:pPr>
        <w:pStyle w:val="Tiret0"/>
        <w:ind w:left="851"/>
      </w:pPr>
      <w:r w:rsidRPr="007E3B4E">
        <w:t>Az egyes intézkedések vagy intézkedéscsomagok végrehajtása érdekében szükséges lépések és adott esetben a kapcsolódó költségek egyértelmű és átlátható felsorolása.</w:t>
      </w:r>
    </w:p>
    <w:p w14:paraId="74A2E82A" w14:textId="77777777" w:rsidR="00DB73A0" w:rsidRPr="007E3B4E" w:rsidRDefault="00DB73A0" w:rsidP="00AD3EF3">
      <w:pPr>
        <w:pStyle w:val="Tiret0"/>
        <w:ind w:left="851"/>
      </w:pPr>
      <w:r w:rsidRPr="007E3B4E">
        <w:t>A szerződésben foglalt intézkedések teljes körű végrehajtására és a projekt során végzett mindennemű módosítás dokumentálására vonatkozó kötelezettség.</w:t>
      </w:r>
    </w:p>
    <w:p w14:paraId="28B18C6B" w14:textId="77777777" w:rsidR="00DB73A0" w:rsidRPr="007E3B4E" w:rsidRDefault="00DB73A0" w:rsidP="00AD3EF3">
      <w:pPr>
        <w:pStyle w:val="Tiret0"/>
        <w:ind w:left="851"/>
      </w:pPr>
      <w:r w:rsidRPr="007E3B4E">
        <w:t>A harmadik felek részvételével folyó minden alvállalkozási szerződésben azonos tartalmú előírások bevezetését szabályozó rendelkezések.</w:t>
      </w:r>
    </w:p>
    <w:p w14:paraId="3E64B3C5" w14:textId="77777777" w:rsidR="00DB73A0" w:rsidRPr="007E3B4E" w:rsidRDefault="00DB73A0" w:rsidP="00AD3EF3">
      <w:pPr>
        <w:pStyle w:val="Tiret0"/>
        <w:ind w:left="851"/>
      </w:pPr>
      <w:r w:rsidRPr="007E3B4E">
        <w:t>A projekt pénzügyi vonzatainak egyértelmű és átlátható bemutatása és az elért pénzügyi megtakarítások két fél közötti megoszlása és elosztása (azaz a szolgáltató jutalmazása).</w:t>
      </w:r>
    </w:p>
    <w:p w14:paraId="385170AC" w14:textId="77777777" w:rsidR="00DB73A0" w:rsidRPr="007E3B4E" w:rsidRDefault="00DB73A0" w:rsidP="00AD3EF3">
      <w:pPr>
        <w:pStyle w:val="Tiret0"/>
        <w:ind w:left="851"/>
      </w:pPr>
      <w:r w:rsidRPr="007E3B4E">
        <w:t>Az elért garantált megtakarítások mérésére és ellenőrzésére, a minőség</w:t>
      </w:r>
      <w:r w:rsidRPr="007E3B4E">
        <w:rPr>
          <w:rStyle w:val="CRMinorChangeAdded"/>
        </w:rPr>
        <w:t>-</w:t>
      </w:r>
      <w:r w:rsidRPr="007E3B4E">
        <w:t>ellenőrzésre és a garanciákra vonatkozó, egyértelmű és átlátható rendelkezések</w:t>
      </w:r>
    </w:p>
    <w:p w14:paraId="275C43BD" w14:textId="77777777" w:rsidR="00DB73A0" w:rsidRPr="007E3B4E" w:rsidRDefault="00DB73A0" w:rsidP="00AD3EF3">
      <w:pPr>
        <w:pStyle w:val="Tiret0"/>
        <w:ind w:left="851"/>
      </w:pPr>
      <w:r w:rsidRPr="007E3B4E">
        <w:t>A keretfeltételekben bekövetkező, a szerződés tartalmát és kimenetelét befolyásoló változások (például az energiaárak, a létesítmények használata intenzitásának változása) kezelésére irányuló eljárásokat tisztázó rendelkezések</w:t>
      </w:r>
    </w:p>
    <w:p w14:paraId="199F678E" w14:textId="77777777" w:rsidR="00DB73A0" w:rsidRPr="007E3B4E" w:rsidRDefault="00DB73A0" w:rsidP="00AD3EF3">
      <w:pPr>
        <w:pStyle w:val="Tiret0"/>
        <w:ind w:left="851"/>
      </w:pPr>
      <w:r w:rsidRPr="007E3B4E">
        <w:t>Az egyes szerződő felek kötelezettségeinek és az ezek megszegéséért kiszabott szankcióknak a részletes leírása.</w:t>
      </w:r>
    </w:p>
    <w:p w14:paraId="1354676A" w14:textId="77777777" w:rsidR="00AD1152" w:rsidRPr="007E3B4E" w:rsidRDefault="00AD1152" w:rsidP="00AD1152">
      <w:pPr>
        <w:jc w:val="center"/>
      </w:pPr>
      <w:r w:rsidRPr="007E3B4E">
        <w:t>_____________</w:t>
      </w:r>
    </w:p>
    <w:p w14:paraId="28100329"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0955F179" w14:textId="77777777" w:rsidR="00DB73A0" w:rsidRPr="007E3B4E" w:rsidRDefault="00DB73A0" w:rsidP="00DB73A0">
      <w:pPr>
        <w:pStyle w:val="CRSeparator"/>
      </w:pPr>
    </w:p>
    <w:p w14:paraId="411D5D90"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ê</w:t>
      </w:r>
      <w:r w:rsidRPr="007E3B4E">
        <w:fldChar w:fldCharType="end"/>
      </w:r>
      <w:r w:rsidRPr="007E3B4E">
        <w:t> 2012/27/EU (kiigazított szöveg)</w:t>
      </w:r>
    </w:p>
    <w:p w14:paraId="1E9B3668" w14:textId="77777777" w:rsidR="00DB73A0" w:rsidRPr="007E3B4E" w:rsidRDefault="00DB73A0" w:rsidP="00DB73A0">
      <w:pPr>
        <w:pStyle w:val="Annexetitreacte"/>
      </w:pPr>
      <w:r w:rsidRPr="007E3B4E">
        <w:rPr>
          <w:rStyle w:val="CRDeleted"/>
        </w:rPr>
        <w:t>XV. MELLÉKLET</w:t>
      </w:r>
    </w:p>
    <w:p w14:paraId="4382E622" w14:textId="77777777" w:rsidR="00DB73A0" w:rsidRPr="007E3B4E" w:rsidRDefault="00DB73A0" w:rsidP="00DB73A0">
      <w:pPr>
        <w:pStyle w:val="ManualHeading1"/>
        <w:tabs>
          <w:tab w:val="clear" w:pos="850"/>
        </w:tabs>
        <w:ind w:left="851" w:hanging="851"/>
      </w:pPr>
      <w:r w:rsidRPr="007E3B4E">
        <w:rPr>
          <w:rStyle w:val="CRDeleted"/>
          <w:i/>
        </w:rPr>
        <w:t>Megfelelési táblázat</w:t>
      </w:r>
    </w:p>
    <w:tbl>
      <w:tblPr>
        <w:tblW w:w="0" w:type="auto"/>
        <w:tblInd w:w="789" w:type="dxa"/>
        <w:tblLayout w:type="fixed"/>
        <w:tblLook w:val="0000" w:firstRow="0" w:lastRow="0" w:firstColumn="0" w:lastColumn="0" w:noHBand="0" w:noVBand="0"/>
      </w:tblPr>
      <w:tblGrid>
        <w:gridCol w:w="2929"/>
        <w:gridCol w:w="4778"/>
      </w:tblGrid>
      <w:tr w:rsidR="00DB73A0" w:rsidRPr="007E3B4E" w14:paraId="6E549CD8" w14:textId="77777777" w:rsidTr="0043088E">
        <w:tc>
          <w:tcPr>
            <w:tcW w:w="2929" w:type="dxa"/>
            <w:tcBorders>
              <w:top w:val="single" w:sz="2" w:space="0" w:color="auto"/>
              <w:left w:val="single" w:sz="2" w:space="0" w:color="auto"/>
              <w:bottom w:val="single" w:sz="2" w:space="0" w:color="auto"/>
              <w:right w:val="single" w:sz="2" w:space="0" w:color="auto"/>
            </w:tcBorders>
          </w:tcPr>
          <w:p w14:paraId="0FC38297" w14:textId="77777777" w:rsidR="00DB73A0" w:rsidRPr="007E3B4E" w:rsidRDefault="00DB73A0" w:rsidP="0043088E">
            <w:pPr>
              <w:pStyle w:val="NormalCentered"/>
            </w:pPr>
            <w:r w:rsidRPr="007E3B4E">
              <w:rPr>
                <w:rStyle w:val="CRDeleted"/>
              </w:rPr>
              <w:t>2004/8/EK irányelv</w:t>
            </w:r>
          </w:p>
        </w:tc>
        <w:tc>
          <w:tcPr>
            <w:tcW w:w="4778" w:type="dxa"/>
            <w:tcBorders>
              <w:top w:val="single" w:sz="2" w:space="0" w:color="auto"/>
              <w:left w:val="single" w:sz="2" w:space="0" w:color="auto"/>
              <w:bottom w:val="single" w:sz="2" w:space="0" w:color="auto"/>
              <w:right w:val="single" w:sz="2" w:space="0" w:color="auto"/>
            </w:tcBorders>
          </w:tcPr>
          <w:p w14:paraId="5A75A555" w14:textId="77777777" w:rsidR="00DB73A0" w:rsidRPr="007E3B4E" w:rsidRDefault="00DB73A0" w:rsidP="0043088E">
            <w:pPr>
              <w:pStyle w:val="NormalCentered"/>
            </w:pPr>
            <w:r w:rsidRPr="007E3B4E">
              <w:rPr>
                <w:rStyle w:val="CRDeleted"/>
              </w:rPr>
              <w:t>Ez az irányelv</w:t>
            </w:r>
          </w:p>
        </w:tc>
      </w:tr>
      <w:tr w:rsidR="00DB73A0" w:rsidRPr="007E3B4E" w14:paraId="2693FB60" w14:textId="77777777" w:rsidTr="0043088E">
        <w:tc>
          <w:tcPr>
            <w:tcW w:w="2929" w:type="dxa"/>
            <w:tcBorders>
              <w:top w:val="single" w:sz="2" w:space="0" w:color="auto"/>
              <w:left w:val="single" w:sz="2" w:space="0" w:color="auto"/>
              <w:bottom w:val="single" w:sz="2" w:space="0" w:color="auto"/>
              <w:right w:val="single" w:sz="2" w:space="0" w:color="auto"/>
            </w:tcBorders>
          </w:tcPr>
          <w:p w14:paraId="3F120B0C" w14:textId="77777777" w:rsidR="00DB73A0" w:rsidRPr="007E3B4E" w:rsidRDefault="00DB73A0" w:rsidP="0043088E">
            <w:pPr>
              <w:pStyle w:val="NormalLeft"/>
            </w:pPr>
            <w:r w:rsidRPr="007E3B4E">
              <w:rPr>
                <w:rStyle w:val="CRDeleted"/>
              </w:rPr>
              <w:t>1. cikk</w:t>
            </w:r>
          </w:p>
        </w:tc>
        <w:tc>
          <w:tcPr>
            <w:tcW w:w="4778" w:type="dxa"/>
            <w:tcBorders>
              <w:top w:val="single" w:sz="2" w:space="0" w:color="auto"/>
              <w:left w:val="single" w:sz="2" w:space="0" w:color="auto"/>
              <w:bottom w:val="single" w:sz="2" w:space="0" w:color="auto"/>
              <w:right w:val="single" w:sz="2" w:space="0" w:color="auto"/>
            </w:tcBorders>
          </w:tcPr>
          <w:p w14:paraId="323E9983" w14:textId="77777777" w:rsidR="00DB73A0" w:rsidRPr="007E3B4E" w:rsidRDefault="00DB73A0" w:rsidP="0043088E">
            <w:pPr>
              <w:pStyle w:val="NormalLeft"/>
            </w:pPr>
            <w:r w:rsidRPr="007E3B4E">
              <w:rPr>
                <w:rStyle w:val="CRDeleted"/>
              </w:rPr>
              <w:t>1. cikk, (1) bekezdés</w:t>
            </w:r>
          </w:p>
        </w:tc>
      </w:tr>
      <w:tr w:rsidR="00DB73A0" w:rsidRPr="007E3B4E" w14:paraId="57CD74C5" w14:textId="77777777" w:rsidTr="0043088E">
        <w:tc>
          <w:tcPr>
            <w:tcW w:w="2929" w:type="dxa"/>
            <w:tcBorders>
              <w:top w:val="single" w:sz="2" w:space="0" w:color="auto"/>
              <w:left w:val="single" w:sz="2" w:space="0" w:color="auto"/>
              <w:bottom w:val="single" w:sz="2" w:space="0" w:color="auto"/>
              <w:right w:val="single" w:sz="2" w:space="0" w:color="auto"/>
            </w:tcBorders>
          </w:tcPr>
          <w:p w14:paraId="161F61FA" w14:textId="77777777" w:rsidR="00DB73A0" w:rsidRPr="007E3B4E" w:rsidRDefault="00DB73A0" w:rsidP="0043088E">
            <w:pPr>
              <w:pStyle w:val="NormalLeft"/>
            </w:pPr>
            <w:r w:rsidRPr="007E3B4E">
              <w:rPr>
                <w:rStyle w:val="CRDeleted"/>
              </w:rPr>
              <w:t>2. cikk</w:t>
            </w:r>
          </w:p>
        </w:tc>
        <w:tc>
          <w:tcPr>
            <w:tcW w:w="4778" w:type="dxa"/>
            <w:tcBorders>
              <w:top w:val="single" w:sz="2" w:space="0" w:color="auto"/>
              <w:left w:val="single" w:sz="2" w:space="0" w:color="auto"/>
              <w:bottom w:val="single" w:sz="2" w:space="0" w:color="auto"/>
              <w:right w:val="single" w:sz="2" w:space="0" w:color="auto"/>
            </w:tcBorders>
          </w:tcPr>
          <w:p w14:paraId="4CFE6DF7" w14:textId="77777777" w:rsidR="00DB73A0" w:rsidRPr="007E3B4E" w:rsidRDefault="00DB73A0" w:rsidP="0043088E">
            <w:pPr>
              <w:pStyle w:val="NormalLeft"/>
            </w:pPr>
            <w:r w:rsidRPr="007E3B4E">
              <w:rPr>
                <w:rStyle w:val="CRDeleted"/>
              </w:rPr>
              <w:t>1. cikk, (1) bekezdés</w:t>
            </w:r>
          </w:p>
        </w:tc>
      </w:tr>
      <w:tr w:rsidR="00DB73A0" w:rsidRPr="007E3B4E" w14:paraId="55011796" w14:textId="77777777" w:rsidTr="0043088E">
        <w:tc>
          <w:tcPr>
            <w:tcW w:w="2929" w:type="dxa"/>
            <w:tcBorders>
              <w:top w:val="single" w:sz="2" w:space="0" w:color="auto"/>
              <w:left w:val="single" w:sz="2" w:space="0" w:color="auto"/>
              <w:bottom w:val="single" w:sz="2" w:space="0" w:color="auto"/>
              <w:right w:val="single" w:sz="2" w:space="0" w:color="auto"/>
            </w:tcBorders>
          </w:tcPr>
          <w:p w14:paraId="000593D2" w14:textId="77777777" w:rsidR="00DB73A0" w:rsidRPr="007E3B4E" w:rsidRDefault="00DB73A0" w:rsidP="0043088E">
            <w:pPr>
              <w:pStyle w:val="NormalLeft"/>
            </w:pPr>
            <w:r w:rsidRPr="007E3B4E">
              <w:rPr>
                <w:rStyle w:val="CRDeleted"/>
              </w:rPr>
              <w:t>3. cikk, a) pont</w:t>
            </w:r>
          </w:p>
        </w:tc>
        <w:tc>
          <w:tcPr>
            <w:tcW w:w="4778" w:type="dxa"/>
            <w:tcBorders>
              <w:top w:val="single" w:sz="2" w:space="0" w:color="auto"/>
              <w:left w:val="single" w:sz="2" w:space="0" w:color="auto"/>
              <w:bottom w:val="single" w:sz="2" w:space="0" w:color="auto"/>
              <w:right w:val="single" w:sz="2" w:space="0" w:color="auto"/>
            </w:tcBorders>
          </w:tcPr>
          <w:p w14:paraId="71048221" w14:textId="77777777" w:rsidR="00DB73A0" w:rsidRPr="007E3B4E" w:rsidRDefault="00DB73A0" w:rsidP="0043088E">
            <w:pPr>
              <w:pStyle w:val="NormalLeft"/>
            </w:pPr>
            <w:r w:rsidRPr="007E3B4E">
              <w:rPr>
                <w:rStyle w:val="CRDeleted"/>
              </w:rPr>
              <w:t>2. cikk, 30. pont</w:t>
            </w:r>
          </w:p>
        </w:tc>
      </w:tr>
      <w:tr w:rsidR="00DB73A0" w:rsidRPr="007E3B4E" w14:paraId="364B2876" w14:textId="77777777" w:rsidTr="0043088E">
        <w:tc>
          <w:tcPr>
            <w:tcW w:w="2929" w:type="dxa"/>
            <w:tcBorders>
              <w:top w:val="single" w:sz="2" w:space="0" w:color="auto"/>
              <w:left w:val="single" w:sz="2" w:space="0" w:color="auto"/>
              <w:bottom w:val="single" w:sz="2" w:space="0" w:color="auto"/>
              <w:right w:val="single" w:sz="2" w:space="0" w:color="auto"/>
            </w:tcBorders>
          </w:tcPr>
          <w:p w14:paraId="25F2B6FA" w14:textId="77777777" w:rsidR="00DB73A0" w:rsidRPr="007E3B4E" w:rsidRDefault="00DB73A0" w:rsidP="0043088E">
            <w:pPr>
              <w:pStyle w:val="NormalLeft"/>
            </w:pPr>
            <w:r w:rsidRPr="007E3B4E">
              <w:rPr>
                <w:rStyle w:val="CRDeleted"/>
              </w:rPr>
              <w:t>3. cikk, b) pont</w:t>
            </w:r>
          </w:p>
        </w:tc>
        <w:tc>
          <w:tcPr>
            <w:tcW w:w="4778" w:type="dxa"/>
            <w:tcBorders>
              <w:top w:val="single" w:sz="2" w:space="0" w:color="auto"/>
              <w:left w:val="single" w:sz="2" w:space="0" w:color="auto"/>
              <w:bottom w:val="single" w:sz="2" w:space="0" w:color="auto"/>
              <w:right w:val="single" w:sz="2" w:space="0" w:color="auto"/>
            </w:tcBorders>
          </w:tcPr>
          <w:p w14:paraId="6B62545B" w14:textId="77777777" w:rsidR="00DB73A0" w:rsidRPr="007E3B4E" w:rsidRDefault="00DB73A0" w:rsidP="0043088E">
            <w:pPr>
              <w:pStyle w:val="NormalLeft"/>
            </w:pPr>
            <w:r w:rsidRPr="007E3B4E">
              <w:rPr>
                <w:rStyle w:val="CRDeleted"/>
              </w:rPr>
              <w:t>2. cikk, 32. pont</w:t>
            </w:r>
          </w:p>
        </w:tc>
      </w:tr>
      <w:tr w:rsidR="00DB73A0" w:rsidRPr="007E3B4E" w14:paraId="3F95C532" w14:textId="77777777" w:rsidTr="0043088E">
        <w:tc>
          <w:tcPr>
            <w:tcW w:w="2929" w:type="dxa"/>
            <w:tcBorders>
              <w:top w:val="single" w:sz="2" w:space="0" w:color="auto"/>
              <w:left w:val="single" w:sz="2" w:space="0" w:color="auto"/>
              <w:bottom w:val="single" w:sz="2" w:space="0" w:color="auto"/>
              <w:right w:val="single" w:sz="2" w:space="0" w:color="auto"/>
            </w:tcBorders>
          </w:tcPr>
          <w:p w14:paraId="7C5C0504" w14:textId="77777777" w:rsidR="00DB73A0" w:rsidRPr="007E3B4E" w:rsidRDefault="00DB73A0" w:rsidP="0043088E">
            <w:pPr>
              <w:pStyle w:val="NormalLeft"/>
            </w:pPr>
            <w:r w:rsidRPr="007E3B4E">
              <w:rPr>
                <w:rStyle w:val="CRDeleted"/>
              </w:rPr>
              <w:t>3. cikk, c) pont</w:t>
            </w:r>
          </w:p>
        </w:tc>
        <w:tc>
          <w:tcPr>
            <w:tcW w:w="4778" w:type="dxa"/>
            <w:tcBorders>
              <w:top w:val="single" w:sz="2" w:space="0" w:color="auto"/>
              <w:left w:val="single" w:sz="2" w:space="0" w:color="auto"/>
              <w:bottom w:val="single" w:sz="2" w:space="0" w:color="auto"/>
              <w:right w:val="single" w:sz="2" w:space="0" w:color="auto"/>
            </w:tcBorders>
          </w:tcPr>
          <w:p w14:paraId="71395599" w14:textId="77777777" w:rsidR="00DB73A0" w:rsidRPr="007E3B4E" w:rsidRDefault="00DB73A0" w:rsidP="0043088E">
            <w:pPr>
              <w:pStyle w:val="NormalLeft"/>
            </w:pPr>
            <w:r w:rsidRPr="007E3B4E">
              <w:rPr>
                <w:rStyle w:val="CRDeleted"/>
              </w:rPr>
              <w:t>2. cikk, 31. pont</w:t>
            </w:r>
          </w:p>
        </w:tc>
      </w:tr>
      <w:tr w:rsidR="00DB73A0" w:rsidRPr="007E3B4E" w14:paraId="41709D9D" w14:textId="77777777" w:rsidTr="0043088E">
        <w:tc>
          <w:tcPr>
            <w:tcW w:w="2929" w:type="dxa"/>
            <w:tcBorders>
              <w:top w:val="single" w:sz="2" w:space="0" w:color="auto"/>
              <w:left w:val="single" w:sz="2" w:space="0" w:color="auto"/>
              <w:bottom w:val="single" w:sz="2" w:space="0" w:color="auto"/>
              <w:right w:val="single" w:sz="2" w:space="0" w:color="auto"/>
            </w:tcBorders>
          </w:tcPr>
          <w:p w14:paraId="6FBAD751" w14:textId="77777777" w:rsidR="00DB73A0" w:rsidRPr="007E3B4E" w:rsidRDefault="00DB73A0" w:rsidP="0043088E">
            <w:pPr>
              <w:pStyle w:val="NormalLeft"/>
            </w:pPr>
            <w:r w:rsidRPr="007E3B4E">
              <w:rPr>
                <w:rStyle w:val="CRDeleted"/>
              </w:rPr>
              <w:t>3. cikk, d) pont</w:t>
            </w:r>
          </w:p>
        </w:tc>
        <w:tc>
          <w:tcPr>
            <w:tcW w:w="4778" w:type="dxa"/>
            <w:tcBorders>
              <w:top w:val="single" w:sz="2" w:space="0" w:color="auto"/>
              <w:left w:val="single" w:sz="2" w:space="0" w:color="auto"/>
              <w:bottom w:val="single" w:sz="2" w:space="0" w:color="auto"/>
              <w:right w:val="single" w:sz="2" w:space="0" w:color="auto"/>
            </w:tcBorders>
          </w:tcPr>
          <w:p w14:paraId="6DE33B8E" w14:textId="77777777" w:rsidR="00DB73A0" w:rsidRPr="007E3B4E" w:rsidRDefault="00DB73A0" w:rsidP="0043088E">
            <w:pPr>
              <w:pStyle w:val="NormalLeft"/>
            </w:pPr>
            <w:r w:rsidRPr="007E3B4E">
              <w:rPr>
                <w:rStyle w:val="CRDeleted"/>
              </w:rPr>
              <w:t>2. cikk, 33. pont</w:t>
            </w:r>
          </w:p>
        </w:tc>
      </w:tr>
      <w:tr w:rsidR="00DB73A0" w:rsidRPr="007E3B4E" w14:paraId="66C9C34E" w14:textId="77777777" w:rsidTr="0043088E">
        <w:tc>
          <w:tcPr>
            <w:tcW w:w="2929" w:type="dxa"/>
            <w:tcBorders>
              <w:top w:val="single" w:sz="2" w:space="0" w:color="auto"/>
              <w:left w:val="single" w:sz="2" w:space="0" w:color="auto"/>
              <w:bottom w:val="single" w:sz="2" w:space="0" w:color="auto"/>
              <w:right w:val="single" w:sz="2" w:space="0" w:color="auto"/>
            </w:tcBorders>
          </w:tcPr>
          <w:p w14:paraId="185B6096" w14:textId="77777777" w:rsidR="00DB73A0" w:rsidRPr="007E3B4E" w:rsidRDefault="00DB73A0" w:rsidP="0043088E">
            <w:pPr>
              <w:pStyle w:val="NormalLeft"/>
            </w:pPr>
            <w:r w:rsidRPr="007E3B4E">
              <w:rPr>
                <w:rStyle w:val="CRDeleted"/>
              </w:rPr>
              <w:t>3. cikk, e) és f) pont</w:t>
            </w:r>
          </w:p>
        </w:tc>
        <w:tc>
          <w:tcPr>
            <w:tcW w:w="4778" w:type="dxa"/>
            <w:tcBorders>
              <w:top w:val="single" w:sz="2" w:space="0" w:color="auto"/>
              <w:left w:val="single" w:sz="2" w:space="0" w:color="auto"/>
              <w:bottom w:val="single" w:sz="2" w:space="0" w:color="auto"/>
              <w:right w:val="single" w:sz="2" w:space="0" w:color="auto"/>
            </w:tcBorders>
          </w:tcPr>
          <w:p w14:paraId="04951816" w14:textId="77777777" w:rsidR="00DB73A0" w:rsidRPr="007E3B4E" w:rsidRDefault="00DB73A0" w:rsidP="0043088E">
            <w:pPr>
              <w:pStyle w:val="NormalLeft"/>
            </w:pPr>
            <w:r w:rsidRPr="007E3B4E">
              <w:rPr>
                <w:rStyle w:val="CRDeleted"/>
              </w:rPr>
              <w:t>—</w:t>
            </w:r>
          </w:p>
        </w:tc>
      </w:tr>
      <w:tr w:rsidR="00DB73A0" w:rsidRPr="007E3B4E" w14:paraId="507510FB" w14:textId="77777777" w:rsidTr="0043088E">
        <w:tc>
          <w:tcPr>
            <w:tcW w:w="2929" w:type="dxa"/>
            <w:tcBorders>
              <w:top w:val="single" w:sz="2" w:space="0" w:color="auto"/>
              <w:left w:val="single" w:sz="2" w:space="0" w:color="auto"/>
              <w:bottom w:val="single" w:sz="2" w:space="0" w:color="auto"/>
              <w:right w:val="single" w:sz="2" w:space="0" w:color="auto"/>
            </w:tcBorders>
          </w:tcPr>
          <w:p w14:paraId="655673D5" w14:textId="77777777" w:rsidR="00DB73A0" w:rsidRPr="007E3B4E" w:rsidRDefault="00DB73A0" w:rsidP="0043088E">
            <w:pPr>
              <w:pStyle w:val="NormalLeft"/>
            </w:pPr>
            <w:r w:rsidRPr="007E3B4E">
              <w:rPr>
                <w:rStyle w:val="CRDeleted"/>
              </w:rPr>
              <w:t>3. cikk, g) pont</w:t>
            </w:r>
          </w:p>
        </w:tc>
        <w:tc>
          <w:tcPr>
            <w:tcW w:w="4778" w:type="dxa"/>
            <w:tcBorders>
              <w:top w:val="single" w:sz="2" w:space="0" w:color="auto"/>
              <w:left w:val="single" w:sz="2" w:space="0" w:color="auto"/>
              <w:bottom w:val="single" w:sz="2" w:space="0" w:color="auto"/>
              <w:right w:val="single" w:sz="2" w:space="0" w:color="auto"/>
            </w:tcBorders>
          </w:tcPr>
          <w:p w14:paraId="40A68CD1" w14:textId="77777777" w:rsidR="00DB73A0" w:rsidRPr="007E3B4E" w:rsidRDefault="00DB73A0" w:rsidP="0043088E">
            <w:pPr>
              <w:pStyle w:val="NormalLeft"/>
            </w:pPr>
            <w:r w:rsidRPr="007E3B4E">
              <w:rPr>
                <w:rStyle w:val="CRDeleted"/>
              </w:rPr>
              <w:t>2. cikk, 35. pont</w:t>
            </w:r>
          </w:p>
        </w:tc>
      </w:tr>
      <w:tr w:rsidR="00DB73A0" w:rsidRPr="007E3B4E" w14:paraId="02BE0B5F" w14:textId="77777777" w:rsidTr="0043088E">
        <w:tc>
          <w:tcPr>
            <w:tcW w:w="2929" w:type="dxa"/>
            <w:tcBorders>
              <w:top w:val="single" w:sz="2" w:space="0" w:color="auto"/>
              <w:left w:val="single" w:sz="2" w:space="0" w:color="auto"/>
              <w:bottom w:val="single" w:sz="2" w:space="0" w:color="auto"/>
              <w:right w:val="single" w:sz="2" w:space="0" w:color="auto"/>
            </w:tcBorders>
          </w:tcPr>
          <w:p w14:paraId="36194BF8" w14:textId="77777777" w:rsidR="00DB73A0" w:rsidRPr="007E3B4E" w:rsidRDefault="00DB73A0" w:rsidP="0043088E">
            <w:pPr>
              <w:pStyle w:val="NormalLeft"/>
            </w:pPr>
            <w:r w:rsidRPr="007E3B4E">
              <w:rPr>
                <w:rStyle w:val="CRDeleted"/>
              </w:rPr>
              <w:t>3. cikk, h) pont</w:t>
            </w:r>
          </w:p>
        </w:tc>
        <w:tc>
          <w:tcPr>
            <w:tcW w:w="4778" w:type="dxa"/>
            <w:tcBorders>
              <w:top w:val="single" w:sz="2" w:space="0" w:color="auto"/>
              <w:left w:val="single" w:sz="2" w:space="0" w:color="auto"/>
              <w:bottom w:val="single" w:sz="2" w:space="0" w:color="auto"/>
              <w:right w:val="single" w:sz="2" w:space="0" w:color="auto"/>
            </w:tcBorders>
          </w:tcPr>
          <w:p w14:paraId="03843A52" w14:textId="77777777" w:rsidR="00DB73A0" w:rsidRPr="007E3B4E" w:rsidRDefault="00DB73A0" w:rsidP="0043088E">
            <w:pPr>
              <w:pStyle w:val="NormalLeft"/>
            </w:pPr>
            <w:r w:rsidRPr="007E3B4E">
              <w:rPr>
                <w:rStyle w:val="CRDeleted"/>
              </w:rPr>
              <w:t>—</w:t>
            </w:r>
          </w:p>
        </w:tc>
      </w:tr>
      <w:tr w:rsidR="00DB73A0" w:rsidRPr="007E3B4E" w14:paraId="795C7462" w14:textId="77777777" w:rsidTr="0043088E">
        <w:tc>
          <w:tcPr>
            <w:tcW w:w="2929" w:type="dxa"/>
            <w:tcBorders>
              <w:top w:val="single" w:sz="2" w:space="0" w:color="auto"/>
              <w:left w:val="single" w:sz="2" w:space="0" w:color="auto"/>
              <w:bottom w:val="single" w:sz="2" w:space="0" w:color="auto"/>
              <w:right w:val="single" w:sz="2" w:space="0" w:color="auto"/>
            </w:tcBorders>
          </w:tcPr>
          <w:p w14:paraId="4FC6FC19" w14:textId="77777777" w:rsidR="00DB73A0" w:rsidRPr="007E3B4E" w:rsidRDefault="00DB73A0" w:rsidP="0043088E">
            <w:pPr>
              <w:pStyle w:val="NormalLeft"/>
            </w:pPr>
            <w:r w:rsidRPr="007E3B4E">
              <w:rPr>
                <w:rStyle w:val="CRDeleted"/>
              </w:rPr>
              <w:t>3. cikk, i) pont</w:t>
            </w:r>
          </w:p>
        </w:tc>
        <w:tc>
          <w:tcPr>
            <w:tcW w:w="4778" w:type="dxa"/>
            <w:tcBorders>
              <w:top w:val="single" w:sz="2" w:space="0" w:color="auto"/>
              <w:left w:val="single" w:sz="2" w:space="0" w:color="auto"/>
              <w:bottom w:val="single" w:sz="2" w:space="0" w:color="auto"/>
              <w:right w:val="single" w:sz="2" w:space="0" w:color="auto"/>
            </w:tcBorders>
          </w:tcPr>
          <w:p w14:paraId="1FC23AF4" w14:textId="77777777" w:rsidR="00DB73A0" w:rsidRPr="007E3B4E" w:rsidRDefault="00DB73A0" w:rsidP="0043088E">
            <w:pPr>
              <w:pStyle w:val="NormalLeft"/>
            </w:pPr>
            <w:r w:rsidRPr="007E3B4E">
              <w:rPr>
                <w:rStyle w:val="CRDeleted"/>
              </w:rPr>
              <w:t>2. cikk, 34. pont</w:t>
            </w:r>
          </w:p>
        </w:tc>
      </w:tr>
      <w:tr w:rsidR="00DB73A0" w:rsidRPr="007E3B4E" w14:paraId="6F70ABEB" w14:textId="77777777" w:rsidTr="0043088E">
        <w:tc>
          <w:tcPr>
            <w:tcW w:w="2929" w:type="dxa"/>
            <w:tcBorders>
              <w:top w:val="single" w:sz="2" w:space="0" w:color="auto"/>
              <w:left w:val="single" w:sz="2" w:space="0" w:color="auto"/>
              <w:bottom w:val="single" w:sz="2" w:space="0" w:color="auto"/>
              <w:right w:val="single" w:sz="2" w:space="0" w:color="auto"/>
            </w:tcBorders>
          </w:tcPr>
          <w:p w14:paraId="6AE9DA52" w14:textId="77777777" w:rsidR="00DB73A0" w:rsidRPr="007E3B4E" w:rsidRDefault="00DB73A0" w:rsidP="0043088E">
            <w:pPr>
              <w:pStyle w:val="NormalLeft"/>
            </w:pPr>
            <w:r w:rsidRPr="007E3B4E">
              <w:rPr>
                <w:rStyle w:val="CRDeleted"/>
              </w:rPr>
              <w:t>3. cikk, j) pont</w:t>
            </w:r>
          </w:p>
        </w:tc>
        <w:tc>
          <w:tcPr>
            <w:tcW w:w="4778" w:type="dxa"/>
            <w:tcBorders>
              <w:top w:val="single" w:sz="2" w:space="0" w:color="auto"/>
              <w:left w:val="single" w:sz="2" w:space="0" w:color="auto"/>
              <w:bottom w:val="single" w:sz="2" w:space="0" w:color="auto"/>
              <w:right w:val="single" w:sz="2" w:space="0" w:color="auto"/>
            </w:tcBorders>
          </w:tcPr>
          <w:p w14:paraId="28696C68" w14:textId="77777777" w:rsidR="00DB73A0" w:rsidRPr="007E3B4E" w:rsidRDefault="00DB73A0" w:rsidP="0043088E">
            <w:pPr>
              <w:pStyle w:val="NormalLeft"/>
            </w:pPr>
            <w:r w:rsidRPr="007E3B4E">
              <w:rPr>
                <w:rStyle w:val="CRDeleted"/>
              </w:rPr>
              <w:t>—</w:t>
            </w:r>
          </w:p>
        </w:tc>
      </w:tr>
      <w:tr w:rsidR="00DB73A0" w:rsidRPr="007E3B4E" w14:paraId="7EB8CE41" w14:textId="77777777" w:rsidTr="0043088E">
        <w:tc>
          <w:tcPr>
            <w:tcW w:w="2929" w:type="dxa"/>
            <w:tcBorders>
              <w:top w:val="single" w:sz="2" w:space="0" w:color="auto"/>
              <w:left w:val="single" w:sz="2" w:space="0" w:color="auto"/>
              <w:bottom w:val="single" w:sz="2" w:space="0" w:color="auto"/>
              <w:right w:val="single" w:sz="2" w:space="0" w:color="auto"/>
            </w:tcBorders>
          </w:tcPr>
          <w:p w14:paraId="508043EA" w14:textId="77777777" w:rsidR="00DB73A0" w:rsidRPr="007E3B4E" w:rsidRDefault="00DB73A0" w:rsidP="0043088E">
            <w:pPr>
              <w:pStyle w:val="NormalLeft"/>
            </w:pPr>
            <w:r w:rsidRPr="007E3B4E">
              <w:rPr>
                <w:rStyle w:val="CRDeleted"/>
              </w:rPr>
              <w:t>3. cikk, k) pont</w:t>
            </w:r>
          </w:p>
        </w:tc>
        <w:tc>
          <w:tcPr>
            <w:tcW w:w="4778" w:type="dxa"/>
            <w:tcBorders>
              <w:top w:val="single" w:sz="2" w:space="0" w:color="auto"/>
              <w:left w:val="single" w:sz="2" w:space="0" w:color="auto"/>
              <w:bottom w:val="single" w:sz="2" w:space="0" w:color="auto"/>
              <w:right w:val="single" w:sz="2" w:space="0" w:color="auto"/>
            </w:tcBorders>
          </w:tcPr>
          <w:p w14:paraId="63BA576D" w14:textId="77777777" w:rsidR="00DB73A0" w:rsidRPr="007E3B4E" w:rsidRDefault="00DB73A0" w:rsidP="0043088E">
            <w:pPr>
              <w:pStyle w:val="NormalLeft"/>
            </w:pPr>
            <w:r w:rsidRPr="007E3B4E">
              <w:rPr>
                <w:rStyle w:val="CRDeleted"/>
              </w:rPr>
              <w:t>2. cikk, 36. pont</w:t>
            </w:r>
          </w:p>
        </w:tc>
      </w:tr>
      <w:tr w:rsidR="00DB73A0" w:rsidRPr="007E3B4E" w14:paraId="707789FF" w14:textId="77777777" w:rsidTr="0043088E">
        <w:tc>
          <w:tcPr>
            <w:tcW w:w="2929" w:type="dxa"/>
            <w:tcBorders>
              <w:top w:val="single" w:sz="2" w:space="0" w:color="auto"/>
              <w:left w:val="single" w:sz="2" w:space="0" w:color="auto"/>
              <w:bottom w:val="single" w:sz="2" w:space="0" w:color="auto"/>
              <w:right w:val="single" w:sz="2" w:space="0" w:color="auto"/>
            </w:tcBorders>
          </w:tcPr>
          <w:p w14:paraId="12CD95C4" w14:textId="77777777" w:rsidR="00DB73A0" w:rsidRPr="007E3B4E" w:rsidRDefault="00DB73A0" w:rsidP="0043088E">
            <w:pPr>
              <w:pStyle w:val="NormalLeft"/>
            </w:pPr>
            <w:r w:rsidRPr="007E3B4E">
              <w:rPr>
                <w:rStyle w:val="CRDeleted"/>
              </w:rPr>
              <w:t>3. cikk, l) pont</w:t>
            </w:r>
          </w:p>
        </w:tc>
        <w:tc>
          <w:tcPr>
            <w:tcW w:w="4778" w:type="dxa"/>
            <w:tcBorders>
              <w:top w:val="single" w:sz="2" w:space="0" w:color="auto"/>
              <w:left w:val="single" w:sz="2" w:space="0" w:color="auto"/>
              <w:bottom w:val="single" w:sz="2" w:space="0" w:color="auto"/>
              <w:right w:val="single" w:sz="2" w:space="0" w:color="auto"/>
            </w:tcBorders>
          </w:tcPr>
          <w:p w14:paraId="73F7474F" w14:textId="77777777" w:rsidR="00DB73A0" w:rsidRPr="007E3B4E" w:rsidRDefault="00DB73A0" w:rsidP="0043088E">
            <w:pPr>
              <w:pStyle w:val="NormalLeft"/>
            </w:pPr>
            <w:r w:rsidRPr="007E3B4E">
              <w:rPr>
                <w:rStyle w:val="CRDeleted"/>
              </w:rPr>
              <w:t>2. cikk, 37. pont</w:t>
            </w:r>
          </w:p>
        </w:tc>
      </w:tr>
      <w:tr w:rsidR="00DB73A0" w:rsidRPr="007E3B4E" w14:paraId="284FCC4D" w14:textId="77777777" w:rsidTr="0043088E">
        <w:tc>
          <w:tcPr>
            <w:tcW w:w="2929" w:type="dxa"/>
            <w:tcBorders>
              <w:top w:val="single" w:sz="2" w:space="0" w:color="auto"/>
              <w:left w:val="single" w:sz="2" w:space="0" w:color="auto"/>
              <w:bottom w:val="single" w:sz="2" w:space="0" w:color="auto"/>
              <w:right w:val="single" w:sz="2" w:space="0" w:color="auto"/>
            </w:tcBorders>
          </w:tcPr>
          <w:p w14:paraId="34F5F5D9" w14:textId="77777777" w:rsidR="00DB73A0" w:rsidRPr="007E3B4E" w:rsidRDefault="00DB73A0" w:rsidP="0043088E">
            <w:pPr>
              <w:pStyle w:val="NormalLeft"/>
            </w:pPr>
            <w:r w:rsidRPr="007E3B4E">
              <w:rPr>
                <w:rStyle w:val="CRDeleted"/>
              </w:rPr>
              <w:t>3. cikk, m) pont</w:t>
            </w:r>
          </w:p>
        </w:tc>
        <w:tc>
          <w:tcPr>
            <w:tcW w:w="4778" w:type="dxa"/>
            <w:tcBorders>
              <w:top w:val="single" w:sz="2" w:space="0" w:color="auto"/>
              <w:left w:val="single" w:sz="2" w:space="0" w:color="auto"/>
              <w:bottom w:val="single" w:sz="2" w:space="0" w:color="auto"/>
              <w:right w:val="single" w:sz="2" w:space="0" w:color="auto"/>
            </w:tcBorders>
          </w:tcPr>
          <w:p w14:paraId="5AE54332" w14:textId="77777777" w:rsidR="00DB73A0" w:rsidRPr="007E3B4E" w:rsidRDefault="00DB73A0" w:rsidP="0043088E">
            <w:pPr>
              <w:pStyle w:val="NormalLeft"/>
            </w:pPr>
            <w:r w:rsidRPr="007E3B4E">
              <w:rPr>
                <w:rStyle w:val="CRDeleted"/>
              </w:rPr>
              <w:t>2. cikk, 39. pont</w:t>
            </w:r>
          </w:p>
        </w:tc>
      </w:tr>
      <w:tr w:rsidR="00DB73A0" w:rsidRPr="007E3B4E" w14:paraId="33D5EDE7" w14:textId="77777777" w:rsidTr="0043088E">
        <w:tc>
          <w:tcPr>
            <w:tcW w:w="2929" w:type="dxa"/>
            <w:tcBorders>
              <w:top w:val="single" w:sz="2" w:space="0" w:color="auto"/>
              <w:left w:val="single" w:sz="2" w:space="0" w:color="auto"/>
              <w:bottom w:val="single" w:sz="2" w:space="0" w:color="auto"/>
              <w:right w:val="single" w:sz="2" w:space="0" w:color="auto"/>
            </w:tcBorders>
          </w:tcPr>
          <w:p w14:paraId="185D7879" w14:textId="77777777" w:rsidR="00DB73A0" w:rsidRPr="007E3B4E" w:rsidRDefault="00DB73A0" w:rsidP="0043088E">
            <w:pPr>
              <w:pStyle w:val="NormalLeft"/>
            </w:pPr>
            <w:r w:rsidRPr="007E3B4E">
              <w:rPr>
                <w:rStyle w:val="CRDeleted"/>
              </w:rPr>
              <w:t>3. cikk, n) pont</w:t>
            </w:r>
          </w:p>
        </w:tc>
        <w:tc>
          <w:tcPr>
            <w:tcW w:w="4778" w:type="dxa"/>
            <w:tcBorders>
              <w:top w:val="single" w:sz="2" w:space="0" w:color="auto"/>
              <w:left w:val="single" w:sz="2" w:space="0" w:color="auto"/>
              <w:bottom w:val="single" w:sz="2" w:space="0" w:color="auto"/>
              <w:right w:val="single" w:sz="2" w:space="0" w:color="auto"/>
            </w:tcBorders>
          </w:tcPr>
          <w:p w14:paraId="54E36CE8" w14:textId="77777777" w:rsidR="00DB73A0" w:rsidRPr="007E3B4E" w:rsidRDefault="00DB73A0" w:rsidP="0043088E">
            <w:pPr>
              <w:pStyle w:val="NormalLeft"/>
            </w:pPr>
            <w:r w:rsidRPr="007E3B4E">
              <w:rPr>
                <w:rStyle w:val="CRDeleted"/>
              </w:rPr>
              <w:t>2. cikk, 38. pont</w:t>
            </w:r>
          </w:p>
        </w:tc>
      </w:tr>
      <w:tr w:rsidR="00DB73A0" w:rsidRPr="007E3B4E" w14:paraId="0E026BBD" w14:textId="77777777" w:rsidTr="0043088E">
        <w:tc>
          <w:tcPr>
            <w:tcW w:w="2929" w:type="dxa"/>
            <w:tcBorders>
              <w:top w:val="single" w:sz="2" w:space="0" w:color="auto"/>
              <w:left w:val="single" w:sz="2" w:space="0" w:color="auto"/>
              <w:bottom w:val="single" w:sz="2" w:space="0" w:color="auto"/>
              <w:right w:val="single" w:sz="2" w:space="0" w:color="auto"/>
            </w:tcBorders>
          </w:tcPr>
          <w:p w14:paraId="311486CB" w14:textId="77777777" w:rsidR="00DB73A0" w:rsidRPr="007E3B4E" w:rsidRDefault="00DB73A0" w:rsidP="0043088E">
            <w:pPr>
              <w:pStyle w:val="NormalLeft"/>
            </w:pPr>
            <w:r w:rsidRPr="007E3B4E">
              <w:rPr>
                <w:rStyle w:val="CRDeleted"/>
              </w:rPr>
              <w:t>3. cikk, o) pont</w:t>
            </w:r>
          </w:p>
        </w:tc>
        <w:tc>
          <w:tcPr>
            <w:tcW w:w="4778" w:type="dxa"/>
            <w:tcBorders>
              <w:top w:val="single" w:sz="2" w:space="0" w:color="auto"/>
              <w:left w:val="single" w:sz="2" w:space="0" w:color="auto"/>
              <w:bottom w:val="single" w:sz="2" w:space="0" w:color="auto"/>
              <w:right w:val="single" w:sz="2" w:space="0" w:color="auto"/>
            </w:tcBorders>
          </w:tcPr>
          <w:p w14:paraId="7B83E558" w14:textId="77777777" w:rsidR="00DB73A0" w:rsidRPr="007E3B4E" w:rsidRDefault="00DB73A0" w:rsidP="0043088E">
            <w:pPr>
              <w:pStyle w:val="NormalLeft"/>
            </w:pPr>
            <w:r w:rsidRPr="007E3B4E">
              <w:rPr>
                <w:rStyle w:val="CRDeleted"/>
              </w:rPr>
              <w:t>—</w:t>
            </w:r>
          </w:p>
        </w:tc>
      </w:tr>
      <w:tr w:rsidR="00DB73A0" w:rsidRPr="007E3B4E" w14:paraId="706FAE0C" w14:textId="77777777" w:rsidTr="0043088E">
        <w:tc>
          <w:tcPr>
            <w:tcW w:w="2929" w:type="dxa"/>
            <w:tcBorders>
              <w:top w:val="single" w:sz="2" w:space="0" w:color="auto"/>
              <w:left w:val="single" w:sz="2" w:space="0" w:color="auto"/>
              <w:bottom w:val="single" w:sz="2" w:space="0" w:color="auto"/>
              <w:right w:val="single" w:sz="2" w:space="0" w:color="auto"/>
            </w:tcBorders>
          </w:tcPr>
          <w:p w14:paraId="0DEBF46D" w14:textId="77777777" w:rsidR="00DB73A0" w:rsidRPr="007E3B4E" w:rsidRDefault="00DB73A0" w:rsidP="0043088E">
            <w:pPr>
              <w:pStyle w:val="NormalLeft"/>
            </w:pPr>
            <w:r w:rsidRPr="007E3B4E">
              <w:rPr>
                <w:rStyle w:val="CRDeleted"/>
              </w:rPr>
              <w:t>—</w:t>
            </w:r>
          </w:p>
        </w:tc>
        <w:tc>
          <w:tcPr>
            <w:tcW w:w="4778" w:type="dxa"/>
            <w:tcBorders>
              <w:top w:val="single" w:sz="2" w:space="0" w:color="auto"/>
              <w:left w:val="single" w:sz="2" w:space="0" w:color="auto"/>
              <w:bottom w:val="single" w:sz="2" w:space="0" w:color="auto"/>
              <w:right w:val="single" w:sz="2" w:space="0" w:color="auto"/>
            </w:tcBorders>
          </w:tcPr>
          <w:p w14:paraId="300CA701" w14:textId="77777777" w:rsidR="00DB73A0" w:rsidRPr="007E3B4E" w:rsidRDefault="00DB73A0" w:rsidP="0043088E">
            <w:pPr>
              <w:pStyle w:val="NormalLeft"/>
            </w:pPr>
            <w:r w:rsidRPr="007E3B4E">
              <w:rPr>
                <w:rStyle w:val="CRDeleted"/>
              </w:rPr>
              <w:t>2. cikk, 40., 41., 42., 43., és 44. pont</w:t>
            </w:r>
          </w:p>
        </w:tc>
      </w:tr>
      <w:tr w:rsidR="00DB73A0" w:rsidRPr="007E3B4E" w14:paraId="4F4C1B52" w14:textId="77777777" w:rsidTr="0043088E">
        <w:tc>
          <w:tcPr>
            <w:tcW w:w="2929" w:type="dxa"/>
            <w:tcBorders>
              <w:top w:val="single" w:sz="2" w:space="0" w:color="auto"/>
              <w:left w:val="single" w:sz="2" w:space="0" w:color="auto"/>
              <w:bottom w:val="single" w:sz="2" w:space="0" w:color="auto"/>
              <w:right w:val="single" w:sz="2" w:space="0" w:color="auto"/>
            </w:tcBorders>
          </w:tcPr>
          <w:p w14:paraId="0774F6A7" w14:textId="77777777" w:rsidR="00DB73A0" w:rsidRPr="007E3B4E" w:rsidRDefault="00DB73A0" w:rsidP="0043088E">
            <w:pPr>
              <w:pStyle w:val="NormalLeft"/>
            </w:pPr>
            <w:r w:rsidRPr="007E3B4E">
              <w:rPr>
                <w:rStyle w:val="CRDeleted"/>
              </w:rPr>
              <w:t>4. cikk, (1) bekezdés</w:t>
            </w:r>
          </w:p>
        </w:tc>
        <w:tc>
          <w:tcPr>
            <w:tcW w:w="4778" w:type="dxa"/>
            <w:tcBorders>
              <w:top w:val="single" w:sz="2" w:space="0" w:color="auto"/>
              <w:left w:val="single" w:sz="2" w:space="0" w:color="auto"/>
              <w:bottom w:val="single" w:sz="2" w:space="0" w:color="auto"/>
              <w:right w:val="single" w:sz="2" w:space="0" w:color="auto"/>
            </w:tcBorders>
          </w:tcPr>
          <w:p w14:paraId="2D27148C" w14:textId="77777777" w:rsidR="00DB73A0" w:rsidRPr="007E3B4E" w:rsidRDefault="00DB73A0" w:rsidP="0043088E">
            <w:pPr>
              <w:pStyle w:val="NormalLeft"/>
            </w:pPr>
            <w:r w:rsidRPr="007E3B4E">
              <w:rPr>
                <w:rStyle w:val="CRDeleted"/>
              </w:rPr>
              <w:t>II. melléklet, f) pont, első alpont</w:t>
            </w:r>
          </w:p>
        </w:tc>
      </w:tr>
      <w:tr w:rsidR="00DB73A0" w:rsidRPr="007E3B4E" w14:paraId="08ED8632" w14:textId="77777777" w:rsidTr="0043088E">
        <w:tc>
          <w:tcPr>
            <w:tcW w:w="2929" w:type="dxa"/>
            <w:tcBorders>
              <w:top w:val="single" w:sz="2" w:space="0" w:color="auto"/>
              <w:left w:val="single" w:sz="2" w:space="0" w:color="auto"/>
              <w:bottom w:val="single" w:sz="2" w:space="0" w:color="auto"/>
              <w:right w:val="single" w:sz="2" w:space="0" w:color="auto"/>
            </w:tcBorders>
          </w:tcPr>
          <w:p w14:paraId="35C0F82C" w14:textId="77777777" w:rsidR="00DB73A0" w:rsidRPr="007E3B4E" w:rsidRDefault="00DB73A0" w:rsidP="0043088E">
            <w:pPr>
              <w:pStyle w:val="NormalLeft"/>
            </w:pPr>
            <w:r w:rsidRPr="007E3B4E">
              <w:rPr>
                <w:rStyle w:val="CRDeleted"/>
              </w:rPr>
              <w:t>4. cikk, (2) bekezdés</w:t>
            </w:r>
          </w:p>
        </w:tc>
        <w:tc>
          <w:tcPr>
            <w:tcW w:w="4778" w:type="dxa"/>
            <w:tcBorders>
              <w:top w:val="single" w:sz="2" w:space="0" w:color="auto"/>
              <w:left w:val="single" w:sz="2" w:space="0" w:color="auto"/>
              <w:bottom w:val="single" w:sz="2" w:space="0" w:color="auto"/>
              <w:right w:val="single" w:sz="2" w:space="0" w:color="auto"/>
            </w:tcBorders>
          </w:tcPr>
          <w:p w14:paraId="46FD9297" w14:textId="77777777" w:rsidR="00DB73A0" w:rsidRPr="007E3B4E" w:rsidRDefault="00DB73A0" w:rsidP="0043088E">
            <w:pPr>
              <w:pStyle w:val="NormalLeft"/>
            </w:pPr>
            <w:r w:rsidRPr="007E3B4E">
              <w:rPr>
                <w:rStyle w:val="CRDeleted"/>
              </w:rPr>
              <w:t>14. cikk, (10) bekezdés, második albekezdés</w:t>
            </w:r>
          </w:p>
        </w:tc>
      </w:tr>
      <w:tr w:rsidR="00DB73A0" w:rsidRPr="007E3B4E" w14:paraId="0B282723" w14:textId="77777777" w:rsidTr="0043088E">
        <w:tc>
          <w:tcPr>
            <w:tcW w:w="2929" w:type="dxa"/>
            <w:tcBorders>
              <w:top w:val="single" w:sz="2" w:space="0" w:color="auto"/>
              <w:left w:val="single" w:sz="2" w:space="0" w:color="auto"/>
              <w:bottom w:val="single" w:sz="2" w:space="0" w:color="auto"/>
              <w:right w:val="single" w:sz="2" w:space="0" w:color="auto"/>
            </w:tcBorders>
          </w:tcPr>
          <w:p w14:paraId="1B41EFC0" w14:textId="77777777" w:rsidR="00DB73A0" w:rsidRPr="007E3B4E" w:rsidRDefault="00DB73A0" w:rsidP="0043088E">
            <w:pPr>
              <w:pStyle w:val="NormalLeft"/>
            </w:pPr>
            <w:r w:rsidRPr="007E3B4E">
              <w:rPr>
                <w:rStyle w:val="CRDeleted"/>
              </w:rPr>
              <w:t>4. cikk, (3) bekezdés</w:t>
            </w:r>
          </w:p>
        </w:tc>
        <w:tc>
          <w:tcPr>
            <w:tcW w:w="4778" w:type="dxa"/>
            <w:tcBorders>
              <w:top w:val="single" w:sz="2" w:space="0" w:color="auto"/>
              <w:left w:val="single" w:sz="2" w:space="0" w:color="auto"/>
              <w:bottom w:val="single" w:sz="2" w:space="0" w:color="auto"/>
              <w:right w:val="single" w:sz="2" w:space="0" w:color="auto"/>
            </w:tcBorders>
          </w:tcPr>
          <w:p w14:paraId="4B976C72" w14:textId="77777777" w:rsidR="00DB73A0" w:rsidRPr="007E3B4E" w:rsidRDefault="00DB73A0" w:rsidP="0043088E">
            <w:pPr>
              <w:pStyle w:val="NormalLeft"/>
            </w:pPr>
            <w:r w:rsidRPr="007E3B4E">
              <w:rPr>
                <w:rStyle w:val="CRDeleted"/>
              </w:rPr>
              <w:t>—</w:t>
            </w:r>
          </w:p>
        </w:tc>
      </w:tr>
      <w:tr w:rsidR="00DB73A0" w:rsidRPr="007E3B4E" w14:paraId="6CEEA0B7" w14:textId="77777777" w:rsidTr="0043088E">
        <w:tc>
          <w:tcPr>
            <w:tcW w:w="2929" w:type="dxa"/>
            <w:tcBorders>
              <w:top w:val="single" w:sz="2" w:space="0" w:color="auto"/>
              <w:left w:val="single" w:sz="2" w:space="0" w:color="auto"/>
              <w:bottom w:val="single" w:sz="2" w:space="0" w:color="auto"/>
              <w:right w:val="single" w:sz="2" w:space="0" w:color="auto"/>
            </w:tcBorders>
          </w:tcPr>
          <w:p w14:paraId="1E721567" w14:textId="77777777" w:rsidR="00DB73A0" w:rsidRPr="007E3B4E" w:rsidRDefault="00DB73A0" w:rsidP="0043088E">
            <w:pPr>
              <w:pStyle w:val="NormalLeft"/>
            </w:pPr>
            <w:r w:rsidRPr="007E3B4E">
              <w:rPr>
                <w:rStyle w:val="CRDeleted"/>
              </w:rPr>
              <w:t>5. cikk</w:t>
            </w:r>
          </w:p>
        </w:tc>
        <w:tc>
          <w:tcPr>
            <w:tcW w:w="4778" w:type="dxa"/>
            <w:tcBorders>
              <w:top w:val="single" w:sz="2" w:space="0" w:color="auto"/>
              <w:left w:val="single" w:sz="2" w:space="0" w:color="auto"/>
              <w:bottom w:val="single" w:sz="2" w:space="0" w:color="auto"/>
              <w:right w:val="single" w:sz="2" w:space="0" w:color="auto"/>
            </w:tcBorders>
          </w:tcPr>
          <w:p w14:paraId="19ABBFED" w14:textId="77777777" w:rsidR="00DB73A0" w:rsidRPr="007E3B4E" w:rsidRDefault="00DB73A0" w:rsidP="0043088E">
            <w:pPr>
              <w:pStyle w:val="NormalLeft"/>
            </w:pPr>
            <w:r w:rsidRPr="007E3B4E">
              <w:rPr>
                <w:rStyle w:val="CRDeleted"/>
              </w:rPr>
              <w:t>14. cikk, (10) bekezdés, első albekezdés és X. melléklet</w:t>
            </w:r>
          </w:p>
        </w:tc>
      </w:tr>
      <w:tr w:rsidR="00DB73A0" w:rsidRPr="007E3B4E" w14:paraId="3933C919" w14:textId="77777777" w:rsidTr="0043088E">
        <w:tc>
          <w:tcPr>
            <w:tcW w:w="2929" w:type="dxa"/>
            <w:tcBorders>
              <w:top w:val="single" w:sz="2" w:space="0" w:color="auto"/>
              <w:left w:val="single" w:sz="2" w:space="0" w:color="auto"/>
              <w:bottom w:val="single" w:sz="2" w:space="0" w:color="auto"/>
              <w:right w:val="single" w:sz="2" w:space="0" w:color="auto"/>
            </w:tcBorders>
          </w:tcPr>
          <w:p w14:paraId="19988079" w14:textId="77777777" w:rsidR="00DB73A0" w:rsidRPr="007E3B4E" w:rsidRDefault="00DB73A0" w:rsidP="0043088E">
            <w:pPr>
              <w:pStyle w:val="NormalLeft"/>
            </w:pPr>
            <w:r w:rsidRPr="007E3B4E">
              <w:rPr>
                <w:rStyle w:val="CRDeleted"/>
              </w:rPr>
              <w:t>6. cikk</w:t>
            </w:r>
          </w:p>
        </w:tc>
        <w:tc>
          <w:tcPr>
            <w:tcW w:w="4778" w:type="dxa"/>
            <w:tcBorders>
              <w:top w:val="single" w:sz="2" w:space="0" w:color="auto"/>
              <w:left w:val="single" w:sz="2" w:space="0" w:color="auto"/>
              <w:bottom w:val="single" w:sz="2" w:space="0" w:color="auto"/>
              <w:right w:val="single" w:sz="2" w:space="0" w:color="auto"/>
            </w:tcBorders>
          </w:tcPr>
          <w:p w14:paraId="0A855C54" w14:textId="77777777" w:rsidR="00DB73A0" w:rsidRPr="007E3B4E" w:rsidRDefault="00DB73A0" w:rsidP="0043088E">
            <w:pPr>
              <w:pStyle w:val="NormalLeft"/>
            </w:pPr>
            <w:r w:rsidRPr="007E3B4E">
              <w:rPr>
                <w:rStyle w:val="CRDeleted"/>
              </w:rPr>
              <w:t>14. cikk, (1) és (3) bekezdés, VIII. és IX. melléklet</w:t>
            </w:r>
          </w:p>
        </w:tc>
      </w:tr>
      <w:tr w:rsidR="00DB73A0" w:rsidRPr="007E3B4E" w14:paraId="0BBC1D45" w14:textId="77777777" w:rsidTr="0043088E">
        <w:tc>
          <w:tcPr>
            <w:tcW w:w="2929" w:type="dxa"/>
            <w:tcBorders>
              <w:top w:val="single" w:sz="2" w:space="0" w:color="auto"/>
              <w:left w:val="single" w:sz="2" w:space="0" w:color="auto"/>
              <w:bottom w:val="single" w:sz="2" w:space="0" w:color="auto"/>
              <w:right w:val="single" w:sz="2" w:space="0" w:color="auto"/>
            </w:tcBorders>
          </w:tcPr>
          <w:p w14:paraId="12B6A1F8" w14:textId="77777777" w:rsidR="00DB73A0" w:rsidRPr="007E3B4E" w:rsidRDefault="00DB73A0" w:rsidP="0043088E">
            <w:pPr>
              <w:pStyle w:val="NormalLeft"/>
            </w:pPr>
            <w:r w:rsidRPr="007E3B4E">
              <w:rPr>
                <w:rStyle w:val="CRDeleted"/>
              </w:rPr>
              <w:t>7. cikk, (1) bekezdés</w:t>
            </w:r>
          </w:p>
        </w:tc>
        <w:tc>
          <w:tcPr>
            <w:tcW w:w="4778" w:type="dxa"/>
            <w:tcBorders>
              <w:top w:val="single" w:sz="2" w:space="0" w:color="auto"/>
              <w:left w:val="single" w:sz="2" w:space="0" w:color="auto"/>
              <w:bottom w:val="single" w:sz="2" w:space="0" w:color="auto"/>
              <w:right w:val="single" w:sz="2" w:space="0" w:color="auto"/>
            </w:tcBorders>
          </w:tcPr>
          <w:p w14:paraId="0370716D" w14:textId="77777777" w:rsidR="00DB73A0" w:rsidRPr="007E3B4E" w:rsidRDefault="00DB73A0" w:rsidP="0043088E">
            <w:pPr>
              <w:pStyle w:val="NormalLeft"/>
            </w:pPr>
            <w:r w:rsidRPr="007E3B4E">
              <w:rPr>
                <w:rStyle w:val="CRDeleted"/>
              </w:rPr>
              <w:t>14. cikk, (11) bekezdés</w:t>
            </w:r>
          </w:p>
        </w:tc>
      </w:tr>
      <w:tr w:rsidR="00DB73A0" w:rsidRPr="007E3B4E" w14:paraId="545F9570" w14:textId="77777777" w:rsidTr="0043088E">
        <w:tc>
          <w:tcPr>
            <w:tcW w:w="2929" w:type="dxa"/>
            <w:tcBorders>
              <w:top w:val="single" w:sz="2" w:space="0" w:color="auto"/>
              <w:left w:val="single" w:sz="2" w:space="0" w:color="auto"/>
              <w:bottom w:val="single" w:sz="2" w:space="0" w:color="auto"/>
              <w:right w:val="single" w:sz="2" w:space="0" w:color="auto"/>
            </w:tcBorders>
          </w:tcPr>
          <w:p w14:paraId="4ABB9C29" w14:textId="77777777" w:rsidR="00DB73A0" w:rsidRPr="007E3B4E" w:rsidRDefault="00DB73A0" w:rsidP="0043088E">
            <w:pPr>
              <w:pStyle w:val="NormalLeft"/>
            </w:pPr>
            <w:r w:rsidRPr="007E3B4E">
              <w:rPr>
                <w:rStyle w:val="CRDeleted"/>
              </w:rPr>
              <w:t>7. cikk, (2) és (3) bekezdés</w:t>
            </w:r>
          </w:p>
        </w:tc>
        <w:tc>
          <w:tcPr>
            <w:tcW w:w="4778" w:type="dxa"/>
            <w:tcBorders>
              <w:top w:val="single" w:sz="2" w:space="0" w:color="auto"/>
              <w:left w:val="single" w:sz="2" w:space="0" w:color="auto"/>
              <w:bottom w:val="single" w:sz="2" w:space="0" w:color="auto"/>
              <w:right w:val="single" w:sz="2" w:space="0" w:color="auto"/>
            </w:tcBorders>
          </w:tcPr>
          <w:p w14:paraId="1A629E4C" w14:textId="77777777" w:rsidR="00DB73A0" w:rsidRPr="007E3B4E" w:rsidRDefault="00DB73A0" w:rsidP="0043088E">
            <w:pPr>
              <w:pStyle w:val="NormalLeft"/>
            </w:pPr>
            <w:r w:rsidRPr="007E3B4E">
              <w:rPr>
                <w:rStyle w:val="CRDeleted"/>
              </w:rPr>
              <w:t>—</w:t>
            </w:r>
          </w:p>
        </w:tc>
      </w:tr>
      <w:tr w:rsidR="00DB73A0" w:rsidRPr="007E3B4E" w14:paraId="66C7AF14" w14:textId="77777777" w:rsidTr="0043088E">
        <w:tc>
          <w:tcPr>
            <w:tcW w:w="2929" w:type="dxa"/>
            <w:tcBorders>
              <w:top w:val="single" w:sz="2" w:space="0" w:color="auto"/>
              <w:left w:val="single" w:sz="2" w:space="0" w:color="auto"/>
              <w:bottom w:val="single" w:sz="2" w:space="0" w:color="auto"/>
              <w:right w:val="single" w:sz="2" w:space="0" w:color="auto"/>
            </w:tcBorders>
          </w:tcPr>
          <w:p w14:paraId="71F4BCA1" w14:textId="77777777" w:rsidR="00DB73A0" w:rsidRPr="007E3B4E" w:rsidRDefault="00DB73A0" w:rsidP="0043088E">
            <w:pPr>
              <w:pStyle w:val="NormalLeft"/>
            </w:pPr>
            <w:r w:rsidRPr="007E3B4E">
              <w:rPr>
                <w:rStyle w:val="CRDeleted"/>
              </w:rPr>
              <w:t>8. cikk</w:t>
            </w:r>
          </w:p>
        </w:tc>
        <w:tc>
          <w:tcPr>
            <w:tcW w:w="4778" w:type="dxa"/>
            <w:tcBorders>
              <w:top w:val="single" w:sz="2" w:space="0" w:color="auto"/>
              <w:left w:val="single" w:sz="2" w:space="0" w:color="auto"/>
              <w:bottom w:val="single" w:sz="2" w:space="0" w:color="auto"/>
              <w:right w:val="single" w:sz="2" w:space="0" w:color="auto"/>
            </w:tcBorders>
          </w:tcPr>
          <w:p w14:paraId="54F56F9D" w14:textId="77777777" w:rsidR="00DB73A0" w:rsidRPr="007E3B4E" w:rsidRDefault="00DB73A0" w:rsidP="0043088E">
            <w:pPr>
              <w:pStyle w:val="NormalLeft"/>
            </w:pPr>
            <w:r w:rsidRPr="007E3B4E">
              <w:rPr>
                <w:rStyle w:val="CRDeleted"/>
              </w:rPr>
              <w:t>15. cikk, (5) bekezdés</w:t>
            </w:r>
          </w:p>
        </w:tc>
      </w:tr>
      <w:tr w:rsidR="00DB73A0" w:rsidRPr="007E3B4E" w14:paraId="4B26B1FF" w14:textId="77777777" w:rsidTr="0043088E">
        <w:tc>
          <w:tcPr>
            <w:tcW w:w="2929" w:type="dxa"/>
            <w:tcBorders>
              <w:top w:val="single" w:sz="2" w:space="0" w:color="auto"/>
              <w:left w:val="single" w:sz="2" w:space="0" w:color="auto"/>
              <w:bottom w:val="single" w:sz="2" w:space="0" w:color="auto"/>
              <w:right w:val="single" w:sz="2" w:space="0" w:color="auto"/>
            </w:tcBorders>
          </w:tcPr>
          <w:p w14:paraId="15947254" w14:textId="77777777" w:rsidR="00DB73A0" w:rsidRPr="007E3B4E" w:rsidRDefault="00DB73A0" w:rsidP="0043088E">
            <w:pPr>
              <w:pStyle w:val="NormalLeft"/>
            </w:pPr>
            <w:r w:rsidRPr="007E3B4E">
              <w:rPr>
                <w:rStyle w:val="CRDeleted"/>
              </w:rPr>
              <w:t>—</w:t>
            </w:r>
          </w:p>
        </w:tc>
        <w:tc>
          <w:tcPr>
            <w:tcW w:w="4778" w:type="dxa"/>
            <w:tcBorders>
              <w:top w:val="single" w:sz="2" w:space="0" w:color="auto"/>
              <w:left w:val="single" w:sz="2" w:space="0" w:color="auto"/>
              <w:bottom w:val="single" w:sz="2" w:space="0" w:color="auto"/>
              <w:right w:val="single" w:sz="2" w:space="0" w:color="auto"/>
            </w:tcBorders>
          </w:tcPr>
          <w:p w14:paraId="7AF2AEBE" w14:textId="77777777" w:rsidR="00DB73A0" w:rsidRPr="007E3B4E" w:rsidRDefault="00DB73A0" w:rsidP="0043088E">
            <w:pPr>
              <w:pStyle w:val="NormalLeft"/>
            </w:pPr>
            <w:r w:rsidRPr="007E3B4E">
              <w:rPr>
                <w:rStyle w:val="CRDeleted"/>
              </w:rPr>
              <w:t>15. cikk, (6), (7), (8) és (9) bekezdés</w:t>
            </w:r>
          </w:p>
        </w:tc>
      </w:tr>
      <w:tr w:rsidR="00DB73A0" w:rsidRPr="007E3B4E" w14:paraId="25A98F3D" w14:textId="77777777" w:rsidTr="0043088E">
        <w:tc>
          <w:tcPr>
            <w:tcW w:w="2929" w:type="dxa"/>
            <w:tcBorders>
              <w:top w:val="single" w:sz="2" w:space="0" w:color="auto"/>
              <w:left w:val="single" w:sz="2" w:space="0" w:color="auto"/>
              <w:bottom w:val="single" w:sz="2" w:space="0" w:color="auto"/>
              <w:right w:val="single" w:sz="2" w:space="0" w:color="auto"/>
            </w:tcBorders>
          </w:tcPr>
          <w:p w14:paraId="268770F5" w14:textId="77777777" w:rsidR="00DB73A0" w:rsidRPr="007E3B4E" w:rsidRDefault="00DB73A0" w:rsidP="0043088E">
            <w:pPr>
              <w:pStyle w:val="NormalLeft"/>
            </w:pPr>
            <w:r w:rsidRPr="007E3B4E">
              <w:rPr>
                <w:rStyle w:val="CRDeleted"/>
              </w:rPr>
              <w:t>9. cikk</w:t>
            </w:r>
          </w:p>
        </w:tc>
        <w:tc>
          <w:tcPr>
            <w:tcW w:w="4778" w:type="dxa"/>
            <w:tcBorders>
              <w:top w:val="single" w:sz="2" w:space="0" w:color="auto"/>
              <w:left w:val="single" w:sz="2" w:space="0" w:color="auto"/>
              <w:bottom w:val="single" w:sz="2" w:space="0" w:color="auto"/>
              <w:right w:val="single" w:sz="2" w:space="0" w:color="auto"/>
            </w:tcBorders>
          </w:tcPr>
          <w:p w14:paraId="3505415E" w14:textId="77777777" w:rsidR="00DB73A0" w:rsidRPr="007E3B4E" w:rsidRDefault="00DB73A0" w:rsidP="0043088E">
            <w:pPr>
              <w:pStyle w:val="NormalLeft"/>
            </w:pPr>
            <w:r w:rsidRPr="007E3B4E">
              <w:rPr>
                <w:rStyle w:val="CRDeleted"/>
              </w:rPr>
              <w:t>—</w:t>
            </w:r>
          </w:p>
        </w:tc>
      </w:tr>
      <w:tr w:rsidR="00DB73A0" w:rsidRPr="007E3B4E" w14:paraId="7C1B0AB2" w14:textId="77777777" w:rsidTr="0043088E">
        <w:tc>
          <w:tcPr>
            <w:tcW w:w="2929" w:type="dxa"/>
            <w:tcBorders>
              <w:top w:val="single" w:sz="2" w:space="0" w:color="auto"/>
              <w:left w:val="single" w:sz="2" w:space="0" w:color="auto"/>
              <w:bottom w:val="single" w:sz="2" w:space="0" w:color="auto"/>
              <w:right w:val="single" w:sz="2" w:space="0" w:color="auto"/>
            </w:tcBorders>
          </w:tcPr>
          <w:p w14:paraId="74E8D3B3" w14:textId="77777777" w:rsidR="00DB73A0" w:rsidRPr="007E3B4E" w:rsidRDefault="00DB73A0" w:rsidP="0043088E">
            <w:pPr>
              <w:pStyle w:val="NormalLeft"/>
            </w:pPr>
            <w:r w:rsidRPr="007E3B4E">
              <w:rPr>
                <w:rStyle w:val="CRDeleted"/>
              </w:rPr>
              <w:t>10. cikk, (1) és (2) bekezdés</w:t>
            </w:r>
          </w:p>
        </w:tc>
        <w:tc>
          <w:tcPr>
            <w:tcW w:w="4778" w:type="dxa"/>
            <w:tcBorders>
              <w:top w:val="single" w:sz="2" w:space="0" w:color="auto"/>
              <w:left w:val="single" w:sz="2" w:space="0" w:color="auto"/>
              <w:bottom w:val="single" w:sz="2" w:space="0" w:color="auto"/>
              <w:right w:val="single" w:sz="2" w:space="0" w:color="auto"/>
            </w:tcBorders>
          </w:tcPr>
          <w:p w14:paraId="230E713E" w14:textId="77777777" w:rsidR="00DB73A0" w:rsidRPr="007E3B4E" w:rsidRDefault="00DB73A0" w:rsidP="0043088E">
            <w:pPr>
              <w:pStyle w:val="NormalLeft"/>
            </w:pPr>
            <w:r w:rsidRPr="007E3B4E">
              <w:rPr>
                <w:rStyle w:val="CRDeleted"/>
              </w:rPr>
              <w:t>14. cikk, (1) bekezdés és 24. cikk, (2) bekezdés, XIV. melléklet, 2. rész</w:t>
            </w:r>
          </w:p>
        </w:tc>
      </w:tr>
      <w:tr w:rsidR="00DB73A0" w:rsidRPr="007E3B4E" w14:paraId="6720F187" w14:textId="77777777" w:rsidTr="0043088E">
        <w:tc>
          <w:tcPr>
            <w:tcW w:w="2929" w:type="dxa"/>
            <w:tcBorders>
              <w:top w:val="single" w:sz="2" w:space="0" w:color="auto"/>
              <w:left w:val="single" w:sz="2" w:space="0" w:color="auto"/>
              <w:bottom w:val="single" w:sz="2" w:space="0" w:color="auto"/>
              <w:right w:val="single" w:sz="2" w:space="0" w:color="auto"/>
            </w:tcBorders>
          </w:tcPr>
          <w:p w14:paraId="34765131" w14:textId="77777777" w:rsidR="00DB73A0" w:rsidRPr="007E3B4E" w:rsidRDefault="00DB73A0" w:rsidP="0043088E">
            <w:pPr>
              <w:pStyle w:val="NormalLeft"/>
            </w:pPr>
            <w:r w:rsidRPr="007E3B4E">
              <w:rPr>
                <w:rStyle w:val="CRDeleted"/>
              </w:rPr>
              <w:t>10. cikk, (3) bekezdés</w:t>
            </w:r>
          </w:p>
        </w:tc>
        <w:tc>
          <w:tcPr>
            <w:tcW w:w="4778" w:type="dxa"/>
            <w:tcBorders>
              <w:top w:val="single" w:sz="2" w:space="0" w:color="auto"/>
              <w:left w:val="single" w:sz="2" w:space="0" w:color="auto"/>
              <w:bottom w:val="single" w:sz="2" w:space="0" w:color="auto"/>
              <w:right w:val="single" w:sz="2" w:space="0" w:color="auto"/>
            </w:tcBorders>
          </w:tcPr>
          <w:p w14:paraId="3A158876" w14:textId="77777777" w:rsidR="00DB73A0" w:rsidRPr="007E3B4E" w:rsidRDefault="00DB73A0" w:rsidP="0043088E">
            <w:pPr>
              <w:pStyle w:val="NormalLeft"/>
            </w:pPr>
            <w:r w:rsidRPr="007E3B4E">
              <w:rPr>
                <w:rStyle w:val="CRDeleted"/>
              </w:rPr>
              <w:t>24. cikk, (6) bekezdés</w:t>
            </w:r>
          </w:p>
        </w:tc>
      </w:tr>
      <w:tr w:rsidR="00DB73A0" w:rsidRPr="007E3B4E" w14:paraId="1B55C95E" w14:textId="77777777" w:rsidTr="0043088E">
        <w:tc>
          <w:tcPr>
            <w:tcW w:w="2929" w:type="dxa"/>
            <w:tcBorders>
              <w:top w:val="single" w:sz="2" w:space="0" w:color="auto"/>
              <w:left w:val="single" w:sz="2" w:space="0" w:color="auto"/>
              <w:bottom w:val="single" w:sz="2" w:space="0" w:color="auto"/>
              <w:right w:val="single" w:sz="2" w:space="0" w:color="auto"/>
            </w:tcBorders>
          </w:tcPr>
          <w:p w14:paraId="75DEC000" w14:textId="77777777" w:rsidR="00DB73A0" w:rsidRPr="007E3B4E" w:rsidRDefault="00DB73A0" w:rsidP="0043088E">
            <w:pPr>
              <w:pStyle w:val="NormalLeft"/>
            </w:pPr>
            <w:r w:rsidRPr="007E3B4E">
              <w:rPr>
                <w:rStyle w:val="CRDeleted"/>
              </w:rPr>
              <w:t>11. cikk</w:t>
            </w:r>
          </w:p>
        </w:tc>
        <w:tc>
          <w:tcPr>
            <w:tcW w:w="4778" w:type="dxa"/>
            <w:tcBorders>
              <w:top w:val="single" w:sz="2" w:space="0" w:color="auto"/>
              <w:left w:val="single" w:sz="2" w:space="0" w:color="auto"/>
              <w:bottom w:val="single" w:sz="2" w:space="0" w:color="auto"/>
              <w:right w:val="single" w:sz="2" w:space="0" w:color="auto"/>
            </w:tcBorders>
          </w:tcPr>
          <w:p w14:paraId="7D78B8C8" w14:textId="77777777" w:rsidR="00DB73A0" w:rsidRPr="007E3B4E" w:rsidRDefault="00DB73A0" w:rsidP="0043088E">
            <w:pPr>
              <w:pStyle w:val="NormalLeft"/>
            </w:pPr>
            <w:r w:rsidRPr="007E3B4E">
              <w:rPr>
                <w:rStyle w:val="CRDeleted"/>
              </w:rPr>
              <w:t>24. cikk, (3) bekezdés</w:t>
            </w:r>
          </w:p>
        </w:tc>
      </w:tr>
      <w:tr w:rsidR="00DB73A0" w:rsidRPr="007E3B4E" w14:paraId="03D14584" w14:textId="77777777" w:rsidTr="0043088E">
        <w:tc>
          <w:tcPr>
            <w:tcW w:w="2929" w:type="dxa"/>
            <w:tcBorders>
              <w:top w:val="single" w:sz="2" w:space="0" w:color="auto"/>
              <w:left w:val="single" w:sz="2" w:space="0" w:color="auto"/>
              <w:bottom w:val="single" w:sz="2" w:space="0" w:color="auto"/>
              <w:right w:val="single" w:sz="2" w:space="0" w:color="auto"/>
            </w:tcBorders>
          </w:tcPr>
          <w:p w14:paraId="451AE69A" w14:textId="77777777" w:rsidR="00DB73A0" w:rsidRPr="007E3B4E" w:rsidRDefault="00DB73A0" w:rsidP="0043088E">
            <w:pPr>
              <w:pStyle w:val="NormalLeft"/>
            </w:pPr>
            <w:r w:rsidRPr="007E3B4E">
              <w:rPr>
                <w:rStyle w:val="CRDeleted"/>
              </w:rPr>
              <w:t>—</w:t>
            </w:r>
          </w:p>
        </w:tc>
        <w:tc>
          <w:tcPr>
            <w:tcW w:w="4778" w:type="dxa"/>
            <w:tcBorders>
              <w:top w:val="single" w:sz="2" w:space="0" w:color="auto"/>
              <w:left w:val="single" w:sz="2" w:space="0" w:color="auto"/>
              <w:bottom w:val="single" w:sz="2" w:space="0" w:color="auto"/>
              <w:right w:val="single" w:sz="2" w:space="0" w:color="auto"/>
            </w:tcBorders>
          </w:tcPr>
          <w:p w14:paraId="340D786A" w14:textId="77777777" w:rsidR="00DB73A0" w:rsidRPr="007E3B4E" w:rsidRDefault="00DB73A0" w:rsidP="0043088E">
            <w:pPr>
              <w:pStyle w:val="NormalLeft"/>
            </w:pPr>
            <w:r w:rsidRPr="007E3B4E">
              <w:rPr>
                <w:rStyle w:val="CRDeleted"/>
              </w:rPr>
              <w:t>24. cikk, (5) bekezdés</w:t>
            </w:r>
          </w:p>
        </w:tc>
      </w:tr>
      <w:tr w:rsidR="00DB73A0" w:rsidRPr="007E3B4E" w14:paraId="177E6132" w14:textId="77777777" w:rsidTr="0043088E">
        <w:tc>
          <w:tcPr>
            <w:tcW w:w="2929" w:type="dxa"/>
            <w:tcBorders>
              <w:top w:val="single" w:sz="2" w:space="0" w:color="auto"/>
              <w:left w:val="single" w:sz="2" w:space="0" w:color="auto"/>
              <w:bottom w:val="single" w:sz="2" w:space="0" w:color="auto"/>
              <w:right w:val="single" w:sz="2" w:space="0" w:color="auto"/>
            </w:tcBorders>
          </w:tcPr>
          <w:p w14:paraId="0E64859D" w14:textId="77777777" w:rsidR="00DB73A0" w:rsidRPr="007E3B4E" w:rsidRDefault="00DB73A0" w:rsidP="0043088E">
            <w:pPr>
              <w:pStyle w:val="NormalLeft"/>
            </w:pPr>
            <w:r w:rsidRPr="007E3B4E">
              <w:rPr>
                <w:rStyle w:val="CRDeleted"/>
              </w:rPr>
              <w:t>12. cikk, (1) és (3) bekezdés</w:t>
            </w:r>
          </w:p>
        </w:tc>
        <w:tc>
          <w:tcPr>
            <w:tcW w:w="4778" w:type="dxa"/>
            <w:tcBorders>
              <w:top w:val="single" w:sz="2" w:space="0" w:color="auto"/>
              <w:left w:val="single" w:sz="2" w:space="0" w:color="auto"/>
              <w:bottom w:val="single" w:sz="2" w:space="0" w:color="auto"/>
              <w:right w:val="single" w:sz="2" w:space="0" w:color="auto"/>
            </w:tcBorders>
          </w:tcPr>
          <w:p w14:paraId="41669567" w14:textId="77777777" w:rsidR="00DB73A0" w:rsidRPr="007E3B4E" w:rsidRDefault="00DB73A0" w:rsidP="0043088E">
            <w:pPr>
              <w:pStyle w:val="NormalLeft"/>
            </w:pPr>
            <w:r w:rsidRPr="007E3B4E">
              <w:rPr>
                <w:rStyle w:val="CRDeleted"/>
              </w:rPr>
              <w:t>—</w:t>
            </w:r>
          </w:p>
        </w:tc>
      </w:tr>
      <w:tr w:rsidR="00DB73A0" w:rsidRPr="007E3B4E" w14:paraId="2BFCF65B" w14:textId="77777777" w:rsidTr="0043088E">
        <w:tc>
          <w:tcPr>
            <w:tcW w:w="2929" w:type="dxa"/>
            <w:tcBorders>
              <w:top w:val="single" w:sz="2" w:space="0" w:color="auto"/>
              <w:left w:val="single" w:sz="2" w:space="0" w:color="auto"/>
              <w:bottom w:val="single" w:sz="2" w:space="0" w:color="auto"/>
              <w:right w:val="single" w:sz="2" w:space="0" w:color="auto"/>
            </w:tcBorders>
          </w:tcPr>
          <w:p w14:paraId="6663674B" w14:textId="77777777" w:rsidR="00DB73A0" w:rsidRPr="007E3B4E" w:rsidRDefault="00DB73A0" w:rsidP="0043088E">
            <w:pPr>
              <w:pStyle w:val="NormalLeft"/>
            </w:pPr>
            <w:r w:rsidRPr="007E3B4E">
              <w:rPr>
                <w:rStyle w:val="CRDeleted"/>
              </w:rPr>
              <w:t>12. cikk, (2) bekezdés</w:t>
            </w:r>
          </w:p>
        </w:tc>
        <w:tc>
          <w:tcPr>
            <w:tcW w:w="4778" w:type="dxa"/>
            <w:tcBorders>
              <w:top w:val="single" w:sz="2" w:space="0" w:color="auto"/>
              <w:left w:val="single" w:sz="2" w:space="0" w:color="auto"/>
              <w:bottom w:val="single" w:sz="2" w:space="0" w:color="auto"/>
              <w:right w:val="single" w:sz="2" w:space="0" w:color="auto"/>
            </w:tcBorders>
          </w:tcPr>
          <w:p w14:paraId="0E7EA7ED" w14:textId="77777777" w:rsidR="00DB73A0" w:rsidRPr="007E3B4E" w:rsidRDefault="00DB73A0" w:rsidP="0043088E">
            <w:pPr>
              <w:pStyle w:val="NormalLeft"/>
            </w:pPr>
            <w:r w:rsidRPr="007E3B4E">
              <w:rPr>
                <w:rStyle w:val="CRDeleted"/>
              </w:rPr>
              <w:t>II. melléklet c) pont</w:t>
            </w:r>
          </w:p>
        </w:tc>
      </w:tr>
      <w:tr w:rsidR="00DB73A0" w:rsidRPr="007E3B4E" w14:paraId="4CFC3600" w14:textId="77777777" w:rsidTr="0043088E">
        <w:tc>
          <w:tcPr>
            <w:tcW w:w="2929" w:type="dxa"/>
            <w:tcBorders>
              <w:top w:val="single" w:sz="2" w:space="0" w:color="auto"/>
              <w:left w:val="single" w:sz="2" w:space="0" w:color="auto"/>
              <w:bottom w:val="single" w:sz="2" w:space="0" w:color="auto"/>
              <w:right w:val="single" w:sz="2" w:space="0" w:color="auto"/>
            </w:tcBorders>
          </w:tcPr>
          <w:p w14:paraId="2283D0EF" w14:textId="77777777" w:rsidR="00DB73A0" w:rsidRPr="007E3B4E" w:rsidRDefault="00DB73A0" w:rsidP="0043088E">
            <w:pPr>
              <w:pStyle w:val="NormalLeft"/>
            </w:pPr>
            <w:r w:rsidRPr="007E3B4E">
              <w:rPr>
                <w:rStyle w:val="CRDeleted"/>
              </w:rPr>
              <w:t>13. cikk</w:t>
            </w:r>
          </w:p>
        </w:tc>
        <w:tc>
          <w:tcPr>
            <w:tcW w:w="4778" w:type="dxa"/>
            <w:tcBorders>
              <w:top w:val="single" w:sz="2" w:space="0" w:color="auto"/>
              <w:left w:val="single" w:sz="2" w:space="0" w:color="auto"/>
              <w:bottom w:val="single" w:sz="2" w:space="0" w:color="auto"/>
              <w:right w:val="single" w:sz="2" w:space="0" w:color="auto"/>
            </w:tcBorders>
          </w:tcPr>
          <w:p w14:paraId="35F32C6E" w14:textId="77777777" w:rsidR="00DB73A0" w:rsidRPr="007E3B4E" w:rsidRDefault="00DB73A0" w:rsidP="0043088E">
            <w:pPr>
              <w:pStyle w:val="NormalLeft"/>
            </w:pPr>
            <w:r w:rsidRPr="007E3B4E">
              <w:rPr>
                <w:rStyle w:val="CRDeleted"/>
              </w:rPr>
              <w:t>22. cikk, (2) bekezdés</w:t>
            </w:r>
          </w:p>
        </w:tc>
      </w:tr>
      <w:tr w:rsidR="00DB73A0" w:rsidRPr="007E3B4E" w14:paraId="3761C162" w14:textId="77777777" w:rsidTr="0043088E">
        <w:tc>
          <w:tcPr>
            <w:tcW w:w="2929" w:type="dxa"/>
            <w:tcBorders>
              <w:top w:val="single" w:sz="2" w:space="0" w:color="auto"/>
              <w:left w:val="single" w:sz="2" w:space="0" w:color="auto"/>
              <w:bottom w:val="single" w:sz="2" w:space="0" w:color="auto"/>
              <w:right w:val="single" w:sz="2" w:space="0" w:color="auto"/>
            </w:tcBorders>
          </w:tcPr>
          <w:p w14:paraId="02B08721" w14:textId="77777777" w:rsidR="00DB73A0" w:rsidRPr="007E3B4E" w:rsidRDefault="00DB73A0" w:rsidP="0043088E">
            <w:pPr>
              <w:pStyle w:val="NormalLeft"/>
            </w:pPr>
            <w:r w:rsidRPr="007E3B4E">
              <w:rPr>
                <w:rStyle w:val="CRDeleted"/>
              </w:rPr>
              <w:t>14. cikk</w:t>
            </w:r>
          </w:p>
        </w:tc>
        <w:tc>
          <w:tcPr>
            <w:tcW w:w="4778" w:type="dxa"/>
            <w:tcBorders>
              <w:top w:val="single" w:sz="2" w:space="0" w:color="auto"/>
              <w:left w:val="single" w:sz="2" w:space="0" w:color="auto"/>
              <w:bottom w:val="single" w:sz="2" w:space="0" w:color="auto"/>
              <w:right w:val="single" w:sz="2" w:space="0" w:color="auto"/>
            </w:tcBorders>
          </w:tcPr>
          <w:p w14:paraId="493CAA65" w14:textId="77777777" w:rsidR="00DB73A0" w:rsidRPr="007E3B4E" w:rsidRDefault="00DB73A0" w:rsidP="0043088E">
            <w:pPr>
              <w:pStyle w:val="NormalLeft"/>
            </w:pPr>
            <w:r w:rsidRPr="007E3B4E">
              <w:rPr>
                <w:rStyle w:val="CRDeleted"/>
              </w:rPr>
              <w:t>—</w:t>
            </w:r>
          </w:p>
        </w:tc>
      </w:tr>
      <w:tr w:rsidR="00DB73A0" w:rsidRPr="007E3B4E" w14:paraId="6DCD1865" w14:textId="77777777" w:rsidTr="0043088E">
        <w:tc>
          <w:tcPr>
            <w:tcW w:w="2929" w:type="dxa"/>
            <w:tcBorders>
              <w:top w:val="single" w:sz="2" w:space="0" w:color="auto"/>
              <w:left w:val="single" w:sz="2" w:space="0" w:color="auto"/>
              <w:bottom w:val="single" w:sz="2" w:space="0" w:color="auto"/>
              <w:right w:val="single" w:sz="2" w:space="0" w:color="auto"/>
            </w:tcBorders>
          </w:tcPr>
          <w:p w14:paraId="3C448B2B" w14:textId="77777777" w:rsidR="00DB73A0" w:rsidRPr="007E3B4E" w:rsidRDefault="00DB73A0" w:rsidP="0043088E">
            <w:pPr>
              <w:pStyle w:val="NormalLeft"/>
            </w:pPr>
            <w:r w:rsidRPr="007E3B4E">
              <w:rPr>
                <w:rStyle w:val="CRDeleted"/>
              </w:rPr>
              <w:t>15. cikk</w:t>
            </w:r>
          </w:p>
        </w:tc>
        <w:tc>
          <w:tcPr>
            <w:tcW w:w="4778" w:type="dxa"/>
            <w:tcBorders>
              <w:top w:val="single" w:sz="2" w:space="0" w:color="auto"/>
              <w:left w:val="single" w:sz="2" w:space="0" w:color="auto"/>
              <w:bottom w:val="single" w:sz="2" w:space="0" w:color="auto"/>
              <w:right w:val="single" w:sz="2" w:space="0" w:color="auto"/>
            </w:tcBorders>
          </w:tcPr>
          <w:p w14:paraId="2C9BBDCC" w14:textId="77777777" w:rsidR="00DB73A0" w:rsidRPr="007E3B4E" w:rsidRDefault="00DB73A0" w:rsidP="0043088E">
            <w:pPr>
              <w:pStyle w:val="NormalLeft"/>
            </w:pPr>
            <w:r w:rsidRPr="007E3B4E">
              <w:rPr>
                <w:rStyle w:val="CRDeleted"/>
              </w:rPr>
              <w:t>28. cikk</w:t>
            </w:r>
          </w:p>
        </w:tc>
      </w:tr>
      <w:tr w:rsidR="00DB73A0" w:rsidRPr="007E3B4E" w14:paraId="738BE5BF" w14:textId="77777777" w:rsidTr="0043088E">
        <w:tc>
          <w:tcPr>
            <w:tcW w:w="2929" w:type="dxa"/>
            <w:tcBorders>
              <w:top w:val="single" w:sz="2" w:space="0" w:color="auto"/>
              <w:left w:val="single" w:sz="2" w:space="0" w:color="auto"/>
              <w:bottom w:val="single" w:sz="2" w:space="0" w:color="auto"/>
              <w:right w:val="single" w:sz="2" w:space="0" w:color="auto"/>
            </w:tcBorders>
          </w:tcPr>
          <w:p w14:paraId="702DB9FF" w14:textId="77777777" w:rsidR="00DB73A0" w:rsidRPr="007E3B4E" w:rsidRDefault="00DB73A0" w:rsidP="0043088E">
            <w:pPr>
              <w:pStyle w:val="NormalLeft"/>
            </w:pPr>
            <w:r w:rsidRPr="007E3B4E">
              <w:rPr>
                <w:rStyle w:val="CRDeleted"/>
              </w:rPr>
              <w:t>16. cikk</w:t>
            </w:r>
          </w:p>
        </w:tc>
        <w:tc>
          <w:tcPr>
            <w:tcW w:w="4778" w:type="dxa"/>
            <w:tcBorders>
              <w:top w:val="single" w:sz="2" w:space="0" w:color="auto"/>
              <w:left w:val="single" w:sz="2" w:space="0" w:color="auto"/>
              <w:bottom w:val="single" w:sz="2" w:space="0" w:color="auto"/>
              <w:right w:val="single" w:sz="2" w:space="0" w:color="auto"/>
            </w:tcBorders>
          </w:tcPr>
          <w:p w14:paraId="25456DA4" w14:textId="77777777" w:rsidR="00DB73A0" w:rsidRPr="007E3B4E" w:rsidRDefault="00DB73A0" w:rsidP="0043088E">
            <w:pPr>
              <w:pStyle w:val="NormalLeft"/>
            </w:pPr>
            <w:r w:rsidRPr="007E3B4E">
              <w:rPr>
                <w:rStyle w:val="CRDeleted"/>
              </w:rPr>
              <w:t>—</w:t>
            </w:r>
          </w:p>
        </w:tc>
      </w:tr>
      <w:tr w:rsidR="00DB73A0" w:rsidRPr="007E3B4E" w14:paraId="2D2B1B07" w14:textId="77777777" w:rsidTr="0043088E">
        <w:tc>
          <w:tcPr>
            <w:tcW w:w="2929" w:type="dxa"/>
            <w:tcBorders>
              <w:top w:val="single" w:sz="2" w:space="0" w:color="auto"/>
              <w:left w:val="single" w:sz="2" w:space="0" w:color="auto"/>
              <w:bottom w:val="single" w:sz="2" w:space="0" w:color="auto"/>
              <w:right w:val="single" w:sz="2" w:space="0" w:color="auto"/>
            </w:tcBorders>
          </w:tcPr>
          <w:p w14:paraId="58F9C0EE" w14:textId="77777777" w:rsidR="00DB73A0" w:rsidRPr="007E3B4E" w:rsidRDefault="00DB73A0" w:rsidP="0043088E">
            <w:pPr>
              <w:pStyle w:val="NormalLeft"/>
            </w:pPr>
            <w:r w:rsidRPr="007E3B4E">
              <w:rPr>
                <w:rStyle w:val="CRDeleted"/>
              </w:rPr>
              <w:t>17. cikk</w:t>
            </w:r>
          </w:p>
        </w:tc>
        <w:tc>
          <w:tcPr>
            <w:tcW w:w="4778" w:type="dxa"/>
            <w:tcBorders>
              <w:top w:val="single" w:sz="2" w:space="0" w:color="auto"/>
              <w:left w:val="single" w:sz="2" w:space="0" w:color="auto"/>
              <w:bottom w:val="single" w:sz="2" w:space="0" w:color="auto"/>
              <w:right w:val="single" w:sz="2" w:space="0" w:color="auto"/>
            </w:tcBorders>
          </w:tcPr>
          <w:p w14:paraId="006B3DB6" w14:textId="77777777" w:rsidR="00DB73A0" w:rsidRPr="007E3B4E" w:rsidRDefault="00DB73A0" w:rsidP="0043088E">
            <w:pPr>
              <w:pStyle w:val="NormalLeft"/>
            </w:pPr>
            <w:r w:rsidRPr="007E3B4E">
              <w:rPr>
                <w:rStyle w:val="CRDeleted"/>
              </w:rPr>
              <w:t>29. cikk</w:t>
            </w:r>
          </w:p>
        </w:tc>
      </w:tr>
      <w:tr w:rsidR="00DB73A0" w:rsidRPr="007E3B4E" w14:paraId="42F14033" w14:textId="77777777" w:rsidTr="0043088E">
        <w:tc>
          <w:tcPr>
            <w:tcW w:w="2929" w:type="dxa"/>
            <w:tcBorders>
              <w:top w:val="single" w:sz="2" w:space="0" w:color="auto"/>
              <w:left w:val="single" w:sz="2" w:space="0" w:color="auto"/>
              <w:bottom w:val="single" w:sz="2" w:space="0" w:color="auto"/>
              <w:right w:val="single" w:sz="2" w:space="0" w:color="auto"/>
            </w:tcBorders>
          </w:tcPr>
          <w:p w14:paraId="69B89FF4" w14:textId="77777777" w:rsidR="00DB73A0" w:rsidRPr="007E3B4E" w:rsidRDefault="00DB73A0" w:rsidP="0043088E">
            <w:pPr>
              <w:pStyle w:val="NormalLeft"/>
            </w:pPr>
            <w:r w:rsidRPr="007E3B4E">
              <w:rPr>
                <w:rStyle w:val="CRDeleted"/>
              </w:rPr>
              <w:t>18. cikk</w:t>
            </w:r>
          </w:p>
        </w:tc>
        <w:tc>
          <w:tcPr>
            <w:tcW w:w="4778" w:type="dxa"/>
            <w:tcBorders>
              <w:top w:val="single" w:sz="2" w:space="0" w:color="auto"/>
              <w:left w:val="single" w:sz="2" w:space="0" w:color="auto"/>
              <w:bottom w:val="single" w:sz="2" w:space="0" w:color="auto"/>
              <w:right w:val="single" w:sz="2" w:space="0" w:color="auto"/>
            </w:tcBorders>
          </w:tcPr>
          <w:p w14:paraId="6ADD32C3" w14:textId="77777777" w:rsidR="00DB73A0" w:rsidRPr="007E3B4E" w:rsidRDefault="00DB73A0" w:rsidP="0043088E">
            <w:pPr>
              <w:pStyle w:val="NormalLeft"/>
            </w:pPr>
            <w:r w:rsidRPr="007E3B4E">
              <w:rPr>
                <w:rStyle w:val="CRDeleted"/>
              </w:rPr>
              <w:t>30. cikk</w:t>
            </w:r>
          </w:p>
        </w:tc>
      </w:tr>
      <w:tr w:rsidR="00DB73A0" w:rsidRPr="007E3B4E" w14:paraId="3F44E84F" w14:textId="77777777" w:rsidTr="0043088E">
        <w:tc>
          <w:tcPr>
            <w:tcW w:w="2929" w:type="dxa"/>
            <w:tcBorders>
              <w:top w:val="single" w:sz="2" w:space="0" w:color="auto"/>
              <w:left w:val="single" w:sz="2" w:space="0" w:color="auto"/>
              <w:bottom w:val="single" w:sz="2" w:space="0" w:color="auto"/>
              <w:right w:val="single" w:sz="2" w:space="0" w:color="auto"/>
            </w:tcBorders>
          </w:tcPr>
          <w:p w14:paraId="3C38CAF4" w14:textId="77777777" w:rsidR="00DB73A0" w:rsidRPr="007E3B4E" w:rsidRDefault="00DB73A0" w:rsidP="0043088E">
            <w:pPr>
              <w:pStyle w:val="NormalLeft"/>
            </w:pPr>
            <w:r w:rsidRPr="007E3B4E">
              <w:rPr>
                <w:rStyle w:val="CRDeleted"/>
              </w:rPr>
              <w:t>I. melléklet</w:t>
            </w:r>
          </w:p>
        </w:tc>
        <w:tc>
          <w:tcPr>
            <w:tcW w:w="4778" w:type="dxa"/>
            <w:tcBorders>
              <w:top w:val="single" w:sz="2" w:space="0" w:color="auto"/>
              <w:left w:val="single" w:sz="2" w:space="0" w:color="auto"/>
              <w:bottom w:val="single" w:sz="2" w:space="0" w:color="auto"/>
              <w:right w:val="single" w:sz="2" w:space="0" w:color="auto"/>
            </w:tcBorders>
          </w:tcPr>
          <w:p w14:paraId="69CED817" w14:textId="77777777" w:rsidR="00DB73A0" w:rsidRPr="007E3B4E" w:rsidRDefault="00DB73A0" w:rsidP="0043088E">
            <w:pPr>
              <w:pStyle w:val="NormalLeft"/>
            </w:pPr>
            <w:r w:rsidRPr="007E3B4E">
              <w:rPr>
                <w:rStyle w:val="CRDeleted"/>
              </w:rPr>
              <w:t>I. melléklet, II. rész</w:t>
            </w:r>
          </w:p>
        </w:tc>
      </w:tr>
      <w:tr w:rsidR="00DB73A0" w:rsidRPr="007E3B4E" w14:paraId="0EB12250" w14:textId="77777777" w:rsidTr="0043088E">
        <w:tc>
          <w:tcPr>
            <w:tcW w:w="2929" w:type="dxa"/>
            <w:tcBorders>
              <w:top w:val="single" w:sz="2" w:space="0" w:color="auto"/>
              <w:left w:val="single" w:sz="2" w:space="0" w:color="auto"/>
              <w:bottom w:val="single" w:sz="2" w:space="0" w:color="auto"/>
              <w:right w:val="single" w:sz="2" w:space="0" w:color="auto"/>
            </w:tcBorders>
          </w:tcPr>
          <w:p w14:paraId="51910580" w14:textId="77777777" w:rsidR="00DB73A0" w:rsidRPr="007E3B4E" w:rsidRDefault="00DB73A0" w:rsidP="0043088E">
            <w:pPr>
              <w:pStyle w:val="NormalLeft"/>
            </w:pPr>
            <w:r w:rsidRPr="007E3B4E">
              <w:rPr>
                <w:rStyle w:val="CRDeleted"/>
              </w:rPr>
              <w:t>II. melléklet</w:t>
            </w:r>
          </w:p>
        </w:tc>
        <w:tc>
          <w:tcPr>
            <w:tcW w:w="4778" w:type="dxa"/>
            <w:tcBorders>
              <w:top w:val="single" w:sz="2" w:space="0" w:color="auto"/>
              <w:left w:val="single" w:sz="2" w:space="0" w:color="auto"/>
              <w:bottom w:val="single" w:sz="2" w:space="0" w:color="auto"/>
              <w:right w:val="single" w:sz="2" w:space="0" w:color="auto"/>
            </w:tcBorders>
          </w:tcPr>
          <w:p w14:paraId="438CE16E" w14:textId="77777777" w:rsidR="00DB73A0" w:rsidRPr="007E3B4E" w:rsidRDefault="00DB73A0" w:rsidP="0043088E">
            <w:pPr>
              <w:pStyle w:val="NormalLeft"/>
            </w:pPr>
            <w:r w:rsidRPr="007E3B4E">
              <w:rPr>
                <w:rStyle w:val="CRDeleted"/>
              </w:rPr>
              <w:t>I. melléklet, I. rész és II. rész, utolsó albekezdés</w:t>
            </w:r>
          </w:p>
        </w:tc>
      </w:tr>
      <w:tr w:rsidR="00DB73A0" w:rsidRPr="007E3B4E" w14:paraId="3BFE9B94" w14:textId="77777777" w:rsidTr="0043088E">
        <w:tc>
          <w:tcPr>
            <w:tcW w:w="2929" w:type="dxa"/>
            <w:tcBorders>
              <w:top w:val="single" w:sz="2" w:space="0" w:color="auto"/>
              <w:left w:val="single" w:sz="2" w:space="0" w:color="auto"/>
              <w:bottom w:val="single" w:sz="2" w:space="0" w:color="auto"/>
              <w:right w:val="single" w:sz="2" w:space="0" w:color="auto"/>
            </w:tcBorders>
          </w:tcPr>
          <w:p w14:paraId="3C7E1960" w14:textId="77777777" w:rsidR="00DB73A0" w:rsidRPr="007E3B4E" w:rsidRDefault="00DB73A0" w:rsidP="0043088E">
            <w:pPr>
              <w:pStyle w:val="NormalLeft"/>
            </w:pPr>
            <w:r w:rsidRPr="007E3B4E">
              <w:rPr>
                <w:rStyle w:val="CRDeleted"/>
              </w:rPr>
              <w:t>III. melléklet</w:t>
            </w:r>
          </w:p>
        </w:tc>
        <w:tc>
          <w:tcPr>
            <w:tcW w:w="4778" w:type="dxa"/>
            <w:tcBorders>
              <w:top w:val="single" w:sz="2" w:space="0" w:color="auto"/>
              <w:left w:val="single" w:sz="2" w:space="0" w:color="auto"/>
              <w:bottom w:val="single" w:sz="2" w:space="0" w:color="auto"/>
              <w:right w:val="single" w:sz="2" w:space="0" w:color="auto"/>
            </w:tcBorders>
          </w:tcPr>
          <w:p w14:paraId="4CA04833" w14:textId="77777777" w:rsidR="00DB73A0" w:rsidRPr="007E3B4E" w:rsidRDefault="00DB73A0" w:rsidP="0043088E">
            <w:pPr>
              <w:pStyle w:val="NormalLeft"/>
            </w:pPr>
            <w:r w:rsidRPr="007E3B4E">
              <w:rPr>
                <w:rStyle w:val="CRDeleted"/>
              </w:rPr>
              <w:t>II. melléklet</w:t>
            </w:r>
          </w:p>
        </w:tc>
      </w:tr>
      <w:tr w:rsidR="00DB73A0" w:rsidRPr="007E3B4E" w14:paraId="20ACCE3D" w14:textId="77777777" w:rsidTr="0043088E">
        <w:tc>
          <w:tcPr>
            <w:tcW w:w="2929" w:type="dxa"/>
            <w:tcBorders>
              <w:top w:val="single" w:sz="2" w:space="0" w:color="auto"/>
              <w:left w:val="single" w:sz="2" w:space="0" w:color="auto"/>
              <w:bottom w:val="single" w:sz="2" w:space="0" w:color="auto"/>
              <w:right w:val="single" w:sz="2" w:space="0" w:color="auto"/>
            </w:tcBorders>
          </w:tcPr>
          <w:p w14:paraId="31A34872" w14:textId="77777777" w:rsidR="00DB73A0" w:rsidRPr="007E3B4E" w:rsidRDefault="00DB73A0" w:rsidP="0043088E">
            <w:pPr>
              <w:pStyle w:val="NormalLeft"/>
            </w:pPr>
            <w:r w:rsidRPr="007E3B4E">
              <w:rPr>
                <w:rStyle w:val="CRDeleted"/>
              </w:rPr>
              <w:t>IV. melléklet</w:t>
            </w:r>
          </w:p>
        </w:tc>
        <w:tc>
          <w:tcPr>
            <w:tcW w:w="4778" w:type="dxa"/>
            <w:tcBorders>
              <w:top w:val="single" w:sz="2" w:space="0" w:color="auto"/>
              <w:left w:val="single" w:sz="2" w:space="0" w:color="auto"/>
              <w:bottom w:val="single" w:sz="2" w:space="0" w:color="auto"/>
              <w:right w:val="single" w:sz="2" w:space="0" w:color="auto"/>
            </w:tcBorders>
          </w:tcPr>
          <w:p w14:paraId="601F026C" w14:textId="77777777" w:rsidR="00DB73A0" w:rsidRPr="007E3B4E" w:rsidRDefault="00DB73A0" w:rsidP="0043088E">
            <w:pPr>
              <w:pStyle w:val="NormalLeft"/>
            </w:pPr>
            <w:r w:rsidRPr="007E3B4E">
              <w:rPr>
                <w:rStyle w:val="CRDeleted"/>
              </w:rPr>
              <w:t>VIII. melléklet</w:t>
            </w:r>
          </w:p>
        </w:tc>
      </w:tr>
      <w:tr w:rsidR="00DB73A0" w:rsidRPr="007E3B4E" w14:paraId="0A079130" w14:textId="77777777" w:rsidTr="0043088E">
        <w:tc>
          <w:tcPr>
            <w:tcW w:w="2929" w:type="dxa"/>
            <w:tcBorders>
              <w:top w:val="single" w:sz="2" w:space="0" w:color="auto"/>
              <w:left w:val="single" w:sz="2" w:space="0" w:color="auto"/>
              <w:bottom w:val="single" w:sz="2" w:space="0" w:color="auto"/>
              <w:right w:val="single" w:sz="2" w:space="0" w:color="auto"/>
            </w:tcBorders>
          </w:tcPr>
          <w:p w14:paraId="2070CE4F" w14:textId="77777777" w:rsidR="00DB73A0" w:rsidRPr="007E3B4E" w:rsidRDefault="00DB73A0" w:rsidP="0043088E">
            <w:pPr>
              <w:pStyle w:val="NormalLeft"/>
            </w:pPr>
            <w:r w:rsidRPr="007E3B4E">
              <w:rPr>
                <w:rStyle w:val="CRDeleted"/>
              </w:rPr>
              <w:t>—</w:t>
            </w:r>
          </w:p>
        </w:tc>
        <w:tc>
          <w:tcPr>
            <w:tcW w:w="4778" w:type="dxa"/>
            <w:tcBorders>
              <w:top w:val="single" w:sz="2" w:space="0" w:color="auto"/>
              <w:left w:val="single" w:sz="2" w:space="0" w:color="auto"/>
              <w:bottom w:val="single" w:sz="2" w:space="0" w:color="auto"/>
              <w:right w:val="single" w:sz="2" w:space="0" w:color="auto"/>
            </w:tcBorders>
          </w:tcPr>
          <w:p w14:paraId="22A75F81" w14:textId="77777777" w:rsidR="00DB73A0" w:rsidRPr="007E3B4E" w:rsidRDefault="00DB73A0" w:rsidP="0043088E">
            <w:pPr>
              <w:pStyle w:val="NormalLeft"/>
            </w:pPr>
            <w:r w:rsidRPr="007E3B4E">
              <w:rPr>
                <w:rStyle w:val="CRDeleted"/>
              </w:rPr>
              <w:t>IX. melléklet</w:t>
            </w:r>
          </w:p>
        </w:tc>
      </w:tr>
    </w:tbl>
    <w:p w14:paraId="5F599030" w14:textId="77777777" w:rsidR="00DB73A0" w:rsidRPr="007E3B4E" w:rsidRDefault="00DB73A0" w:rsidP="00DB73A0"/>
    <w:tbl>
      <w:tblPr>
        <w:tblW w:w="0" w:type="auto"/>
        <w:tblInd w:w="836" w:type="dxa"/>
        <w:tblLayout w:type="fixed"/>
        <w:tblLook w:val="0000" w:firstRow="0" w:lastRow="0" w:firstColumn="0" w:lastColumn="0" w:noHBand="0" w:noVBand="0"/>
      </w:tblPr>
      <w:tblGrid>
        <w:gridCol w:w="3579"/>
        <w:gridCol w:w="4036"/>
      </w:tblGrid>
      <w:tr w:rsidR="00DB73A0" w:rsidRPr="007E3B4E" w14:paraId="1CEEB082" w14:textId="77777777" w:rsidTr="0043088E">
        <w:tc>
          <w:tcPr>
            <w:tcW w:w="3579" w:type="dxa"/>
            <w:tcBorders>
              <w:top w:val="single" w:sz="2" w:space="0" w:color="auto"/>
              <w:left w:val="single" w:sz="2" w:space="0" w:color="auto"/>
              <w:bottom w:val="single" w:sz="2" w:space="0" w:color="auto"/>
              <w:right w:val="single" w:sz="2" w:space="0" w:color="auto"/>
            </w:tcBorders>
          </w:tcPr>
          <w:p w14:paraId="09FD72A8" w14:textId="77777777" w:rsidR="00DB73A0" w:rsidRPr="007E3B4E" w:rsidRDefault="00DB73A0" w:rsidP="0043088E">
            <w:pPr>
              <w:pStyle w:val="NormalCentered"/>
            </w:pPr>
            <w:r w:rsidRPr="007E3B4E">
              <w:rPr>
                <w:rStyle w:val="CRDeleted"/>
              </w:rPr>
              <w:t>2006/32/EK irányelv</w:t>
            </w:r>
          </w:p>
        </w:tc>
        <w:tc>
          <w:tcPr>
            <w:tcW w:w="4036" w:type="dxa"/>
            <w:tcBorders>
              <w:top w:val="single" w:sz="2" w:space="0" w:color="auto"/>
              <w:left w:val="single" w:sz="2" w:space="0" w:color="auto"/>
              <w:bottom w:val="single" w:sz="2" w:space="0" w:color="auto"/>
              <w:right w:val="single" w:sz="2" w:space="0" w:color="auto"/>
            </w:tcBorders>
          </w:tcPr>
          <w:p w14:paraId="5B245C1D" w14:textId="77777777" w:rsidR="00DB73A0" w:rsidRPr="007E3B4E" w:rsidRDefault="00DB73A0" w:rsidP="0043088E">
            <w:pPr>
              <w:pStyle w:val="NormalCentered"/>
            </w:pPr>
            <w:r w:rsidRPr="007E3B4E">
              <w:rPr>
                <w:rStyle w:val="CRDeleted"/>
              </w:rPr>
              <w:t>Ez az irányelv</w:t>
            </w:r>
          </w:p>
        </w:tc>
      </w:tr>
      <w:tr w:rsidR="00DB73A0" w:rsidRPr="007E3B4E" w14:paraId="79D5248B" w14:textId="77777777" w:rsidTr="0043088E">
        <w:tc>
          <w:tcPr>
            <w:tcW w:w="3579" w:type="dxa"/>
            <w:tcBorders>
              <w:top w:val="single" w:sz="2" w:space="0" w:color="auto"/>
              <w:left w:val="single" w:sz="2" w:space="0" w:color="auto"/>
              <w:bottom w:val="single" w:sz="2" w:space="0" w:color="auto"/>
              <w:right w:val="single" w:sz="2" w:space="0" w:color="auto"/>
            </w:tcBorders>
          </w:tcPr>
          <w:p w14:paraId="0BF63B41" w14:textId="77777777" w:rsidR="00DB73A0" w:rsidRPr="007E3B4E" w:rsidRDefault="00DB73A0" w:rsidP="0043088E">
            <w:pPr>
              <w:pStyle w:val="NormalLeft"/>
            </w:pPr>
            <w:r w:rsidRPr="007E3B4E">
              <w:rPr>
                <w:rStyle w:val="CRDeleted"/>
              </w:rPr>
              <w:t>1. cikk</w:t>
            </w:r>
          </w:p>
        </w:tc>
        <w:tc>
          <w:tcPr>
            <w:tcW w:w="4036" w:type="dxa"/>
            <w:tcBorders>
              <w:top w:val="single" w:sz="2" w:space="0" w:color="auto"/>
              <w:left w:val="single" w:sz="2" w:space="0" w:color="auto"/>
              <w:bottom w:val="single" w:sz="2" w:space="0" w:color="auto"/>
              <w:right w:val="single" w:sz="2" w:space="0" w:color="auto"/>
            </w:tcBorders>
          </w:tcPr>
          <w:p w14:paraId="004BDFCB" w14:textId="77777777" w:rsidR="00DB73A0" w:rsidRPr="007E3B4E" w:rsidRDefault="00DB73A0" w:rsidP="0043088E">
            <w:pPr>
              <w:pStyle w:val="NormalLeft"/>
            </w:pPr>
            <w:r w:rsidRPr="007E3B4E">
              <w:rPr>
                <w:rStyle w:val="CRDeleted"/>
              </w:rPr>
              <w:t>1. cikk, (1) bekezdés</w:t>
            </w:r>
          </w:p>
        </w:tc>
      </w:tr>
      <w:tr w:rsidR="00DB73A0" w:rsidRPr="007E3B4E" w14:paraId="0376EC0B" w14:textId="77777777" w:rsidTr="0043088E">
        <w:tc>
          <w:tcPr>
            <w:tcW w:w="3579" w:type="dxa"/>
            <w:tcBorders>
              <w:top w:val="single" w:sz="2" w:space="0" w:color="auto"/>
              <w:left w:val="single" w:sz="2" w:space="0" w:color="auto"/>
              <w:bottom w:val="single" w:sz="2" w:space="0" w:color="auto"/>
              <w:right w:val="single" w:sz="2" w:space="0" w:color="auto"/>
            </w:tcBorders>
          </w:tcPr>
          <w:p w14:paraId="00E7D260" w14:textId="77777777" w:rsidR="00DB73A0" w:rsidRPr="007E3B4E" w:rsidRDefault="00DB73A0" w:rsidP="0043088E">
            <w:pPr>
              <w:pStyle w:val="NormalLeft"/>
            </w:pPr>
            <w:r w:rsidRPr="007E3B4E">
              <w:rPr>
                <w:rStyle w:val="CRDeleted"/>
              </w:rPr>
              <w:t>2. cikk</w:t>
            </w:r>
          </w:p>
        </w:tc>
        <w:tc>
          <w:tcPr>
            <w:tcW w:w="4036" w:type="dxa"/>
            <w:tcBorders>
              <w:top w:val="single" w:sz="2" w:space="0" w:color="auto"/>
              <w:left w:val="single" w:sz="2" w:space="0" w:color="auto"/>
              <w:bottom w:val="single" w:sz="2" w:space="0" w:color="auto"/>
              <w:right w:val="single" w:sz="2" w:space="0" w:color="auto"/>
            </w:tcBorders>
          </w:tcPr>
          <w:p w14:paraId="587E61B3" w14:textId="77777777" w:rsidR="00DB73A0" w:rsidRPr="007E3B4E" w:rsidRDefault="00DB73A0" w:rsidP="0043088E">
            <w:pPr>
              <w:pStyle w:val="NormalLeft"/>
            </w:pPr>
            <w:r w:rsidRPr="007E3B4E">
              <w:rPr>
                <w:rStyle w:val="CRDeleted"/>
              </w:rPr>
              <w:t>1. cikk, (1) bekezdés</w:t>
            </w:r>
          </w:p>
        </w:tc>
      </w:tr>
      <w:tr w:rsidR="00DB73A0" w:rsidRPr="007E3B4E" w14:paraId="3FE99C17" w14:textId="77777777" w:rsidTr="0043088E">
        <w:tc>
          <w:tcPr>
            <w:tcW w:w="3579" w:type="dxa"/>
            <w:tcBorders>
              <w:top w:val="single" w:sz="2" w:space="0" w:color="auto"/>
              <w:left w:val="single" w:sz="2" w:space="0" w:color="auto"/>
              <w:bottom w:val="single" w:sz="2" w:space="0" w:color="auto"/>
              <w:right w:val="single" w:sz="2" w:space="0" w:color="auto"/>
            </w:tcBorders>
          </w:tcPr>
          <w:p w14:paraId="044A230A" w14:textId="77777777" w:rsidR="00DB73A0" w:rsidRPr="007E3B4E" w:rsidRDefault="00DB73A0" w:rsidP="0043088E">
            <w:pPr>
              <w:pStyle w:val="NormalLeft"/>
            </w:pPr>
            <w:r w:rsidRPr="007E3B4E">
              <w:rPr>
                <w:rStyle w:val="CRDeleted"/>
              </w:rPr>
              <w:t>3. cikk, a) pont</w:t>
            </w:r>
          </w:p>
        </w:tc>
        <w:tc>
          <w:tcPr>
            <w:tcW w:w="4036" w:type="dxa"/>
            <w:tcBorders>
              <w:top w:val="single" w:sz="2" w:space="0" w:color="auto"/>
              <w:left w:val="single" w:sz="2" w:space="0" w:color="auto"/>
              <w:bottom w:val="single" w:sz="2" w:space="0" w:color="auto"/>
              <w:right w:val="single" w:sz="2" w:space="0" w:color="auto"/>
            </w:tcBorders>
          </w:tcPr>
          <w:p w14:paraId="2B2EDD39" w14:textId="77777777" w:rsidR="00DB73A0" w:rsidRPr="007E3B4E" w:rsidRDefault="00DB73A0" w:rsidP="0043088E">
            <w:pPr>
              <w:pStyle w:val="NormalLeft"/>
            </w:pPr>
            <w:r w:rsidRPr="007E3B4E">
              <w:rPr>
                <w:rStyle w:val="CRDeleted"/>
              </w:rPr>
              <w:t>2. cikk, 1. pont</w:t>
            </w:r>
          </w:p>
        </w:tc>
      </w:tr>
      <w:tr w:rsidR="00DB73A0" w:rsidRPr="007E3B4E" w14:paraId="3F420017" w14:textId="77777777" w:rsidTr="0043088E">
        <w:tc>
          <w:tcPr>
            <w:tcW w:w="3579" w:type="dxa"/>
            <w:tcBorders>
              <w:top w:val="single" w:sz="2" w:space="0" w:color="auto"/>
              <w:left w:val="single" w:sz="2" w:space="0" w:color="auto"/>
              <w:bottom w:val="single" w:sz="2" w:space="0" w:color="auto"/>
              <w:right w:val="single" w:sz="2" w:space="0" w:color="auto"/>
            </w:tcBorders>
          </w:tcPr>
          <w:p w14:paraId="0015E3AB" w14:textId="77777777" w:rsidR="00DB73A0" w:rsidRPr="007E3B4E" w:rsidRDefault="00DB73A0" w:rsidP="0043088E">
            <w:pPr>
              <w:pStyle w:val="NormalLeft"/>
            </w:pPr>
            <w:r w:rsidRPr="007E3B4E">
              <w:rPr>
                <w:rStyle w:val="CRDeleted"/>
              </w:rPr>
              <w:t>3. cikk, b) pont</w:t>
            </w:r>
          </w:p>
        </w:tc>
        <w:tc>
          <w:tcPr>
            <w:tcW w:w="4036" w:type="dxa"/>
            <w:tcBorders>
              <w:top w:val="single" w:sz="2" w:space="0" w:color="auto"/>
              <w:left w:val="single" w:sz="2" w:space="0" w:color="auto"/>
              <w:bottom w:val="single" w:sz="2" w:space="0" w:color="auto"/>
              <w:right w:val="single" w:sz="2" w:space="0" w:color="auto"/>
            </w:tcBorders>
          </w:tcPr>
          <w:p w14:paraId="62CBCB45" w14:textId="77777777" w:rsidR="00DB73A0" w:rsidRPr="007E3B4E" w:rsidRDefault="00DB73A0" w:rsidP="0043088E">
            <w:pPr>
              <w:pStyle w:val="NormalLeft"/>
            </w:pPr>
            <w:r w:rsidRPr="007E3B4E">
              <w:rPr>
                <w:rStyle w:val="CRDeleted"/>
              </w:rPr>
              <w:t>2. cikk, 4. pont</w:t>
            </w:r>
          </w:p>
        </w:tc>
      </w:tr>
      <w:tr w:rsidR="00DB73A0" w:rsidRPr="007E3B4E" w14:paraId="608F1F07" w14:textId="77777777" w:rsidTr="0043088E">
        <w:tc>
          <w:tcPr>
            <w:tcW w:w="3579" w:type="dxa"/>
            <w:tcBorders>
              <w:top w:val="single" w:sz="2" w:space="0" w:color="auto"/>
              <w:left w:val="single" w:sz="2" w:space="0" w:color="auto"/>
              <w:bottom w:val="single" w:sz="2" w:space="0" w:color="auto"/>
              <w:right w:val="single" w:sz="2" w:space="0" w:color="auto"/>
            </w:tcBorders>
          </w:tcPr>
          <w:p w14:paraId="620A5AA7" w14:textId="77777777" w:rsidR="00DB73A0" w:rsidRPr="007E3B4E" w:rsidRDefault="00DB73A0" w:rsidP="0043088E">
            <w:pPr>
              <w:pStyle w:val="NormalLeft"/>
            </w:pPr>
            <w:r w:rsidRPr="007E3B4E">
              <w:rPr>
                <w:rStyle w:val="CRDeleted"/>
              </w:rPr>
              <w:t>3. cikk, c) pont</w:t>
            </w:r>
          </w:p>
        </w:tc>
        <w:tc>
          <w:tcPr>
            <w:tcW w:w="4036" w:type="dxa"/>
            <w:tcBorders>
              <w:top w:val="single" w:sz="2" w:space="0" w:color="auto"/>
              <w:left w:val="single" w:sz="2" w:space="0" w:color="auto"/>
              <w:bottom w:val="single" w:sz="2" w:space="0" w:color="auto"/>
              <w:right w:val="single" w:sz="2" w:space="0" w:color="auto"/>
            </w:tcBorders>
          </w:tcPr>
          <w:p w14:paraId="4244B2E0" w14:textId="77777777" w:rsidR="00DB73A0" w:rsidRPr="007E3B4E" w:rsidRDefault="00DB73A0" w:rsidP="0043088E">
            <w:pPr>
              <w:pStyle w:val="NormalLeft"/>
            </w:pPr>
            <w:r w:rsidRPr="007E3B4E">
              <w:rPr>
                <w:rStyle w:val="CRDeleted"/>
              </w:rPr>
              <w:t>2. cikk, 6. pont</w:t>
            </w:r>
          </w:p>
        </w:tc>
      </w:tr>
      <w:tr w:rsidR="00DB73A0" w:rsidRPr="007E3B4E" w14:paraId="41EDA83D" w14:textId="77777777" w:rsidTr="0043088E">
        <w:tc>
          <w:tcPr>
            <w:tcW w:w="3579" w:type="dxa"/>
            <w:tcBorders>
              <w:top w:val="single" w:sz="2" w:space="0" w:color="auto"/>
              <w:left w:val="single" w:sz="2" w:space="0" w:color="auto"/>
              <w:bottom w:val="single" w:sz="2" w:space="0" w:color="auto"/>
              <w:right w:val="single" w:sz="2" w:space="0" w:color="auto"/>
            </w:tcBorders>
          </w:tcPr>
          <w:p w14:paraId="6DA63FB5" w14:textId="77777777" w:rsidR="00DB73A0" w:rsidRPr="007E3B4E" w:rsidRDefault="00DB73A0" w:rsidP="0043088E">
            <w:pPr>
              <w:pStyle w:val="NormalLeft"/>
            </w:pPr>
            <w:r w:rsidRPr="007E3B4E">
              <w:rPr>
                <w:rStyle w:val="CRDeleted"/>
              </w:rPr>
              <w:t>3. cikk, d) pont</w:t>
            </w:r>
          </w:p>
        </w:tc>
        <w:tc>
          <w:tcPr>
            <w:tcW w:w="4036" w:type="dxa"/>
            <w:tcBorders>
              <w:top w:val="single" w:sz="2" w:space="0" w:color="auto"/>
              <w:left w:val="single" w:sz="2" w:space="0" w:color="auto"/>
              <w:bottom w:val="single" w:sz="2" w:space="0" w:color="auto"/>
              <w:right w:val="single" w:sz="2" w:space="0" w:color="auto"/>
            </w:tcBorders>
          </w:tcPr>
          <w:p w14:paraId="1DE6FFBD" w14:textId="77777777" w:rsidR="00DB73A0" w:rsidRPr="007E3B4E" w:rsidRDefault="00DB73A0" w:rsidP="0043088E">
            <w:pPr>
              <w:pStyle w:val="NormalLeft"/>
            </w:pPr>
            <w:r w:rsidRPr="007E3B4E">
              <w:rPr>
                <w:rStyle w:val="CRDeleted"/>
              </w:rPr>
              <w:t>2. cikk, 5. pont</w:t>
            </w:r>
          </w:p>
        </w:tc>
      </w:tr>
      <w:tr w:rsidR="00DB73A0" w:rsidRPr="007E3B4E" w14:paraId="303A1EDA" w14:textId="77777777" w:rsidTr="0043088E">
        <w:tc>
          <w:tcPr>
            <w:tcW w:w="3579" w:type="dxa"/>
            <w:tcBorders>
              <w:top w:val="single" w:sz="2" w:space="0" w:color="auto"/>
              <w:left w:val="single" w:sz="2" w:space="0" w:color="auto"/>
              <w:bottom w:val="single" w:sz="2" w:space="0" w:color="auto"/>
              <w:right w:val="single" w:sz="2" w:space="0" w:color="auto"/>
            </w:tcBorders>
          </w:tcPr>
          <w:p w14:paraId="555BF6F0"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41D39AB" w14:textId="77777777" w:rsidR="00DB73A0" w:rsidRPr="007E3B4E" w:rsidRDefault="00DB73A0" w:rsidP="0043088E">
            <w:pPr>
              <w:pStyle w:val="NormalLeft"/>
            </w:pPr>
            <w:r w:rsidRPr="007E3B4E">
              <w:rPr>
                <w:rStyle w:val="CRDeleted"/>
              </w:rPr>
              <w:t>2. cikk, 2. és 3. pont</w:t>
            </w:r>
          </w:p>
        </w:tc>
      </w:tr>
      <w:tr w:rsidR="00DB73A0" w:rsidRPr="007E3B4E" w14:paraId="33AAFAD0" w14:textId="77777777" w:rsidTr="0043088E">
        <w:tc>
          <w:tcPr>
            <w:tcW w:w="3579" w:type="dxa"/>
            <w:tcBorders>
              <w:top w:val="single" w:sz="2" w:space="0" w:color="auto"/>
              <w:left w:val="single" w:sz="2" w:space="0" w:color="auto"/>
              <w:bottom w:val="single" w:sz="2" w:space="0" w:color="auto"/>
              <w:right w:val="single" w:sz="2" w:space="0" w:color="auto"/>
            </w:tcBorders>
          </w:tcPr>
          <w:p w14:paraId="40BE60D8" w14:textId="77777777" w:rsidR="00DB73A0" w:rsidRPr="007E3B4E" w:rsidRDefault="00DB73A0" w:rsidP="0043088E">
            <w:pPr>
              <w:pStyle w:val="NormalLeft"/>
            </w:pPr>
            <w:r w:rsidRPr="007E3B4E">
              <w:rPr>
                <w:rStyle w:val="CRDeleted"/>
              </w:rPr>
              <w:t>3. cikk, e) pont</w:t>
            </w:r>
          </w:p>
        </w:tc>
        <w:tc>
          <w:tcPr>
            <w:tcW w:w="4036" w:type="dxa"/>
            <w:tcBorders>
              <w:top w:val="single" w:sz="2" w:space="0" w:color="auto"/>
              <w:left w:val="single" w:sz="2" w:space="0" w:color="auto"/>
              <w:bottom w:val="single" w:sz="2" w:space="0" w:color="auto"/>
              <w:right w:val="single" w:sz="2" w:space="0" w:color="auto"/>
            </w:tcBorders>
          </w:tcPr>
          <w:p w14:paraId="62961B87" w14:textId="77777777" w:rsidR="00DB73A0" w:rsidRPr="007E3B4E" w:rsidRDefault="00DB73A0" w:rsidP="0043088E">
            <w:pPr>
              <w:pStyle w:val="NormalLeft"/>
            </w:pPr>
            <w:r w:rsidRPr="007E3B4E">
              <w:rPr>
                <w:rStyle w:val="CRDeleted"/>
              </w:rPr>
              <w:t>2. cikk, 7. pont</w:t>
            </w:r>
          </w:p>
        </w:tc>
      </w:tr>
      <w:tr w:rsidR="00DB73A0" w:rsidRPr="007E3B4E" w14:paraId="370A1D10" w14:textId="77777777" w:rsidTr="0043088E">
        <w:tc>
          <w:tcPr>
            <w:tcW w:w="3579" w:type="dxa"/>
            <w:tcBorders>
              <w:top w:val="single" w:sz="2" w:space="0" w:color="auto"/>
              <w:left w:val="single" w:sz="2" w:space="0" w:color="auto"/>
              <w:bottom w:val="single" w:sz="2" w:space="0" w:color="auto"/>
              <w:right w:val="single" w:sz="2" w:space="0" w:color="auto"/>
            </w:tcBorders>
          </w:tcPr>
          <w:p w14:paraId="4164BF33" w14:textId="77777777" w:rsidR="00DB73A0" w:rsidRPr="007E3B4E" w:rsidRDefault="00DB73A0" w:rsidP="0043088E">
            <w:pPr>
              <w:pStyle w:val="NormalLeft"/>
            </w:pPr>
            <w:r w:rsidRPr="007E3B4E">
              <w:rPr>
                <w:rStyle w:val="CRDeleted"/>
              </w:rPr>
              <w:t>3. cikk, f), g), h) és i) pont</w:t>
            </w:r>
          </w:p>
        </w:tc>
        <w:tc>
          <w:tcPr>
            <w:tcW w:w="4036" w:type="dxa"/>
            <w:tcBorders>
              <w:top w:val="single" w:sz="2" w:space="0" w:color="auto"/>
              <w:left w:val="single" w:sz="2" w:space="0" w:color="auto"/>
              <w:bottom w:val="single" w:sz="2" w:space="0" w:color="auto"/>
              <w:right w:val="single" w:sz="2" w:space="0" w:color="auto"/>
            </w:tcBorders>
          </w:tcPr>
          <w:p w14:paraId="5107E5DD" w14:textId="77777777" w:rsidR="00DB73A0" w:rsidRPr="007E3B4E" w:rsidRDefault="00DB73A0" w:rsidP="0043088E">
            <w:pPr>
              <w:pStyle w:val="NormalLeft"/>
            </w:pPr>
            <w:r w:rsidRPr="007E3B4E">
              <w:rPr>
                <w:rStyle w:val="CRDeleted"/>
              </w:rPr>
              <w:t>—</w:t>
            </w:r>
          </w:p>
        </w:tc>
      </w:tr>
      <w:tr w:rsidR="00DB73A0" w:rsidRPr="007E3B4E" w14:paraId="2BE29895" w14:textId="77777777" w:rsidTr="0043088E">
        <w:tc>
          <w:tcPr>
            <w:tcW w:w="3579" w:type="dxa"/>
            <w:tcBorders>
              <w:top w:val="single" w:sz="2" w:space="0" w:color="auto"/>
              <w:left w:val="single" w:sz="2" w:space="0" w:color="auto"/>
              <w:bottom w:val="single" w:sz="2" w:space="0" w:color="auto"/>
              <w:right w:val="single" w:sz="2" w:space="0" w:color="auto"/>
            </w:tcBorders>
          </w:tcPr>
          <w:p w14:paraId="1A09B71F"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01C2DE9B" w14:textId="77777777" w:rsidR="00DB73A0" w:rsidRPr="007E3B4E" w:rsidRDefault="00DB73A0" w:rsidP="0043088E">
            <w:pPr>
              <w:pStyle w:val="NormalLeft"/>
            </w:pPr>
            <w:r w:rsidRPr="007E3B4E">
              <w:rPr>
                <w:rStyle w:val="CRDeleted"/>
              </w:rPr>
              <w:t>2. cikk, 8–19. pont</w:t>
            </w:r>
          </w:p>
        </w:tc>
      </w:tr>
      <w:tr w:rsidR="00DB73A0" w:rsidRPr="007E3B4E" w14:paraId="4640ABCD" w14:textId="77777777" w:rsidTr="0043088E">
        <w:tc>
          <w:tcPr>
            <w:tcW w:w="3579" w:type="dxa"/>
            <w:tcBorders>
              <w:top w:val="single" w:sz="2" w:space="0" w:color="auto"/>
              <w:left w:val="single" w:sz="2" w:space="0" w:color="auto"/>
              <w:bottom w:val="single" w:sz="2" w:space="0" w:color="auto"/>
              <w:right w:val="single" w:sz="2" w:space="0" w:color="auto"/>
            </w:tcBorders>
          </w:tcPr>
          <w:p w14:paraId="2F044F6B" w14:textId="77777777" w:rsidR="00DB73A0" w:rsidRPr="007E3B4E" w:rsidRDefault="00DB73A0" w:rsidP="0043088E">
            <w:pPr>
              <w:pStyle w:val="NormalLeft"/>
            </w:pPr>
            <w:r w:rsidRPr="007E3B4E">
              <w:rPr>
                <w:rStyle w:val="CRDeleted"/>
              </w:rPr>
              <w:t>3. cikk, j) pont</w:t>
            </w:r>
          </w:p>
        </w:tc>
        <w:tc>
          <w:tcPr>
            <w:tcW w:w="4036" w:type="dxa"/>
            <w:tcBorders>
              <w:top w:val="single" w:sz="2" w:space="0" w:color="auto"/>
              <w:left w:val="single" w:sz="2" w:space="0" w:color="auto"/>
              <w:bottom w:val="single" w:sz="2" w:space="0" w:color="auto"/>
              <w:right w:val="single" w:sz="2" w:space="0" w:color="auto"/>
            </w:tcBorders>
          </w:tcPr>
          <w:p w14:paraId="53678AB2" w14:textId="77777777" w:rsidR="00DB73A0" w:rsidRPr="007E3B4E" w:rsidRDefault="00DB73A0" w:rsidP="0043088E">
            <w:pPr>
              <w:pStyle w:val="NormalLeft"/>
            </w:pPr>
            <w:r w:rsidRPr="007E3B4E">
              <w:rPr>
                <w:rStyle w:val="CRDeleted"/>
              </w:rPr>
              <w:t>2. cikk, 27. pont</w:t>
            </w:r>
          </w:p>
        </w:tc>
      </w:tr>
      <w:tr w:rsidR="00DB73A0" w:rsidRPr="007E3B4E" w14:paraId="3886170B" w14:textId="77777777" w:rsidTr="0043088E">
        <w:tc>
          <w:tcPr>
            <w:tcW w:w="3579" w:type="dxa"/>
            <w:tcBorders>
              <w:top w:val="single" w:sz="2" w:space="0" w:color="auto"/>
              <w:left w:val="single" w:sz="2" w:space="0" w:color="auto"/>
              <w:bottom w:val="single" w:sz="2" w:space="0" w:color="auto"/>
              <w:right w:val="single" w:sz="2" w:space="0" w:color="auto"/>
            </w:tcBorders>
          </w:tcPr>
          <w:p w14:paraId="3A0BA8D8"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6C594A59" w14:textId="77777777" w:rsidR="00DB73A0" w:rsidRPr="007E3B4E" w:rsidRDefault="00DB73A0" w:rsidP="0043088E">
            <w:pPr>
              <w:pStyle w:val="NormalLeft"/>
            </w:pPr>
            <w:r w:rsidRPr="007E3B4E">
              <w:rPr>
                <w:rStyle w:val="CRDeleted"/>
              </w:rPr>
              <w:t>2. cikk, 28. pont</w:t>
            </w:r>
          </w:p>
        </w:tc>
      </w:tr>
      <w:tr w:rsidR="00DB73A0" w:rsidRPr="007E3B4E" w14:paraId="0FA253A5" w14:textId="77777777" w:rsidTr="0043088E">
        <w:tc>
          <w:tcPr>
            <w:tcW w:w="3579" w:type="dxa"/>
            <w:tcBorders>
              <w:top w:val="single" w:sz="2" w:space="0" w:color="auto"/>
              <w:left w:val="single" w:sz="2" w:space="0" w:color="auto"/>
              <w:bottom w:val="single" w:sz="2" w:space="0" w:color="auto"/>
              <w:right w:val="single" w:sz="2" w:space="0" w:color="auto"/>
            </w:tcBorders>
          </w:tcPr>
          <w:p w14:paraId="0B2ECB41" w14:textId="77777777" w:rsidR="00DB73A0" w:rsidRPr="007E3B4E" w:rsidRDefault="00DB73A0" w:rsidP="0043088E">
            <w:pPr>
              <w:pStyle w:val="NormalLeft"/>
            </w:pPr>
            <w:r w:rsidRPr="007E3B4E">
              <w:rPr>
                <w:rStyle w:val="CRDeleted"/>
              </w:rPr>
              <w:t>3. cikk, k) pont</w:t>
            </w:r>
          </w:p>
        </w:tc>
        <w:tc>
          <w:tcPr>
            <w:tcW w:w="4036" w:type="dxa"/>
            <w:tcBorders>
              <w:top w:val="single" w:sz="2" w:space="0" w:color="auto"/>
              <w:left w:val="single" w:sz="2" w:space="0" w:color="auto"/>
              <w:bottom w:val="single" w:sz="2" w:space="0" w:color="auto"/>
              <w:right w:val="single" w:sz="2" w:space="0" w:color="auto"/>
            </w:tcBorders>
          </w:tcPr>
          <w:p w14:paraId="1D383051" w14:textId="77777777" w:rsidR="00DB73A0" w:rsidRPr="007E3B4E" w:rsidRDefault="00DB73A0" w:rsidP="0043088E">
            <w:pPr>
              <w:pStyle w:val="NormalLeft"/>
            </w:pPr>
            <w:r w:rsidRPr="007E3B4E">
              <w:rPr>
                <w:rStyle w:val="CRDeleted"/>
              </w:rPr>
              <w:t>—</w:t>
            </w:r>
          </w:p>
        </w:tc>
      </w:tr>
      <w:tr w:rsidR="00DB73A0" w:rsidRPr="007E3B4E" w14:paraId="60CF5895" w14:textId="77777777" w:rsidTr="0043088E">
        <w:tc>
          <w:tcPr>
            <w:tcW w:w="3579" w:type="dxa"/>
            <w:tcBorders>
              <w:top w:val="single" w:sz="2" w:space="0" w:color="auto"/>
              <w:left w:val="single" w:sz="2" w:space="0" w:color="auto"/>
              <w:bottom w:val="single" w:sz="2" w:space="0" w:color="auto"/>
              <w:right w:val="single" w:sz="2" w:space="0" w:color="auto"/>
            </w:tcBorders>
          </w:tcPr>
          <w:p w14:paraId="616F879A" w14:textId="77777777" w:rsidR="00DB73A0" w:rsidRPr="007E3B4E" w:rsidRDefault="00DB73A0" w:rsidP="0043088E">
            <w:pPr>
              <w:pStyle w:val="NormalLeft"/>
            </w:pPr>
            <w:r w:rsidRPr="007E3B4E">
              <w:rPr>
                <w:rStyle w:val="CRDeleted"/>
              </w:rPr>
              <w:t>3. cikk, l) pont</w:t>
            </w:r>
          </w:p>
        </w:tc>
        <w:tc>
          <w:tcPr>
            <w:tcW w:w="4036" w:type="dxa"/>
            <w:tcBorders>
              <w:top w:val="single" w:sz="2" w:space="0" w:color="auto"/>
              <w:left w:val="single" w:sz="2" w:space="0" w:color="auto"/>
              <w:bottom w:val="single" w:sz="2" w:space="0" w:color="auto"/>
              <w:right w:val="single" w:sz="2" w:space="0" w:color="auto"/>
            </w:tcBorders>
          </w:tcPr>
          <w:p w14:paraId="0EB214A9" w14:textId="77777777" w:rsidR="00DB73A0" w:rsidRPr="007E3B4E" w:rsidRDefault="00DB73A0" w:rsidP="0043088E">
            <w:pPr>
              <w:pStyle w:val="NormalLeft"/>
            </w:pPr>
            <w:r w:rsidRPr="007E3B4E">
              <w:rPr>
                <w:rStyle w:val="CRDeleted"/>
              </w:rPr>
              <w:t>2. cikk, 25. pont</w:t>
            </w:r>
          </w:p>
        </w:tc>
      </w:tr>
      <w:tr w:rsidR="00DB73A0" w:rsidRPr="007E3B4E" w14:paraId="32123F10" w14:textId="77777777" w:rsidTr="0043088E">
        <w:tc>
          <w:tcPr>
            <w:tcW w:w="3579" w:type="dxa"/>
            <w:tcBorders>
              <w:top w:val="single" w:sz="2" w:space="0" w:color="auto"/>
              <w:left w:val="single" w:sz="2" w:space="0" w:color="auto"/>
              <w:bottom w:val="single" w:sz="2" w:space="0" w:color="auto"/>
              <w:right w:val="single" w:sz="2" w:space="0" w:color="auto"/>
            </w:tcBorders>
          </w:tcPr>
          <w:p w14:paraId="0D862705"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6E93AAF4" w14:textId="77777777" w:rsidR="00DB73A0" w:rsidRPr="007E3B4E" w:rsidRDefault="00DB73A0" w:rsidP="0043088E">
            <w:pPr>
              <w:pStyle w:val="NormalLeft"/>
            </w:pPr>
            <w:r w:rsidRPr="007E3B4E">
              <w:rPr>
                <w:rStyle w:val="CRDeleted"/>
              </w:rPr>
              <w:t>2. cikk, 26. pont</w:t>
            </w:r>
          </w:p>
        </w:tc>
      </w:tr>
      <w:tr w:rsidR="00DB73A0" w:rsidRPr="007E3B4E" w14:paraId="10DD4E2F" w14:textId="77777777" w:rsidTr="0043088E">
        <w:tc>
          <w:tcPr>
            <w:tcW w:w="3579" w:type="dxa"/>
            <w:tcBorders>
              <w:top w:val="single" w:sz="2" w:space="0" w:color="auto"/>
              <w:left w:val="single" w:sz="2" w:space="0" w:color="auto"/>
              <w:bottom w:val="single" w:sz="2" w:space="0" w:color="auto"/>
              <w:right w:val="single" w:sz="2" w:space="0" w:color="auto"/>
            </w:tcBorders>
          </w:tcPr>
          <w:p w14:paraId="010A1C5D" w14:textId="77777777" w:rsidR="00DB73A0" w:rsidRPr="007E3B4E" w:rsidRDefault="00DB73A0" w:rsidP="0043088E">
            <w:pPr>
              <w:pStyle w:val="NormalLeft"/>
            </w:pPr>
            <w:r w:rsidRPr="007E3B4E">
              <w:rPr>
                <w:rStyle w:val="CRDeleted"/>
              </w:rPr>
              <w:t>3. cikk, m) pont</w:t>
            </w:r>
          </w:p>
        </w:tc>
        <w:tc>
          <w:tcPr>
            <w:tcW w:w="4036" w:type="dxa"/>
            <w:tcBorders>
              <w:top w:val="single" w:sz="2" w:space="0" w:color="auto"/>
              <w:left w:val="single" w:sz="2" w:space="0" w:color="auto"/>
              <w:bottom w:val="single" w:sz="2" w:space="0" w:color="auto"/>
              <w:right w:val="single" w:sz="2" w:space="0" w:color="auto"/>
            </w:tcBorders>
          </w:tcPr>
          <w:p w14:paraId="7BEEBD33" w14:textId="77777777" w:rsidR="00DB73A0" w:rsidRPr="007E3B4E" w:rsidRDefault="00DB73A0" w:rsidP="0043088E">
            <w:pPr>
              <w:pStyle w:val="NormalLeft"/>
            </w:pPr>
            <w:r w:rsidRPr="007E3B4E">
              <w:rPr>
                <w:rStyle w:val="CRDeleted"/>
              </w:rPr>
              <w:t>—</w:t>
            </w:r>
          </w:p>
        </w:tc>
      </w:tr>
      <w:tr w:rsidR="00DB73A0" w:rsidRPr="007E3B4E" w14:paraId="3CC6D686" w14:textId="77777777" w:rsidTr="0043088E">
        <w:tc>
          <w:tcPr>
            <w:tcW w:w="3579" w:type="dxa"/>
            <w:tcBorders>
              <w:top w:val="single" w:sz="2" w:space="0" w:color="auto"/>
              <w:left w:val="single" w:sz="2" w:space="0" w:color="auto"/>
              <w:bottom w:val="single" w:sz="2" w:space="0" w:color="auto"/>
              <w:right w:val="single" w:sz="2" w:space="0" w:color="auto"/>
            </w:tcBorders>
          </w:tcPr>
          <w:p w14:paraId="150D1B72" w14:textId="77777777" w:rsidR="00DB73A0" w:rsidRPr="007E3B4E" w:rsidRDefault="00DB73A0" w:rsidP="0043088E">
            <w:pPr>
              <w:pStyle w:val="NormalLeft"/>
            </w:pPr>
            <w:r w:rsidRPr="007E3B4E">
              <w:rPr>
                <w:rStyle w:val="CRDeleted"/>
              </w:rPr>
              <w:t>3. cikk, n) pont</w:t>
            </w:r>
          </w:p>
        </w:tc>
        <w:tc>
          <w:tcPr>
            <w:tcW w:w="4036" w:type="dxa"/>
            <w:tcBorders>
              <w:top w:val="single" w:sz="2" w:space="0" w:color="auto"/>
              <w:left w:val="single" w:sz="2" w:space="0" w:color="auto"/>
              <w:bottom w:val="single" w:sz="2" w:space="0" w:color="auto"/>
              <w:right w:val="single" w:sz="2" w:space="0" w:color="auto"/>
            </w:tcBorders>
          </w:tcPr>
          <w:p w14:paraId="32E2AAFF" w14:textId="77777777" w:rsidR="00DB73A0" w:rsidRPr="007E3B4E" w:rsidRDefault="00DB73A0" w:rsidP="0043088E">
            <w:pPr>
              <w:pStyle w:val="NormalLeft"/>
            </w:pPr>
            <w:r w:rsidRPr="007E3B4E">
              <w:rPr>
                <w:rStyle w:val="CRDeleted"/>
              </w:rPr>
              <w:t>2. cikk, 23. pont</w:t>
            </w:r>
          </w:p>
        </w:tc>
      </w:tr>
      <w:tr w:rsidR="00DB73A0" w:rsidRPr="007E3B4E" w14:paraId="3F2592EF" w14:textId="77777777" w:rsidTr="0043088E">
        <w:tc>
          <w:tcPr>
            <w:tcW w:w="3579" w:type="dxa"/>
            <w:tcBorders>
              <w:top w:val="single" w:sz="2" w:space="0" w:color="auto"/>
              <w:left w:val="single" w:sz="2" w:space="0" w:color="auto"/>
              <w:bottom w:val="single" w:sz="2" w:space="0" w:color="auto"/>
              <w:right w:val="single" w:sz="2" w:space="0" w:color="auto"/>
            </w:tcBorders>
          </w:tcPr>
          <w:p w14:paraId="33209D02" w14:textId="77777777" w:rsidR="00DB73A0" w:rsidRPr="007E3B4E" w:rsidRDefault="00DB73A0" w:rsidP="0043088E">
            <w:pPr>
              <w:pStyle w:val="NormalLeft"/>
            </w:pPr>
            <w:r w:rsidRPr="007E3B4E">
              <w:rPr>
                <w:rStyle w:val="CRDeleted"/>
              </w:rPr>
              <w:t>3. cikk, o) pont</w:t>
            </w:r>
          </w:p>
        </w:tc>
        <w:tc>
          <w:tcPr>
            <w:tcW w:w="4036" w:type="dxa"/>
            <w:tcBorders>
              <w:top w:val="single" w:sz="2" w:space="0" w:color="auto"/>
              <w:left w:val="single" w:sz="2" w:space="0" w:color="auto"/>
              <w:bottom w:val="single" w:sz="2" w:space="0" w:color="auto"/>
              <w:right w:val="single" w:sz="2" w:space="0" w:color="auto"/>
            </w:tcBorders>
          </w:tcPr>
          <w:p w14:paraId="053436C3" w14:textId="77777777" w:rsidR="00DB73A0" w:rsidRPr="007E3B4E" w:rsidRDefault="00DB73A0" w:rsidP="0043088E">
            <w:pPr>
              <w:pStyle w:val="NormalLeft"/>
            </w:pPr>
            <w:r w:rsidRPr="007E3B4E">
              <w:rPr>
                <w:rStyle w:val="CRDeleted"/>
              </w:rPr>
              <w:t>2. cikk, 20. pont</w:t>
            </w:r>
          </w:p>
        </w:tc>
      </w:tr>
      <w:tr w:rsidR="00DB73A0" w:rsidRPr="007E3B4E" w14:paraId="2E033E80" w14:textId="77777777" w:rsidTr="0043088E">
        <w:tc>
          <w:tcPr>
            <w:tcW w:w="3579" w:type="dxa"/>
            <w:tcBorders>
              <w:top w:val="single" w:sz="2" w:space="0" w:color="auto"/>
              <w:left w:val="single" w:sz="2" w:space="0" w:color="auto"/>
              <w:bottom w:val="single" w:sz="2" w:space="0" w:color="auto"/>
              <w:right w:val="single" w:sz="2" w:space="0" w:color="auto"/>
            </w:tcBorders>
          </w:tcPr>
          <w:p w14:paraId="1F82A83A" w14:textId="77777777" w:rsidR="00DB73A0" w:rsidRPr="007E3B4E" w:rsidRDefault="00DB73A0" w:rsidP="0043088E">
            <w:pPr>
              <w:pStyle w:val="NormalLeft"/>
            </w:pPr>
            <w:r w:rsidRPr="007E3B4E">
              <w:rPr>
                <w:rStyle w:val="CRDeleted"/>
              </w:rPr>
              <w:t>3. cikk, p) pont</w:t>
            </w:r>
          </w:p>
        </w:tc>
        <w:tc>
          <w:tcPr>
            <w:tcW w:w="4036" w:type="dxa"/>
            <w:tcBorders>
              <w:top w:val="single" w:sz="2" w:space="0" w:color="auto"/>
              <w:left w:val="single" w:sz="2" w:space="0" w:color="auto"/>
              <w:bottom w:val="single" w:sz="2" w:space="0" w:color="auto"/>
              <w:right w:val="single" w:sz="2" w:space="0" w:color="auto"/>
            </w:tcBorders>
          </w:tcPr>
          <w:p w14:paraId="727C84E5" w14:textId="77777777" w:rsidR="00DB73A0" w:rsidRPr="007E3B4E" w:rsidRDefault="00DB73A0" w:rsidP="0043088E">
            <w:pPr>
              <w:pStyle w:val="NormalLeft"/>
            </w:pPr>
            <w:r w:rsidRPr="007E3B4E">
              <w:rPr>
                <w:rStyle w:val="CRDeleted"/>
              </w:rPr>
              <w:t>2. cikk, 21. pont</w:t>
            </w:r>
          </w:p>
        </w:tc>
      </w:tr>
      <w:tr w:rsidR="00DB73A0" w:rsidRPr="007E3B4E" w14:paraId="778D15CE" w14:textId="77777777" w:rsidTr="0043088E">
        <w:tc>
          <w:tcPr>
            <w:tcW w:w="3579" w:type="dxa"/>
            <w:tcBorders>
              <w:top w:val="single" w:sz="2" w:space="0" w:color="auto"/>
              <w:left w:val="single" w:sz="2" w:space="0" w:color="auto"/>
              <w:bottom w:val="single" w:sz="2" w:space="0" w:color="auto"/>
              <w:right w:val="single" w:sz="2" w:space="0" w:color="auto"/>
            </w:tcBorders>
          </w:tcPr>
          <w:p w14:paraId="4D819156" w14:textId="77777777" w:rsidR="00DB73A0" w:rsidRPr="007E3B4E" w:rsidRDefault="00DB73A0" w:rsidP="0043088E">
            <w:pPr>
              <w:pStyle w:val="NormalLeft"/>
            </w:pPr>
            <w:r w:rsidRPr="007E3B4E">
              <w:rPr>
                <w:rStyle w:val="CRDeleted"/>
              </w:rPr>
              <w:t>3. cikk, q) pont</w:t>
            </w:r>
          </w:p>
        </w:tc>
        <w:tc>
          <w:tcPr>
            <w:tcW w:w="4036" w:type="dxa"/>
            <w:tcBorders>
              <w:top w:val="single" w:sz="2" w:space="0" w:color="auto"/>
              <w:left w:val="single" w:sz="2" w:space="0" w:color="auto"/>
              <w:bottom w:val="single" w:sz="2" w:space="0" w:color="auto"/>
              <w:right w:val="single" w:sz="2" w:space="0" w:color="auto"/>
            </w:tcBorders>
          </w:tcPr>
          <w:p w14:paraId="7EB16C1A" w14:textId="77777777" w:rsidR="00DB73A0" w:rsidRPr="007E3B4E" w:rsidRDefault="00DB73A0" w:rsidP="0043088E">
            <w:pPr>
              <w:pStyle w:val="NormalLeft"/>
            </w:pPr>
            <w:r w:rsidRPr="007E3B4E">
              <w:rPr>
                <w:rStyle w:val="CRDeleted"/>
              </w:rPr>
              <w:t>2. cikk, 22. pont</w:t>
            </w:r>
          </w:p>
        </w:tc>
      </w:tr>
      <w:tr w:rsidR="00DB73A0" w:rsidRPr="007E3B4E" w14:paraId="573A5DA4" w14:textId="77777777" w:rsidTr="0043088E">
        <w:tc>
          <w:tcPr>
            <w:tcW w:w="3579" w:type="dxa"/>
            <w:tcBorders>
              <w:top w:val="single" w:sz="2" w:space="0" w:color="auto"/>
              <w:left w:val="single" w:sz="2" w:space="0" w:color="auto"/>
              <w:bottom w:val="single" w:sz="2" w:space="0" w:color="auto"/>
              <w:right w:val="single" w:sz="2" w:space="0" w:color="auto"/>
            </w:tcBorders>
          </w:tcPr>
          <w:p w14:paraId="7A8A837B" w14:textId="77777777" w:rsidR="00DB73A0" w:rsidRPr="007E3B4E" w:rsidRDefault="00DB73A0" w:rsidP="0043088E">
            <w:pPr>
              <w:pStyle w:val="NormalLeft"/>
            </w:pPr>
            <w:r w:rsidRPr="007E3B4E">
              <w:rPr>
                <w:rStyle w:val="CRDeleted"/>
              </w:rPr>
              <w:t>3. cikk, r) és s) pont</w:t>
            </w:r>
          </w:p>
        </w:tc>
        <w:tc>
          <w:tcPr>
            <w:tcW w:w="4036" w:type="dxa"/>
            <w:tcBorders>
              <w:top w:val="single" w:sz="2" w:space="0" w:color="auto"/>
              <w:left w:val="single" w:sz="2" w:space="0" w:color="auto"/>
              <w:bottom w:val="single" w:sz="2" w:space="0" w:color="auto"/>
              <w:right w:val="single" w:sz="2" w:space="0" w:color="auto"/>
            </w:tcBorders>
          </w:tcPr>
          <w:p w14:paraId="2EE30B6F" w14:textId="77777777" w:rsidR="00DB73A0" w:rsidRPr="007E3B4E" w:rsidRDefault="00DB73A0" w:rsidP="0043088E">
            <w:pPr>
              <w:pStyle w:val="NormalLeft"/>
            </w:pPr>
            <w:r w:rsidRPr="007E3B4E">
              <w:rPr>
                <w:rStyle w:val="CRDeleted"/>
              </w:rPr>
              <w:t>—</w:t>
            </w:r>
          </w:p>
        </w:tc>
      </w:tr>
      <w:tr w:rsidR="00DB73A0" w:rsidRPr="007E3B4E" w14:paraId="22B5039C" w14:textId="77777777" w:rsidTr="0043088E">
        <w:tc>
          <w:tcPr>
            <w:tcW w:w="3579" w:type="dxa"/>
            <w:tcBorders>
              <w:top w:val="single" w:sz="2" w:space="0" w:color="auto"/>
              <w:left w:val="single" w:sz="2" w:space="0" w:color="auto"/>
              <w:bottom w:val="single" w:sz="2" w:space="0" w:color="auto"/>
              <w:right w:val="single" w:sz="2" w:space="0" w:color="auto"/>
            </w:tcBorders>
          </w:tcPr>
          <w:p w14:paraId="75273EE2"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7DA449ED" w14:textId="77777777" w:rsidR="00DB73A0" w:rsidRPr="007E3B4E" w:rsidRDefault="00DB73A0" w:rsidP="0043088E">
            <w:pPr>
              <w:pStyle w:val="NormalLeft"/>
            </w:pPr>
            <w:r w:rsidRPr="007E3B4E">
              <w:rPr>
                <w:rStyle w:val="CRDeleted"/>
              </w:rPr>
              <w:t>2. cikk, 24., 29., 44. és 45. pont</w:t>
            </w:r>
          </w:p>
        </w:tc>
      </w:tr>
      <w:tr w:rsidR="00DB73A0" w:rsidRPr="007E3B4E" w14:paraId="2D102C96" w14:textId="77777777" w:rsidTr="0043088E">
        <w:tc>
          <w:tcPr>
            <w:tcW w:w="3579" w:type="dxa"/>
            <w:tcBorders>
              <w:top w:val="single" w:sz="2" w:space="0" w:color="auto"/>
              <w:left w:val="single" w:sz="2" w:space="0" w:color="auto"/>
              <w:bottom w:val="single" w:sz="2" w:space="0" w:color="auto"/>
              <w:right w:val="single" w:sz="2" w:space="0" w:color="auto"/>
            </w:tcBorders>
          </w:tcPr>
          <w:p w14:paraId="15582A8D"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72652382" w14:textId="77777777" w:rsidR="00DB73A0" w:rsidRPr="007E3B4E" w:rsidRDefault="00DB73A0" w:rsidP="0043088E">
            <w:pPr>
              <w:pStyle w:val="NormalLeft"/>
            </w:pPr>
            <w:r w:rsidRPr="007E3B4E">
              <w:rPr>
                <w:rStyle w:val="CRDeleted"/>
              </w:rPr>
              <w:t>3. cikk</w:t>
            </w:r>
          </w:p>
        </w:tc>
      </w:tr>
      <w:tr w:rsidR="00DB73A0" w:rsidRPr="007E3B4E" w14:paraId="049421D4" w14:textId="77777777" w:rsidTr="0043088E">
        <w:tc>
          <w:tcPr>
            <w:tcW w:w="3579" w:type="dxa"/>
            <w:tcBorders>
              <w:top w:val="single" w:sz="2" w:space="0" w:color="auto"/>
              <w:left w:val="single" w:sz="2" w:space="0" w:color="auto"/>
              <w:bottom w:val="single" w:sz="2" w:space="0" w:color="auto"/>
              <w:right w:val="single" w:sz="2" w:space="0" w:color="auto"/>
            </w:tcBorders>
          </w:tcPr>
          <w:p w14:paraId="608B41CB"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5967F7A4" w14:textId="77777777" w:rsidR="00DB73A0" w:rsidRPr="007E3B4E" w:rsidRDefault="00DB73A0" w:rsidP="0043088E">
            <w:pPr>
              <w:pStyle w:val="NormalLeft"/>
            </w:pPr>
            <w:r w:rsidRPr="007E3B4E">
              <w:rPr>
                <w:rStyle w:val="CRDeleted"/>
              </w:rPr>
              <w:t>4. cikk</w:t>
            </w:r>
          </w:p>
        </w:tc>
      </w:tr>
      <w:tr w:rsidR="00DB73A0" w:rsidRPr="007E3B4E" w14:paraId="5E9B0BD8" w14:textId="77777777" w:rsidTr="0043088E">
        <w:tc>
          <w:tcPr>
            <w:tcW w:w="3579" w:type="dxa"/>
            <w:tcBorders>
              <w:top w:val="single" w:sz="2" w:space="0" w:color="auto"/>
              <w:left w:val="single" w:sz="2" w:space="0" w:color="auto"/>
              <w:bottom w:val="single" w:sz="2" w:space="0" w:color="auto"/>
              <w:right w:val="single" w:sz="2" w:space="0" w:color="auto"/>
            </w:tcBorders>
          </w:tcPr>
          <w:p w14:paraId="41E26DEC" w14:textId="77777777" w:rsidR="00DB73A0" w:rsidRPr="007E3B4E" w:rsidRDefault="00DB73A0" w:rsidP="0043088E">
            <w:pPr>
              <w:pStyle w:val="NormalLeft"/>
            </w:pPr>
            <w:r w:rsidRPr="007E3B4E">
              <w:rPr>
                <w:rStyle w:val="CRDeleted"/>
              </w:rPr>
              <w:t>4. cikk</w:t>
            </w:r>
          </w:p>
        </w:tc>
        <w:tc>
          <w:tcPr>
            <w:tcW w:w="4036" w:type="dxa"/>
            <w:tcBorders>
              <w:top w:val="single" w:sz="2" w:space="0" w:color="auto"/>
              <w:left w:val="single" w:sz="2" w:space="0" w:color="auto"/>
              <w:bottom w:val="single" w:sz="2" w:space="0" w:color="auto"/>
              <w:right w:val="single" w:sz="2" w:space="0" w:color="auto"/>
            </w:tcBorders>
          </w:tcPr>
          <w:p w14:paraId="269FE182" w14:textId="77777777" w:rsidR="00DB73A0" w:rsidRPr="007E3B4E" w:rsidRDefault="00DB73A0" w:rsidP="0043088E">
            <w:pPr>
              <w:pStyle w:val="NormalLeft"/>
            </w:pPr>
            <w:r w:rsidRPr="007E3B4E">
              <w:rPr>
                <w:rStyle w:val="CRDeleted"/>
              </w:rPr>
              <w:t>—</w:t>
            </w:r>
          </w:p>
        </w:tc>
      </w:tr>
      <w:tr w:rsidR="00DB73A0" w:rsidRPr="007E3B4E" w14:paraId="7396DD40" w14:textId="77777777" w:rsidTr="0043088E">
        <w:tc>
          <w:tcPr>
            <w:tcW w:w="3579" w:type="dxa"/>
            <w:tcBorders>
              <w:top w:val="single" w:sz="2" w:space="0" w:color="auto"/>
              <w:left w:val="single" w:sz="2" w:space="0" w:color="auto"/>
              <w:bottom w:val="single" w:sz="2" w:space="0" w:color="auto"/>
              <w:right w:val="single" w:sz="2" w:space="0" w:color="auto"/>
            </w:tcBorders>
          </w:tcPr>
          <w:p w14:paraId="7D225294" w14:textId="77777777" w:rsidR="00DB73A0" w:rsidRPr="007E3B4E" w:rsidRDefault="00DB73A0" w:rsidP="0043088E">
            <w:pPr>
              <w:pStyle w:val="NormalLeft"/>
            </w:pPr>
            <w:r w:rsidRPr="007E3B4E">
              <w:rPr>
                <w:rStyle w:val="CRDeleted"/>
              </w:rPr>
              <w:t>5. cikk</w:t>
            </w:r>
          </w:p>
        </w:tc>
        <w:tc>
          <w:tcPr>
            <w:tcW w:w="4036" w:type="dxa"/>
            <w:tcBorders>
              <w:top w:val="single" w:sz="2" w:space="0" w:color="auto"/>
              <w:left w:val="single" w:sz="2" w:space="0" w:color="auto"/>
              <w:bottom w:val="single" w:sz="2" w:space="0" w:color="auto"/>
              <w:right w:val="single" w:sz="2" w:space="0" w:color="auto"/>
            </w:tcBorders>
          </w:tcPr>
          <w:p w14:paraId="28C6F44C" w14:textId="77777777" w:rsidR="00DB73A0" w:rsidRPr="007E3B4E" w:rsidRDefault="00DB73A0" w:rsidP="0043088E">
            <w:pPr>
              <w:pStyle w:val="NormalLeft"/>
            </w:pPr>
            <w:r w:rsidRPr="007E3B4E">
              <w:rPr>
                <w:rStyle w:val="CRDeleted"/>
              </w:rPr>
              <w:t>5. és 6. cikk</w:t>
            </w:r>
          </w:p>
        </w:tc>
      </w:tr>
      <w:tr w:rsidR="00DB73A0" w:rsidRPr="007E3B4E" w14:paraId="755EAF4E" w14:textId="77777777" w:rsidTr="0043088E">
        <w:tc>
          <w:tcPr>
            <w:tcW w:w="3579" w:type="dxa"/>
            <w:tcBorders>
              <w:top w:val="single" w:sz="2" w:space="0" w:color="auto"/>
              <w:left w:val="single" w:sz="2" w:space="0" w:color="auto"/>
              <w:bottom w:val="single" w:sz="2" w:space="0" w:color="auto"/>
              <w:right w:val="single" w:sz="2" w:space="0" w:color="auto"/>
            </w:tcBorders>
          </w:tcPr>
          <w:p w14:paraId="7DB2D1B0" w14:textId="77777777" w:rsidR="00DB73A0" w:rsidRPr="007E3B4E" w:rsidRDefault="00DB73A0" w:rsidP="0043088E">
            <w:pPr>
              <w:pStyle w:val="NormalLeft"/>
            </w:pPr>
            <w:r w:rsidRPr="007E3B4E">
              <w:rPr>
                <w:rStyle w:val="CRDeleted"/>
              </w:rPr>
              <w:t>6. cikk, (1) bekezdés, a) pont</w:t>
            </w:r>
          </w:p>
        </w:tc>
        <w:tc>
          <w:tcPr>
            <w:tcW w:w="4036" w:type="dxa"/>
            <w:tcBorders>
              <w:top w:val="single" w:sz="2" w:space="0" w:color="auto"/>
              <w:left w:val="single" w:sz="2" w:space="0" w:color="auto"/>
              <w:bottom w:val="single" w:sz="2" w:space="0" w:color="auto"/>
              <w:right w:val="single" w:sz="2" w:space="0" w:color="auto"/>
            </w:tcBorders>
          </w:tcPr>
          <w:p w14:paraId="50234D70" w14:textId="77777777" w:rsidR="00DB73A0" w:rsidRPr="007E3B4E" w:rsidRDefault="00DB73A0" w:rsidP="0043088E">
            <w:pPr>
              <w:pStyle w:val="NormalLeft"/>
            </w:pPr>
            <w:r w:rsidRPr="007E3B4E">
              <w:rPr>
                <w:rStyle w:val="CRDeleted"/>
              </w:rPr>
              <w:t>7. cikk, (8) bekezdés, a) és b) pont</w:t>
            </w:r>
          </w:p>
        </w:tc>
      </w:tr>
      <w:tr w:rsidR="00DB73A0" w:rsidRPr="007E3B4E" w14:paraId="75853281" w14:textId="77777777" w:rsidTr="0043088E">
        <w:tc>
          <w:tcPr>
            <w:tcW w:w="3579" w:type="dxa"/>
            <w:tcBorders>
              <w:top w:val="single" w:sz="2" w:space="0" w:color="auto"/>
              <w:left w:val="single" w:sz="2" w:space="0" w:color="auto"/>
              <w:bottom w:val="single" w:sz="2" w:space="0" w:color="auto"/>
              <w:right w:val="single" w:sz="2" w:space="0" w:color="auto"/>
            </w:tcBorders>
          </w:tcPr>
          <w:p w14:paraId="4C783993" w14:textId="77777777" w:rsidR="00DB73A0" w:rsidRPr="007E3B4E" w:rsidRDefault="00DB73A0" w:rsidP="0043088E">
            <w:pPr>
              <w:pStyle w:val="NormalLeft"/>
            </w:pPr>
            <w:r w:rsidRPr="007E3B4E">
              <w:rPr>
                <w:rStyle w:val="CRDeleted"/>
              </w:rPr>
              <w:t>6. cikk, (1) bekezdés, b) pont</w:t>
            </w:r>
          </w:p>
        </w:tc>
        <w:tc>
          <w:tcPr>
            <w:tcW w:w="4036" w:type="dxa"/>
            <w:tcBorders>
              <w:top w:val="single" w:sz="2" w:space="0" w:color="auto"/>
              <w:left w:val="single" w:sz="2" w:space="0" w:color="auto"/>
              <w:bottom w:val="single" w:sz="2" w:space="0" w:color="auto"/>
              <w:right w:val="single" w:sz="2" w:space="0" w:color="auto"/>
            </w:tcBorders>
          </w:tcPr>
          <w:p w14:paraId="3B458828" w14:textId="77777777" w:rsidR="00DB73A0" w:rsidRPr="007E3B4E" w:rsidRDefault="00DB73A0" w:rsidP="0043088E">
            <w:pPr>
              <w:pStyle w:val="NormalLeft"/>
            </w:pPr>
            <w:r w:rsidRPr="007E3B4E">
              <w:rPr>
                <w:rStyle w:val="CRDeleted"/>
              </w:rPr>
              <w:t>18. cikk, (3) bekezdés</w:t>
            </w:r>
          </w:p>
        </w:tc>
      </w:tr>
      <w:tr w:rsidR="00DB73A0" w:rsidRPr="007E3B4E" w14:paraId="5C3B9FD0" w14:textId="77777777" w:rsidTr="0043088E">
        <w:tc>
          <w:tcPr>
            <w:tcW w:w="3579" w:type="dxa"/>
            <w:tcBorders>
              <w:top w:val="single" w:sz="2" w:space="0" w:color="auto"/>
              <w:left w:val="single" w:sz="2" w:space="0" w:color="auto"/>
              <w:bottom w:val="single" w:sz="2" w:space="0" w:color="auto"/>
              <w:right w:val="single" w:sz="2" w:space="0" w:color="auto"/>
            </w:tcBorders>
          </w:tcPr>
          <w:p w14:paraId="11EF861D" w14:textId="77777777" w:rsidR="00DB73A0" w:rsidRPr="007E3B4E" w:rsidRDefault="00DB73A0" w:rsidP="0043088E">
            <w:pPr>
              <w:pStyle w:val="NormalLeft"/>
            </w:pPr>
            <w:r w:rsidRPr="007E3B4E">
              <w:rPr>
                <w:rStyle w:val="CRDeleted"/>
              </w:rPr>
              <w:t>6. cikk, (2) bekezdés</w:t>
            </w:r>
          </w:p>
        </w:tc>
        <w:tc>
          <w:tcPr>
            <w:tcW w:w="4036" w:type="dxa"/>
            <w:tcBorders>
              <w:top w:val="single" w:sz="2" w:space="0" w:color="auto"/>
              <w:left w:val="single" w:sz="2" w:space="0" w:color="auto"/>
              <w:bottom w:val="single" w:sz="2" w:space="0" w:color="auto"/>
              <w:right w:val="single" w:sz="2" w:space="0" w:color="auto"/>
            </w:tcBorders>
          </w:tcPr>
          <w:p w14:paraId="2CF8B4C4" w14:textId="77777777" w:rsidR="00DB73A0" w:rsidRPr="007E3B4E" w:rsidRDefault="00DB73A0" w:rsidP="0043088E">
            <w:pPr>
              <w:pStyle w:val="NormalLeft"/>
            </w:pPr>
            <w:r w:rsidRPr="007E3B4E">
              <w:rPr>
                <w:rStyle w:val="CRDeleted"/>
              </w:rPr>
              <w:t>7. cikk, (1), (5), (6), (7), (9), (10), (11), és (12) bekezdés</w:t>
            </w:r>
          </w:p>
        </w:tc>
      </w:tr>
      <w:tr w:rsidR="00DB73A0" w:rsidRPr="007E3B4E" w14:paraId="24207C78" w14:textId="77777777" w:rsidTr="0043088E">
        <w:tc>
          <w:tcPr>
            <w:tcW w:w="3579" w:type="dxa"/>
            <w:tcBorders>
              <w:top w:val="single" w:sz="2" w:space="0" w:color="auto"/>
              <w:left w:val="single" w:sz="2" w:space="0" w:color="auto"/>
              <w:bottom w:val="single" w:sz="2" w:space="0" w:color="auto"/>
              <w:right w:val="single" w:sz="2" w:space="0" w:color="auto"/>
            </w:tcBorders>
          </w:tcPr>
          <w:p w14:paraId="766EDBE1"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15F64778" w14:textId="77777777" w:rsidR="00DB73A0" w:rsidRPr="007E3B4E" w:rsidRDefault="00DB73A0" w:rsidP="0043088E">
            <w:pPr>
              <w:pStyle w:val="NormalLeft"/>
            </w:pPr>
            <w:r w:rsidRPr="007E3B4E">
              <w:rPr>
                <w:rStyle w:val="CRDeleted"/>
              </w:rPr>
              <w:t>7. cikk, (2) és (3) bekezdés</w:t>
            </w:r>
          </w:p>
        </w:tc>
      </w:tr>
      <w:tr w:rsidR="00DB73A0" w:rsidRPr="007E3B4E" w14:paraId="488DB471" w14:textId="77777777" w:rsidTr="0043088E">
        <w:tc>
          <w:tcPr>
            <w:tcW w:w="3579" w:type="dxa"/>
            <w:tcBorders>
              <w:top w:val="single" w:sz="2" w:space="0" w:color="auto"/>
              <w:left w:val="single" w:sz="2" w:space="0" w:color="auto"/>
              <w:bottom w:val="single" w:sz="2" w:space="0" w:color="auto"/>
              <w:right w:val="single" w:sz="2" w:space="0" w:color="auto"/>
            </w:tcBorders>
          </w:tcPr>
          <w:p w14:paraId="0D53D213" w14:textId="77777777" w:rsidR="00DB73A0" w:rsidRPr="007E3B4E" w:rsidRDefault="00DB73A0" w:rsidP="0043088E">
            <w:pPr>
              <w:pStyle w:val="NormalLeft"/>
            </w:pPr>
            <w:r w:rsidRPr="007E3B4E">
              <w:rPr>
                <w:rStyle w:val="CRDeleted"/>
              </w:rPr>
              <w:t>6. cikk, (3) bekezdés</w:t>
            </w:r>
          </w:p>
        </w:tc>
        <w:tc>
          <w:tcPr>
            <w:tcW w:w="4036" w:type="dxa"/>
            <w:tcBorders>
              <w:top w:val="single" w:sz="2" w:space="0" w:color="auto"/>
              <w:left w:val="single" w:sz="2" w:space="0" w:color="auto"/>
              <w:bottom w:val="single" w:sz="2" w:space="0" w:color="auto"/>
              <w:right w:val="single" w:sz="2" w:space="0" w:color="auto"/>
            </w:tcBorders>
          </w:tcPr>
          <w:p w14:paraId="63AEEB82" w14:textId="77777777" w:rsidR="00DB73A0" w:rsidRPr="007E3B4E" w:rsidRDefault="00DB73A0" w:rsidP="0043088E">
            <w:pPr>
              <w:pStyle w:val="NormalLeft"/>
            </w:pPr>
            <w:r w:rsidRPr="007E3B4E">
              <w:rPr>
                <w:rStyle w:val="CRDeleted"/>
              </w:rPr>
              <w:t>18. cikk, (2) bekezdés b) és c) pont</w:t>
            </w:r>
          </w:p>
        </w:tc>
      </w:tr>
      <w:tr w:rsidR="00DB73A0" w:rsidRPr="007E3B4E" w14:paraId="3C1F9919" w14:textId="77777777" w:rsidTr="0043088E">
        <w:tc>
          <w:tcPr>
            <w:tcW w:w="3579" w:type="dxa"/>
            <w:tcBorders>
              <w:top w:val="single" w:sz="2" w:space="0" w:color="auto"/>
              <w:left w:val="single" w:sz="2" w:space="0" w:color="auto"/>
              <w:bottom w:val="single" w:sz="2" w:space="0" w:color="auto"/>
              <w:right w:val="single" w:sz="2" w:space="0" w:color="auto"/>
            </w:tcBorders>
          </w:tcPr>
          <w:p w14:paraId="7F502133" w14:textId="77777777" w:rsidR="00DB73A0" w:rsidRPr="007E3B4E" w:rsidRDefault="00DB73A0" w:rsidP="0043088E">
            <w:pPr>
              <w:pStyle w:val="NormalLeft"/>
            </w:pPr>
            <w:r w:rsidRPr="007E3B4E">
              <w:rPr>
                <w:rStyle w:val="CRDeleted"/>
              </w:rPr>
              <w:t>6. cikk, (5) bekezdés</w:t>
            </w:r>
          </w:p>
        </w:tc>
        <w:tc>
          <w:tcPr>
            <w:tcW w:w="4036" w:type="dxa"/>
            <w:tcBorders>
              <w:top w:val="single" w:sz="2" w:space="0" w:color="auto"/>
              <w:left w:val="single" w:sz="2" w:space="0" w:color="auto"/>
              <w:bottom w:val="single" w:sz="2" w:space="0" w:color="auto"/>
              <w:right w:val="single" w:sz="2" w:space="0" w:color="auto"/>
            </w:tcBorders>
          </w:tcPr>
          <w:p w14:paraId="40168CAD" w14:textId="77777777" w:rsidR="00DB73A0" w:rsidRPr="007E3B4E" w:rsidRDefault="00DB73A0" w:rsidP="0043088E">
            <w:pPr>
              <w:pStyle w:val="NormalLeft"/>
            </w:pPr>
            <w:r w:rsidRPr="007E3B4E">
              <w:rPr>
                <w:rStyle w:val="CRDeleted"/>
              </w:rPr>
              <w:t>—</w:t>
            </w:r>
          </w:p>
        </w:tc>
      </w:tr>
      <w:tr w:rsidR="00DB73A0" w:rsidRPr="007E3B4E" w14:paraId="6ACCCF15" w14:textId="77777777" w:rsidTr="0043088E">
        <w:tc>
          <w:tcPr>
            <w:tcW w:w="3579" w:type="dxa"/>
            <w:tcBorders>
              <w:top w:val="single" w:sz="2" w:space="0" w:color="auto"/>
              <w:left w:val="single" w:sz="2" w:space="0" w:color="auto"/>
              <w:bottom w:val="single" w:sz="2" w:space="0" w:color="auto"/>
              <w:right w:val="single" w:sz="2" w:space="0" w:color="auto"/>
            </w:tcBorders>
          </w:tcPr>
          <w:p w14:paraId="23411C2A" w14:textId="77777777" w:rsidR="00DB73A0" w:rsidRPr="007E3B4E" w:rsidRDefault="00DB73A0" w:rsidP="0043088E">
            <w:pPr>
              <w:pStyle w:val="NormalLeft"/>
            </w:pPr>
            <w:r w:rsidRPr="007E3B4E">
              <w:rPr>
                <w:rStyle w:val="CRDeleted"/>
              </w:rPr>
              <w:t>7. cikk</w:t>
            </w:r>
          </w:p>
        </w:tc>
        <w:tc>
          <w:tcPr>
            <w:tcW w:w="4036" w:type="dxa"/>
            <w:tcBorders>
              <w:top w:val="single" w:sz="2" w:space="0" w:color="auto"/>
              <w:left w:val="single" w:sz="2" w:space="0" w:color="auto"/>
              <w:bottom w:val="single" w:sz="2" w:space="0" w:color="auto"/>
              <w:right w:val="single" w:sz="2" w:space="0" w:color="auto"/>
            </w:tcBorders>
          </w:tcPr>
          <w:p w14:paraId="13E2470F" w14:textId="77777777" w:rsidR="00DB73A0" w:rsidRPr="007E3B4E" w:rsidRDefault="00DB73A0" w:rsidP="0043088E">
            <w:pPr>
              <w:pStyle w:val="NormalLeft"/>
            </w:pPr>
            <w:r w:rsidRPr="007E3B4E">
              <w:rPr>
                <w:rStyle w:val="CRDeleted"/>
              </w:rPr>
              <w:t>17. cikk</w:t>
            </w:r>
          </w:p>
        </w:tc>
      </w:tr>
      <w:tr w:rsidR="00DB73A0" w:rsidRPr="007E3B4E" w14:paraId="7A2BB788" w14:textId="77777777" w:rsidTr="0043088E">
        <w:tc>
          <w:tcPr>
            <w:tcW w:w="3579" w:type="dxa"/>
            <w:tcBorders>
              <w:top w:val="single" w:sz="2" w:space="0" w:color="auto"/>
              <w:left w:val="single" w:sz="2" w:space="0" w:color="auto"/>
              <w:bottom w:val="single" w:sz="2" w:space="0" w:color="auto"/>
              <w:right w:val="single" w:sz="2" w:space="0" w:color="auto"/>
            </w:tcBorders>
          </w:tcPr>
          <w:p w14:paraId="4E314127" w14:textId="77777777" w:rsidR="00DB73A0" w:rsidRPr="007E3B4E" w:rsidRDefault="00DB73A0" w:rsidP="0043088E">
            <w:pPr>
              <w:pStyle w:val="NormalLeft"/>
            </w:pPr>
            <w:r w:rsidRPr="007E3B4E">
              <w:rPr>
                <w:rStyle w:val="CRDeleted"/>
              </w:rPr>
              <w:t>8. cikk</w:t>
            </w:r>
          </w:p>
        </w:tc>
        <w:tc>
          <w:tcPr>
            <w:tcW w:w="4036" w:type="dxa"/>
            <w:tcBorders>
              <w:top w:val="single" w:sz="2" w:space="0" w:color="auto"/>
              <w:left w:val="single" w:sz="2" w:space="0" w:color="auto"/>
              <w:bottom w:val="single" w:sz="2" w:space="0" w:color="auto"/>
              <w:right w:val="single" w:sz="2" w:space="0" w:color="auto"/>
            </w:tcBorders>
          </w:tcPr>
          <w:p w14:paraId="529D5DFE" w14:textId="77777777" w:rsidR="00DB73A0" w:rsidRPr="007E3B4E" w:rsidRDefault="00DB73A0" w:rsidP="0043088E">
            <w:pPr>
              <w:pStyle w:val="NormalLeft"/>
            </w:pPr>
            <w:r w:rsidRPr="007E3B4E">
              <w:rPr>
                <w:rStyle w:val="CRDeleted"/>
              </w:rPr>
              <w:t>16. cikk, (1) bekezdés</w:t>
            </w:r>
          </w:p>
        </w:tc>
      </w:tr>
      <w:tr w:rsidR="00DB73A0" w:rsidRPr="007E3B4E" w14:paraId="1C76BF14" w14:textId="77777777" w:rsidTr="0043088E">
        <w:tc>
          <w:tcPr>
            <w:tcW w:w="3579" w:type="dxa"/>
            <w:tcBorders>
              <w:top w:val="single" w:sz="2" w:space="0" w:color="auto"/>
              <w:left w:val="single" w:sz="2" w:space="0" w:color="auto"/>
              <w:bottom w:val="single" w:sz="2" w:space="0" w:color="auto"/>
              <w:right w:val="single" w:sz="2" w:space="0" w:color="auto"/>
            </w:tcBorders>
          </w:tcPr>
          <w:p w14:paraId="7A2CC993"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233DFF45" w14:textId="77777777" w:rsidR="00DB73A0" w:rsidRPr="007E3B4E" w:rsidRDefault="00DB73A0" w:rsidP="0043088E">
            <w:pPr>
              <w:pStyle w:val="NormalLeft"/>
            </w:pPr>
            <w:r w:rsidRPr="007E3B4E">
              <w:rPr>
                <w:rStyle w:val="CRDeleted"/>
              </w:rPr>
              <w:t>16. cikk, (2) és (3) bekezdés</w:t>
            </w:r>
          </w:p>
        </w:tc>
      </w:tr>
      <w:tr w:rsidR="00DB73A0" w:rsidRPr="007E3B4E" w14:paraId="2D6586C4" w14:textId="77777777" w:rsidTr="0043088E">
        <w:tc>
          <w:tcPr>
            <w:tcW w:w="3579" w:type="dxa"/>
            <w:tcBorders>
              <w:top w:val="single" w:sz="2" w:space="0" w:color="auto"/>
              <w:left w:val="single" w:sz="2" w:space="0" w:color="auto"/>
              <w:bottom w:val="single" w:sz="2" w:space="0" w:color="auto"/>
              <w:right w:val="single" w:sz="2" w:space="0" w:color="auto"/>
            </w:tcBorders>
          </w:tcPr>
          <w:p w14:paraId="128D20E9" w14:textId="77777777" w:rsidR="00DB73A0" w:rsidRPr="007E3B4E" w:rsidRDefault="00DB73A0" w:rsidP="0043088E">
            <w:pPr>
              <w:pStyle w:val="NormalLeft"/>
            </w:pPr>
            <w:r w:rsidRPr="007E3B4E">
              <w:rPr>
                <w:rStyle w:val="CRDeleted"/>
              </w:rPr>
              <w:t>9. cikk, (1) bekezdés</w:t>
            </w:r>
          </w:p>
        </w:tc>
        <w:tc>
          <w:tcPr>
            <w:tcW w:w="4036" w:type="dxa"/>
            <w:tcBorders>
              <w:top w:val="single" w:sz="2" w:space="0" w:color="auto"/>
              <w:left w:val="single" w:sz="2" w:space="0" w:color="auto"/>
              <w:bottom w:val="single" w:sz="2" w:space="0" w:color="auto"/>
              <w:right w:val="single" w:sz="2" w:space="0" w:color="auto"/>
            </w:tcBorders>
          </w:tcPr>
          <w:p w14:paraId="4B34386D" w14:textId="77777777" w:rsidR="00DB73A0" w:rsidRPr="007E3B4E" w:rsidRDefault="00DB73A0" w:rsidP="0043088E">
            <w:pPr>
              <w:pStyle w:val="NormalLeft"/>
            </w:pPr>
            <w:r w:rsidRPr="007E3B4E">
              <w:rPr>
                <w:rStyle w:val="CRDeleted"/>
              </w:rPr>
              <w:t>19. cikk</w:t>
            </w:r>
          </w:p>
        </w:tc>
      </w:tr>
      <w:tr w:rsidR="00DB73A0" w:rsidRPr="007E3B4E" w14:paraId="4E998EF6" w14:textId="77777777" w:rsidTr="0043088E">
        <w:tc>
          <w:tcPr>
            <w:tcW w:w="3579" w:type="dxa"/>
            <w:tcBorders>
              <w:top w:val="single" w:sz="2" w:space="0" w:color="auto"/>
              <w:left w:val="single" w:sz="2" w:space="0" w:color="auto"/>
              <w:bottom w:val="single" w:sz="2" w:space="0" w:color="auto"/>
              <w:right w:val="single" w:sz="2" w:space="0" w:color="auto"/>
            </w:tcBorders>
          </w:tcPr>
          <w:p w14:paraId="2AEFC686" w14:textId="77777777" w:rsidR="00DB73A0" w:rsidRPr="007E3B4E" w:rsidRDefault="00DB73A0" w:rsidP="0043088E">
            <w:pPr>
              <w:pStyle w:val="NormalLeft"/>
            </w:pPr>
            <w:r w:rsidRPr="007E3B4E">
              <w:rPr>
                <w:rStyle w:val="CRDeleted"/>
              </w:rPr>
              <w:t>9. cikk, (2) bekezdés</w:t>
            </w:r>
          </w:p>
        </w:tc>
        <w:tc>
          <w:tcPr>
            <w:tcW w:w="4036" w:type="dxa"/>
            <w:tcBorders>
              <w:top w:val="single" w:sz="2" w:space="0" w:color="auto"/>
              <w:left w:val="single" w:sz="2" w:space="0" w:color="auto"/>
              <w:bottom w:val="single" w:sz="2" w:space="0" w:color="auto"/>
              <w:right w:val="single" w:sz="2" w:space="0" w:color="auto"/>
            </w:tcBorders>
          </w:tcPr>
          <w:p w14:paraId="4B9FDACC" w14:textId="77777777" w:rsidR="00DB73A0" w:rsidRPr="007E3B4E" w:rsidRDefault="00DB73A0" w:rsidP="0043088E">
            <w:pPr>
              <w:pStyle w:val="NormalLeft"/>
            </w:pPr>
            <w:r w:rsidRPr="007E3B4E">
              <w:rPr>
                <w:rStyle w:val="CRDeleted"/>
              </w:rPr>
              <w:t>18. cikk, (1) bekezdés d) pont, i. alpont</w:t>
            </w:r>
          </w:p>
        </w:tc>
      </w:tr>
      <w:tr w:rsidR="00DB73A0" w:rsidRPr="007E3B4E" w14:paraId="623D80DE" w14:textId="77777777" w:rsidTr="0043088E">
        <w:tc>
          <w:tcPr>
            <w:tcW w:w="3579" w:type="dxa"/>
            <w:tcBorders>
              <w:top w:val="single" w:sz="2" w:space="0" w:color="auto"/>
              <w:left w:val="single" w:sz="2" w:space="0" w:color="auto"/>
              <w:bottom w:val="single" w:sz="2" w:space="0" w:color="auto"/>
              <w:right w:val="single" w:sz="2" w:space="0" w:color="auto"/>
            </w:tcBorders>
          </w:tcPr>
          <w:p w14:paraId="740E5ED0"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66583D88" w14:textId="77777777" w:rsidR="00DB73A0" w:rsidRPr="007E3B4E" w:rsidRDefault="00DB73A0" w:rsidP="0043088E">
            <w:pPr>
              <w:pStyle w:val="NormalLeft"/>
            </w:pPr>
            <w:r w:rsidRPr="007E3B4E">
              <w:rPr>
                <w:rStyle w:val="CRDeleted"/>
              </w:rPr>
              <w:t>18. cikk, (1) bekezdés, a), b), c), d) pont, ii. alpont és e) pont</w:t>
            </w:r>
          </w:p>
        </w:tc>
      </w:tr>
      <w:tr w:rsidR="00DB73A0" w:rsidRPr="007E3B4E" w14:paraId="377E165D" w14:textId="77777777" w:rsidTr="0043088E">
        <w:tc>
          <w:tcPr>
            <w:tcW w:w="3579" w:type="dxa"/>
            <w:tcBorders>
              <w:top w:val="single" w:sz="2" w:space="0" w:color="auto"/>
              <w:left w:val="single" w:sz="2" w:space="0" w:color="auto"/>
              <w:bottom w:val="single" w:sz="2" w:space="0" w:color="auto"/>
              <w:right w:val="single" w:sz="2" w:space="0" w:color="auto"/>
            </w:tcBorders>
          </w:tcPr>
          <w:p w14:paraId="6C85A527" w14:textId="77777777" w:rsidR="00DB73A0" w:rsidRPr="007E3B4E" w:rsidRDefault="00DB73A0" w:rsidP="0043088E">
            <w:pPr>
              <w:pStyle w:val="NormalLeft"/>
            </w:pPr>
            <w:r w:rsidRPr="007E3B4E">
              <w:rPr>
                <w:rStyle w:val="CRDeleted"/>
              </w:rPr>
              <w:t>10. cikk, (1) bekezdés</w:t>
            </w:r>
          </w:p>
        </w:tc>
        <w:tc>
          <w:tcPr>
            <w:tcW w:w="4036" w:type="dxa"/>
            <w:tcBorders>
              <w:top w:val="single" w:sz="2" w:space="0" w:color="auto"/>
              <w:left w:val="single" w:sz="2" w:space="0" w:color="auto"/>
              <w:bottom w:val="single" w:sz="2" w:space="0" w:color="auto"/>
              <w:right w:val="single" w:sz="2" w:space="0" w:color="auto"/>
            </w:tcBorders>
          </w:tcPr>
          <w:p w14:paraId="5E1DC792" w14:textId="77777777" w:rsidR="00DB73A0" w:rsidRPr="007E3B4E" w:rsidRDefault="00DB73A0" w:rsidP="0043088E">
            <w:pPr>
              <w:pStyle w:val="NormalLeft"/>
            </w:pPr>
            <w:r w:rsidRPr="007E3B4E">
              <w:rPr>
                <w:rStyle w:val="CRDeleted"/>
              </w:rPr>
              <w:t>15. cikk, (4) bekezdés</w:t>
            </w:r>
          </w:p>
        </w:tc>
      </w:tr>
      <w:tr w:rsidR="00DB73A0" w:rsidRPr="007E3B4E" w14:paraId="1A430DAE" w14:textId="77777777" w:rsidTr="0043088E">
        <w:tc>
          <w:tcPr>
            <w:tcW w:w="3579" w:type="dxa"/>
            <w:tcBorders>
              <w:top w:val="single" w:sz="2" w:space="0" w:color="auto"/>
              <w:left w:val="single" w:sz="2" w:space="0" w:color="auto"/>
              <w:bottom w:val="single" w:sz="2" w:space="0" w:color="auto"/>
              <w:right w:val="single" w:sz="2" w:space="0" w:color="auto"/>
            </w:tcBorders>
          </w:tcPr>
          <w:p w14:paraId="7B2CBDF5" w14:textId="77777777" w:rsidR="00DB73A0" w:rsidRPr="007E3B4E" w:rsidRDefault="00DB73A0" w:rsidP="0043088E">
            <w:pPr>
              <w:pStyle w:val="NormalLeft"/>
            </w:pPr>
            <w:r w:rsidRPr="007E3B4E">
              <w:rPr>
                <w:rStyle w:val="CRDeleted"/>
              </w:rPr>
              <w:t>10. cikk, (2) bekezdés</w:t>
            </w:r>
          </w:p>
        </w:tc>
        <w:tc>
          <w:tcPr>
            <w:tcW w:w="4036" w:type="dxa"/>
            <w:tcBorders>
              <w:top w:val="single" w:sz="2" w:space="0" w:color="auto"/>
              <w:left w:val="single" w:sz="2" w:space="0" w:color="auto"/>
              <w:bottom w:val="single" w:sz="2" w:space="0" w:color="auto"/>
              <w:right w:val="single" w:sz="2" w:space="0" w:color="auto"/>
            </w:tcBorders>
          </w:tcPr>
          <w:p w14:paraId="7E80477A" w14:textId="77777777" w:rsidR="00DB73A0" w:rsidRPr="007E3B4E" w:rsidRDefault="00DB73A0" w:rsidP="0043088E">
            <w:pPr>
              <w:pStyle w:val="NormalLeft"/>
            </w:pPr>
            <w:r w:rsidRPr="007E3B4E">
              <w:rPr>
                <w:rStyle w:val="CRDeleted"/>
              </w:rPr>
              <w:t>15. cikk, (3) bekezdés</w:t>
            </w:r>
          </w:p>
        </w:tc>
      </w:tr>
      <w:tr w:rsidR="00DB73A0" w:rsidRPr="007E3B4E" w14:paraId="0D35474C" w14:textId="77777777" w:rsidTr="0043088E">
        <w:tc>
          <w:tcPr>
            <w:tcW w:w="3579" w:type="dxa"/>
            <w:tcBorders>
              <w:top w:val="single" w:sz="2" w:space="0" w:color="auto"/>
              <w:left w:val="single" w:sz="2" w:space="0" w:color="auto"/>
              <w:bottom w:val="single" w:sz="2" w:space="0" w:color="auto"/>
              <w:right w:val="single" w:sz="2" w:space="0" w:color="auto"/>
            </w:tcBorders>
          </w:tcPr>
          <w:p w14:paraId="19709784"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0F716B7D" w14:textId="77777777" w:rsidR="00DB73A0" w:rsidRPr="007E3B4E" w:rsidRDefault="00DB73A0" w:rsidP="0043088E">
            <w:pPr>
              <w:pStyle w:val="NormalLeft"/>
            </w:pPr>
            <w:r w:rsidRPr="007E3B4E">
              <w:rPr>
                <w:rStyle w:val="CRDeleted"/>
              </w:rPr>
              <w:t>15. cikk, (7), (8) és (9) bekezdés</w:t>
            </w:r>
          </w:p>
        </w:tc>
      </w:tr>
      <w:tr w:rsidR="00DB73A0" w:rsidRPr="007E3B4E" w14:paraId="70EE8730" w14:textId="77777777" w:rsidTr="0043088E">
        <w:tc>
          <w:tcPr>
            <w:tcW w:w="3579" w:type="dxa"/>
            <w:tcBorders>
              <w:top w:val="single" w:sz="2" w:space="0" w:color="auto"/>
              <w:left w:val="single" w:sz="2" w:space="0" w:color="auto"/>
              <w:bottom w:val="single" w:sz="2" w:space="0" w:color="auto"/>
              <w:right w:val="single" w:sz="2" w:space="0" w:color="auto"/>
            </w:tcBorders>
          </w:tcPr>
          <w:p w14:paraId="4FFCDA84" w14:textId="77777777" w:rsidR="00DB73A0" w:rsidRPr="007E3B4E" w:rsidRDefault="00DB73A0" w:rsidP="0043088E">
            <w:pPr>
              <w:pStyle w:val="NormalLeft"/>
            </w:pPr>
            <w:r w:rsidRPr="007E3B4E">
              <w:rPr>
                <w:rStyle w:val="CRDeleted"/>
              </w:rPr>
              <w:t>11. cikk</w:t>
            </w:r>
          </w:p>
        </w:tc>
        <w:tc>
          <w:tcPr>
            <w:tcW w:w="4036" w:type="dxa"/>
            <w:tcBorders>
              <w:top w:val="single" w:sz="2" w:space="0" w:color="auto"/>
              <w:left w:val="single" w:sz="2" w:space="0" w:color="auto"/>
              <w:bottom w:val="single" w:sz="2" w:space="0" w:color="auto"/>
              <w:right w:val="single" w:sz="2" w:space="0" w:color="auto"/>
            </w:tcBorders>
          </w:tcPr>
          <w:p w14:paraId="3257E4BA" w14:textId="77777777" w:rsidR="00DB73A0" w:rsidRPr="007E3B4E" w:rsidRDefault="00DB73A0" w:rsidP="0043088E">
            <w:pPr>
              <w:pStyle w:val="NormalLeft"/>
            </w:pPr>
            <w:r w:rsidRPr="007E3B4E">
              <w:rPr>
                <w:rStyle w:val="CRDeleted"/>
              </w:rPr>
              <w:t>20. cikk</w:t>
            </w:r>
          </w:p>
        </w:tc>
      </w:tr>
      <w:tr w:rsidR="00DB73A0" w:rsidRPr="007E3B4E" w14:paraId="511FE5B1" w14:textId="77777777" w:rsidTr="0043088E">
        <w:tc>
          <w:tcPr>
            <w:tcW w:w="3579" w:type="dxa"/>
            <w:tcBorders>
              <w:top w:val="single" w:sz="2" w:space="0" w:color="auto"/>
              <w:left w:val="single" w:sz="2" w:space="0" w:color="auto"/>
              <w:bottom w:val="single" w:sz="2" w:space="0" w:color="auto"/>
              <w:right w:val="single" w:sz="2" w:space="0" w:color="auto"/>
            </w:tcBorders>
          </w:tcPr>
          <w:p w14:paraId="09C5318E" w14:textId="77777777" w:rsidR="00DB73A0" w:rsidRPr="007E3B4E" w:rsidRDefault="00DB73A0" w:rsidP="0043088E">
            <w:pPr>
              <w:pStyle w:val="NormalLeft"/>
            </w:pPr>
            <w:r w:rsidRPr="007E3B4E">
              <w:rPr>
                <w:rStyle w:val="CRDeleted"/>
              </w:rPr>
              <w:t>12. cikk, (1) bekezdés</w:t>
            </w:r>
          </w:p>
        </w:tc>
        <w:tc>
          <w:tcPr>
            <w:tcW w:w="4036" w:type="dxa"/>
            <w:tcBorders>
              <w:top w:val="single" w:sz="2" w:space="0" w:color="auto"/>
              <w:left w:val="single" w:sz="2" w:space="0" w:color="auto"/>
              <w:bottom w:val="single" w:sz="2" w:space="0" w:color="auto"/>
              <w:right w:val="single" w:sz="2" w:space="0" w:color="auto"/>
            </w:tcBorders>
          </w:tcPr>
          <w:p w14:paraId="6D0AC476" w14:textId="77777777" w:rsidR="00DB73A0" w:rsidRPr="007E3B4E" w:rsidRDefault="00DB73A0" w:rsidP="0043088E">
            <w:pPr>
              <w:pStyle w:val="NormalLeft"/>
            </w:pPr>
            <w:r w:rsidRPr="007E3B4E">
              <w:rPr>
                <w:rStyle w:val="CRDeleted"/>
              </w:rPr>
              <w:t>8. cikk, (1) bekezdés</w:t>
            </w:r>
          </w:p>
        </w:tc>
      </w:tr>
      <w:tr w:rsidR="00DB73A0" w:rsidRPr="007E3B4E" w14:paraId="250485D5" w14:textId="77777777" w:rsidTr="0043088E">
        <w:tc>
          <w:tcPr>
            <w:tcW w:w="3579" w:type="dxa"/>
            <w:tcBorders>
              <w:top w:val="single" w:sz="2" w:space="0" w:color="auto"/>
              <w:left w:val="single" w:sz="2" w:space="0" w:color="auto"/>
              <w:bottom w:val="single" w:sz="2" w:space="0" w:color="auto"/>
              <w:right w:val="single" w:sz="2" w:space="0" w:color="auto"/>
            </w:tcBorders>
          </w:tcPr>
          <w:p w14:paraId="4FBB96D5" w14:textId="77777777" w:rsidR="00DB73A0" w:rsidRPr="007E3B4E" w:rsidRDefault="00DB73A0" w:rsidP="0043088E">
            <w:pPr>
              <w:pStyle w:val="NormalLeft"/>
            </w:pPr>
            <w:r w:rsidRPr="007E3B4E">
              <w:rPr>
                <w:rStyle w:val="CRDeleted"/>
              </w:rPr>
              <w:t>12. cikk, (2) bekezdés</w:t>
            </w:r>
          </w:p>
        </w:tc>
        <w:tc>
          <w:tcPr>
            <w:tcW w:w="4036" w:type="dxa"/>
            <w:tcBorders>
              <w:top w:val="single" w:sz="2" w:space="0" w:color="auto"/>
              <w:left w:val="single" w:sz="2" w:space="0" w:color="auto"/>
              <w:bottom w:val="single" w:sz="2" w:space="0" w:color="auto"/>
              <w:right w:val="single" w:sz="2" w:space="0" w:color="auto"/>
            </w:tcBorders>
          </w:tcPr>
          <w:p w14:paraId="6A9659EB" w14:textId="77777777" w:rsidR="00DB73A0" w:rsidRPr="007E3B4E" w:rsidRDefault="00DB73A0" w:rsidP="0043088E">
            <w:pPr>
              <w:pStyle w:val="NormalLeft"/>
            </w:pPr>
            <w:r w:rsidRPr="007E3B4E">
              <w:rPr>
                <w:rStyle w:val="CRDeleted"/>
              </w:rPr>
              <w:t>—</w:t>
            </w:r>
          </w:p>
        </w:tc>
      </w:tr>
      <w:tr w:rsidR="00DB73A0" w:rsidRPr="007E3B4E" w14:paraId="356BA039" w14:textId="77777777" w:rsidTr="0043088E">
        <w:tc>
          <w:tcPr>
            <w:tcW w:w="3579" w:type="dxa"/>
            <w:tcBorders>
              <w:top w:val="single" w:sz="2" w:space="0" w:color="auto"/>
              <w:left w:val="single" w:sz="2" w:space="0" w:color="auto"/>
              <w:bottom w:val="single" w:sz="2" w:space="0" w:color="auto"/>
              <w:right w:val="single" w:sz="2" w:space="0" w:color="auto"/>
            </w:tcBorders>
          </w:tcPr>
          <w:p w14:paraId="398F00B7"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3E1B3922" w14:textId="77777777" w:rsidR="00DB73A0" w:rsidRPr="007E3B4E" w:rsidRDefault="00DB73A0" w:rsidP="0043088E">
            <w:pPr>
              <w:pStyle w:val="NormalLeft"/>
            </w:pPr>
            <w:r w:rsidRPr="007E3B4E">
              <w:rPr>
                <w:rStyle w:val="CRDeleted"/>
              </w:rPr>
              <w:t>8. cikk, (2), (3), (4), (5), (6) és (7) bekezdés</w:t>
            </w:r>
          </w:p>
        </w:tc>
      </w:tr>
      <w:tr w:rsidR="00DB73A0" w:rsidRPr="007E3B4E" w14:paraId="628FA4B3" w14:textId="77777777" w:rsidTr="0043088E">
        <w:tc>
          <w:tcPr>
            <w:tcW w:w="3579" w:type="dxa"/>
            <w:tcBorders>
              <w:top w:val="single" w:sz="2" w:space="0" w:color="auto"/>
              <w:left w:val="single" w:sz="2" w:space="0" w:color="auto"/>
              <w:bottom w:val="single" w:sz="2" w:space="0" w:color="auto"/>
              <w:right w:val="single" w:sz="2" w:space="0" w:color="auto"/>
            </w:tcBorders>
          </w:tcPr>
          <w:p w14:paraId="7CEE807F" w14:textId="77777777" w:rsidR="00DB73A0" w:rsidRPr="007E3B4E" w:rsidRDefault="00DB73A0" w:rsidP="0043088E">
            <w:pPr>
              <w:pStyle w:val="NormalLeft"/>
            </w:pPr>
            <w:r w:rsidRPr="007E3B4E">
              <w:rPr>
                <w:rStyle w:val="CRDeleted"/>
              </w:rPr>
              <w:t>12. cikk, (3) bekezdés</w:t>
            </w:r>
          </w:p>
        </w:tc>
        <w:tc>
          <w:tcPr>
            <w:tcW w:w="4036" w:type="dxa"/>
            <w:tcBorders>
              <w:top w:val="single" w:sz="2" w:space="0" w:color="auto"/>
              <w:left w:val="single" w:sz="2" w:space="0" w:color="auto"/>
              <w:bottom w:val="single" w:sz="2" w:space="0" w:color="auto"/>
              <w:right w:val="single" w:sz="2" w:space="0" w:color="auto"/>
            </w:tcBorders>
          </w:tcPr>
          <w:p w14:paraId="64C48783" w14:textId="77777777" w:rsidR="00DB73A0" w:rsidRPr="007E3B4E" w:rsidRDefault="00DB73A0" w:rsidP="0043088E">
            <w:pPr>
              <w:pStyle w:val="NormalLeft"/>
            </w:pPr>
            <w:r w:rsidRPr="007E3B4E">
              <w:rPr>
                <w:rStyle w:val="CRDeleted"/>
              </w:rPr>
              <w:t>—</w:t>
            </w:r>
          </w:p>
        </w:tc>
      </w:tr>
      <w:tr w:rsidR="00DB73A0" w:rsidRPr="007E3B4E" w14:paraId="0D195DAB" w14:textId="77777777" w:rsidTr="0043088E">
        <w:tc>
          <w:tcPr>
            <w:tcW w:w="3579" w:type="dxa"/>
            <w:tcBorders>
              <w:top w:val="single" w:sz="2" w:space="0" w:color="auto"/>
              <w:left w:val="single" w:sz="2" w:space="0" w:color="auto"/>
              <w:bottom w:val="single" w:sz="2" w:space="0" w:color="auto"/>
              <w:right w:val="single" w:sz="2" w:space="0" w:color="auto"/>
            </w:tcBorders>
          </w:tcPr>
          <w:p w14:paraId="3BAE4763" w14:textId="77777777" w:rsidR="00DB73A0" w:rsidRPr="007E3B4E" w:rsidRDefault="00DB73A0" w:rsidP="0043088E">
            <w:pPr>
              <w:pStyle w:val="NormalLeft"/>
            </w:pPr>
            <w:r w:rsidRPr="007E3B4E">
              <w:rPr>
                <w:rStyle w:val="CRDeleted"/>
              </w:rPr>
              <w:t>13. cikk, (1) bekezdés</w:t>
            </w:r>
          </w:p>
        </w:tc>
        <w:tc>
          <w:tcPr>
            <w:tcW w:w="4036" w:type="dxa"/>
            <w:tcBorders>
              <w:top w:val="single" w:sz="2" w:space="0" w:color="auto"/>
              <w:left w:val="single" w:sz="2" w:space="0" w:color="auto"/>
              <w:bottom w:val="single" w:sz="2" w:space="0" w:color="auto"/>
              <w:right w:val="single" w:sz="2" w:space="0" w:color="auto"/>
            </w:tcBorders>
          </w:tcPr>
          <w:p w14:paraId="27F56B12" w14:textId="77777777" w:rsidR="00DB73A0" w:rsidRPr="007E3B4E" w:rsidRDefault="00DB73A0" w:rsidP="0043088E">
            <w:pPr>
              <w:pStyle w:val="NormalLeft"/>
            </w:pPr>
            <w:r w:rsidRPr="007E3B4E">
              <w:rPr>
                <w:rStyle w:val="CRDeleted"/>
              </w:rPr>
              <w:t>9. cikk</w:t>
            </w:r>
          </w:p>
        </w:tc>
      </w:tr>
      <w:tr w:rsidR="00DB73A0" w:rsidRPr="007E3B4E" w14:paraId="24F5C764" w14:textId="77777777" w:rsidTr="0043088E">
        <w:tc>
          <w:tcPr>
            <w:tcW w:w="3579" w:type="dxa"/>
            <w:tcBorders>
              <w:top w:val="single" w:sz="2" w:space="0" w:color="auto"/>
              <w:left w:val="single" w:sz="2" w:space="0" w:color="auto"/>
              <w:bottom w:val="single" w:sz="2" w:space="0" w:color="auto"/>
              <w:right w:val="single" w:sz="2" w:space="0" w:color="auto"/>
            </w:tcBorders>
          </w:tcPr>
          <w:p w14:paraId="212B3194" w14:textId="77777777" w:rsidR="00DB73A0" w:rsidRPr="007E3B4E" w:rsidRDefault="00DB73A0" w:rsidP="0043088E">
            <w:pPr>
              <w:pStyle w:val="NormalLeft"/>
            </w:pPr>
            <w:r w:rsidRPr="007E3B4E">
              <w:rPr>
                <w:rStyle w:val="CRDeleted"/>
              </w:rPr>
              <w:t>13. cikk, (2) bekezdés</w:t>
            </w:r>
          </w:p>
        </w:tc>
        <w:tc>
          <w:tcPr>
            <w:tcW w:w="4036" w:type="dxa"/>
            <w:tcBorders>
              <w:top w:val="single" w:sz="2" w:space="0" w:color="auto"/>
              <w:left w:val="single" w:sz="2" w:space="0" w:color="auto"/>
              <w:bottom w:val="single" w:sz="2" w:space="0" w:color="auto"/>
              <w:right w:val="single" w:sz="2" w:space="0" w:color="auto"/>
            </w:tcBorders>
          </w:tcPr>
          <w:p w14:paraId="1119C70C" w14:textId="77777777" w:rsidR="00DB73A0" w:rsidRPr="007E3B4E" w:rsidRDefault="00DB73A0" w:rsidP="0043088E">
            <w:pPr>
              <w:pStyle w:val="NormalLeft"/>
            </w:pPr>
            <w:r w:rsidRPr="007E3B4E">
              <w:rPr>
                <w:rStyle w:val="CRDeleted"/>
              </w:rPr>
              <w:t>10. cikk és VII. melléklet, 1.1. pont</w:t>
            </w:r>
          </w:p>
        </w:tc>
      </w:tr>
      <w:tr w:rsidR="00DB73A0" w:rsidRPr="007E3B4E" w14:paraId="341CF874" w14:textId="77777777" w:rsidTr="0043088E">
        <w:tc>
          <w:tcPr>
            <w:tcW w:w="3579" w:type="dxa"/>
            <w:tcBorders>
              <w:top w:val="single" w:sz="2" w:space="0" w:color="auto"/>
              <w:left w:val="single" w:sz="2" w:space="0" w:color="auto"/>
              <w:bottom w:val="single" w:sz="2" w:space="0" w:color="auto"/>
              <w:right w:val="single" w:sz="2" w:space="0" w:color="auto"/>
            </w:tcBorders>
          </w:tcPr>
          <w:p w14:paraId="03EF0B5E" w14:textId="77777777" w:rsidR="00DB73A0" w:rsidRPr="007E3B4E" w:rsidRDefault="00DB73A0" w:rsidP="0043088E">
            <w:pPr>
              <w:pStyle w:val="NormalLeft"/>
            </w:pPr>
            <w:r w:rsidRPr="007E3B4E">
              <w:rPr>
                <w:rStyle w:val="CRDeleted"/>
              </w:rPr>
              <w:t>13. cikk, (3) bekezdés</w:t>
            </w:r>
          </w:p>
        </w:tc>
        <w:tc>
          <w:tcPr>
            <w:tcW w:w="4036" w:type="dxa"/>
            <w:tcBorders>
              <w:top w:val="single" w:sz="2" w:space="0" w:color="auto"/>
              <w:left w:val="single" w:sz="2" w:space="0" w:color="auto"/>
              <w:bottom w:val="single" w:sz="2" w:space="0" w:color="auto"/>
              <w:right w:val="single" w:sz="2" w:space="0" w:color="auto"/>
            </w:tcBorders>
          </w:tcPr>
          <w:p w14:paraId="0493C5EE" w14:textId="77777777" w:rsidR="00DB73A0" w:rsidRPr="007E3B4E" w:rsidRDefault="00DB73A0" w:rsidP="0043088E">
            <w:pPr>
              <w:pStyle w:val="NormalLeft"/>
            </w:pPr>
            <w:r w:rsidRPr="007E3B4E">
              <w:rPr>
                <w:rStyle w:val="CRDeleted"/>
              </w:rPr>
              <w:t>VII. melléklet, 1.2. és 1.3. pont</w:t>
            </w:r>
          </w:p>
        </w:tc>
      </w:tr>
      <w:tr w:rsidR="00DB73A0" w:rsidRPr="007E3B4E" w14:paraId="4815300A" w14:textId="77777777" w:rsidTr="0043088E">
        <w:tc>
          <w:tcPr>
            <w:tcW w:w="3579" w:type="dxa"/>
            <w:tcBorders>
              <w:top w:val="single" w:sz="2" w:space="0" w:color="auto"/>
              <w:left w:val="single" w:sz="2" w:space="0" w:color="auto"/>
              <w:bottom w:val="single" w:sz="2" w:space="0" w:color="auto"/>
              <w:right w:val="single" w:sz="2" w:space="0" w:color="auto"/>
            </w:tcBorders>
          </w:tcPr>
          <w:p w14:paraId="56744E6F"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6F1DF6D" w14:textId="77777777" w:rsidR="00DB73A0" w:rsidRPr="007E3B4E" w:rsidRDefault="00DB73A0" w:rsidP="0043088E">
            <w:pPr>
              <w:pStyle w:val="NormalLeft"/>
            </w:pPr>
            <w:r w:rsidRPr="007E3B4E">
              <w:rPr>
                <w:rStyle w:val="CRDeleted"/>
              </w:rPr>
              <w:t>11. cikk</w:t>
            </w:r>
          </w:p>
        </w:tc>
      </w:tr>
      <w:tr w:rsidR="00DB73A0" w:rsidRPr="007E3B4E" w14:paraId="36C4B160" w14:textId="77777777" w:rsidTr="0043088E">
        <w:tc>
          <w:tcPr>
            <w:tcW w:w="3579" w:type="dxa"/>
            <w:tcBorders>
              <w:top w:val="single" w:sz="2" w:space="0" w:color="auto"/>
              <w:left w:val="single" w:sz="2" w:space="0" w:color="auto"/>
              <w:bottom w:val="single" w:sz="2" w:space="0" w:color="auto"/>
              <w:right w:val="single" w:sz="2" w:space="0" w:color="auto"/>
            </w:tcBorders>
          </w:tcPr>
          <w:p w14:paraId="6FE0C87F"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1D789A50" w14:textId="77777777" w:rsidR="00DB73A0" w:rsidRPr="007E3B4E" w:rsidRDefault="00DB73A0" w:rsidP="0043088E">
            <w:pPr>
              <w:pStyle w:val="NormalLeft"/>
            </w:pPr>
            <w:r w:rsidRPr="007E3B4E">
              <w:rPr>
                <w:rStyle w:val="CRDeleted"/>
              </w:rPr>
              <w:t>12. cikk</w:t>
            </w:r>
          </w:p>
        </w:tc>
      </w:tr>
      <w:tr w:rsidR="00DB73A0" w:rsidRPr="007E3B4E" w14:paraId="03C44072" w14:textId="77777777" w:rsidTr="0043088E">
        <w:tc>
          <w:tcPr>
            <w:tcW w:w="3579" w:type="dxa"/>
            <w:tcBorders>
              <w:top w:val="single" w:sz="2" w:space="0" w:color="auto"/>
              <w:left w:val="single" w:sz="2" w:space="0" w:color="auto"/>
              <w:bottom w:val="single" w:sz="2" w:space="0" w:color="auto"/>
              <w:right w:val="single" w:sz="2" w:space="0" w:color="auto"/>
            </w:tcBorders>
          </w:tcPr>
          <w:p w14:paraId="32D58033"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3A3F394" w14:textId="77777777" w:rsidR="00DB73A0" w:rsidRPr="007E3B4E" w:rsidRDefault="00DB73A0" w:rsidP="0043088E">
            <w:pPr>
              <w:pStyle w:val="NormalLeft"/>
            </w:pPr>
            <w:r w:rsidRPr="007E3B4E">
              <w:rPr>
                <w:rStyle w:val="CRDeleted"/>
              </w:rPr>
              <w:t>13. cikk</w:t>
            </w:r>
          </w:p>
        </w:tc>
      </w:tr>
      <w:tr w:rsidR="00DB73A0" w:rsidRPr="007E3B4E" w14:paraId="64D5A64D" w14:textId="77777777" w:rsidTr="0043088E">
        <w:tc>
          <w:tcPr>
            <w:tcW w:w="3579" w:type="dxa"/>
            <w:tcBorders>
              <w:top w:val="single" w:sz="2" w:space="0" w:color="auto"/>
              <w:left w:val="single" w:sz="2" w:space="0" w:color="auto"/>
              <w:bottom w:val="single" w:sz="2" w:space="0" w:color="auto"/>
              <w:right w:val="single" w:sz="2" w:space="0" w:color="auto"/>
            </w:tcBorders>
          </w:tcPr>
          <w:p w14:paraId="1AE91A6D"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7BA7863C" w14:textId="77777777" w:rsidR="00DB73A0" w:rsidRPr="007E3B4E" w:rsidRDefault="00DB73A0" w:rsidP="0043088E">
            <w:pPr>
              <w:pStyle w:val="NormalLeft"/>
            </w:pPr>
            <w:r w:rsidRPr="007E3B4E">
              <w:rPr>
                <w:rStyle w:val="CRDeleted"/>
              </w:rPr>
              <w:t>15. cikk, (1) és (2) bekezdés</w:t>
            </w:r>
          </w:p>
        </w:tc>
      </w:tr>
      <w:tr w:rsidR="00DB73A0" w:rsidRPr="007E3B4E" w14:paraId="7458323A" w14:textId="77777777" w:rsidTr="0043088E">
        <w:tc>
          <w:tcPr>
            <w:tcW w:w="3579" w:type="dxa"/>
            <w:tcBorders>
              <w:top w:val="single" w:sz="2" w:space="0" w:color="auto"/>
              <w:left w:val="single" w:sz="2" w:space="0" w:color="auto"/>
              <w:bottom w:val="single" w:sz="2" w:space="0" w:color="auto"/>
              <w:right w:val="single" w:sz="2" w:space="0" w:color="auto"/>
            </w:tcBorders>
          </w:tcPr>
          <w:p w14:paraId="7359D793"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58B0090E" w14:textId="77777777" w:rsidR="00DB73A0" w:rsidRPr="007E3B4E" w:rsidRDefault="00DB73A0" w:rsidP="0043088E">
            <w:pPr>
              <w:pStyle w:val="NormalLeft"/>
            </w:pPr>
            <w:r w:rsidRPr="007E3B4E">
              <w:rPr>
                <w:rStyle w:val="CRDeleted"/>
              </w:rPr>
              <w:t>18. cikk, (2) bekezdés, a) és d) pont</w:t>
            </w:r>
          </w:p>
        </w:tc>
      </w:tr>
      <w:tr w:rsidR="00DB73A0" w:rsidRPr="007E3B4E" w14:paraId="414C6BA3" w14:textId="77777777" w:rsidTr="0043088E">
        <w:tc>
          <w:tcPr>
            <w:tcW w:w="3579" w:type="dxa"/>
            <w:tcBorders>
              <w:top w:val="single" w:sz="2" w:space="0" w:color="auto"/>
              <w:left w:val="single" w:sz="2" w:space="0" w:color="auto"/>
              <w:bottom w:val="single" w:sz="2" w:space="0" w:color="auto"/>
              <w:right w:val="single" w:sz="2" w:space="0" w:color="auto"/>
            </w:tcBorders>
          </w:tcPr>
          <w:p w14:paraId="768BDA98"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6E4DFF6A" w14:textId="77777777" w:rsidR="00DB73A0" w:rsidRPr="007E3B4E" w:rsidRDefault="00DB73A0" w:rsidP="0043088E">
            <w:pPr>
              <w:pStyle w:val="NormalLeft"/>
            </w:pPr>
            <w:r w:rsidRPr="007E3B4E">
              <w:rPr>
                <w:rStyle w:val="CRDeleted"/>
              </w:rPr>
              <w:t>21. cikk</w:t>
            </w:r>
          </w:p>
        </w:tc>
      </w:tr>
      <w:tr w:rsidR="00DB73A0" w:rsidRPr="007E3B4E" w14:paraId="14AD6B7C" w14:textId="77777777" w:rsidTr="0043088E">
        <w:tc>
          <w:tcPr>
            <w:tcW w:w="3579" w:type="dxa"/>
            <w:tcBorders>
              <w:top w:val="single" w:sz="2" w:space="0" w:color="auto"/>
              <w:left w:val="single" w:sz="2" w:space="0" w:color="auto"/>
              <w:bottom w:val="single" w:sz="2" w:space="0" w:color="auto"/>
              <w:right w:val="single" w:sz="2" w:space="0" w:color="auto"/>
            </w:tcBorders>
          </w:tcPr>
          <w:p w14:paraId="2BCA15DF" w14:textId="77777777" w:rsidR="00DB73A0" w:rsidRPr="007E3B4E" w:rsidRDefault="00DB73A0" w:rsidP="0043088E">
            <w:pPr>
              <w:pStyle w:val="NormalLeft"/>
            </w:pPr>
            <w:r w:rsidRPr="007E3B4E">
              <w:rPr>
                <w:rStyle w:val="CRDeleted"/>
              </w:rPr>
              <w:t>14. cikk, (1) és (2) bekezdés</w:t>
            </w:r>
          </w:p>
        </w:tc>
        <w:tc>
          <w:tcPr>
            <w:tcW w:w="4036" w:type="dxa"/>
            <w:tcBorders>
              <w:top w:val="single" w:sz="2" w:space="0" w:color="auto"/>
              <w:left w:val="single" w:sz="2" w:space="0" w:color="auto"/>
              <w:bottom w:val="single" w:sz="2" w:space="0" w:color="auto"/>
              <w:right w:val="single" w:sz="2" w:space="0" w:color="auto"/>
            </w:tcBorders>
          </w:tcPr>
          <w:p w14:paraId="02B5D4B2" w14:textId="77777777" w:rsidR="00DB73A0" w:rsidRPr="007E3B4E" w:rsidRDefault="00DB73A0" w:rsidP="0043088E">
            <w:pPr>
              <w:pStyle w:val="NormalLeft"/>
            </w:pPr>
            <w:r w:rsidRPr="007E3B4E">
              <w:rPr>
                <w:rStyle w:val="CRDeleted"/>
              </w:rPr>
              <w:t>24. cikk, (1) és (2) bekezdés</w:t>
            </w:r>
          </w:p>
        </w:tc>
      </w:tr>
      <w:tr w:rsidR="00DB73A0" w:rsidRPr="007E3B4E" w14:paraId="34217C79" w14:textId="77777777" w:rsidTr="0043088E">
        <w:tc>
          <w:tcPr>
            <w:tcW w:w="3579" w:type="dxa"/>
            <w:tcBorders>
              <w:top w:val="single" w:sz="2" w:space="0" w:color="auto"/>
              <w:left w:val="single" w:sz="2" w:space="0" w:color="auto"/>
              <w:bottom w:val="single" w:sz="2" w:space="0" w:color="auto"/>
              <w:right w:val="single" w:sz="2" w:space="0" w:color="auto"/>
            </w:tcBorders>
          </w:tcPr>
          <w:p w14:paraId="5C013E14" w14:textId="77777777" w:rsidR="00DB73A0" w:rsidRPr="007E3B4E" w:rsidRDefault="00DB73A0" w:rsidP="0043088E">
            <w:pPr>
              <w:pStyle w:val="NormalLeft"/>
            </w:pPr>
            <w:r w:rsidRPr="007E3B4E">
              <w:rPr>
                <w:rStyle w:val="CRDeleted"/>
              </w:rPr>
              <w:t>14. cikk, (3) bekezdés</w:t>
            </w:r>
          </w:p>
        </w:tc>
        <w:tc>
          <w:tcPr>
            <w:tcW w:w="4036" w:type="dxa"/>
            <w:tcBorders>
              <w:top w:val="single" w:sz="2" w:space="0" w:color="auto"/>
              <w:left w:val="single" w:sz="2" w:space="0" w:color="auto"/>
              <w:bottom w:val="single" w:sz="2" w:space="0" w:color="auto"/>
              <w:right w:val="single" w:sz="2" w:space="0" w:color="auto"/>
            </w:tcBorders>
          </w:tcPr>
          <w:p w14:paraId="36B7616E" w14:textId="77777777" w:rsidR="00DB73A0" w:rsidRPr="007E3B4E" w:rsidRDefault="00DB73A0" w:rsidP="0043088E">
            <w:pPr>
              <w:pStyle w:val="NormalLeft"/>
            </w:pPr>
            <w:r w:rsidRPr="007E3B4E">
              <w:rPr>
                <w:rStyle w:val="CRDeleted"/>
              </w:rPr>
              <w:t>—</w:t>
            </w:r>
          </w:p>
        </w:tc>
      </w:tr>
      <w:tr w:rsidR="00DB73A0" w:rsidRPr="007E3B4E" w14:paraId="59A6E52E" w14:textId="77777777" w:rsidTr="0043088E">
        <w:tc>
          <w:tcPr>
            <w:tcW w:w="3579" w:type="dxa"/>
            <w:tcBorders>
              <w:top w:val="single" w:sz="2" w:space="0" w:color="auto"/>
              <w:left w:val="single" w:sz="2" w:space="0" w:color="auto"/>
              <w:bottom w:val="single" w:sz="2" w:space="0" w:color="auto"/>
              <w:right w:val="single" w:sz="2" w:space="0" w:color="auto"/>
            </w:tcBorders>
          </w:tcPr>
          <w:p w14:paraId="03B0FAB0" w14:textId="77777777" w:rsidR="00DB73A0" w:rsidRPr="007E3B4E" w:rsidRDefault="00DB73A0" w:rsidP="0043088E">
            <w:pPr>
              <w:pStyle w:val="NormalLeft"/>
            </w:pPr>
            <w:r w:rsidRPr="007E3B4E">
              <w:rPr>
                <w:rStyle w:val="CRDeleted"/>
              </w:rPr>
              <w:t>14. cikk, (4) és (5) bekezdés</w:t>
            </w:r>
          </w:p>
        </w:tc>
        <w:tc>
          <w:tcPr>
            <w:tcW w:w="4036" w:type="dxa"/>
            <w:tcBorders>
              <w:top w:val="single" w:sz="2" w:space="0" w:color="auto"/>
              <w:left w:val="single" w:sz="2" w:space="0" w:color="auto"/>
              <w:bottom w:val="single" w:sz="2" w:space="0" w:color="auto"/>
              <w:right w:val="single" w:sz="2" w:space="0" w:color="auto"/>
            </w:tcBorders>
          </w:tcPr>
          <w:p w14:paraId="378DE56A" w14:textId="77777777" w:rsidR="00DB73A0" w:rsidRPr="007E3B4E" w:rsidRDefault="00DB73A0" w:rsidP="0043088E">
            <w:pPr>
              <w:pStyle w:val="NormalLeft"/>
            </w:pPr>
            <w:r w:rsidRPr="007E3B4E">
              <w:rPr>
                <w:rStyle w:val="CRDeleted"/>
              </w:rPr>
              <w:t>24. cikk, (3) bekezdés</w:t>
            </w:r>
          </w:p>
        </w:tc>
      </w:tr>
      <w:tr w:rsidR="00DB73A0" w:rsidRPr="007E3B4E" w14:paraId="64BA403C" w14:textId="77777777" w:rsidTr="0043088E">
        <w:tc>
          <w:tcPr>
            <w:tcW w:w="3579" w:type="dxa"/>
            <w:tcBorders>
              <w:top w:val="single" w:sz="2" w:space="0" w:color="auto"/>
              <w:left w:val="single" w:sz="2" w:space="0" w:color="auto"/>
              <w:bottom w:val="single" w:sz="2" w:space="0" w:color="auto"/>
              <w:right w:val="single" w:sz="2" w:space="0" w:color="auto"/>
            </w:tcBorders>
          </w:tcPr>
          <w:p w14:paraId="72B2EF19"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558B86AB" w14:textId="77777777" w:rsidR="00DB73A0" w:rsidRPr="007E3B4E" w:rsidRDefault="00DB73A0" w:rsidP="0043088E">
            <w:pPr>
              <w:pStyle w:val="NormalLeft"/>
            </w:pPr>
            <w:r w:rsidRPr="007E3B4E">
              <w:rPr>
                <w:rStyle w:val="CRDeleted"/>
              </w:rPr>
              <w:t>24. cikk, (4) és (7)–(11) bekezdés</w:t>
            </w:r>
          </w:p>
        </w:tc>
      </w:tr>
      <w:tr w:rsidR="00DB73A0" w:rsidRPr="007E3B4E" w14:paraId="615FB519" w14:textId="77777777" w:rsidTr="0043088E">
        <w:tc>
          <w:tcPr>
            <w:tcW w:w="3579" w:type="dxa"/>
            <w:tcBorders>
              <w:top w:val="single" w:sz="2" w:space="0" w:color="auto"/>
              <w:left w:val="single" w:sz="2" w:space="0" w:color="auto"/>
              <w:bottom w:val="single" w:sz="2" w:space="0" w:color="auto"/>
              <w:right w:val="single" w:sz="2" w:space="0" w:color="auto"/>
            </w:tcBorders>
          </w:tcPr>
          <w:p w14:paraId="583F3023"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0B268F9A" w14:textId="77777777" w:rsidR="00DB73A0" w:rsidRPr="007E3B4E" w:rsidRDefault="00DB73A0" w:rsidP="0043088E">
            <w:pPr>
              <w:pStyle w:val="NormalLeft"/>
            </w:pPr>
            <w:r w:rsidRPr="007E3B4E">
              <w:rPr>
                <w:rStyle w:val="CRDeleted"/>
              </w:rPr>
              <w:t>22. cikk, (1) bekezdés</w:t>
            </w:r>
          </w:p>
        </w:tc>
      </w:tr>
      <w:tr w:rsidR="00DB73A0" w:rsidRPr="007E3B4E" w14:paraId="538A0150" w14:textId="77777777" w:rsidTr="0043088E">
        <w:tc>
          <w:tcPr>
            <w:tcW w:w="3579" w:type="dxa"/>
            <w:tcBorders>
              <w:top w:val="single" w:sz="2" w:space="0" w:color="auto"/>
              <w:left w:val="single" w:sz="2" w:space="0" w:color="auto"/>
              <w:bottom w:val="single" w:sz="2" w:space="0" w:color="auto"/>
              <w:right w:val="single" w:sz="2" w:space="0" w:color="auto"/>
            </w:tcBorders>
          </w:tcPr>
          <w:p w14:paraId="2FB37C17" w14:textId="77777777" w:rsidR="00DB73A0" w:rsidRPr="007E3B4E" w:rsidRDefault="00DB73A0" w:rsidP="0043088E">
            <w:pPr>
              <w:pStyle w:val="NormalLeft"/>
            </w:pPr>
            <w:r w:rsidRPr="007E3B4E">
              <w:rPr>
                <w:rStyle w:val="CRDeleted"/>
              </w:rPr>
              <w:t>15. cikk, (1) bekezdés</w:t>
            </w:r>
          </w:p>
        </w:tc>
        <w:tc>
          <w:tcPr>
            <w:tcW w:w="4036" w:type="dxa"/>
            <w:tcBorders>
              <w:top w:val="single" w:sz="2" w:space="0" w:color="auto"/>
              <w:left w:val="single" w:sz="2" w:space="0" w:color="auto"/>
              <w:bottom w:val="single" w:sz="2" w:space="0" w:color="auto"/>
              <w:right w:val="single" w:sz="2" w:space="0" w:color="auto"/>
            </w:tcBorders>
          </w:tcPr>
          <w:p w14:paraId="13AC4970" w14:textId="77777777" w:rsidR="00DB73A0" w:rsidRPr="007E3B4E" w:rsidRDefault="00DB73A0" w:rsidP="0043088E">
            <w:pPr>
              <w:pStyle w:val="NormalLeft"/>
            </w:pPr>
            <w:r w:rsidRPr="007E3B4E">
              <w:rPr>
                <w:rStyle w:val="CRDeleted"/>
              </w:rPr>
              <w:t>22. cikk, (2) bekezdés</w:t>
            </w:r>
          </w:p>
        </w:tc>
      </w:tr>
      <w:tr w:rsidR="00DB73A0" w:rsidRPr="007E3B4E" w14:paraId="3CFEB1E7" w14:textId="77777777" w:rsidTr="0043088E">
        <w:tc>
          <w:tcPr>
            <w:tcW w:w="3579" w:type="dxa"/>
            <w:tcBorders>
              <w:top w:val="single" w:sz="2" w:space="0" w:color="auto"/>
              <w:left w:val="single" w:sz="2" w:space="0" w:color="auto"/>
              <w:bottom w:val="single" w:sz="2" w:space="0" w:color="auto"/>
              <w:right w:val="single" w:sz="2" w:space="0" w:color="auto"/>
            </w:tcBorders>
          </w:tcPr>
          <w:p w14:paraId="706139AB" w14:textId="77777777" w:rsidR="00DB73A0" w:rsidRPr="007E3B4E" w:rsidRDefault="00DB73A0" w:rsidP="0043088E">
            <w:pPr>
              <w:pStyle w:val="NormalLeft"/>
            </w:pPr>
            <w:r w:rsidRPr="007E3B4E">
              <w:rPr>
                <w:rStyle w:val="CRDeleted"/>
              </w:rPr>
              <w:t>15. cikk, (2), (3) és (4) bekezdés</w:t>
            </w:r>
          </w:p>
        </w:tc>
        <w:tc>
          <w:tcPr>
            <w:tcW w:w="4036" w:type="dxa"/>
            <w:tcBorders>
              <w:top w:val="single" w:sz="2" w:space="0" w:color="auto"/>
              <w:left w:val="single" w:sz="2" w:space="0" w:color="auto"/>
              <w:bottom w:val="single" w:sz="2" w:space="0" w:color="auto"/>
              <w:right w:val="single" w:sz="2" w:space="0" w:color="auto"/>
            </w:tcBorders>
          </w:tcPr>
          <w:p w14:paraId="5CEE4CA1" w14:textId="77777777" w:rsidR="00DB73A0" w:rsidRPr="007E3B4E" w:rsidRDefault="00DB73A0" w:rsidP="0043088E">
            <w:pPr>
              <w:pStyle w:val="NormalLeft"/>
            </w:pPr>
            <w:r w:rsidRPr="007E3B4E">
              <w:rPr>
                <w:rStyle w:val="CRDeleted"/>
              </w:rPr>
              <w:t>—</w:t>
            </w:r>
          </w:p>
        </w:tc>
      </w:tr>
      <w:tr w:rsidR="00DB73A0" w:rsidRPr="007E3B4E" w14:paraId="018715DD" w14:textId="77777777" w:rsidTr="0043088E">
        <w:tc>
          <w:tcPr>
            <w:tcW w:w="3579" w:type="dxa"/>
            <w:tcBorders>
              <w:top w:val="single" w:sz="2" w:space="0" w:color="auto"/>
              <w:left w:val="single" w:sz="2" w:space="0" w:color="auto"/>
              <w:bottom w:val="single" w:sz="2" w:space="0" w:color="auto"/>
              <w:right w:val="single" w:sz="2" w:space="0" w:color="auto"/>
            </w:tcBorders>
          </w:tcPr>
          <w:p w14:paraId="11FBB699"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0098D098" w14:textId="77777777" w:rsidR="00DB73A0" w:rsidRPr="007E3B4E" w:rsidRDefault="00DB73A0" w:rsidP="0043088E">
            <w:pPr>
              <w:pStyle w:val="NormalLeft"/>
            </w:pPr>
            <w:r w:rsidRPr="007E3B4E">
              <w:rPr>
                <w:rStyle w:val="CRDeleted"/>
              </w:rPr>
              <w:t>23. cikk</w:t>
            </w:r>
          </w:p>
        </w:tc>
      </w:tr>
      <w:tr w:rsidR="00DB73A0" w:rsidRPr="007E3B4E" w14:paraId="74055478" w14:textId="77777777" w:rsidTr="0043088E">
        <w:tc>
          <w:tcPr>
            <w:tcW w:w="3579" w:type="dxa"/>
            <w:tcBorders>
              <w:top w:val="single" w:sz="2" w:space="0" w:color="auto"/>
              <w:left w:val="single" w:sz="2" w:space="0" w:color="auto"/>
              <w:bottom w:val="single" w:sz="2" w:space="0" w:color="auto"/>
              <w:right w:val="single" w:sz="2" w:space="0" w:color="auto"/>
            </w:tcBorders>
          </w:tcPr>
          <w:p w14:paraId="365E6D12"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5F8B09D7" w14:textId="77777777" w:rsidR="00DB73A0" w:rsidRPr="007E3B4E" w:rsidRDefault="00DB73A0" w:rsidP="0043088E">
            <w:pPr>
              <w:pStyle w:val="NormalLeft"/>
            </w:pPr>
            <w:r w:rsidRPr="007E3B4E">
              <w:rPr>
                <w:rStyle w:val="CRDeleted"/>
              </w:rPr>
              <w:t>25. cikk</w:t>
            </w:r>
          </w:p>
        </w:tc>
      </w:tr>
      <w:tr w:rsidR="00DB73A0" w:rsidRPr="007E3B4E" w14:paraId="5AD78781" w14:textId="77777777" w:rsidTr="0043088E">
        <w:tc>
          <w:tcPr>
            <w:tcW w:w="3579" w:type="dxa"/>
            <w:tcBorders>
              <w:top w:val="single" w:sz="2" w:space="0" w:color="auto"/>
              <w:left w:val="single" w:sz="2" w:space="0" w:color="auto"/>
              <w:bottom w:val="single" w:sz="2" w:space="0" w:color="auto"/>
              <w:right w:val="single" w:sz="2" w:space="0" w:color="auto"/>
            </w:tcBorders>
          </w:tcPr>
          <w:p w14:paraId="0B8677DB" w14:textId="77777777" w:rsidR="00DB73A0" w:rsidRPr="007E3B4E" w:rsidRDefault="00DB73A0" w:rsidP="0043088E">
            <w:pPr>
              <w:pStyle w:val="NormalLeft"/>
            </w:pPr>
            <w:r w:rsidRPr="007E3B4E">
              <w:rPr>
                <w:rStyle w:val="CRDeleted"/>
              </w:rPr>
              <w:t>16. cikk</w:t>
            </w:r>
          </w:p>
        </w:tc>
        <w:tc>
          <w:tcPr>
            <w:tcW w:w="4036" w:type="dxa"/>
            <w:tcBorders>
              <w:top w:val="single" w:sz="2" w:space="0" w:color="auto"/>
              <w:left w:val="single" w:sz="2" w:space="0" w:color="auto"/>
              <w:bottom w:val="single" w:sz="2" w:space="0" w:color="auto"/>
              <w:right w:val="single" w:sz="2" w:space="0" w:color="auto"/>
            </w:tcBorders>
          </w:tcPr>
          <w:p w14:paraId="40B0D491" w14:textId="77777777" w:rsidR="00DB73A0" w:rsidRPr="007E3B4E" w:rsidRDefault="00DB73A0" w:rsidP="0043088E">
            <w:pPr>
              <w:pStyle w:val="NormalLeft"/>
            </w:pPr>
            <w:r w:rsidRPr="007E3B4E">
              <w:rPr>
                <w:rStyle w:val="CRDeleted"/>
              </w:rPr>
              <w:t>26. cikk</w:t>
            </w:r>
          </w:p>
        </w:tc>
      </w:tr>
      <w:tr w:rsidR="00DB73A0" w:rsidRPr="007E3B4E" w14:paraId="03AB3827" w14:textId="77777777" w:rsidTr="0043088E">
        <w:tc>
          <w:tcPr>
            <w:tcW w:w="3579" w:type="dxa"/>
            <w:tcBorders>
              <w:top w:val="single" w:sz="2" w:space="0" w:color="auto"/>
              <w:left w:val="single" w:sz="2" w:space="0" w:color="auto"/>
              <w:bottom w:val="single" w:sz="2" w:space="0" w:color="auto"/>
              <w:right w:val="single" w:sz="2" w:space="0" w:color="auto"/>
            </w:tcBorders>
          </w:tcPr>
          <w:p w14:paraId="19764EFC" w14:textId="77777777" w:rsidR="00DB73A0" w:rsidRPr="007E3B4E" w:rsidRDefault="00DB73A0" w:rsidP="0043088E">
            <w:pPr>
              <w:pStyle w:val="NormalLeft"/>
            </w:pPr>
            <w:r w:rsidRPr="007E3B4E">
              <w:rPr>
                <w:rStyle w:val="CRDeleted"/>
              </w:rPr>
              <w:t>17. cikk</w:t>
            </w:r>
          </w:p>
        </w:tc>
        <w:tc>
          <w:tcPr>
            <w:tcW w:w="4036" w:type="dxa"/>
            <w:tcBorders>
              <w:top w:val="single" w:sz="2" w:space="0" w:color="auto"/>
              <w:left w:val="single" w:sz="2" w:space="0" w:color="auto"/>
              <w:bottom w:val="single" w:sz="2" w:space="0" w:color="auto"/>
              <w:right w:val="single" w:sz="2" w:space="0" w:color="auto"/>
            </w:tcBorders>
          </w:tcPr>
          <w:p w14:paraId="6AC0DB55" w14:textId="77777777" w:rsidR="00DB73A0" w:rsidRPr="007E3B4E" w:rsidRDefault="00DB73A0" w:rsidP="0043088E">
            <w:pPr>
              <w:pStyle w:val="NormalLeft"/>
            </w:pPr>
            <w:r w:rsidRPr="007E3B4E">
              <w:rPr>
                <w:rStyle w:val="CRDeleted"/>
              </w:rPr>
              <w:t>27. cikk</w:t>
            </w:r>
          </w:p>
        </w:tc>
      </w:tr>
      <w:tr w:rsidR="00DB73A0" w:rsidRPr="007E3B4E" w14:paraId="7FF9CA12" w14:textId="77777777" w:rsidTr="0043088E">
        <w:tc>
          <w:tcPr>
            <w:tcW w:w="3579" w:type="dxa"/>
            <w:tcBorders>
              <w:top w:val="single" w:sz="2" w:space="0" w:color="auto"/>
              <w:left w:val="single" w:sz="2" w:space="0" w:color="auto"/>
              <w:bottom w:val="single" w:sz="2" w:space="0" w:color="auto"/>
              <w:right w:val="single" w:sz="2" w:space="0" w:color="auto"/>
            </w:tcBorders>
          </w:tcPr>
          <w:p w14:paraId="5A95F5B3" w14:textId="77777777" w:rsidR="00DB73A0" w:rsidRPr="007E3B4E" w:rsidRDefault="00DB73A0" w:rsidP="0043088E">
            <w:pPr>
              <w:pStyle w:val="NormalLeft"/>
            </w:pPr>
            <w:r w:rsidRPr="007E3B4E">
              <w:rPr>
                <w:rStyle w:val="CRDeleted"/>
              </w:rPr>
              <w:t>18. cikk</w:t>
            </w:r>
          </w:p>
        </w:tc>
        <w:tc>
          <w:tcPr>
            <w:tcW w:w="4036" w:type="dxa"/>
            <w:tcBorders>
              <w:top w:val="single" w:sz="2" w:space="0" w:color="auto"/>
              <w:left w:val="single" w:sz="2" w:space="0" w:color="auto"/>
              <w:bottom w:val="single" w:sz="2" w:space="0" w:color="auto"/>
              <w:right w:val="single" w:sz="2" w:space="0" w:color="auto"/>
            </w:tcBorders>
          </w:tcPr>
          <w:p w14:paraId="45FFC372" w14:textId="77777777" w:rsidR="00DB73A0" w:rsidRPr="007E3B4E" w:rsidRDefault="00DB73A0" w:rsidP="0043088E">
            <w:pPr>
              <w:pStyle w:val="NormalLeft"/>
            </w:pPr>
            <w:r w:rsidRPr="007E3B4E">
              <w:rPr>
                <w:rStyle w:val="CRDeleted"/>
              </w:rPr>
              <w:t>28. cikk</w:t>
            </w:r>
          </w:p>
        </w:tc>
      </w:tr>
      <w:tr w:rsidR="00DB73A0" w:rsidRPr="007E3B4E" w14:paraId="14BABD16" w14:textId="77777777" w:rsidTr="0043088E">
        <w:tc>
          <w:tcPr>
            <w:tcW w:w="3579" w:type="dxa"/>
            <w:tcBorders>
              <w:top w:val="single" w:sz="2" w:space="0" w:color="auto"/>
              <w:left w:val="single" w:sz="2" w:space="0" w:color="auto"/>
              <w:bottom w:val="single" w:sz="2" w:space="0" w:color="auto"/>
              <w:right w:val="single" w:sz="2" w:space="0" w:color="auto"/>
            </w:tcBorders>
          </w:tcPr>
          <w:p w14:paraId="2CCA16B1" w14:textId="77777777" w:rsidR="00DB73A0" w:rsidRPr="007E3B4E" w:rsidRDefault="00DB73A0" w:rsidP="0043088E">
            <w:pPr>
              <w:pStyle w:val="NormalLeft"/>
            </w:pPr>
            <w:r w:rsidRPr="007E3B4E">
              <w:rPr>
                <w:rStyle w:val="CRDeleted"/>
              </w:rPr>
              <w:t>19. cikk</w:t>
            </w:r>
          </w:p>
        </w:tc>
        <w:tc>
          <w:tcPr>
            <w:tcW w:w="4036" w:type="dxa"/>
            <w:tcBorders>
              <w:top w:val="single" w:sz="2" w:space="0" w:color="auto"/>
              <w:left w:val="single" w:sz="2" w:space="0" w:color="auto"/>
              <w:bottom w:val="single" w:sz="2" w:space="0" w:color="auto"/>
              <w:right w:val="single" w:sz="2" w:space="0" w:color="auto"/>
            </w:tcBorders>
          </w:tcPr>
          <w:p w14:paraId="5FD54B68" w14:textId="77777777" w:rsidR="00DB73A0" w:rsidRPr="007E3B4E" w:rsidRDefault="00DB73A0" w:rsidP="0043088E">
            <w:pPr>
              <w:pStyle w:val="NormalLeft"/>
            </w:pPr>
            <w:r w:rsidRPr="007E3B4E">
              <w:rPr>
                <w:rStyle w:val="CRDeleted"/>
              </w:rPr>
              <w:t>29. cikk</w:t>
            </w:r>
          </w:p>
        </w:tc>
      </w:tr>
      <w:tr w:rsidR="00DB73A0" w:rsidRPr="007E3B4E" w14:paraId="73D453D6" w14:textId="77777777" w:rsidTr="0043088E">
        <w:tc>
          <w:tcPr>
            <w:tcW w:w="3579" w:type="dxa"/>
            <w:tcBorders>
              <w:top w:val="single" w:sz="2" w:space="0" w:color="auto"/>
              <w:left w:val="single" w:sz="2" w:space="0" w:color="auto"/>
              <w:bottom w:val="single" w:sz="2" w:space="0" w:color="auto"/>
              <w:right w:val="single" w:sz="2" w:space="0" w:color="auto"/>
            </w:tcBorders>
          </w:tcPr>
          <w:p w14:paraId="5AF4A279" w14:textId="77777777" w:rsidR="00DB73A0" w:rsidRPr="007E3B4E" w:rsidRDefault="00DB73A0" w:rsidP="0043088E">
            <w:pPr>
              <w:pStyle w:val="NormalLeft"/>
            </w:pPr>
            <w:r w:rsidRPr="007E3B4E">
              <w:rPr>
                <w:rStyle w:val="CRDeleted"/>
              </w:rPr>
              <w:t>20. cikk</w:t>
            </w:r>
          </w:p>
        </w:tc>
        <w:tc>
          <w:tcPr>
            <w:tcW w:w="4036" w:type="dxa"/>
            <w:tcBorders>
              <w:top w:val="single" w:sz="2" w:space="0" w:color="auto"/>
              <w:left w:val="single" w:sz="2" w:space="0" w:color="auto"/>
              <w:bottom w:val="single" w:sz="2" w:space="0" w:color="auto"/>
              <w:right w:val="single" w:sz="2" w:space="0" w:color="auto"/>
            </w:tcBorders>
          </w:tcPr>
          <w:p w14:paraId="7609DF9C" w14:textId="77777777" w:rsidR="00DB73A0" w:rsidRPr="007E3B4E" w:rsidRDefault="00DB73A0" w:rsidP="0043088E">
            <w:pPr>
              <w:pStyle w:val="NormalLeft"/>
            </w:pPr>
            <w:r w:rsidRPr="007E3B4E">
              <w:rPr>
                <w:rStyle w:val="CRDeleted"/>
              </w:rPr>
              <w:t>30. cikk</w:t>
            </w:r>
          </w:p>
        </w:tc>
      </w:tr>
      <w:tr w:rsidR="00DB73A0" w:rsidRPr="007E3B4E" w14:paraId="05786D59" w14:textId="77777777" w:rsidTr="0043088E">
        <w:tc>
          <w:tcPr>
            <w:tcW w:w="3579" w:type="dxa"/>
            <w:tcBorders>
              <w:top w:val="single" w:sz="2" w:space="0" w:color="auto"/>
              <w:left w:val="single" w:sz="2" w:space="0" w:color="auto"/>
              <w:bottom w:val="single" w:sz="2" w:space="0" w:color="auto"/>
              <w:right w:val="single" w:sz="2" w:space="0" w:color="auto"/>
            </w:tcBorders>
          </w:tcPr>
          <w:p w14:paraId="33A135CC" w14:textId="77777777" w:rsidR="00DB73A0" w:rsidRPr="007E3B4E" w:rsidRDefault="00DB73A0" w:rsidP="0043088E">
            <w:pPr>
              <w:pStyle w:val="NormalLeft"/>
            </w:pPr>
            <w:r w:rsidRPr="007E3B4E">
              <w:rPr>
                <w:rStyle w:val="CRDeleted"/>
              </w:rPr>
              <w:t>I. melléklet</w:t>
            </w:r>
          </w:p>
        </w:tc>
        <w:tc>
          <w:tcPr>
            <w:tcW w:w="4036" w:type="dxa"/>
            <w:tcBorders>
              <w:top w:val="single" w:sz="2" w:space="0" w:color="auto"/>
              <w:left w:val="single" w:sz="2" w:space="0" w:color="auto"/>
              <w:bottom w:val="single" w:sz="2" w:space="0" w:color="auto"/>
              <w:right w:val="single" w:sz="2" w:space="0" w:color="auto"/>
            </w:tcBorders>
          </w:tcPr>
          <w:p w14:paraId="4A99B318" w14:textId="77777777" w:rsidR="00DB73A0" w:rsidRPr="007E3B4E" w:rsidRDefault="00DB73A0" w:rsidP="0043088E">
            <w:pPr>
              <w:pStyle w:val="NormalLeft"/>
            </w:pPr>
            <w:r w:rsidRPr="007E3B4E">
              <w:rPr>
                <w:rStyle w:val="CRDeleted"/>
              </w:rPr>
              <w:t>—</w:t>
            </w:r>
          </w:p>
        </w:tc>
      </w:tr>
      <w:tr w:rsidR="00DB73A0" w:rsidRPr="007E3B4E" w14:paraId="5BC5427E" w14:textId="77777777" w:rsidTr="0043088E">
        <w:tc>
          <w:tcPr>
            <w:tcW w:w="3579" w:type="dxa"/>
            <w:tcBorders>
              <w:top w:val="single" w:sz="2" w:space="0" w:color="auto"/>
              <w:left w:val="single" w:sz="2" w:space="0" w:color="auto"/>
              <w:bottom w:val="single" w:sz="2" w:space="0" w:color="auto"/>
              <w:right w:val="single" w:sz="2" w:space="0" w:color="auto"/>
            </w:tcBorders>
          </w:tcPr>
          <w:p w14:paraId="7807A9B3" w14:textId="77777777" w:rsidR="00DB73A0" w:rsidRPr="007E3B4E" w:rsidRDefault="00DB73A0" w:rsidP="0043088E">
            <w:pPr>
              <w:pStyle w:val="NormalLeft"/>
            </w:pPr>
            <w:r w:rsidRPr="007E3B4E">
              <w:rPr>
                <w:rStyle w:val="CRDeleted"/>
              </w:rPr>
              <w:t>II. melléklet</w:t>
            </w:r>
          </w:p>
        </w:tc>
        <w:tc>
          <w:tcPr>
            <w:tcW w:w="4036" w:type="dxa"/>
            <w:tcBorders>
              <w:top w:val="single" w:sz="2" w:space="0" w:color="auto"/>
              <w:left w:val="single" w:sz="2" w:space="0" w:color="auto"/>
              <w:bottom w:val="single" w:sz="2" w:space="0" w:color="auto"/>
              <w:right w:val="single" w:sz="2" w:space="0" w:color="auto"/>
            </w:tcBorders>
          </w:tcPr>
          <w:p w14:paraId="590624F9" w14:textId="77777777" w:rsidR="00DB73A0" w:rsidRPr="007E3B4E" w:rsidRDefault="00DB73A0" w:rsidP="0043088E">
            <w:pPr>
              <w:pStyle w:val="NormalLeft"/>
            </w:pPr>
            <w:r w:rsidRPr="007E3B4E">
              <w:rPr>
                <w:rStyle w:val="CRDeleted"/>
              </w:rPr>
              <w:t>IV. melléklet</w:t>
            </w:r>
          </w:p>
        </w:tc>
      </w:tr>
      <w:tr w:rsidR="00DB73A0" w:rsidRPr="007E3B4E" w14:paraId="5B085E70" w14:textId="77777777" w:rsidTr="0043088E">
        <w:tc>
          <w:tcPr>
            <w:tcW w:w="3579" w:type="dxa"/>
            <w:tcBorders>
              <w:top w:val="single" w:sz="2" w:space="0" w:color="auto"/>
              <w:left w:val="single" w:sz="2" w:space="0" w:color="auto"/>
              <w:bottom w:val="single" w:sz="2" w:space="0" w:color="auto"/>
              <w:right w:val="single" w:sz="2" w:space="0" w:color="auto"/>
            </w:tcBorders>
          </w:tcPr>
          <w:p w14:paraId="3994B40A" w14:textId="77777777" w:rsidR="00DB73A0" w:rsidRPr="007E3B4E" w:rsidRDefault="00DB73A0" w:rsidP="0043088E">
            <w:pPr>
              <w:pStyle w:val="NormalLeft"/>
            </w:pPr>
            <w:r w:rsidRPr="007E3B4E">
              <w:rPr>
                <w:rStyle w:val="CRDeleted"/>
              </w:rPr>
              <w:t>III. melléklet</w:t>
            </w:r>
          </w:p>
        </w:tc>
        <w:tc>
          <w:tcPr>
            <w:tcW w:w="4036" w:type="dxa"/>
            <w:tcBorders>
              <w:top w:val="single" w:sz="2" w:space="0" w:color="auto"/>
              <w:left w:val="single" w:sz="2" w:space="0" w:color="auto"/>
              <w:bottom w:val="single" w:sz="2" w:space="0" w:color="auto"/>
              <w:right w:val="single" w:sz="2" w:space="0" w:color="auto"/>
            </w:tcBorders>
          </w:tcPr>
          <w:p w14:paraId="18CBBC6D" w14:textId="77777777" w:rsidR="00DB73A0" w:rsidRPr="007E3B4E" w:rsidRDefault="00DB73A0" w:rsidP="0043088E">
            <w:pPr>
              <w:pStyle w:val="NormalLeft"/>
            </w:pPr>
            <w:r w:rsidRPr="007E3B4E">
              <w:rPr>
                <w:rStyle w:val="CRDeleted"/>
              </w:rPr>
              <w:t>—</w:t>
            </w:r>
          </w:p>
        </w:tc>
      </w:tr>
      <w:tr w:rsidR="00DB73A0" w:rsidRPr="007E3B4E" w14:paraId="3EB9E678" w14:textId="77777777" w:rsidTr="0043088E">
        <w:tc>
          <w:tcPr>
            <w:tcW w:w="3579" w:type="dxa"/>
            <w:tcBorders>
              <w:top w:val="single" w:sz="2" w:space="0" w:color="auto"/>
              <w:left w:val="single" w:sz="2" w:space="0" w:color="auto"/>
              <w:bottom w:val="single" w:sz="2" w:space="0" w:color="auto"/>
              <w:right w:val="single" w:sz="2" w:space="0" w:color="auto"/>
            </w:tcBorders>
          </w:tcPr>
          <w:p w14:paraId="6B1BDB68" w14:textId="77777777" w:rsidR="00DB73A0" w:rsidRPr="007E3B4E" w:rsidRDefault="00DB73A0" w:rsidP="0043088E">
            <w:pPr>
              <w:pStyle w:val="NormalLeft"/>
            </w:pPr>
            <w:r w:rsidRPr="007E3B4E">
              <w:rPr>
                <w:rStyle w:val="CRDeleted"/>
              </w:rPr>
              <w:t>IV. melléklet</w:t>
            </w:r>
          </w:p>
        </w:tc>
        <w:tc>
          <w:tcPr>
            <w:tcW w:w="4036" w:type="dxa"/>
            <w:tcBorders>
              <w:top w:val="single" w:sz="2" w:space="0" w:color="auto"/>
              <w:left w:val="single" w:sz="2" w:space="0" w:color="auto"/>
              <w:bottom w:val="single" w:sz="2" w:space="0" w:color="auto"/>
              <w:right w:val="single" w:sz="2" w:space="0" w:color="auto"/>
            </w:tcBorders>
          </w:tcPr>
          <w:p w14:paraId="26BD1420" w14:textId="77777777" w:rsidR="00DB73A0" w:rsidRPr="007E3B4E" w:rsidRDefault="00DB73A0" w:rsidP="0043088E">
            <w:pPr>
              <w:pStyle w:val="NormalLeft"/>
            </w:pPr>
            <w:r w:rsidRPr="007E3B4E">
              <w:rPr>
                <w:rStyle w:val="CRDeleted"/>
              </w:rPr>
              <w:t>—</w:t>
            </w:r>
          </w:p>
        </w:tc>
      </w:tr>
      <w:tr w:rsidR="00DB73A0" w:rsidRPr="007E3B4E" w14:paraId="4B5C3AE3" w14:textId="77777777" w:rsidTr="0043088E">
        <w:tc>
          <w:tcPr>
            <w:tcW w:w="3579" w:type="dxa"/>
            <w:tcBorders>
              <w:top w:val="single" w:sz="2" w:space="0" w:color="auto"/>
              <w:left w:val="single" w:sz="2" w:space="0" w:color="auto"/>
              <w:bottom w:val="single" w:sz="2" w:space="0" w:color="auto"/>
              <w:right w:val="single" w:sz="2" w:space="0" w:color="auto"/>
            </w:tcBorders>
          </w:tcPr>
          <w:p w14:paraId="7CCB5112" w14:textId="77777777" w:rsidR="00DB73A0" w:rsidRPr="007E3B4E" w:rsidRDefault="00DB73A0" w:rsidP="0043088E">
            <w:pPr>
              <w:pStyle w:val="NormalLeft"/>
            </w:pPr>
            <w:r w:rsidRPr="007E3B4E">
              <w:rPr>
                <w:rStyle w:val="CRDeleted"/>
              </w:rPr>
              <w:t>V. melléklet</w:t>
            </w:r>
          </w:p>
        </w:tc>
        <w:tc>
          <w:tcPr>
            <w:tcW w:w="4036" w:type="dxa"/>
            <w:tcBorders>
              <w:top w:val="single" w:sz="2" w:space="0" w:color="auto"/>
              <w:left w:val="single" w:sz="2" w:space="0" w:color="auto"/>
              <w:bottom w:val="single" w:sz="2" w:space="0" w:color="auto"/>
              <w:right w:val="single" w:sz="2" w:space="0" w:color="auto"/>
            </w:tcBorders>
          </w:tcPr>
          <w:p w14:paraId="1EF22AAF" w14:textId="77777777" w:rsidR="00DB73A0" w:rsidRPr="007E3B4E" w:rsidRDefault="00DB73A0" w:rsidP="0043088E">
            <w:pPr>
              <w:pStyle w:val="NormalLeft"/>
            </w:pPr>
            <w:r w:rsidRPr="007E3B4E">
              <w:rPr>
                <w:rStyle w:val="CRDeleted"/>
              </w:rPr>
              <w:t>—</w:t>
            </w:r>
          </w:p>
        </w:tc>
      </w:tr>
      <w:tr w:rsidR="00DB73A0" w:rsidRPr="007E3B4E" w14:paraId="408CCEE4" w14:textId="77777777" w:rsidTr="0043088E">
        <w:tc>
          <w:tcPr>
            <w:tcW w:w="3579" w:type="dxa"/>
            <w:tcBorders>
              <w:top w:val="single" w:sz="2" w:space="0" w:color="auto"/>
              <w:left w:val="single" w:sz="2" w:space="0" w:color="auto"/>
              <w:bottom w:val="single" w:sz="2" w:space="0" w:color="auto"/>
              <w:right w:val="single" w:sz="2" w:space="0" w:color="auto"/>
            </w:tcBorders>
          </w:tcPr>
          <w:p w14:paraId="2C4C02F6" w14:textId="77777777" w:rsidR="00DB73A0" w:rsidRPr="007E3B4E" w:rsidRDefault="00DB73A0" w:rsidP="0043088E">
            <w:pPr>
              <w:pStyle w:val="NormalLeft"/>
            </w:pPr>
            <w:r w:rsidRPr="007E3B4E">
              <w:rPr>
                <w:rStyle w:val="CRDeleted"/>
              </w:rPr>
              <w:t>VI. melléklet</w:t>
            </w:r>
          </w:p>
        </w:tc>
        <w:tc>
          <w:tcPr>
            <w:tcW w:w="4036" w:type="dxa"/>
            <w:tcBorders>
              <w:top w:val="single" w:sz="2" w:space="0" w:color="auto"/>
              <w:left w:val="single" w:sz="2" w:space="0" w:color="auto"/>
              <w:bottom w:val="single" w:sz="2" w:space="0" w:color="auto"/>
              <w:right w:val="single" w:sz="2" w:space="0" w:color="auto"/>
            </w:tcBorders>
          </w:tcPr>
          <w:p w14:paraId="7B1A71CD" w14:textId="77777777" w:rsidR="00DB73A0" w:rsidRPr="007E3B4E" w:rsidRDefault="00DB73A0" w:rsidP="0043088E">
            <w:pPr>
              <w:pStyle w:val="NormalLeft"/>
            </w:pPr>
            <w:r w:rsidRPr="007E3B4E">
              <w:rPr>
                <w:rStyle w:val="CRDeleted"/>
              </w:rPr>
              <w:t>III. melléklet</w:t>
            </w:r>
          </w:p>
        </w:tc>
      </w:tr>
      <w:tr w:rsidR="00DB73A0" w:rsidRPr="007E3B4E" w14:paraId="0F2A9CDB" w14:textId="77777777" w:rsidTr="0043088E">
        <w:tc>
          <w:tcPr>
            <w:tcW w:w="3579" w:type="dxa"/>
            <w:tcBorders>
              <w:top w:val="single" w:sz="2" w:space="0" w:color="auto"/>
              <w:left w:val="single" w:sz="2" w:space="0" w:color="auto"/>
              <w:bottom w:val="single" w:sz="2" w:space="0" w:color="auto"/>
              <w:right w:val="single" w:sz="2" w:space="0" w:color="auto"/>
            </w:tcBorders>
          </w:tcPr>
          <w:p w14:paraId="74E9DFC2"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B3A1B00" w14:textId="77777777" w:rsidR="00DB73A0" w:rsidRPr="007E3B4E" w:rsidRDefault="00DB73A0" w:rsidP="0043088E">
            <w:pPr>
              <w:pStyle w:val="NormalLeft"/>
            </w:pPr>
            <w:r w:rsidRPr="007E3B4E">
              <w:rPr>
                <w:rStyle w:val="CRDeleted"/>
              </w:rPr>
              <w:t>V. melléklet</w:t>
            </w:r>
          </w:p>
        </w:tc>
      </w:tr>
      <w:tr w:rsidR="00DB73A0" w:rsidRPr="007E3B4E" w14:paraId="236D5F6F" w14:textId="77777777" w:rsidTr="0043088E">
        <w:tc>
          <w:tcPr>
            <w:tcW w:w="3579" w:type="dxa"/>
            <w:tcBorders>
              <w:top w:val="single" w:sz="2" w:space="0" w:color="auto"/>
              <w:left w:val="single" w:sz="2" w:space="0" w:color="auto"/>
              <w:bottom w:val="single" w:sz="2" w:space="0" w:color="auto"/>
              <w:right w:val="single" w:sz="2" w:space="0" w:color="auto"/>
            </w:tcBorders>
          </w:tcPr>
          <w:p w14:paraId="70D02677"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7C60AA2C" w14:textId="77777777" w:rsidR="00DB73A0" w:rsidRPr="007E3B4E" w:rsidRDefault="00DB73A0" w:rsidP="0043088E">
            <w:pPr>
              <w:pStyle w:val="NormalLeft"/>
            </w:pPr>
            <w:r w:rsidRPr="007E3B4E">
              <w:rPr>
                <w:rStyle w:val="CRDeleted"/>
              </w:rPr>
              <w:t>VI. melléklet</w:t>
            </w:r>
          </w:p>
        </w:tc>
      </w:tr>
      <w:tr w:rsidR="00DB73A0" w:rsidRPr="007E3B4E" w14:paraId="6079D69F" w14:textId="77777777" w:rsidTr="0043088E">
        <w:tc>
          <w:tcPr>
            <w:tcW w:w="3579" w:type="dxa"/>
            <w:tcBorders>
              <w:top w:val="single" w:sz="2" w:space="0" w:color="auto"/>
              <w:left w:val="single" w:sz="2" w:space="0" w:color="auto"/>
              <w:bottom w:val="single" w:sz="2" w:space="0" w:color="auto"/>
              <w:right w:val="single" w:sz="2" w:space="0" w:color="auto"/>
            </w:tcBorders>
          </w:tcPr>
          <w:p w14:paraId="35F2EC22"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359A0C7" w14:textId="77777777" w:rsidR="00DB73A0" w:rsidRPr="007E3B4E" w:rsidRDefault="00DB73A0" w:rsidP="0043088E">
            <w:pPr>
              <w:pStyle w:val="NormalLeft"/>
            </w:pPr>
            <w:r w:rsidRPr="007E3B4E">
              <w:rPr>
                <w:rStyle w:val="CRDeleted"/>
              </w:rPr>
              <w:t>VII. melléklet</w:t>
            </w:r>
          </w:p>
        </w:tc>
      </w:tr>
      <w:tr w:rsidR="00DB73A0" w:rsidRPr="007E3B4E" w14:paraId="05CAA4A8" w14:textId="77777777" w:rsidTr="0043088E">
        <w:tc>
          <w:tcPr>
            <w:tcW w:w="3579" w:type="dxa"/>
            <w:tcBorders>
              <w:top w:val="single" w:sz="2" w:space="0" w:color="auto"/>
              <w:left w:val="single" w:sz="2" w:space="0" w:color="auto"/>
              <w:bottom w:val="single" w:sz="2" w:space="0" w:color="auto"/>
              <w:right w:val="single" w:sz="2" w:space="0" w:color="auto"/>
            </w:tcBorders>
          </w:tcPr>
          <w:p w14:paraId="3D2B73EB"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70AD643" w14:textId="77777777" w:rsidR="00DB73A0" w:rsidRPr="007E3B4E" w:rsidRDefault="00DB73A0" w:rsidP="0043088E">
            <w:pPr>
              <w:pStyle w:val="NormalLeft"/>
            </w:pPr>
            <w:r w:rsidRPr="007E3B4E">
              <w:rPr>
                <w:rStyle w:val="CRDeleted"/>
              </w:rPr>
              <w:t>XI. melléklet</w:t>
            </w:r>
          </w:p>
        </w:tc>
      </w:tr>
      <w:tr w:rsidR="00DB73A0" w:rsidRPr="007E3B4E" w14:paraId="0296AD32" w14:textId="77777777" w:rsidTr="0043088E">
        <w:tc>
          <w:tcPr>
            <w:tcW w:w="3579" w:type="dxa"/>
            <w:tcBorders>
              <w:top w:val="single" w:sz="2" w:space="0" w:color="auto"/>
              <w:left w:val="single" w:sz="2" w:space="0" w:color="auto"/>
              <w:bottom w:val="single" w:sz="2" w:space="0" w:color="auto"/>
              <w:right w:val="single" w:sz="2" w:space="0" w:color="auto"/>
            </w:tcBorders>
          </w:tcPr>
          <w:p w14:paraId="4A1B6C1D"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190F7F63" w14:textId="77777777" w:rsidR="00DB73A0" w:rsidRPr="007E3B4E" w:rsidRDefault="00DB73A0" w:rsidP="0043088E">
            <w:pPr>
              <w:pStyle w:val="NormalLeft"/>
            </w:pPr>
            <w:r w:rsidRPr="007E3B4E">
              <w:rPr>
                <w:rStyle w:val="CRDeleted"/>
              </w:rPr>
              <w:t>XII. melléklet</w:t>
            </w:r>
          </w:p>
        </w:tc>
      </w:tr>
      <w:tr w:rsidR="00DB73A0" w:rsidRPr="007E3B4E" w14:paraId="27F51AD7" w14:textId="77777777" w:rsidTr="0043088E">
        <w:tc>
          <w:tcPr>
            <w:tcW w:w="3579" w:type="dxa"/>
            <w:tcBorders>
              <w:top w:val="single" w:sz="2" w:space="0" w:color="auto"/>
              <w:left w:val="single" w:sz="2" w:space="0" w:color="auto"/>
              <w:bottom w:val="single" w:sz="2" w:space="0" w:color="auto"/>
              <w:right w:val="single" w:sz="2" w:space="0" w:color="auto"/>
            </w:tcBorders>
          </w:tcPr>
          <w:p w14:paraId="697EFB6D"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47808181" w14:textId="77777777" w:rsidR="00DB73A0" w:rsidRPr="007E3B4E" w:rsidRDefault="00DB73A0" w:rsidP="0043088E">
            <w:pPr>
              <w:pStyle w:val="NormalLeft"/>
            </w:pPr>
            <w:r w:rsidRPr="007E3B4E">
              <w:rPr>
                <w:rStyle w:val="CRDeleted"/>
              </w:rPr>
              <w:t>XIII. melléklet</w:t>
            </w:r>
          </w:p>
        </w:tc>
      </w:tr>
      <w:tr w:rsidR="00DB73A0" w:rsidRPr="007E3B4E" w14:paraId="3EAE5F13" w14:textId="77777777" w:rsidTr="0043088E">
        <w:tc>
          <w:tcPr>
            <w:tcW w:w="3579" w:type="dxa"/>
            <w:tcBorders>
              <w:top w:val="single" w:sz="2" w:space="0" w:color="auto"/>
              <w:left w:val="single" w:sz="2" w:space="0" w:color="auto"/>
              <w:bottom w:val="single" w:sz="2" w:space="0" w:color="auto"/>
              <w:right w:val="single" w:sz="2" w:space="0" w:color="auto"/>
            </w:tcBorders>
          </w:tcPr>
          <w:p w14:paraId="01136FF1"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61BA2F1D" w14:textId="77777777" w:rsidR="00DB73A0" w:rsidRPr="007E3B4E" w:rsidRDefault="00DB73A0" w:rsidP="0043088E">
            <w:pPr>
              <w:pStyle w:val="NormalLeft"/>
            </w:pPr>
            <w:r w:rsidRPr="007E3B4E">
              <w:rPr>
                <w:rStyle w:val="CRDeleted"/>
              </w:rPr>
              <w:t>XIV. melléklet</w:t>
            </w:r>
          </w:p>
        </w:tc>
      </w:tr>
      <w:tr w:rsidR="00DB73A0" w:rsidRPr="007E3B4E" w14:paraId="373C554C" w14:textId="77777777" w:rsidTr="0043088E">
        <w:tc>
          <w:tcPr>
            <w:tcW w:w="3579" w:type="dxa"/>
            <w:tcBorders>
              <w:top w:val="single" w:sz="2" w:space="0" w:color="auto"/>
              <w:left w:val="single" w:sz="2" w:space="0" w:color="auto"/>
              <w:bottom w:val="single" w:sz="2" w:space="0" w:color="auto"/>
              <w:right w:val="single" w:sz="2" w:space="0" w:color="auto"/>
            </w:tcBorders>
          </w:tcPr>
          <w:p w14:paraId="428244A7" w14:textId="77777777" w:rsidR="00DB73A0" w:rsidRPr="007E3B4E" w:rsidRDefault="00DB73A0" w:rsidP="0043088E">
            <w:pPr>
              <w:pStyle w:val="NormalLeft"/>
            </w:pPr>
            <w:r w:rsidRPr="007E3B4E">
              <w:rPr>
                <w:rStyle w:val="CRDeleted"/>
              </w:rPr>
              <w:t>—</w:t>
            </w:r>
          </w:p>
        </w:tc>
        <w:tc>
          <w:tcPr>
            <w:tcW w:w="4036" w:type="dxa"/>
            <w:tcBorders>
              <w:top w:val="single" w:sz="2" w:space="0" w:color="auto"/>
              <w:left w:val="single" w:sz="2" w:space="0" w:color="auto"/>
              <w:bottom w:val="single" w:sz="2" w:space="0" w:color="auto"/>
              <w:right w:val="single" w:sz="2" w:space="0" w:color="auto"/>
            </w:tcBorders>
          </w:tcPr>
          <w:p w14:paraId="1A9091F6" w14:textId="77777777" w:rsidR="00DB73A0" w:rsidRPr="007E3B4E" w:rsidRDefault="00DB73A0" w:rsidP="0043088E">
            <w:pPr>
              <w:pStyle w:val="NormalLeft"/>
            </w:pPr>
            <w:r w:rsidRPr="007E3B4E">
              <w:rPr>
                <w:rStyle w:val="CRDeleted"/>
              </w:rPr>
              <w:t>XV. melléklet</w:t>
            </w:r>
          </w:p>
        </w:tc>
      </w:tr>
    </w:tbl>
    <w:p w14:paraId="20A110AA" w14:textId="77777777" w:rsidR="00DB73A0" w:rsidRPr="007E3B4E" w:rsidRDefault="00DB73A0" w:rsidP="00DB73A0"/>
    <w:p w14:paraId="5E090B3E" w14:textId="77777777" w:rsidR="00DB73A0" w:rsidRPr="007E3B4E" w:rsidRDefault="00DB73A0" w:rsidP="00DB73A0">
      <w:pPr>
        <w:adjustRightInd w:val="0"/>
        <w:spacing w:before="0" w:after="0"/>
        <w:jc w:val="left"/>
        <w:sectPr w:rsidR="00DB73A0" w:rsidRPr="007E3B4E" w:rsidSect="002A7954">
          <w:pgSz w:w="11906" w:h="16838"/>
          <w:pgMar w:top="1134" w:right="1418" w:bottom="1134" w:left="1418" w:header="709" w:footer="709" w:gutter="0"/>
          <w:cols w:space="709"/>
          <w:docGrid w:linePitch="326"/>
        </w:sectPr>
      </w:pPr>
    </w:p>
    <w:p w14:paraId="1C01404A" w14:textId="77777777" w:rsidR="00DB73A0" w:rsidRPr="007E3B4E" w:rsidRDefault="00DB73A0" w:rsidP="00DB73A0">
      <w:pPr>
        <w:pStyle w:val="CRSeparator"/>
      </w:pPr>
    </w:p>
    <w:p w14:paraId="770C0689" w14:textId="77777777" w:rsidR="00DB73A0" w:rsidRPr="007E3B4E" w:rsidRDefault="00DB73A0" w:rsidP="00DB73A0">
      <w:pPr>
        <w:pStyle w:val="CRReference"/>
      </w:pPr>
      <w:r w:rsidRPr="007E3B4E">
        <w:fldChar w:fldCharType="begin"/>
      </w:r>
      <w:r w:rsidRPr="007E3B4E">
        <w:instrText xml:space="preserve"> QUOTE "ê" </w:instrText>
      </w:r>
      <w:r w:rsidRPr="007E3B4E">
        <w:fldChar w:fldCharType="separate"/>
      </w:r>
      <w:r w:rsidRPr="007E3B4E">
        <w:rPr>
          <w:rStyle w:val="CRMarker"/>
        </w:rPr>
        <w:t>é</w:t>
      </w:r>
      <w:r w:rsidRPr="007E3B4E">
        <w:fldChar w:fldCharType="end"/>
      </w:r>
      <w:r w:rsidRPr="007E3B4E">
        <w:t xml:space="preserve"> </w:t>
      </w:r>
    </w:p>
    <w:p w14:paraId="2363A3B1" w14:textId="77777777" w:rsidR="00DB73A0" w:rsidRPr="007E3B4E" w:rsidRDefault="00DB73A0" w:rsidP="00F10A75">
      <w:pPr>
        <w:pStyle w:val="Annexetitre"/>
      </w:pPr>
      <w:r w:rsidRPr="007E3B4E">
        <w:t>XV. MELLÉKLET</w:t>
      </w:r>
    </w:p>
    <w:p w14:paraId="408B82C2" w14:textId="77777777" w:rsidR="00DB73A0" w:rsidRPr="007E3B4E" w:rsidRDefault="00DB73A0" w:rsidP="00DB73A0">
      <w:pPr>
        <w:widowControl w:val="0"/>
        <w:tabs>
          <w:tab w:val="right" w:pos="9600"/>
        </w:tabs>
        <w:suppressAutoHyphens/>
        <w:spacing w:before="0" w:after="240"/>
        <w:jc w:val="center"/>
      </w:pPr>
      <w:r w:rsidRPr="007E3B4E">
        <w:t>A. rész</w:t>
      </w:r>
    </w:p>
    <w:p w14:paraId="432434ED" w14:textId="77777777" w:rsidR="00DB73A0" w:rsidRPr="007E3B4E" w:rsidRDefault="00DB73A0" w:rsidP="00DB73A0">
      <w:pPr>
        <w:widowControl w:val="0"/>
        <w:tabs>
          <w:tab w:val="left" w:pos="-720"/>
          <w:tab w:val="center" w:pos="7344"/>
        </w:tabs>
        <w:suppressAutoHyphens/>
        <w:spacing w:before="0" w:after="240"/>
        <w:jc w:val="center"/>
        <w:rPr>
          <w:rFonts w:eastAsia="Times New Roman"/>
          <w:b/>
          <w:noProof/>
        </w:rPr>
      </w:pPr>
      <w:r w:rsidRPr="007E3B4E">
        <w:rPr>
          <w:b/>
          <w:bCs/>
        </w:rPr>
        <w:t>A hatályon kívül helyezett irányelv és annak módosításai</w:t>
      </w:r>
      <w:r w:rsidRPr="007E3B4E">
        <w:t xml:space="preserve"> </w:t>
      </w:r>
      <w:r w:rsidRPr="007E3B4E">
        <w:br/>
      </w:r>
      <w:r w:rsidRPr="007E3B4E">
        <w:rPr>
          <w:b/>
        </w:rPr>
        <w:t>(lásd a 36. cikket)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677"/>
        <w:gridCol w:w="426"/>
        <w:gridCol w:w="3650"/>
      </w:tblGrid>
      <w:tr w:rsidR="00DB73A0" w:rsidRPr="007E3B4E" w14:paraId="47B55AB9" w14:textId="77777777" w:rsidTr="0043088E">
        <w:tc>
          <w:tcPr>
            <w:tcW w:w="5211" w:type="dxa"/>
            <w:gridSpan w:val="2"/>
          </w:tcPr>
          <w:p w14:paraId="5F0F49E1" w14:textId="77777777" w:rsidR="00DB73A0" w:rsidRPr="007E3B4E" w:rsidRDefault="00DB73A0" w:rsidP="0043088E">
            <w:pPr>
              <w:widowControl w:val="0"/>
              <w:tabs>
                <w:tab w:val="left" w:pos="-720"/>
                <w:tab w:val="center" w:pos="7344"/>
              </w:tabs>
              <w:suppressAutoHyphens/>
              <w:jc w:val="left"/>
            </w:pPr>
            <w:r w:rsidRPr="007E3B4E">
              <w:t xml:space="preserve">Az Európai Parlament és a Tanács 2012/27/EU irányelve </w:t>
            </w:r>
            <w:r w:rsidRPr="007E3B4E">
              <w:br/>
              <w:t>(HL L 315., 2012.11.14., 1. o.)</w:t>
            </w:r>
          </w:p>
        </w:tc>
        <w:tc>
          <w:tcPr>
            <w:tcW w:w="4076" w:type="dxa"/>
            <w:gridSpan w:val="2"/>
          </w:tcPr>
          <w:p w14:paraId="68921826" w14:textId="77777777" w:rsidR="00DB73A0" w:rsidRPr="007E3B4E" w:rsidRDefault="00DB73A0" w:rsidP="0043088E">
            <w:pPr>
              <w:widowControl w:val="0"/>
              <w:tabs>
                <w:tab w:val="left" w:pos="-720"/>
                <w:tab w:val="center" w:pos="7344"/>
              </w:tabs>
              <w:suppressAutoHyphens/>
              <w:jc w:val="left"/>
              <w:rPr>
                <w:b/>
                <w:noProof/>
                <w:lang w:eastAsia="fr-BE"/>
              </w:rPr>
            </w:pPr>
          </w:p>
        </w:tc>
      </w:tr>
      <w:tr w:rsidR="00DB73A0" w:rsidRPr="007E3B4E" w14:paraId="4E5FF446" w14:textId="77777777" w:rsidTr="0043088E">
        <w:trPr>
          <w:gridBefore w:val="1"/>
          <w:wBefore w:w="534" w:type="dxa"/>
        </w:trPr>
        <w:tc>
          <w:tcPr>
            <w:tcW w:w="5103" w:type="dxa"/>
            <w:gridSpan w:val="2"/>
          </w:tcPr>
          <w:p w14:paraId="13663AC9" w14:textId="77777777" w:rsidR="00DB73A0" w:rsidRPr="007E3B4E" w:rsidRDefault="00DB73A0" w:rsidP="0043088E">
            <w:pPr>
              <w:widowControl w:val="0"/>
              <w:tabs>
                <w:tab w:val="left" w:pos="-720"/>
                <w:tab w:val="center" w:pos="7344"/>
              </w:tabs>
              <w:suppressAutoHyphens/>
              <w:jc w:val="left"/>
            </w:pPr>
            <w:r w:rsidRPr="007E3B4E">
              <w:t xml:space="preserve">A Tanács 2013/12/EU irányelve </w:t>
            </w:r>
            <w:r w:rsidRPr="007E3B4E">
              <w:br/>
              <w:t>(HL L 141., 2013.5.28., 28. o.)</w:t>
            </w:r>
          </w:p>
        </w:tc>
        <w:tc>
          <w:tcPr>
            <w:tcW w:w="3650" w:type="dxa"/>
          </w:tcPr>
          <w:p w14:paraId="53E9E0BF" w14:textId="77777777" w:rsidR="00DB73A0" w:rsidRPr="007E3B4E" w:rsidRDefault="00DB73A0" w:rsidP="0043088E">
            <w:pPr>
              <w:widowControl w:val="0"/>
              <w:tabs>
                <w:tab w:val="left" w:pos="-720"/>
                <w:tab w:val="center" w:pos="7344"/>
              </w:tabs>
              <w:suppressAutoHyphens/>
              <w:jc w:val="left"/>
              <w:rPr>
                <w:b/>
                <w:noProof/>
                <w:lang w:eastAsia="fr-BE"/>
              </w:rPr>
            </w:pPr>
          </w:p>
        </w:tc>
      </w:tr>
      <w:tr w:rsidR="00DB73A0" w:rsidRPr="007E3B4E" w14:paraId="292CE2EF" w14:textId="77777777" w:rsidTr="0043088E">
        <w:trPr>
          <w:gridBefore w:val="1"/>
          <w:wBefore w:w="534" w:type="dxa"/>
        </w:trPr>
        <w:tc>
          <w:tcPr>
            <w:tcW w:w="5103" w:type="dxa"/>
            <w:gridSpan w:val="2"/>
          </w:tcPr>
          <w:p w14:paraId="522B090E" w14:textId="77777777" w:rsidR="00DB73A0" w:rsidRPr="007E3B4E" w:rsidRDefault="00DB73A0" w:rsidP="0043088E">
            <w:pPr>
              <w:widowControl w:val="0"/>
              <w:tabs>
                <w:tab w:val="left" w:pos="-720"/>
                <w:tab w:val="center" w:pos="7344"/>
              </w:tabs>
              <w:suppressAutoHyphens/>
              <w:jc w:val="left"/>
            </w:pPr>
            <w:r w:rsidRPr="007E3B4E">
              <w:t xml:space="preserve">Az Európai Parlament és a Tanács (EU) 2018/844 irányelve </w:t>
            </w:r>
            <w:r w:rsidRPr="007E3B4E">
              <w:br/>
              <w:t>(HL L 156., 2018.6.19., 75. o.)</w:t>
            </w:r>
          </w:p>
        </w:tc>
        <w:tc>
          <w:tcPr>
            <w:tcW w:w="3650" w:type="dxa"/>
          </w:tcPr>
          <w:p w14:paraId="58073FF1" w14:textId="77777777" w:rsidR="00DB73A0" w:rsidRPr="007E3B4E" w:rsidRDefault="00DB73A0" w:rsidP="0043088E">
            <w:pPr>
              <w:widowControl w:val="0"/>
              <w:tabs>
                <w:tab w:val="left" w:pos="-720"/>
                <w:tab w:val="center" w:pos="7344"/>
              </w:tabs>
              <w:suppressAutoHyphens/>
              <w:jc w:val="left"/>
              <w:rPr>
                <w:b/>
                <w:noProof/>
              </w:rPr>
            </w:pPr>
            <w:r w:rsidRPr="007E3B4E">
              <w:t>csak a 2. cikk</w:t>
            </w:r>
          </w:p>
        </w:tc>
      </w:tr>
      <w:tr w:rsidR="00DB73A0" w:rsidRPr="007E3B4E" w14:paraId="571356AB" w14:textId="77777777" w:rsidTr="0043088E">
        <w:trPr>
          <w:gridBefore w:val="1"/>
          <w:wBefore w:w="534" w:type="dxa"/>
        </w:trPr>
        <w:tc>
          <w:tcPr>
            <w:tcW w:w="5103" w:type="dxa"/>
            <w:gridSpan w:val="2"/>
          </w:tcPr>
          <w:p w14:paraId="3A0AB142" w14:textId="77777777" w:rsidR="00DB73A0" w:rsidRPr="007E3B4E" w:rsidRDefault="00DB73A0" w:rsidP="0043088E">
            <w:pPr>
              <w:widowControl w:val="0"/>
              <w:tabs>
                <w:tab w:val="left" w:pos="-720"/>
                <w:tab w:val="center" w:pos="7344"/>
              </w:tabs>
              <w:suppressAutoHyphens/>
              <w:jc w:val="left"/>
            </w:pPr>
            <w:r w:rsidRPr="007E3B4E">
              <w:t xml:space="preserve">Az Európai Parlament és a Tanács (EU) 2018/2002 irányelve </w:t>
            </w:r>
            <w:r w:rsidRPr="007E3B4E">
              <w:br/>
              <w:t>(HL L 328., 2018.12.21., 210. o.)</w:t>
            </w:r>
          </w:p>
        </w:tc>
        <w:tc>
          <w:tcPr>
            <w:tcW w:w="3650" w:type="dxa"/>
          </w:tcPr>
          <w:p w14:paraId="473F00ED" w14:textId="77777777" w:rsidR="00DB73A0" w:rsidRPr="007E3B4E" w:rsidRDefault="00DB73A0" w:rsidP="0043088E">
            <w:pPr>
              <w:widowControl w:val="0"/>
              <w:tabs>
                <w:tab w:val="left" w:pos="-720"/>
                <w:tab w:val="center" w:pos="7344"/>
              </w:tabs>
              <w:suppressAutoHyphens/>
              <w:jc w:val="left"/>
              <w:rPr>
                <w:noProof/>
              </w:rPr>
            </w:pPr>
          </w:p>
        </w:tc>
      </w:tr>
      <w:tr w:rsidR="00DB73A0" w:rsidRPr="007E3B4E" w14:paraId="17D72D9F" w14:textId="77777777" w:rsidTr="0043088E">
        <w:trPr>
          <w:gridBefore w:val="1"/>
          <w:wBefore w:w="534" w:type="dxa"/>
        </w:trPr>
        <w:tc>
          <w:tcPr>
            <w:tcW w:w="5103" w:type="dxa"/>
            <w:gridSpan w:val="2"/>
          </w:tcPr>
          <w:p w14:paraId="1BF0BE68" w14:textId="77777777" w:rsidR="00DB73A0" w:rsidRPr="007E3B4E" w:rsidRDefault="00DB73A0" w:rsidP="0043088E">
            <w:pPr>
              <w:widowControl w:val="0"/>
              <w:tabs>
                <w:tab w:val="left" w:pos="-720"/>
                <w:tab w:val="center" w:pos="7344"/>
              </w:tabs>
              <w:suppressAutoHyphens/>
              <w:jc w:val="left"/>
            </w:pPr>
            <w:r w:rsidRPr="007E3B4E">
              <w:t xml:space="preserve">Az Európai Parlament és a Tanács (EU) 2018/1999 rendelete </w:t>
            </w:r>
            <w:r w:rsidRPr="007E3B4E">
              <w:br/>
              <w:t>(HL L 328., 2018.12.21., 1. o.)</w:t>
            </w:r>
          </w:p>
        </w:tc>
        <w:tc>
          <w:tcPr>
            <w:tcW w:w="3650" w:type="dxa"/>
          </w:tcPr>
          <w:p w14:paraId="7DC55EEA" w14:textId="77777777" w:rsidR="00DB73A0" w:rsidRPr="007E3B4E" w:rsidRDefault="00DB73A0" w:rsidP="0043088E">
            <w:pPr>
              <w:widowControl w:val="0"/>
              <w:tabs>
                <w:tab w:val="left" w:pos="-720"/>
                <w:tab w:val="center" w:pos="7344"/>
              </w:tabs>
              <w:suppressAutoHyphens/>
              <w:jc w:val="left"/>
              <w:rPr>
                <w:noProof/>
              </w:rPr>
            </w:pPr>
            <w:r w:rsidRPr="007E3B4E">
              <w:t>csak az 54. cikk</w:t>
            </w:r>
          </w:p>
        </w:tc>
      </w:tr>
      <w:tr w:rsidR="00DB73A0" w:rsidRPr="007E3B4E" w14:paraId="4223CF97" w14:textId="77777777" w:rsidTr="0043088E">
        <w:trPr>
          <w:gridBefore w:val="1"/>
          <w:wBefore w:w="534" w:type="dxa"/>
        </w:trPr>
        <w:tc>
          <w:tcPr>
            <w:tcW w:w="5103" w:type="dxa"/>
            <w:gridSpan w:val="2"/>
          </w:tcPr>
          <w:p w14:paraId="34FDF4EB" w14:textId="77777777" w:rsidR="00DB73A0" w:rsidRPr="007E3B4E" w:rsidRDefault="00DB73A0" w:rsidP="0043088E">
            <w:pPr>
              <w:widowControl w:val="0"/>
              <w:tabs>
                <w:tab w:val="left" w:pos="-720"/>
                <w:tab w:val="center" w:pos="7344"/>
              </w:tabs>
              <w:suppressAutoHyphens/>
              <w:jc w:val="left"/>
              <w:rPr>
                <w:szCs w:val="24"/>
              </w:rPr>
            </w:pPr>
            <w:r w:rsidRPr="007E3B4E">
              <w:rPr>
                <w:szCs w:val="24"/>
                <w:shd w:val="clear" w:color="auto" w:fill="FFFFFF"/>
              </w:rPr>
              <w:t>Az Európai Parlament és a Tanács (EU) 2019/504 határozata</w:t>
            </w:r>
            <w:r w:rsidRPr="007E3B4E">
              <w:t xml:space="preserve"> </w:t>
            </w:r>
            <w:r w:rsidRPr="007E3B4E">
              <w:br/>
              <w:t>(</w:t>
            </w:r>
            <w:r w:rsidRPr="007E3B4E">
              <w:rPr>
                <w:shd w:val="clear" w:color="auto" w:fill="FFFFFF"/>
              </w:rPr>
              <w:t>HL L 85I., 2019.3.27., 66. o.</w:t>
            </w:r>
            <w:r w:rsidRPr="007E3B4E">
              <w:t>)</w:t>
            </w:r>
          </w:p>
        </w:tc>
        <w:tc>
          <w:tcPr>
            <w:tcW w:w="3650" w:type="dxa"/>
          </w:tcPr>
          <w:p w14:paraId="0DA9B224" w14:textId="77777777" w:rsidR="00DB73A0" w:rsidRPr="007E3B4E" w:rsidRDefault="00DB73A0" w:rsidP="0043088E">
            <w:pPr>
              <w:widowControl w:val="0"/>
              <w:tabs>
                <w:tab w:val="left" w:pos="-720"/>
                <w:tab w:val="center" w:pos="7344"/>
              </w:tabs>
              <w:suppressAutoHyphens/>
              <w:jc w:val="left"/>
              <w:rPr>
                <w:noProof/>
                <w:szCs w:val="24"/>
              </w:rPr>
            </w:pPr>
            <w:r w:rsidRPr="007E3B4E">
              <w:t>csak az 1. cikk</w:t>
            </w:r>
          </w:p>
        </w:tc>
      </w:tr>
      <w:tr w:rsidR="00DB73A0" w:rsidRPr="007E3B4E" w14:paraId="51C77BBB" w14:textId="77777777" w:rsidTr="0043088E">
        <w:trPr>
          <w:gridBefore w:val="1"/>
          <w:wBefore w:w="534" w:type="dxa"/>
        </w:trPr>
        <w:tc>
          <w:tcPr>
            <w:tcW w:w="5103" w:type="dxa"/>
            <w:gridSpan w:val="2"/>
          </w:tcPr>
          <w:p w14:paraId="72DFBCC1" w14:textId="77777777" w:rsidR="00DB73A0" w:rsidRPr="007E3B4E" w:rsidRDefault="00DB73A0" w:rsidP="0043088E">
            <w:pPr>
              <w:widowControl w:val="0"/>
              <w:tabs>
                <w:tab w:val="left" w:pos="-720"/>
                <w:tab w:val="center" w:pos="7344"/>
              </w:tabs>
              <w:suppressAutoHyphens/>
              <w:jc w:val="left"/>
            </w:pPr>
            <w:r w:rsidRPr="007E3B4E">
              <w:t xml:space="preserve">A Bizottság (EU) 2019/826 felhatalmazáson alapuló rendelete </w:t>
            </w:r>
            <w:r w:rsidRPr="007E3B4E">
              <w:br/>
              <w:t>(HL L 137., 2019.5.23., 3. o.)</w:t>
            </w:r>
          </w:p>
        </w:tc>
        <w:tc>
          <w:tcPr>
            <w:tcW w:w="3650" w:type="dxa"/>
          </w:tcPr>
          <w:p w14:paraId="0C591D58" w14:textId="77777777" w:rsidR="00DB73A0" w:rsidRPr="007E3B4E" w:rsidRDefault="00DB73A0" w:rsidP="0043088E">
            <w:pPr>
              <w:widowControl w:val="0"/>
              <w:tabs>
                <w:tab w:val="left" w:pos="-720"/>
                <w:tab w:val="center" w:pos="7344"/>
              </w:tabs>
              <w:suppressAutoHyphens/>
              <w:jc w:val="left"/>
              <w:rPr>
                <w:noProof/>
              </w:rPr>
            </w:pPr>
          </w:p>
        </w:tc>
      </w:tr>
      <w:tr w:rsidR="00DB73A0" w:rsidRPr="007E3B4E" w14:paraId="16915345" w14:textId="77777777" w:rsidTr="0043088E">
        <w:trPr>
          <w:gridBefore w:val="1"/>
          <w:wBefore w:w="534" w:type="dxa"/>
        </w:trPr>
        <w:tc>
          <w:tcPr>
            <w:tcW w:w="5103" w:type="dxa"/>
            <w:gridSpan w:val="2"/>
          </w:tcPr>
          <w:p w14:paraId="6CE288B3" w14:textId="77777777" w:rsidR="00DB73A0" w:rsidRPr="007E3B4E" w:rsidRDefault="00DB73A0" w:rsidP="0043088E">
            <w:pPr>
              <w:widowControl w:val="0"/>
              <w:tabs>
                <w:tab w:val="left" w:pos="-720"/>
                <w:tab w:val="center" w:pos="7344"/>
              </w:tabs>
              <w:suppressAutoHyphens/>
              <w:jc w:val="left"/>
            </w:pPr>
            <w:r w:rsidRPr="007E3B4E">
              <w:t xml:space="preserve">Az Európai Parlament és a Tanács (EU) 2019/944 irányelve </w:t>
            </w:r>
            <w:r w:rsidRPr="007E3B4E">
              <w:br/>
              <w:t>(HL L 158., 2019.6.14., 125. o.)</w:t>
            </w:r>
          </w:p>
        </w:tc>
        <w:tc>
          <w:tcPr>
            <w:tcW w:w="3650" w:type="dxa"/>
          </w:tcPr>
          <w:p w14:paraId="49A33E14" w14:textId="77777777" w:rsidR="00DB73A0" w:rsidRPr="007E3B4E" w:rsidRDefault="00DB73A0" w:rsidP="0043088E">
            <w:pPr>
              <w:widowControl w:val="0"/>
              <w:tabs>
                <w:tab w:val="left" w:pos="-720"/>
                <w:tab w:val="center" w:pos="7344"/>
              </w:tabs>
              <w:suppressAutoHyphens/>
              <w:jc w:val="left"/>
              <w:rPr>
                <w:noProof/>
              </w:rPr>
            </w:pPr>
            <w:r w:rsidRPr="007E3B4E">
              <w:t>csak a 70. cikk</w:t>
            </w:r>
          </w:p>
        </w:tc>
      </w:tr>
    </w:tbl>
    <w:p w14:paraId="603434EA" w14:textId="77777777" w:rsidR="00DB73A0" w:rsidRPr="007E3B4E" w:rsidRDefault="00DB73A0" w:rsidP="0098121E">
      <w:pPr>
        <w:keepNext/>
        <w:widowControl w:val="0"/>
        <w:tabs>
          <w:tab w:val="right" w:pos="9600"/>
        </w:tabs>
        <w:suppressAutoHyphens/>
        <w:spacing w:before="0" w:after="240"/>
        <w:jc w:val="center"/>
        <w:outlineLvl w:val="0"/>
        <w:rPr>
          <w:rFonts w:eastAsia="Times New Roman"/>
          <w:noProof/>
        </w:rPr>
      </w:pPr>
      <w:r w:rsidRPr="007E3B4E">
        <w:t>B. rész</w:t>
      </w:r>
    </w:p>
    <w:p w14:paraId="4DDECD59" w14:textId="77777777" w:rsidR="00DB73A0" w:rsidRPr="007E3B4E" w:rsidRDefault="00DB73A0" w:rsidP="0098121E">
      <w:pPr>
        <w:keepNext/>
        <w:widowControl w:val="0"/>
        <w:tabs>
          <w:tab w:val="right" w:pos="9600"/>
        </w:tabs>
        <w:suppressAutoHyphens/>
        <w:spacing w:before="0" w:after="240"/>
        <w:jc w:val="center"/>
        <w:rPr>
          <w:rFonts w:eastAsia="Times New Roman"/>
          <w:b/>
          <w:noProof/>
        </w:rPr>
      </w:pPr>
      <w:r w:rsidRPr="007E3B4E">
        <w:rPr>
          <w:b/>
          <w:bCs/>
        </w:rPr>
        <w:t>A belső jogba való átültetésre vonatkozó határidők</w:t>
      </w:r>
      <w:r w:rsidRPr="007E3B4E">
        <w:t xml:space="preserve"> </w:t>
      </w:r>
      <w:r w:rsidRPr="007E3B4E">
        <w:br/>
      </w:r>
      <w:r w:rsidRPr="007E3B4E">
        <w:rPr>
          <w:b/>
        </w:rPr>
        <w:t>(a 36. cikk szerint)</w:t>
      </w:r>
    </w:p>
    <w:tbl>
      <w:tblPr>
        <w:tblW w:w="0" w:type="auto"/>
        <w:jc w:val="center"/>
        <w:tblLook w:val="01E0" w:firstRow="1" w:lastRow="1" w:firstColumn="1" w:lastColumn="1" w:noHBand="0" w:noVBand="0"/>
      </w:tblPr>
      <w:tblGrid>
        <w:gridCol w:w="3657"/>
        <w:gridCol w:w="4559"/>
      </w:tblGrid>
      <w:tr w:rsidR="00DB73A0" w:rsidRPr="007E3B4E" w14:paraId="540589DB" w14:textId="77777777" w:rsidTr="00D219A3">
        <w:trPr>
          <w:jc w:val="center"/>
        </w:trPr>
        <w:tc>
          <w:tcPr>
            <w:tcW w:w="3657" w:type="dxa"/>
            <w:tcBorders>
              <w:top w:val="single" w:sz="4" w:space="0" w:color="auto"/>
              <w:bottom w:val="single" w:sz="4" w:space="0" w:color="auto"/>
              <w:right w:val="single" w:sz="4" w:space="0" w:color="auto"/>
            </w:tcBorders>
          </w:tcPr>
          <w:p w14:paraId="7778AF16" w14:textId="77777777" w:rsidR="00DB73A0" w:rsidRPr="007E3B4E" w:rsidRDefault="00DB73A0" w:rsidP="0098121E">
            <w:pPr>
              <w:keepNext/>
              <w:widowControl w:val="0"/>
              <w:tabs>
                <w:tab w:val="right" w:pos="9600"/>
              </w:tabs>
              <w:suppressAutoHyphens/>
              <w:jc w:val="center"/>
              <w:rPr>
                <w:rFonts w:eastAsia="Times New Roman"/>
                <w:noProof/>
              </w:rPr>
            </w:pPr>
            <w:r w:rsidRPr="007E3B4E">
              <w:t>Irányelv</w:t>
            </w:r>
          </w:p>
        </w:tc>
        <w:tc>
          <w:tcPr>
            <w:tcW w:w="4559" w:type="dxa"/>
            <w:tcBorders>
              <w:top w:val="single" w:sz="4" w:space="0" w:color="auto"/>
              <w:left w:val="single" w:sz="4" w:space="0" w:color="auto"/>
              <w:bottom w:val="single" w:sz="4" w:space="0" w:color="auto"/>
            </w:tcBorders>
          </w:tcPr>
          <w:p w14:paraId="6BE1E470" w14:textId="77777777" w:rsidR="00DB73A0" w:rsidRPr="007E3B4E" w:rsidRDefault="00DB73A0" w:rsidP="0098121E">
            <w:pPr>
              <w:keepNext/>
              <w:widowControl w:val="0"/>
              <w:tabs>
                <w:tab w:val="right" w:pos="9600"/>
              </w:tabs>
              <w:suppressAutoHyphens/>
              <w:jc w:val="center"/>
              <w:rPr>
                <w:rFonts w:eastAsia="Times New Roman"/>
                <w:noProof/>
              </w:rPr>
            </w:pPr>
            <w:r w:rsidRPr="007E3B4E">
              <w:t>Az átültetés határideje</w:t>
            </w:r>
          </w:p>
        </w:tc>
      </w:tr>
      <w:tr w:rsidR="00DB73A0" w:rsidRPr="007E3B4E" w14:paraId="05564272" w14:textId="77777777" w:rsidTr="00D219A3">
        <w:trPr>
          <w:jc w:val="center"/>
        </w:trPr>
        <w:tc>
          <w:tcPr>
            <w:tcW w:w="3657" w:type="dxa"/>
            <w:tcBorders>
              <w:right w:val="single" w:sz="4" w:space="0" w:color="auto"/>
            </w:tcBorders>
          </w:tcPr>
          <w:p w14:paraId="7386896C" w14:textId="77777777" w:rsidR="00DB73A0" w:rsidRPr="007E3B4E" w:rsidRDefault="00DB73A0" w:rsidP="0098121E">
            <w:pPr>
              <w:keepNext/>
              <w:widowControl w:val="0"/>
              <w:tabs>
                <w:tab w:val="right" w:pos="9600"/>
              </w:tabs>
              <w:suppressAutoHyphens/>
              <w:jc w:val="center"/>
              <w:rPr>
                <w:rFonts w:eastAsia="Times New Roman"/>
                <w:noProof/>
              </w:rPr>
            </w:pPr>
            <w:r w:rsidRPr="007E3B4E">
              <w:t> 2012/27/EU</w:t>
            </w:r>
          </w:p>
        </w:tc>
        <w:tc>
          <w:tcPr>
            <w:tcW w:w="4559" w:type="dxa"/>
            <w:tcBorders>
              <w:left w:val="single" w:sz="4" w:space="0" w:color="auto"/>
            </w:tcBorders>
          </w:tcPr>
          <w:p w14:paraId="0B52DF89" w14:textId="77777777" w:rsidR="00DB73A0" w:rsidRPr="007E3B4E" w:rsidRDefault="00DB73A0" w:rsidP="0098121E">
            <w:pPr>
              <w:keepNext/>
              <w:widowControl w:val="0"/>
              <w:tabs>
                <w:tab w:val="right" w:pos="9600"/>
              </w:tabs>
              <w:suppressAutoHyphens/>
              <w:jc w:val="center"/>
              <w:rPr>
                <w:rFonts w:eastAsia="Times New Roman"/>
                <w:noProof/>
              </w:rPr>
            </w:pPr>
            <w:r w:rsidRPr="007E3B4E">
              <w:rPr>
                <w:color w:val="444444"/>
              </w:rPr>
              <w:t>2014. június 5.</w:t>
            </w:r>
          </w:p>
        </w:tc>
      </w:tr>
      <w:tr w:rsidR="00DB73A0" w:rsidRPr="007E3B4E" w14:paraId="4C1C362F" w14:textId="77777777" w:rsidTr="00D219A3">
        <w:trPr>
          <w:jc w:val="center"/>
        </w:trPr>
        <w:tc>
          <w:tcPr>
            <w:tcW w:w="3657" w:type="dxa"/>
            <w:tcBorders>
              <w:right w:val="single" w:sz="4" w:space="0" w:color="auto"/>
            </w:tcBorders>
          </w:tcPr>
          <w:p w14:paraId="593FC151" w14:textId="77777777" w:rsidR="00DB73A0" w:rsidRPr="007E3B4E" w:rsidRDefault="00DB73A0" w:rsidP="0098121E">
            <w:pPr>
              <w:keepNext/>
              <w:widowControl w:val="0"/>
              <w:tabs>
                <w:tab w:val="right" w:pos="9600"/>
              </w:tabs>
              <w:suppressAutoHyphens/>
              <w:jc w:val="center"/>
              <w:rPr>
                <w:rFonts w:eastAsia="Times New Roman"/>
                <w:noProof/>
              </w:rPr>
            </w:pPr>
            <w:r w:rsidRPr="007E3B4E">
              <w:t>(EU) 2018/844</w:t>
            </w:r>
          </w:p>
        </w:tc>
        <w:tc>
          <w:tcPr>
            <w:tcW w:w="4559" w:type="dxa"/>
            <w:tcBorders>
              <w:left w:val="single" w:sz="4" w:space="0" w:color="auto"/>
            </w:tcBorders>
          </w:tcPr>
          <w:p w14:paraId="7DE81936" w14:textId="77777777" w:rsidR="00DB73A0" w:rsidRPr="007E3B4E" w:rsidRDefault="00DB73A0" w:rsidP="0098121E">
            <w:pPr>
              <w:keepNext/>
              <w:widowControl w:val="0"/>
              <w:tabs>
                <w:tab w:val="right" w:pos="9600"/>
              </w:tabs>
              <w:suppressAutoHyphens/>
              <w:jc w:val="center"/>
              <w:rPr>
                <w:rFonts w:eastAsia="Times New Roman"/>
                <w:noProof/>
              </w:rPr>
            </w:pPr>
            <w:r w:rsidRPr="007E3B4E">
              <w:t>2020. március 10.</w:t>
            </w:r>
          </w:p>
        </w:tc>
      </w:tr>
      <w:tr w:rsidR="00DB73A0" w:rsidRPr="007E3B4E" w14:paraId="092C4D03" w14:textId="77777777" w:rsidTr="00D219A3">
        <w:trPr>
          <w:jc w:val="center"/>
        </w:trPr>
        <w:tc>
          <w:tcPr>
            <w:tcW w:w="3657" w:type="dxa"/>
            <w:tcBorders>
              <w:right w:val="single" w:sz="4" w:space="0" w:color="auto"/>
            </w:tcBorders>
          </w:tcPr>
          <w:p w14:paraId="715795CB" w14:textId="77777777" w:rsidR="00DB73A0" w:rsidRPr="007E3B4E" w:rsidRDefault="00DB73A0" w:rsidP="0098121E">
            <w:pPr>
              <w:keepNext/>
              <w:widowControl w:val="0"/>
              <w:tabs>
                <w:tab w:val="right" w:pos="9600"/>
              </w:tabs>
              <w:suppressAutoHyphens/>
              <w:jc w:val="center"/>
            </w:pPr>
            <w:r w:rsidRPr="007E3B4E">
              <w:t>(EU) 2018/2002</w:t>
            </w:r>
          </w:p>
        </w:tc>
        <w:tc>
          <w:tcPr>
            <w:tcW w:w="4559" w:type="dxa"/>
            <w:tcBorders>
              <w:left w:val="single" w:sz="4" w:space="0" w:color="auto"/>
            </w:tcBorders>
          </w:tcPr>
          <w:p w14:paraId="481A7C17" w14:textId="77777777" w:rsidR="00DB73A0" w:rsidRPr="007E3B4E" w:rsidRDefault="00DB73A0" w:rsidP="0098121E">
            <w:pPr>
              <w:keepNext/>
              <w:widowControl w:val="0"/>
              <w:tabs>
                <w:tab w:val="right" w:pos="9600"/>
              </w:tabs>
              <w:suppressAutoHyphens/>
              <w:jc w:val="center"/>
            </w:pPr>
            <w:r w:rsidRPr="007E3B4E">
              <w:rPr>
                <w:color w:val="444444"/>
              </w:rPr>
              <w:t>2020. június 25.,</w:t>
            </w:r>
            <w:r w:rsidRPr="007E3B4E">
              <w:t xml:space="preserve"> az 1. cikk 5–10. pontjának és a melléklet 3. és 4. pontjának kivételével</w:t>
            </w:r>
          </w:p>
          <w:p w14:paraId="3B175533" w14:textId="77777777" w:rsidR="00DB73A0" w:rsidRPr="007E3B4E" w:rsidRDefault="00DB73A0" w:rsidP="0098121E">
            <w:pPr>
              <w:keepNext/>
              <w:widowControl w:val="0"/>
              <w:tabs>
                <w:tab w:val="right" w:pos="9600"/>
              </w:tabs>
              <w:suppressAutoHyphens/>
              <w:jc w:val="center"/>
              <w:rPr>
                <w:noProof/>
              </w:rPr>
            </w:pPr>
            <w:r w:rsidRPr="007E3B4E">
              <w:rPr>
                <w:color w:val="444444"/>
              </w:rPr>
              <w:t>2020. október 25.,</w:t>
            </w:r>
            <w:r w:rsidRPr="007E3B4E">
              <w:t xml:space="preserve"> az 1. cikk 5–10. pontja és a melléklet 3. és 4. pontja tekintetében</w:t>
            </w:r>
          </w:p>
        </w:tc>
      </w:tr>
      <w:tr w:rsidR="00DB73A0" w:rsidRPr="007E3B4E" w14:paraId="577F3EF3" w14:textId="77777777" w:rsidTr="00D219A3">
        <w:trPr>
          <w:jc w:val="center"/>
        </w:trPr>
        <w:tc>
          <w:tcPr>
            <w:tcW w:w="3657" w:type="dxa"/>
            <w:tcBorders>
              <w:right w:val="single" w:sz="4" w:space="0" w:color="auto"/>
            </w:tcBorders>
          </w:tcPr>
          <w:p w14:paraId="03932A82" w14:textId="77777777" w:rsidR="00DB73A0" w:rsidRPr="007E3B4E" w:rsidRDefault="00DB73A0" w:rsidP="0043088E">
            <w:pPr>
              <w:widowControl w:val="0"/>
              <w:tabs>
                <w:tab w:val="right" w:pos="9600"/>
              </w:tabs>
              <w:suppressAutoHyphens/>
              <w:jc w:val="center"/>
            </w:pPr>
            <w:r w:rsidRPr="007E3B4E">
              <w:t>(EU) 2019/944</w:t>
            </w:r>
          </w:p>
        </w:tc>
        <w:tc>
          <w:tcPr>
            <w:tcW w:w="4559" w:type="dxa"/>
            <w:tcBorders>
              <w:left w:val="single" w:sz="4" w:space="0" w:color="auto"/>
            </w:tcBorders>
          </w:tcPr>
          <w:p w14:paraId="3FD27C77" w14:textId="77777777" w:rsidR="00DB73A0" w:rsidRPr="007E3B4E" w:rsidRDefault="00DB73A0" w:rsidP="0043088E">
            <w:pPr>
              <w:widowControl w:val="0"/>
              <w:tabs>
                <w:tab w:val="right" w:pos="9600"/>
              </w:tabs>
              <w:suppressAutoHyphens/>
              <w:jc w:val="center"/>
              <w:rPr>
                <w:color w:val="444444"/>
              </w:rPr>
            </w:pPr>
            <w:r w:rsidRPr="007E3B4E">
              <w:rPr>
                <w:color w:val="444444"/>
              </w:rPr>
              <w:t>2019. december 31., a 70. cikk 5. pontjának a) pontja tekintetében</w:t>
            </w:r>
          </w:p>
          <w:p w14:paraId="08FDC6C3" w14:textId="77777777" w:rsidR="00DB73A0" w:rsidRPr="007E3B4E" w:rsidRDefault="00DB73A0" w:rsidP="0043088E">
            <w:pPr>
              <w:widowControl w:val="0"/>
              <w:tabs>
                <w:tab w:val="right" w:pos="9600"/>
              </w:tabs>
              <w:suppressAutoHyphens/>
              <w:jc w:val="center"/>
              <w:rPr>
                <w:color w:val="444444"/>
              </w:rPr>
            </w:pPr>
            <w:r w:rsidRPr="007E3B4E">
              <w:rPr>
                <w:color w:val="444444"/>
              </w:rPr>
              <w:t>2020. október 25., a 70. cikk 4. pontja tekintetében</w:t>
            </w:r>
          </w:p>
          <w:p w14:paraId="0ABEDF0A" w14:textId="77777777" w:rsidR="00DB73A0" w:rsidRPr="007E3B4E" w:rsidRDefault="00DB73A0" w:rsidP="0043088E">
            <w:pPr>
              <w:widowControl w:val="0"/>
              <w:tabs>
                <w:tab w:val="right" w:pos="9600"/>
              </w:tabs>
              <w:suppressAutoHyphens/>
              <w:jc w:val="center"/>
              <w:rPr>
                <w:color w:val="444444"/>
              </w:rPr>
            </w:pPr>
            <w:r w:rsidRPr="007E3B4E">
              <w:rPr>
                <w:color w:val="444444"/>
              </w:rPr>
              <w:t>2020. december 31., a 70. cikk 1–3., 5. b) és 6. pontja tekintetében</w:t>
            </w:r>
          </w:p>
        </w:tc>
      </w:tr>
    </w:tbl>
    <w:p w14:paraId="479ED295" w14:textId="77777777" w:rsidR="00DB73A0" w:rsidRPr="007E3B4E" w:rsidRDefault="00DB73A0" w:rsidP="00DB73A0">
      <w:pPr>
        <w:jc w:val="center"/>
        <w:rPr>
          <w:rFonts w:eastAsia="Times New Roman"/>
          <w:noProof/>
        </w:rPr>
      </w:pPr>
      <w:r w:rsidRPr="007E3B4E">
        <w:t>_____________</w:t>
      </w:r>
    </w:p>
    <w:p w14:paraId="330183F5" w14:textId="77777777" w:rsidR="00DB73A0" w:rsidRPr="007E3B4E" w:rsidRDefault="00DB73A0" w:rsidP="00DB73A0">
      <w:pPr>
        <w:jc w:val="center"/>
        <w:rPr>
          <w:rFonts w:eastAsia="Times New Roman"/>
          <w:noProof/>
          <w:szCs w:val="20"/>
        </w:rPr>
        <w:sectPr w:rsidR="00DB73A0" w:rsidRPr="007E3B4E" w:rsidSect="002A7954">
          <w:pgSz w:w="11907" w:h="16839"/>
          <w:pgMar w:top="1134" w:right="1418" w:bottom="1134" w:left="1418" w:header="709" w:footer="709" w:gutter="0"/>
          <w:cols w:space="720"/>
          <w:docGrid w:linePitch="360"/>
        </w:sectPr>
      </w:pPr>
    </w:p>
    <w:p w14:paraId="5C302212" w14:textId="77777777" w:rsidR="00DB73A0" w:rsidRPr="007E3B4E" w:rsidRDefault="00DB73A0" w:rsidP="00DB73A0">
      <w:pPr>
        <w:pStyle w:val="Annexetitre"/>
        <w:rPr>
          <w:b w:val="0"/>
          <w:noProof/>
          <w:szCs w:val="20"/>
        </w:rPr>
      </w:pPr>
      <w:r w:rsidRPr="007E3B4E">
        <w:t>XVI. MELLÉKLET</w:t>
      </w:r>
    </w:p>
    <w:p w14:paraId="3D980519" w14:textId="77777777" w:rsidR="00DB73A0" w:rsidRPr="007E3B4E" w:rsidRDefault="00DB73A0" w:rsidP="00DB73A0">
      <w:pPr>
        <w:keepNext/>
        <w:spacing w:before="360"/>
        <w:jc w:val="center"/>
        <w:outlineLvl w:val="0"/>
        <w:rPr>
          <w:rFonts w:eastAsia="Times New Roman"/>
          <w:b/>
          <w:smallCaps/>
          <w:noProof/>
          <w:szCs w:val="20"/>
        </w:rPr>
      </w:pPr>
      <w:r w:rsidRPr="007E3B4E">
        <w:rPr>
          <w:b/>
          <w:smallCaps/>
          <w:szCs w:val="20"/>
        </w:rPr>
        <w:t>Megfelelési táblázat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674"/>
      </w:tblGrid>
      <w:tr w:rsidR="00D86764" w:rsidRPr="007E3B4E" w14:paraId="6C4BF6A0" w14:textId="77777777" w:rsidTr="00654447">
        <w:tc>
          <w:tcPr>
            <w:tcW w:w="4674" w:type="dxa"/>
            <w:tcBorders>
              <w:left w:val="nil"/>
            </w:tcBorders>
          </w:tcPr>
          <w:p w14:paraId="0C0873E4" w14:textId="77777777" w:rsidR="00D86764" w:rsidRPr="007E3B4E" w:rsidRDefault="00D86764" w:rsidP="00654447">
            <w:pPr>
              <w:jc w:val="center"/>
              <w:rPr>
                <w:rFonts w:eastAsia="Times New Roman"/>
                <w:noProof/>
              </w:rPr>
            </w:pPr>
            <w:r w:rsidRPr="007E3B4E">
              <w:t>2012/27/EU irányelv</w:t>
            </w:r>
          </w:p>
        </w:tc>
        <w:tc>
          <w:tcPr>
            <w:tcW w:w="4674" w:type="dxa"/>
            <w:tcBorders>
              <w:right w:val="nil"/>
            </w:tcBorders>
          </w:tcPr>
          <w:p w14:paraId="3B52A335" w14:textId="77777777" w:rsidR="00D86764" w:rsidRPr="007E3B4E" w:rsidRDefault="00D86764" w:rsidP="00654447">
            <w:pPr>
              <w:jc w:val="center"/>
              <w:rPr>
                <w:rFonts w:eastAsia="Times New Roman"/>
                <w:noProof/>
              </w:rPr>
            </w:pPr>
            <w:r w:rsidRPr="007E3B4E">
              <w:t>Ez az irányelv</w:t>
            </w:r>
          </w:p>
        </w:tc>
      </w:tr>
      <w:tr w:rsidR="00D86764" w:rsidRPr="007E3B4E" w14:paraId="367AF6EB" w14:textId="77777777" w:rsidTr="00654447">
        <w:tc>
          <w:tcPr>
            <w:tcW w:w="4674" w:type="dxa"/>
            <w:tcBorders>
              <w:top w:val="nil"/>
              <w:left w:val="nil"/>
              <w:bottom w:val="nil"/>
            </w:tcBorders>
          </w:tcPr>
          <w:p w14:paraId="3941582E" w14:textId="77777777" w:rsidR="00D86764" w:rsidRPr="007E3B4E" w:rsidRDefault="00D86764" w:rsidP="00654447">
            <w:pPr>
              <w:jc w:val="left"/>
              <w:rPr>
                <w:rFonts w:eastAsia="Times New Roman"/>
                <w:noProof/>
              </w:rPr>
            </w:pPr>
            <w:r w:rsidRPr="007E3B4E">
              <w:t>1. cikk</w:t>
            </w:r>
          </w:p>
        </w:tc>
        <w:tc>
          <w:tcPr>
            <w:tcW w:w="4674" w:type="dxa"/>
            <w:tcBorders>
              <w:top w:val="nil"/>
              <w:bottom w:val="nil"/>
              <w:right w:val="nil"/>
            </w:tcBorders>
          </w:tcPr>
          <w:p w14:paraId="1AE0A086" w14:textId="77777777" w:rsidR="00D86764" w:rsidRPr="007E3B4E" w:rsidRDefault="00D86764" w:rsidP="00654447">
            <w:pPr>
              <w:jc w:val="left"/>
              <w:rPr>
                <w:rFonts w:eastAsia="Times New Roman"/>
                <w:noProof/>
              </w:rPr>
            </w:pPr>
            <w:r w:rsidRPr="007E3B4E">
              <w:t>1. cikk</w:t>
            </w:r>
          </w:p>
        </w:tc>
      </w:tr>
      <w:tr w:rsidR="00D86764" w:rsidRPr="007E3B4E" w14:paraId="2EA4BC54" w14:textId="77777777" w:rsidTr="00654447">
        <w:tc>
          <w:tcPr>
            <w:tcW w:w="4674" w:type="dxa"/>
            <w:tcBorders>
              <w:top w:val="nil"/>
              <w:left w:val="nil"/>
              <w:bottom w:val="nil"/>
            </w:tcBorders>
          </w:tcPr>
          <w:p w14:paraId="265F5EBA" w14:textId="77777777" w:rsidR="00D86764" w:rsidRPr="007E3B4E" w:rsidRDefault="00D86764" w:rsidP="00654447">
            <w:pPr>
              <w:jc w:val="left"/>
              <w:rPr>
                <w:rFonts w:eastAsia="Times New Roman"/>
                <w:noProof/>
              </w:rPr>
            </w:pPr>
            <w:r w:rsidRPr="007E3B4E">
              <w:t>2. cikk, bevezető szöveg</w:t>
            </w:r>
          </w:p>
        </w:tc>
        <w:tc>
          <w:tcPr>
            <w:tcW w:w="4674" w:type="dxa"/>
            <w:tcBorders>
              <w:top w:val="nil"/>
              <w:bottom w:val="nil"/>
              <w:right w:val="nil"/>
            </w:tcBorders>
          </w:tcPr>
          <w:p w14:paraId="33C1D8BE" w14:textId="77777777" w:rsidR="00D86764" w:rsidRPr="007E3B4E" w:rsidRDefault="00D86764" w:rsidP="00654447">
            <w:pPr>
              <w:jc w:val="left"/>
              <w:rPr>
                <w:rFonts w:eastAsia="Times New Roman"/>
                <w:noProof/>
              </w:rPr>
            </w:pPr>
            <w:r w:rsidRPr="007E3B4E">
              <w:t>2. cikk, bevezető szöveg</w:t>
            </w:r>
          </w:p>
        </w:tc>
      </w:tr>
      <w:tr w:rsidR="00D86764" w:rsidRPr="007E3B4E" w14:paraId="0E341296" w14:textId="77777777" w:rsidTr="00654447">
        <w:tc>
          <w:tcPr>
            <w:tcW w:w="4674" w:type="dxa"/>
            <w:tcBorders>
              <w:top w:val="nil"/>
              <w:left w:val="nil"/>
              <w:bottom w:val="nil"/>
            </w:tcBorders>
          </w:tcPr>
          <w:p w14:paraId="00D9AB0D" w14:textId="77777777" w:rsidR="00D86764" w:rsidRPr="007E3B4E" w:rsidRDefault="00D86764" w:rsidP="00654447">
            <w:pPr>
              <w:jc w:val="left"/>
              <w:rPr>
                <w:rFonts w:eastAsia="Times New Roman"/>
                <w:noProof/>
              </w:rPr>
            </w:pPr>
            <w:r w:rsidRPr="007E3B4E">
              <w:t>2. cikk, 1. pont</w:t>
            </w:r>
          </w:p>
        </w:tc>
        <w:tc>
          <w:tcPr>
            <w:tcW w:w="4674" w:type="dxa"/>
            <w:tcBorders>
              <w:top w:val="nil"/>
              <w:bottom w:val="nil"/>
              <w:right w:val="nil"/>
            </w:tcBorders>
          </w:tcPr>
          <w:p w14:paraId="3983BE9B" w14:textId="77777777" w:rsidR="00D86764" w:rsidRPr="007E3B4E" w:rsidRDefault="00D86764" w:rsidP="00654447">
            <w:pPr>
              <w:jc w:val="left"/>
              <w:rPr>
                <w:rFonts w:eastAsia="Times New Roman"/>
                <w:noProof/>
              </w:rPr>
            </w:pPr>
            <w:r w:rsidRPr="007E3B4E">
              <w:t>2. cikk, 1. pont</w:t>
            </w:r>
          </w:p>
        </w:tc>
      </w:tr>
      <w:tr w:rsidR="00D86764" w:rsidRPr="007E3B4E" w14:paraId="41EB1336" w14:textId="77777777" w:rsidTr="00654447">
        <w:tc>
          <w:tcPr>
            <w:tcW w:w="4674" w:type="dxa"/>
            <w:tcBorders>
              <w:top w:val="nil"/>
              <w:left w:val="nil"/>
              <w:bottom w:val="nil"/>
            </w:tcBorders>
          </w:tcPr>
          <w:p w14:paraId="7EB9AE00"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345527F8" w14:textId="77777777" w:rsidR="00D86764" w:rsidRPr="007E3B4E" w:rsidRDefault="00D86764" w:rsidP="00654447">
            <w:pPr>
              <w:jc w:val="left"/>
              <w:rPr>
                <w:rFonts w:eastAsia="Times New Roman"/>
                <w:noProof/>
              </w:rPr>
            </w:pPr>
            <w:r w:rsidRPr="007E3B4E">
              <w:t>2. cikk, 2. és 3. pont</w:t>
            </w:r>
          </w:p>
        </w:tc>
      </w:tr>
      <w:tr w:rsidR="00D86764" w:rsidRPr="007E3B4E" w14:paraId="7B20F351" w14:textId="77777777" w:rsidTr="00654447">
        <w:tc>
          <w:tcPr>
            <w:tcW w:w="4674" w:type="dxa"/>
            <w:tcBorders>
              <w:top w:val="nil"/>
              <w:left w:val="nil"/>
              <w:bottom w:val="nil"/>
            </w:tcBorders>
          </w:tcPr>
          <w:p w14:paraId="724CC858" w14:textId="77777777" w:rsidR="00D86764" w:rsidRPr="007E3B4E" w:rsidRDefault="00D86764" w:rsidP="00654447">
            <w:pPr>
              <w:jc w:val="left"/>
              <w:rPr>
                <w:rFonts w:eastAsia="Times New Roman"/>
                <w:noProof/>
              </w:rPr>
            </w:pPr>
            <w:r w:rsidRPr="007E3B4E">
              <w:t>2. cikk, 2. pont</w:t>
            </w:r>
          </w:p>
        </w:tc>
        <w:tc>
          <w:tcPr>
            <w:tcW w:w="4674" w:type="dxa"/>
            <w:tcBorders>
              <w:top w:val="nil"/>
              <w:bottom w:val="nil"/>
              <w:right w:val="nil"/>
            </w:tcBorders>
          </w:tcPr>
          <w:p w14:paraId="06AECDFC" w14:textId="77777777" w:rsidR="00D86764" w:rsidRPr="007E3B4E" w:rsidRDefault="00D86764" w:rsidP="00654447">
            <w:pPr>
              <w:jc w:val="left"/>
              <w:rPr>
                <w:rFonts w:eastAsia="Times New Roman"/>
                <w:noProof/>
              </w:rPr>
            </w:pPr>
            <w:r w:rsidRPr="007E3B4E">
              <w:t>2. cikk, 4. pont</w:t>
            </w:r>
          </w:p>
        </w:tc>
      </w:tr>
      <w:tr w:rsidR="00D86764" w:rsidRPr="007E3B4E" w14:paraId="276C2462" w14:textId="77777777" w:rsidTr="00654447">
        <w:tc>
          <w:tcPr>
            <w:tcW w:w="4674" w:type="dxa"/>
            <w:tcBorders>
              <w:top w:val="nil"/>
              <w:left w:val="nil"/>
              <w:bottom w:val="nil"/>
            </w:tcBorders>
          </w:tcPr>
          <w:p w14:paraId="3A236229" w14:textId="77777777" w:rsidR="00D86764" w:rsidRPr="007E3B4E" w:rsidRDefault="00D86764" w:rsidP="00654447">
            <w:pPr>
              <w:jc w:val="left"/>
              <w:rPr>
                <w:rFonts w:eastAsia="Times New Roman"/>
                <w:noProof/>
              </w:rPr>
            </w:pPr>
            <w:r w:rsidRPr="007E3B4E">
              <w:t>2. cikk, 3. pont</w:t>
            </w:r>
          </w:p>
        </w:tc>
        <w:tc>
          <w:tcPr>
            <w:tcW w:w="4674" w:type="dxa"/>
            <w:tcBorders>
              <w:top w:val="nil"/>
              <w:bottom w:val="nil"/>
              <w:right w:val="nil"/>
            </w:tcBorders>
          </w:tcPr>
          <w:p w14:paraId="7A79A2EC" w14:textId="77777777" w:rsidR="00D86764" w:rsidRPr="007E3B4E" w:rsidRDefault="00D86764" w:rsidP="00654447">
            <w:pPr>
              <w:jc w:val="left"/>
              <w:rPr>
                <w:rFonts w:eastAsia="Times New Roman"/>
                <w:noProof/>
              </w:rPr>
            </w:pPr>
            <w:r w:rsidRPr="007E3B4E">
              <w:t>2. cikk, 5. pont</w:t>
            </w:r>
          </w:p>
        </w:tc>
      </w:tr>
      <w:tr w:rsidR="00D86764" w:rsidRPr="007E3B4E" w14:paraId="018CE24D" w14:textId="77777777" w:rsidTr="00654447">
        <w:tc>
          <w:tcPr>
            <w:tcW w:w="4674" w:type="dxa"/>
            <w:tcBorders>
              <w:top w:val="nil"/>
              <w:left w:val="nil"/>
              <w:bottom w:val="nil"/>
            </w:tcBorders>
          </w:tcPr>
          <w:p w14:paraId="7ABC85C3" w14:textId="77777777" w:rsidR="00D86764" w:rsidRPr="007E3B4E" w:rsidRDefault="00D86764" w:rsidP="00654447">
            <w:pPr>
              <w:jc w:val="left"/>
              <w:rPr>
                <w:rFonts w:eastAsia="Times New Roman"/>
                <w:noProof/>
              </w:rPr>
            </w:pPr>
            <w:r w:rsidRPr="007E3B4E">
              <w:t>2. cikk, 4. pont</w:t>
            </w:r>
          </w:p>
        </w:tc>
        <w:tc>
          <w:tcPr>
            <w:tcW w:w="4674" w:type="dxa"/>
            <w:tcBorders>
              <w:top w:val="nil"/>
              <w:bottom w:val="nil"/>
              <w:right w:val="nil"/>
            </w:tcBorders>
          </w:tcPr>
          <w:p w14:paraId="2D647297" w14:textId="77777777" w:rsidR="00D86764" w:rsidRPr="007E3B4E" w:rsidRDefault="00D86764" w:rsidP="00654447">
            <w:pPr>
              <w:jc w:val="left"/>
              <w:rPr>
                <w:rFonts w:eastAsia="Times New Roman"/>
                <w:noProof/>
              </w:rPr>
            </w:pPr>
            <w:r w:rsidRPr="007E3B4E">
              <w:t>2. cikk, 6. pont</w:t>
            </w:r>
          </w:p>
        </w:tc>
      </w:tr>
      <w:tr w:rsidR="00D86764" w:rsidRPr="007E3B4E" w14:paraId="5DC4C817" w14:textId="77777777" w:rsidTr="00654447">
        <w:tc>
          <w:tcPr>
            <w:tcW w:w="4674" w:type="dxa"/>
            <w:tcBorders>
              <w:top w:val="nil"/>
              <w:left w:val="nil"/>
              <w:bottom w:val="nil"/>
            </w:tcBorders>
          </w:tcPr>
          <w:p w14:paraId="14D2567A" w14:textId="77777777" w:rsidR="00D86764" w:rsidRPr="007E3B4E" w:rsidRDefault="00D86764" w:rsidP="00654447">
            <w:pPr>
              <w:jc w:val="left"/>
              <w:rPr>
                <w:rFonts w:eastAsia="Times New Roman"/>
                <w:noProof/>
              </w:rPr>
            </w:pPr>
            <w:r w:rsidRPr="007E3B4E">
              <w:t>2. cikk, 5. pont</w:t>
            </w:r>
          </w:p>
        </w:tc>
        <w:tc>
          <w:tcPr>
            <w:tcW w:w="4674" w:type="dxa"/>
            <w:tcBorders>
              <w:top w:val="nil"/>
              <w:bottom w:val="nil"/>
              <w:right w:val="nil"/>
            </w:tcBorders>
          </w:tcPr>
          <w:p w14:paraId="644C4A21" w14:textId="77777777" w:rsidR="00D86764" w:rsidRPr="007E3B4E" w:rsidRDefault="00D86764" w:rsidP="00654447">
            <w:pPr>
              <w:jc w:val="left"/>
              <w:rPr>
                <w:rFonts w:eastAsia="Times New Roman"/>
                <w:noProof/>
              </w:rPr>
            </w:pPr>
            <w:r w:rsidRPr="007E3B4E">
              <w:t>2. cikk, 7. pont</w:t>
            </w:r>
          </w:p>
        </w:tc>
      </w:tr>
      <w:tr w:rsidR="00D86764" w:rsidRPr="007E3B4E" w14:paraId="1566DADE" w14:textId="77777777" w:rsidTr="00654447">
        <w:tc>
          <w:tcPr>
            <w:tcW w:w="4674" w:type="dxa"/>
            <w:tcBorders>
              <w:top w:val="nil"/>
              <w:left w:val="nil"/>
              <w:bottom w:val="nil"/>
            </w:tcBorders>
          </w:tcPr>
          <w:p w14:paraId="613CF252" w14:textId="77777777" w:rsidR="00D86764" w:rsidRPr="007E3B4E" w:rsidRDefault="00D86764" w:rsidP="00654447">
            <w:pPr>
              <w:jc w:val="left"/>
              <w:rPr>
                <w:rFonts w:eastAsia="Times New Roman"/>
                <w:noProof/>
              </w:rPr>
            </w:pPr>
            <w:r w:rsidRPr="007E3B4E">
              <w:t>2. cikk, 6. pont</w:t>
            </w:r>
          </w:p>
        </w:tc>
        <w:tc>
          <w:tcPr>
            <w:tcW w:w="4674" w:type="dxa"/>
            <w:tcBorders>
              <w:top w:val="nil"/>
              <w:bottom w:val="nil"/>
              <w:right w:val="nil"/>
            </w:tcBorders>
          </w:tcPr>
          <w:p w14:paraId="7A291711" w14:textId="77777777" w:rsidR="00D86764" w:rsidRPr="007E3B4E" w:rsidRDefault="00D86764" w:rsidP="00654447">
            <w:pPr>
              <w:jc w:val="left"/>
              <w:rPr>
                <w:rFonts w:eastAsia="Times New Roman"/>
                <w:noProof/>
              </w:rPr>
            </w:pPr>
            <w:r w:rsidRPr="007E3B4E">
              <w:t>2. cikk, 8. pont</w:t>
            </w:r>
          </w:p>
        </w:tc>
      </w:tr>
      <w:tr w:rsidR="00D86764" w:rsidRPr="007E3B4E" w14:paraId="401E36A2" w14:textId="77777777" w:rsidTr="00654447">
        <w:tc>
          <w:tcPr>
            <w:tcW w:w="4674" w:type="dxa"/>
            <w:tcBorders>
              <w:top w:val="nil"/>
              <w:left w:val="nil"/>
              <w:bottom w:val="nil"/>
            </w:tcBorders>
          </w:tcPr>
          <w:p w14:paraId="25E73B82" w14:textId="77777777" w:rsidR="00D86764" w:rsidRPr="007E3B4E" w:rsidRDefault="00D86764" w:rsidP="00654447">
            <w:pPr>
              <w:jc w:val="left"/>
              <w:rPr>
                <w:rFonts w:eastAsia="Times New Roman"/>
                <w:noProof/>
              </w:rPr>
            </w:pPr>
            <w:r w:rsidRPr="007E3B4E">
              <w:t>2. cikk, 7. pont</w:t>
            </w:r>
          </w:p>
        </w:tc>
        <w:tc>
          <w:tcPr>
            <w:tcW w:w="4674" w:type="dxa"/>
            <w:tcBorders>
              <w:top w:val="nil"/>
              <w:bottom w:val="nil"/>
              <w:right w:val="nil"/>
            </w:tcBorders>
          </w:tcPr>
          <w:p w14:paraId="32E2C14B" w14:textId="77777777" w:rsidR="00D86764" w:rsidRPr="007E3B4E" w:rsidRDefault="00D86764" w:rsidP="00654447">
            <w:pPr>
              <w:jc w:val="left"/>
              <w:rPr>
                <w:rFonts w:eastAsia="Times New Roman"/>
                <w:noProof/>
              </w:rPr>
            </w:pPr>
            <w:r w:rsidRPr="007E3B4E">
              <w:t>2. cikk, 9. pont</w:t>
            </w:r>
          </w:p>
        </w:tc>
      </w:tr>
      <w:tr w:rsidR="00D86764" w:rsidRPr="007E3B4E" w14:paraId="15BA16ED" w14:textId="77777777" w:rsidTr="00654447">
        <w:tc>
          <w:tcPr>
            <w:tcW w:w="4674" w:type="dxa"/>
            <w:tcBorders>
              <w:top w:val="nil"/>
              <w:left w:val="nil"/>
              <w:bottom w:val="nil"/>
            </w:tcBorders>
          </w:tcPr>
          <w:p w14:paraId="6222BD44" w14:textId="77777777" w:rsidR="00D86764" w:rsidRPr="007E3B4E" w:rsidRDefault="00D86764" w:rsidP="00654447">
            <w:pPr>
              <w:jc w:val="left"/>
              <w:rPr>
                <w:rFonts w:eastAsia="Times New Roman"/>
                <w:noProof/>
              </w:rPr>
            </w:pPr>
            <w:r w:rsidRPr="007E3B4E">
              <w:t>2. cikk, 8. pont</w:t>
            </w:r>
          </w:p>
        </w:tc>
        <w:tc>
          <w:tcPr>
            <w:tcW w:w="4674" w:type="dxa"/>
            <w:tcBorders>
              <w:top w:val="nil"/>
              <w:bottom w:val="nil"/>
              <w:right w:val="nil"/>
            </w:tcBorders>
          </w:tcPr>
          <w:p w14:paraId="69C3C06D" w14:textId="77777777" w:rsidR="00D86764" w:rsidRPr="007E3B4E" w:rsidRDefault="00D86764" w:rsidP="00654447">
            <w:pPr>
              <w:jc w:val="left"/>
              <w:rPr>
                <w:rFonts w:eastAsia="Times New Roman"/>
                <w:noProof/>
              </w:rPr>
            </w:pPr>
            <w:r w:rsidRPr="007E3B4E">
              <w:t>2. cikk, 10. pont</w:t>
            </w:r>
          </w:p>
        </w:tc>
      </w:tr>
      <w:tr w:rsidR="00D86764" w:rsidRPr="007E3B4E" w14:paraId="694783A5" w14:textId="77777777" w:rsidTr="00654447">
        <w:tc>
          <w:tcPr>
            <w:tcW w:w="4674" w:type="dxa"/>
            <w:tcBorders>
              <w:top w:val="nil"/>
              <w:left w:val="nil"/>
              <w:bottom w:val="nil"/>
            </w:tcBorders>
          </w:tcPr>
          <w:p w14:paraId="1F0E4935" w14:textId="77777777" w:rsidR="00D86764" w:rsidRPr="007E3B4E" w:rsidRDefault="00D86764" w:rsidP="00654447">
            <w:pPr>
              <w:jc w:val="left"/>
              <w:rPr>
                <w:rFonts w:eastAsia="Times New Roman"/>
                <w:noProof/>
              </w:rPr>
            </w:pPr>
            <w:r w:rsidRPr="007E3B4E">
              <w:t>2. cikk, 9. pont</w:t>
            </w:r>
          </w:p>
        </w:tc>
        <w:tc>
          <w:tcPr>
            <w:tcW w:w="4674" w:type="dxa"/>
            <w:tcBorders>
              <w:top w:val="nil"/>
              <w:bottom w:val="nil"/>
              <w:right w:val="nil"/>
            </w:tcBorders>
          </w:tcPr>
          <w:p w14:paraId="021B3832" w14:textId="77777777" w:rsidR="00D86764" w:rsidRPr="007E3B4E" w:rsidRDefault="00D86764" w:rsidP="00654447">
            <w:pPr>
              <w:jc w:val="left"/>
              <w:rPr>
                <w:rFonts w:eastAsia="Times New Roman"/>
                <w:noProof/>
              </w:rPr>
            </w:pPr>
            <w:r w:rsidRPr="007E3B4E">
              <w:t>–</w:t>
            </w:r>
          </w:p>
        </w:tc>
      </w:tr>
      <w:tr w:rsidR="00D86764" w:rsidRPr="007E3B4E" w14:paraId="65E073E0" w14:textId="77777777" w:rsidTr="00654447">
        <w:tc>
          <w:tcPr>
            <w:tcW w:w="4674" w:type="dxa"/>
            <w:tcBorders>
              <w:top w:val="nil"/>
              <w:left w:val="nil"/>
              <w:bottom w:val="nil"/>
            </w:tcBorders>
          </w:tcPr>
          <w:p w14:paraId="77923498" w14:textId="77777777" w:rsidR="00D86764" w:rsidRPr="007E3B4E" w:rsidRDefault="00D86764" w:rsidP="00654447">
            <w:pPr>
              <w:jc w:val="left"/>
              <w:rPr>
                <w:rFonts w:eastAsia="Times New Roman"/>
                <w:noProof/>
              </w:rPr>
            </w:pPr>
            <w:r w:rsidRPr="007E3B4E">
              <w:t>2. cikk, 10. pont</w:t>
            </w:r>
          </w:p>
        </w:tc>
        <w:tc>
          <w:tcPr>
            <w:tcW w:w="4674" w:type="dxa"/>
            <w:tcBorders>
              <w:top w:val="nil"/>
              <w:bottom w:val="nil"/>
              <w:right w:val="nil"/>
            </w:tcBorders>
          </w:tcPr>
          <w:p w14:paraId="3EF8B264" w14:textId="77777777" w:rsidR="00D86764" w:rsidRPr="007E3B4E" w:rsidRDefault="00D86764" w:rsidP="00654447">
            <w:pPr>
              <w:jc w:val="left"/>
              <w:rPr>
                <w:rFonts w:eastAsia="Times New Roman"/>
                <w:noProof/>
              </w:rPr>
            </w:pPr>
            <w:r w:rsidRPr="007E3B4E">
              <w:t>2. cikk, 11. pont</w:t>
            </w:r>
          </w:p>
        </w:tc>
      </w:tr>
      <w:tr w:rsidR="00D86764" w:rsidRPr="007E3B4E" w14:paraId="423EF343" w14:textId="77777777" w:rsidTr="00654447">
        <w:tc>
          <w:tcPr>
            <w:tcW w:w="4674" w:type="dxa"/>
            <w:tcBorders>
              <w:top w:val="nil"/>
              <w:left w:val="nil"/>
              <w:bottom w:val="nil"/>
            </w:tcBorders>
          </w:tcPr>
          <w:p w14:paraId="6ECA5880"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63B21791" w14:textId="77777777" w:rsidR="00D86764" w:rsidRPr="007E3B4E" w:rsidRDefault="00D86764" w:rsidP="00654447">
            <w:pPr>
              <w:jc w:val="left"/>
              <w:rPr>
                <w:rFonts w:eastAsia="Times New Roman"/>
                <w:noProof/>
              </w:rPr>
            </w:pPr>
            <w:r w:rsidRPr="007E3B4E">
              <w:t>2. cikk, 12. és 13. pont</w:t>
            </w:r>
          </w:p>
        </w:tc>
      </w:tr>
      <w:tr w:rsidR="00D86764" w:rsidRPr="007E3B4E" w14:paraId="0B3AB352" w14:textId="77777777" w:rsidTr="00654447">
        <w:tc>
          <w:tcPr>
            <w:tcW w:w="4674" w:type="dxa"/>
            <w:tcBorders>
              <w:top w:val="nil"/>
              <w:left w:val="nil"/>
              <w:bottom w:val="nil"/>
            </w:tcBorders>
          </w:tcPr>
          <w:p w14:paraId="0407262A" w14:textId="77777777" w:rsidR="00D86764" w:rsidRPr="007E3B4E" w:rsidRDefault="00D86764" w:rsidP="00654447">
            <w:pPr>
              <w:jc w:val="left"/>
              <w:rPr>
                <w:rFonts w:eastAsia="Times New Roman"/>
                <w:noProof/>
              </w:rPr>
            </w:pPr>
            <w:r w:rsidRPr="007E3B4E">
              <w:t>2. cikk, 11. pont</w:t>
            </w:r>
          </w:p>
        </w:tc>
        <w:tc>
          <w:tcPr>
            <w:tcW w:w="4674" w:type="dxa"/>
            <w:tcBorders>
              <w:top w:val="nil"/>
              <w:bottom w:val="nil"/>
              <w:right w:val="nil"/>
            </w:tcBorders>
          </w:tcPr>
          <w:p w14:paraId="214FBE0D" w14:textId="77777777" w:rsidR="00D86764" w:rsidRPr="007E3B4E" w:rsidRDefault="00D86764" w:rsidP="00654447">
            <w:pPr>
              <w:jc w:val="left"/>
              <w:rPr>
                <w:rFonts w:eastAsia="Times New Roman"/>
                <w:noProof/>
              </w:rPr>
            </w:pPr>
            <w:r w:rsidRPr="007E3B4E">
              <w:t>2. cikk, 14. pont</w:t>
            </w:r>
          </w:p>
        </w:tc>
      </w:tr>
      <w:tr w:rsidR="00D86764" w:rsidRPr="007E3B4E" w14:paraId="703533DB" w14:textId="77777777" w:rsidTr="00654447">
        <w:tc>
          <w:tcPr>
            <w:tcW w:w="4674" w:type="dxa"/>
            <w:tcBorders>
              <w:top w:val="nil"/>
              <w:left w:val="nil"/>
              <w:bottom w:val="nil"/>
            </w:tcBorders>
          </w:tcPr>
          <w:p w14:paraId="65FE05E9" w14:textId="77777777" w:rsidR="00D86764" w:rsidRPr="007E3B4E" w:rsidDel="00DE1316" w:rsidRDefault="00D86764" w:rsidP="00654447">
            <w:pPr>
              <w:jc w:val="left"/>
              <w:rPr>
                <w:rFonts w:eastAsia="Times New Roman"/>
                <w:noProof/>
              </w:rPr>
            </w:pPr>
            <w:r w:rsidRPr="007E3B4E">
              <w:t>2. cikk, 12. pont</w:t>
            </w:r>
          </w:p>
        </w:tc>
        <w:tc>
          <w:tcPr>
            <w:tcW w:w="4674" w:type="dxa"/>
            <w:tcBorders>
              <w:top w:val="nil"/>
              <w:bottom w:val="nil"/>
              <w:right w:val="nil"/>
            </w:tcBorders>
          </w:tcPr>
          <w:p w14:paraId="5D35B387" w14:textId="77777777" w:rsidR="00D86764" w:rsidRPr="007E3B4E" w:rsidDel="00DE1316" w:rsidRDefault="00D86764" w:rsidP="00654447">
            <w:pPr>
              <w:jc w:val="left"/>
              <w:rPr>
                <w:rFonts w:eastAsia="Times New Roman"/>
                <w:noProof/>
              </w:rPr>
            </w:pPr>
            <w:r w:rsidRPr="007E3B4E">
              <w:t>2. cikk, 15. pont</w:t>
            </w:r>
          </w:p>
        </w:tc>
      </w:tr>
      <w:tr w:rsidR="00D86764" w:rsidRPr="007E3B4E" w14:paraId="37AF57A4" w14:textId="77777777" w:rsidTr="00654447">
        <w:tc>
          <w:tcPr>
            <w:tcW w:w="4674" w:type="dxa"/>
            <w:tcBorders>
              <w:top w:val="nil"/>
              <w:left w:val="nil"/>
              <w:bottom w:val="nil"/>
            </w:tcBorders>
          </w:tcPr>
          <w:p w14:paraId="44135564" w14:textId="77777777" w:rsidR="00D86764" w:rsidRPr="007E3B4E" w:rsidDel="00DE1316" w:rsidRDefault="00D86764" w:rsidP="00654447">
            <w:pPr>
              <w:jc w:val="left"/>
              <w:rPr>
                <w:rFonts w:eastAsia="Times New Roman"/>
                <w:noProof/>
              </w:rPr>
            </w:pPr>
            <w:r w:rsidRPr="007E3B4E">
              <w:t>2. cikk, 13. pont</w:t>
            </w:r>
          </w:p>
        </w:tc>
        <w:tc>
          <w:tcPr>
            <w:tcW w:w="4674" w:type="dxa"/>
            <w:tcBorders>
              <w:top w:val="nil"/>
              <w:bottom w:val="nil"/>
              <w:right w:val="nil"/>
            </w:tcBorders>
          </w:tcPr>
          <w:p w14:paraId="34BFA87B" w14:textId="77777777" w:rsidR="00D86764" w:rsidRPr="007E3B4E" w:rsidDel="00DE1316" w:rsidRDefault="00D86764" w:rsidP="00654447">
            <w:pPr>
              <w:jc w:val="left"/>
              <w:rPr>
                <w:rFonts w:eastAsia="Times New Roman"/>
                <w:noProof/>
              </w:rPr>
            </w:pPr>
            <w:r w:rsidRPr="007E3B4E">
              <w:t>2. cikk, 16. pont</w:t>
            </w:r>
          </w:p>
        </w:tc>
      </w:tr>
      <w:tr w:rsidR="00D86764" w:rsidRPr="007E3B4E" w14:paraId="4346417B" w14:textId="77777777" w:rsidTr="00654447">
        <w:tc>
          <w:tcPr>
            <w:tcW w:w="4674" w:type="dxa"/>
            <w:tcBorders>
              <w:top w:val="nil"/>
              <w:left w:val="nil"/>
              <w:bottom w:val="nil"/>
            </w:tcBorders>
          </w:tcPr>
          <w:p w14:paraId="5CC20A10" w14:textId="77777777" w:rsidR="00D86764" w:rsidRPr="007E3B4E" w:rsidDel="00DE1316" w:rsidRDefault="00D86764" w:rsidP="00654447">
            <w:pPr>
              <w:jc w:val="left"/>
              <w:rPr>
                <w:rFonts w:eastAsia="Times New Roman"/>
                <w:noProof/>
              </w:rPr>
            </w:pPr>
            <w:r w:rsidRPr="007E3B4E">
              <w:t>2. cikk, 14. pont</w:t>
            </w:r>
          </w:p>
        </w:tc>
        <w:tc>
          <w:tcPr>
            <w:tcW w:w="4674" w:type="dxa"/>
            <w:tcBorders>
              <w:top w:val="nil"/>
              <w:bottom w:val="nil"/>
              <w:right w:val="nil"/>
            </w:tcBorders>
          </w:tcPr>
          <w:p w14:paraId="1B08FFB3" w14:textId="77777777" w:rsidR="00D86764" w:rsidRPr="007E3B4E" w:rsidDel="00DE1316" w:rsidRDefault="00D86764" w:rsidP="00654447">
            <w:pPr>
              <w:jc w:val="left"/>
              <w:rPr>
                <w:rFonts w:eastAsia="Times New Roman"/>
                <w:noProof/>
              </w:rPr>
            </w:pPr>
            <w:r w:rsidRPr="007E3B4E">
              <w:t>2. cikk, 17. pont</w:t>
            </w:r>
          </w:p>
        </w:tc>
      </w:tr>
      <w:tr w:rsidR="00D86764" w:rsidRPr="007E3B4E" w14:paraId="57B01414" w14:textId="77777777" w:rsidTr="00654447">
        <w:tc>
          <w:tcPr>
            <w:tcW w:w="4674" w:type="dxa"/>
            <w:tcBorders>
              <w:top w:val="nil"/>
              <w:left w:val="nil"/>
              <w:bottom w:val="nil"/>
            </w:tcBorders>
          </w:tcPr>
          <w:p w14:paraId="794AE226" w14:textId="77777777" w:rsidR="00D86764" w:rsidRPr="007E3B4E" w:rsidDel="00DE1316" w:rsidRDefault="00D86764" w:rsidP="00654447">
            <w:pPr>
              <w:jc w:val="left"/>
              <w:rPr>
                <w:rFonts w:eastAsia="Times New Roman"/>
                <w:noProof/>
              </w:rPr>
            </w:pPr>
            <w:r w:rsidRPr="007E3B4E">
              <w:t>2. cikk, 15. pont</w:t>
            </w:r>
          </w:p>
        </w:tc>
        <w:tc>
          <w:tcPr>
            <w:tcW w:w="4674" w:type="dxa"/>
            <w:tcBorders>
              <w:top w:val="nil"/>
              <w:bottom w:val="nil"/>
              <w:right w:val="nil"/>
            </w:tcBorders>
          </w:tcPr>
          <w:p w14:paraId="48D2BD2C" w14:textId="77777777" w:rsidR="00D86764" w:rsidRPr="007E3B4E" w:rsidDel="00DE1316" w:rsidRDefault="00D86764" w:rsidP="00654447">
            <w:pPr>
              <w:jc w:val="left"/>
              <w:rPr>
                <w:rFonts w:eastAsia="Times New Roman"/>
                <w:noProof/>
              </w:rPr>
            </w:pPr>
            <w:r w:rsidRPr="007E3B4E">
              <w:t>2. cikk, 18. pont</w:t>
            </w:r>
          </w:p>
        </w:tc>
      </w:tr>
      <w:tr w:rsidR="00D86764" w:rsidRPr="007E3B4E" w14:paraId="78A76778" w14:textId="77777777" w:rsidTr="00654447">
        <w:tc>
          <w:tcPr>
            <w:tcW w:w="4674" w:type="dxa"/>
            <w:tcBorders>
              <w:top w:val="nil"/>
              <w:left w:val="nil"/>
              <w:bottom w:val="nil"/>
            </w:tcBorders>
          </w:tcPr>
          <w:p w14:paraId="18FF2DF7" w14:textId="77777777" w:rsidR="00D86764" w:rsidRPr="007E3B4E" w:rsidDel="00DE1316" w:rsidRDefault="00D86764" w:rsidP="00654447">
            <w:pPr>
              <w:jc w:val="left"/>
              <w:rPr>
                <w:rFonts w:eastAsia="Times New Roman"/>
                <w:noProof/>
              </w:rPr>
            </w:pPr>
            <w:r w:rsidRPr="007E3B4E">
              <w:t>2. cikk, 16. pont</w:t>
            </w:r>
          </w:p>
        </w:tc>
        <w:tc>
          <w:tcPr>
            <w:tcW w:w="4674" w:type="dxa"/>
            <w:tcBorders>
              <w:top w:val="nil"/>
              <w:bottom w:val="nil"/>
              <w:right w:val="nil"/>
            </w:tcBorders>
          </w:tcPr>
          <w:p w14:paraId="10932963" w14:textId="77777777" w:rsidR="00D86764" w:rsidRPr="007E3B4E" w:rsidDel="00DE1316" w:rsidRDefault="00D86764" w:rsidP="00654447">
            <w:pPr>
              <w:jc w:val="left"/>
              <w:rPr>
                <w:rFonts w:eastAsia="Times New Roman"/>
                <w:noProof/>
              </w:rPr>
            </w:pPr>
            <w:r w:rsidRPr="007E3B4E">
              <w:t>2. cikk, 19. pont</w:t>
            </w:r>
          </w:p>
        </w:tc>
      </w:tr>
      <w:tr w:rsidR="00D86764" w:rsidRPr="007E3B4E" w14:paraId="202768D3" w14:textId="77777777" w:rsidTr="00654447">
        <w:tc>
          <w:tcPr>
            <w:tcW w:w="4674" w:type="dxa"/>
            <w:tcBorders>
              <w:top w:val="nil"/>
              <w:left w:val="nil"/>
              <w:bottom w:val="nil"/>
            </w:tcBorders>
          </w:tcPr>
          <w:p w14:paraId="493962C0" w14:textId="77777777" w:rsidR="00D86764" w:rsidRPr="007E3B4E" w:rsidDel="00DE1316" w:rsidRDefault="00D86764" w:rsidP="00654447">
            <w:pPr>
              <w:jc w:val="left"/>
              <w:rPr>
                <w:rFonts w:eastAsia="Times New Roman"/>
                <w:noProof/>
              </w:rPr>
            </w:pPr>
            <w:r w:rsidRPr="007E3B4E">
              <w:t>2. cikk, 17. pont</w:t>
            </w:r>
          </w:p>
        </w:tc>
        <w:tc>
          <w:tcPr>
            <w:tcW w:w="4674" w:type="dxa"/>
            <w:tcBorders>
              <w:top w:val="nil"/>
              <w:bottom w:val="nil"/>
              <w:right w:val="nil"/>
            </w:tcBorders>
          </w:tcPr>
          <w:p w14:paraId="398E38D7" w14:textId="77777777" w:rsidR="00D86764" w:rsidRPr="007E3B4E" w:rsidDel="00DE1316" w:rsidRDefault="00D86764" w:rsidP="00654447">
            <w:pPr>
              <w:jc w:val="left"/>
              <w:rPr>
                <w:rFonts w:eastAsia="Times New Roman"/>
                <w:noProof/>
              </w:rPr>
            </w:pPr>
            <w:r w:rsidRPr="007E3B4E">
              <w:t>2. cikk, 20. pont</w:t>
            </w:r>
          </w:p>
        </w:tc>
      </w:tr>
      <w:tr w:rsidR="00D86764" w:rsidRPr="007E3B4E" w14:paraId="3AB4AA49" w14:textId="77777777" w:rsidTr="00654447">
        <w:tc>
          <w:tcPr>
            <w:tcW w:w="4674" w:type="dxa"/>
            <w:tcBorders>
              <w:top w:val="nil"/>
              <w:left w:val="nil"/>
              <w:bottom w:val="nil"/>
            </w:tcBorders>
          </w:tcPr>
          <w:p w14:paraId="22ED1C87" w14:textId="77777777" w:rsidR="00D86764" w:rsidRPr="007E3B4E" w:rsidDel="00DE1316" w:rsidRDefault="00D86764" w:rsidP="00654447">
            <w:pPr>
              <w:jc w:val="left"/>
              <w:rPr>
                <w:rFonts w:eastAsia="Times New Roman"/>
                <w:noProof/>
              </w:rPr>
            </w:pPr>
            <w:r w:rsidRPr="007E3B4E">
              <w:t>2. cikk, 18. pont</w:t>
            </w:r>
          </w:p>
        </w:tc>
        <w:tc>
          <w:tcPr>
            <w:tcW w:w="4674" w:type="dxa"/>
            <w:tcBorders>
              <w:top w:val="nil"/>
              <w:bottom w:val="nil"/>
              <w:right w:val="nil"/>
            </w:tcBorders>
          </w:tcPr>
          <w:p w14:paraId="7D6C3185" w14:textId="77777777" w:rsidR="00D86764" w:rsidRPr="007E3B4E" w:rsidDel="00DE1316" w:rsidRDefault="00D86764" w:rsidP="00654447">
            <w:pPr>
              <w:jc w:val="left"/>
              <w:rPr>
                <w:rFonts w:eastAsia="Times New Roman"/>
                <w:noProof/>
              </w:rPr>
            </w:pPr>
            <w:r w:rsidRPr="007E3B4E">
              <w:t>2. cikk, 21. pont</w:t>
            </w:r>
          </w:p>
        </w:tc>
      </w:tr>
      <w:tr w:rsidR="00D86764" w:rsidRPr="007E3B4E" w14:paraId="708A2873" w14:textId="77777777" w:rsidTr="00654447">
        <w:tc>
          <w:tcPr>
            <w:tcW w:w="4674" w:type="dxa"/>
            <w:tcBorders>
              <w:top w:val="nil"/>
              <w:left w:val="nil"/>
              <w:bottom w:val="nil"/>
            </w:tcBorders>
          </w:tcPr>
          <w:p w14:paraId="3FF58CCF" w14:textId="77777777" w:rsidR="00D86764" w:rsidRPr="007E3B4E" w:rsidDel="00DE1316" w:rsidRDefault="00D86764" w:rsidP="00654447">
            <w:pPr>
              <w:jc w:val="left"/>
              <w:rPr>
                <w:rFonts w:eastAsia="Times New Roman"/>
                <w:noProof/>
              </w:rPr>
            </w:pPr>
            <w:r w:rsidRPr="007E3B4E">
              <w:t>2. cikk, 19. pont</w:t>
            </w:r>
          </w:p>
        </w:tc>
        <w:tc>
          <w:tcPr>
            <w:tcW w:w="4674" w:type="dxa"/>
            <w:tcBorders>
              <w:top w:val="nil"/>
              <w:bottom w:val="nil"/>
              <w:right w:val="nil"/>
            </w:tcBorders>
          </w:tcPr>
          <w:p w14:paraId="4A27B651" w14:textId="77777777" w:rsidR="00D86764" w:rsidRPr="007E3B4E" w:rsidDel="00DE1316" w:rsidRDefault="00D86764" w:rsidP="00654447">
            <w:pPr>
              <w:jc w:val="left"/>
              <w:rPr>
                <w:rFonts w:eastAsia="Times New Roman"/>
                <w:noProof/>
              </w:rPr>
            </w:pPr>
            <w:r w:rsidRPr="007E3B4E">
              <w:t>2. cikk, 22. pont</w:t>
            </w:r>
          </w:p>
        </w:tc>
      </w:tr>
      <w:tr w:rsidR="00D86764" w:rsidRPr="007E3B4E" w14:paraId="5BB5C76E" w14:textId="77777777" w:rsidTr="00654447">
        <w:tc>
          <w:tcPr>
            <w:tcW w:w="4674" w:type="dxa"/>
            <w:tcBorders>
              <w:top w:val="nil"/>
              <w:left w:val="nil"/>
              <w:bottom w:val="nil"/>
            </w:tcBorders>
          </w:tcPr>
          <w:p w14:paraId="7F3EBA9C" w14:textId="77777777" w:rsidR="00D86764" w:rsidRPr="007E3B4E" w:rsidDel="00DE1316" w:rsidRDefault="00D86764" w:rsidP="00654447">
            <w:pPr>
              <w:jc w:val="left"/>
              <w:rPr>
                <w:rFonts w:eastAsia="Times New Roman"/>
                <w:noProof/>
              </w:rPr>
            </w:pPr>
            <w:r w:rsidRPr="007E3B4E">
              <w:t>2. cikk, 20. pont</w:t>
            </w:r>
          </w:p>
        </w:tc>
        <w:tc>
          <w:tcPr>
            <w:tcW w:w="4674" w:type="dxa"/>
            <w:tcBorders>
              <w:top w:val="nil"/>
              <w:bottom w:val="nil"/>
              <w:right w:val="nil"/>
            </w:tcBorders>
          </w:tcPr>
          <w:p w14:paraId="2489F62C" w14:textId="77777777" w:rsidR="00D86764" w:rsidRPr="007E3B4E" w:rsidDel="00DE1316" w:rsidRDefault="00D86764" w:rsidP="00654447">
            <w:pPr>
              <w:jc w:val="left"/>
              <w:rPr>
                <w:rFonts w:eastAsia="Times New Roman"/>
                <w:noProof/>
              </w:rPr>
            </w:pPr>
            <w:r w:rsidRPr="007E3B4E">
              <w:t>2. cikk, 23. pont</w:t>
            </w:r>
          </w:p>
        </w:tc>
      </w:tr>
      <w:tr w:rsidR="00D86764" w:rsidRPr="007E3B4E" w14:paraId="689D0C02" w14:textId="77777777" w:rsidTr="00654447">
        <w:tc>
          <w:tcPr>
            <w:tcW w:w="4674" w:type="dxa"/>
            <w:tcBorders>
              <w:top w:val="nil"/>
              <w:left w:val="nil"/>
              <w:bottom w:val="nil"/>
            </w:tcBorders>
          </w:tcPr>
          <w:p w14:paraId="67B0B1CE" w14:textId="77777777" w:rsidR="00D86764" w:rsidRPr="007E3B4E" w:rsidRDefault="00D86764" w:rsidP="00654447">
            <w:pPr>
              <w:jc w:val="left"/>
              <w:rPr>
                <w:rFonts w:eastAsia="Times New Roman"/>
                <w:noProof/>
              </w:rPr>
            </w:pPr>
            <w:r w:rsidRPr="007E3B4E">
              <w:t>2. cikk, 21. pont</w:t>
            </w:r>
          </w:p>
        </w:tc>
        <w:tc>
          <w:tcPr>
            <w:tcW w:w="4674" w:type="dxa"/>
            <w:tcBorders>
              <w:top w:val="nil"/>
              <w:bottom w:val="nil"/>
              <w:right w:val="nil"/>
            </w:tcBorders>
          </w:tcPr>
          <w:p w14:paraId="00A22CCB" w14:textId="77777777" w:rsidR="00D86764" w:rsidRPr="007E3B4E" w:rsidRDefault="00D86764" w:rsidP="00654447">
            <w:pPr>
              <w:jc w:val="left"/>
              <w:rPr>
                <w:rFonts w:eastAsia="Times New Roman"/>
                <w:noProof/>
              </w:rPr>
            </w:pPr>
            <w:r w:rsidRPr="007E3B4E">
              <w:t>2. cikk, 24. pont</w:t>
            </w:r>
          </w:p>
        </w:tc>
      </w:tr>
      <w:tr w:rsidR="00D86764" w:rsidRPr="007E3B4E" w14:paraId="1EB27ED8" w14:textId="77777777" w:rsidTr="00654447">
        <w:tc>
          <w:tcPr>
            <w:tcW w:w="4674" w:type="dxa"/>
            <w:tcBorders>
              <w:top w:val="nil"/>
              <w:left w:val="nil"/>
              <w:bottom w:val="nil"/>
            </w:tcBorders>
          </w:tcPr>
          <w:p w14:paraId="6BE2A5A1" w14:textId="77777777" w:rsidR="00D86764" w:rsidRPr="007E3B4E" w:rsidRDefault="00D86764" w:rsidP="00654447">
            <w:pPr>
              <w:jc w:val="left"/>
              <w:rPr>
                <w:rFonts w:eastAsia="Times New Roman"/>
                <w:noProof/>
              </w:rPr>
            </w:pPr>
            <w:r w:rsidRPr="007E3B4E">
              <w:t>2. cikk, 22. pont</w:t>
            </w:r>
          </w:p>
        </w:tc>
        <w:tc>
          <w:tcPr>
            <w:tcW w:w="4674" w:type="dxa"/>
            <w:tcBorders>
              <w:top w:val="nil"/>
              <w:bottom w:val="nil"/>
              <w:right w:val="nil"/>
            </w:tcBorders>
          </w:tcPr>
          <w:p w14:paraId="70F91549" w14:textId="77777777" w:rsidR="00D86764" w:rsidRPr="007E3B4E" w:rsidRDefault="00D86764" w:rsidP="00654447">
            <w:pPr>
              <w:jc w:val="left"/>
              <w:rPr>
                <w:rFonts w:eastAsia="Times New Roman"/>
                <w:noProof/>
              </w:rPr>
            </w:pPr>
            <w:r w:rsidRPr="007E3B4E">
              <w:t>2. cikk, 25. pont</w:t>
            </w:r>
          </w:p>
        </w:tc>
      </w:tr>
      <w:tr w:rsidR="00D86764" w:rsidRPr="007E3B4E" w14:paraId="68251301" w14:textId="77777777" w:rsidTr="00654447">
        <w:tc>
          <w:tcPr>
            <w:tcW w:w="4674" w:type="dxa"/>
            <w:tcBorders>
              <w:top w:val="nil"/>
              <w:left w:val="nil"/>
              <w:bottom w:val="nil"/>
            </w:tcBorders>
          </w:tcPr>
          <w:p w14:paraId="40B8D88B" w14:textId="77777777" w:rsidR="00D86764" w:rsidRPr="007E3B4E" w:rsidRDefault="00D86764" w:rsidP="00654447">
            <w:pPr>
              <w:jc w:val="left"/>
              <w:rPr>
                <w:rFonts w:eastAsia="Times New Roman"/>
                <w:noProof/>
              </w:rPr>
            </w:pPr>
            <w:r w:rsidRPr="007E3B4E">
              <w:t>2. cikk, 23. pont</w:t>
            </w:r>
          </w:p>
        </w:tc>
        <w:tc>
          <w:tcPr>
            <w:tcW w:w="4674" w:type="dxa"/>
            <w:tcBorders>
              <w:top w:val="nil"/>
              <w:bottom w:val="nil"/>
              <w:right w:val="nil"/>
            </w:tcBorders>
          </w:tcPr>
          <w:p w14:paraId="0E582F8E" w14:textId="77777777" w:rsidR="00D86764" w:rsidRPr="007E3B4E" w:rsidRDefault="00D86764" w:rsidP="00654447">
            <w:pPr>
              <w:jc w:val="left"/>
              <w:rPr>
                <w:rFonts w:eastAsia="Times New Roman"/>
                <w:noProof/>
              </w:rPr>
            </w:pPr>
            <w:r w:rsidRPr="007E3B4E">
              <w:t>2. cikk, 26. pont</w:t>
            </w:r>
          </w:p>
        </w:tc>
      </w:tr>
      <w:tr w:rsidR="00D86764" w:rsidRPr="007E3B4E" w14:paraId="02BFAF60" w14:textId="77777777" w:rsidTr="00654447">
        <w:tc>
          <w:tcPr>
            <w:tcW w:w="4674" w:type="dxa"/>
            <w:tcBorders>
              <w:top w:val="nil"/>
              <w:left w:val="nil"/>
              <w:bottom w:val="nil"/>
            </w:tcBorders>
          </w:tcPr>
          <w:p w14:paraId="715704F2" w14:textId="77777777" w:rsidR="00D86764" w:rsidRPr="007E3B4E" w:rsidRDefault="00D86764" w:rsidP="00654447">
            <w:pPr>
              <w:jc w:val="left"/>
              <w:rPr>
                <w:rFonts w:eastAsia="Times New Roman"/>
                <w:noProof/>
              </w:rPr>
            </w:pPr>
            <w:r w:rsidRPr="007E3B4E">
              <w:t>2. cikk, 24. pont</w:t>
            </w:r>
          </w:p>
        </w:tc>
        <w:tc>
          <w:tcPr>
            <w:tcW w:w="4674" w:type="dxa"/>
            <w:tcBorders>
              <w:top w:val="nil"/>
              <w:bottom w:val="nil"/>
              <w:right w:val="nil"/>
            </w:tcBorders>
          </w:tcPr>
          <w:p w14:paraId="3265B439" w14:textId="77777777" w:rsidR="00D86764" w:rsidRPr="007E3B4E" w:rsidRDefault="00D86764" w:rsidP="00654447">
            <w:pPr>
              <w:jc w:val="left"/>
              <w:rPr>
                <w:rFonts w:eastAsia="Times New Roman"/>
                <w:noProof/>
              </w:rPr>
            </w:pPr>
            <w:r w:rsidRPr="007E3B4E">
              <w:t>2. cikk, 27. pont</w:t>
            </w:r>
          </w:p>
        </w:tc>
      </w:tr>
      <w:tr w:rsidR="00D86764" w:rsidRPr="007E3B4E" w14:paraId="3FD45935" w14:textId="77777777" w:rsidTr="00654447">
        <w:tc>
          <w:tcPr>
            <w:tcW w:w="4674" w:type="dxa"/>
            <w:tcBorders>
              <w:top w:val="nil"/>
              <w:left w:val="nil"/>
              <w:bottom w:val="nil"/>
            </w:tcBorders>
          </w:tcPr>
          <w:p w14:paraId="0EB79FFD" w14:textId="77777777" w:rsidR="00D86764" w:rsidRPr="007E3B4E" w:rsidRDefault="00D86764" w:rsidP="00654447">
            <w:pPr>
              <w:jc w:val="left"/>
              <w:rPr>
                <w:rFonts w:eastAsia="Times New Roman"/>
                <w:noProof/>
              </w:rPr>
            </w:pPr>
            <w:r w:rsidRPr="007E3B4E">
              <w:t>2. cikk, 25. pont</w:t>
            </w:r>
          </w:p>
        </w:tc>
        <w:tc>
          <w:tcPr>
            <w:tcW w:w="4674" w:type="dxa"/>
            <w:tcBorders>
              <w:top w:val="nil"/>
              <w:bottom w:val="nil"/>
              <w:right w:val="nil"/>
            </w:tcBorders>
          </w:tcPr>
          <w:p w14:paraId="35816389" w14:textId="77777777" w:rsidR="00D86764" w:rsidRPr="007E3B4E" w:rsidRDefault="00D86764" w:rsidP="00654447">
            <w:pPr>
              <w:jc w:val="left"/>
              <w:rPr>
                <w:rFonts w:eastAsia="Times New Roman"/>
                <w:noProof/>
              </w:rPr>
            </w:pPr>
            <w:r w:rsidRPr="007E3B4E">
              <w:t>2. cikk, 28. pont</w:t>
            </w:r>
          </w:p>
        </w:tc>
      </w:tr>
      <w:tr w:rsidR="00D86764" w:rsidRPr="007E3B4E" w14:paraId="6D835844" w14:textId="77777777" w:rsidTr="00654447">
        <w:tc>
          <w:tcPr>
            <w:tcW w:w="4674" w:type="dxa"/>
            <w:tcBorders>
              <w:top w:val="nil"/>
              <w:left w:val="nil"/>
              <w:bottom w:val="nil"/>
            </w:tcBorders>
          </w:tcPr>
          <w:p w14:paraId="506F294F" w14:textId="77777777" w:rsidR="00D86764" w:rsidRPr="007E3B4E" w:rsidRDefault="00D86764" w:rsidP="00654447">
            <w:pPr>
              <w:jc w:val="left"/>
              <w:rPr>
                <w:rFonts w:eastAsia="Times New Roman"/>
                <w:noProof/>
              </w:rPr>
            </w:pPr>
            <w:r w:rsidRPr="007E3B4E">
              <w:t>2. cikk, 26. pont</w:t>
            </w:r>
          </w:p>
        </w:tc>
        <w:tc>
          <w:tcPr>
            <w:tcW w:w="4674" w:type="dxa"/>
            <w:tcBorders>
              <w:top w:val="nil"/>
              <w:bottom w:val="nil"/>
              <w:right w:val="nil"/>
            </w:tcBorders>
          </w:tcPr>
          <w:p w14:paraId="53909A7C" w14:textId="77777777" w:rsidR="00D86764" w:rsidRPr="007E3B4E" w:rsidRDefault="00D86764" w:rsidP="00654447">
            <w:pPr>
              <w:jc w:val="left"/>
              <w:rPr>
                <w:rFonts w:eastAsia="Times New Roman"/>
                <w:noProof/>
              </w:rPr>
            </w:pPr>
            <w:r w:rsidRPr="007E3B4E">
              <w:t>–</w:t>
            </w:r>
          </w:p>
        </w:tc>
      </w:tr>
      <w:tr w:rsidR="00D86764" w:rsidRPr="007E3B4E" w14:paraId="21435097" w14:textId="77777777" w:rsidTr="00654447">
        <w:tc>
          <w:tcPr>
            <w:tcW w:w="4674" w:type="dxa"/>
            <w:tcBorders>
              <w:top w:val="nil"/>
              <w:left w:val="nil"/>
              <w:bottom w:val="nil"/>
            </w:tcBorders>
          </w:tcPr>
          <w:p w14:paraId="62DE2502" w14:textId="77777777" w:rsidR="00D86764" w:rsidRPr="007E3B4E" w:rsidRDefault="00D86764" w:rsidP="00654447">
            <w:pPr>
              <w:jc w:val="left"/>
              <w:rPr>
                <w:rFonts w:eastAsia="Times New Roman"/>
                <w:noProof/>
              </w:rPr>
            </w:pPr>
            <w:r w:rsidRPr="007E3B4E">
              <w:t>2. cikk, 27. pont</w:t>
            </w:r>
          </w:p>
        </w:tc>
        <w:tc>
          <w:tcPr>
            <w:tcW w:w="4674" w:type="dxa"/>
            <w:tcBorders>
              <w:top w:val="nil"/>
              <w:bottom w:val="nil"/>
              <w:right w:val="nil"/>
            </w:tcBorders>
          </w:tcPr>
          <w:p w14:paraId="7F3EA4C0" w14:textId="77777777" w:rsidR="00D86764" w:rsidRPr="007E3B4E" w:rsidRDefault="00D86764" w:rsidP="00654447">
            <w:pPr>
              <w:jc w:val="left"/>
              <w:rPr>
                <w:rFonts w:eastAsia="Times New Roman"/>
                <w:noProof/>
              </w:rPr>
            </w:pPr>
            <w:r w:rsidRPr="007E3B4E">
              <w:t>2. cikk, 29. pont</w:t>
            </w:r>
          </w:p>
        </w:tc>
      </w:tr>
      <w:tr w:rsidR="00D86764" w:rsidRPr="007E3B4E" w14:paraId="6F2A47CC" w14:textId="77777777" w:rsidTr="00654447">
        <w:tc>
          <w:tcPr>
            <w:tcW w:w="4674" w:type="dxa"/>
            <w:tcBorders>
              <w:top w:val="nil"/>
              <w:left w:val="nil"/>
              <w:bottom w:val="nil"/>
            </w:tcBorders>
          </w:tcPr>
          <w:p w14:paraId="2E7767A1" w14:textId="77777777" w:rsidR="00D86764" w:rsidRPr="007E3B4E" w:rsidRDefault="00D86764" w:rsidP="00654447">
            <w:pPr>
              <w:jc w:val="left"/>
              <w:rPr>
                <w:rFonts w:eastAsia="Times New Roman"/>
                <w:noProof/>
              </w:rPr>
            </w:pPr>
            <w:r w:rsidRPr="007E3B4E">
              <w:t>2. cikk, 28. pont</w:t>
            </w:r>
          </w:p>
        </w:tc>
        <w:tc>
          <w:tcPr>
            <w:tcW w:w="4674" w:type="dxa"/>
            <w:tcBorders>
              <w:top w:val="nil"/>
              <w:bottom w:val="nil"/>
              <w:right w:val="nil"/>
            </w:tcBorders>
          </w:tcPr>
          <w:p w14:paraId="35CF5CDD" w14:textId="77777777" w:rsidR="00D86764" w:rsidRPr="007E3B4E" w:rsidRDefault="00D86764" w:rsidP="00654447">
            <w:pPr>
              <w:jc w:val="left"/>
              <w:rPr>
                <w:rFonts w:eastAsia="Times New Roman"/>
                <w:noProof/>
              </w:rPr>
            </w:pPr>
            <w:r w:rsidRPr="007E3B4E">
              <w:t>2. cikk, 30. pont</w:t>
            </w:r>
          </w:p>
        </w:tc>
      </w:tr>
      <w:tr w:rsidR="00D86764" w:rsidRPr="007E3B4E" w14:paraId="47EBC394" w14:textId="77777777" w:rsidTr="00654447">
        <w:tc>
          <w:tcPr>
            <w:tcW w:w="4674" w:type="dxa"/>
            <w:tcBorders>
              <w:top w:val="nil"/>
              <w:left w:val="nil"/>
              <w:bottom w:val="nil"/>
            </w:tcBorders>
          </w:tcPr>
          <w:p w14:paraId="4411622F" w14:textId="77777777" w:rsidR="00D86764" w:rsidRPr="007E3B4E" w:rsidRDefault="00D86764" w:rsidP="00654447">
            <w:pPr>
              <w:jc w:val="left"/>
              <w:rPr>
                <w:rFonts w:eastAsia="Times New Roman"/>
                <w:noProof/>
              </w:rPr>
            </w:pPr>
            <w:r w:rsidRPr="007E3B4E">
              <w:t>2. cikk, 29. pont</w:t>
            </w:r>
          </w:p>
        </w:tc>
        <w:tc>
          <w:tcPr>
            <w:tcW w:w="4674" w:type="dxa"/>
            <w:tcBorders>
              <w:top w:val="nil"/>
              <w:bottom w:val="nil"/>
              <w:right w:val="nil"/>
            </w:tcBorders>
          </w:tcPr>
          <w:p w14:paraId="69F06F53" w14:textId="77777777" w:rsidR="00D86764" w:rsidRPr="007E3B4E" w:rsidRDefault="00D86764" w:rsidP="00654447">
            <w:pPr>
              <w:jc w:val="left"/>
              <w:rPr>
                <w:rFonts w:eastAsia="Times New Roman"/>
                <w:noProof/>
              </w:rPr>
            </w:pPr>
            <w:r w:rsidRPr="007E3B4E">
              <w:t>2. cikk, 31. pont</w:t>
            </w:r>
          </w:p>
        </w:tc>
      </w:tr>
      <w:tr w:rsidR="00D86764" w:rsidRPr="007E3B4E" w14:paraId="404D14FC" w14:textId="77777777" w:rsidTr="00654447">
        <w:tc>
          <w:tcPr>
            <w:tcW w:w="4674" w:type="dxa"/>
            <w:tcBorders>
              <w:top w:val="nil"/>
              <w:left w:val="nil"/>
              <w:bottom w:val="nil"/>
            </w:tcBorders>
          </w:tcPr>
          <w:p w14:paraId="3ABAEB58" w14:textId="77777777" w:rsidR="00D86764" w:rsidRPr="007E3B4E" w:rsidRDefault="00D86764" w:rsidP="00654447">
            <w:pPr>
              <w:jc w:val="left"/>
              <w:rPr>
                <w:rFonts w:eastAsia="Times New Roman"/>
                <w:noProof/>
              </w:rPr>
            </w:pPr>
            <w:r w:rsidRPr="007E3B4E">
              <w:t>2. cikk, 30. pont</w:t>
            </w:r>
          </w:p>
        </w:tc>
        <w:tc>
          <w:tcPr>
            <w:tcW w:w="4674" w:type="dxa"/>
            <w:tcBorders>
              <w:top w:val="nil"/>
              <w:bottom w:val="nil"/>
              <w:right w:val="nil"/>
            </w:tcBorders>
          </w:tcPr>
          <w:p w14:paraId="2FE35BFF" w14:textId="77777777" w:rsidR="00D86764" w:rsidRPr="007E3B4E" w:rsidRDefault="00D86764" w:rsidP="00654447">
            <w:pPr>
              <w:jc w:val="left"/>
              <w:rPr>
                <w:rFonts w:eastAsia="Times New Roman"/>
                <w:noProof/>
              </w:rPr>
            </w:pPr>
            <w:r w:rsidRPr="007E3B4E">
              <w:t>2. cikk, 32. pont</w:t>
            </w:r>
          </w:p>
        </w:tc>
      </w:tr>
      <w:tr w:rsidR="00D86764" w:rsidRPr="007E3B4E" w14:paraId="34184C99" w14:textId="77777777" w:rsidTr="00654447">
        <w:tc>
          <w:tcPr>
            <w:tcW w:w="4674" w:type="dxa"/>
            <w:tcBorders>
              <w:top w:val="nil"/>
              <w:left w:val="nil"/>
              <w:bottom w:val="nil"/>
            </w:tcBorders>
          </w:tcPr>
          <w:p w14:paraId="682AEF18" w14:textId="77777777" w:rsidR="00D86764" w:rsidRPr="007E3B4E" w:rsidRDefault="00D86764" w:rsidP="00654447">
            <w:pPr>
              <w:jc w:val="left"/>
              <w:rPr>
                <w:rFonts w:eastAsia="Times New Roman"/>
                <w:noProof/>
              </w:rPr>
            </w:pPr>
            <w:r w:rsidRPr="007E3B4E">
              <w:t>2. cikk, 31. pont</w:t>
            </w:r>
          </w:p>
        </w:tc>
        <w:tc>
          <w:tcPr>
            <w:tcW w:w="4674" w:type="dxa"/>
            <w:tcBorders>
              <w:top w:val="nil"/>
              <w:bottom w:val="nil"/>
              <w:right w:val="nil"/>
            </w:tcBorders>
          </w:tcPr>
          <w:p w14:paraId="52236CF8" w14:textId="77777777" w:rsidR="00D86764" w:rsidRPr="007E3B4E" w:rsidRDefault="00D86764" w:rsidP="00654447">
            <w:pPr>
              <w:jc w:val="left"/>
              <w:rPr>
                <w:rFonts w:eastAsia="Times New Roman"/>
                <w:noProof/>
              </w:rPr>
            </w:pPr>
            <w:r w:rsidRPr="007E3B4E">
              <w:t>2. cikk, 33. pont</w:t>
            </w:r>
          </w:p>
        </w:tc>
      </w:tr>
      <w:tr w:rsidR="00D86764" w:rsidRPr="007E3B4E" w14:paraId="5FF72589" w14:textId="77777777" w:rsidTr="00654447">
        <w:tc>
          <w:tcPr>
            <w:tcW w:w="4674" w:type="dxa"/>
            <w:tcBorders>
              <w:top w:val="nil"/>
              <w:left w:val="nil"/>
              <w:bottom w:val="nil"/>
            </w:tcBorders>
          </w:tcPr>
          <w:p w14:paraId="233F4FA4" w14:textId="77777777" w:rsidR="00D86764" w:rsidRPr="007E3B4E" w:rsidRDefault="00D86764" w:rsidP="00654447">
            <w:pPr>
              <w:jc w:val="left"/>
              <w:rPr>
                <w:rFonts w:eastAsia="Times New Roman"/>
                <w:noProof/>
              </w:rPr>
            </w:pPr>
            <w:r w:rsidRPr="007E3B4E">
              <w:t>2. cikk, 32. pont</w:t>
            </w:r>
          </w:p>
        </w:tc>
        <w:tc>
          <w:tcPr>
            <w:tcW w:w="4674" w:type="dxa"/>
            <w:tcBorders>
              <w:top w:val="nil"/>
              <w:bottom w:val="nil"/>
              <w:right w:val="nil"/>
            </w:tcBorders>
          </w:tcPr>
          <w:p w14:paraId="4EDF1A0C" w14:textId="77777777" w:rsidR="00D86764" w:rsidRPr="007E3B4E" w:rsidRDefault="00D86764" w:rsidP="00654447">
            <w:pPr>
              <w:jc w:val="left"/>
              <w:rPr>
                <w:rFonts w:eastAsia="Times New Roman"/>
                <w:noProof/>
              </w:rPr>
            </w:pPr>
            <w:r w:rsidRPr="007E3B4E">
              <w:t>2. cikk, 34. pont</w:t>
            </w:r>
          </w:p>
        </w:tc>
      </w:tr>
      <w:tr w:rsidR="00D86764" w:rsidRPr="007E3B4E" w14:paraId="620150B0" w14:textId="77777777" w:rsidTr="00654447">
        <w:tc>
          <w:tcPr>
            <w:tcW w:w="4674" w:type="dxa"/>
            <w:tcBorders>
              <w:top w:val="nil"/>
              <w:left w:val="nil"/>
              <w:bottom w:val="nil"/>
            </w:tcBorders>
          </w:tcPr>
          <w:p w14:paraId="2767D72E" w14:textId="77777777" w:rsidR="00D86764" w:rsidRPr="007E3B4E" w:rsidRDefault="00D86764" w:rsidP="00654447">
            <w:pPr>
              <w:jc w:val="left"/>
              <w:rPr>
                <w:rFonts w:eastAsia="Times New Roman"/>
                <w:noProof/>
              </w:rPr>
            </w:pPr>
            <w:r w:rsidRPr="007E3B4E">
              <w:t>2. cikk, 33. pont</w:t>
            </w:r>
          </w:p>
        </w:tc>
        <w:tc>
          <w:tcPr>
            <w:tcW w:w="4674" w:type="dxa"/>
            <w:tcBorders>
              <w:top w:val="nil"/>
              <w:bottom w:val="nil"/>
              <w:right w:val="nil"/>
            </w:tcBorders>
          </w:tcPr>
          <w:p w14:paraId="55B6D474" w14:textId="77777777" w:rsidR="00D86764" w:rsidRPr="007E3B4E" w:rsidRDefault="00D86764" w:rsidP="00654447">
            <w:pPr>
              <w:jc w:val="left"/>
              <w:rPr>
                <w:rFonts w:eastAsia="Times New Roman"/>
                <w:noProof/>
              </w:rPr>
            </w:pPr>
            <w:r w:rsidRPr="007E3B4E">
              <w:t>2. cikk, 35. pont</w:t>
            </w:r>
          </w:p>
        </w:tc>
      </w:tr>
      <w:tr w:rsidR="00D86764" w:rsidRPr="007E3B4E" w14:paraId="198A70B9" w14:textId="77777777" w:rsidTr="00654447">
        <w:tc>
          <w:tcPr>
            <w:tcW w:w="4674" w:type="dxa"/>
            <w:tcBorders>
              <w:top w:val="nil"/>
              <w:left w:val="nil"/>
              <w:bottom w:val="nil"/>
            </w:tcBorders>
          </w:tcPr>
          <w:p w14:paraId="67815504" w14:textId="77777777" w:rsidR="00D86764" w:rsidRPr="007E3B4E" w:rsidRDefault="00D86764" w:rsidP="00654447">
            <w:pPr>
              <w:jc w:val="left"/>
              <w:rPr>
                <w:rFonts w:eastAsia="Times New Roman"/>
                <w:noProof/>
              </w:rPr>
            </w:pPr>
            <w:r w:rsidRPr="007E3B4E">
              <w:t>2. cikk, 34. pont</w:t>
            </w:r>
          </w:p>
        </w:tc>
        <w:tc>
          <w:tcPr>
            <w:tcW w:w="4674" w:type="dxa"/>
            <w:tcBorders>
              <w:top w:val="nil"/>
              <w:bottom w:val="nil"/>
              <w:right w:val="nil"/>
            </w:tcBorders>
          </w:tcPr>
          <w:p w14:paraId="67A75590" w14:textId="77777777" w:rsidR="00D86764" w:rsidRPr="007E3B4E" w:rsidRDefault="00D86764" w:rsidP="00654447">
            <w:pPr>
              <w:jc w:val="left"/>
              <w:rPr>
                <w:rFonts w:eastAsia="Times New Roman"/>
                <w:noProof/>
              </w:rPr>
            </w:pPr>
            <w:r w:rsidRPr="007E3B4E">
              <w:t>2. cikk, 36. pont</w:t>
            </w:r>
          </w:p>
        </w:tc>
      </w:tr>
      <w:tr w:rsidR="00D86764" w:rsidRPr="007E3B4E" w14:paraId="3A689A47" w14:textId="77777777" w:rsidTr="00654447">
        <w:tc>
          <w:tcPr>
            <w:tcW w:w="4674" w:type="dxa"/>
            <w:tcBorders>
              <w:top w:val="nil"/>
              <w:left w:val="nil"/>
              <w:bottom w:val="nil"/>
            </w:tcBorders>
          </w:tcPr>
          <w:p w14:paraId="6F1322E6" w14:textId="77777777" w:rsidR="00D86764" w:rsidRPr="007E3B4E" w:rsidRDefault="00D86764" w:rsidP="00654447">
            <w:pPr>
              <w:jc w:val="left"/>
              <w:rPr>
                <w:rFonts w:eastAsia="Times New Roman"/>
                <w:noProof/>
              </w:rPr>
            </w:pPr>
            <w:r w:rsidRPr="007E3B4E">
              <w:t>2. cikk, 35. pont</w:t>
            </w:r>
          </w:p>
        </w:tc>
        <w:tc>
          <w:tcPr>
            <w:tcW w:w="4674" w:type="dxa"/>
            <w:tcBorders>
              <w:top w:val="nil"/>
              <w:bottom w:val="nil"/>
              <w:right w:val="nil"/>
            </w:tcBorders>
          </w:tcPr>
          <w:p w14:paraId="4C2ECC83" w14:textId="77777777" w:rsidR="00D86764" w:rsidRPr="007E3B4E" w:rsidRDefault="00D86764" w:rsidP="00654447">
            <w:pPr>
              <w:jc w:val="left"/>
              <w:rPr>
                <w:rFonts w:eastAsia="Times New Roman"/>
                <w:noProof/>
              </w:rPr>
            </w:pPr>
            <w:r w:rsidRPr="007E3B4E">
              <w:t>2. cikk, 37. pont</w:t>
            </w:r>
          </w:p>
        </w:tc>
      </w:tr>
      <w:tr w:rsidR="00D86764" w:rsidRPr="007E3B4E" w14:paraId="25840875" w14:textId="77777777" w:rsidTr="00654447">
        <w:tc>
          <w:tcPr>
            <w:tcW w:w="4674" w:type="dxa"/>
            <w:tcBorders>
              <w:top w:val="nil"/>
              <w:left w:val="nil"/>
              <w:bottom w:val="nil"/>
            </w:tcBorders>
          </w:tcPr>
          <w:p w14:paraId="59F363B8" w14:textId="77777777" w:rsidR="00D86764" w:rsidRPr="007E3B4E" w:rsidRDefault="00D86764" w:rsidP="00654447">
            <w:pPr>
              <w:jc w:val="left"/>
              <w:rPr>
                <w:rFonts w:eastAsia="Times New Roman"/>
                <w:noProof/>
              </w:rPr>
            </w:pPr>
            <w:r w:rsidRPr="007E3B4E">
              <w:t>2. cikk, 36. pont</w:t>
            </w:r>
          </w:p>
        </w:tc>
        <w:tc>
          <w:tcPr>
            <w:tcW w:w="4674" w:type="dxa"/>
            <w:tcBorders>
              <w:top w:val="nil"/>
              <w:bottom w:val="nil"/>
              <w:right w:val="nil"/>
            </w:tcBorders>
          </w:tcPr>
          <w:p w14:paraId="69456016" w14:textId="77777777" w:rsidR="00D86764" w:rsidRPr="007E3B4E" w:rsidRDefault="00D86764" w:rsidP="00654447">
            <w:pPr>
              <w:jc w:val="left"/>
              <w:rPr>
                <w:rFonts w:eastAsia="Times New Roman"/>
                <w:noProof/>
              </w:rPr>
            </w:pPr>
            <w:r w:rsidRPr="007E3B4E">
              <w:t>2. cikk, 38. pont</w:t>
            </w:r>
          </w:p>
        </w:tc>
      </w:tr>
      <w:tr w:rsidR="00D86764" w:rsidRPr="007E3B4E" w14:paraId="744DB7DB" w14:textId="77777777" w:rsidTr="00654447">
        <w:tc>
          <w:tcPr>
            <w:tcW w:w="4674" w:type="dxa"/>
            <w:tcBorders>
              <w:top w:val="nil"/>
              <w:left w:val="nil"/>
              <w:bottom w:val="nil"/>
            </w:tcBorders>
          </w:tcPr>
          <w:p w14:paraId="55452986" w14:textId="77777777" w:rsidR="00D86764" w:rsidRPr="007E3B4E" w:rsidRDefault="00D86764" w:rsidP="00654447">
            <w:pPr>
              <w:jc w:val="left"/>
              <w:rPr>
                <w:rFonts w:eastAsia="Times New Roman"/>
                <w:noProof/>
              </w:rPr>
            </w:pPr>
            <w:r w:rsidRPr="007E3B4E">
              <w:t>2. cikk, 37. pont</w:t>
            </w:r>
          </w:p>
        </w:tc>
        <w:tc>
          <w:tcPr>
            <w:tcW w:w="4674" w:type="dxa"/>
            <w:tcBorders>
              <w:top w:val="nil"/>
              <w:bottom w:val="nil"/>
              <w:right w:val="nil"/>
            </w:tcBorders>
          </w:tcPr>
          <w:p w14:paraId="5956DC49" w14:textId="77777777" w:rsidR="00D86764" w:rsidRPr="007E3B4E" w:rsidRDefault="00D86764" w:rsidP="00654447">
            <w:pPr>
              <w:jc w:val="left"/>
              <w:rPr>
                <w:rFonts w:eastAsia="Times New Roman"/>
                <w:noProof/>
              </w:rPr>
            </w:pPr>
            <w:r w:rsidRPr="007E3B4E">
              <w:t>2. cikk, 39. pont</w:t>
            </w:r>
          </w:p>
        </w:tc>
      </w:tr>
      <w:tr w:rsidR="00D86764" w:rsidRPr="007E3B4E" w14:paraId="31F9AF32" w14:textId="77777777" w:rsidTr="00654447">
        <w:tc>
          <w:tcPr>
            <w:tcW w:w="4674" w:type="dxa"/>
            <w:tcBorders>
              <w:top w:val="nil"/>
              <w:left w:val="nil"/>
              <w:bottom w:val="nil"/>
            </w:tcBorders>
          </w:tcPr>
          <w:p w14:paraId="64933681" w14:textId="77777777" w:rsidR="00D86764" w:rsidRPr="007E3B4E" w:rsidRDefault="00D86764" w:rsidP="00654447">
            <w:pPr>
              <w:jc w:val="left"/>
              <w:rPr>
                <w:rFonts w:eastAsia="Times New Roman"/>
                <w:noProof/>
              </w:rPr>
            </w:pPr>
            <w:r w:rsidRPr="007E3B4E">
              <w:t>2. cikk, 38. pont</w:t>
            </w:r>
          </w:p>
        </w:tc>
        <w:tc>
          <w:tcPr>
            <w:tcW w:w="4674" w:type="dxa"/>
            <w:tcBorders>
              <w:top w:val="nil"/>
              <w:bottom w:val="nil"/>
              <w:right w:val="nil"/>
            </w:tcBorders>
          </w:tcPr>
          <w:p w14:paraId="7E9EED11" w14:textId="77777777" w:rsidR="00D86764" w:rsidRPr="007E3B4E" w:rsidRDefault="00D86764" w:rsidP="00654447">
            <w:pPr>
              <w:jc w:val="left"/>
              <w:rPr>
                <w:rFonts w:eastAsia="Times New Roman"/>
                <w:noProof/>
              </w:rPr>
            </w:pPr>
            <w:r w:rsidRPr="007E3B4E">
              <w:t>2. cikk, 40. pont</w:t>
            </w:r>
          </w:p>
        </w:tc>
      </w:tr>
      <w:tr w:rsidR="00D86764" w:rsidRPr="007E3B4E" w14:paraId="40CE1CD7" w14:textId="77777777" w:rsidTr="00654447">
        <w:tc>
          <w:tcPr>
            <w:tcW w:w="4674" w:type="dxa"/>
            <w:tcBorders>
              <w:top w:val="nil"/>
              <w:left w:val="nil"/>
              <w:bottom w:val="nil"/>
            </w:tcBorders>
          </w:tcPr>
          <w:p w14:paraId="52C2DB1E" w14:textId="77777777" w:rsidR="00D86764" w:rsidRPr="007E3B4E" w:rsidRDefault="00D86764" w:rsidP="00654447">
            <w:pPr>
              <w:jc w:val="left"/>
              <w:rPr>
                <w:rFonts w:eastAsia="Times New Roman"/>
                <w:noProof/>
              </w:rPr>
            </w:pPr>
            <w:r w:rsidRPr="007E3B4E">
              <w:t>2. cikk, 39. pont</w:t>
            </w:r>
          </w:p>
        </w:tc>
        <w:tc>
          <w:tcPr>
            <w:tcW w:w="4674" w:type="dxa"/>
            <w:tcBorders>
              <w:top w:val="nil"/>
              <w:bottom w:val="nil"/>
              <w:right w:val="nil"/>
            </w:tcBorders>
          </w:tcPr>
          <w:p w14:paraId="185CF274" w14:textId="77777777" w:rsidR="00D86764" w:rsidRPr="007E3B4E" w:rsidRDefault="00D86764" w:rsidP="00654447">
            <w:pPr>
              <w:jc w:val="left"/>
              <w:rPr>
                <w:rFonts w:eastAsia="Times New Roman"/>
                <w:noProof/>
              </w:rPr>
            </w:pPr>
            <w:r w:rsidRPr="007E3B4E">
              <w:t>2. cikk, 41. pont</w:t>
            </w:r>
          </w:p>
        </w:tc>
      </w:tr>
      <w:tr w:rsidR="00D86764" w:rsidRPr="007E3B4E" w14:paraId="2762D8C4" w14:textId="77777777" w:rsidTr="00654447">
        <w:tc>
          <w:tcPr>
            <w:tcW w:w="4674" w:type="dxa"/>
            <w:tcBorders>
              <w:top w:val="nil"/>
              <w:left w:val="nil"/>
              <w:bottom w:val="nil"/>
            </w:tcBorders>
          </w:tcPr>
          <w:p w14:paraId="3E352FA2" w14:textId="77777777" w:rsidR="00D86764" w:rsidRPr="007E3B4E" w:rsidRDefault="00D86764" w:rsidP="00654447">
            <w:pPr>
              <w:jc w:val="left"/>
              <w:rPr>
                <w:rFonts w:eastAsia="Times New Roman"/>
                <w:noProof/>
              </w:rPr>
            </w:pPr>
            <w:r w:rsidRPr="007E3B4E">
              <w:t>2. cikk, 40. pont</w:t>
            </w:r>
          </w:p>
        </w:tc>
        <w:tc>
          <w:tcPr>
            <w:tcW w:w="4674" w:type="dxa"/>
            <w:tcBorders>
              <w:top w:val="nil"/>
              <w:bottom w:val="nil"/>
              <w:right w:val="nil"/>
            </w:tcBorders>
          </w:tcPr>
          <w:p w14:paraId="1971374A" w14:textId="77777777" w:rsidR="00D86764" w:rsidRPr="007E3B4E" w:rsidRDefault="00D86764" w:rsidP="00654447">
            <w:pPr>
              <w:jc w:val="left"/>
              <w:rPr>
                <w:rFonts w:eastAsia="Times New Roman"/>
                <w:noProof/>
              </w:rPr>
            </w:pPr>
            <w:r w:rsidRPr="007E3B4E">
              <w:t>–</w:t>
            </w:r>
          </w:p>
        </w:tc>
      </w:tr>
      <w:tr w:rsidR="00D86764" w:rsidRPr="007E3B4E" w14:paraId="16541AEB" w14:textId="77777777" w:rsidTr="00654447">
        <w:tc>
          <w:tcPr>
            <w:tcW w:w="4674" w:type="dxa"/>
            <w:tcBorders>
              <w:top w:val="nil"/>
              <w:left w:val="nil"/>
              <w:bottom w:val="nil"/>
            </w:tcBorders>
          </w:tcPr>
          <w:p w14:paraId="1622AA9A" w14:textId="77777777" w:rsidR="00D86764" w:rsidRPr="007E3B4E" w:rsidRDefault="00D86764" w:rsidP="00654447">
            <w:pPr>
              <w:jc w:val="left"/>
              <w:rPr>
                <w:rFonts w:eastAsia="Times New Roman"/>
                <w:noProof/>
              </w:rPr>
            </w:pPr>
            <w:r w:rsidRPr="007E3B4E">
              <w:t>2. cikk, 41. pont</w:t>
            </w:r>
          </w:p>
        </w:tc>
        <w:tc>
          <w:tcPr>
            <w:tcW w:w="4674" w:type="dxa"/>
            <w:tcBorders>
              <w:top w:val="nil"/>
              <w:bottom w:val="nil"/>
              <w:right w:val="nil"/>
            </w:tcBorders>
          </w:tcPr>
          <w:p w14:paraId="4AF78FCA" w14:textId="77777777" w:rsidR="00D86764" w:rsidRPr="007E3B4E" w:rsidRDefault="00D86764" w:rsidP="00654447">
            <w:pPr>
              <w:jc w:val="left"/>
              <w:rPr>
                <w:rFonts w:eastAsia="Times New Roman"/>
                <w:noProof/>
              </w:rPr>
            </w:pPr>
            <w:r w:rsidRPr="007E3B4E">
              <w:t>2. cikk, 42. pont</w:t>
            </w:r>
          </w:p>
        </w:tc>
      </w:tr>
      <w:tr w:rsidR="00D86764" w:rsidRPr="007E3B4E" w14:paraId="239D763D" w14:textId="77777777" w:rsidTr="00654447">
        <w:tc>
          <w:tcPr>
            <w:tcW w:w="4674" w:type="dxa"/>
            <w:tcBorders>
              <w:top w:val="nil"/>
              <w:left w:val="nil"/>
              <w:bottom w:val="nil"/>
            </w:tcBorders>
          </w:tcPr>
          <w:p w14:paraId="33995761" w14:textId="77777777" w:rsidR="00D86764" w:rsidRPr="007E3B4E" w:rsidRDefault="00D86764" w:rsidP="00654447">
            <w:pPr>
              <w:jc w:val="left"/>
              <w:rPr>
                <w:rFonts w:eastAsia="Times New Roman"/>
                <w:noProof/>
              </w:rPr>
            </w:pPr>
            <w:r w:rsidRPr="007E3B4E">
              <w:t>2. cikk, 42. pont</w:t>
            </w:r>
          </w:p>
        </w:tc>
        <w:tc>
          <w:tcPr>
            <w:tcW w:w="4674" w:type="dxa"/>
            <w:tcBorders>
              <w:top w:val="nil"/>
              <w:bottom w:val="nil"/>
              <w:right w:val="nil"/>
            </w:tcBorders>
          </w:tcPr>
          <w:p w14:paraId="1CB9EBF2" w14:textId="77777777" w:rsidR="00D86764" w:rsidRPr="007E3B4E" w:rsidRDefault="00D86764" w:rsidP="00654447">
            <w:pPr>
              <w:jc w:val="left"/>
              <w:rPr>
                <w:rFonts w:eastAsia="Times New Roman"/>
                <w:noProof/>
              </w:rPr>
            </w:pPr>
            <w:r w:rsidRPr="007E3B4E">
              <w:t>2. cikk, 43. pont</w:t>
            </w:r>
          </w:p>
        </w:tc>
      </w:tr>
      <w:tr w:rsidR="00D86764" w:rsidRPr="007E3B4E" w14:paraId="51DB31E1" w14:textId="77777777" w:rsidTr="00654447">
        <w:tc>
          <w:tcPr>
            <w:tcW w:w="4674" w:type="dxa"/>
            <w:tcBorders>
              <w:top w:val="nil"/>
              <w:left w:val="nil"/>
              <w:bottom w:val="nil"/>
            </w:tcBorders>
          </w:tcPr>
          <w:p w14:paraId="6ACDB509" w14:textId="77777777" w:rsidR="00D86764" w:rsidRPr="007E3B4E" w:rsidRDefault="00D86764" w:rsidP="00654447">
            <w:pPr>
              <w:jc w:val="left"/>
              <w:rPr>
                <w:rFonts w:eastAsia="Times New Roman"/>
                <w:noProof/>
              </w:rPr>
            </w:pPr>
            <w:r w:rsidRPr="007E3B4E">
              <w:t>2. cikk, 43. pont</w:t>
            </w:r>
          </w:p>
        </w:tc>
        <w:tc>
          <w:tcPr>
            <w:tcW w:w="4674" w:type="dxa"/>
            <w:tcBorders>
              <w:top w:val="nil"/>
              <w:bottom w:val="nil"/>
              <w:right w:val="nil"/>
            </w:tcBorders>
          </w:tcPr>
          <w:p w14:paraId="70A700EB" w14:textId="77777777" w:rsidR="00D86764" w:rsidRPr="007E3B4E" w:rsidRDefault="00D86764" w:rsidP="00654447">
            <w:pPr>
              <w:jc w:val="left"/>
              <w:rPr>
                <w:rFonts w:eastAsia="Times New Roman"/>
                <w:noProof/>
              </w:rPr>
            </w:pPr>
            <w:r w:rsidRPr="007E3B4E">
              <w:t>2. cikk, 44. pont</w:t>
            </w:r>
          </w:p>
        </w:tc>
      </w:tr>
      <w:tr w:rsidR="00D86764" w:rsidRPr="007E3B4E" w14:paraId="58A7C3F3" w14:textId="77777777" w:rsidTr="00654447">
        <w:tc>
          <w:tcPr>
            <w:tcW w:w="4674" w:type="dxa"/>
            <w:tcBorders>
              <w:top w:val="nil"/>
              <w:left w:val="nil"/>
              <w:bottom w:val="nil"/>
            </w:tcBorders>
          </w:tcPr>
          <w:p w14:paraId="61155DFA"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0BC3267A" w14:textId="77777777" w:rsidR="00D86764" w:rsidRPr="007E3B4E" w:rsidRDefault="00D86764" w:rsidP="00654447">
            <w:pPr>
              <w:jc w:val="left"/>
              <w:rPr>
                <w:rFonts w:eastAsia="Times New Roman"/>
                <w:noProof/>
              </w:rPr>
            </w:pPr>
            <w:r w:rsidRPr="007E3B4E">
              <w:t>2. cikk, 45. pont</w:t>
            </w:r>
          </w:p>
        </w:tc>
      </w:tr>
      <w:tr w:rsidR="00D86764" w:rsidRPr="007E3B4E" w14:paraId="08FF1CC6" w14:textId="77777777" w:rsidTr="00654447">
        <w:tc>
          <w:tcPr>
            <w:tcW w:w="4674" w:type="dxa"/>
            <w:tcBorders>
              <w:top w:val="nil"/>
              <w:left w:val="nil"/>
              <w:bottom w:val="nil"/>
            </w:tcBorders>
          </w:tcPr>
          <w:p w14:paraId="371532DF" w14:textId="77777777" w:rsidR="00D86764" w:rsidRPr="007E3B4E" w:rsidRDefault="00D86764" w:rsidP="00654447">
            <w:pPr>
              <w:jc w:val="left"/>
              <w:rPr>
                <w:rFonts w:eastAsia="Times New Roman"/>
                <w:noProof/>
              </w:rPr>
            </w:pPr>
            <w:r w:rsidRPr="007E3B4E">
              <w:t>2. cikk, 44. és 45. pont</w:t>
            </w:r>
          </w:p>
        </w:tc>
        <w:tc>
          <w:tcPr>
            <w:tcW w:w="4674" w:type="dxa"/>
            <w:tcBorders>
              <w:top w:val="nil"/>
              <w:bottom w:val="nil"/>
              <w:right w:val="nil"/>
            </w:tcBorders>
          </w:tcPr>
          <w:p w14:paraId="434D5693" w14:textId="77777777" w:rsidR="00D86764" w:rsidRPr="007E3B4E" w:rsidRDefault="00D86764" w:rsidP="00654447">
            <w:pPr>
              <w:jc w:val="left"/>
              <w:rPr>
                <w:rFonts w:eastAsia="Times New Roman"/>
                <w:noProof/>
              </w:rPr>
            </w:pPr>
            <w:r w:rsidRPr="007E3B4E">
              <w:t>2. cikk, 46. és 47. pont</w:t>
            </w:r>
          </w:p>
        </w:tc>
      </w:tr>
      <w:tr w:rsidR="00D86764" w:rsidRPr="007E3B4E" w14:paraId="0ED4F120" w14:textId="77777777" w:rsidTr="00654447">
        <w:tc>
          <w:tcPr>
            <w:tcW w:w="4674" w:type="dxa"/>
            <w:tcBorders>
              <w:top w:val="nil"/>
              <w:left w:val="nil"/>
              <w:bottom w:val="nil"/>
            </w:tcBorders>
          </w:tcPr>
          <w:p w14:paraId="3DFF8377"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0E63342A" w14:textId="77777777" w:rsidR="00D86764" w:rsidRPr="007E3B4E" w:rsidRDefault="00D86764" w:rsidP="00654447">
            <w:pPr>
              <w:jc w:val="left"/>
              <w:rPr>
                <w:rFonts w:eastAsia="Times New Roman"/>
                <w:noProof/>
              </w:rPr>
            </w:pPr>
            <w:r w:rsidRPr="007E3B4E">
              <w:t>2. cikk, 48., 49. és 50. pont</w:t>
            </w:r>
          </w:p>
        </w:tc>
      </w:tr>
      <w:tr w:rsidR="00D86764" w:rsidRPr="007E3B4E" w14:paraId="1BA8B035" w14:textId="77777777" w:rsidTr="00654447">
        <w:tc>
          <w:tcPr>
            <w:tcW w:w="4674" w:type="dxa"/>
            <w:tcBorders>
              <w:top w:val="nil"/>
              <w:left w:val="nil"/>
              <w:bottom w:val="nil"/>
            </w:tcBorders>
          </w:tcPr>
          <w:p w14:paraId="1A32FF24"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3172C97E" w14:textId="77777777" w:rsidR="00D86764" w:rsidRPr="007E3B4E" w:rsidRDefault="00D86764" w:rsidP="00654447">
            <w:pPr>
              <w:jc w:val="left"/>
              <w:rPr>
                <w:rFonts w:eastAsia="Times New Roman"/>
                <w:noProof/>
              </w:rPr>
            </w:pPr>
            <w:r w:rsidRPr="007E3B4E">
              <w:t>3. cikk</w:t>
            </w:r>
          </w:p>
        </w:tc>
      </w:tr>
      <w:tr w:rsidR="00D86764" w:rsidRPr="007E3B4E" w14:paraId="02120A44" w14:textId="77777777" w:rsidTr="00654447">
        <w:tc>
          <w:tcPr>
            <w:tcW w:w="4674" w:type="dxa"/>
            <w:tcBorders>
              <w:top w:val="nil"/>
              <w:left w:val="nil"/>
              <w:bottom w:val="nil"/>
            </w:tcBorders>
          </w:tcPr>
          <w:p w14:paraId="317C9508"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136E1B17" w14:textId="77777777" w:rsidR="00D86764" w:rsidRPr="007E3B4E" w:rsidRDefault="00D86764" w:rsidP="00654447">
            <w:pPr>
              <w:jc w:val="left"/>
              <w:rPr>
                <w:rFonts w:eastAsia="Times New Roman"/>
                <w:noProof/>
              </w:rPr>
            </w:pPr>
            <w:r w:rsidRPr="007E3B4E">
              <w:t>4. cikk, (1) bekezdés</w:t>
            </w:r>
          </w:p>
        </w:tc>
      </w:tr>
      <w:tr w:rsidR="00D86764" w:rsidRPr="007E3B4E" w14:paraId="5E9E1CBE" w14:textId="77777777" w:rsidTr="00654447">
        <w:tc>
          <w:tcPr>
            <w:tcW w:w="4674" w:type="dxa"/>
            <w:tcBorders>
              <w:top w:val="nil"/>
              <w:left w:val="nil"/>
              <w:bottom w:val="nil"/>
            </w:tcBorders>
          </w:tcPr>
          <w:p w14:paraId="09207C11" w14:textId="77777777" w:rsidR="00D86764" w:rsidRPr="007E3B4E" w:rsidRDefault="00D86764" w:rsidP="00654447">
            <w:pPr>
              <w:jc w:val="left"/>
              <w:rPr>
                <w:rFonts w:eastAsia="Times New Roman"/>
                <w:noProof/>
              </w:rPr>
            </w:pPr>
            <w:r w:rsidRPr="007E3B4E">
              <w:t>3. cikk, (1) bekezdés, első albekezdés</w:t>
            </w:r>
          </w:p>
        </w:tc>
        <w:tc>
          <w:tcPr>
            <w:tcW w:w="4674" w:type="dxa"/>
            <w:tcBorders>
              <w:top w:val="nil"/>
              <w:bottom w:val="nil"/>
              <w:right w:val="nil"/>
            </w:tcBorders>
          </w:tcPr>
          <w:p w14:paraId="3E4455D8" w14:textId="77777777" w:rsidR="00D86764" w:rsidRPr="007E3B4E" w:rsidRDefault="00D86764" w:rsidP="00654447">
            <w:pPr>
              <w:jc w:val="left"/>
              <w:rPr>
                <w:rFonts w:eastAsia="Times New Roman"/>
                <w:noProof/>
              </w:rPr>
            </w:pPr>
            <w:r w:rsidRPr="007E3B4E">
              <w:t>4. cikk, (2) bekezdés, első albekezdés</w:t>
            </w:r>
          </w:p>
        </w:tc>
      </w:tr>
      <w:tr w:rsidR="00D86764" w:rsidRPr="007E3B4E" w14:paraId="6118E9CF" w14:textId="77777777" w:rsidTr="00654447">
        <w:tc>
          <w:tcPr>
            <w:tcW w:w="4674" w:type="dxa"/>
            <w:tcBorders>
              <w:top w:val="nil"/>
              <w:left w:val="nil"/>
              <w:bottom w:val="nil"/>
            </w:tcBorders>
          </w:tcPr>
          <w:p w14:paraId="72C19B68" w14:textId="77777777" w:rsidR="00D86764" w:rsidRPr="007E3B4E" w:rsidRDefault="00D86764" w:rsidP="00654447">
            <w:pPr>
              <w:jc w:val="left"/>
              <w:rPr>
                <w:rFonts w:eastAsia="Times New Roman"/>
                <w:noProof/>
              </w:rPr>
            </w:pPr>
            <w:r w:rsidRPr="007E3B4E">
              <w:t>3. cikk, (1) bekezdés, második albekezdés, bevezető szöveg</w:t>
            </w:r>
          </w:p>
        </w:tc>
        <w:tc>
          <w:tcPr>
            <w:tcW w:w="4674" w:type="dxa"/>
            <w:tcBorders>
              <w:top w:val="nil"/>
              <w:bottom w:val="nil"/>
              <w:right w:val="nil"/>
            </w:tcBorders>
          </w:tcPr>
          <w:p w14:paraId="0873E4B0" w14:textId="77777777" w:rsidR="00D86764" w:rsidRPr="007E3B4E" w:rsidRDefault="00D86764" w:rsidP="00654447">
            <w:pPr>
              <w:jc w:val="left"/>
              <w:rPr>
                <w:rFonts w:eastAsia="Times New Roman"/>
                <w:noProof/>
              </w:rPr>
            </w:pPr>
            <w:r w:rsidRPr="007E3B4E">
              <w:t>4. cikk, (2) bekezdés, második albekezdés, bevezető szöveg</w:t>
            </w:r>
          </w:p>
        </w:tc>
      </w:tr>
      <w:tr w:rsidR="00D86764" w:rsidRPr="007E3B4E" w14:paraId="4E5C9729" w14:textId="77777777" w:rsidTr="00654447">
        <w:tc>
          <w:tcPr>
            <w:tcW w:w="4674" w:type="dxa"/>
            <w:tcBorders>
              <w:top w:val="nil"/>
              <w:left w:val="nil"/>
              <w:bottom w:val="nil"/>
            </w:tcBorders>
          </w:tcPr>
          <w:p w14:paraId="13CE9B0B" w14:textId="77777777" w:rsidR="00D86764" w:rsidRPr="007E3B4E" w:rsidRDefault="00D86764" w:rsidP="00654447">
            <w:pPr>
              <w:jc w:val="left"/>
              <w:rPr>
                <w:rFonts w:eastAsia="Times New Roman"/>
                <w:noProof/>
              </w:rPr>
            </w:pPr>
            <w:r w:rsidRPr="007E3B4E">
              <w:t>3. cikk, (1) bekezdés, második albekezdés, a) és b) pont</w:t>
            </w:r>
          </w:p>
        </w:tc>
        <w:tc>
          <w:tcPr>
            <w:tcW w:w="4674" w:type="dxa"/>
            <w:tcBorders>
              <w:top w:val="nil"/>
              <w:bottom w:val="nil"/>
              <w:right w:val="nil"/>
            </w:tcBorders>
          </w:tcPr>
          <w:p w14:paraId="781EBD99" w14:textId="77777777" w:rsidR="00D86764" w:rsidRPr="007E3B4E" w:rsidRDefault="00D86764" w:rsidP="00654447">
            <w:pPr>
              <w:jc w:val="left"/>
              <w:rPr>
                <w:rFonts w:eastAsia="Times New Roman"/>
                <w:noProof/>
              </w:rPr>
            </w:pPr>
            <w:r w:rsidRPr="007E3B4E">
              <w:t>4. cikk, (2) bekezdés, második albekezdés, a) és b) pont</w:t>
            </w:r>
          </w:p>
        </w:tc>
      </w:tr>
      <w:tr w:rsidR="00D86764" w:rsidRPr="007E3B4E" w14:paraId="77F1C689" w14:textId="77777777" w:rsidTr="00654447">
        <w:tc>
          <w:tcPr>
            <w:tcW w:w="4674" w:type="dxa"/>
            <w:tcBorders>
              <w:top w:val="nil"/>
              <w:left w:val="nil"/>
              <w:bottom w:val="nil"/>
            </w:tcBorders>
          </w:tcPr>
          <w:p w14:paraId="511FCE0B" w14:textId="77777777" w:rsidR="00D86764" w:rsidRPr="007E3B4E" w:rsidRDefault="00D86764" w:rsidP="00654447">
            <w:pPr>
              <w:jc w:val="left"/>
              <w:rPr>
                <w:rFonts w:eastAsia="Times New Roman"/>
                <w:noProof/>
              </w:rPr>
            </w:pPr>
            <w:r w:rsidRPr="007E3B4E">
              <w:t>3. cikk (1) bekezdés, második albekezdés, c) pont</w:t>
            </w:r>
          </w:p>
        </w:tc>
        <w:tc>
          <w:tcPr>
            <w:tcW w:w="4674" w:type="dxa"/>
            <w:tcBorders>
              <w:top w:val="nil"/>
              <w:bottom w:val="nil"/>
              <w:right w:val="nil"/>
            </w:tcBorders>
          </w:tcPr>
          <w:p w14:paraId="4C306725" w14:textId="77777777" w:rsidR="00D86764" w:rsidRPr="007E3B4E" w:rsidRDefault="00D86764" w:rsidP="00654447">
            <w:pPr>
              <w:jc w:val="left"/>
              <w:rPr>
                <w:rFonts w:eastAsia="Times New Roman"/>
                <w:noProof/>
              </w:rPr>
            </w:pPr>
            <w:r w:rsidRPr="007E3B4E">
              <w:t>–</w:t>
            </w:r>
          </w:p>
        </w:tc>
      </w:tr>
      <w:tr w:rsidR="00D86764" w:rsidRPr="007E3B4E" w14:paraId="7735D2A5" w14:textId="77777777" w:rsidTr="00654447">
        <w:tc>
          <w:tcPr>
            <w:tcW w:w="4674" w:type="dxa"/>
            <w:tcBorders>
              <w:top w:val="nil"/>
              <w:left w:val="nil"/>
              <w:bottom w:val="nil"/>
            </w:tcBorders>
          </w:tcPr>
          <w:p w14:paraId="115A7CA5" w14:textId="77777777" w:rsidR="00D86764" w:rsidRPr="007E3B4E" w:rsidRDefault="00D86764" w:rsidP="00654447">
            <w:pPr>
              <w:jc w:val="left"/>
              <w:rPr>
                <w:rFonts w:eastAsia="Times New Roman"/>
                <w:noProof/>
              </w:rPr>
            </w:pPr>
            <w:r w:rsidRPr="007E3B4E">
              <w:t>3. cikk (1) bekezdés, második albekezdés, d) pont</w:t>
            </w:r>
          </w:p>
        </w:tc>
        <w:tc>
          <w:tcPr>
            <w:tcW w:w="4674" w:type="dxa"/>
            <w:tcBorders>
              <w:top w:val="nil"/>
              <w:bottom w:val="nil"/>
              <w:right w:val="nil"/>
            </w:tcBorders>
          </w:tcPr>
          <w:p w14:paraId="576C779E" w14:textId="77777777" w:rsidR="00D86764" w:rsidRPr="007E3B4E" w:rsidRDefault="00D86764" w:rsidP="00654447">
            <w:pPr>
              <w:jc w:val="left"/>
              <w:rPr>
                <w:rFonts w:eastAsia="Times New Roman"/>
                <w:noProof/>
              </w:rPr>
            </w:pPr>
            <w:r w:rsidRPr="007E3B4E">
              <w:t>4. cikk (2) bekezdés, második albekezdés, c) pont</w:t>
            </w:r>
          </w:p>
        </w:tc>
      </w:tr>
      <w:tr w:rsidR="00D86764" w:rsidRPr="007E3B4E" w14:paraId="708C2B11" w14:textId="77777777" w:rsidTr="00654447">
        <w:tc>
          <w:tcPr>
            <w:tcW w:w="4674" w:type="dxa"/>
            <w:tcBorders>
              <w:top w:val="nil"/>
              <w:left w:val="nil"/>
              <w:bottom w:val="nil"/>
            </w:tcBorders>
          </w:tcPr>
          <w:p w14:paraId="66DEF382" w14:textId="77777777" w:rsidR="00D86764" w:rsidRPr="007E3B4E" w:rsidRDefault="00D86764" w:rsidP="00654447">
            <w:pPr>
              <w:jc w:val="left"/>
              <w:rPr>
                <w:rFonts w:eastAsia="Times New Roman"/>
                <w:noProof/>
              </w:rPr>
            </w:pPr>
            <w:r w:rsidRPr="007E3B4E">
              <w:t>3. cikk, (1) bekezdés, harmadik albekezdés, bevezető szöveg</w:t>
            </w:r>
          </w:p>
        </w:tc>
        <w:tc>
          <w:tcPr>
            <w:tcW w:w="4674" w:type="dxa"/>
            <w:tcBorders>
              <w:top w:val="nil"/>
              <w:bottom w:val="nil"/>
              <w:right w:val="nil"/>
            </w:tcBorders>
          </w:tcPr>
          <w:p w14:paraId="1230ADE7" w14:textId="77777777" w:rsidR="00D86764" w:rsidRPr="007E3B4E" w:rsidRDefault="00D86764" w:rsidP="00654447">
            <w:pPr>
              <w:jc w:val="left"/>
              <w:rPr>
                <w:rFonts w:eastAsia="Times New Roman"/>
                <w:noProof/>
              </w:rPr>
            </w:pPr>
            <w:r w:rsidRPr="007E3B4E">
              <w:t>–</w:t>
            </w:r>
          </w:p>
        </w:tc>
      </w:tr>
      <w:tr w:rsidR="00D86764" w:rsidRPr="007E3B4E" w14:paraId="54F9A944" w14:textId="77777777" w:rsidTr="00654447">
        <w:tc>
          <w:tcPr>
            <w:tcW w:w="4674" w:type="dxa"/>
            <w:tcBorders>
              <w:top w:val="nil"/>
              <w:left w:val="nil"/>
              <w:bottom w:val="nil"/>
            </w:tcBorders>
          </w:tcPr>
          <w:p w14:paraId="4C5D1533"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2A032044" w14:textId="77777777" w:rsidR="00D86764" w:rsidRPr="007E3B4E" w:rsidRDefault="00D86764" w:rsidP="00654447">
            <w:pPr>
              <w:jc w:val="left"/>
              <w:rPr>
                <w:rFonts w:eastAsia="Times New Roman"/>
                <w:noProof/>
              </w:rPr>
            </w:pPr>
            <w:r w:rsidRPr="007E3B4E">
              <w:t>4. cikk, (2) bekezdés, második albekezdés, d) pont, bevezető szöveg</w:t>
            </w:r>
          </w:p>
        </w:tc>
      </w:tr>
      <w:tr w:rsidR="00D86764" w:rsidRPr="007E3B4E" w14:paraId="68C9D4DE" w14:textId="77777777" w:rsidTr="00654447">
        <w:tc>
          <w:tcPr>
            <w:tcW w:w="4674" w:type="dxa"/>
            <w:tcBorders>
              <w:top w:val="nil"/>
              <w:left w:val="nil"/>
              <w:bottom w:val="nil"/>
            </w:tcBorders>
          </w:tcPr>
          <w:p w14:paraId="08DF8A5F"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02CC0AE0" w14:textId="77777777" w:rsidR="00D86764" w:rsidRPr="007E3B4E" w:rsidRDefault="00D86764" w:rsidP="00654447">
            <w:pPr>
              <w:jc w:val="left"/>
              <w:rPr>
                <w:rFonts w:eastAsia="Times New Roman"/>
                <w:noProof/>
              </w:rPr>
            </w:pPr>
            <w:r w:rsidRPr="007E3B4E">
              <w:t>4. cikk, (2) bekezdés, második albekezdés, d) pont, i., ii. és iii. alpont</w:t>
            </w:r>
          </w:p>
        </w:tc>
      </w:tr>
      <w:tr w:rsidR="00D86764" w:rsidRPr="007E3B4E" w14:paraId="080E557F" w14:textId="77777777" w:rsidTr="00654447">
        <w:tc>
          <w:tcPr>
            <w:tcW w:w="4674" w:type="dxa"/>
            <w:tcBorders>
              <w:top w:val="nil"/>
              <w:left w:val="nil"/>
              <w:bottom w:val="nil"/>
            </w:tcBorders>
          </w:tcPr>
          <w:p w14:paraId="21F829E9" w14:textId="77777777" w:rsidR="00D86764" w:rsidRPr="007E3B4E" w:rsidRDefault="00D86764" w:rsidP="00654447">
            <w:pPr>
              <w:jc w:val="left"/>
              <w:rPr>
                <w:rFonts w:eastAsia="Times New Roman"/>
                <w:noProof/>
              </w:rPr>
            </w:pPr>
            <w:r w:rsidRPr="007E3B4E">
              <w:t>3. cikk, (1) bekezdés, harmadik albekezdés, a) pont</w:t>
            </w:r>
          </w:p>
        </w:tc>
        <w:tc>
          <w:tcPr>
            <w:tcW w:w="4674" w:type="dxa"/>
            <w:tcBorders>
              <w:top w:val="nil"/>
              <w:bottom w:val="nil"/>
              <w:right w:val="nil"/>
            </w:tcBorders>
          </w:tcPr>
          <w:p w14:paraId="486C9148" w14:textId="77777777" w:rsidR="00D86764" w:rsidRPr="007E3B4E" w:rsidRDefault="00D86764" w:rsidP="00654447">
            <w:pPr>
              <w:jc w:val="left"/>
              <w:rPr>
                <w:rFonts w:eastAsia="Times New Roman"/>
                <w:noProof/>
              </w:rPr>
            </w:pPr>
            <w:r w:rsidRPr="007E3B4E">
              <w:t>4. cikk, (2) bekezdés, második albekezdés, d) pont, iv. alpont</w:t>
            </w:r>
          </w:p>
        </w:tc>
      </w:tr>
      <w:tr w:rsidR="00D86764" w:rsidRPr="007E3B4E" w14:paraId="29CBD4C0" w14:textId="77777777" w:rsidTr="00654447">
        <w:tc>
          <w:tcPr>
            <w:tcW w:w="4674" w:type="dxa"/>
            <w:tcBorders>
              <w:top w:val="nil"/>
              <w:left w:val="nil"/>
              <w:bottom w:val="nil"/>
            </w:tcBorders>
          </w:tcPr>
          <w:p w14:paraId="28F2908D"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7CA03986" w14:textId="77777777" w:rsidR="00D86764" w:rsidRPr="007E3B4E" w:rsidRDefault="00D86764" w:rsidP="00654447">
            <w:pPr>
              <w:jc w:val="left"/>
              <w:rPr>
                <w:rFonts w:eastAsia="Times New Roman"/>
                <w:noProof/>
              </w:rPr>
            </w:pPr>
            <w:r w:rsidRPr="007E3B4E">
              <w:t>4. cikk, (2) bekezdés, második albekezdés, e) pont, bevezető szöveg</w:t>
            </w:r>
          </w:p>
        </w:tc>
      </w:tr>
      <w:tr w:rsidR="00D86764" w:rsidRPr="007E3B4E" w14:paraId="38602A6B" w14:textId="77777777" w:rsidTr="00654447">
        <w:tc>
          <w:tcPr>
            <w:tcW w:w="4674" w:type="dxa"/>
            <w:tcBorders>
              <w:top w:val="nil"/>
              <w:left w:val="nil"/>
              <w:bottom w:val="nil"/>
            </w:tcBorders>
          </w:tcPr>
          <w:p w14:paraId="0BAD8206" w14:textId="77777777" w:rsidR="00D86764" w:rsidRPr="007E3B4E" w:rsidRDefault="00D86764" w:rsidP="00654447">
            <w:pPr>
              <w:jc w:val="left"/>
              <w:rPr>
                <w:rFonts w:eastAsia="Times New Roman"/>
                <w:noProof/>
              </w:rPr>
            </w:pPr>
            <w:r w:rsidRPr="007E3B4E">
              <w:t>3. cikk, (1) bekezdés, első albekezdés, b) pont</w:t>
            </w:r>
          </w:p>
        </w:tc>
        <w:tc>
          <w:tcPr>
            <w:tcW w:w="4674" w:type="dxa"/>
            <w:tcBorders>
              <w:top w:val="nil"/>
              <w:bottom w:val="nil"/>
              <w:right w:val="nil"/>
            </w:tcBorders>
          </w:tcPr>
          <w:p w14:paraId="1A61E378" w14:textId="77777777" w:rsidR="00D86764" w:rsidRPr="007E3B4E" w:rsidRDefault="00D86764" w:rsidP="00654447">
            <w:pPr>
              <w:jc w:val="left"/>
              <w:rPr>
                <w:rFonts w:eastAsia="Times New Roman"/>
                <w:noProof/>
              </w:rPr>
            </w:pPr>
            <w:r w:rsidRPr="007E3B4E">
              <w:t>4. cikk, (2) bekezdés, második albekezdés, e) pont, i. alpont</w:t>
            </w:r>
          </w:p>
        </w:tc>
      </w:tr>
      <w:tr w:rsidR="00D86764" w:rsidRPr="007E3B4E" w14:paraId="05EC35B7" w14:textId="77777777" w:rsidTr="00654447">
        <w:tc>
          <w:tcPr>
            <w:tcW w:w="4674" w:type="dxa"/>
            <w:tcBorders>
              <w:top w:val="nil"/>
              <w:left w:val="nil"/>
              <w:bottom w:val="nil"/>
            </w:tcBorders>
          </w:tcPr>
          <w:p w14:paraId="5C480AB5" w14:textId="77777777" w:rsidR="00D86764" w:rsidRPr="007E3B4E" w:rsidRDefault="00D86764" w:rsidP="00654447">
            <w:pPr>
              <w:jc w:val="left"/>
              <w:rPr>
                <w:rFonts w:eastAsia="Times New Roman"/>
                <w:noProof/>
              </w:rPr>
            </w:pPr>
            <w:r w:rsidRPr="007E3B4E">
              <w:t>3. cikk, (1) bekezdés, harmadik albekezdés, c) pont</w:t>
            </w:r>
          </w:p>
        </w:tc>
        <w:tc>
          <w:tcPr>
            <w:tcW w:w="4674" w:type="dxa"/>
            <w:tcBorders>
              <w:top w:val="nil"/>
              <w:bottom w:val="nil"/>
              <w:right w:val="nil"/>
            </w:tcBorders>
          </w:tcPr>
          <w:p w14:paraId="52CFB8AA" w14:textId="77777777" w:rsidR="00D86764" w:rsidRPr="007E3B4E" w:rsidRDefault="00D86764" w:rsidP="00654447">
            <w:pPr>
              <w:jc w:val="left"/>
              <w:rPr>
                <w:rFonts w:eastAsia="Times New Roman"/>
                <w:noProof/>
              </w:rPr>
            </w:pPr>
            <w:r w:rsidRPr="007E3B4E">
              <w:t>4. cikk, (2) bekezdés, második albekezdés, e) pont, ii. alpont</w:t>
            </w:r>
          </w:p>
        </w:tc>
      </w:tr>
      <w:tr w:rsidR="00D86764" w:rsidRPr="007E3B4E" w14:paraId="4E32E8F6" w14:textId="77777777" w:rsidTr="00654447">
        <w:tc>
          <w:tcPr>
            <w:tcW w:w="4674" w:type="dxa"/>
            <w:tcBorders>
              <w:top w:val="nil"/>
              <w:left w:val="nil"/>
              <w:bottom w:val="nil"/>
            </w:tcBorders>
          </w:tcPr>
          <w:p w14:paraId="51D56CCB" w14:textId="77777777" w:rsidR="00D86764" w:rsidRPr="007E3B4E" w:rsidRDefault="00D86764" w:rsidP="00654447">
            <w:pPr>
              <w:jc w:val="left"/>
              <w:rPr>
                <w:rFonts w:eastAsia="Times New Roman"/>
                <w:noProof/>
              </w:rPr>
            </w:pPr>
            <w:r w:rsidRPr="007E3B4E">
              <w:t>3. cikk, (1) bekezdés, harmadik albekezdés, d) pont</w:t>
            </w:r>
          </w:p>
        </w:tc>
        <w:tc>
          <w:tcPr>
            <w:tcW w:w="4674" w:type="dxa"/>
            <w:tcBorders>
              <w:top w:val="nil"/>
              <w:bottom w:val="nil"/>
              <w:right w:val="nil"/>
            </w:tcBorders>
          </w:tcPr>
          <w:p w14:paraId="03BB943F" w14:textId="77777777" w:rsidR="00D86764" w:rsidRPr="007E3B4E" w:rsidRDefault="00D86764" w:rsidP="00654447">
            <w:pPr>
              <w:jc w:val="left"/>
              <w:rPr>
                <w:rFonts w:eastAsia="Times New Roman"/>
                <w:noProof/>
              </w:rPr>
            </w:pPr>
            <w:r w:rsidRPr="007E3B4E">
              <w:t>4. cikk, (2) bekezdés, második albekezdés, e) pont, iii. alpont</w:t>
            </w:r>
          </w:p>
        </w:tc>
      </w:tr>
      <w:tr w:rsidR="00D86764" w:rsidRPr="007E3B4E" w14:paraId="1DBDEF0B" w14:textId="77777777" w:rsidTr="00654447">
        <w:tc>
          <w:tcPr>
            <w:tcW w:w="4674" w:type="dxa"/>
            <w:tcBorders>
              <w:top w:val="nil"/>
              <w:left w:val="nil"/>
              <w:bottom w:val="nil"/>
            </w:tcBorders>
          </w:tcPr>
          <w:p w14:paraId="1220086D" w14:textId="77777777" w:rsidR="00D86764" w:rsidRPr="007E3B4E" w:rsidRDefault="00D86764" w:rsidP="00654447">
            <w:pPr>
              <w:jc w:val="left"/>
              <w:rPr>
                <w:rFonts w:eastAsia="Times New Roman"/>
                <w:noProof/>
              </w:rPr>
            </w:pPr>
            <w:r w:rsidRPr="007E3B4E">
              <w:t>3. cikk, (1) bekezdés, harmadik albekezdés, e) pont</w:t>
            </w:r>
          </w:p>
        </w:tc>
        <w:tc>
          <w:tcPr>
            <w:tcW w:w="4674" w:type="dxa"/>
            <w:tcBorders>
              <w:top w:val="nil"/>
              <w:bottom w:val="nil"/>
              <w:right w:val="nil"/>
            </w:tcBorders>
          </w:tcPr>
          <w:p w14:paraId="71EFF604" w14:textId="77777777" w:rsidR="00D86764" w:rsidRPr="007E3B4E" w:rsidRDefault="00D86764" w:rsidP="00654447">
            <w:pPr>
              <w:jc w:val="left"/>
              <w:rPr>
                <w:rFonts w:eastAsia="Times New Roman"/>
                <w:noProof/>
              </w:rPr>
            </w:pPr>
            <w:r w:rsidRPr="007E3B4E">
              <w:t>–</w:t>
            </w:r>
          </w:p>
        </w:tc>
      </w:tr>
      <w:tr w:rsidR="00D86764" w:rsidRPr="007E3B4E" w14:paraId="588E4A90" w14:textId="77777777" w:rsidTr="00654447">
        <w:tc>
          <w:tcPr>
            <w:tcW w:w="4674" w:type="dxa"/>
            <w:tcBorders>
              <w:top w:val="nil"/>
              <w:left w:val="nil"/>
              <w:bottom w:val="nil"/>
            </w:tcBorders>
          </w:tcPr>
          <w:p w14:paraId="1A882894" w14:textId="77777777" w:rsidR="00D86764" w:rsidRPr="007E3B4E" w:rsidRDefault="00D86764" w:rsidP="00654447">
            <w:pPr>
              <w:jc w:val="left"/>
              <w:rPr>
                <w:rFonts w:eastAsia="Times New Roman"/>
                <w:noProof/>
              </w:rPr>
            </w:pPr>
            <w:r w:rsidRPr="007E3B4E">
              <w:t>3. cikk, (2) és (3) bekezdés</w:t>
            </w:r>
          </w:p>
        </w:tc>
        <w:tc>
          <w:tcPr>
            <w:tcW w:w="4674" w:type="dxa"/>
            <w:tcBorders>
              <w:top w:val="nil"/>
              <w:bottom w:val="nil"/>
              <w:right w:val="nil"/>
            </w:tcBorders>
          </w:tcPr>
          <w:p w14:paraId="7489765A" w14:textId="77777777" w:rsidR="00D86764" w:rsidRPr="007E3B4E" w:rsidRDefault="00D86764" w:rsidP="00654447">
            <w:pPr>
              <w:jc w:val="left"/>
              <w:rPr>
                <w:rFonts w:eastAsia="Times New Roman"/>
                <w:noProof/>
              </w:rPr>
            </w:pPr>
            <w:r w:rsidRPr="007E3B4E">
              <w:t>–</w:t>
            </w:r>
          </w:p>
        </w:tc>
      </w:tr>
      <w:tr w:rsidR="00D86764" w:rsidRPr="007E3B4E" w14:paraId="1AD4CFC8" w14:textId="77777777" w:rsidTr="00654447">
        <w:tc>
          <w:tcPr>
            <w:tcW w:w="4674" w:type="dxa"/>
            <w:tcBorders>
              <w:top w:val="nil"/>
              <w:left w:val="nil"/>
              <w:bottom w:val="nil"/>
            </w:tcBorders>
          </w:tcPr>
          <w:p w14:paraId="65CF577E" w14:textId="77777777" w:rsidR="00D86764" w:rsidRPr="007E3B4E" w:rsidRDefault="00D86764" w:rsidP="00654447">
            <w:pPr>
              <w:jc w:val="left"/>
              <w:rPr>
                <w:rFonts w:eastAsia="Times New Roman"/>
                <w:noProof/>
              </w:rPr>
            </w:pPr>
            <w:r w:rsidRPr="007E3B4E">
              <w:t>3. cikk, (4) bekezdés</w:t>
            </w:r>
          </w:p>
        </w:tc>
        <w:tc>
          <w:tcPr>
            <w:tcW w:w="4674" w:type="dxa"/>
            <w:tcBorders>
              <w:top w:val="nil"/>
              <w:bottom w:val="nil"/>
              <w:right w:val="nil"/>
            </w:tcBorders>
          </w:tcPr>
          <w:p w14:paraId="5E5C6D2A" w14:textId="77777777" w:rsidR="00D86764" w:rsidRPr="007E3B4E" w:rsidRDefault="00D86764" w:rsidP="00654447">
            <w:pPr>
              <w:jc w:val="left"/>
              <w:rPr>
                <w:rFonts w:eastAsia="Times New Roman"/>
                <w:noProof/>
              </w:rPr>
            </w:pPr>
            <w:r w:rsidRPr="007E3B4E">
              <w:t>33. cikk, (6) bekezdés</w:t>
            </w:r>
          </w:p>
        </w:tc>
      </w:tr>
      <w:tr w:rsidR="00D86764" w:rsidRPr="007E3B4E" w14:paraId="75CD6A03" w14:textId="77777777" w:rsidTr="00654447">
        <w:tc>
          <w:tcPr>
            <w:tcW w:w="4674" w:type="dxa"/>
            <w:tcBorders>
              <w:top w:val="nil"/>
              <w:left w:val="nil"/>
              <w:bottom w:val="nil"/>
            </w:tcBorders>
          </w:tcPr>
          <w:p w14:paraId="7133F83B" w14:textId="77777777" w:rsidR="00D86764" w:rsidRPr="007E3B4E" w:rsidRDefault="00D86764" w:rsidP="00654447">
            <w:pPr>
              <w:jc w:val="left"/>
              <w:rPr>
                <w:rFonts w:eastAsia="Times New Roman"/>
                <w:noProof/>
              </w:rPr>
            </w:pPr>
            <w:r w:rsidRPr="007E3B4E">
              <w:t>3. cikk, (5) és (6) bekezdés</w:t>
            </w:r>
          </w:p>
        </w:tc>
        <w:tc>
          <w:tcPr>
            <w:tcW w:w="4674" w:type="dxa"/>
            <w:tcBorders>
              <w:top w:val="nil"/>
              <w:bottom w:val="nil"/>
              <w:right w:val="nil"/>
            </w:tcBorders>
          </w:tcPr>
          <w:p w14:paraId="71C6E1B2" w14:textId="77777777" w:rsidR="00D86764" w:rsidRPr="007E3B4E" w:rsidRDefault="00D86764" w:rsidP="00654447">
            <w:pPr>
              <w:jc w:val="left"/>
              <w:rPr>
                <w:rFonts w:eastAsia="Times New Roman"/>
                <w:noProof/>
              </w:rPr>
            </w:pPr>
            <w:r w:rsidRPr="007E3B4E">
              <w:t>–</w:t>
            </w:r>
          </w:p>
        </w:tc>
      </w:tr>
      <w:tr w:rsidR="00D86764" w:rsidRPr="007E3B4E" w14:paraId="3CC1A71A" w14:textId="77777777" w:rsidTr="00654447">
        <w:tc>
          <w:tcPr>
            <w:tcW w:w="4674" w:type="dxa"/>
            <w:tcBorders>
              <w:top w:val="nil"/>
              <w:left w:val="nil"/>
              <w:bottom w:val="nil"/>
            </w:tcBorders>
          </w:tcPr>
          <w:p w14:paraId="6468FB22"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2A7745E8" w14:textId="77777777" w:rsidR="00D86764" w:rsidRPr="007E3B4E" w:rsidRDefault="00D86764" w:rsidP="00654447">
            <w:pPr>
              <w:jc w:val="left"/>
              <w:rPr>
                <w:rFonts w:eastAsia="Times New Roman"/>
                <w:noProof/>
              </w:rPr>
            </w:pPr>
            <w:r w:rsidRPr="007E3B4E">
              <w:t>4. cikk, (3) bekezdés</w:t>
            </w:r>
          </w:p>
        </w:tc>
      </w:tr>
      <w:tr w:rsidR="00D86764" w:rsidRPr="007E3B4E" w14:paraId="406D59A9" w14:textId="77777777" w:rsidTr="00654447">
        <w:tc>
          <w:tcPr>
            <w:tcW w:w="4674" w:type="dxa"/>
            <w:tcBorders>
              <w:top w:val="nil"/>
              <w:left w:val="nil"/>
              <w:bottom w:val="nil"/>
            </w:tcBorders>
          </w:tcPr>
          <w:p w14:paraId="6C3477C5"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33E3ACEA" w14:textId="77777777" w:rsidR="00D86764" w:rsidRPr="007E3B4E" w:rsidRDefault="00D86764" w:rsidP="00654447">
            <w:pPr>
              <w:jc w:val="left"/>
              <w:rPr>
                <w:rFonts w:eastAsia="Times New Roman"/>
                <w:noProof/>
              </w:rPr>
            </w:pPr>
            <w:r w:rsidRPr="007E3B4E">
              <w:t>4. cikk, (4) bekezdés</w:t>
            </w:r>
          </w:p>
        </w:tc>
      </w:tr>
      <w:tr w:rsidR="00D86764" w:rsidRPr="007E3B4E" w14:paraId="3D0DA227" w14:textId="77777777" w:rsidTr="00654447">
        <w:tc>
          <w:tcPr>
            <w:tcW w:w="4674" w:type="dxa"/>
            <w:tcBorders>
              <w:top w:val="nil"/>
              <w:left w:val="nil"/>
              <w:bottom w:val="nil"/>
            </w:tcBorders>
          </w:tcPr>
          <w:p w14:paraId="3E157B44"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5926B57F" w14:textId="77777777" w:rsidR="00D86764" w:rsidRPr="007E3B4E" w:rsidRDefault="00D86764" w:rsidP="00654447">
            <w:pPr>
              <w:jc w:val="left"/>
              <w:rPr>
                <w:rFonts w:eastAsia="Times New Roman"/>
                <w:noProof/>
              </w:rPr>
            </w:pPr>
            <w:r w:rsidRPr="007E3B4E">
              <w:t>5. cikk</w:t>
            </w:r>
          </w:p>
        </w:tc>
      </w:tr>
      <w:tr w:rsidR="00D86764" w:rsidRPr="007E3B4E" w14:paraId="168B4841" w14:textId="77777777" w:rsidTr="00654447">
        <w:tc>
          <w:tcPr>
            <w:tcW w:w="4674" w:type="dxa"/>
            <w:tcBorders>
              <w:top w:val="nil"/>
              <w:left w:val="nil"/>
              <w:bottom w:val="nil"/>
            </w:tcBorders>
          </w:tcPr>
          <w:p w14:paraId="4F1283EA" w14:textId="77777777" w:rsidR="00D86764" w:rsidRPr="007E3B4E" w:rsidRDefault="00D86764" w:rsidP="00654447">
            <w:pPr>
              <w:jc w:val="left"/>
              <w:rPr>
                <w:rFonts w:eastAsia="Times New Roman"/>
                <w:noProof/>
                <w:highlight w:val="yellow"/>
              </w:rPr>
            </w:pPr>
            <w:r w:rsidRPr="007E3B4E">
              <w:t>5. cikk, (1) bekezdés, első albekezdés</w:t>
            </w:r>
          </w:p>
        </w:tc>
        <w:tc>
          <w:tcPr>
            <w:tcW w:w="4674" w:type="dxa"/>
            <w:tcBorders>
              <w:top w:val="nil"/>
              <w:bottom w:val="nil"/>
              <w:right w:val="nil"/>
            </w:tcBorders>
          </w:tcPr>
          <w:p w14:paraId="145B885E" w14:textId="77777777" w:rsidR="00D86764" w:rsidRPr="007E3B4E" w:rsidRDefault="00D86764" w:rsidP="00654447">
            <w:pPr>
              <w:jc w:val="left"/>
              <w:rPr>
                <w:rFonts w:eastAsia="Times New Roman"/>
                <w:noProof/>
                <w:highlight w:val="yellow"/>
              </w:rPr>
            </w:pPr>
            <w:r w:rsidRPr="007E3B4E">
              <w:t>6. cikk, (1) bekezdés, első albekezdés</w:t>
            </w:r>
          </w:p>
        </w:tc>
      </w:tr>
      <w:tr w:rsidR="00D86764" w:rsidRPr="007E3B4E" w14:paraId="5090D109" w14:textId="77777777" w:rsidTr="00654447">
        <w:tc>
          <w:tcPr>
            <w:tcW w:w="4674" w:type="dxa"/>
            <w:tcBorders>
              <w:top w:val="nil"/>
              <w:left w:val="nil"/>
              <w:bottom w:val="nil"/>
            </w:tcBorders>
          </w:tcPr>
          <w:p w14:paraId="785FB1BD" w14:textId="77777777" w:rsidR="00D86764" w:rsidRPr="007E3B4E" w:rsidRDefault="00D86764" w:rsidP="00654447">
            <w:pPr>
              <w:jc w:val="left"/>
              <w:rPr>
                <w:rFonts w:eastAsia="Times New Roman"/>
                <w:noProof/>
                <w:highlight w:val="yellow"/>
              </w:rPr>
            </w:pPr>
            <w:r w:rsidRPr="007E3B4E">
              <w:t>5. cikk, (1) bekezdés, második albekezdés</w:t>
            </w:r>
          </w:p>
        </w:tc>
        <w:tc>
          <w:tcPr>
            <w:tcW w:w="4674" w:type="dxa"/>
            <w:tcBorders>
              <w:top w:val="nil"/>
              <w:bottom w:val="nil"/>
              <w:right w:val="nil"/>
            </w:tcBorders>
          </w:tcPr>
          <w:p w14:paraId="0A328E7C" w14:textId="77777777" w:rsidR="00D86764" w:rsidRPr="007E3B4E" w:rsidRDefault="00D86764" w:rsidP="00654447">
            <w:pPr>
              <w:jc w:val="left"/>
              <w:rPr>
                <w:rFonts w:eastAsia="Times New Roman"/>
                <w:noProof/>
                <w:highlight w:val="yellow"/>
              </w:rPr>
            </w:pPr>
            <w:r w:rsidRPr="007E3B4E">
              <w:t>–</w:t>
            </w:r>
          </w:p>
        </w:tc>
      </w:tr>
      <w:tr w:rsidR="00D86764" w:rsidRPr="007E3B4E" w14:paraId="75A3DFB7" w14:textId="77777777" w:rsidTr="00654447">
        <w:tc>
          <w:tcPr>
            <w:tcW w:w="4674" w:type="dxa"/>
            <w:tcBorders>
              <w:top w:val="nil"/>
              <w:left w:val="nil"/>
              <w:bottom w:val="nil"/>
            </w:tcBorders>
          </w:tcPr>
          <w:p w14:paraId="5EB023A1" w14:textId="77777777" w:rsidR="00D86764" w:rsidRPr="007E3B4E" w:rsidRDefault="00D86764" w:rsidP="00654447">
            <w:pPr>
              <w:jc w:val="left"/>
              <w:rPr>
                <w:rFonts w:eastAsia="Times New Roman"/>
                <w:noProof/>
                <w:highlight w:val="yellow"/>
              </w:rPr>
            </w:pPr>
            <w:r w:rsidRPr="007E3B4E">
              <w:t>5. cikk, (1) bekezdés, harmadik albekezdés</w:t>
            </w:r>
          </w:p>
        </w:tc>
        <w:tc>
          <w:tcPr>
            <w:tcW w:w="4674" w:type="dxa"/>
            <w:tcBorders>
              <w:top w:val="nil"/>
              <w:bottom w:val="nil"/>
              <w:right w:val="nil"/>
            </w:tcBorders>
          </w:tcPr>
          <w:p w14:paraId="2653BDC4" w14:textId="77777777" w:rsidR="00D86764" w:rsidRPr="007E3B4E" w:rsidRDefault="00D86764" w:rsidP="00654447">
            <w:pPr>
              <w:jc w:val="left"/>
              <w:rPr>
                <w:rFonts w:eastAsia="Times New Roman"/>
                <w:noProof/>
                <w:highlight w:val="yellow"/>
              </w:rPr>
            </w:pPr>
            <w:r w:rsidRPr="007E3B4E">
              <w:t>6. cikk, (1) bekezdés, második albekezdés</w:t>
            </w:r>
          </w:p>
        </w:tc>
      </w:tr>
      <w:tr w:rsidR="00D86764" w:rsidRPr="007E3B4E" w14:paraId="17CF6767" w14:textId="77777777" w:rsidTr="00654447">
        <w:tc>
          <w:tcPr>
            <w:tcW w:w="4674" w:type="dxa"/>
            <w:tcBorders>
              <w:top w:val="nil"/>
              <w:left w:val="nil"/>
              <w:bottom w:val="nil"/>
            </w:tcBorders>
          </w:tcPr>
          <w:p w14:paraId="2ACA75AE" w14:textId="77777777" w:rsidR="00D86764" w:rsidRPr="007E3B4E" w:rsidRDefault="00D86764" w:rsidP="00654447">
            <w:pPr>
              <w:jc w:val="left"/>
              <w:rPr>
                <w:rFonts w:eastAsia="Times New Roman"/>
                <w:noProof/>
                <w:highlight w:val="yellow"/>
              </w:rPr>
            </w:pPr>
            <w:r w:rsidRPr="007E3B4E">
              <w:t>5. cikk, (1) bekezdés, negyedik és ötödik albekezdés</w:t>
            </w:r>
          </w:p>
        </w:tc>
        <w:tc>
          <w:tcPr>
            <w:tcW w:w="4674" w:type="dxa"/>
            <w:tcBorders>
              <w:top w:val="nil"/>
              <w:bottom w:val="nil"/>
              <w:right w:val="nil"/>
            </w:tcBorders>
          </w:tcPr>
          <w:p w14:paraId="341153FA" w14:textId="77777777" w:rsidR="00D86764" w:rsidRPr="007E3B4E" w:rsidRDefault="00D86764" w:rsidP="00654447">
            <w:pPr>
              <w:jc w:val="left"/>
              <w:rPr>
                <w:rFonts w:eastAsia="Times New Roman"/>
                <w:noProof/>
                <w:highlight w:val="yellow"/>
              </w:rPr>
            </w:pPr>
            <w:r w:rsidRPr="007E3B4E">
              <w:t>–</w:t>
            </w:r>
          </w:p>
        </w:tc>
      </w:tr>
      <w:tr w:rsidR="00D86764" w:rsidRPr="007E3B4E" w14:paraId="23519DE7" w14:textId="77777777" w:rsidTr="00654447">
        <w:tc>
          <w:tcPr>
            <w:tcW w:w="4674" w:type="dxa"/>
            <w:tcBorders>
              <w:top w:val="nil"/>
              <w:left w:val="nil"/>
              <w:bottom w:val="nil"/>
            </w:tcBorders>
          </w:tcPr>
          <w:p w14:paraId="0ABE9C22" w14:textId="77777777" w:rsidR="00D86764" w:rsidRPr="007E3B4E" w:rsidRDefault="00D86764" w:rsidP="00654447">
            <w:pPr>
              <w:jc w:val="left"/>
              <w:rPr>
                <w:rFonts w:eastAsia="Times New Roman"/>
                <w:noProof/>
                <w:highlight w:val="yellow"/>
              </w:rPr>
            </w:pPr>
            <w:r w:rsidRPr="007E3B4E">
              <w:t>5. cikk, (2) és (3) bekezdés</w:t>
            </w:r>
          </w:p>
        </w:tc>
        <w:tc>
          <w:tcPr>
            <w:tcW w:w="4674" w:type="dxa"/>
            <w:tcBorders>
              <w:top w:val="nil"/>
              <w:bottom w:val="nil"/>
              <w:right w:val="nil"/>
            </w:tcBorders>
          </w:tcPr>
          <w:p w14:paraId="4D78834A" w14:textId="77777777" w:rsidR="00D86764" w:rsidRPr="007E3B4E" w:rsidRDefault="00D86764" w:rsidP="00654447">
            <w:pPr>
              <w:jc w:val="left"/>
              <w:rPr>
                <w:rFonts w:eastAsia="Times New Roman"/>
                <w:noProof/>
                <w:highlight w:val="yellow"/>
              </w:rPr>
            </w:pPr>
            <w:r w:rsidRPr="007E3B4E">
              <w:t>–</w:t>
            </w:r>
          </w:p>
        </w:tc>
      </w:tr>
      <w:tr w:rsidR="00D86764" w:rsidRPr="007E3B4E" w14:paraId="1285263C" w14:textId="77777777" w:rsidTr="00654447">
        <w:tc>
          <w:tcPr>
            <w:tcW w:w="4674" w:type="dxa"/>
            <w:tcBorders>
              <w:top w:val="nil"/>
              <w:left w:val="nil"/>
              <w:bottom w:val="nil"/>
            </w:tcBorders>
          </w:tcPr>
          <w:p w14:paraId="0D236F9A" w14:textId="77777777" w:rsidR="00D86764" w:rsidRPr="007E3B4E" w:rsidRDefault="00D86764" w:rsidP="00654447">
            <w:pPr>
              <w:jc w:val="left"/>
              <w:rPr>
                <w:rFonts w:eastAsia="Times New Roman"/>
                <w:noProof/>
                <w:highlight w:val="yellow"/>
              </w:rPr>
            </w:pPr>
            <w:r w:rsidRPr="007E3B4E">
              <w:t>5. cikk, (4) bekezdés</w:t>
            </w:r>
          </w:p>
        </w:tc>
        <w:tc>
          <w:tcPr>
            <w:tcW w:w="4674" w:type="dxa"/>
            <w:tcBorders>
              <w:top w:val="nil"/>
              <w:bottom w:val="nil"/>
              <w:right w:val="nil"/>
            </w:tcBorders>
          </w:tcPr>
          <w:p w14:paraId="237D21C4" w14:textId="77777777" w:rsidR="00D86764" w:rsidRPr="007E3B4E" w:rsidRDefault="00D86764" w:rsidP="00654447">
            <w:pPr>
              <w:jc w:val="left"/>
              <w:rPr>
                <w:rFonts w:eastAsia="Times New Roman"/>
                <w:noProof/>
                <w:highlight w:val="yellow"/>
              </w:rPr>
            </w:pPr>
            <w:r w:rsidRPr="007E3B4E">
              <w:t>6. cikk, (2) bekezdés</w:t>
            </w:r>
          </w:p>
        </w:tc>
      </w:tr>
      <w:tr w:rsidR="00D86764" w:rsidRPr="007E3B4E" w14:paraId="1C2AC709" w14:textId="77777777" w:rsidTr="00654447">
        <w:tc>
          <w:tcPr>
            <w:tcW w:w="4674" w:type="dxa"/>
            <w:tcBorders>
              <w:top w:val="nil"/>
              <w:left w:val="nil"/>
              <w:bottom w:val="nil"/>
            </w:tcBorders>
          </w:tcPr>
          <w:p w14:paraId="191890F5" w14:textId="77777777" w:rsidR="00D86764" w:rsidRPr="007E3B4E" w:rsidRDefault="00D86764" w:rsidP="00654447">
            <w:pPr>
              <w:jc w:val="left"/>
              <w:rPr>
                <w:rFonts w:eastAsia="Times New Roman"/>
                <w:noProof/>
                <w:highlight w:val="yellow"/>
              </w:rPr>
            </w:pPr>
            <w:r w:rsidRPr="007E3B4E">
              <w:t>5. cikk, (5) bekezdés</w:t>
            </w:r>
          </w:p>
        </w:tc>
        <w:tc>
          <w:tcPr>
            <w:tcW w:w="4674" w:type="dxa"/>
            <w:tcBorders>
              <w:top w:val="nil"/>
              <w:bottom w:val="nil"/>
              <w:right w:val="nil"/>
            </w:tcBorders>
          </w:tcPr>
          <w:p w14:paraId="5E7DD394" w14:textId="77777777" w:rsidR="00D86764" w:rsidRPr="007E3B4E" w:rsidRDefault="00D86764" w:rsidP="00654447">
            <w:pPr>
              <w:jc w:val="left"/>
              <w:rPr>
                <w:rFonts w:eastAsia="Times New Roman"/>
                <w:noProof/>
                <w:highlight w:val="yellow"/>
              </w:rPr>
            </w:pPr>
            <w:r w:rsidRPr="007E3B4E">
              <w:t>6. cikk, (3) bekezdés</w:t>
            </w:r>
          </w:p>
        </w:tc>
      </w:tr>
      <w:tr w:rsidR="00D86764" w:rsidRPr="007E3B4E" w14:paraId="1C5ADEBB" w14:textId="77777777" w:rsidTr="00654447">
        <w:tc>
          <w:tcPr>
            <w:tcW w:w="4674" w:type="dxa"/>
            <w:tcBorders>
              <w:top w:val="nil"/>
              <w:left w:val="nil"/>
              <w:bottom w:val="nil"/>
            </w:tcBorders>
          </w:tcPr>
          <w:p w14:paraId="302257D2" w14:textId="77777777" w:rsidR="00D86764" w:rsidRPr="007E3B4E" w:rsidRDefault="00D86764" w:rsidP="00654447">
            <w:pPr>
              <w:jc w:val="left"/>
              <w:rPr>
                <w:rFonts w:eastAsia="Times New Roman"/>
                <w:noProof/>
                <w:highlight w:val="yellow"/>
              </w:rPr>
            </w:pPr>
            <w:r w:rsidRPr="007E3B4E">
              <w:t>5. cikk, (6) és (7) bekezdés</w:t>
            </w:r>
          </w:p>
        </w:tc>
        <w:tc>
          <w:tcPr>
            <w:tcW w:w="4674" w:type="dxa"/>
            <w:tcBorders>
              <w:top w:val="nil"/>
              <w:bottom w:val="nil"/>
              <w:right w:val="nil"/>
            </w:tcBorders>
          </w:tcPr>
          <w:p w14:paraId="308FEBEE" w14:textId="77777777" w:rsidR="00D86764" w:rsidRPr="007E3B4E" w:rsidRDefault="00D86764" w:rsidP="00654447">
            <w:pPr>
              <w:jc w:val="left"/>
              <w:rPr>
                <w:rFonts w:eastAsia="Times New Roman"/>
                <w:noProof/>
                <w:highlight w:val="yellow"/>
              </w:rPr>
            </w:pPr>
            <w:r w:rsidRPr="007E3B4E">
              <w:t>–</w:t>
            </w:r>
          </w:p>
        </w:tc>
      </w:tr>
      <w:tr w:rsidR="00D86764" w:rsidRPr="007E3B4E" w14:paraId="10CFB7BD" w14:textId="77777777" w:rsidTr="00654447">
        <w:tc>
          <w:tcPr>
            <w:tcW w:w="4674" w:type="dxa"/>
            <w:tcBorders>
              <w:top w:val="nil"/>
              <w:left w:val="nil"/>
              <w:bottom w:val="nil"/>
            </w:tcBorders>
          </w:tcPr>
          <w:p w14:paraId="651F7A88" w14:textId="77777777" w:rsidR="00D86764" w:rsidRPr="007E3B4E" w:rsidRDefault="00D86764" w:rsidP="00654447">
            <w:pPr>
              <w:jc w:val="left"/>
              <w:rPr>
                <w:rFonts w:eastAsia="Times New Roman"/>
                <w:noProof/>
                <w:highlight w:val="yellow"/>
              </w:rPr>
            </w:pPr>
            <w:r w:rsidRPr="007E3B4E">
              <w:t>6. cikk, (1) bekezdés, első albekezdés</w:t>
            </w:r>
          </w:p>
        </w:tc>
        <w:tc>
          <w:tcPr>
            <w:tcW w:w="4674" w:type="dxa"/>
            <w:tcBorders>
              <w:top w:val="nil"/>
              <w:bottom w:val="nil"/>
              <w:right w:val="nil"/>
            </w:tcBorders>
          </w:tcPr>
          <w:p w14:paraId="03ACA201" w14:textId="77777777" w:rsidR="00D86764" w:rsidRPr="007E3B4E" w:rsidRDefault="00D86764" w:rsidP="00654447">
            <w:pPr>
              <w:jc w:val="left"/>
              <w:rPr>
                <w:rFonts w:eastAsia="Times New Roman"/>
                <w:noProof/>
                <w:highlight w:val="yellow"/>
              </w:rPr>
            </w:pPr>
            <w:r w:rsidRPr="007E3B4E">
              <w:t>7. cikk, (1) bekezdés, első albekezdés</w:t>
            </w:r>
          </w:p>
        </w:tc>
      </w:tr>
      <w:tr w:rsidR="00D86764" w:rsidRPr="007E3B4E" w14:paraId="68710157" w14:textId="77777777" w:rsidTr="00654447">
        <w:tc>
          <w:tcPr>
            <w:tcW w:w="4674" w:type="dxa"/>
            <w:tcBorders>
              <w:top w:val="nil"/>
              <w:left w:val="nil"/>
              <w:bottom w:val="nil"/>
            </w:tcBorders>
          </w:tcPr>
          <w:p w14:paraId="0BC88A0E" w14:textId="77777777" w:rsidR="00D86764" w:rsidRPr="007E3B4E" w:rsidRDefault="00D86764" w:rsidP="00654447">
            <w:pPr>
              <w:jc w:val="left"/>
              <w:rPr>
                <w:rFonts w:eastAsia="Times New Roman"/>
                <w:noProof/>
                <w:highlight w:val="yellow"/>
              </w:rPr>
            </w:pPr>
            <w:r w:rsidRPr="007E3B4E">
              <w:t>6. cikk, (1) bekezdés, második albekezdés</w:t>
            </w:r>
          </w:p>
        </w:tc>
        <w:tc>
          <w:tcPr>
            <w:tcW w:w="4674" w:type="dxa"/>
            <w:tcBorders>
              <w:top w:val="nil"/>
              <w:bottom w:val="nil"/>
              <w:right w:val="nil"/>
            </w:tcBorders>
          </w:tcPr>
          <w:p w14:paraId="2764FE00" w14:textId="77777777" w:rsidR="00D86764" w:rsidRPr="007E3B4E" w:rsidRDefault="00D86764" w:rsidP="00654447">
            <w:pPr>
              <w:jc w:val="left"/>
              <w:rPr>
                <w:rFonts w:eastAsia="Times New Roman"/>
                <w:noProof/>
                <w:highlight w:val="yellow"/>
              </w:rPr>
            </w:pPr>
            <w:r w:rsidRPr="007E3B4E">
              <w:t>–</w:t>
            </w:r>
          </w:p>
        </w:tc>
      </w:tr>
      <w:tr w:rsidR="00D86764" w:rsidRPr="007E3B4E" w14:paraId="55245046" w14:textId="77777777" w:rsidTr="00654447">
        <w:tc>
          <w:tcPr>
            <w:tcW w:w="4674" w:type="dxa"/>
            <w:tcBorders>
              <w:top w:val="nil"/>
              <w:left w:val="nil"/>
              <w:bottom w:val="nil"/>
            </w:tcBorders>
          </w:tcPr>
          <w:p w14:paraId="524D616A"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7D9EEE2E" w14:textId="77777777" w:rsidR="00D86764" w:rsidRPr="007E3B4E" w:rsidRDefault="00D86764" w:rsidP="00654447">
            <w:pPr>
              <w:jc w:val="left"/>
              <w:rPr>
                <w:rFonts w:eastAsia="Times New Roman"/>
                <w:noProof/>
                <w:highlight w:val="yellow"/>
              </w:rPr>
            </w:pPr>
            <w:r w:rsidRPr="007E3B4E">
              <w:t>7. cikk, (1) bekezdés, második albekezdés</w:t>
            </w:r>
          </w:p>
        </w:tc>
      </w:tr>
      <w:tr w:rsidR="00D86764" w:rsidRPr="007E3B4E" w14:paraId="67B9BF44" w14:textId="77777777" w:rsidTr="00654447">
        <w:tc>
          <w:tcPr>
            <w:tcW w:w="4674" w:type="dxa"/>
            <w:tcBorders>
              <w:top w:val="nil"/>
              <w:left w:val="nil"/>
              <w:bottom w:val="nil"/>
            </w:tcBorders>
          </w:tcPr>
          <w:p w14:paraId="6D28671E" w14:textId="77777777" w:rsidR="00D86764" w:rsidRPr="007E3B4E" w:rsidRDefault="00D86764" w:rsidP="00654447">
            <w:pPr>
              <w:jc w:val="left"/>
              <w:rPr>
                <w:rFonts w:eastAsia="Times New Roman"/>
                <w:noProof/>
                <w:highlight w:val="yellow"/>
              </w:rPr>
            </w:pPr>
            <w:r w:rsidRPr="007E3B4E">
              <w:t>6. cikk, (1) bekezdés, harmadik albekezdés</w:t>
            </w:r>
          </w:p>
        </w:tc>
        <w:tc>
          <w:tcPr>
            <w:tcW w:w="4674" w:type="dxa"/>
            <w:tcBorders>
              <w:top w:val="nil"/>
              <w:bottom w:val="nil"/>
              <w:right w:val="nil"/>
            </w:tcBorders>
          </w:tcPr>
          <w:p w14:paraId="4208D3FF" w14:textId="77777777" w:rsidR="00D86764" w:rsidRPr="007E3B4E" w:rsidRDefault="00D86764" w:rsidP="00654447">
            <w:pPr>
              <w:jc w:val="left"/>
              <w:rPr>
                <w:rFonts w:eastAsia="Times New Roman"/>
                <w:noProof/>
                <w:highlight w:val="yellow"/>
              </w:rPr>
            </w:pPr>
            <w:r w:rsidRPr="007E3B4E">
              <w:t>–</w:t>
            </w:r>
          </w:p>
        </w:tc>
      </w:tr>
      <w:tr w:rsidR="00D86764" w:rsidRPr="007E3B4E" w14:paraId="3CB3B612" w14:textId="77777777" w:rsidTr="00654447">
        <w:tc>
          <w:tcPr>
            <w:tcW w:w="4674" w:type="dxa"/>
            <w:tcBorders>
              <w:top w:val="nil"/>
              <w:left w:val="nil"/>
              <w:bottom w:val="nil"/>
            </w:tcBorders>
          </w:tcPr>
          <w:p w14:paraId="5BEB878A" w14:textId="77777777" w:rsidR="00D86764" w:rsidRPr="007E3B4E" w:rsidRDefault="00D86764" w:rsidP="00654447">
            <w:pPr>
              <w:jc w:val="left"/>
              <w:rPr>
                <w:rFonts w:eastAsia="Times New Roman"/>
                <w:noProof/>
                <w:highlight w:val="yellow"/>
              </w:rPr>
            </w:pPr>
            <w:r w:rsidRPr="007E3B4E">
              <w:t>6. cikk, (2), (3) és (4) bekezdés</w:t>
            </w:r>
          </w:p>
        </w:tc>
        <w:tc>
          <w:tcPr>
            <w:tcW w:w="4674" w:type="dxa"/>
            <w:tcBorders>
              <w:top w:val="nil"/>
              <w:bottom w:val="nil"/>
              <w:right w:val="nil"/>
            </w:tcBorders>
          </w:tcPr>
          <w:p w14:paraId="75BBB24A" w14:textId="77777777" w:rsidR="00D86764" w:rsidRPr="007E3B4E" w:rsidRDefault="00D86764" w:rsidP="00654447">
            <w:pPr>
              <w:jc w:val="left"/>
              <w:rPr>
                <w:rFonts w:eastAsia="Times New Roman"/>
                <w:noProof/>
                <w:highlight w:val="yellow"/>
              </w:rPr>
            </w:pPr>
            <w:r w:rsidRPr="007E3B4E">
              <w:t>7. cikk, (2), (3) és (4) bekezdés</w:t>
            </w:r>
          </w:p>
        </w:tc>
      </w:tr>
      <w:tr w:rsidR="00D86764" w:rsidRPr="007E3B4E" w14:paraId="3CD92339" w14:textId="77777777" w:rsidTr="00654447">
        <w:tc>
          <w:tcPr>
            <w:tcW w:w="4674" w:type="dxa"/>
            <w:tcBorders>
              <w:top w:val="nil"/>
              <w:left w:val="nil"/>
              <w:bottom w:val="nil"/>
            </w:tcBorders>
          </w:tcPr>
          <w:p w14:paraId="555CADAD"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F7F9738" w14:textId="77777777" w:rsidR="00D86764" w:rsidRPr="007E3B4E" w:rsidRDefault="00D86764" w:rsidP="00654447">
            <w:pPr>
              <w:jc w:val="left"/>
              <w:rPr>
                <w:rFonts w:eastAsia="Times New Roman"/>
                <w:noProof/>
                <w:highlight w:val="yellow"/>
              </w:rPr>
            </w:pPr>
            <w:r w:rsidRPr="007E3B4E">
              <w:t>7. cikk, (5) és (6) bekezdés</w:t>
            </w:r>
          </w:p>
        </w:tc>
      </w:tr>
      <w:tr w:rsidR="00D86764" w:rsidRPr="007E3B4E" w14:paraId="51C66CC3" w14:textId="77777777" w:rsidTr="00654447">
        <w:tc>
          <w:tcPr>
            <w:tcW w:w="4674" w:type="dxa"/>
            <w:tcBorders>
              <w:top w:val="nil"/>
              <w:left w:val="nil"/>
              <w:bottom w:val="nil"/>
            </w:tcBorders>
          </w:tcPr>
          <w:p w14:paraId="7129206A"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51CD7320" w14:textId="77777777" w:rsidR="00D86764" w:rsidRPr="007E3B4E" w:rsidRDefault="00D86764" w:rsidP="00654447">
            <w:pPr>
              <w:jc w:val="left"/>
              <w:rPr>
                <w:rFonts w:eastAsia="Times New Roman"/>
                <w:noProof/>
              </w:rPr>
            </w:pPr>
            <w:r w:rsidRPr="007E3B4E">
              <w:t>7. cikk, (7) bekezdés, második albekezdés</w:t>
            </w:r>
          </w:p>
        </w:tc>
      </w:tr>
      <w:tr w:rsidR="00D86764" w:rsidRPr="007E3B4E" w14:paraId="7B1092BB" w14:textId="77777777" w:rsidTr="00654447">
        <w:tc>
          <w:tcPr>
            <w:tcW w:w="4674" w:type="dxa"/>
            <w:tcBorders>
              <w:top w:val="nil"/>
              <w:left w:val="nil"/>
              <w:bottom w:val="nil"/>
            </w:tcBorders>
          </w:tcPr>
          <w:p w14:paraId="44476263" w14:textId="77777777" w:rsidR="00D86764" w:rsidRPr="007E3B4E" w:rsidRDefault="00D86764" w:rsidP="00654447">
            <w:pPr>
              <w:jc w:val="left"/>
              <w:rPr>
                <w:rFonts w:eastAsia="Times New Roman"/>
                <w:noProof/>
                <w:highlight w:val="yellow"/>
              </w:rPr>
            </w:pPr>
            <w:r w:rsidRPr="007E3B4E">
              <w:t>7. cikk, (1) bekezdés, bevezető szöveg, a) és b) pont</w:t>
            </w:r>
          </w:p>
        </w:tc>
        <w:tc>
          <w:tcPr>
            <w:tcW w:w="4674" w:type="dxa"/>
            <w:tcBorders>
              <w:top w:val="nil"/>
              <w:bottom w:val="nil"/>
              <w:right w:val="nil"/>
            </w:tcBorders>
          </w:tcPr>
          <w:p w14:paraId="019638E0" w14:textId="77777777" w:rsidR="00D86764" w:rsidRPr="007E3B4E" w:rsidRDefault="00D86764" w:rsidP="00654447">
            <w:pPr>
              <w:jc w:val="left"/>
              <w:rPr>
                <w:rFonts w:eastAsia="Times New Roman"/>
                <w:noProof/>
                <w:highlight w:val="yellow"/>
              </w:rPr>
            </w:pPr>
            <w:r w:rsidRPr="007E3B4E">
              <w:t>8. cikk, (1) bekezdés, bevezető szöveg, a) és b) pont</w:t>
            </w:r>
          </w:p>
        </w:tc>
      </w:tr>
      <w:tr w:rsidR="00D86764" w:rsidRPr="007E3B4E" w14:paraId="7C37DC70" w14:textId="77777777" w:rsidTr="00654447">
        <w:tc>
          <w:tcPr>
            <w:tcW w:w="4674" w:type="dxa"/>
            <w:tcBorders>
              <w:top w:val="nil"/>
              <w:left w:val="nil"/>
              <w:bottom w:val="nil"/>
            </w:tcBorders>
          </w:tcPr>
          <w:p w14:paraId="45DA1A54"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B30DA69" w14:textId="77777777" w:rsidR="00D86764" w:rsidRPr="007E3B4E" w:rsidRDefault="00D86764" w:rsidP="00654447">
            <w:pPr>
              <w:jc w:val="left"/>
              <w:rPr>
                <w:rFonts w:eastAsia="Times New Roman"/>
                <w:noProof/>
                <w:highlight w:val="yellow"/>
              </w:rPr>
            </w:pPr>
            <w:r w:rsidRPr="007E3B4E">
              <w:t>8. cikk, (1) bekezdés, c) pont</w:t>
            </w:r>
          </w:p>
        </w:tc>
      </w:tr>
      <w:tr w:rsidR="00D86764" w:rsidRPr="007E3B4E" w14:paraId="00996AC1" w14:textId="77777777" w:rsidTr="00654447">
        <w:tc>
          <w:tcPr>
            <w:tcW w:w="4674" w:type="dxa"/>
            <w:tcBorders>
              <w:top w:val="nil"/>
              <w:left w:val="nil"/>
              <w:bottom w:val="nil"/>
            </w:tcBorders>
          </w:tcPr>
          <w:p w14:paraId="06109CEB" w14:textId="77777777" w:rsidR="00D86764" w:rsidRPr="007E3B4E" w:rsidRDefault="00D86764" w:rsidP="00654447">
            <w:pPr>
              <w:jc w:val="left"/>
              <w:rPr>
                <w:rFonts w:eastAsia="Times New Roman"/>
                <w:noProof/>
                <w:highlight w:val="yellow"/>
              </w:rPr>
            </w:pPr>
            <w:r w:rsidRPr="007E3B4E">
              <w:t>7. cikk, (1) bekezdés, második albekezdés</w:t>
            </w:r>
          </w:p>
        </w:tc>
        <w:tc>
          <w:tcPr>
            <w:tcW w:w="4674" w:type="dxa"/>
            <w:tcBorders>
              <w:top w:val="nil"/>
              <w:bottom w:val="nil"/>
              <w:right w:val="nil"/>
            </w:tcBorders>
          </w:tcPr>
          <w:p w14:paraId="466089F6" w14:textId="77777777" w:rsidR="00D86764" w:rsidRPr="007E3B4E" w:rsidRDefault="00D86764" w:rsidP="00654447">
            <w:pPr>
              <w:jc w:val="left"/>
              <w:rPr>
                <w:rFonts w:eastAsia="Times New Roman"/>
                <w:noProof/>
                <w:highlight w:val="yellow"/>
              </w:rPr>
            </w:pPr>
            <w:r w:rsidRPr="007E3B4E">
              <w:t>8. cikk, (5) bekezdés</w:t>
            </w:r>
          </w:p>
        </w:tc>
      </w:tr>
      <w:tr w:rsidR="00D86764" w:rsidRPr="007E3B4E" w14:paraId="1D701CE5" w14:textId="77777777" w:rsidTr="00654447">
        <w:tc>
          <w:tcPr>
            <w:tcW w:w="4674" w:type="dxa"/>
            <w:tcBorders>
              <w:top w:val="nil"/>
              <w:left w:val="nil"/>
              <w:bottom w:val="nil"/>
            </w:tcBorders>
          </w:tcPr>
          <w:p w14:paraId="18A10D10" w14:textId="77777777" w:rsidR="00D86764" w:rsidRPr="007E3B4E" w:rsidRDefault="00D86764" w:rsidP="00654447">
            <w:pPr>
              <w:jc w:val="left"/>
              <w:rPr>
                <w:rFonts w:eastAsia="Times New Roman"/>
                <w:noProof/>
              </w:rPr>
            </w:pPr>
            <w:r w:rsidRPr="007E3B4E">
              <w:t>7. cikk, (1) bekezdés, harmadik albekezdés</w:t>
            </w:r>
          </w:p>
        </w:tc>
        <w:tc>
          <w:tcPr>
            <w:tcW w:w="4674" w:type="dxa"/>
            <w:tcBorders>
              <w:top w:val="nil"/>
              <w:bottom w:val="nil"/>
              <w:right w:val="nil"/>
            </w:tcBorders>
          </w:tcPr>
          <w:p w14:paraId="757ED2F6" w14:textId="77777777" w:rsidR="00D86764" w:rsidRPr="007E3B4E" w:rsidRDefault="00D86764" w:rsidP="00654447">
            <w:pPr>
              <w:jc w:val="left"/>
              <w:rPr>
                <w:rFonts w:eastAsia="Times New Roman"/>
                <w:noProof/>
              </w:rPr>
            </w:pPr>
            <w:r w:rsidRPr="007E3B4E">
              <w:t>8. cikk, (1) bekezdés, második albekezdés</w:t>
            </w:r>
          </w:p>
        </w:tc>
      </w:tr>
      <w:tr w:rsidR="00D86764" w:rsidRPr="007E3B4E" w14:paraId="0D0D0B8C" w14:textId="77777777" w:rsidTr="00654447">
        <w:tc>
          <w:tcPr>
            <w:tcW w:w="4674" w:type="dxa"/>
            <w:tcBorders>
              <w:top w:val="nil"/>
              <w:left w:val="nil"/>
              <w:bottom w:val="nil"/>
            </w:tcBorders>
          </w:tcPr>
          <w:p w14:paraId="71114040" w14:textId="77777777" w:rsidR="00D86764" w:rsidRPr="007E3B4E" w:rsidRDefault="00D86764" w:rsidP="00654447">
            <w:pPr>
              <w:jc w:val="left"/>
              <w:rPr>
                <w:rFonts w:eastAsia="Times New Roman"/>
                <w:noProof/>
              </w:rPr>
            </w:pPr>
            <w:r w:rsidRPr="007E3B4E">
              <w:t>7. cikk, (1) bekezdés, negyedik albekezdés</w:t>
            </w:r>
          </w:p>
        </w:tc>
        <w:tc>
          <w:tcPr>
            <w:tcW w:w="4674" w:type="dxa"/>
            <w:tcBorders>
              <w:top w:val="nil"/>
              <w:bottom w:val="nil"/>
              <w:right w:val="nil"/>
            </w:tcBorders>
          </w:tcPr>
          <w:p w14:paraId="3DDAC6E5" w14:textId="77777777" w:rsidR="00D86764" w:rsidRPr="007E3B4E" w:rsidRDefault="00D86764" w:rsidP="00654447">
            <w:pPr>
              <w:jc w:val="left"/>
              <w:rPr>
                <w:rFonts w:eastAsia="Times New Roman"/>
                <w:noProof/>
              </w:rPr>
            </w:pPr>
            <w:r w:rsidRPr="007E3B4E">
              <w:t>8. cikk, (1) bekezdés, harmadik albekezdés</w:t>
            </w:r>
          </w:p>
        </w:tc>
      </w:tr>
      <w:tr w:rsidR="00D86764" w:rsidRPr="007E3B4E" w14:paraId="02EC9443" w14:textId="77777777" w:rsidTr="00654447">
        <w:tc>
          <w:tcPr>
            <w:tcW w:w="4674" w:type="dxa"/>
            <w:tcBorders>
              <w:top w:val="nil"/>
              <w:left w:val="nil"/>
              <w:bottom w:val="nil"/>
            </w:tcBorders>
          </w:tcPr>
          <w:p w14:paraId="4880B0DB"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0C0DA7D7" w14:textId="77777777" w:rsidR="00D86764" w:rsidRPr="007E3B4E" w:rsidRDefault="00D86764" w:rsidP="00654447">
            <w:pPr>
              <w:jc w:val="left"/>
              <w:rPr>
                <w:rFonts w:eastAsia="Times New Roman"/>
                <w:noProof/>
                <w:highlight w:val="yellow"/>
              </w:rPr>
            </w:pPr>
            <w:r w:rsidRPr="007E3B4E">
              <w:t>8. cikk, (2), (3) és (4) bekezdés</w:t>
            </w:r>
          </w:p>
        </w:tc>
      </w:tr>
      <w:tr w:rsidR="00D86764" w:rsidRPr="007E3B4E" w14:paraId="6D01F53A" w14:textId="77777777" w:rsidTr="00654447">
        <w:tc>
          <w:tcPr>
            <w:tcW w:w="4674" w:type="dxa"/>
            <w:tcBorders>
              <w:top w:val="nil"/>
              <w:left w:val="nil"/>
              <w:bottom w:val="nil"/>
            </w:tcBorders>
          </w:tcPr>
          <w:p w14:paraId="490087CF" w14:textId="77777777" w:rsidR="00D86764" w:rsidRPr="007E3B4E" w:rsidRDefault="00D86764" w:rsidP="00654447">
            <w:pPr>
              <w:jc w:val="left"/>
              <w:rPr>
                <w:rFonts w:eastAsia="Times New Roman"/>
                <w:noProof/>
              </w:rPr>
            </w:pPr>
            <w:r w:rsidRPr="007E3B4E">
              <w:t xml:space="preserve"> 7. cikk, (2) bekezdés</w:t>
            </w:r>
          </w:p>
        </w:tc>
        <w:tc>
          <w:tcPr>
            <w:tcW w:w="4674" w:type="dxa"/>
            <w:tcBorders>
              <w:top w:val="nil"/>
              <w:bottom w:val="nil"/>
              <w:right w:val="nil"/>
            </w:tcBorders>
          </w:tcPr>
          <w:p w14:paraId="3466F641" w14:textId="77777777" w:rsidR="00D86764" w:rsidRPr="007E3B4E" w:rsidRDefault="00D86764" w:rsidP="00654447">
            <w:pPr>
              <w:jc w:val="left"/>
              <w:rPr>
                <w:rFonts w:eastAsia="Times New Roman"/>
                <w:noProof/>
              </w:rPr>
            </w:pPr>
            <w:r w:rsidRPr="007E3B4E">
              <w:t xml:space="preserve"> 8. cikk, (6) bekezdés</w:t>
            </w:r>
          </w:p>
        </w:tc>
      </w:tr>
      <w:tr w:rsidR="00D86764" w:rsidRPr="007E3B4E" w14:paraId="33B39634" w14:textId="77777777" w:rsidTr="00654447">
        <w:tc>
          <w:tcPr>
            <w:tcW w:w="4674" w:type="dxa"/>
            <w:tcBorders>
              <w:top w:val="nil"/>
              <w:left w:val="nil"/>
              <w:bottom w:val="nil"/>
            </w:tcBorders>
          </w:tcPr>
          <w:p w14:paraId="7F299532" w14:textId="77777777" w:rsidR="00D86764" w:rsidRPr="007E3B4E" w:rsidRDefault="00D86764" w:rsidP="00654447">
            <w:pPr>
              <w:jc w:val="left"/>
              <w:rPr>
                <w:rFonts w:eastAsia="Times New Roman"/>
                <w:noProof/>
              </w:rPr>
            </w:pPr>
            <w:r w:rsidRPr="007E3B4E">
              <w:t>7. cikk, (3) bekezdés</w:t>
            </w:r>
          </w:p>
        </w:tc>
        <w:tc>
          <w:tcPr>
            <w:tcW w:w="4674" w:type="dxa"/>
            <w:tcBorders>
              <w:top w:val="nil"/>
              <w:bottom w:val="nil"/>
              <w:right w:val="nil"/>
            </w:tcBorders>
          </w:tcPr>
          <w:p w14:paraId="794DAB5A" w14:textId="77777777" w:rsidR="00D86764" w:rsidRPr="007E3B4E" w:rsidRDefault="00D86764" w:rsidP="00654447">
            <w:pPr>
              <w:jc w:val="left"/>
              <w:rPr>
                <w:rFonts w:eastAsia="Times New Roman"/>
                <w:noProof/>
              </w:rPr>
            </w:pPr>
            <w:r w:rsidRPr="007E3B4E">
              <w:t>8. cikk, (7) bekezdés</w:t>
            </w:r>
          </w:p>
        </w:tc>
      </w:tr>
      <w:tr w:rsidR="00D86764" w:rsidRPr="007E3B4E" w14:paraId="64AB9192" w14:textId="77777777" w:rsidTr="00654447">
        <w:tc>
          <w:tcPr>
            <w:tcW w:w="4674" w:type="dxa"/>
            <w:tcBorders>
              <w:top w:val="nil"/>
              <w:left w:val="nil"/>
              <w:bottom w:val="nil"/>
            </w:tcBorders>
          </w:tcPr>
          <w:p w14:paraId="0B962222" w14:textId="77777777" w:rsidR="00D86764" w:rsidRPr="007E3B4E" w:rsidRDefault="00D86764" w:rsidP="00654447">
            <w:pPr>
              <w:jc w:val="left"/>
              <w:rPr>
                <w:rFonts w:eastAsia="Times New Roman"/>
                <w:noProof/>
              </w:rPr>
            </w:pPr>
            <w:r w:rsidRPr="007E3B4E">
              <w:t>7. cikk, (4) bekezdés</w:t>
            </w:r>
          </w:p>
        </w:tc>
        <w:tc>
          <w:tcPr>
            <w:tcW w:w="4674" w:type="dxa"/>
            <w:tcBorders>
              <w:top w:val="nil"/>
              <w:bottom w:val="nil"/>
              <w:right w:val="nil"/>
            </w:tcBorders>
          </w:tcPr>
          <w:p w14:paraId="19A832A5" w14:textId="77777777" w:rsidR="00D86764" w:rsidRPr="007E3B4E" w:rsidRDefault="00D86764" w:rsidP="00654447">
            <w:pPr>
              <w:jc w:val="left"/>
              <w:rPr>
                <w:rFonts w:eastAsia="Times New Roman"/>
                <w:noProof/>
              </w:rPr>
            </w:pPr>
            <w:r w:rsidRPr="007E3B4E">
              <w:t>8. cikk, (8) bekezdés</w:t>
            </w:r>
          </w:p>
        </w:tc>
      </w:tr>
      <w:tr w:rsidR="00D86764" w:rsidRPr="007E3B4E" w14:paraId="2BC358E0" w14:textId="77777777" w:rsidTr="00654447">
        <w:tc>
          <w:tcPr>
            <w:tcW w:w="4674" w:type="dxa"/>
            <w:tcBorders>
              <w:top w:val="nil"/>
              <w:left w:val="nil"/>
              <w:bottom w:val="nil"/>
            </w:tcBorders>
          </w:tcPr>
          <w:p w14:paraId="24FC7FA2" w14:textId="77777777" w:rsidR="00D86764" w:rsidRPr="007E3B4E" w:rsidRDefault="00D86764" w:rsidP="00654447">
            <w:pPr>
              <w:jc w:val="left"/>
              <w:rPr>
                <w:rFonts w:eastAsia="Times New Roman"/>
                <w:noProof/>
              </w:rPr>
            </w:pPr>
            <w:r w:rsidRPr="007E3B4E">
              <w:t>7. cikk, (5) bekezdés</w:t>
            </w:r>
          </w:p>
        </w:tc>
        <w:tc>
          <w:tcPr>
            <w:tcW w:w="4674" w:type="dxa"/>
            <w:tcBorders>
              <w:top w:val="nil"/>
              <w:bottom w:val="nil"/>
              <w:right w:val="nil"/>
            </w:tcBorders>
          </w:tcPr>
          <w:p w14:paraId="05B92B6B" w14:textId="77777777" w:rsidR="00D86764" w:rsidRPr="007E3B4E" w:rsidRDefault="00D86764" w:rsidP="00654447">
            <w:pPr>
              <w:jc w:val="left"/>
              <w:rPr>
                <w:rFonts w:eastAsia="Times New Roman"/>
                <w:noProof/>
              </w:rPr>
            </w:pPr>
            <w:r w:rsidRPr="007E3B4E">
              <w:t>8. cikk, (9) bekezdés</w:t>
            </w:r>
          </w:p>
        </w:tc>
      </w:tr>
      <w:tr w:rsidR="00D86764" w:rsidRPr="007E3B4E" w14:paraId="59E035A6" w14:textId="77777777" w:rsidTr="00654447">
        <w:tc>
          <w:tcPr>
            <w:tcW w:w="4674" w:type="dxa"/>
            <w:tcBorders>
              <w:top w:val="nil"/>
              <w:left w:val="nil"/>
              <w:bottom w:val="nil"/>
            </w:tcBorders>
          </w:tcPr>
          <w:p w14:paraId="00355B47" w14:textId="77777777" w:rsidR="00D86764" w:rsidRPr="007E3B4E" w:rsidRDefault="00D86764" w:rsidP="00654447">
            <w:pPr>
              <w:jc w:val="left"/>
              <w:rPr>
                <w:rFonts w:eastAsia="Times New Roman"/>
                <w:noProof/>
              </w:rPr>
            </w:pPr>
            <w:r w:rsidRPr="007E3B4E">
              <w:t>7. cikk, (6) bekezdés</w:t>
            </w:r>
          </w:p>
        </w:tc>
        <w:tc>
          <w:tcPr>
            <w:tcW w:w="4674" w:type="dxa"/>
            <w:tcBorders>
              <w:top w:val="nil"/>
              <w:bottom w:val="nil"/>
              <w:right w:val="nil"/>
            </w:tcBorders>
          </w:tcPr>
          <w:p w14:paraId="19FB545D" w14:textId="77777777" w:rsidR="00D86764" w:rsidRPr="007E3B4E" w:rsidRDefault="00D86764" w:rsidP="00654447">
            <w:pPr>
              <w:jc w:val="left"/>
              <w:rPr>
                <w:rFonts w:eastAsia="Times New Roman"/>
                <w:noProof/>
              </w:rPr>
            </w:pPr>
            <w:r w:rsidRPr="007E3B4E">
              <w:t>8. cikk, (10) bekezdés</w:t>
            </w:r>
          </w:p>
        </w:tc>
      </w:tr>
      <w:tr w:rsidR="00D86764" w:rsidRPr="007E3B4E" w14:paraId="48EE0758" w14:textId="77777777" w:rsidTr="00654447">
        <w:tc>
          <w:tcPr>
            <w:tcW w:w="4674" w:type="dxa"/>
            <w:tcBorders>
              <w:top w:val="nil"/>
              <w:left w:val="nil"/>
              <w:bottom w:val="nil"/>
            </w:tcBorders>
          </w:tcPr>
          <w:p w14:paraId="0976FC8D" w14:textId="77777777" w:rsidR="00D86764" w:rsidRPr="007E3B4E" w:rsidRDefault="00D86764" w:rsidP="00654447">
            <w:pPr>
              <w:jc w:val="left"/>
              <w:rPr>
                <w:rFonts w:eastAsia="Times New Roman"/>
                <w:noProof/>
              </w:rPr>
            </w:pPr>
            <w:r w:rsidRPr="007E3B4E">
              <w:t>7. cikk, (7) bekezdés</w:t>
            </w:r>
          </w:p>
        </w:tc>
        <w:tc>
          <w:tcPr>
            <w:tcW w:w="4674" w:type="dxa"/>
            <w:tcBorders>
              <w:top w:val="nil"/>
              <w:bottom w:val="nil"/>
              <w:right w:val="nil"/>
            </w:tcBorders>
          </w:tcPr>
          <w:p w14:paraId="34C371B5" w14:textId="77777777" w:rsidR="00D86764" w:rsidRPr="007E3B4E" w:rsidRDefault="00D86764" w:rsidP="00654447">
            <w:pPr>
              <w:jc w:val="left"/>
              <w:rPr>
                <w:rFonts w:eastAsia="Times New Roman"/>
                <w:noProof/>
              </w:rPr>
            </w:pPr>
            <w:r w:rsidRPr="007E3B4E">
              <w:t>–</w:t>
            </w:r>
          </w:p>
        </w:tc>
      </w:tr>
      <w:tr w:rsidR="00D86764" w:rsidRPr="007E3B4E" w14:paraId="683D3EAB" w14:textId="77777777" w:rsidTr="00654447">
        <w:tc>
          <w:tcPr>
            <w:tcW w:w="4674" w:type="dxa"/>
            <w:tcBorders>
              <w:top w:val="nil"/>
              <w:left w:val="nil"/>
              <w:bottom w:val="nil"/>
            </w:tcBorders>
          </w:tcPr>
          <w:p w14:paraId="6E9C8598" w14:textId="77777777" w:rsidR="00D86764" w:rsidRPr="007E3B4E" w:rsidRDefault="00D86764" w:rsidP="00654447">
            <w:pPr>
              <w:jc w:val="left"/>
              <w:rPr>
                <w:rFonts w:eastAsia="Times New Roman"/>
                <w:noProof/>
              </w:rPr>
            </w:pPr>
            <w:r w:rsidRPr="007E3B4E">
              <w:t>7. cikk, (8) bekezdés</w:t>
            </w:r>
          </w:p>
        </w:tc>
        <w:tc>
          <w:tcPr>
            <w:tcW w:w="4674" w:type="dxa"/>
            <w:tcBorders>
              <w:top w:val="nil"/>
              <w:bottom w:val="nil"/>
              <w:right w:val="nil"/>
            </w:tcBorders>
          </w:tcPr>
          <w:p w14:paraId="05BE1521" w14:textId="77777777" w:rsidR="00D86764" w:rsidRPr="007E3B4E" w:rsidRDefault="00D86764" w:rsidP="00654447">
            <w:pPr>
              <w:jc w:val="left"/>
              <w:rPr>
                <w:rFonts w:eastAsia="Times New Roman"/>
                <w:noProof/>
              </w:rPr>
            </w:pPr>
            <w:r w:rsidRPr="007E3B4E">
              <w:t>–</w:t>
            </w:r>
          </w:p>
        </w:tc>
      </w:tr>
      <w:tr w:rsidR="00D86764" w:rsidRPr="007E3B4E" w14:paraId="0F80FED7" w14:textId="77777777" w:rsidTr="00654447">
        <w:tc>
          <w:tcPr>
            <w:tcW w:w="4674" w:type="dxa"/>
            <w:tcBorders>
              <w:top w:val="nil"/>
              <w:left w:val="nil"/>
              <w:bottom w:val="nil"/>
            </w:tcBorders>
          </w:tcPr>
          <w:p w14:paraId="109A225B" w14:textId="77777777" w:rsidR="00D86764" w:rsidRPr="007E3B4E" w:rsidRDefault="00D86764" w:rsidP="00654447">
            <w:pPr>
              <w:jc w:val="left"/>
              <w:rPr>
                <w:rFonts w:eastAsia="Times New Roman"/>
                <w:noProof/>
              </w:rPr>
            </w:pPr>
            <w:r w:rsidRPr="007E3B4E">
              <w:t>7. cikk, (9) bekezdés</w:t>
            </w:r>
          </w:p>
        </w:tc>
        <w:tc>
          <w:tcPr>
            <w:tcW w:w="4674" w:type="dxa"/>
            <w:tcBorders>
              <w:top w:val="nil"/>
              <w:bottom w:val="nil"/>
              <w:right w:val="nil"/>
            </w:tcBorders>
          </w:tcPr>
          <w:p w14:paraId="0424B6AF" w14:textId="77777777" w:rsidR="00D86764" w:rsidRPr="007E3B4E" w:rsidRDefault="00D86764" w:rsidP="00654447">
            <w:pPr>
              <w:jc w:val="left"/>
              <w:rPr>
                <w:rFonts w:eastAsia="Times New Roman"/>
                <w:noProof/>
              </w:rPr>
            </w:pPr>
            <w:r w:rsidRPr="007E3B4E">
              <w:t>–</w:t>
            </w:r>
          </w:p>
        </w:tc>
      </w:tr>
      <w:tr w:rsidR="00D86764" w:rsidRPr="007E3B4E" w14:paraId="127489CE" w14:textId="77777777" w:rsidTr="00654447">
        <w:tc>
          <w:tcPr>
            <w:tcW w:w="4674" w:type="dxa"/>
            <w:tcBorders>
              <w:top w:val="nil"/>
              <w:left w:val="nil"/>
              <w:bottom w:val="nil"/>
            </w:tcBorders>
          </w:tcPr>
          <w:p w14:paraId="62BD3879" w14:textId="77777777" w:rsidR="00D86764" w:rsidRPr="007E3B4E" w:rsidRDefault="00D86764" w:rsidP="00654447">
            <w:pPr>
              <w:jc w:val="left"/>
              <w:rPr>
                <w:rFonts w:eastAsia="Times New Roman"/>
                <w:noProof/>
              </w:rPr>
            </w:pPr>
            <w:r w:rsidRPr="007E3B4E">
              <w:t>7. cikk, (10) bekezdés</w:t>
            </w:r>
          </w:p>
        </w:tc>
        <w:tc>
          <w:tcPr>
            <w:tcW w:w="4674" w:type="dxa"/>
            <w:tcBorders>
              <w:top w:val="nil"/>
              <w:bottom w:val="nil"/>
              <w:right w:val="nil"/>
            </w:tcBorders>
          </w:tcPr>
          <w:p w14:paraId="102C66E8" w14:textId="77777777" w:rsidR="00D86764" w:rsidRPr="007E3B4E" w:rsidRDefault="00D86764" w:rsidP="00654447">
            <w:pPr>
              <w:jc w:val="left"/>
              <w:rPr>
                <w:rFonts w:eastAsia="Times New Roman"/>
                <w:noProof/>
              </w:rPr>
            </w:pPr>
            <w:r w:rsidRPr="007E3B4E">
              <w:t>–</w:t>
            </w:r>
          </w:p>
        </w:tc>
      </w:tr>
      <w:tr w:rsidR="00D86764" w:rsidRPr="007E3B4E" w14:paraId="43F25357" w14:textId="77777777" w:rsidTr="00654447">
        <w:tc>
          <w:tcPr>
            <w:tcW w:w="4674" w:type="dxa"/>
            <w:tcBorders>
              <w:top w:val="nil"/>
              <w:left w:val="nil"/>
              <w:bottom w:val="nil"/>
            </w:tcBorders>
          </w:tcPr>
          <w:p w14:paraId="1BD76E2B" w14:textId="77777777" w:rsidR="00D86764" w:rsidRPr="007E3B4E" w:rsidRDefault="00D86764" w:rsidP="00654447">
            <w:pPr>
              <w:jc w:val="left"/>
              <w:rPr>
                <w:rFonts w:eastAsia="Times New Roman"/>
                <w:noProof/>
              </w:rPr>
            </w:pPr>
            <w:r w:rsidRPr="007E3B4E">
              <w:t>7. cikk, (11) bekezdés</w:t>
            </w:r>
          </w:p>
        </w:tc>
        <w:tc>
          <w:tcPr>
            <w:tcW w:w="4674" w:type="dxa"/>
            <w:tcBorders>
              <w:top w:val="nil"/>
              <w:bottom w:val="nil"/>
              <w:right w:val="nil"/>
            </w:tcBorders>
          </w:tcPr>
          <w:p w14:paraId="32AA224B" w14:textId="77777777" w:rsidR="00D86764" w:rsidRPr="007E3B4E" w:rsidRDefault="00D86764" w:rsidP="00654447">
            <w:pPr>
              <w:jc w:val="left"/>
              <w:rPr>
                <w:rFonts w:eastAsia="Times New Roman"/>
                <w:noProof/>
              </w:rPr>
            </w:pPr>
            <w:r w:rsidRPr="007E3B4E">
              <w:t>–</w:t>
            </w:r>
          </w:p>
        </w:tc>
      </w:tr>
      <w:tr w:rsidR="00D86764" w:rsidRPr="007E3B4E" w14:paraId="320C4088" w14:textId="77777777" w:rsidTr="00654447">
        <w:tc>
          <w:tcPr>
            <w:tcW w:w="4674" w:type="dxa"/>
            <w:tcBorders>
              <w:top w:val="nil"/>
              <w:left w:val="nil"/>
              <w:bottom w:val="nil"/>
            </w:tcBorders>
          </w:tcPr>
          <w:p w14:paraId="4273FE02" w14:textId="77777777" w:rsidR="00D86764" w:rsidRPr="007E3B4E" w:rsidRDefault="00D86764" w:rsidP="00654447">
            <w:pPr>
              <w:jc w:val="left"/>
              <w:rPr>
                <w:rFonts w:eastAsia="Times New Roman"/>
                <w:noProof/>
              </w:rPr>
            </w:pPr>
          </w:p>
        </w:tc>
        <w:tc>
          <w:tcPr>
            <w:tcW w:w="4674" w:type="dxa"/>
            <w:tcBorders>
              <w:top w:val="nil"/>
              <w:bottom w:val="nil"/>
              <w:right w:val="nil"/>
            </w:tcBorders>
          </w:tcPr>
          <w:p w14:paraId="76E45E8D" w14:textId="77777777" w:rsidR="00D86764" w:rsidRPr="007E3B4E" w:rsidRDefault="00D86764" w:rsidP="00654447">
            <w:pPr>
              <w:jc w:val="left"/>
              <w:rPr>
                <w:rFonts w:eastAsia="Times New Roman"/>
                <w:noProof/>
              </w:rPr>
            </w:pPr>
            <w:r w:rsidRPr="007E3B4E">
              <w:t>8. cikk, (11), (12) és (13) bekezdés</w:t>
            </w:r>
          </w:p>
        </w:tc>
      </w:tr>
      <w:tr w:rsidR="00D86764" w:rsidRPr="007E3B4E" w14:paraId="21E85FF8" w14:textId="77777777" w:rsidTr="00654447">
        <w:tc>
          <w:tcPr>
            <w:tcW w:w="4674" w:type="dxa"/>
            <w:tcBorders>
              <w:top w:val="nil"/>
              <w:left w:val="nil"/>
              <w:bottom w:val="nil"/>
            </w:tcBorders>
          </w:tcPr>
          <w:p w14:paraId="1B147E3F" w14:textId="77777777" w:rsidR="00D86764" w:rsidRPr="007E3B4E" w:rsidRDefault="00D86764" w:rsidP="00654447">
            <w:pPr>
              <w:jc w:val="left"/>
              <w:rPr>
                <w:rFonts w:eastAsia="Times New Roman"/>
                <w:noProof/>
              </w:rPr>
            </w:pPr>
            <w:r w:rsidRPr="007E3B4E">
              <w:t>7. cikk, (12) bekezdés</w:t>
            </w:r>
          </w:p>
        </w:tc>
        <w:tc>
          <w:tcPr>
            <w:tcW w:w="4674" w:type="dxa"/>
            <w:tcBorders>
              <w:top w:val="nil"/>
              <w:bottom w:val="nil"/>
              <w:right w:val="nil"/>
            </w:tcBorders>
          </w:tcPr>
          <w:p w14:paraId="7C3BEC62" w14:textId="77777777" w:rsidR="00D86764" w:rsidRPr="007E3B4E" w:rsidRDefault="00D86764" w:rsidP="00654447">
            <w:pPr>
              <w:jc w:val="left"/>
              <w:rPr>
                <w:rFonts w:eastAsia="Times New Roman"/>
                <w:noProof/>
              </w:rPr>
            </w:pPr>
            <w:r w:rsidRPr="007E3B4E">
              <w:t>8. cikk, (14) bekezdés</w:t>
            </w:r>
          </w:p>
        </w:tc>
      </w:tr>
      <w:tr w:rsidR="00D86764" w:rsidRPr="007E3B4E" w14:paraId="7BE73079" w14:textId="77777777" w:rsidTr="00654447">
        <w:tc>
          <w:tcPr>
            <w:tcW w:w="4674" w:type="dxa"/>
            <w:tcBorders>
              <w:top w:val="nil"/>
              <w:left w:val="nil"/>
              <w:bottom w:val="nil"/>
            </w:tcBorders>
          </w:tcPr>
          <w:p w14:paraId="6AB66404" w14:textId="77777777" w:rsidR="00D86764" w:rsidRPr="007E3B4E" w:rsidRDefault="00D86764" w:rsidP="00654447">
            <w:pPr>
              <w:jc w:val="left"/>
              <w:rPr>
                <w:rFonts w:eastAsia="Times New Roman"/>
                <w:noProof/>
                <w:highlight w:val="yellow"/>
              </w:rPr>
            </w:pPr>
            <w:r w:rsidRPr="007E3B4E">
              <w:t>7a. cikk, (1), (2) és (3) bekezdés</w:t>
            </w:r>
          </w:p>
        </w:tc>
        <w:tc>
          <w:tcPr>
            <w:tcW w:w="4674" w:type="dxa"/>
            <w:tcBorders>
              <w:top w:val="nil"/>
              <w:bottom w:val="nil"/>
              <w:right w:val="nil"/>
            </w:tcBorders>
          </w:tcPr>
          <w:p w14:paraId="7227CCC2" w14:textId="77777777" w:rsidR="00D86764" w:rsidRPr="007E3B4E" w:rsidRDefault="00D86764" w:rsidP="00654447">
            <w:pPr>
              <w:jc w:val="left"/>
              <w:rPr>
                <w:rFonts w:eastAsia="Times New Roman"/>
                <w:noProof/>
                <w:highlight w:val="yellow"/>
              </w:rPr>
            </w:pPr>
            <w:r w:rsidRPr="007E3B4E">
              <w:t>9. cikk, (1), (2) és (3) bekezdés</w:t>
            </w:r>
          </w:p>
        </w:tc>
      </w:tr>
      <w:tr w:rsidR="00D86764" w:rsidRPr="007E3B4E" w14:paraId="3D03E3B4" w14:textId="77777777" w:rsidTr="00654447">
        <w:tc>
          <w:tcPr>
            <w:tcW w:w="4674" w:type="dxa"/>
            <w:tcBorders>
              <w:top w:val="nil"/>
              <w:left w:val="nil"/>
              <w:bottom w:val="nil"/>
            </w:tcBorders>
          </w:tcPr>
          <w:p w14:paraId="6F3B97DA"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C3D76D0" w14:textId="77777777" w:rsidR="00D86764" w:rsidRPr="007E3B4E" w:rsidRDefault="00D86764" w:rsidP="00654447">
            <w:pPr>
              <w:jc w:val="left"/>
              <w:rPr>
                <w:rFonts w:eastAsia="Times New Roman"/>
                <w:noProof/>
                <w:highlight w:val="yellow"/>
              </w:rPr>
            </w:pPr>
            <w:r w:rsidRPr="007E3B4E">
              <w:t>9. cikk, (4), (5) és (6) bekezdés</w:t>
            </w:r>
          </w:p>
        </w:tc>
      </w:tr>
      <w:tr w:rsidR="00D86764" w:rsidRPr="007E3B4E" w14:paraId="5FFF656C" w14:textId="77777777" w:rsidTr="00654447">
        <w:tc>
          <w:tcPr>
            <w:tcW w:w="4674" w:type="dxa"/>
            <w:tcBorders>
              <w:top w:val="nil"/>
              <w:left w:val="nil"/>
              <w:bottom w:val="nil"/>
            </w:tcBorders>
          </w:tcPr>
          <w:p w14:paraId="59433792" w14:textId="77777777" w:rsidR="00D86764" w:rsidRPr="007E3B4E" w:rsidRDefault="00D86764" w:rsidP="00654447">
            <w:pPr>
              <w:jc w:val="left"/>
              <w:rPr>
                <w:rFonts w:eastAsia="Times New Roman"/>
                <w:noProof/>
                <w:highlight w:val="yellow"/>
              </w:rPr>
            </w:pPr>
            <w:r w:rsidRPr="007E3B4E">
              <w:t>7a. cikk, (4) és (5) bekezdés</w:t>
            </w:r>
          </w:p>
        </w:tc>
        <w:tc>
          <w:tcPr>
            <w:tcW w:w="4674" w:type="dxa"/>
            <w:tcBorders>
              <w:top w:val="nil"/>
              <w:bottom w:val="nil"/>
              <w:right w:val="nil"/>
            </w:tcBorders>
          </w:tcPr>
          <w:p w14:paraId="02B7CB50" w14:textId="77777777" w:rsidR="00D86764" w:rsidRPr="007E3B4E" w:rsidRDefault="00D86764" w:rsidP="00654447">
            <w:pPr>
              <w:jc w:val="left"/>
              <w:rPr>
                <w:rFonts w:eastAsia="Times New Roman"/>
                <w:noProof/>
                <w:highlight w:val="yellow"/>
              </w:rPr>
            </w:pPr>
            <w:r w:rsidRPr="007E3B4E">
              <w:t>9. cikk, (7) és (8) bekezdés</w:t>
            </w:r>
          </w:p>
        </w:tc>
      </w:tr>
      <w:tr w:rsidR="00D86764" w:rsidRPr="007E3B4E" w14:paraId="72406637" w14:textId="77777777" w:rsidTr="00654447">
        <w:tc>
          <w:tcPr>
            <w:tcW w:w="4674" w:type="dxa"/>
            <w:tcBorders>
              <w:top w:val="nil"/>
              <w:left w:val="nil"/>
              <w:bottom w:val="nil"/>
            </w:tcBorders>
          </w:tcPr>
          <w:p w14:paraId="63E2C444"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0D9041FE" w14:textId="77777777" w:rsidR="00D86764" w:rsidRPr="007E3B4E" w:rsidRDefault="00D86764" w:rsidP="00654447">
            <w:pPr>
              <w:jc w:val="left"/>
              <w:rPr>
                <w:rFonts w:eastAsia="Times New Roman"/>
                <w:noProof/>
                <w:highlight w:val="yellow"/>
              </w:rPr>
            </w:pPr>
            <w:r w:rsidRPr="007E3B4E">
              <w:t>9. cikk, (9) bekezdés</w:t>
            </w:r>
          </w:p>
        </w:tc>
      </w:tr>
      <w:tr w:rsidR="00D86764" w:rsidRPr="007E3B4E" w14:paraId="0C0ADE07" w14:textId="77777777" w:rsidTr="00654447">
        <w:tc>
          <w:tcPr>
            <w:tcW w:w="4674" w:type="dxa"/>
            <w:tcBorders>
              <w:top w:val="nil"/>
              <w:left w:val="nil"/>
              <w:bottom w:val="nil"/>
            </w:tcBorders>
          </w:tcPr>
          <w:p w14:paraId="2B9E4DFC" w14:textId="77777777" w:rsidR="00D86764" w:rsidRPr="007E3B4E" w:rsidRDefault="00D86764" w:rsidP="00654447">
            <w:pPr>
              <w:jc w:val="left"/>
              <w:rPr>
                <w:rFonts w:eastAsia="Times New Roman"/>
                <w:noProof/>
                <w:highlight w:val="yellow"/>
              </w:rPr>
            </w:pPr>
            <w:r w:rsidRPr="007E3B4E">
              <w:t>7a. cikk, (6) és (7) bekezdés</w:t>
            </w:r>
          </w:p>
        </w:tc>
        <w:tc>
          <w:tcPr>
            <w:tcW w:w="4674" w:type="dxa"/>
            <w:tcBorders>
              <w:top w:val="nil"/>
              <w:bottom w:val="nil"/>
              <w:right w:val="nil"/>
            </w:tcBorders>
          </w:tcPr>
          <w:p w14:paraId="732275B7" w14:textId="77777777" w:rsidR="00D86764" w:rsidRPr="007E3B4E" w:rsidRDefault="00D86764" w:rsidP="00654447">
            <w:pPr>
              <w:jc w:val="left"/>
              <w:rPr>
                <w:rFonts w:eastAsia="Times New Roman"/>
                <w:noProof/>
                <w:highlight w:val="yellow"/>
              </w:rPr>
            </w:pPr>
            <w:r w:rsidRPr="007E3B4E">
              <w:t>9. cikk, (10) és (11) bekezdés</w:t>
            </w:r>
          </w:p>
        </w:tc>
      </w:tr>
      <w:tr w:rsidR="00D86764" w:rsidRPr="007E3B4E" w14:paraId="6290F16B" w14:textId="77777777" w:rsidTr="00654447">
        <w:tc>
          <w:tcPr>
            <w:tcW w:w="4674" w:type="dxa"/>
            <w:tcBorders>
              <w:top w:val="nil"/>
              <w:left w:val="nil"/>
              <w:bottom w:val="nil"/>
            </w:tcBorders>
          </w:tcPr>
          <w:p w14:paraId="17F45F6E" w14:textId="77777777" w:rsidR="00D86764" w:rsidRPr="007E3B4E" w:rsidRDefault="00D86764" w:rsidP="00654447">
            <w:pPr>
              <w:jc w:val="left"/>
              <w:rPr>
                <w:rFonts w:eastAsia="Times New Roman"/>
                <w:noProof/>
                <w:highlight w:val="yellow"/>
              </w:rPr>
            </w:pPr>
            <w:r w:rsidRPr="007E3B4E">
              <w:t>7b. cikk, (1) és (2) bekezdés</w:t>
            </w:r>
          </w:p>
        </w:tc>
        <w:tc>
          <w:tcPr>
            <w:tcW w:w="4674" w:type="dxa"/>
            <w:tcBorders>
              <w:top w:val="nil"/>
              <w:bottom w:val="nil"/>
              <w:right w:val="nil"/>
            </w:tcBorders>
          </w:tcPr>
          <w:p w14:paraId="14FDAADF" w14:textId="77777777" w:rsidR="00D86764" w:rsidRPr="007E3B4E" w:rsidRDefault="00D86764" w:rsidP="00654447">
            <w:pPr>
              <w:jc w:val="left"/>
              <w:rPr>
                <w:rFonts w:eastAsia="Times New Roman"/>
                <w:noProof/>
                <w:highlight w:val="yellow"/>
              </w:rPr>
            </w:pPr>
            <w:r w:rsidRPr="007E3B4E">
              <w:t>10. cikk, (1) és (2) bekezdés</w:t>
            </w:r>
          </w:p>
        </w:tc>
      </w:tr>
      <w:tr w:rsidR="00D86764" w:rsidRPr="007E3B4E" w14:paraId="3EC913F1" w14:textId="77777777" w:rsidTr="00654447">
        <w:tc>
          <w:tcPr>
            <w:tcW w:w="4674" w:type="dxa"/>
            <w:tcBorders>
              <w:top w:val="nil"/>
              <w:left w:val="nil"/>
              <w:bottom w:val="nil"/>
            </w:tcBorders>
          </w:tcPr>
          <w:p w14:paraId="6D8A8FDA"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77BD934E" w14:textId="77777777" w:rsidR="00D86764" w:rsidRPr="007E3B4E" w:rsidRDefault="00D86764" w:rsidP="00654447">
            <w:pPr>
              <w:jc w:val="left"/>
              <w:rPr>
                <w:rFonts w:eastAsia="Times New Roman"/>
                <w:noProof/>
                <w:highlight w:val="yellow"/>
              </w:rPr>
            </w:pPr>
            <w:r w:rsidRPr="007E3B4E">
              <w:t>10. cikk, (3) és (4) bekezdés</w:t>
            </w:r>
          </w:p>
        </w:tc>
      </w:tr>
      <w:tr w:rsidR="00D86764" w:rsidRPr="007E3B4E" w14:paraId="5933E174" w14:textId="77777777" w:rsidTr="00654447">
        <w:tc>
          <w:tcPr>
            <w:tcW w:w="4674" w:type="dxa"/>
            <w:tcBorders>
              <w:top w:val="nil"/>
              <w:left w:val="nil"/>
              <w:bottom w:val="nil"/>
            </w:tcBorders>
          </w:tcPr>
          <w:p w14:paraId="430EE116"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2CDDEF59" w14:textId="77777777" w:rsidR="00D86764" w:rsidRPr="007E3B4E" w:rsidRDefault="00D86764" w:rsidP="00654447">
            <w:pPr>
              <w:jc w:val="left"/>
              <w:rPr>
                <w:rFonts w:eastAsia="Times New Roman"/>
                <w:noProof/>
                <w:highlight w:val="yellow"/>
              </w:rPr>
            </w:pPr>
            <w:r w:rsidRPr="007E3B4E">
              <w:t>11. cikk, (1) és (2) bekezdés</w:t>
            </w:r>
          </w:p>
        </w:tc>
      </w:tr>
      <w:tr w:rsidR="00D86764" w:rsidRPr="007E3B4E" w14:paraId="17CAB038" w14:textId="77777777" w:rsidTr="00654447">
        <w:tc>
          <w:tcPr>
            <w:tcW w:w="4674" w:type="dxa"/>
            <w:tcBorders>
              <w:top w:val="nil"/>
              <w:left w:val="nil"/>
              <w:bottom w:val="nil"/>
            </w:tcBorders>
          </w:tcPr>
          <w:p w14:paraId="365CFADB" w14:textId="77777777" w:rsidR="00D86764" w:rsidRPr="007E3B4E" w:rsidRDefault="00D86764" w:rsidP="00654447">
            <w:pPr>
              <w:jc w:val="left"/>
              <w:rPr>
                <w:rFonts w:eastAsia="Times New Roman"/>
                <w:noProof/>
                <w:highlight w:val="yellow"/>
              </w:rPr>
            </w:pPr>
            <w:r w:rsidRPr="007E3B4E">
              <w:t xml:space="preserve">8. cikk, (1) és (2) bekezdés </w:t>
            </w:r>
          </w:p>
        </w:tc>
        <w:tc>
          <w:tcPr>
            <w:tcW w:w="4674" w:type="dxa"/>
            <w:tcBorders>
              <w:top w:val="nil"/>
              <w:bottom w:val="nil"/>
              <w:right w:val="nil"/>
            </w:tcBorders>
          </w:tcPr>
          <w:p w14:paraId="281063A0" w14:textId="77777777" w:rsidR="00D86764" w:rsidRPr="007E3B4E" w:rsidRDefault="00D86764" w:rsidP="00654447">
            <w:pPr>
              <w:jc w:val="left"/>
              <w:rPr>
                <w:rFonts w:eastAsia="Times New Roman"/>
                <w:noProof/>
                <w:highlight w:val="yellow"/>
              </w:rPr>
            </w:pPr>
            <w:r w:rsidRPr="007E3B4E">
              <w:t>11. cikk, (3) és (4) bekezdés</w:t>
            </w:r>
          </w:p>
        </w:tc>
      </w:tr>
      <w:tr w:rsidR="00D86764" w:rsidRPr="007E3B4E" w14:paraId="7FDD5208" w14:textId="77777777" w:rsidTr="00654447">
        <w:tc>
          <w:tcPr>
            <w:tcW w:w="4674" w:type="dxa"/>
            <w:tcBorders>
              <w:top w:val="nil"/>
              <w:left w:val="nil"/>
              <w:bottom w:val="nil"/>
            </w:tcBorders>
          </w:tcPr>
          <w:p w14:paraId="55D70592" w14:textId="77777777" w:rsidR="00D86764" w:rsidRPr="007E3B4E" w:rsidRDefault="00D86764" w:rsidP="00654447">
            <w:pPr>
              <w:jc w:val="left"/>
              <w:rPr>
                <w:rFonts w:eastAsia="Times New Roman"/>
                <w:noProof/>
                <w:highlight w:val="yellow"/>
              </w:rPr>
            </w:pPr>
            <w:r w:rsidRPr="007E3B4E">
              <w:t>8. cikk, (3) és (4) bekezdés</w:t>
            </w:r>
          </w:p>
        </w:tc>
        <w:tc>
          <w:tcPr>
            <w:tcW w:w="4674" w:type="dxa"/>
            <w:tcBorders>
              <w:top w:val="nil"/>
              <w:bottom w:val="nil"/>
              <w:right w:val="nil"/>
            </w:tcBorders>
          </w:tcPr>
          <w:p w14:paraId="34FD98D7" w14:textId="77777777" w:rsidR="00D86764" w:rsidRPr="007E3B4E" w:rsidRDefault="00D86764" w:rsidP="00654447">
            <w:pPr>
              <w:jc w:val="left"/>
              <w:rPr>
                <w:rFonts w:eastAsia="Times New Roman"/>
                <w:noProof/>
                <w:highlight w:val="yellow"/>
              </w:rPr>
            </w:pPr>
            <w:r w:rsidRPr="007E3B4E">
              <w:t>–</w:t>
            </w:r>
          </w:p>
        </w:tc>
      </w:tr>
      <w:tr w:rsidR="00D86764" w:rsidRPr="007E3B4E" w14:paraId="65F252F7" w14:textId="77777777" w:rsidTr="00654447">
        <w:tc>
          <w:tcPr>
            <w:tcW w:w="4674" w:type="dxa"/>
            <w:tcBorders>
              <w:top w:val="nil"/>
              <w:left w:val="nil"/>
              <w:bottom w:val="nil"/>
            </w:tcBorders>
          </w:tcPr>
          <w:p w14:paraId="68A10C9E"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056DF23A" w14:textId="77777777" w:rsidR="00D86764" w:rsidRPr="007E3B4E" w:rsidRDefault="00D86764" w:rsidP="00654447">
            <w:pPr>
              <w:jc w:val="left"/>
              <w:rPr>
                <w:rFonts w:eastAsia="Times New Roman"/>
                <w:noProof/>
                <w:highlight w:val="yellow"/>
              </w:rPr>
            </w:pPr>
            <w:r w:rsidRPr="007E3B4E">
              <w:t>11. cikk, (5) bekezdés</w:t>
            </w:r>
          </w:p>
        </w:tc>
      </w:tr>
      <w:tr w:rsidR="00D86764" w:rsidRPr="007E3B4E" w14:paraId="3140A04D" w14:textId="77777777" w:rsidTr="00654447">
        <w:tc>
          <w:tcPr>
            <w:tcW w:w="4674" w:type="dxa"/>
            <w:tcBorders>
              <w:top w:val="nil"/>
              <w:left w:val="nil"/>
              <w:bottom w:val="nil"/>
            </w:tcBorders>
          </w:tcPr>
          <w:p w14:paraId="1C65BAE7" w14:textId="77777777" w:rsidR="00D86764" w:rsidRPr="007E3B4E" w:rsidRDefault="00D86764" w:rsidP="00654447">
            <w:pPr>
              <w:jc w:val="left"/>
              <w:rPr>
                <w:rFonts w:eastAsia="Times New Roman"/>
                <w:noProof/>
                <w:highlight w:val="yellow"/>
              </w:rPr>
            </w:pPr>
            <w:r w:rsidRPr="007E3B4E">
              <w:t>8. cikk, (5) bekezdés</w:t>
            </w:r>
          </w:p>
        </w:tc>
        <w:tc>
          <w:tcPr>
            <w:tcW w:w="4674" w:type="dxa"/>
            <w:tcBorders>
              <w:top w:val="nil"/>
              <w:bottom w:val="nil"/>
              <w:right w:val="nil"/>
            </w:tcBorders>
          </w:tcPr>
          <w:p w14:paraId="05BFFC59" w14:textId="77777777" w:rsidR="00D86764" w:rsidRPr="007E3B4E" w:rsidRDefault="00D86764" w:rsidP="00654447">
            <w:pPr>
              <w:jc w:val="left"/>
              <w:rPr>
                <w:rFonts w:eastAsia="Times New Roman"/>
                <w:noProof/>
                <w:highlight w:val="yellow"/>
              </w:rPr>
            </w:pPr>
            <w:r w:rsidRPr="007E3B4E">
              <w:t>11. cikk, (6) bekezdés</w:t>
            </w:r>
          </w:p>
        </w:tc>
      </w:tr>
      <w:tr w:rsidR="00D86764" w:rsidRPr="007E3B4E" w14:paraId="3CD2BD08" w14:textId="77777777" w:rsidTr="00654447">
        <w:tc>
          <w:tcPr>
            <w:tcW w:w="4674" w:type="dxa"/>
            <w:tcBorders>
              <w:top w:val="nil"/>
              <w:left w:val="nil"/>
              <w:bottom w:val="nil"/>
            </w:tcBorders>
          </w:tcPr>
          <w:p w14:paraId="175265C5"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4F16E818" w14:textId="77777777" w:rsidR="00D86764" w:rsidRPr="007E3B4E" w:rsidRDefault="00D86764" w:rsidP="00654447">
            <w:pPr>
              <w:jc w:val="left"/>
              <w:rPr>
                <w:rFonts w:eastAsia="Times New Roman"/>
                <w:noProof/>
                <w:highlight w:val="yellow"/>
              </w:rPr>
            </w:pPr>
            <w:r w:rsidRPr="007E3B4E">
              <w:t>11. cikk, (7) bekezdés</w:t>
            </w:r>
          </w:p>
        </w:tc>
      </w:tr>
      <w:tr w:rsidR="00D86764" w:rsidRPr="007E3B4E" w14:paraId="0CBDEF3D" w14:textId="77777777" w:rsidTr="00654447">
        <w:tc>
          <w:tcPr>
            <w:tcW w:w="4674" w:type="dxa"/>
            <w:tcBorders>
              <w:top w:val="nil"/>
              <w:left w:val="nil"/>
              <w:bottom w:val="nil"/>
            </w:tcBorders>
          </w:tcPr>
          <w:p w14:paraId="7BAAAD5A" w14:textId="77777777" w:rsidR="00D86764" w:rsidRPr="007E3B4E" w:rsidRDefault="00D86764" w:rsidP="00654447">
            <w:pPr>
              <w:jc w:val="left"/>
              <w:rPr>
                <w:rFonts w:eastAsia="Times New Roman"/>
                <w:noProof/>
                <w:highlight w:val="yellow"/>
              </w:rPr>
            </w:pPr>
            <w:r w:rsidRPr="007E3B4E">
              <w:t>8. cikk, (6) bekezdés</w:t>
            </w:r>
          </w:p>
        </w:tc>
        <w:tc>
          <w:tcPr>
            <w:tcW w:w="4674" w:type="dxa"/>
            <w:tcBorders>
              <w:top w:val="nil"/>
              <w:bottom w:val="nil"/>
              <w:right w:val="nil"/>
            </w:tcBorders>
          </w:tcPr>
          <w:p w14:paraId="5DC9408B" w14:textId="77777777" w:rsidR="00D86764" w:rsidRPr="007E3B4E" w:rsidRDefault="00D86764" w:rsidP="00654447">
            <w:pPr>
              <w:jc w:val="left"/>
              <w:rPr>
                <w:rFonts w:eastAsia="Times New Roman"/>
                <w:noProof/>
                <w:highlight w:val="yellow"/>
              </w:rPr>
            </w:pPr>
            <w:r w:rsidRPr="007E3B4E">
              <w:t>11. cikk, (8) bekezdés</w:t>
            </w:r>
          </w:p>
        </w:tc>
      </w:tr>
      <w:tr w:rsidR="00D86764" w:rsidRPr="007E3B4E" w14:paraId="188BD5CA" w14:textId="77777777" w:rsidTr="00654447">
        <w:tc>
          <w:tcPr>
            <w:tcW w:w="4674" w:type="dxa"/>
            <w:tcBorders>
              <w:top w:val="nil"/>
              <w:left w:val="nil"/>
              <w:bottom w:val="nil"/>
            </w:tcBorders>
          </w:tcPr>
          <w:p w14:paraId="6D8FA95C" w14:textId="77777777" w:rsidR="00D86764" w:rsidRPr="007E3B4E" w:rsidRDefault="00D86764" w:rsidP="00654447">
            <w:pPr>
              <w:jc w:val="left"/>
              <w:rPr>
                <w:rFonts w:eastAsia="Times New Roman"/>
                <w:noProof/>
                <w:highlight w:val="yellow"/>
              </w:rPr>
            </w:pPr>
            <w:r w:rsidRPr="007E3B4E">
              <w:t>8. cikk, (7) bekezdés</w:t>
            </w:r>
          </w:p>
        </w:tc>
        <w:tc>
          <w:tcPr>
            <w:tcW w:w="4674" w:type="dxa"/>
            <w:tcBorders>
              <w:top w:val="nil"/>
              <w:bottom w:val="nil"/>
              <w:right w:val="nil"/>
            </w:tcBorders>
          </w:tcPr>
          <w:p w14:paraId="3B612316" w14:textId="77777777" w:rsidR="00D86764" w:rsidRPr="007E3B4E" w:rsidRDefault="00D86764" w:rsidP="00654447">
            <w:pPr>
              <w:jc w:val="left"/>
              <w:rPr>
                <w:rFonts w:eastAsia="Times New Roman"/>
                <w:noProof/>
                <w:highlight w:val="yellow"/>
              </w:rPr>
            </w:pPr>
            <w:r w:rsidRPr="007E3B4E">
              <w:t>11. cikk, (9) bekezdés</w:t>
            </w:r>
          </w:p>
        </w:tc>
      </w:tr>
      <w:tr w:rsidR="00D86764" w:rsidRPr="007E3B4E" w14:paraId="5EF880B3" w14:textId="77777777" w:rsidTr="00654447">
        <w:tc>
          <w:tcPr>
            <w:tcW w:w="4674" w:type="dxa"/>
            <w:tcBorders>
              <w:top w:val="nil"/>
              <w:left w:val="nil"/>
              <w:bottom w:val="nil"/>
            </w:tcBorders>
          </w:tcPr>
          <w:p w14:paraId="47957535"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4BBE4F64" w14:textId="77777777" w:rsidR="00D86764" w:rsidRPr="007E3B4E" w:rsidRDefault="00D86764" w:rsidP="00654447">
            <w:pPr>
              <w:jc w:val="left"/>
              <w:rPr>
                <w:rFonts w:eastAsia="Times New Roman"/>
                <w:noProof/>
                <w:highlight w:val="yellow"/>
              </w:rPr>
            </w:pPr>
            <w:r w:rsidRPr="007E3B4E">
              <w:t>11. cikk, (10) bekezdés</w:t>
            </w:r>
          </w:p>
        </w:tc>
      </w:tr>
      <w:tr w:rsidR="00D86764" w:rsidRPr="007E3B4E" w14:paraId="79F31A86" w14:textId="77777777" w:rsidTr="00654447">
        <w:tc>
          <w:tcPr>
            <w:tcW w:w="4674" w:type="dxa"/>
            <w:tcBorders>
              <w:top w:val="nil"/>
              <w:left w:val="nil"/>
              <w:bottom w:val="nil"/>
            </w:tcBorders>
          </w:tcPr>
          <w:p w14:paraId="7E6E36E7" w14:textId="77777777" w:rsidR="00D86764" w:rsidRPr="007E3B4E" w:rsidRDefault="00D86764" w:rsidP="00654447">
            <w:pPr>
              <w:jc w:val="left"/>
              <w:rPr>
                <w:rFonts w:eastAsia="Times New Roman"/>
                <w:noProof/>
                <w:highlight w:val="yellow"/>
              </w:rPr>
            </w:pPr>
            <w:r w:rsidRPr="007E3B4E">
              <w:t>9. cikk</w:t>
            </w:r>
          </w:p>
        </w:tc>
        <w:tc>
          <w:tcPr>
            <w:tcW w:w="4674" w:type="dxa"/>
            <w:tcBorders>
              <w:top w:val="nil"/>
              <w:bottom w:val="nil"/>
              <w:right w:val="nil"/>
            </w:tcBorders>
          </w:tcPr>
          <w:p w14:paraId="653D40FD" w14:textId="77777777" w:rsidR="00D86764" w:rsidRPr="007E3B4E" w:rsidRDefault="00D86764" w:rsidP="00654447">
            <w:pPr>
              <w:jc w:val="left"/>
              <w:rPr>
                <w:rFonts w:eastAsia="Times New Roman"/>
                <w:noProof/>
                <w:highlight w:val="yellow"/>
              </w:rPr>
            </w:pPr>
            <w:r w:rsidRPr="007E3B4E">
              <w:t>12. cikk</w:t>
            </w:r>
          </w:p>
        </w:tc>
      </w:tr>
      <w:tr w:rsidR="00D86764" w:rsidRPr="007E3B4E" w14:paraId="14BF4BCF" w14:textId="77777777" w:rsidTr="00654447">
        <w:tc>
          <w:tcPr>
            <w:tcW w:w="4674" w:type="dxa"/>
            <w:tcBorders>
              <w:top w:val="nil"/>
              <w:left w:val="nil"/>
              <w:bottom w:val="nil"/>
            </w:tcBorders>
          </w:tcPr>
          <w:p w14:paraId="7E4D871A" w14:textId="77777777" w:rsidR="00D86764" w:rsidRPr="007E3B4E" w:rsidRDefault="00D86764" w:rsidP="00654447">
            <w:pPr>
              <w:jc w:val="left"/>
              <w:rPr>
                <w:rFonts w:eastAsia="Times New Roman"/>
                <w:noProof/>
                <w:highlight w:val="yellow"/>
              </w:rPr>
            </w:pPr>
            <w:r w:rsidRPr="007E3B4E">
              <w:t>9a. cikk</w:t>
            </w:r>
          </w:p>
        </w:tc>
        <w:tc>
          <w:tcPr>
            <w:tcW w:w="4674" w:type="dxa"/>
            <w:tcBorders>
              <w:top w:val="nil"/>
              <w:bottom w:val="nil"/>
              <w:right w:val="nil"/>
            </w:tcBorders>
          </w:tcPr>
          <w:p w14:paraId="7F44FD88" w14:textId="77777777" w:rsidR="00D86764" w:rsidRPr="007E3B4E" w:rsidRDefault="00D86764" w:rsidP="00654447">
            <w:pPr>
              <w:jc w:val="left"/>
              <w:rPr>
                <w:rFonts w:eastAsia="Times New Roman"/>
                <w:noProof/>
                <w:highlight w:val="yellow"/>
              </w:rPr>
            </w:pPr>
            <w:r w:rsidRPr="007E3B4E">
              <w:t>13. cikk</w:t>
            </w:r>
          </w:p>
        </w:tc>
      </w:tr>
      <w:tr w:rsidR="00D86764" w:rsidRPr="007E3B4E" w14:paraId="21D2FDC9" w14:textId="77777777" w:rsidTr="00654447">
        <w:tc>
          <w:tcPr>
            <w:tcW w:w="4674" w:type="dxa"/>
            <w:tcBorders>
              <w:top w:val="nil"/>
              <w:left w:val="nil"/>
              <w:bottom w:val="nil"/>
            </w:tcBorders>
          </w:tcPr>
          <w:p w14:paraId="09CC125A" w14:textId="77777777" w:rsidR="00D86764" w:rsidRPr="007E3B4E" w:rsidRDefault="00D86764" w:rsidP="00654447">
            <w:pPr>
              <w:jc w:val="left"/>
              <w:rPr>
                <w:rFonts w:eastAsia="Times New Roman"/>
                <w:noProof/>
                <w:highlight w:val="yellow"/>
              </w:rPr>
            </w:pPr>
            <w:r w:rsidRPr="007E3B4E">
              <w:t>9b. cikk</w:t>
            </w:r>
          </w:p>
        </w:tc>
        <w:tc>
          <w:tcPr>
            <w:tcW w:w="4674" w:type="dxa"/>
            <w:tcBorders>
              <w:top w:val="nil"/>
              <w:bottom w:val="nil"/>
              <w:right w:val="nil"/>
            </w:tcBorders>
          </w:tcPr>
          <w:p w14:paraId="74E8CB7A" w14:textId="77777777" w:rsidR="00D86764" w:rsidRPr="007E3B4E" w:rsidRDefault="00D86764" w:rsidP="00654447">
            <w:pPr>
              <w:jc w:val="left"/>
              <w:rPr>
                <w:rFonts w:eastAsia="Times New Roman"/>
                <w:noProof/>
                <w:highlight w:val="yellow"/>
              </w:rPr>
            </w:pPr>
            <w:r w:rsidRPr="007E3B4E">
              <w:t>14. cikk</w:t>
            </w:r>
          </w:p>
        </w:tc>
      </w:tr>
      <w:tr w:rsidR="00D86764" w:rsidRPr="007E3B4E" w14:paraId="1A24C0C0" w14:textId="77777777" w:rsidTr="00654447">
        <w:tc>
          <w:tcPr>
            <w:tcW w:w="4674" w:type="dxa"/>
            <w:tcBorders>
              <w:top w:val="nil"/>
              <w:left w:val="nil"/>
              <w:bottom w:val="nil"/>
            </w:tcBorders>
          </w:tcPr>
          <w:p w14:paraId="365EC23D" w14:textId="77777777" w:rsidR="00D86764" w:rsidRPr="007E3B4E" w:rsidRDefault="00D86764" w:rsidP="00654447">
            <w:pPr>
              <w:jc w:val="left"/>
              <w:rPr>
                <w:rFonts w:eastAsia="Times New Roman"/>
                <w:noProof/>
                <w:highlight w:val="yellow"/>
              </w:rPr>
            </w:pPr>
            <w:r w:rsidRPr="007E3B4E">
              <w:t>9c. cikk</w:t>
            </w:r>
          </w:p>
        </w:tc>
        <w:tc>
          <w:tcPr>
            <w:tcW w:w="4674" w:type="dxa"/>
            <w:tcBorders>
              <w:top w:val="nil"/>
              <w:bottom w:val="nil"/>
              <w:right w:val="nil"/>
            </w:tcBorders>
          </w:tcPr>
          <w:p w14:paraId="6C4E7D2B" w14:textId="77777777" w:rsidR="00D86764" w:rsidRPr="007E3B4E" w:rsidRDefault="00D86764" w:rsidP="00654447">
            <w:pPr>
              <w:jc w:val="left"/>
              <w:rPr>
                <w:rFonts w:eastAsia="Times New Roman"/>
                <w:noProof/>
                <w:highlight w:val="yellow"/>
              </w:rPr>
            </w:pPr>
            <w:r w:rsidRPr="007E3B4E">
              <w:t>15. cikk</w:t>
            </w:r>
          </w:p>
        </w:tc>
      </w:tr>
      <w:tr w:rsidR="00D86764" w:rsidRPr="007E3B4E" w14:paraId="564CBD0C" w14:textId="77777777" w:rsidTr="00654447">
        <w:tc>
          <w:tcPr>
            <w:tcW w:w="4674" w:type="dxa"/>
            <w:tcBorders>
              <w:top w:val="nil"/>
              <w:left w:val="nil"/>
              <w:bottom w:val="nil"/>
            </w:tcBorders>
          </w:tcPr>
          <w:p w14:paraId="0F034F68" w14:textId="77777777" w:rsidR="00D86764" w:rsidRPr="007E3B4E" w:rsidRDefault="00D86764" w:rsidP="00654447">
            <w:pPr>
              <w:jc w:val="left"/>
              <w:rPr>
                <w:rFonts w:eastAsia="Times New Roman"/>
                <w:noProof/>
                <w:highlight w:val="yellow"/>
              </w:rPr>
            </w:pPr>
            <w:r w:rsidRPr="007E3B4E">
              <w:t>10. cikk</w:t>
            </w:r>
          </w:p>
        </w:tc>
        <w:tc>
          <w:tcPr>
            <w:tcW w:w="4674" w:type="dxa"/>
            <w:tcBorders>
              <w:top w:val="nil"/>
              <w:bottom w:val="nil"/>
              <w:right w:val="nil"/>
            </w:tcBorders>
          </w:tcPr>
          <w:p w14:paraId="0D0A1177" w14:textId="77777777" w:rsidR="00D86764" w:rsidRPr="007E3B4E" w:rsidRDefault="00D86764" w:rsidP="00654447">
            <w:pPr>
              <w:jc w:val="left"/>
              <w:rPr>
                <w:rFonts w:eastAsia="Times New Roman"/>
                <w:noProof/>
                <w:highlight w:val="yellow"/>
              </w:rPr>
            </w:pPr>
            <w:r w:rsidRPr="007E3B4E">
              <w:t>16. cikk</w:t>
            </w:r>
          </w:p>
        </w:tc>
      </w:tr>
      <w:tr w:rsidR="00D86764" w:rsidRPr="007E3B4E" w14:paraId="7707E401" w14:textId="77777777" w:rsidTr="00654447">
        <w:tc>
          <w:tcPr>
            <w:tcW w:w="4674" w:type="dxa"/>
            <w:tcBorders>
              <w:top w:val="nil"/>
              <w:left w:val="nil"/>
              <w:bottom w:val="nil"/>
            </w:tcBorders>
          </w:tcPr>
          <w:p w14:paraId="58FD65C0" w14:textId="77777777" w:rsidR="00D86764" w:rsidRPr="007E3B4E" w:rsidRDefault="00D86764" w:rsidP="00654447">
            <w:pPr>
              <w:jc w:val="left"/>
              <w:rPr>
                <w:rFonts w:eastAsia="Times New Roman"/>
                <w:noProof/>
                <w:highlight w:val="yellow"/>
              </w:rPr>
            </w:pPr>
            <w:r w:rsidRPr="007E3B4E">
              <w:t>10a. cikk</w:t>
            </w:r>
          </w:p>
        </w:tc>
        <w:tc>
          <w:tcPr>
            <w:tcW w:w="4674" w:type="dxa"/>
            <w:tcBorders>
              <w:top w:val="nil"/>
              <w:bottom w:val="nil"/>
              <w:right w:val="nil"/>
            </w:tcBorders>
          </w:tcPr>
          <w:p w14:paraId="0C356247" w14:textId="77777777" w:rsidR="00D86764" w:rsidRPr="007E3B4E" w:rsidRDefault="00D86764" w:rsidP="00654447">
            <w:pPr>
              <w:jc w:val="left"/>
              <w:rPr>
                <w:rFonts w:eastAsia="Times New Roman"/>
                <w:noProof/>
                <w:highlight w:val="yellow"/>
              </w:rPr>
            </w:pPr>
            <w:r w:rsidRPr="007E3B4E">
              <w:t>17. cikk</w:t>
            </w:r>
          </w:p>
        </w:tc>
      </w:tr>
      <w:tr w:rsidR="00D86764" w:rsidRPr="007E3B4E" w14:paraId="2DF145EE" w14:textId="77777777" w:rsidTr="00654447">
        <w:tc>
          <w:tcPr>
            <w:tcW w:w="4674" w:type="dxa"/>
            <w:tcBorders>
              <w:top w:val="nil"/>
              <w:left w:val="nil"/>
              <w:bottom w:val="nil"/>
            </w:tcBorders>
          </w:tcPr>
          <w:p w14:paraId="04C2ECA2" w14:textId="77777777" w:rsidR="00D86764" w:rsidRPr="007E3B4E" w:rsidRDefault="00D86764" w:rsidP="00654447">
            <w:pPr>
              <w:jc w:val="left"/>
              <w:rPr>
                <w:rFonts w:eastAsia="Times New Roman"/>
                <w:noProof/>
                <w:highlight w:val="yellow"/>
              </w:rPr>
            </w:pPr>
            <w:r w:rsidRPr="007E3B4E">
              <w:t>11. cikk</w:t>
            </w:r>
          </w:p>
        </w:tc>
        <w:tc>
          <w:tcPr>
            <w:tcW w:w="4674" w:type="dxa"/>
            <w:tcBorders>
              <w:top w:val="nil"/>
              <w:bottom w:val="nil"/>
              <w:right w:val="nil"/>
            </w:tcBorders>
          </w:tcPr>
          <w:p w14:paraId="44FCB67A" w14:textId="77777777" w:rsidR="00D86764" w:rsidRPr="007E3B4E" w:rsidRDefault="00D86764" w:rsidP="00654447">
            <w:pPr>
              <w:jc w:val="left"/>
              <w:rPr>
                <w:rFonts w:eastAsia="Times New Roman"/>
                <w:noProof/>
                <w:highlight w:val="yellow"/>
              </w:rPr>
            </w:pPr>
            <w:r w:rsidRPr="007E3B4E">
              <w:t>18. cikk</w:t>
            </w:r>
          </w:p>
        </w:tc>
      </w:tr>
      <w:tr w:rsidR="00D86764" w:rsidRPr="007E3B4E" w14:paraId="01C2A405" w14:textId="77777777" w:rsidTr="00654447">
        <w:tc>
          <w:tcPr>
            <w:tcW w:w="4674" w:type="dxa"/>
            <w:tcBorders>
              <w:top w:val="nil"/>
              <w:left w:val="nil"/>
              <w:bottom w:val="nil"/>
            </w:tcBorders>
          </w:tcPr>
          <w:p w14:paraId="1C148C9C" w14:textId="77777777" w:rsidR="00D86764" w:rsidRPr="007E3B4E" w:rsidRDefault="00D86764" w:rsidP="00654447">
            <w:pPr>
              <w:jc w:val="left"/>
              <w:rPr>
                <w:rFonts w:eastAsia="Times New Roman"/>
                <w:noProof/>
                <w:highlight w:val="yellow"/>
              </w:rPr>
            </w:pPr>
            <w:r w:rsidRPr="007E3B4E">
              <w:t>11a. cikk</w:t>
            </w:r>
          </w:p>
        </w:tc>
        <w:tc>
          <w:tcPr>
            <w:tcW w:w="4674" w:type="dxa"/>
            <w:tcBorders>
              <w:top w:val="nil"/>
              <w:bottom w:val="nil"/>
              <w:right w:val="nil"/>
            </w:tcBorders>
          </w:tcPr>
          <w:p w14:paraId="5B630BA5" w14:textId="77777777" w:rsidR="00D86764" w:rsidRPr="007E3B4E" w:rsidRDefault="00D86764" w:rsidP="00654447">
            <w:pPr>
              <w:jc w:val="left"/>
              <w:rPr>
                <w:rFonts w:eastAsia="Times New Roman"/>
                <w:noProof/>
                <w:highlight w:val="yellow"/>
              </w:rPr>
            </w:pPr>
            <w:r w:rsidRPr="007E3B4E">
              <w:t>19. cikk</w:t>
            </w:r>
          </w:p>
        </w:tc>
      </w:tr>
      <w:tr w:rsidR="00D86764" w:rsidRPr="007E3B4E" w14:paraId="330E7F26" w14:textId="77777777" w:rsidTr="00654447">
        <w:tc>
          <w:tcPr>
            <w:tcW w:w="4674" w:type="dxa"/>
            <w:tcBorders>
              <w:top w:val="nil"/>
              <w:left w:val="nil"/>
              <w:bottom w:val="nil"/>
            </w:tcBorders>
          </w:tcPr>
          <w:p w14:paraId="231AF696"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C7296C2" w14:textId="77777777" w:rsidR="00D86764" w:rsidRPr="007E3B4E" w:rsidRDefault="00D86764" w:rsidP="00654447">
            <w:pPr>
              <w:jc w:val="left"/>
              <w:rPr>
                <w:rFonts w:eastAsia="Times New Roman"/>
                <w:noProof/>
                <w:highlight w:val="yellow"/>
              </w:rPr>
            </w:pPr>
            <w:r w:rsidRPr="007E3B4E">
              <w:t>20. cikk</w:t>
            </w:r>
          </w:p>
        </w:tc>
      </w:tr>
      <w:tr w:rsidR="00D86764" w:rsidRPr="007E3B4E" w14:paraId="1A26AF8E" w14:textId="77777777" w:rsidTr="00654447">
        <w:tc>
          <w:tcPr>
            <w:tcW w:w="4674" w:type="dxa"/>
            <w:tcBorders>
              <w:top w:val="nil"/>
              <w:left w:val="nil"/>
              <w:bottom w:val="nil"/>
            </w:tcBorders>
          </w:tcPr>
          <w:p w14:paraId="4E309325"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3889D114" w14:textId="77777777" w:rsidR="00D86764" w:rsidRPr="007E3B4E" w:rsidRDefault="00D86764" w:rsidP="00654447">
            <w:pPr>
              <w:jc w:val="left"/>
              <w:rPr>
                <w:rFonts w:eastAsia="Times New Roman"/>
                <w:noProof/>
                <w:highlight w:val="yellow"/>
              </w:rPr>
            </w:pPr>
            <w:r w:rsidRPr="007E3B4E">
              <w:t>21. cikk, (1) bekezdés</w:t>
            </w:r>
          </w:p>
        </w:tc>
      </w:tr>
      <w:tr w:rsidR="00D86764" w:rsidRPr="007E3B4E" w14:paraId="4F3AE518" w14:textId="77777777" w:rsidTr="00654447">
        <w:tc>
          <w:tcPr>
            <w:tcW w:w="4674" w:type="dxa"/>
            <w:tcBorders>
              <w:top w:val="nil"/>
              <w:left w:val="nil"/>
              <w:bottom w:val="nil"/>
            </w:tcBorders>
          </w:tcPr>
          <w:p w14:paraId="59299268" w14:textId="77777777" w:rsidR="00D86764" w:rsidRPr="007E3B4E" w:rsidRDefault="00D86764" w:rsidP="00654447">
            <w:pPr>
              <w:jc w:val="left"/>
              <w:rPr>
                <w:rFonts w:eastAsia="Times New Roman"/>
                <w:noProof/>
                <w:highlight w:val="yellow"/>
              </w:rPr>
            </w:pPr>
            <w:r w:rsidRPr="007E3B4E">
              <w:t>12. cikk, (1) bekezdés</w:t>
            </w:r>
          </w:p>
        </w:tc>
        <w:tc>
          <w:tcPr>
            <w:tcW w:w="4674" w:type="dxa"/>
            <w:tcBorders>
              <w:top w:val="nil"/>
              <w:bottom w:val="nil"/>
              <w:right w:val="nil"/>
            </w:tcBorders>
          </w:tcPr>
          <w:p w14:paraId="2AE285FC" w14:textId="77777777" w:rsidR="00D86764" w:rsidRPr="007E3B4E" w:rsidRDefault="00D86764" w:rsidP="00654447">
            <w:pPr>
              <w:jc w:val="left"/>
              <w:rPr>
                <w:rFonts w:eastAsia="Times New Roman"/>
                <w:noProof/>
                <w:highlight w:val="yellow"/>
              </w:rPr>
            </w:pPr>
            <w:r w:rsidRPr="007E3B4E">
              <w:t>21. cikk, (2) bekezdés</w:t>
            </w:r>
          </w:p>
        </w:tc>
      </w:tr>
      <w:tr w:rsidR="00D86764" w:rsidRPr="007E3B4E" w14:paraId="155270C5" w14:textId="77777777" w:rsidTr="00654447">
        <w:tc>
          <w:tcPr>
            <w:tcW w:w="4674" w:type="dxa"/>
            <w:tcBorders>
              <w:top w:val="nil"/>
              <w:left w:val="nil"/>
              <w:bottom w:val="nil"/>
            </w:tcBorders>
          </w:tcPr>
          <w:p w14:paraId="2173ADAD" w14:textId="77777777" w:rsidR="00D86764" w:rsidRPr="007E3B4E" w:rsidRDefault="00D86764" w:rsidP="00654447">
            <w:pPr>
              <w:jc w:val="left"/>
              <w:rPr>
                <w:rFonts w:eastAsia="Times New Roman"/>
                <w:noProof/>
                <w:highlight w:val="yellow"/>
              </w:rPr>
            </w:pPr>
            <w:r w:rsidRPr="007E3B4E">
              <w:t>12. cikk, (2) bekezdés, bevezető szöveg, valamint a) pont, i–v. alpont</w:t>
            </w:r>
          </w:p>
        </w:tc>
        <w:tc>
          <w:tcPr>
            <w:tcW w:w="4674" w:type="dxa"/>
            <w:tcBorders>
              <w:top w:val="nil"/>
              <w:bottom w:val="nil"/>
              <w:right w:val="nil"/>
            </w:tcBorders>
          </w:tcPr>
          <w:p w14:paraId="6DDA8529" w14:textId="77777777" w:rsidR="00D86764" w:rsidRPr="007E3B4E" w:rsidRDefault="00D86764" w:rsidP="00654447">
            <w:pPr>
              <w:jc w:val="left"/>
              <w:rPr>
                <w:rFonts w:eastAsia="Times New Roman"/>
                <w:noProof/>
              </w:rPr>
            </w:pPr>
            <w:r w:rsidRPr="007E3B4E">
              <w:t>21. cikk, (2) bekezdés, második albekezdés, i–v. alpont</w:t>
            </w:r>
          </w:p>
          <w:p w14:paraId="73336263" w14:textId="77777777" w:rsidR="00D86764" w:rsidRPr="007E3B4E" w:rsidRDefault="00D86764" w:rsidP="00654447">
            <w:pPr>
              <w:jc w:val="left"/>
              <w:rPr>
                <w:rFonts w:eastAsia="Times New Roman"/>
                <w:noProof/>
                <w:highlight w:val="yellow"/>
              </w:rPr>
            </w:pPr>
            <w:r w:rsidRPr="007E3B4E">
              <w:t>21. cikk, (2) bekezdés, második albekezdés, vi. alpont</w:t>
            </w:r>
          </w:p>
        </w:tc>
      </w:tr>
      <w:tr w:rsidR="00D86764" w:rsidRPr="007E3B4E" w14:paraId="2884EFF4" w14:textId="77777777" w:rsidTr="00654447">
        <w:tc>
          <w:tcPr>
            <w:tcW w:w="4674" w:type="dxa"/>
            <w:tcBorders>
              <w:top w:val="nil"/>
              <w:left w:val="nil"/>
              <w:bottom w:val="nil"/>
            </w:tcBorders>
          </w:tcPr>
          <w:p w14:paraId="16BCF256" w14:textId="77777777" w:rsidR="00D86764" w:rsidRPr="007E3B4E" w:rsidRDefault="00D86764" w:rsidP="00654447">
            <w:pPr>
              <w:jc w:val="left"/>
              <w:rPr>
                <w:rFonts w:eastAsia="Times New Roman"/>
                <w:noProof/>
                <w:highlight w:val="yellow"/>
              </w:rPr>
            </w:pPr>
            <w:r w:rsidRPr="007E3B4E">
              <w:t>12. cikk, (2) bekezdés, b) pont</w:t>
            </w:r>
          </w:p>
        </w:tc>
        <w:tc>
          <w:tcPr>
            <w:tcW w:w="4674" w:type="dxa"/>
            <w:tcBorders>
              <w:top w:val="nil"/>
              <w:bottom w:val="nil"/>
              <w:right w:val="nil"/>
            </w:tcBorders>
          </w:tcPr>
          <w:p w14:paraId="69A98CA1" w14:textId="77777777" w:rsidR="00D86764" w:rsidRPr="007E3B4E" w:rsidRDefault="00D86764" w:rsidP="00654447">
            <w:pPr>
              <w:jc w:val="left"/>
              <w:rPr>
                <w:rFonts w:eastAsia="Times New Roman"/>
                <w:noProof/>
                <w:highlight w:val="yellow"/>
              </w:rPr>
            </w:pPr>
            <w:r w:rsidRPr="007E3B4E">
              <w:t>21. cikk, (2) bekezdés, harmadik albekezdés</w:t>
            </w:r>
          </w:p>
        </w:tc>
      </w:tr>
      <w:tr w:rsidR="00D86764" w:rsidRPr="007E3B4E" w14:paraId="67663096" w14:textId="77777777" w:rsidTr="00654447">
        <w:tc>
          <w:tcPr>
            <w:tcW w:w="4674" w:type="dxa"/>
            <w:tcBorders>
              <w:top w:val="nil"/>
              <w:left w:val="nil"/>
              <w:bottom w:val="nil"/>
            </w:tcBorders>
          </w:tcPr>
          <w:p w14:paraId="0EF639F6"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171A4F70" w14:textId="77777777" w:rsidR="00D86764" w:rsidRPr="007E3B4E" w:rsidRDefault="00D86764" w:rsidP="00654447">
            <w:pPr>
              <w:jc w:val="left"/>
              <w:rPr>
                <w:rFonts w:eastAsia="Times New Roman"/>
                <w:noProof/>
                <w:highlight w:val="yellow"/>
              </w:rPr>
            </w:pPr>
            <w:r w:rsidRPr="007E3B4E">
              <w:t>21. cikk, (2) bekezdés, harmadik albekezdés, i. pont</w:t>
            </w:r>
          </w:p>
        </w:tc>
      </w:tr>
      <w:tr w:rsidR="00D86764" w:rsidRPr="007E3B4E" w14:paraId="464CEB46" w14:textId="77777777" w:rsidTr="00654447">
        <w:tc>
          <w:tcPr>
            <w:tcW w:w="4674" w:type="dxa"/>
            <w:tcBorders>
              <w:top w:val="nil"/>
              <w:left w:val="nil"/>
              <w:bottom w:val="nil"/>
            </w:tcBorders>
          </w:tcPr>
          <w:p w14:paraId="5662CD79" w14:textId="77777777" w:rsidR="00D86764" w:rsidRPr="007E3B4E" w:rsidRDefault="00D86764" w:rsidP="00654447">
            <w:pPr>
              <w:jc w:val="left"/>
              <w:rPr>
                <w:rFonts w:eastAsia="Times New Roman"/>
                <w:noProof/>
              </w:rPr>
            </w:pPr>
            <w:r w:rsidRPr="007E3B4E">
              <w:t>12. cikk, (2) bekezdés, b) pont, i. és ii. alpont</w:t>
            </w:r>
          </w:p>
        </w:tc>
        <w:tc>
          <w:tcPr>
            <w:tcW w:w="4674" w:type="dxa"/>
            <w:tcBorders>
              <w:top w:val="nil"/>
              <w:bottom w:val="nil"/>
              <w:right w:val="nil"/>
            </w:tcBorders>
          </w:tcPr>
          <w:p w14:paraId="277172C6" w14:textId="77777777" w:rsidR="00D86764" w:rsidRPr="007E3B4E" w:rsidRDefault="00D86764" w:rsidP="00654447">
            <w:pPr>
              <w:jc w:val="left"/>
              <w:rPr>
                <w:rFonts w:eastAsia="Times New Roman"/>
                <w:noProof/>
              </w:rPr>
            </w:pPr>
            <w:r w:rsidRPr="007E3B4E">
              <w:t>21. cikk, (2) bekezdés, harmadik albekezdés, ii. és iii. pont</w:t>
            </w:r>
          </w:p>
        </w:tc>
      </w:tr>
      <w:tr w:rsidR="00D86764" w:rsidRPr="007E3B4E" w14:paraId="667C0648" w14:textId="77777777" w:rsidTr="00654447">
        <w:tc>
          <w:tcPr>
            <w:tcW w:w="4674" w:type="dxa"/>
            <w:tcBorders>
              <w:top w:val="nil"/>
              <w:left w:val="nil"/>
              <w:bottom w:val="nil"/>
            </w:tcBorders>
          </w:tcPr>
          <w:p w14:paraId="0FEAB200"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39BB6E1C" w14:textId="77777777" w:rsidR="00D86764" w:rsidRPr="007E3B4E" w:rsidRDefault="00D86764" w:rsidP="00654447">
            <w:pPr>
              <w:jc w:val="left"/>
              <w:rPr>
                <w:rFonts w:eastAsia="Times New Roman"/>
                <w:noProof/>
                <w:highlight w:val="yellow"/>
              </w:rPr>
            </w:pPr>
            <w:r w:rsidRPr="007E3B4E">
              <w:t>21. cikk, (2) bekezdés, harmadik albekezdés, iv. pont</w:t>
            </w:r>
          </w:p>
        </w:tc>
      </w:tr>
      <w:tr w:rsidR="00D86764" w:rsidRPr="007E3B4E" w14:paraId="40A27937" w14:textId="77777777" w:rsidTr="00654447">
        <w:tc>
          <w:tcPr>
            <w:tcW w:w="4674" w:type="dxa"/>
            <w:tcBorders>
              <w:top w:val="nil"/>
              <w:left w:val="nil"/>
              <w:bottom w:val="nil"/>
            </w:tcBorders>
          </w:tcPr>
          <w:p w14:paraId="3F09D764"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7798EBFE" w14:textId="77777777" w:rsidR="00D86764" w:rsidRPr="007E3B4E" w:rsidRDefault="00D86764" w:rsidP="00654447">
            <w:pPr>
              <w:jc w:val="left"/>
              <w:rPr>
                <w:rFonts w:eastAsia="Times New Roman"/>
                <w:noProof/>
              </w:rPr>
            </w:pPr>
            <w:r w:rsidRPr="007E3B4E">
              <w:t>21. cikk, (4) bekezdés</w:t>
            </w:r>
          </w:p>
        </w:tc>
      </w:tr>
      <w:tr w:rsidR="00D86764" w:rsidRPr="007E3B4E" w14:paraId="3505DD3C" w14:textId="77777777" w:rsidTr="00654447">
        <w:tc>
          <w:tcPr>
            <w:tcW w:w="4674" w:type="dxa"/>
            <w:tcBorders>
              <w:top w:val="nil"/>
              <w:left w:val="nil"/>
              <w:bottom w:val="nil"/>
            </w:tcBorders>
          </w:tcPr>
          <w:p w14:paraId="34111C41"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0F75CB53" w14:textId="77777777" w:rsidR="00D86764" w:rsidRPr="007E3B4E" w:rsidRDefault="00D86764" w:rsidP="00654447">
            <w:pPr>
              <w:jc w:val="left"/>
              <w:rPr>
                <w:rFonts w:eastAsia="Times New Roman"/>
                <w:noProof/>
              </w:rPr>
            </w:pPr>
            <w:r w:rsidRPr="007E3B4E">
              <w:t>21. cikk, (5) bekezdés, harmadik és negyedik albekezdés</w:t>
            </w:r>
          </w:p>
        </w:tc>
      </w:tr>
      <w:tr w:rsidR="00D86764" w:rsidRPr="007E3B4E" w14:paraId="6194E225" w14:textId="77777777" w:rsidTr="00654447">
        <w:tc>
          <w:tcPr>
            <w:tcW w:w="4674" w:type="dxa"/>
            <w:tcBorders>
              <w:top w:val="nil"/>
              <w:left w:val="nil"/>
              <w:bottom w:val="nil"/>
            </w:tcBorders>
          </w:tcPr>
          <w:p w14:paraId="3D051579"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07159229" w14:textId="77777777" w:rsidR="00D86764" w:rsidRPr="007E3B4E" w:rsidRDefault="00D86764" w:rsidP="00654447">
            <w:pPr>
              <w:jc w:val="left"/>
              <w:rPr>
                <w:rFonts w:eastAsia="Times New Roman"/>
                <w:noProof/>
                <w:highlight w:val="yellow"/>
              </w:rPr>
            </w:pPr>
            <w:r w:rsidRPr="007E3B4E">
              <w:t>22. cikk</w:t>
            </w:r>
          </w:p>
        </w:tc>
      </w:tr>
      <w:tr w:rsidR="00D86764" w:rsidRPr="007E3B4E" w14:paraId="0D57EEDA" w14:textId="77777777" w:rsidTr="00654447">
        <w:tc>
          <w:tcPr>
            <w:tcW w:w="4674" w:type="dxa"/>
            <w:tcBorders>
              <w:top w:val="nil"/>
              <w:left w:val="nil"/>
              <w:bottom w:val="nil"/>
            </w:tcBorders>
          </w:tcPr>
          <w:p w14:paraId="27B48893" w14:textId="77777777" w:rsidR="00D86764" w:rsidRPr="007E3B4E" w:rsidRDefault="00D86764" w:rsidP="00654447">
            <w:pPr>
              <w:jc w:val="left"/>
              <w:rPr>
                <w:rFonts w:eastAsia="Times New Roman"/>
                <w:noProof/>
                <w:highlight w:val="yellow"/>
              </w:rPr>
            </w:pPr>
            <w:r w:rsidRPr="007E3B4E">
              <w:t>13. cikk</w:t>
            </w:r>
          </w:p>
        </w:tc>
        <w:tc>
          <w:tcPr>
            <w:tcW w:w="4674" w:type="dxa"/>
            <w:tcBorders>
              <w:top w:val="nil"/>
              <w:bottom w:val="nil"/>
              <w:right w:val="nil"/>
            </w:tcBorders>
          </w:tcPr>
          <w:p w14:paraId="53E82ECA" w14:textId="77777777" w:rsidR="00D86764" w:rsidRPr="007E3B4E" w:rsidRDefault="00D86764" w:rsidP="00654447">
            <w:pPr>
              <w:jc w:val="left"/>
              <w:rPr>
                <w:rFonts w:eastAsia="Times New Roman"/>
                <w:noProof/>
                <w:highlight w:val="yellow"/>
              </w:rPr>
            </w:pPr>
            <w:r w:rsidRPr="007E3B4E">
              <w:t>30. cikk</w:t>
            </w:r>
          </w:p>
        </w:tc>
      </w:tr>
      <w:tr w:rsidR="00D86764" w:rsidRPr="007E3B4E" w14:paraId="09671310" w14:textId="77777777" w:rsidTr="00654447">
        <w:tc>
          <w:tcPr>
            <w:tcW w:w="4674" w:type="dxa"/>
            <w:tcBorders>
              <w:top w:val="nil"/>
              <w:left w:val="nil"/>
              <w:bottom w:val="nil"/>
            </w:tcBorders>
          </w:tcPr>
          <w:p w14:paraId="0172D127" w14:textId="77777777" w:rsidR="00D86764" w:rsidRPr="007E3B4E" w:rsidRDefault="00D86764" w:rsidP="00654447">
            <w:pPr>
              <w:jc w:val="left"/>
              <w:rPr>
                <w:rFonts w:eastAsia="Times New Roman"/>
                <w:noProof/>
                <w:highlight w:val="yellow"/>
              </w:rPr>
            </w:pPr>
            <w:r w:rsidRPr="007E3B4E">
              <w:t>14. cikk, (1) és (2) bekezdés</w:t>
            </w:r>
          </w:p>
        </w:tc>
        <w:tc>
          <w:tcPr>
            <w:tcW w:w="4674" w:type="dxa"/>
            <w:tcBorders>
              <w:top w:val="nil"/>
              <w:bottom w:val="nil"/>
              <w:right w:val="nil"/>
            </w:tcBorders>
          </w:tcPr>
          <w:p w14:paraId="2CCE823C" w14:textId="77777777" w:rsidR="00D86764" w:rsidRPr="007E3B4E" w:rsidRDefault="00D86764" w:rsidP="00654447">
            <w:pPr>
              <w:jc w:val="left"/>
              <w:rPr>
                <w:rFonts w:eastAsia="Times New Roman"/>
                <w:noProof/>
                <w:highlight w:val="yellow"/>
              </w:rPr>
            </w:pPr>
            <w:r w:rsidRPr="007E3B4E">
              <w:t>–</w:t>
            </w:r>
          </w:p>
        </w:tc>
      </w:tr>
      <w:tr w:rsidR="00D86764" w:rsidRPr="007E3B4E" w14:paraId="16335DD2" w14:textId="77777777" w:rsidTr="00654447">
        <w:tc>
          <w:tcPr>
            <w:tcW w:w="4674" w:type="dxa"/>
            <w:tcBorders>
              <w:top w:val="nil"/>
              <w:left w:val="nil"/>
              <w:bottom w:val="nil"/>
            </w:tcBorders>
          </w:tcPr>
          <w:p w14:paraId="525314EE"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856D4ED" w14:textId="77777777" w:rsidR="00D86764" w:rsidRPr="007E3B4E" w:rsidRDefault="00D86764" w:rsidP="00654447">
            <w:pPr>
              <w:jc w:val="left"/>
              <w:rPr>
                <w:rFonts w:eastAsia="Times New Roman"/>
                <w:noProof/>
                <w:highlight w:val="yellow"/>
              </w:rPr>
            </w:pPr>
            <w:r w:rsidRPr="007E3B4E">
              <w:t>23. cikk, (1) és (2) bekezdés</w:t>
            </w:r>
          </w:p>
        </w:tc>
      </w:tr>
      <w:tr w:rsidR="00D86764" w:rsidRPr="007E3B4E" w14:paraId="2D1C6A23" w14:textId="77777777" w:rsidTr="00654447">
        <w:tc>
          <w:tcPr>
            <w:tcW w:w="4674" w:type="dxa"/>
            <w:tcBorders>
              <w:top w:val="nil"/>
              <w:left w:val="nil"/>
              <w:bottom w:val="nil"/>
            </w:tcBorders>
          </w:tcPr>
          <w:p w14:paraId="4BA2ECF9" w14:textId="77777777" w:rsidR="00D86764" w:rsidRPr="007E3B4E" w:rsidRDefault="00D86764" w:rsidP="00654447">
            <w:pPr>
              <w:jc w:val="left"/>
              <w:rPr>
                <w:rFonts w:eastAsia="Times New Roman"/>
                <w:noProof/>
                <w:highlight w:val="yellow"/>
              </w:rPr>
            </w:pPr>
            <w:r w:rsidRPr="007E3B4E">
              <w:t>14. cikk, (3) bekezdés</w:t>
            </w:r>
          </w:p>
        </w:tc>
        <w:tc>
          <w:tcPr>
            <w:tcW w:w="4674" w:type="dxa"/>
            <w:tcBorders>
              <w:top w:val="nil"/>
              <w:bottom w:val="nil"/>
              <w:right w:val="nil"/>
            </w:tcBorders>
          </w:tcPr>
          <w:p w14:paraId="4469E253" w14:textId="77777777" w:rsidR="00D86764" w:rsidRPr="007E3B4E" w:rsidRDefault="00D86764" w:rsidP="00654447">
            <w:pPr>
              <w:jc w:val="left"/>
              <w:rPr>
                <w:rFonts w:eastAsia="Times New Roman"/>
                <w:noProof/>
                <w:highlight w:val="yellow"/>
              </w:rPr>
            </w:pPr>
            <w:r w:rsidRPr="007E3B4E">
              <w:t>23. cikk, (3) bekezdés, első albekezdés</w:t>
            </w:r>
          </w:p>
        </w:tc>
      </w:tr>
      <w:tr w:rsidR="00D86764" w:rsidRPr="007E3B4E" w14:paraId="46A55030" w14:textId="77777777" w:rsidTr="00654447">
        <w:tc>
          <w:tcPr>
            <w:tcW w:w="4674" w:type="dxa"/>
            <w:tcBorders>
              <w:top w:val="nil"/>
              <w:left w:val="nil"/>
              <w:bottom w:val="nil"/>
            </w:tcBorders>
          </w:tcPr>
          <w:p w14:paraId="36208E57"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1A018057" w14:textId="77777777" w:rsidR="00D86764" w:rsidRPr="007E3B4E" w:rsidRDefault="00D86764" w:rsidP="00654447">
            <w:pPr>
              <w:jc w:val="left"/>
              <w:rPr>
                <w:rFonts w:eastAsia="Times New Roman"/>
                <w:noProof/>
                <w:highlight w:val="yellow"/>
              </w:rPr>
            </w:pPr>
            <w:r w:rsidRPr="007E3B4E">
              <w:t>23. cikk, (3) bekezdés, második albekezdés</w:t>
            </w:r>
          </w:p>
        </w:tc>
      </w:tr>
      <w:tr w:rsidR="00D86764" w:rsidRPr="007E3B4E" w14:paraId="6C72B8B7" w14:textId="77777777" w:rsidTr="00654447">
        <w:tc>
          <w:tcPr>
            <w:tcW w:w="4674" w:type="dxa"/>
            <w:tcBorders>
              <w:top w:val="nil"/>
              <w:left w:val="nil"/>
              <w:bottom w:val="nil"/>
            </w:tcBorders>
          </w:tcPr>
          <w:p w14:paraId="4F021F52" w14:textId="77777777" w:rsidR="00D86764" w:rsidRPr="007E3B4E" w:rsidRDefault="00D86764" w:rsidP="00654447">
            <w:pPr>
              <w:jc w:val="left"/>
              <w:rPr>
                <w:rFonts w:eastAsia="Times New Roman"/>
                <w:noProof/>
                <w:highlight w:val="yellow"/>
              </w:rPr>
            </w:pPr>
            <w:r w:rsidRPr="007E3B4E">
              <w:t>14. cikk, (4) bekezdés</w:t>
            </w:r>
          </w:p>
        </w:tc>
        <w:tc>
          <w:tcPr>
            <w:tcW w:w="4674" w:type="dxa"/>
            <w:tcBorders>
              <w:top w:val="nil"/>
              <w:bottom w:val="nil"/>
              <w:right w:val="nil"/>
            </w:tcBorders>
          </w:tcPr>
          <w:p w14:paraId="1F787D7C" w14:textId="77777777" w:rsidR="00D86764" w:rsidRPr="007E3B4E" w:rsidRDefault="00D86764" w:rsidP="00654447">
            <w:pPr>
              <w:jc w:val="left"/>
              <w:rPr>
                <w:rFonts w:eastAsia="Times New Roman"/>
                <w:noProof/>
                <w:highlight w:val="yellow"/>
              </w:rPr>
            </w:pPr>
            <w:r w:rsidRPr="007E3B4E">
              <w:t>23. cikk, (4) bekezdés</w:t>
            </w:r>
          </w:p>
        </w:tc>
      </w:tr>
      <w:tr w:rsidR="00D86764" w:rsidRPr="007E3B4E" w14:paraId="6531366C" w14:textId="77777777" w:rsidTr="00654447">
        <w:tc>
          <w:tcPr>
            <w:tcW w:w="4674" w:type="dxa"/>
            <w:tcBorders>
              <w:top w:val="nil"/>
              <w:left w:val="nil"/>
              <w:bottom w:val="nil"/>
            </w:tcBorders>
          </w:tcPr>
          <w:p w14:paraId="082526F1"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145392BE" w14:textId="77777777" w:rsidR="00D86764" w:rsidRPr="007E3B4E" w:rsidRDefault="00D86764" w:rsidP="00654447">
            <w:pPr>
              <w:jc w:val="left"/>
              <w:rPr>
                <w:rFonts w:eastAsia="Times New Roman"/>
                <w:noProof/>
                <w:highlight w:val="yellow"/>
              </w:rPr>
            </w:pPr>
            <w:r w:rsidRPr="007E3B4E">
              <w:t>23. cikk, (5) és (6) bekezdés</w:t>
            </w:r>
          </w:p>
        </w:tc>
      </w:tr>
      <w:tr w:rsidR="00D86764" w:rsidRPr="007E3B4E" w14:paraId="2AEAFBE6" w14:textId="77777777" w:rsidTr="00654447">
        <w:tc>
          <w:tcPr>
            <w:tcW w:w="4674" w:type="dxa"/>
            <w:tcBorders>
              <w:top w:val="nil"/>
              <w:left w:val="nil"/>
              <w:bottom w:val="nil"/>
            </w:tcBorders>
          </w:tcPr>
          <w:p w14:paraId="2C01BE4D"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9EE6D7B" w14:textId="77777777" w:rsidR="00D86764" w:rsidRPr="007E3B4E" w:rsidRDefault="00D86764" w:rsidP="00654447">
            <w:pPr>
              <w:jc w:val="left"/>
              <w:rPr>
                <w:rFonts w:eastAsia="Times New Roman"/>
                <w:noProof/>
                <w:highlight w:val="yellow"/>
              </w:rPr>
            </w:pPr>
            <w:r w:rsidRPr="007E3B4E">
              <w:t>24. cikk, (1), (2) és (3) bekezdés</w:t>
            </w:r>
          </w:p>
        </w:tc>
      </w:tr>
      <w:tr w:rsidR="00D86764" w:rsidRPr="007E3B4E" w14:paraId="5F549A97" w14:textId="77777777" w:rsidTr="00654447">
        <w:tc>
          <w:tcPr>
            <w:tcW w:w="4674" w:type="dxa"/>
            <w:tcBorders>
              <w:top w:val="nil"/>
              <w:left w:val="nil"/>
              <w:bottom w:val="nil"/>
            </w:tcBorders>
          </w:tcPr>
          <w:p w14:paraId="13CE75D5" w14:textId="77777777" w:rsidR="00D86764" w:rsidRPr="007E3B4E" w:rsidRDefault="00D86764" w:rsidP="00654447">
            <w:pPr>
              <w:jc w:val="left"/>
              <w:rPr>
                <w:rFonts w:eastAsia="Times New Roman"/>
                <w:noProof/>
                <w:highlight w:val="yellow"/>
              </w:rPr>
            </w:pPr>
            <w:r w:rsidRPr="007E3B4E">
              <w:t>14. cikk, (5) bekezdés bevezető szöveg és a) pont</w:t>
            </w:r>
          </w:p>
        </w:tc>
        <w:tc>
          <w:tcPr>
            <w:tcW w:w="4674" w:type="dxa"/>
            <w:tcBorders>
              <w:top w:val="nil"/>
              <w:bottom w:val="nil"/>
              <w:right w:val="nil"/>
            </w:tcBorders>
          </w:tcPr>
          <w:p w14:paraId="728B2698" w14:textId="77777777" w:rsidR="00D86764" w:rsidRPr="007E3B4E" w:rsidRDefault="00D86764" w:rsidP="00654447">
            <w:pPr>
              <w:jc w:val="left"/>
              <w:rPr>
                <w:rFonts w:eastAsia="Times New Roman"/>
                <w:noProof/>
                <w:highlight w:val="yellow"/>
              </w:rPr>
            </w:pPr>
            <w:r w:rsidRPr="007E3B4E">
              <w:t>24. cikk, (4) bekezdés bevezető szöveg és a) pont</w:t>
            </w:r>
          </w:p>
        </w:tc>
      </w:tr>
      <w:tr w:rsidR="00D86764" w:rsidRPr="007E3B4E" w14:paraId="632624B3" w14:textId="77777777" w:rsidTr="00654447">
        <w:tc>
          <w:tcPr>
            <w:tcW w:w="4674" w:type="dxa"/>
            <w:tcBorders>
              <w:top w:val="nil"/>
              <w:left w:val="nil"/>
              <w:bottom w:val="nil"/>
            </w:tcBorders>
          </w:tcPr>
          <w:p w14:paraId="4BBB78FB" w14:textId="77777777" w:rsidR="00D86764" w:rsidRPr="007E3B4E" w:rsidRDefault="00D86764" w:rsidP="00654447">
            <w:pPr>
              <w:jc w:val="left"/>
              <w:rPr>
                <w:rFonts w:eastAsia="Times New Roman"/>
                <w:noProof/>
                <w:highlight w:val="yellow"/>
              </w:rPr>
            </w:pPr>
            <w:r w:rsidRPr="007E3B4E">
              <w:t>14. cikk, (5) bekezdés, b), c) és d) pont</w:t>
            </w:r>
          </w:p>
        </w:tc>
        <w:tc>
          <w:tcPr>
            <w:tcW w:w="4674" w:type="dxa"/>
            <w:tcBorders>
              <w:top w:val="nil"/>
              <w:bottom w:val="nil"/>
              <w:right w:val="nil"/>
            </w:tcBorders>
          </w:tcPr>
          <w:p w14:paraId="721D2520" w14:textId="77777777" w:rsidR="00D86764" w:rsidRPr="007E3B4E" w:rsidRDefault="00D86764" w:rsidP="00654447">
            <w:pPr>
              <w:jc w:val="left"/>
              <w:rPr>
                <w:rFonts w:eastAsia="Times New Roman"/>
                <w:noProof/>
                <w:highlight w:val="yellow"/>
              </w:rPr>
            </w:pPr>
            <w:r w:rsidRPr="007E3B4E">
              <w:t>–</w:t>
            </w:r>
          </w:p>
        </w:tc>
      </w:tr>
      <w:tr w:rsidR="00D86764" w:rsidRPr="007E3B4E" w14:paraId="00779458" w14:textId="77777777" w:rsidTr="00654447">
        <w:tc>
          <w:tcPr>
            <w:tcW w:w="4674" w:type="dxa"/>
            <w:tcBorders>
              <w:top w:val="nil"/>
              <w:left w:val="nil"/>
              <w:bottom w:val="nil"/>
            </w:tcBorders>
          </w:tcPr>
          <w:p w14:paraId="495ACC68"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3B608268" w14:textId="77777777" w:rsidR="00D86764" w:rsidRPr="007E3B4E" w:rsidRDefault="00D86764" w:rsidP="00654447">
            <w:pPr>
              <w:jc w:val="left"/>
              <w:rPr>
                <w:rFonts w:eastAsia="Times New Roman"/>
                <w:noProof/>
                <w:highlight w:val="yellow"/>
              </w:rPr>
            </w:pPr>
            <w:r w:rsidRPr="007E3B4E">
              <w:t>24. cikk, (4) bekezdés, b), c) és d) pont, valamint második albekezdés</w:t>
            </w:r>
          </w:p>
        </w:tc>
      </w:tr>
      <w:tr w:rsidR="00D86764" w:rsidRPr="007E3B4E" w14:paraId="6E6BD59D" w14:textId="77777777" w:rsidTr="00654447">
        <w:tc>
          <w:tcPr>
            <w:tcW w:w="4674" w:type="dxa"/>
            <w:tcBorders>
              <w:top w:val="nil"/>
              <w:left w:val="nil"/>
              <w:bottom w:val="nil"/>
            </w:tcBorders>
          </w:tcPr>
          <w:p w14:paraId="0682AF2A" w14:textId="77777777" w:rsidR="00D86764" w:rsidRPr="007E3B4E" w:rsidRDefault="00D86764" w:rsidP="00654447">
            <w:pPr>
              <w:jc w:val="left"/>
              <w:rPr>
                <w:rFonts w:eastAsia="Times New Roman"/>
                <w:noProof/>
                <w:highlight w:val="yellow"/>
              </w:rPr>
            </w:pPr>
            <w:r w:rsidRPr="007E3B4E">
              <w:t>14. cikk, (5) bekezdés, második és harmadik albekezdés</w:t>
            </w:r>
          </w:p>
        </w:tc>
        <w:tc>
          <w:tcPr>
            <w:tcW w:w="4674" w:type="dxa"/>
            <w:tcBorders>
              <w:top w:val="nil"/>
              <w:bottom w:val="nil"/>
              <w:right w:val="nil"/>
            </w:tcBorders>
          </w:tcPr>
          <w:p w14:paraId="5E86A4C4" w14:textId="77777777" w:rsidR="00D86764" w:rsidRPr="007E3B4E" w:rsidRDefault="00D86764" w:rsidP="00654447">
            <w:pPr>
              <w:jc w:val="left"/>
              <w:rPr>
                <w:rFonts w:eastAsia="Times New Roman"/>
                <w:noProof/>
                <w:highlight w:val="yellow"/>
              </w:rPr>
            </w:pPr>
            <w:r w:rsidRPr="007E3B4E">
              <w:t>24. cikk, (4) bekezdés, harmadik és negyedik albekezdés</w:t>
            </w:r>
          </w:p>
        </w:tc>
      </w:tr>
      <w:tr w:rsidR="00D86764" w:rsidRPr="007E3B4E" w14:paraId="2E6FCFFB" w14:textId="77777777" w:rsidTr="00654447">
        <w:tc>
          <w:tcPr>
            <w:tcW w:w="4674" w:type="dxa"/>
            <w:tcBorders>
              <w:top w:val="nil"/>
              <w:left w:val="nil"/>
              <w:bottom w:val="nil"/>
            </w:tcBorders>
          </w:tcPr>
          <w:p w14:paraId="39EEE3E4" w14:textId="77777777" w:rsidR="00D86764" w:rsidRPr="007E3B4E" w:rsidRDefault="00D86764" w:rsidP="00654447">
            <w:pPr>
              <w:jc w:val="left"/>
              <w:rPr>
                <w:rFonts w:eastAsia="Times New Roman"/>
                <w:noProof/>
                <w:highlight w:val="yellow"/>
              </w:rPr>
            </w:pPr>
            <w:r w:rsidRPr="007E3B4E">
              <w:t>14. cikk, (6) bekezdés, a) pont</w:t>
            </w:r>
          </w:p>
        </w:tc>
        <w:tc>
          <w:tcPr>
            <w:tcW w:w="4674" w:type="dxa"/>
            <w:tcBorders>
              <w:top w:val="nil"/>
              <w:bottom w:val="nil"/>
              <w:right w:val="nil"/>
            </w:tcBorders>
          </w:tcPr>
          <w:p w14:paraId="1CA98569" w14:textId="77777777" w:rsidR="00D86764" w:rsidRPr="007E3B4E" w:rsidRDefault="00D86764" w:rsidP="00654447">
            <w:pPr>
              <w:jc w:val="left"/>
              <w:rPr>
                <w:rFonts w:eastAsia="Times New Roman"/>
                <w:noProof/>
                <w:highlight w:val="yellow"/>
              </w:rPr>
            </w:pPr>
            <w:r w:rsidRPr="007E3B4E">
              <w:t>24. cikk, (5) bekezdés, a) pont</w:t>
            </w:r>
          </w:p>
        </w:tc>
      </w:tr>
      <w:tr w:rsidR="00D86764" w:rsidRPr="007E3B4E" w14:paraId="68017045" w14:textId="77777777" w:rsidTr="00654447">
        <w:tc>
          <w:tcPr>
            <w:tcW w:w="4674" w:type="dxa"/>
            <w:tcBorders>
              <w:top w:val="nil"/>
              <w:left w:val="nil"/>
              <w:bottom w:val="nil"/>
            </w:tcBorders>
          </w:tcPr>
          <w:p w14:paraId="128AAAED" w14:textId="77777777" w:rsidR="00D86764" w:rsidRPr="007E3B4E" w:rsidRDefault="00D86764" w:rsidP="00654447">
            <w:pPr>
              <w:jc w:val="left"/>
              <w:rPr>
                <w:rFonts w:eastAsia="Times New Roman"/>
                <w:noProof/>
              </w:rPr>
            </w:pPr>
            <w:r w:rsidRPr="007E3B4E">
              <w:t>14. cikk, (6) bekezdés, b) pont</w:t>
            </w:r>
          </w:p>
        </w:tc>
        <w:tc>
          <w:tcPr>
            <w:tcW w:w="4674" w:type="dxa"/>
            <w:tcBorders>
              <w:top w:val="nil"/>
              <w:bottom w:val="nil"/>
              <w:right w:val="nil"/>
            </w:tcBorders>
          </w:tcPr>
          <w:p w14:paraId="6CCBF84C" w14:textId="77777777" w:rsidR="00D86764" w:rsidRPr="007E3B4E" w:rsidRDefault="00D86764" w:rsidP="00654447">
            <w:pPr>
              <w:jc w:val="left"/>
              <w:rPr>
                <w:rFonts w:eastAsia="Times New Roman"/>
                <w:noProof/>
              </w:rPr>
            </w:pPr>
            <w:r w:rsidRPr="007E3B4E">
              <w:t>–</w:t>
            </w:r>
          </w:p>
        </w:tc>
      </w:tr>
      <w:tr w:rsidR="00D86764" w:rsidRPr="007E3B4E" w14:paraId="45BD5154" w14:textId="77777777" w:rsidTr="00654447">
        <w:tc>
          <w:tcPr>
            <w:tcW w:w="4674" w:type="dxa"/>
            <w:tcBorders>
              <w:top w:val="nil"/>
              <w:left w:val="nil"/>
              <w:bottom w:val="nil"/>
            </w:tcBorders>
          </w:tcPr>
          <w:p w14:paraId="1A3D003A" w14:textId="77777777" w:rsidR="00D86764" w:rsidRPr="007E3B4E" w:rsidDel="00263F1D" w:rsidRDefault="00D86764" w:rsidP="00654447">
            <w:pPr>
              <w:jc w:val="left"/>
              <w:rPr>
                <w:rFonts w:eastAsia="Times New Roman"/>
                <w:noProof/>
              </w:rPr>
            </w:pPr>
            <w:r w:rsidRPr="007E3B4E">
              <w:t>14. cikk, (6) bekezdés, c) pont</w:t>
            </w:r>
          </w:p>
        </w:tc>
        <w:tc>
          <w:tcPr>
            <w:tcW w:w="4674" w:type="dxa"/>
            <w:tcBorders>
              <w:top w:val="nil"/>
              <w:bottom w:val="nil"/>
              <w:right w:val="nil"/>
            </w:tcBorders>
          </w:tcPr>
          <w:p w14:paraId="313E7FE5" w14:textId="77777777" w:rsidR="00D86764" w:rsidRPr="007E3B4E" w:rsidRDefault="00D86764" w:rsidP="00654447">
            <w:pPr>
              <w:jc w:val="left"/>
              <w:rPr>
                <w:rFonts w:eastAsia="Times New Roman"/>
                <w:noProof/>
              </w:rPr>
            </w:pPr>
            <w:r w:rsidRPr="007E3B4E">
              <w:t>24. cikk, (5) bekezdés, b) pont</w:t>
            </w:r>
          </w:p>
        </w:tc>
      </w:tr>
      <w:tr w:rsidR="00D86764" w:rsidRPr="007E3B4E" w14:paraId="598BCAAD" w14:textId="77777777" w:rsidTr="00654447">
        <w:tc>
          <w:tcPr>
            <w:tcW w:w="4674" w:type="dxa"/>
            <w:tcBorders>
              <w:top w:val="nil"/>
              <w:left w:val="nil"/>
              <w:bottom w:val="nil"/>
            </w:tcBorders>
          </w:tcPr>
          <w:p w14:paraId="0AE5D4E4"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2E24EC58" w14:textId="77777777" w:rsidR="00D86764" w:rsidRPr="007E3B4E" w:rsidRDefault="00D86764" w:rsidP="00654447">
            <w:pPr>
              <w:jc w:val="left"/>
              <w:rPr>
                <w:rFonts w:eastAsia="Times New Roman"/>
                <w:noProof/>
                <w:highlight w:val="yellow"/>
              </w:rPr>
            </w:pPr>
            <w:r w:rsidRPr="007E3B4E">
              <w:t>24. cikk, (5) bekezdés, c) pont</w:t>
            </w:r>
          </w:p>
        </w:tc>
      </w:tr>
      <w:tr w:rsidR="00D86764" w:rsidRPr="007E3B4E" w14:paraId="5C6F2DD2" w14:textId="77777777" w:rsidTr="00654447">
        <w:tc>
          <w:tcPr>
            <w:tcW w:w="4674" w:type="dxa"/>
            <w:tcBorders>
              <w:top w:val="nil"/>
              <w:left w:val="nil"/>
              <w:bottom w:val="nil"/>
            </w:tcBorders>
          </w:tcPr>
          <w:p w14:paraId="62EB3F77" w14:textId="77777777" w:rsidR="00D86764" w:rsidRPr="007E3B4E" w:rsidRDefault="00D86764" w:rsidP="00654447">
            <w:pPr>
              <w:jc w:val="left"/>
              <w:rPr>
                <w:rFonts w:eastAsia="Times New Roman"/>
                <w:noProof/>
                <w:highlight w:val="yellow"/>
              </w:rPr>
            </w:pPr>
            <w:r w:rsidRPr="007E3B4E">
              <w:t>14. cikk, (6) bekezdés, második és harmadik albekezdés</w:t>
            </w:r>
          </w:p>
        </w:tc>
        <w:tc>
          <w:tcPr>
            <w:tcW w:w="4674" w:type="dxa"/>
            <w:tcBorders>
              <w:top w:val="nil"/>
              <w:bottom w:val="nil"/>
              <w:right w:val="nil"/>
            </w:tcBorders>
          </w:tcPr>
          <w:p w14:paraId="75EE924B" w14:textId="77777777" w:rsidR="00D86764" w:rsidRPr="007E3B4E" w:rsidRDefault="00D86764" w:rsidP="00654447">
            <w:pPr>
              <w:jc w:val="left"/>
              <w:rPr>
                <w:rFonts w:eastAsia="Times New Roman"/>
                <w:noProof/>
                <w:highlight w:val="yellow"/>
              </w:rPr>
            </w:pPr>
            <w:r w:rsidRPr="007E3B4E">
              <w:t>24. cikk, (5) bekezdés, második és harmadik albekezdés</w:t>
            </w:r>
          </w:p>
        </w:tc>
      </w:tr>
      <w:tr w:rsidR="00D86764" w:rsidRPr="007E3B4E" w14:paraId="6247BD64" w14:textId="77777777" w:rsidTr="00654447">
        <w:tc>
          <w:tcPr>
            <w:tcW w:w="4674" w:type="dxa"/>
            <w:tcBorders>
              <w:top w:val="nil"/>
              <w:left w:val="nil"/>
              <w:bottom w:val="nil"/>
            </w:tcBorders>
          </w:tcPr>
          <w:p w14:paraId="303DC4C1" w14:textId="77777777" w:rsidR="00D86764" w:rsidRPr="007E3B4E" w:rsidRDefault="00D86764" w:rsidP="00654447">
            <w:pPr>
              <w:jc w:val="left"/>
              <w:rPr>
                <w:rFonts w:eastAsia="Times New Roman"/>
                <w:noProof/>
                <w:highlight w:val="yellow"/>
              </w:rPr>
            </w:pPr>
            <w:r w:rsidRPr="007E3B4E">
              <w:t>14. cikk, (7), (8) és (9) bekezdés</w:t>
            </w:r>
          </w:p>
        </w:tc>
        <w:tc>
          <w:tcPr>
            <w:tcW w:w="4674" w:type="dxa"/>
            <w:tcBorders>
              <w:top w:val="nil"/>
              <w:bottom w:val="nil"/>
              <w:right w:val="nil"/>
            </w:tcBorders>
          </w:tcPr>
          <w:p w14:paraId="4CB1F66E" w14:textId="77777777" w:rsidR="00D86764" w:rsidRPr="007E3B4E" w:rsidRDefault="00D86764" w:rsidP="00654447">
            <w:pPr>
              <w:jc w:val="left"/>
              <w:rPr>
                <w:rFonts w:eastAsia="Times New Roman"/>
                <w:noProof/>
                <w:highlight w:val="yellow"/>
              </w:rPr>
            </w:pPr>
            <w:r w:rsidRPr="007E3B4E">
              <w:t>24. cikk, (6), (7) és (8) bekezdés</w:t>
            </w:r>
          </w:p>
        </w:tc>
      </w:tr>
      <w:tr w:rsidR="00D86764" w:rsidRPr="007E3B4E" w14:paraId="3A2B00A2" w14:textId="77777777" w:rsidTr="00654447">
        <w:tc>
          <w:tcPr>
            <w:tcW w:w="4674" w:type="dxa"/>
            <w:tcBorders>
              <w:top w:val="nil"/>
              <w:left w:val="nil"/>
              <w:bottom w:val="nil"/>
            </w:tcBorders>
          </w:tcPr>
          <w:p w14:paraId="75398096"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3A0703D6" w14:textId="77777777" w:rsidR="00D86764" w:rsidRPr="007E3B4E" w:rsidRDefault="00D86764" w:rsidP="00654447">
            <w:pPr>
              <w:jc w:val="left"/>
              <w:rPr>
                <w:rFonts w:eastAsia="Times New Roman"/>
                <w:noProof/>
                <w:highlight w:val="yellow"/>
              </w:rPr>
            </w:pPr>
            <w:r w:rsidRPr="007E3B4E">
              <w:t>24. cikk, (9) bekezdés</w:t>
            </w:r>
          </w:p>
        </w:tc>
      </w:tr>
      <w:tr w:rsidR="00D86764" w:rsidRPr="007E3B4E" w14:paraId="5A178B3D" w14:textId="77777777" w:rsidTr="00654447">
        <w:tc>
          <w:tcPr>
            <w:tcW w:w="4674" w:type="dxa"/>
            <w:tcBorders>
              <w:top w:val="nil"/>
              <w:left w:val="nil"/>
              <w:bottom w:val="nil"/>
            </w:tcBorders>
          </w:tcPr>
          <w:p w14:paraId="1EC4232A" w14:textId="77777777" w:rsidR="00D86764" w:rsidRPr="007E3B4E" w:rsidRDefault="00D86764" w:rsidP="00654447">
            <w:pPr>
              <w:jc w:val="left"/>
              <w:rPr>
                <w:rFonts w:eastAsia="Times New Roman"/>
                <w:noProof/>
                <w:highlight w:val="yellow"/>
              </w:rPr>
            </w:pPr>
            <w:r w:rsidRPr="007E3B4E">
              <w:t>14. cikk, (10) és (11) bekezdés</w:t>
            </w:r>
          </w:p>
        </w:tc>
        <w:tc>
          <w:tcPr>
            <w:tcW w:w="4674" w:type="dxa"/>
            <w:tcBorders>
              <w:top w:val="nil"/>
              <w:bottom w:val="nil"/>
              <w:right w:val="nil"/>
            </w:tcBorders>
          </w:tcPr>
          <w:p w14:paraId="6585D3B4" w14:textId="77777777" w:rsidR="00D86764" w:rsidRPr="007E3B4E" w:rsidRDefault="00D86764" w:rsidP="00654447">
            <w:pPr>
              <w:jc w:val="left"/>
              <w:rPr>
                <w:rFonts w:eastAsia="Times New Roman"/>
                <w:noProof/>
                <w:highlight w:val="yellow"/>
              </w:rPr>
            </w:pPr>
            <w:r w:rsidRPr="007E3B4E">
              <w:t>24. cikk, (10) és (11) bekezdés</w:t>
            </w:r>
          </w:p>
        </w:tc>
      </w:tr>
      <w:tr w:rsidR="00D86764" w:rsidRPr="007E3B4E" w14:paraId="5F6CD4C7" w14:textId="77777777" w:rsidTr="00654447">
        <w:tc>
          <w:tcPr>
            <w:tcW w:w="4674" w:type="dxa"/>
            <w:tcBorders>
              <w:top w:val="nil"/>
              <w:left w:val="nil"/>
              <w:bottom w:val="nil"/>
            </w:tcBorders>
          </w:tcPr>
          <w:p w14:paraId="54457DBF" w14:textId="77777777" w:rsidR="00D86764" w:rsidRPr="007E3B4E" w:rsidRDefault="00D86764" w:rsidP="00654447">
            <w:pPr>
              <w:jc w:val="left"/>
              <w:rPr>
                <w:rFonts w:eastAsia="Times New Roman"/>
                <w:noProof/>
                <w:highlight w:val="yellow"/>
              </w:rPr>
            </w:pPr>
            <w:r w:rsidRPr="007E3B4E">
              <w:t>15. cikk, (1) bekezdés, első albekezdés</w:t>
            </w:r>
          </w:p>
        </w:tc>
        <w:tc>
          <w:tcPr>
            <w:tcW w:w="4674" w:type="dxa"/>
            <w:tcBorders>
              <w:top w:val="nil"/>
              <w:bottom w:val="nil"/>
              <w:right w:val="nil"/>
            </w:tcBorders>
          </w:tcPr>
          <w:p w14:paraId="08F5F962" w14:textId="77777777" w:rsidR="00D86764" w:rsidRPr="007E3B4E" w:rsidRDefault="00D86764" w:rsidP="00654447">
            <w:pPr>
              <w:jc w:val="left"/>
              <w:rPr>
                <w:rFonts w:eastAsia="Times New Roman"/>
                <w:noProof/>
                <w:highlight w:val="yellow"/>
              </w:rPr>
            </w:pPr>
            <w:r w:rsidRPr="007E3B4E">
              <w:t>25. cikk, (1) bekezdés</w:t>
            </w:r>
          </w:p>
        </w:tc>
      </w:tr>
      <w:tr w:rsidR="00D86764" w:rsidRPr="007E3B4E" w14:paraId="337B4B25" w14:textId="77777777" w:rsidTr="00654447">
        <w:tc>
          <w:tcPr>
            <w:tcW w:w="4674" w:type="dxa"/>
            <w:tcBorders>
              <w:top w:val="nil"/>
              <w:left w:val="nil"/>
              <w:bottom w:val="nil"/>
            </w:tcBorders>
          </w:tcPr>
          <w:p w14:paraId="6D2BCEA0" w14:textId="77777777" w:rsidR="00D86764" w:rsidRPr="007E3B4E" w:rsidRDefault="00D86764" w:rsidP="00654447">
            <w:pPr>
              <w:jc w:val="left"/>
              <w:rPr>
                <w:rFonts w:eastAsia="Times New Roman"/>
                <w:noProof/>
                <w:highlight w:val="yellow"/>
              </w:rPr>
            </w:pPr>
            <w:r w:rsidRPr="007E3B4E">
              <w:t>15. cikk, (1) bekezdés, második és harmadik albekezdés</w:t>
            </w:r>
          </w:p>
        </w:tc>
        <w:tc>
          <w:tcPr>
            <w:tcW w:w="4674" w:type="dxa"/>
            <w:tcBorders>
              <w:top w:val="nil"/>
              <w:bottom w:val="nil"/>
              <w:right w:val="nil"/>
            </w:tcBorders>
          </w:tcPr>
          <w:p w14:paraId="44A2C563" w14:textId="77777777" w:rsidR="00D86764" w:rsidRPr="007E3B4E" w:rsidRDefault="00D86764" w:rsidP="00654447">
            <w:pPr>
              <w:jc w:val="left"/>
              <w:rPr>
                <w:rFonts w:eastAsia="Times New Roman"/>
                <w:noProof/>
                <w:highlight w:val="yellow"/>
              </w:rPr>
            </w:pPr>
            <w:r w:rsidRPr="007E3B4E">
              <w:t>–</w:t>
            </w:r>
          </w:p>
        </w:tc>
      </w:tr>
      <w:tr w:rsidR="00D86764" w:rsidRPr="007E3B4E" w14:paraId="7B23AB9A" w14:textId="77777777" w:rsidTr="00654447">
        <w:tc>
          <w:tcPr>
            <w:tcW w:w="4674" w:type="dxa"/>
            <w:tcBorders>
              <w:top w:val="nil"/>
              <w:left w:val="nil"/>
              <w:bottom w:val="nil"/>
            </w:tcBorders>
          </w:tcPr>
          <w:p w14:paraId="1BFE9EAA"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12199988" w14:textId="77777777" w:rsidR="00D86764" w:rsidRPr="007E3B4E" w:rsidRDefault="00D86764" w:rsidP="00654447">
            <w:pPr>
              <w:jc w:val="left"/>
              <w:rPr>
                <w:rFonts w:eastAsia="Times New Roman"/>
                <w:noProof/>
                <w:highlight w:val="yellow"/>
              </w:rPr>
            </w:pPr>
            <w:r w:rsidRPr="007E3B4E">
              <w:t>25. cikk, (2), (3) és (4) bekezdés</w:t>
            </w:r>
          </w:p>
        </w:tc>
      </w:tr>
      <w:tr w:rsidR="00D86764" w:rsidRPr="007E3B4E" w14:paraId="03BC318D" w14:textId="77777777" w:rsidTr="00654447">
        <w:tc>
          <w:tcPr>
            <w:tcW w:w="4674" w:type="dxa"/>
            <w:tcBorders>
              <w:top w:val="nil"/>
              <w:left w:val="nil"/>
              <w:bottom w:val="nil"/>
            </w:tcBorders>
          </w:tcPr>
          <w:p w14:paraId="227B31CD" w14:textId="77777777" w:rsidR="00D86764" w:rsidRPr="007E3B4E" w:rsidRDefault="00D86764" w:rsidP="00654447">
            <w:pPr>
              <w:jc w:val="left"/>
              <w:rPr>
                <w:rFonts w:eastAsia="Times New Roman"/>
                <w:noProof/>
                <w:highlight w:val="yellow"/>
              </w:rPr>
            </w:pPr>
            <w:r w:rsidRPr="007E3B4E">
              <w:t>15. cikk, (1) bekezdés, negyedik albekezdés</w:t>
            </w:r>
          </w:p>
        </w:tc>
        <w:tc>
          <w:tcPr>
            <w:tcW w:w="4674" w:type="dxa"/>
            <w:tcBorders>
              <w:top w:val="nil"/>
              <w:bottom w:val="nil"/>
              <w:right w:val="nil"/>
            </w:tcBorders>
          </w:tcPr>
          <w:p w14:paraId="6B324CE1" w14:textId="77777777" w:rsidR="00D86764" w:rsidRPr="007E3B4E" w:rsidRDefault="00D86764" w:rsidP="00654447">
            <w:pPr>
              <w:jc w:val="left"/>
              <w:rPr>
                <w:rFonts w:eastAsia="Times New Roman"/>
                <w:noProof/>
                <w:highlight w:val="yellow"/>
              </w:rPr>
            </w:pPr>
            <w:r w:rsidRPr="007E3B4E">
              <w:t>25. cikk, (5) bekezdés</w:t>
            </w:r>
          </w:p>
        </w:tc>
      </w:tr>
      <w:tr w:rsidR="00D86764" w:rsidRPr="007E3B4E" w14:paraId="1C3E5A3D" w14:textId="77777777" w:rsidTr="00654447">
        <w:tc>
          <w:tcPr>
            <w:tcW w:w="4674" w:type="dxa"/>
            <w:tcBorders>
              <w:top w:val="nil"/>
              <w:left w:val="nil"/>
              <w:bottom w:val="nil"/>
            </w:tcBorders>
          </w:tcPr>
          <w:p w14:paraId="65C5B195" w14:textId="77777777" w:rsidR="00D86764" w:rsidRPr="007E3B4E" w:rsidRDefault="00D86764" w:rsidP="00654447">
            <w:pPr>
              <w:jc w:val="left"/>
              <w:rPr>
                <w:rFonts w:eastAsia="Times New Roman"/>
                <w:noProof/>
                <w:highlight w:val="yellow"/>
              </w:rPr>
            </w:pPr>
            <w:r w:rsidRPr="007E3B4E">
              <w:t>15. cikk, (2) és (2a) bekezdés</w:t>
            </w:r>
          </w:p>
        </w:tc>
        <w:tc>
          <w:tcPr>
            <w:tcW w:w="4674" w:type="dxa"/>
            <w:tcBorders>
              <w:top w:val="nil"/>
              <w:bottom w:val="nil"/>
              <w:right w:val="nil"/>
            </w:tcBorders>
          </w:tcPr>
          <w:p w14:paraId="6C3A8648" w14:textId="77777777" w:rsidR="00D86764" w:rsidRPr="007E3B4E" w:rsidRDefault="00D86764" w:rsidP="00654447">
            <w:pPr>
              <w:jc w:val="left"/>
              <w:rPr>
                <w:rFonts w:eastAsia="Times New Roman"/>
                <w:noProof/>
                <w:highlight w:val="yellow"/>
              </w:rPr>
            </w:pPr>
            <w:r w:rsidRPr="007E3B4E">
              <w:t>–</w:t>
            </w:r>
          </w:p>
        </w:tc>
      </w:tr>
      <w:tr w:rsidR="00D86764" w:rsidRPr="007E3B4E" w14:paraId="75B1EDC6" w14:textId="77777777" w:rsidTr="00654447">
        <w:tc>
          <w:tcPr>
            <w:tcW w:w="4674" w:type="dxa"/>
            <w:tcBorders>
              <w:top w:val="nil"/>
              <w:left w:val="nil"/>
              <w:bottom w:val="nil"/>
            </w:tcBorders>
          </w:tcPr>
          <w:p w14:paraId="1F18A729" w14:textId="77777777" w:rsidR="00D86764" w:rsidRPr="007E3B4E" w:rsidRDefault="00D86764" w:rsidP="00654447">
            <w:pPr>
              <w:jc w:val="left"/>
              <w:rPr>
                <w:rFonts w:eastAsia="Times New Roman"/>
                <w:noProof/>
                <w:highlight w:val="yellow"/>
              </w:rPr>
            </w:pPr>
            <w:r w:rsidRPr="007E3B4E">
              <w:t>15. cikk, (3), (4) és (5) bekezdés, első albekezdés</w:t>
            </w:r>
          </w:p>
        </w:tc>
        <w:tc>
          <w:tcPr>
            <w:tcW w:w="4674" w:type="dxa"/>
            <w:tcBorders>
              <w:top w:val="nil"/>
              <w:bottom w:val="nil"/>
              <w:right w:val="nil"/>
            </w:tcBorders>
          </w:tcPr>
          <w:p w14:paraId="0FD190F0" w14:textId="77777777" w:rsidR="00D86764" w:rsidRPr="007E3B4E" w:rsidRDefault="00D86764" w:rsidP="00654447">
            <w:pPr>
              <w:jc w:val="left"/>
              <w:rPr>
                <w:rFonts w:eastAsia="Times New Roman"/>
                <w:noProof/>
                <w:highlight w:val="yellow"/>
              </w:rPr>
            </w:pPr>
            <w:r w:rsidRPr="007E3B4E">
              <w:t>25. cikk, (6), (7) és (8) bekezdés</w:t>
            </w:r>
          </w:p>
        </w:tc>
      </w:tr>
      <w:tr w:rsidR="00D86764" w:rsidRPr="007E3B4E" w14:paraId="0959CDCA" w14:textId="77777777" w:rsidTr="00654447">
        <w:tc>
          <w:tcPr>
            <w:tcW w:w="4674" w:type="dxa"/>
            <w:tcBorders>
              <w:top w:val="nil"/>
              <w:left w:val="nil"/>
              <w:bottom w:val="nil"/>
            </w:tcBorders>
          </w:tcPr>
          <w:p w14:paraId="45FBB3AC" w14:textId="77777777" w:rsidR="00D86764" w:rsidRPr="007E3B4E" w:rsidRDefault="00D86764" w:rsidP="00654447">
            <w:pPr>
              <w:jc w:val="left"/>
              <w:rPr>
                <w:rFonts w:eastAsia="Times New Roman"/>
                <w:noProof/>
                <w:highlight w:val="yellow"/>
              </w:rPr>
            </w:pPr>
            <w:r w:rsidRPr="007E3B4E">
              <w:t>15. cikk, (5) bekezdés, második albekezdés</w:t>
            </w:r>
          </w:p>
        </w:tc>
        <w:tc>
          <w:tcPr>
            <w:tcW w:w="4674" w:type="dxa"/>
            <w:tcBorders>
              <w:top w:val="nil"/>
              <w:bottom w:val="nil"/>
              <w:right w:val="nil"/>
            </w:tcBorders>
          </w:tcPr>
          <w:p w14:paraId="6428B94E" w14:textId="77777777" w:rsidR="00D86764" w:rsidRPr="007E3B4E" w:rsidRDefault="00D86764" w:rsidP="00654447">
            <w:pPr>
              <w:jc w:val="left"/>
              <w:rPr>
                <w:rFonts w:eastAsia="Times New Roman"/>
                <w:noProof/>
                <w:highlight w:val="yellow"/>
              </w:rPr>
            </w:pPr>
            <w:r w:rsidRPr="007E3B4E">
              <w:t>–</w:t>
            </w:r>
          </w:p>
        </w:tc>
      </w:tr>
      <w:tr w:rsidR="00D86764" w:rsidRPr="007E3B4E" w14:paraId="53813705" w14:textId="77777777" w:rsidTr="00654447">
        <w:tc>
          <w:tcPr>
            <w:tcW w:w="4674" w:type="dxa"/>
            <w:tcBorders>
              <w:top w:val="nil"/>
              <w:left w:val="nil"/>
              <w:bottom w:val="nil"/>
            </w:tcBorders>
          </w:tcPr>
          <w:p w14:paraId="553879CD" w14:textId="77777777" w:rsidR="00D86764" w:rsidRPr="007E3B4E" w:rsidRDefault="00D86764" w:rsidP="00654447">
            <w:pPr>
              <w:jc w:val="left"/>
              <w:rPr>
                <w:rFonts w:eastAsia="Times New Roman"/>
                <w:noProof/>
                <w:highlight w:val="yellow"/>
              </w:rPr>
            </w:pPr>
            <w:r w:rsidRPr="007E3B4E">
              <w:t>15. cikk, (6) bekezdés, első albekezdés</w:t>
            </w:r>
          </w:p>
        </w:tc>
        <w:tc>
          <w:tcPr>
            <w:tcW w:w="4674" w:type="dxa"/>
            <w:tcBorders>
              <w:top w:val="nil"/>
              <w:bottom w:val="nil"/>
              <w:right w:val="nil"/>
            </w:tcBorders>
          </w:tcPr>
          <w:p w14:paraId="72A588E2" w14:textId="77777777" w:rsidR="00D86764" w:rsidRPr="007E3B4E" w:rsidRDefault="00D86764" w:rsidP="00654447">
            <w:pPr>
              <w:jc w:val="left"/>
              <w:rPr>
                <w:rFonts w:eastAsia="Times New Roman"/>
                <w:noProof/>
                <w:highlight w:val="yellow"/>
              </w:rPr>
            </w:pPr>
            <w:r w:rsidRPr="007E3B4E">
              <w:t>–</w:t>
            </w:r>
          </w:p>
        </w:tc>
      </w:tr>
      <w:tr w:rsidR="00D86764" w:rsidRPr="007E3B4E" w14:paraId="5E610BA6" w14:textId="77777777" w:rsidTr="00654447">
        <w:tc>
          <w:tcPr>
            <w:tcW w:w="4674" w:type="dxa"/>
            <w:tcBorders>
              <w:top w:val="nil"/>
              <w:left w:val="nil"/>
              <w:bottom w:val="nil"/>
            </w:tcBorders>
          </w:tcPr>
          <w:p w14:paraId="1F288A78" w14:textId="77777777" w:rsidR="00D86764" w:rsidRPr="007E3B4E" w:rsidRDefault="00D86764" w:rsidP="00654447">
            <w:pPr>
              <w:jc w:val="left"/>
              <w:rPr>
                <w:rFonts w:eastAsia="Times New Roman"/>
                <w:noProof/>
                <w:highlight w:val="yellow"/>
              </w:rPr>
            </w:pPr>
            <w:r w:rsidRPr="007E3B4E">
              <w:t>15. cikk, (6) bekezdés, második albekezdés</w:t>
            </w:r>
          </w:p>
        </w:tc>
        <w:tc>
          <w:tcPr>
            <w:tcW w:w="4674" w:type="dxa"/>
            <w:tcBorders>
              <w:top w:val="nil"/>
              <w:bottom w:val="nil"/>
              <w:right w:val="nil"/>
            </w:tcBorders>
          </w:tcPr>
          <w:p w14:paraId="7154D44A" w14:textId="77777777" w:rsidR="00D86764" w:rsidRPr="007E3B4E" w:rsidRDefault="00D86764" w:rsidP="00654447">
            <w:pPr>
              <w:jc w:val="left"/>
              <w:rPr>
                <w:rFonts w:eastAsia="Times New Roman"/>
                <w:noProof/>
                <w:highlight w:val="yellow"/>
              </w:rPr>
            </w:pPr>
            <w:r w:rsidRPr="007E3B4E">
              <w:t>25. cikk, (9) bekezdés</w:t>
            </w:r>
          </w:p>
        </w:tc>
      </w:tr>
      <w:tr w:rsidR="00D86764" w:rsidRPr="007E3B4E" w14:paraId="2D3BD327" w14:textId="77777777" w:rsidTr="00654447">
        <w:tc>
          <w:tcPr>
            <w:tcW w:w="4674" w:type="dxa"/>
            <w:tcBorders>
              <w:top w:val="nil"/>
              <w:left w:val="nil"/>
              <w:bottom w:val="nil"/>
            </w:tcBorders>
          </w:tcPr>
          <w:p w14:paraId="4C08C761" w14:textId="77777777" w:rsidR="00D86764" w:rsidRPr="007E3B4E" w:rsidRDefault="00D86764" w:rsidP="00654447">
            <w:pPr>
              <w:jc w:val="left"/>
              <w:rPr>
                <w:rFonts w:eastAsia="Times New Roman"/>
                <w:noProof/>
                <w:highlight w:val="yellow"/>
              </w:rPr>
            </w:pPr>
            <w:r w:rsidRPr="007E3B4E">
              <w:t>15. cikk, (7) bekezdés</w:t>
            </w:r>
          </w:p>
        </w:tc>
        <w:tc>
          <w:tcPr>
            <w:tcW w:w="4674" w:type="dxa"/>
            <w:tcBorders>
              <w:top w:val="nil"/>
              <w:bottom w:val="nil"/>
              <w:right w:val="nil"/>
            </w:tcBorders>
          </w:tcPr>
          <w:p w14:paraId="07D5B98C" w14:textId="77777777" w:rsidR="00D86764" w:rsidRPr="007E3B4E" w:rsidRDefault="00D86764" w:rsidP="00654447">
            <w:pPr>
              <w:jc w:val="left"/>
              <w:rPr>
                <w:rFonts w:eastAsia="Times New Roman"/>
                <w:noProof/>
                <w:highlight w:val="yellow"/>
              </w:rPr>
            </w:pPr>
            <w:r w:rsidRPr="007E3B4E">
              <w:t>25. cikk, (10) bekezdés</w:t>
            </w:r>
          </w:p>
        </w:tc>
      </w:tr>
      <w:tr w:rsidR="00D86764" w:rsidRPr="007E3B4E" w14:paraId="2172308F" w14:textId="77777777" w:rsidTr="00654447">
        <w:tc>
          <w:tcPr>
            <w:tcW w:w="4674" w:type="dxa"/>
            <w:tcBorders>
              <w:top w:val="nil"/>
              <w:left w:val="nil"/>
              <w:bottom w:val="nil"/>
            </w:tcBorders>
          </w:tcPr>
          <w:p w14:paraId="6B2047D9" w14:textId="77777777" w:rsidR="00D86764" w:rsidRPr="007E3B4E" w:rsidRDefault="00D86764" w:rsidP="00654447">
            <w:pPr>
              <w:jc w:val="left"/>
              <w:rPr>
                <w:rFonts w:eastAsia="Times New Roman"/>
                <w:noProof/>
                <w:highlight w:val="yellow"/>
              </w:rPr>
            </w:pPr>
            <w:r w:rsidRPr="007E3B4E">
              <w:t>15. cikk, (9) bekezdés, első albekezdés</w:t>
            </w:r>
          </w:p>
        </w:tc>
        <w:tc>
          <w:tcPr>
            <w:tcW w:w="4674" w:type="dxa"/>
            <w:tcBorders>
              <w:top w:val="nil"/>
              <w:bottom w:val="nil"/>
              <w:right w:val="nil"/>
            </w:tcBorders>
          </w:tcPr>
          <w:p w14:paraId="50713103" w14:textId="77777777" w:rsidR="00D86764" w:rsidRPr="007E3B4E" w:rsidRDefault="00D86764" w:rsidP="00654447">
            <w:pPr>
              <w:jc w:val="left"/>
              <w:rPr>
                <w:rFonts w:eastAsia="Times New Roman"/>
                <w:noProof/>
                <w:highlight w:val="yellow"/>
              </w:rPr>
            </w:pPr>
            <w:r w:rsidRPr="007E3B4E">
              <w:t>25. cikk, (11) bekezdés</w:t>
            </w:r>
          </w:p>
        </w:tc>
      </w:tr>
      <w:tr w:rsidR="00D86764" w:rsidRPr="007E3B4E" w14:paraId="0CDA4A7D" w14:textId="77777777" w:rsidTr="00654447">
        <w:tc>
          <w:tcPr>
            <w:tcW w:w="4674" w:type="dxa"/>
            <w:tcBorders>
              <w:top w:val="nil"/>
              <w:left w:val="nil"/>
              <w:bottom w:val="nil"/>
            </w:tcBorders>
          </w:tcPr>
          <w:p w14:paraId="34BDAA14" w14:textId="77777777" w:rsidR="00D86764" w:rsidRPr="007E3B4E" w:rsidRDefault="00D86764" w:rsidP="00654447">
            <w:pPr>
              <w:jc w:val="left"/>
              <w:rPr>
                <w:rFonts w:eastAsia="Times New Roman"/>
                <w:noProof/>
              </w:rPr>
            </w:pPr>
            <w:r w:rsidRPr="007E3B4E">
              <w:t>15. cikk, (9) bekezdés, második albekezdés</w:t>
            </w:r>
          </w:p>
        </w:tc>
        <w:tc>
          <w:tcPr>
            <w:tcW w:w="4674" w:type="dxa"/>
            <w:tcBorders>
              <w:top w:val="nil"/>
              <w:bottom w:val="nil"/>
              <w:right w:val="nil"/>
            </w:tcBorders>
          </w:tcPr>
          <w:p w14:paraId="6B3289B8" w14:textId="77777777" w:rsidR="00D86764" w:rsidRPr="007E3B4E" w:rsidRDefault="00D86764" w:rsidP="00654447">
            <w:pPr>
              <w:jc w:val="left"/>
              <w:rPr>
                <w:rFonts w:eastAsia="Times New Roman"/>
                <w:noProof/>
              </w:rPr>
            </w:pPr>
            <w:r w:rsidRPr="007E3B4E">
              <w:t>–</w:t>
            </w:r>
          </w:p>
        </w:tc>
      </w:tr>
      <w:tr w:rsidR="00D86764" w:rsidRPr="007E3B4E" w14:paraId="54B672EA" w14:textId="77777777" w:rsidTr="00654447">
        <w:tc>
          <w:tcPr>
            <w:tcW w:w="4674" w:type="dxa"/>
            <w:tcBorders>
              <w:top w:val="nil"/>
              <w:left w:val="nil"/>
              <w:bottom w:val="nil"/>
            </w:tcBorders>
          </w:tcPr>
          <w:p w14:paraId="2D684D97" w14:textId="77777777" w:rsidR="00D86764" w:rsidRPr="007E3B4E" w:rsidRDefault="00D86764" w:rsidP="00654447">
            <w:pPr>
              <w:jc w:val="left"/>
              <w:rPr>
                <w:rFonts w:eastAsia="Times New Roman"/>
                <w:noProof/>
                <w:highlight w:val="yellow"/>
              </w:rPr>
            </w:pPr>
            <w:r w:rsidRPr="007E3B4E">
              <w:t>16. cikk, (1) és (2) bekezdés</w:t>
            </w:r>
          </w:p>
        </w:tc>
        <w:tc>
          <w:tcPr>
            <w:tcW w:w="4674" w:type="dxa"/>
            <w:tcBorders>
              <w:top w:val="nil"/>
              <w:bottom w:val="nil"/>
              <w:right w:val="nil"/>
            </w:tcBorders>
          </w:tcPr>
          <w:p w14:paraId="15756BD4" w14:textId="77777777" w:rsidR="00D86764" w:rsidRPr="007E3B4E" w:rsidRDefault="00D86764" w:rsidP="00654447">
            <w:pPr>
              <w:jc w:val="left"/>
              <w:rPr>
                <w:rFonts w:eastAsia="Times New Roman"/>
                <w:noProof/>
                <w:highlight w:val="yellow"/>
              </w:rPr>
            </w:pPr>
            <w:r w:rsidRPr="007E3B4E">
              <w:t>–</w:t>
            </w:r>
          </w:p>
        </w:tc>
      </w:tr>
      <w:tr w:rsidR="00D86764" w:rsidRPr="007E3B4E" w14:paraId="2E0C0B5A" w14:textId="77777777" w:rsidTr="00654447">
        <w:tc>
          <w:tcPr>
            <w:tcW w:w="4674" w:type="dxa"/>
            <w:tcBorders>
              <w:top w:val="nil"/>
              <w:left w:val="nil"/>
              <w:bottom w:val="nil"/>
            </w:tcBorders>
          </w:tcPr>
          <w:p w14:paraId="76635F1C"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D44A8C9" w14:textId="77777777" w:rsidR="00D86764" w:rsidRPr="007E3B4E" w:rsidRDefault="00D86764" w:rsidP="00654447">
            <w:pPr>
              <w:jc w:val="left"/>
              <w:rPr>
                <w:rFonts w:eastAsia="Times New Roman"/>
                <w:noProof/>
                <w:highlight w:val="yellow"/>
              </w:rPr>
            </w:pPr>
            <w:r w:rsidRPr="007E3B4E">
              <w:t>26. cikk, (1) és (2) bekezdés</w:t>
            </w:r>
          </w:p>
        </w:tc>
      </w:tr>
      <w:tr w:rsidR="00D86764" w:rsidRPr="007E3B4E" w14:paraId="7024FC48" w14:textId="77777777" w:rsidTr="00654447">
        <w:tc>
          <w:tcPr>
            <w:tcW w:w="4674" w:type="dxa"/>
            <w:tcBorders>
              <w:top w:val="nil"/>
              <w:left w:val="nil"/>
              <w:bottom w:val="nil"/>
            </w:tcBorders>
          </w:tcPr>
          <w:p w14:paraId="1F1C377E" w14:textId="77777777" w:rsidR="00D86764" w:rsidRPr="007E3B4E" w:rsidRDefault="00D86764" w:rsidP="00654447">
            <w:pPr>
              <w:jc w:val="left"/>
              <w:rPr>
                <w:rFonts w:eastAsia="Times New Roman"/>
                <w:noProof/>
                <w:highlight w:val="yellow"/>
              </w:rPr>
            </w:pPr>
            <w:r w:rsidRPr="007E3B4E">
              <w:t>16. cikk, (3) bekezdés</w:t>
            </w:r>
          </w:p>
        </w:tc>
        <w:tc>
          <w:tcPr>
            <w:tcW w:w="4674" w:type="dxa"/>
            <w:tcBorders>
              <w:top w:val="nil"/>
              <w:bottom w:val="nil"/>
              <w:right w:val="nil"/>
            </w:tcBorders>
          </w:tcPr>
          <w:p w14:paraId="18898E4E" w14:textId="77777777" w:rsidR="00D86764" w:rsidRPr="007E3B4E" w:rsidRDefault="00D86764" w:rsidP="00654447">
            <w:pPr>
              <w:jc w:val="left"/>
              <w:rPr>
                <w:rFonts w:eastAsia="Times New Roman"/>
                <w:noProof/>
                <w:highlight w:val="yellow"/>
              </w:rPr>
            </w:pPr>
            <w:r w:rsidRPr="007E3B4E">
              <w:t>26. cikk, (3) bekezdés</w:t>
            </w:r>
          </w:p>
        </w:tc>
      </w:tr>
      <w:tr w:rsidR="00D86764" w:rsidRPr="007E3B4E" w14:paraId="7D59D339" w14:textId="77777777" w:rsidTr="00654447">
        <w:tc>
          <w:tcPr>
            <w:tcW w:w="4674" w:type="dxa"/>
            <w:tcBorders>
              <w:top w:val="nil"/>
              <w:left w:val="nil"/>
              <w:bottom w:val="nil"/>
            </w:tcBorders>
          </w:tcPr>
          <w:p w14:paraId="55EF4DF7"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588EE7A7" w14:textId="77777777" w:rsidR="00D86764" w:rsidRPr="007E3B4E" w:rsidRDefault="00D86764" w:rsidP="00654447">
            <w:pPr>
              <w:jc w:val="left"/>
              <w:rPr>
                <w:rFonts w:eastAsia="Times New Roman"/>
                <w:noProof/>
              </w:rPr>
            </w:pPr>
            <w:r w:rsidRPr="007E3B4E">
              <w:t>26. cikk, (4) bekezdés</w:t>
            </w:r>
          </w:p>
        </w:tc>
      </w:tr>
      <w:tr w:rsidR="00D86764" w:rsidRPr="007E3B4E" w14:paraId="17C8E9F9" w14:textId="77777777" w:rsidTr="00654447">
        <w:tc>
          <w:tcPr>
            <w:tcW w:w="4674" w:type="dxa"/>
            <w:tcBorders>
              <w:top w:val="nil"/>
              <w:left w:val="nil"/>
              <w:bottom w:val="nil"/>
            </w:tcBorders>
          </w:tcPr>
          <w:p w14:paraId="7A091E93" w14:textId="77777777" w:rsidR="00D86764" w:rsidRPr="007E3B4E" w:rsidRDefault="00D86764" w:rsidP="00654447">
            <w:pPr>
              <w:jc w:val="left"/>
              <w:rPr>
                <w:rFonts w:eastAsia="Times New Roman"/>
                <w:noProof/>
                <w:highlight w:val="yellow"/>
              </w:rPr>
            </w:pPr>
            <w:r w:rsidRPr="007E3B4E">
              <w:t>17. cikk, (1) bekezdés, első albekezdés</w:t>
            </w:r>
          </w:p>
        </w:tc>
        <w:tc>
          <w:tcPr>
            <w:tcW w:w="4674" w:type="dxa"/>
            <w:tcBorders>
              <w:top w:val="nil"/>
              <w:bottom w:val="nil"/>
              <w:right w:val="nil"/>
            </w:tcBorders>
          </w:tcPr>
          <w:p w14:paraId="4AE6EAC2" w14:textId="77777777" w:rsidR="00D86764" w:rsidRPr="007E3B4E" w:rsidRDefault="00D86764" w:rsidP="00654447">
            <w:pPr>
              <w:jc w:val="left"/>
              <w:rPr>
                <w:rFonts w:eastAsia="Times New Roman"/>
                <w:noProof/>
                <w:highlight w:val="yellow"/>
              </w:rPr>
            </w:pPr>
            <w:r w:rsidRPr="007E3B4E">
              <w:t>–</w:t>
            </w:r>
          </w:p>
        </w:tc>
      </w:tr>
      <w:tr w:rsidR="00D86764" w:rsidRPr="007E3B4E" w14:paraId="40C1FF6C" w14:textId="77777777" w:rsidTr="00654447">
        <w:tc>
          <w:tcPr>
            <w:tcW w:w="4674" w:type="dxa"/>
            <w:tcBorders>
              <w:top w:val="nil"/>
              <w:left w:val="nil"/>
              <w:bottom w:val="nil"/>
            </w:tcBorders>
          </w:tcPr>
          <w:p w14:paraId="11C4B29A" w14:textId="77777777" w:rsidR="00D86764" w:rsidRPr="007E3B4E" w:rsidRDefault="00D86764" w:rsidP="00654447">
            <w:pPr>
              <w:jc w:val="left"/>
              <w:rPr>
                <w:rFonts w:eastAsia="Times New Roman"/>
                <w:noProof/>
                <w:highlight w:val="yellow"/>
              </w:rPr>
            </w:pPr>
            <w:r w:rsidRPr="007E3B4E">
              <w:t>17. cikk, (1) bekezdés, második albekezdés</w:t>
            </w:r>
          </w:p>
        </w:tc>
        <w:tc>
          <w:tcPr>
            <w:tcW w:w="4674" w:type="dxa"/>
            <w:tcBorders>
              <w:top w:val="nil"/>
              <w:bottom w:val="nil"/>
              <w:right w:val="nil"/>
            </w:tcBorders>
          </w:tcPr>
          <w:p w14:paraId="420479D0" w14:textId="77777777" w:rsidR="00D86764" w:rsidRPr="007E3B4E" w:rsidRDefault="00D86764" w:rsidP="00654447">
            <w:pPr>
              <w:jc w:val="left"/>
              <w:rPr>
                <w:rFonts w:eastAsia="Times New Roman"/>
                <w:noProof/>
                <w:highlight w:val="yellow"/>
              </w:rPr>
            </w:pPr>
            <w:r w:rsidRPr="007E3B4E">
              <w:t>28. cikk, (3) bekezdés</w:t>
            </w:r>
          </w:p>
        </w:tc>
      </w:tr>
      <w:tr w:rsidR="00D86764" w:rsidRPr="007E3B4E" w14:paraId="39759533" w14:textId="77777777" w:rsidTr="00654447">
        <w:tc>
          <w:tcPr>
            <w:tcW w:w="4674" w:type="dxa"/>
            <w:tcBorders>
              <w:top w:val="nil"/>
              <w:left w:val="nil"/>
              <w:bottom w:val="nil"/>
            </w:tcBorders>
          </w:tcPr>
          <w:p w14:paraId="6D70AA6C" w14:textId="77777777" w:rsidR="00D86764" w:rsidRPr="007E3B4E" w:rsidRDefault="00D86764" w:rsidP="00654447">
            <w:pPr>
              <w:jc w:val="left"/>
              <w:rPr>
                <w:rFonts w:eastAsia="Times New Roman"/>
                <w:noProof/>
                <w:highlight w:val="yellow"/>
              </w:rPr>
            </w:pPr>
            <w:r w:rsidRPr="007E3B4E">
              <w:t>17. cikk, (2) bekezdés</w:t>
            </w:r>
          </w:p>
        </w:tc>
        <w:tc>
          <w:tcPr>
            <w:tcW w:w="4674" w:type="dxa"/>
            <w:tcBorders>
              <w:top w:val="nil"/>
              <w:bottom w:val="nil"/>
              <w:right w:val="nil"/>
            </w:tcBorders>
          </w:tcPr>
          <w:p w14:paraId="1646E96C" w14:textId="77777777" w:rsidR="00D86764" w:rsidRPr="007E3B4E" w:rsidRDefault="00D86764" w:rsidP="00654447">
            <w:pPr>
              <w:jc w:val="left"/>
              <w:rPr>
                <w:rFonts w:eastAsia="Times New Roman"/>
                <w:noProof/>
                <w:highlight w:val="yellow"/>
              </w:rPr>
            </w:pPr>
            <w:r w:rsidRPr="007E3B4E">
              <w:t>21. cikk, (3) bekezdés</w:t>
            </w:r>
          </w:p>
        </w:tc>
      </w:tr>
      <w:tr w:rsidR="00D86764" w:rsidRPr="007E3B4E" w14:paraId="7C2976B9" w14:textId="77777777" w:rsidTr="00654447">
        <w:tc>
          <w:tcPr>
            <w:tcW w:w="4674" w:type="dxa"/>
            <w:tcBorders>
              <w:top w:val="nil"/>
              <w:left w:val="nil"/>
              <w:bottom w:val="nil"/>
            </w:tcBorders>
          </w:tcPr>
          <w:p w14:paraId="6EE98B82" w14:textId="77777777" w:rsidR="00D86764" w:rsidRPr="007E3B4E" w:rsidRDefault="00D86764" w:rsidP="00654447">
            <w:pPr>
              <w:jc w:val="left"/>
              <w:rPr>
                <w:rFonts w:eastAsia="Times New Roman"/>
                <w:noProof/>
                <w:highlight w:val="yellow"/>
              </w:rPr>
            </w:pPr>
            <w:r w:rsidRPr="007E3B4E">
              <w:t>17. cikk, (3) bekezdés</w:t>
            </w:r>
          </w:p>
        </w:tc>
        <w:tc>
          <w:tcPr>
            <w:tcW w:w="4674" w:type="dxa"/>
            <w:tcBorders>
              <w:top w:val="nil"/>
              <w:bottom w:val="nil"/>
              <w:right w:val="nil"/>
            </w:tcBorders>
          </w:tcPr>
          <w:p w14:paraId="1099ED18" w14:textId="77777777" w:rsidR="00D86764" w:rsidRPr="007E3B4E" w:rsidRDefault="00D86764" w:rsidP="00654447">
            <w:pPr>
              <w:jc w:val="left"/>
              <w:rPr>
                <w:rFonts w:eastAsia="Times New Roman"/>
                <w:noProof/>
                <w:highlight w:val="yellow"/>
              </w:rPr>
            </w:pPr>
            <w:r w:rsidRPr="007E3B4E">
              <w:t>–</w:t>
            </w:r>
          </w:p>
        </w:tc>
      </w:tr>
      <w:tr w:rsidR="00D86764" w:rsidRPr="007E3B4E" w14:paraId="5E029506" w14:textId="77777777" w:rsidTr="00654447">
        <w:tc>
          <w:tcPr>
            <w:tcW w:w="4674" w:type="dxa"/>
            <w:tcBorders>
              <w:top w:val="nil"/>
              <w:left w:val="nil"/>
              <w:bottom w:val="nil"/>
            </w:tcBorders>
          </w:tcPr>
          <w:p w14:paraId="5DBCA292" w14:textId="77777777" w:rsidR="00D86764" w:rsidRPr="007E3B4E" w:rsidRDefault="00D86764" w:rsidP="00654447">
            <w:pPr>
              <w:jc w:val="left"/>
              <w:rPr>
                <w:rFonts w:eastAsia="Times New Roman"/>
                <w:noProof/>
                <w:highlight w:val="yellow"/>
              </w:rPr>
            </w:pPr>
            <w:r w:rsidRPr="007E3B4E">
              <w:t>17. cikk, (4) bekezdés</w:t>
            </w:r>
          </w:p>
        </w:tc>
        <w:tc>
          <w:tcPr>
            <w:tcW w:w="4674" w:type="dxa"/>
            <w:tcBorders>
              <w:top w:val="nil"/>
              <w:bottom w:val="nil"/>
              <w:right w:val="nil"/>
            </w:tcBorders>
          </w:tcPr>
          <w:p w14:paraId="28B5B58C" w14:textId="77777777" w:rsidR="00D86764" w:rsidRPr="007E3B4E" w:rsidRDefault="00D86764" w:rsidP="00654447">
            <w:pPr>
              <w:jc w:val="left"/>
              <w:rPr>
                <w:rFonts w:eastAsia="Times New Roman"/>
                <w:noProof/>
                <w:highlight w:val="yellow"/>
              </w:rPr>
            </w:pPr>
            <w:r w:rsidRPr="007E3B4E">
              <w:t>–</w:t>
            </w:r>
          </w:p>
        </w:tc>
      </w:tr>
      <w:tr w:rsidR="00D86764" w:rsidRPr="007E3B4E" w14:paraId="5A082E45" w14:textId="77777777" w:rsidTr="00654447">
        <w:tc>
          <w:tcPr>
            <w:tcW w:w="4674" w:type="dxa"/>
            <w:tcBorders>
              <w:top w:val="nil"/>
              <w:left w:val="nil"/>
              <w:bottom w:val="nil"/>
            </w:tcBorders>
          </w:tcPr>
          <w:p w14:paraId="241BE6DD" w14:textId="77777777" w:rsidR="00D86764" w:rsidRPr="007E3B4E" w:rsidRDefault="00D86764" w:rsidP="00654447">
            <w:pPr>
              <w:jc w:val="left"/>
              <w:rPr>
                <w:rFonts w:eastAsia="Times New Roman"/>
                <w:noProof/>
                <w:highlight w:val="yellow"/>
              </w:rPr>
            </w:pPr>
            <w:r w:rsidRPr="007E3B4E">
              <w:t>17. cikk, (5) bekezdés</w:t>
            </w:r>
          </w:p>
        </w:tc>
        <w:tc>
          <w:tcPr>
            <w:tcW w:w="4674" w:type="dxa"/>
            <w:tcBorders>
              <w:top w:val="nil"/>
              <w:bottom w:val="nil"/>
              <w:right w:val="nil"/>
            </w:tcBorders>
          </w:tcPr>
          <w:p w14:paraId="5D748466" w14:textId="77777777" w:rsidR="00D86764" w:rsidRPr="007E3B4E" w:rsidRDefault="00D86764" w:rsidP="00654447">
            <w:pPr>
              <w:jc w:val="left"/>
              <w:rPr>
                <w:rFonts w:eastAsia="Times New Roman"/>
                <w:noProof/>
                <w:highlight w:val="yellow"/>
              </w:rPr>
            </w:pPr>
            <w:r w:rsidRPr="007E3B4E">
              <w:t>21. cikk, (6) bekezdés</w:t>
            </w:r>
          </w:p>
        </w:tc>
      </w:tr>
      <w:tr w:rsidR="00D86764" w:rsidRPr="007E3B4E" w14:paraId="09F95557" w14:textId="77777777" w:rsidTr="00654447">
        <w:tc>
          <w:tcPr>
            <w:tcW w:w="4674" w:type="dxa"/>
            <w:tcBorders>
              <w:top w:val="nil"/>
              <w:left w:val="nil"/>
              <w:bottom w:val="nil"/>
            </w:tcBorders>
          </w:tcPr>
          <w:p w14:paraId="06E3F884" w14:textId="77777777" w:rsidR="00D86764" w:rsidRPr="007E3B4E" w:rsidRDefault="00D86764" w:rsidP="00654447">
            <w:pPr>
              <w:jc w:val="left"/>
              <w:rPr>
                <w:rFonts w:eastAsia="Times New Roman"/>
                <w:noProof/>
                <w:highlight w:val="yellow"/>
              </w:rPr>
            </w:pPr>
            <w:r w:rsidRPr="007E3B4E">
              <w:t>18. cikk, (1) bekezdés, bevezető szöveg</w:t>
            </w:r>
          </w:p>
        </w:tc>
        <w:tc>
          <w:tcPr>
            <w:tcW w:w="4674" w:type="dxa"/>
            <w:tcBorders>
              <w:top w:val="nil"/>
              <w:bottom w:val="nil"/>
              <w:right w:val="nil"/>
            </w:tcBorders>
          </w:tcPr>
          <w:p w14:paraId="72C1A58F" w14:textId="77777777" w:rsidR="00D86764" w:rsidRPr="007E3B4E" w:rsidRDefault="00D86764" w:rsidP="00654447">
            <w:pPr>
              <w:jc w:val="left"/>
              <w:rPr>
                <w:rFonts w:eastAsia="Times New Roman"/>
                <w:noProof/>
                <w:highlight w:val="yellow"/>
              </w:rPr>
            </w:pPr>
            <w:r w:rsidRPr="007E3B4E">
              <w:t>27. cikk, (1) bekezdés, bevezető szöveg</w:t>
            </w:r>
          </w:p>
        </w:tc>
      </w:tr>
      <w:tr w:rsidR="00D86764" w:rsidRPr="007E3B4E" w14:paraId="6B7A84CC" w14:textId="77777777" w:rsidTr="00654447">
        <w:tc>
          <w:tcPr>
            <w:tcW w:w="4674" w:type="dxa"/>
            <w:tcBorders>
              <w:top w:val="nil"/>
              <w:left w:val="nil"/>
              <w:bottom w:val="nil"/>
            </w:tcBorders>
          </w:tcPr>
          <w:p w14:paraId="3D4B9DC8" w14:textId="77777777" w:rsidR="00D86764" w:rsidRPr="007E3B4E" w:rsidRDefault="00D86764" w:rsidP="00654447">
            <w:pPr>
              <w:jc w:val="left"/>
              <w:rPr>
                <w:rFonts w:eastAsia="Times New Roman"/>
                <w:highlight w:val="yellow"/>
              </w:rPr>
            </w:pPr>
            <w:r w:rsidRPr="007E3B4E">
              <w:t>18. cikk, (1) bekezdés, a) pont), i. és ii. alpont</w:t>
            </w:r>
          </w:p>
        </w:tc>
        <w:tc>
          <w:tcPr>
            <w:tcW w:w="4674" w:type="dxa"/>
            <w:tcBorders>
              <w:top w:val="nil"/>
              <w:bottom w:val="nil"/>
              <w:right w:val="nil"/>
            </w:tcBorders>
          </w:tcPr>
          <w:p w14:paraId="18F0DDD2" w14:textId="77777777" w:rsidR="00D86764" w:rsidRPr="007E3B4E" w:rsidRDefault="00D86764" w:rsidP="00654447">
            <w:pPr>
              <w:jc w:val="left"/>
              <w:rPr>
                <w:rFonts w:eastAsia="Times New Roman"/>
                <w:noProof/>
                <w:highlight w:val="yellow"/>
              </w:rPr>
            </w:pPr>
            <w:r w:rsidRPr="007E3B4E">
              <w:t>27. cikk, (1) bekezdés, a) és b) pont</w:t>
            </w:r>
          </w:p>
        </w:tc>
      </w:tr>
      <w:tr w:rsidR="00D86764" w:rsidRPr="007E3B4E" w14:paraId="4A21AED2" w14:textId="77777777" w:rsidTr="00654447">
        <w:tc>
          <w:tcPr>
            <w:tcW w:w="4674" w:type="dxa"/>
            <w:tcBorders>
              <w:top w:val="nil"/>
              <w:left w:val="nil"/>
              <w:bottom w:val="nil"/>
            </w:tcBorders>
          </w:tcPr>
          <w:p w14:paraId="56457933"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4247735E" w14:textId="77777777" w:rsidR="00D86764" w:rsidRPr="007E3B4E" w:rsidRDefault="00D86764" w:rsidP="00654447">
            <w:pPr>
              <w:jc w:val="left"/>
              <w:rPr>
                <w:rFonts w:eastAsia="Times New Roman"/>
                <w:noProof/>
                <w:highlight w:val="yellow"/>
              </w:rPr>
            </w:pPr>
            <w:r w:rsidRPr="007E3B4E">
              <w:t>27. cikk, (1) bekezdés, c) és d) pont</w:t>
            </w:r>
          </w:p>
        </w:tc>
      </w:tr>
      <w:tr w:rsidR="00D86764" w:rsidRPr="007E3B4E" w14:paraId="66D45070" w14:textId="77777777" w:rsidTr="00654447">
        <w:tc>
          <w:tcPr>
            <w:tcW w:w="4674" w:type="dxa"/>
            <w:tcBorders>
              <w:top w:val="nil"/>
              <w:left w:val="nil"/>
              <w:bottom w:val="nil"/>
            </w:tcBorders>
          </w:tcPr>
          <w:p w14:paraId="093C87AF" w14:textId="77777777" w:rsidR="00D86764" w:rsidRPr="007E3B4E" w:rsidRDefault="00D86764" w:rsidP="00654447">
            <w:pPr>
              <w:jc w:val="left"/>
              <w:rPr>
                <w:rFonts w:eastAsia="Times New Roman"/>
                <w:noProof/>
                <w:highlight w:val="yellow"/>
              </w:rPr>
            </w:pPr>
            <w:r w:rsidRPr="007E3B4E">
              <w:t>18. cikk, (1) bekezdés, b) pont</w:t>
            </w:r>
          </w:p>
        </w:tc>
        <w:tc>
          <w:tcPr>
            <w:tcW w:w="4674" w:type="dxa"/>
            <w:tcBorders>
              <w:top w:val="nil"/>
              <w:bottom w:val="nil"/>
              <w:right w:val="nil"/>
            </w:tcBorders>
          </w:tcPr>
          <w:p w14:paraId="722DEC6F" w14:textId="77777777" w:rsidR="00D86764" w:rsidRPr="007E3B4E" w:rsidRDefault="00D86764" w:rsidP="00654447">
            <w:pPr>
              <w:jc w:val="left"/>
              <w:rPr>
                <w:rFonts w:eastAsia="Times New Roman"/>
                <w:noProof/>
                <w:highlight w:val="yellow"/>
              </w:rPr>
            </w:pPr>
            <w:r w:rsidRPr="007E3B4E">
              <w:t>27. cikk, (2) bekezdés</w:t>
            </w:r>
          </w:p>
        </w:tc>
      </w:tr>
      <w:tr w:rsidR="00D86764" w:rsidRPr="007E3B4E" w14:paraId="01AD1029" w14:textId="77777777" w:rsidTr="00654447">
        <w:tc>
          <w:tcPr>
            <w:tcW w:w="4674" w:type="dxa"/>
            <w:tcBorders>
              <w:top w:val="nil"/>
              <w:left w:val="nil"/>
              <w:bottom w:val="nil"/>
            </w:tcBorders>
          </w:tcPr>
          <w:p w14:paraId="7A1ECB1A" w14:textId="77777777" w:rsidR="00D86764" w:rsidRPr="007E3B4E" w:rsidRDefault="00D86764" w:rsidP="00654447">
            <w:pPr>
              <w:jc w:val="left"/>
              <w:rPr>
                <w:rFonts w:eastAsia="Times New Roman"/>
                <w:noProof/>
                <w:highlight w:val="yellow"/>
              </w:rPr>
            </w:pPr>
            <w:r w:rsidRPr="007E3B4E">
              <w:t>18. cikk, (1) bekezdés, c) pont</w:t>
            </w:r>
          </w:p>
        </w:tc>
        <w:tc>
          <w:tcPr>
            <w:tcW w:w="4674" w:type="dxa"/>
            <w:tcBorders>
              <w:top w:val="nil"/>
              <w:bottom w:val="nil"/>
              <w:right w:val="nil"/>
            </w:tcBorders>
          </w:tcPr>
          <w:p w14:paraId="0A628C4D" w14:textId="77777777" w:rsidR="00D86764" w:rsidRPr="007E3B4E" w:rsidRDefault="00D86764" w:rsidP="00654447">
            <w:pPr>
              <w:jc w:val="left"/>
              <w:rPr>
                <w:rFonts w:eastAsia="Times New Roman"/>
                <w:noProof/>
                <w:highlight w:val="yellow"/>
              </w:rPr>
            </w:pPr>
            <w:r w:rsidRPr="007E3B4E">
              <w:t>27. cikk, (3) bekezdés</w:t>
            </w:r>
          </w:p>
        </w:tc>
      </w:tr>
      <w:tr w:rsidR="00D86764" w:rsidRPr="007E3B4E" w14:paraId="5F42D0B4" w14:textId="77777777" w:rsidTr="00654447">
        <w:tc>
          <w:tcPr>
            <w:tcW w:w="4674" w:type="dxa"/>
            <w:tcBorders>
              <w:top w:val="nil"/>
              <w:left w:val="nil"/>
              <w:bottom w:val="nil"/>
            </w:tcBorders>
          </w:tcPr>
          <w:p w14:paraId="6751B27C"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443924BA" w14:textId="77777777" w:rsidR="00D86764" w:rsidRPr="007E3B4E" w:rsidRDefault="00D86764" w:rsidP="00654447">
            <w:pPr>
              <w:jc w:val="left"/>
              <w:rPr>
                <w:rFonts w:eastAsia="Times New Roman"/>
                <w:noProof/>
                <w:highlight w:val="yellow"/>
              </w:rPr>
            </w:pPr>
            <w:r w:rsidRPr="007E3B4E">
              <w:t>27. cikk, (4) bekezdés</w:t>
            </w:r>
          </w:p>
        </w:tc>
      </w:tr>
      <w:tr w:rsidR="00D86764" w:rsidRPr="007E3B4E" w14:paraId="2D9E0F93" w14:textId="77777777" w:rsidTr="00654447">
        <w:tc>
          <w:tcPr>
            <w:tcW w:w="4674" w:type="dxa"/>
            <w:tcBorders>
              <w:top w:val="nil"/>
              <w:left w:val="nil"/>
              <w:bottom w:val="nil"/>
            </w:tcBorders>
          </w:tcPr>
          <w:p w14:paraId="214D8121" w14:textId="77777777" w:rsidR="00D86764" w:rsidRPr="007E3B4E" w:rsidRDefault="00D86764" w:rsidP="00654447">
            <w:pPr>
              <w:jc w:val="left"/>
              <w:rPr>
                <w:rFonts w:eastAsia="Times New Roman"/>
                <w:highlight w:val="yellow"/>
              </w:rPr>
            </w:pPr>
            <w:r w:rsidRPr="007E3B4E">
              <w:t>18. cikk, (1) bekezdés d) pont, i. és ii. alpont</w:t>
            </w:r>
          </w:p>
        </w:tc>
        <w:tc>
          <w:tcPr>
            <w:tcW w:w="4674" w:type="dxa"/>
            <w:tcBorders>
              <w:top w:val="nil"/>
              <w:bottom w:val="nil"/>
              <w:right w:val="nil"/>
            </w:tcBorders>
          </w:tcPr>
          <w:p w14:paraId="355F8C81" w14:textId="77777777" w:rsidR="00D86764" w:rsidRPr="007E3B4E" w:rsidRDefault="00D86764" w:rsidP="00654447">
            <w:pPr>
              <w:jc w:val="left"/>
              <w:rPr>
                <w:rFonts w:eastAsia="Times New Roman"/>
                <w:noProof/>
                <w:highlight w:val="yellow"/>
              </w:rPr>
            </w:pPr>
            <w:r w:rsidRPr="007E3B4E">
              <w:t>27. cikk, (5) bekezdés, a) és b) pont</w:t>
            </w:r>
          </w:p>
        </w:tc>
      </w:tr>
      <w:tr w:rsidR="00D86764" w:rsidRPr="007E3B4E" w14:paraId="4B5C6E4C" w14:textId="77777777" w:rsidTr="00654447">
        <w:tc>
          <w:tcPr>
            <w:tcW w:w="4674" w:type="dxa"/>
            <w:tcBorders>
              <w:top w:val="nil"/>
              <w:left w:val="nil"/>
              <w:bottom w:val="nil"/>
            </w:tcBorders>
          </w:tcPr>
          <w:p w14:paraId="23C844A9"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4FEBB18" w14:textId="77777777" w:rsidR="00D86764" w:rsidRPr="007E3B4E" w:rsidRDefault="00D86764" w:rsidP="00654447">
            <w:pPr>
              <w:jc w:val="left"/>
              <w:rPr>
                <w:rFonts w:eastAsia="Times New Roman"/>
                <w:noProof/>
                <w:highlight w:val="yellow"/>
              </w:rPr>
            </w:pPr>
            <w:r w:rsidRPr="007E3B4E">
              <w:t>27. cikk, (5) bekezdés, c) pont</w:t>
            </w:r>
          </w:p>
        </w:tc>
      </w:tr>
      <w:tr w:rsidR="00D86764" w:rsidRPr="007E3B4E" w14:paraId="48BD1DDD" w14:textId="77777777" w:rsidTr="00654447">
        <w:tc>
          <w:tcPr>
            <w:tcW w:w="4674" w:type="dxa"/>
            <w:tcBorders>
              <w:top w:val="nil"/>
              <w:left w:val="nil"/>
              <w:bottom w:val="nil"/>
            </w:tcBorders>
          </w:tcPr>
          <w:p w14:paraId="340026A3" w14:textId="77777777" w:rsidR="00D86764" w:rsidRPr="007E3B4E" w:rsidRDefault="00D86764" w:rsidP="00654447">
            <w:pPr>
              <w:jc w:val="left"/>
              <w:rPr>
                <w:rFonts w:eastAsia="Times New Roman"/>
                <w:noProof/>
                <w:highlight w:val="yellow"/>
              </w:rPr>
            </w:pPr>
            <w:r w:rsidRPr="007E3B4E">
              <w:t>18. cikk, (2) bekezdés, a) és b) pont</w:t>
            </w:r>
          </w:p>
        </w:tc>
        <w:tc>
          <w:tcPr>
            <w:tcW w:w="4674" w:type="dxa"/>
            <w:tcBorders>
              <w:top w:val="nil"/>
              <w:bottom w:val="nil"/>
              <w:right w:val="nil"/>
            </w:tcBorders>
          </w:tcPr>
          <w:p w14:paraId="04D70A91" w14:textId="77777777" w:rsidR="00D86764" w:rsidRPr="007E3B4E" w:rsidRDefault="00D86764" w:rsidP="00654447">
            <w:pPr>
              <w:jc w:val="left"/>
              <w:rPr>
                <w:rFonts w:eastAsia="Times New Roman"/>
                <w:noProof/>
                <w:highlight w:val="yellow"/>
              </w:rPr>
            </w:pPr>
            <w:r w:rsidRPr="007E3B4E">
              <w:t>27. cikk, (6) bekezdés, a) és b) pont</w:t>
            </w:r>
          </w:p>
        </w:tc>
      </w:tr>
      <w:tr w:rsidR="00D86764" w:rsidRPr="007E3B4E" w14:paraId="762F5977" w14:textId="77777777" w:rsidTr="00654447">
        <w:tc>
          <w:tcPr>
            <w:tcW w:w="4674" w:type="dxa"/>
            <w:tcBorders>
              <w:top w:val="nil"/>
              <w:left w:val="nil"/>
              <w:bottom w:val="nil"/>
            </w:tcBorders>
          </w:tcPr>
          <w:p w14:paraId="1A2F822D" w14:textId="77777777" w:rsidR="00D86764" w:rsidRPr="007E3B4E" w:rsidRDefault="00D86764" w:rsidP="00654447">
            <w:pPr>
              <w:jc w:val="left"/>
              <w:rPr>
                <w:rFonts w:eastAsia="Times New Roman"/>
                <w:noProof/>
              </w:rPr>
            </w:pPr>
            <w:r w:rsidRPr="007E3B4E">
              <w:t>18. cikk, (2) bekezdés, c) és d) pont</w:t>
            </w:r>
          </w:p>
        </w:tc>
        <w:tc>
          <w:tcPr>
            <w:tcW w:w="4674" w:type="dxa"/>
            <w:tcBorders>
              <w:top w:val="nil"/>
              <w:bottom w:val="nil"/>
              <w:right w:val="nil"/>
            </w:tcBorders>
          </w:tcPr>
          <w:p w14:paraId="2BA1B87D" w14:textId="77777777" w:rsidR="00D86764" w:rsidRPr="007E3B4E" w:rsidRDefault="00D86764" w:rsidP="00654447">
            <w:pPr>
              <w:jc w:val="left"/>
              <w:rPr>
                <w:rFonts w:eastAsia="Times New Roman"/>
                <w:noProof/>
              </w:rPr>
            </w:pPr>
            <w:r w:rsidRPr="007E3B4E">
              <w:t>–</w:t>
            </w:r>
          </w:p>
        </w:tc>
      </w:tr>
      <w:tr w:rsidR="00D86764" w:rsidRPr="007E3B4E" w14:paraId="5787680F" w14:textId="77777777" w:rsidTr="00654447">
        <w:tc>
          <w:tcPr>
            <w:tcW w:w="4674" w:type="dxa"/>
            <w:tcBorders>
              <w:top w:val="nil"/>
              <w:left w:val="nil"/>
              <w:bottom w:val="nil"/>
            </w:tcBorders>
          </w:tcPr>
          <w:p w14:paraId="11882411"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2EDC6124" w14:textId="77777777" w:rsidR="00D86764" w:rsidRPr="007E3B4E" w:rsidRDefault="00D86764" w:rsidP="00654447">
            <w:pPr>
              <w:jc w:val="left"/>
              <w:rPr>
                <w:rFonts w:eastAsia="Times New Roman"/>
                <w:noProof/>
              </w:rPr>
            </w:pPr>
            <w:r w:rsidRPr="007E3B4E">
              <w:t>27. cikk, (6) bekezdés, c) pont</w:t>
            </w:r>
          </w:p>
        </w:tc>
      </w:tr>
      <w:tr w:rsidR="00D86764" w:rsidRPr="007E3B4E" w14:paraId="21543976" w14:textId="77777777" w:rsidTr="00654447">
        <w:tc>
          <w:tcPr>
            <w:tcW w:w="4674" w:type="dxa"/>
            <w:tcBorders>
              <w:top w:val="nil"/>
              <w:left w:val="nil"/>
              <w:bottom w:val="nil"/>
            </w:tcBorders>
          </w:tcPr>
          <w:p w14:paraId="00AFFA52"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7A22BA5B" w14:textId="77777777" w:rsidR="00D86764" w:rsidRPr="007E3B4E" w:rsidRDefault="00D86764" w:rsidP="00654447">
            <w:pPr>
              <w:jc w:val="left"/>
              <w:rPr>
                <w:rFonts w:eastAsia="Times New Roman"/>
                <w:noProof/>
              </w:rPr>
            </w:pPr>
            <w:r w:rsidRPr="007E3B4E">
              <w:t>27. cikk, (7) bekezdés</w:t>
            </w:r>
          </w:p>
        </w:tc>
      </w:tr>
      <w:tr w:rsidR="00D86764" w:rsidRPr="007E3B4E" w14:paraId="4DFB4651" w14:textId="77777777" w:rsidTr="00654447">
        <w:tc>
          <w:tcPr>
            <w:tcW w:w="4674" w:type="dxa"/>
            <w:tcBorders>
              <w:top w:val="nil"/>
              <w:left w:val="nil"/>
              <w:bottom w:val="nil"/>
            </w:tcBorders>
          </w:tcPr>
          <w:p w14:paraId="372D2162" w14:textId="77777777" w:rsidR="00D86764" w:rsidRPr="007E3B4E" w:rsidRDefault="00D86764" w:rsidP="00654447">
            <w:pPr>
              <w:jc w:val="left"/>
              <w:rPr>
                <w:rFonts w:eastAsia="Times New Roman"/>
                <w:noProof/>
              </w:rPr>
            </w:pPr>
            <w:r w:rsidRPr="007E3B4E">
              <w:t>18. cikk, (3) bekezdés</w:t>
            </w:r>
          </w:p>
        </w:tc>
        <w:tc>
          <w:tcPr>
            <w:tcW w:w="4674" w:type="dxa"/>
            <w:tcBorders>
              <w:top w:val="nil"/>
              <w:bottom w:val="nil"/>
              <w:right w:val="nil"/>
            </w:tcBorders>
          </w:tcPr>
          <w:p w14:paraId="59668B4F" w14:textId="77777777" w:rsidR="00D86764" w:rsidRPr="007E3B4E" w:rsidRDefault="00D86764" w:rsidP="00654447">
            <w:pPr>
              <w:jc w:val="left"/>
              <w:rPr>
                <w:rFonts w:eastAsia="Times New Roman"/>
                <w:noProof/>
              </w:rPr>
            </w:pPr>
            <w:r w:rsidRPr="007E3B4E">
              <w:t>27. cikk, (8) bekezdés</w:t>
            </w:r>
          </w:p>
        </w:tc>
      </w:tr>
      <w:tr w:rsidR="00D86764" w:rsidRPr="007E3B4E" w14:paraId="2A9636F0" w14:textId="77777777" w:rsidTr="00654447">
        <w:tc>
          <w:tcPr>
            <w:tcW w:w="4674" w:type="dxa"/>
            <w:tcBorders>
              <w:top w:val="nil"/>
              <w:left w:val="nil"/>
              <w:bottom w:val="nil"/>
            </w:tcBorders>
          </w:tcPr>
          <w:p w14:paraId="3BC56B7D" w14:textId="77777777" w:rsidR="00D86764" w:rsidRPr="007E3B4E" w:rsidRDefault="00D86764" w:rsidP="00654447">
            <w:pPr>
              <w:jc w:val="left"/>
              <w:rPr>
                <w:rFonts w:eastAsia="Times New Roman"/>
                <w:noProof/>
                <w:highlight w:val="yellow"/>
              </w:rPr>
            </w:pPr>
            <w:r w:rsidRPr="007E3B4E">
              <w:t>19. cikk, (1) bekezdés, a) pont</w:t>
            </w:r>
          </w:p>
        </w:tc>
        <w:tc>
          <w:tcPr>
            <w:tcW w:w="4674" w:type="dxa"/>
            <w:tcBorders>
              <w:top w:val="nil"/>
              <w:bottom w:val="nil"/>
              <w:right w:val="nil"/>
            </w:tcBorders>
          </w:tcPr>
          <w:p w14:paraId="1FB980FD" w14:textId="77777777" w:rsidR="00D86764" w:rsidRPr="007E3B4E" w:rsidRDefault="00D86764" w:rsidP="00654447">
            <w:pPr>
              <w:jc w:val="left"/>
              <w:rPr>
                <w:rFonts w:eastAsia="Times New Roman"/>
                <w:noProof/>
                <w:highlight w:val="yellow"/>
              </w:rPr>
            </w:pPr>
            <w:r w:rsidRPr="007E3B4E">
              <w:t>21. cikk, (5) bekezdés, első albekezdés</w:t>
            </w:r>
          </w:p>
        </w:tc>
      </w:tr>
      <w:tr w:rsidR="00D86764" w:rsidRPr="007E3B4E" w14:paraId="3350FBAE" w14:textId="77777777" w:rsidTr="00654447">
        <w:tc>
          <w:tcPr>
            <w:tcW w:w="4674" w:type="dxa"/>
            <w:tcBorders>
              <w:top w:val="nil"/>
              <w:left w:val="nil"/>
              <w:bottom w:val="nil"/>
            </w:tcBorders>
          </w:tcPr>
          <w:p w14:paraId="5FC66489" w14:textId="77777777" w:rsidR="00D86764" w:rsidRPr="007E3B4E" w:rsidRDefault="00D86764" w:rsidP="00654447">
            <w:pPr>
              <w:jc w:val="left"/>
              <w:rPr>
                <w:rFonts w:eastAsia="Times New Roman"/>
                <w:noProof/>
              </w:rPr>
            </w:pPr>
            <w:r w:rsidRPr="007E3B4E">
              <w:t>19. cikk, (1) bekezdés, b) pont</w:t>
            </w:r>
          </w:p>
        </w:tc>
        <w:tc>
          <w:tcPr>
            <w:tcW w:w="4674" w:type="dxa"/>
            <w:tcBorders>
              <w:top w:val="nil"/>
              <w:bottom w:val="nil"/>
              <w:right w:val="nil"/>
            </w:tcBorders>
          </w:tcPr>
          <w:p w14:paraId="590BC352" w14:textId="77777777" w:rsidR="00D86764" w:rsidRPr="007E3B4E" w:rsidRDefault="00D86764" w:rsidP="00654447">
            <w:pPr>
              <w:jc w:val="left"/>
              <w:rPr>
                <w:rFonts w:eastAsia="Times New Roman"/>
                <w:noProof/>
              </w:rPr>
            </w:pPr>
            <w:r w:rsidRPr="007E3B4E">
              <w:t>7. cikk, (7) bekezdés, első albekezdés</w:t>
            </w:r>
          </w:p>
        </w:tc>
      </w:tr>
      <w:tr w:rsidR="00D86764" w:rsidRPr="007E3B4E" w14:paraId="676F4B95" w14:textId="77777777" w:rsidTr="00654447">
        <w:tc>
          <w:tcPr>
            <w:tcW w:w="4674" w:type="dxa"/>
            <w:tcBorders>
              <w:top w:val="nil"/>
              <w:left w:val="nil"/>
              <w:bottom w:val="nil"/>
            </w:tcBorders>
          </w:tcPr>
          <w:p w14:paraId="44D40259" w14:textId="77777777" w:rsidR="00D86764" w:rsidRPr="007E3B4E" w:rsidRDefault="00D86764" w:rsidP="00654447">
            <w:pPr>
              <w:jc w:val="left"/>
              <w:rPr>
                <w:rFonts w:eastAsia="Times New Roman"/>
                <w:noProof/>
              </w:rPr>
            </w:pPr>
            <w:r w:rsidRPr="007E3B4E">
              <w:t>19. cikk, (1) bekezdés, második albekezdés</w:t>
            </w:r>
          </w:p>
        </w:tc>
        <w:tc>
          <w:tcPr>
            <w:tcW w:w="4674" w:type="dxa"/>
            <w:tcBorders>
              <w:top w:val="nil"/>
              <w:bottom w:val="nil"/>
              <w:right w:val="nil"/>
            </w:tcBorders>
          </w:tcPr>
          <w:p w14:paraId="146AFCC2" w14:textId="77777777" w:rsidR="00D86764" w:rsidRPr="007E3B4E" w:rsidRDefault="00D86764" w:rsidP="00654447">
            <w:pPr>
              <w:jc w:val="left"/>
              <w:rPr>
                <w:rFonts w:eastAsia="Times New Roman"/>
                <w:noProof/>
              </w:rPr>
            </w:pPr>
            <w:r w:rsidRPr="007E3B4E">
              <w:t>21. cikk, (5) bekezdés, második albekezdés</w:t>
            </w:r>
          </w:p>
        </w:tc>
      </w:tr>
      <w:tr w:rsidR="00D86764" w:rsidRPr="007E3B4E" w14:paraId="3725D422" w14:textId="77777777" w:rsidTr="00654447">
        <w:tc>
          <w:tcPr>
            <w:tcW w:w="4674" w:type="dxa"/>
            <w:tcBorders>
              <w:top w:val="nil"/>
              <w:left w:val="nil"/>
              <w:bottom w:val="nil"/>
            </w:tcBorders>
          </w:tcPr>
          <w:p w14:paraId="33B37A4E" w14:textId="77777777" w:rsidR="00D86764" w:rsidRPr="007E3B4E" w:rsidRDefault="00D86764" w:rsidP="00654447">
            <w:pPr>
              <w:jc w:val="left"/>
              <w:rPr>
                <w:rFonts w:eastAsia="Times New Roman"/>
                <w:noProof/>
                <w:highlight w:val="yellow"/>
              </w:rPr>
            </w:pPr>
            <w:r w:rsidRPr="007E3B4E">
              <w:t>19. cikk, (2) bekezdés</w:t>
            </w:r>
          </w:p>
        </w:tc>
        <w:tc>
          <w:tcPr>
            <w:tcW w:w="4674" w:type="dxa"/>
            <w:tcBorders>
              <w:top w:val="nil"/>
              <w:bottom w:val="nil"/>
              <w:right w:val="nil"/>
            </w:tcBorders>
          </w:tcPr>
          <w:p w14:paraId="0767E0C0" w14:textId="77777777" w:rsidR="00D86764" w:rsidRPr="007E3B4E" w:rsidRDefault="00D86764" w:rsidP="00654447">
            <w:pPr>
              <w:jc w:val="left"/>
              <w:rPr>
                <w:rFonts w:eastAsia="Times New Roman"/>
                <w:noProof/>
                <w:highlight w:val="yellow"/>
              </w:rPr>
            </w:pPr>
            <w:r w:rsidRPr="007E3B4E">
              <w:t>–</w:t>
            </w:r>
          </w:p>
        </w:tc>
      </w:tr>
      <w:tr w:rsidR="00D86764" w:rsidRPr="007E3B4E" w14:paraId="5E287BF1" w14:textId="77777777" w:rsidTr="00654447">
        <w:tc>
          <w:tcPr>
            <w:tcW w:w="4674" w:type="dxa"/>
            <w:tcBorders>
              <w:top w:val="nil"/>
              <w:left w:val="nil"/>
              <w:bottom w:val="nil"/>
            </w:tcBorders>
          </w:tcPr>
          <w:p w14:paraId="4147E089" w14:textId="77777777" w:rsidR="00D86764" w:rsidRPr="007E3B4E" w:rsidRDefault="00D86764" w:rsidP="00654447">
            <w:pPr>
              <w:jc w:val="left"/>
              <w:rPr>
                <w:rFonts w:eastAsia="Times New Roman"/>
                <w:noProof/>
                <w:highlight w:val="yellow"/>
              </w:rPr>
            </w:pPr>
            <w:r w:rsidRPr="007E3B4E">
              <w:t>20. cikk, (1) és (2) bekezdés</w:t>
            </w:r>
          </w:p>
        </w:tc>
        <w:tc>
          <w:tcPr>
            <w:tcW w:w="4674" w:type="dxa"/>
            <w:tcBorders>
              <w:top w:val="nil"/>
              <w:bottom w:val="nil"/>
              <w:right w:val="nil"/>
            </w:tcBorders>
          </w:tcPr>
          <w:p w14:paraId="7D7DCCD8" w14:textId="77777777" w:rsidR="00D86764" w:rsidRPr="007E3B4E" w:rsidRDefault="00D86764" w:rsidP="00654447">
            <w:pPr>
              <w:jc w:val="left"/>
              <w:rPr>
                <w:rFonts w:eastAsia="Times New Roman"/>
                <w:noProof/>
                <w:highlight w:val="yellow"/>
              </w:rPr>
            </w:pPr>
            <w:r w:rsidRPr="007E3B4E">
              <w:t>28. cikk, (1) és (2) bekezdés</w:t>
            </w:r>
          </w:p>
        </w:tc>
      </w:tr>
      <w:tr w:rsidR="00D86764" w:rsidRPr="007E3B4E" w14:paraId="30A35468" w14:textId="77777777" w:rsidTr="00654447">
        <w:tc>
          <w:tcPr>
            <w:tcW w:w="4674" w:type="dxa"/>
            <w:tcBorders>
              <w:top w:val="nil"/>
              <w:left w:val="nil"/>
              <w:bottom w:val="nil"/>
            </w:tcBorders>
          </w:tcPr>
          <w:p w14:paraId="5227C7F5"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B2EE210" w14:textId="77777777" w:rsidR="00D86764" w:rsidRPr="007E3B4E" w:rsidRDefault="00D86764" w:rsidP="00654447">
            <w:pPr>
              <w:jc w:val="left"/>
              <w:rPr>
                <w:rFonts w:eastAsia="Times New Roman"/>
                <w:noProof/>
                <w:highlight w:val="yellow"/>
              </w:rPr>
            </w:pPr>
            <w:r w:rsidRPr="007E3B4E">
              <w:t>28. cikk, (3) bekezdés</w:t>
            </w:r>
          </w:p>
        </w:tc>
      </w:tr>
      <w:tr w:rsidR="00D86764" w:rsidRPr="007E3B4E" w14:paraId="392F85AB" w14:textId="77777777" w:rsidTr="00654447">
        <w:tc>
          <w:tcPr>
            <w:tcW w:w="4674" w:type="dxa"/>
            <w:tcBorders>
              <w:top w:val="nil"/>
              <w:left w:val="nil"/>
              <w:bottom w:val="nil"/>
            </w:tcBorders>
          </w:tcPr>
          <w:p w14:paraId="04E9F666" w14:textId="77777777" w:rsidR="00D86764" w:rsidRPr="007E3B4E" w:rsidRDefault="00D86764" w:rsidP="00654447">
            <w:pPr>
              <w:jc w:val="left"/>
              <w:rPr>
                <w:rFonts w:eastAsia="Times New Roman"/>
                <w:noProof/>
                <w:highlight w:val="yellow"/>
              </w:rPr>
            </w:pPr>
            <w:r w:rsidRPr="007E3B4E">
              <w:t>20. cikk, (3), (3a), (3b) és (3c) bekezdés</w:t>
            </w:r>
          </w:p>
        </w:tc>
        <w:tc>
          <w:tcPr>
            <w:tcW w:w="4674" w:type="dxa"/>
            <w:tcBorders>
              <w:top w:val="nil"/>
              <w:bottom w:val="nil"/>
              <w:right w:val="nil"/>
            </w:tcBorders>
          </w:tcPr>
          <w:p w14:paraId="1E9E47A7" w14:textId="77777777" w:rsidR="00D86764" w:rsidRPr="007E3B4E" w:rsidRDefault="00D86764" w:rsidP="00654447">
            <w:pPr>
              <w:jc w:val="left"/>
              <w:rPr>
                <w:rFonts w:eastAsia="Times New Roman"/>
                <w:noProof/>
                <w:highlight w:val="yellow"/>
              </w:rPr>
            </w:pPr>
            <w:r w:rsidRPr="007E3B4E">
              <w:t>28. cikk, (4), (5), (6) és (7) bekezdés</w:t>
            </w:r>
          </w:p>
        </w:tc>
      </w:tr>
      <w:tr w:rsidR="00D86764" w:rsidRPr="007E3B4E" w14:paraId="24B4EEBF" w14:textId="77777777" w:rsidTr="00654447">
        <w:tc>
          <w:tcPr>
            <w:tcW w:w="4674" w:type="dxa"/>
            <w:tcBorders>
              <w:top w:val="nil"/>
              <w:left w:val="nil"/>
              <w:bottom w:val="nil"/>
            </w:tcBorders>
          </w:tcPr>
          <w:p w14:paraId="6F27CD35" w14:textId="77777777" w:rsidR="00D86764" w:rsidRPr="007E3B4E" w:rsidRDefault="00D86764" w:rsidP="00654447">
            <w:pPr>
              <w:jc w:val="left"/>
              <w:rPr>
                <w:rFonts w:eastAsia="Times New Roman"/>
                <w:noProof/>
              </w:rPr>
            </w:pPr>
            <w:r w:rsidRPr="007E3B4E">
              <w:t>20. cikk, (3d) bekezdés</w:t>
            </w:r>
          </w:p>
        </w:tc>
        <w:tc>
          <w:tcPr>
            <w:tcW w:w="4674" w:type="dxa"/>
            <w:tcBorders>
              <w:top w:val="nil"/>
              <w:bottom w:val="nil"/>
              <w:right w:val="nil"/>
            </w:tcBorders>
          </w:tcPr>
          <w:p w14:paraId="64F84D28" w14:textId="77777777" w:rsidR="00D86764" w:rsidRPr="007E3B4E" w:rsidRDefault="00D86764" w:rsidP="00654447">
            <w:pPr>
              <w:jc w:val="left"/>
              <w:rPr>
                <w:rFonts w:eastAsia="Times New Roman"/>
                <w:noProof/>
              </w:rPr>
            </w:pPr>
            <w:r w:rsidRPr="007E3B4E">
              <w:t>28. cikk, (8) bekezdés, első albekezdés</w:t>
            </w:r>
          </w:p>
        </w:tc>
      </w:tr>
      <w:tr w:rsidR="00D86764" w:rsidRPr="007E3B4E" w14:paraId="636F59F0" w14:textId="77777777" w:rsidTr="00654447">
        <w:tc>
          <w:tcPr>
            <w:tcW w:w="4674" w:type="dxa"/>
            <w:tcBorders>
              <w:top w:val="nil"/>
              <w:left w:val="nil"/>
              <w:bottom w:val="nil"/>
            </w:tcBorders>
          </w:tcPr>
          <w:p w14:paraId="4C37C87D"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1313389B" w14:textId="77777777" w:rsidR="00D86764" w:rsidRPr="007E3B4E" w:rsidRDefault="00D86764" w:rsidP="00654447">
            <w:pPr>
              <w:jc w:val="left"/>
              <w:rPr>
                <w:rFonts w:eastAsia="Times New Roman"/>
                <w:noProof/>
              </w:rPr>
            </w:pPr>
            <w:r w:rsidRPr="007E3B4E">
              <w:t>28. cikk, (8) bekezdés, második albekezdés</w:t>
            </w:r>
          </w:p>
        </w:tc>
      </w:tr>
      <w:tr w:rsidR="00D86764" w:rsidRPr="007E3B4E" w14:paraId="1DB9E713" w14:textId="77777777" w:rsidTr="00654447">
        <w:tc>
          <w:tcPr>
            <w:tcW w:w="4674" w:type="dxa"/>
            <w:tcBorders>
              <w:top w:val="nil"/>
              <w:left w:val="nil"/>
              <w:bottom w:val="nil"/>
            </w:tcBorders>
          </w:tcPr>
          <w:p w14:paraId="41DA3EE7" w14:textId="77777777" w:rsidR="00D86764" w:rsidRPr="007E3B4E" w:rsidRDefault="00D86764" w:rsidP="00654447">
            <w:pPr>
              <w:jc w:val="left"/>
              <w:rPr>
                <w:rFonts w:eastAsia="Times New Roman"/>
                <w:noProof/>
              </w:rPr>
            </w:pPr>
            <w:r w:rsidRPr="007E3B4E">
              <w:t>20. cikk, (4), (5), (6) és (7) bekezdés</w:t>
            </w:r>
          </w:p>
        </w:tc>
        <w:tc>
          <w:tcPr>
            <w:tcW w:w="4674" w:type="dxa"/>
            <w:tcBorders>
              <w:top w:val="nil"/>
              <w:bottom w:val="nil"/>
              <w:right w:val="nil"/>
            </w:tcBorders>
          </w:tcPr>
          <w:p w14:paraId="6CAC0147" w14:textId="77777777" w:rsidR="00D86764" w:rsidRPr="007E3B4E" w:rsidRDefault="00D86764" w:rsidP="00654447">
            <w:pPr>
              <w:jc w:val="left"/>
              <w:rPr>
                <w:rFonts w:eastAsia="Times New Roman"/>
                <w:noProof/>
              </w:rPr>
            </w:pPr>
            <w:r w:rsidRPr="007E3B4E">
              <w:t>28. cikk, (9), (10), (11) és (12) bekezdés</w:t>
            </w:r>
          </w:p>
        </w:tc>
      </w:tr>
      <w:tr w:rsidR="00D86764" w:rsidRPr="007E3B4E" w14:paraId="7AE57C50" w14:textId="77777777" w:rsidTr="00654447">
        <w:tc>
          <w:tcPr>
            <w:tcW w:w="4674" w:type="dxa"/>
            <w:tcBorders>
              <w:top w:val="nil"/>
              <w:left w:val="nil"/>
              <w:bottom w:val="nil"/>
            </w:tcBorders>
          </w:tcPr>
          <w:p w14:paraId="7FE27520" w14:textId="77777777" w:rsidR="00D86764" w:rsidRPr="007E3B4E" w:rsidRDefault="00D86764" w:rsidP="00654447">
            <w:pPr>
              <w:jc w:val="left"/>
              <w:rPr>
                <w:rFonts w:eastAsia="Times New Roman"/>
                <w:noProof/>
                <w:highlight w:val="yellow"/>
              </w:rPr>
            </w:pPr>
            <w:r w:rsidRPr="007E3B4E">
              <w:t>21. cikk</w:t>
            </w:r>
          </w:p>
        </w:tc>
        <w:tc>
          <w:tcPr>
            <w:tcW w:w="4674" w:type="dxa"/>
            <w:tcBorders>
              <w:top w:val="nil"/>
              <w:bottom w:val="nil"/>
              <w:right w:val="nil"/>
            </w:tcBorders>
          </w:tcPr>
          <w:p w14:paraId="2DB459CB" w14:textId="77777777" w:rsidR="00D86764" w:rsidRPr="007E3B4E" w:rsidRDefault="00D86764" w:rsidP="00654447">
            <w:pPr>
              <w:jc w:val="left"/>
              <w:rPr>
                <w:rFonts w:eastAsia="Times New Roman"/>
                <w:noProof/>
                <w:highlight w:val="yellow"/>
              </w:rPr>
            </w:pPr>
            <w:r w:rsidRPr="007E3B4E">
              <w:t>29. cikk, (1) bekezdés</w:t>
            </w:r>
          </w:p>
        </w:tc>
      </w:tr>
      <w:tr w:rsidR="00D86764" w:rsidRPr="007E3B4E" w14:paraId="5AA79E5A" w14:textId="77777777" w:rsidTr="00654447">
        <w:tc>
          <w:tcPr>
            <w:tcW w:w="4674" w:type="dxa"/>
            <w:tcBorders>
              <w:top w:val="nil"/>
              <w:left w:val="nil"/>
              <w:bottom w:val="nil"/>
            </w:tcBorders>
          </w:tcPr>
          <w:p w14:paraId="50DEF269"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14068EF9" w14:textId="77777777" w:rsidR="00D86764" w:rsidRPr="007E3B4E" w:rsidRDefault="00D86764" w:rsidP="00654447">
            <w:pPr>
              <w:jc w:val="left"/>
              <w:rPr>
                <w:rFonts w:eastAsia="Times New Roman"/>
                <w:noProof/>
              </w:rPr>
            </w:pPr>
            <w:r w:rsidRPr="007E3B4E">
              <w:t>29. cikk, (2), (3), (4), (5), (6) és (7) bekezdés</w:t>
            </w:r>
          </w:p>
        </w:tc>
      </w:tr>
      <w:tr w:rsidR="00D86764" w:rsidRPr="007E3B4E" w14:paraId="6249713B" w14:textId="77777777" w:rsidTr="00654447">
        <w:tc>
          <w:tcPr>
            <w:tcW w:w="4674" w:type="dxa"/>
            <w:tcBorders>
              <w:top w:val="nil"/>
              <w:left w:val="nil"/>
              <w:bottom w:val="nil"/>
            </w:tcBorders>
          </w:tcPr>
          <w:p w14:paraId="6B72CFDD" w14:textId="77777777" w:rsidR="00D86764" w:rsidRPr="007E3B4E" w:rsidRDefault="00D86764" w:rsidP="00654447">
            <w:pPr>
              <w:jc w:val="left"/>
              <w:rPr>
                <w:rFonts w:eastAsia="Times New Roman"/>
                <w:noProof/>
                <w:highlight w:val="yellow"/>
              </w:rPr>
            </w:pPr>
            <w:r w:rsidRPr="007E3B4E">
              <w:t>22. cikk, (1) és (2) bekezdés</w:t>
            </w:r>
          </w:p>
        </w:tc>
        <w:tc>
          <w:tcPr>
            <w:tcW w:w="4674" w:type="dxa"/>
            <w:tcBorders>
              <w:top w:val="nil"/>
              <w:bottom w:val="nil"/>
              <w:right w:val="nil"/>
            </w:tcBorders>
          </w:tcPr>
          <w:p w14:paraId="2E9D4414" w14:textId="77777777" w:rsidR="00D86764" w:rsidRPr="007E3B4E" w:rsidRDefault="00D86764" w:rsidP="00654447">
            <w:pPr>
              <w:jc w:val="left"/>
              <w:rPr>
                <w:rFonts w:eastAsia="Times New Roman"/>
                <w:noProof/>
                <w:highlight w:val="yellow"/>
              </w:rPr>
            </w:pPr>
            <w:r w:rsidRPr="007E3B4E">
              <w:t>31. cikk, (1) és (2) bekezdés</w:t>
            </w:r>
          </w:p>
        </w:tc>
      </w:tr>
      <w:tr w:rsidR="00D86764" w:rsidRPr="007E3B4E" w14:paraId="7E3689B2" w14:textId="77777777" w:rsidTr="00654447">
        <w:tc>
          <w:tcPr>
            <w:tcW w:w="4674" w:type="dxa"/>
            <w:tcBorders>
              <w:top w:val="nil"/>
              <w:left w:val="nil"/>
              <w:bottom w:val="nil"/>
            </w:tcBorders>
          </w:tcPr>
          <w:p w14:paraId="3689C697" w14:textId="77777777" w:rsidR="00D86764" w:rsidRPr="007E3B4E" w:rsidRDefault="00D86764" w:rsidP="00654447">
            <w:pPr>
              <w:jc w:val="left"/>
              <w:rPr>
                <w:rFonts w:eastAsia="Times New Roman"/>
                <w:noProof/>
                <w:highlight w:val="yellow"/>
              </w:rPr>
            </w:pPr>
            <w:r w:rsidRPr="007E3B4E">
              <w:t>–</w:t>
            </w:r>
          </w:p>
        </w:tc>
        <w:tc>
          <w:tcPr>
            <w:tcW w:w="4674" w:type="dxa"/>
            <w:tcBorders>
              <w:top w:val="nil"/>
              <w:bottom w:val="nil"/>
              <w:right w:val="nil"/>
            </w:tcBorders>
          </w:tcPr>
          <w:p w14:paraId="5E9466BF" w14:textId="77777777" w:rsidR="00D86764" w:rsidRPr="007E3B4E" w:rsidRDefault="00D86764" w:rsidP="00654447">
            <w:pPr>
              <w:jc w:val="left"/>
              <w:rPr>
                <w:rFonts w:eastAsia="Times New Roman"/>
                <w:noProof/>
                <w:highlight w:val="yellow"/>
              </w:rPr>
            </w:pPr>
            <w:r w:rsidRPr="007E3B4E">
              <w:t>31. cikk, (3) bekezdés</w:t>
            </w:r>
          </w:p>
        </w:tc>
      </w:tr>
      <w:tr w:rsidR="00D86764" w:rsidRPr="007E3B4E" w14:paraId="008A664D" w14:textId="77777777" w:rsidTr="00654447">
        <w:tc>
          <w:tcPr>
            <w:tcW w:w="4674" w:type="dxa"/>
            <w:tcBorders>
              <w:top w:val="nil"/>
              <w:left w:val="nil"/>
              <w:bottom w:val="nil"/>
            </w:tcBorders>
          </w:tcPr>
          <w:p w14:paraId="0D4D697A" w14:textId="77777777" w:rsidR="00D86764" w:rsidRPr="007E3B4E" w:rsidRDefault="00D86764" w:rsidP="00654447">
            <w:pPr>
              <w:jc w:val="left"/>
              <w:rPr>
                <w:rFonts w:eastAsia="Times New Roman"/>
                <w:noProof/>
                <w:highlight w:val="yellow"/>
              </w:rPr>
            </w:pPr>
            <w:r w:rsidRPr="007E3B4E">
              <w:t>23. cikk</w:t>
            </w:r>
          </w:p>
        </w:tc>
        <w:tc>
          <w:tcPr>
            <w:tcW w:w="4674" w:type="dxa"/>
            <w:tcBorders>
              <w:top w:val="nil"/>
              <w:bottom w:val="nil"/>
              <w:right w:val="nil"/>
            </w:tcBorders>
          </w:tcPr>
          <w:p w14:paraId="6DD431E1" w14:textId="77777777" w:rsidR="00D86764" w:rsidRPr="007E3B4E" w:rsidRDefault="00D86764" w:rsidP="00654447">
            <w:pPr>
              <w:jc w:val="left"/>
              <w:rPr>
                <w:rFonts w:eastAsia="Times New Roman"/>
                <w:noProof/>
                <w:highlight w:val="yellow"/>
              </w:rPr>
            </w:pPr>
            <w:r w:rsidRPr="007E3B4E">
              <w:t>32. cikk</w:t>
            </w:r>
          </w:p>
        </w:tc>
      </w:tr>
      <w:tr w:rsidR="00D86764" w:rsidRPr="007E3B4E" w14:paraId="0701D8A0" w14:textId="77777777" w:rsidTr="00654447">
        <w:tc>
          <w:tcPr>
            <w:tcW w:w="4674" w:type="dxa"/>
            <w:tcBorders>
              <w:top w:val="nil"/>
              <w:left w:val="nil"/>
              <w:bottom w:val="nil"/>
            </w:tcBorders>
          </w:tcPr>
          <w:p w14:paraId="58833844" w14:textId="77777777" w:rsidR="00D86764" w:rsidRPr="007E3B4E" w:rsidRDefault="00D86764" w:rsidP="00654447">
            <w:pPr>
              <w:jc w:val="left"/>
              <w:rPr>
                <w:rFonts w:eastAsia="Times New Roman"/>
                <w:noProof/>
                <w:highlight w:val="yellow"/>
              </w:rPr>
            </w:pPr>
            <w:r w:rsidRPr="007E3B4E">
              <w:t>24. cikk, (4a), (5) és (6) bekezdés</w:t>
            </w:r>
          </w:p>
        </w:tc>
        <w:tc>
          <w:tcPr>
            <w:tcW w:w="4674" w:type="dxa"/>
            <w:tcBorders>
              <w:top w:val="nil"/>
              <w:bottom w:val="nil"/>
              <w:right w:val="nil"/>
            </w:tcBorders>
          </w:tcPr>
          <w:p w14:paraId="3D126D8F" w14:textId="77777777" w:rsidR="00D86764" w:rsidRPr="007E3B4E" w:rsidRDefault="00D86764" w:rsidP="00654447">
            <w:pPr>
              <w:jc w:val="left"/>
              <w:rPr>
                <w:rFonts w:eastAsia="Times New Roman"/>
                <w:noProof/>
                <w:highlight w:val="yellow"/>
              </w:rPr>
            </w:pPr>
            <w:r w:rsidRPr="007E3B4E">
              <w:t>33. cikk, (1), (2) és (3) bekezdés</w:t>
            </w:r>
          </w:p>
        </w:tc>
      </w:tr>
      <w:tr w:rsidR="00D86764" w:rsidRPr="007E3B4E" w14:paraId="47D44972" w14:textId="77777777" w:rsidTr="00654447">
        <w:tc>
          <w:tcPr>
            <w:tcW w:w="4674" w:type="dxa"/>
            <w:tcBorders>
              <w:top w:val="nil"/>
              <w:left w:val="nil"/>
              <w:bottom w:val="nil"/>
            </w:tcBorders>
          </w:tcPr>
          <w:p w14:paraId="6CE02526" w14:textId="77777777" w:rsidR="00D86764" w:rsidRPr="007E3B4E" w:rsidRDefault="00D86764" w:rsidP="00654447">
            <w:pPr>
              <w:jc w:val="left"/>
              <w:rPr>
                <w:rFonts w:eastAsia="Times New Roman"/>
                <w:noProof/>
                <w:highlight w:val="yellow"/>
              </w:rPr>
            </w:pPr>
            <w:r w:rsidRPr="007E3B4E">
              <w:t>24. cikk, (7), (8), (9), (10) és (12) bekezdés</w:t>
            </w:r>
          </w:p>
        </w:tc>
        <w:tc>
          <w:tcPr>
            <w:tcW w:w="4674" w:type="dxa"/>
            <w:tcBorders>
              <w:top w:val="nil"/>
              <w:bottom w:val="nil"/>
              <w:right w:val="nil"/>
            </w:tcBorders>
          </w:tcPr>
          <w:p w14:paraId="6DFE1764" w14:textId="77777777" w:rsidR="00D86764" w:rsidRPr="007E3B4E" w:rsidRDefault="00D86764" w:rsidP="00654447">
            <w:pPr>
              <w:jc w:val="left"/>
              <w:rPr>
                <w:rFonts w:eastAsia="Times New Roman"/>
                <w:noProof/>
                <w:highlight w:val="yellow"/>
              </w:rPr>
            </w:pPr>
            <w:r w:rsidRPr="007E3B4E">
              <w:t>–</w:t>
            </w:r>
          </w:p>
        </w:tc>
      </w:tr>
      <w:tr w:rsidR="00D86764" w:rsidRPr="007E3B4E" w14:paraId="2908B507" w14:textId="77777777" w:rsidTr="00654447">
        <w:tc>
          <w:tcPr>
            <w:tcW w:w="4674" w:type="dxa"/>
            <w:tcBorders>
              <w:top w:val="nil"/>
              <w:left w:val="nil"/>
              <w:bottom w:val="nil"/>
            </w:tcBorders>
          </w:tcPr>
          <w:p w14:paraId="36126678" w14:textId="77777777" w:rsidR="00D86764" w:rsidRPr="007E3B4E" w:rsidRDefault="00D86764" w:rsidP="00654447">
            <w:pPr>
              <w:jc w:val="left"/>
              <w:rPr>
                <w:rFonts w:eastAsia="Times New Roman"/>
                <w:noProof/>
                <w:highlight w:val="yellow"/>
              </w:rPr>
            </w:pPr>
            <w:r w:rsidRPr="007E3B4E">
              <w:t>24. cikk, (13) és (14) bekezdés</w:t>
            </w:r>
          </w:p>
        </w:tc>
        <w:tc>
          <w:tcPr>
            <w:tcW w:w="4674" w:type="dxa"/>
            <w:tcBorders>
              <w:top w:val="nil"/>
              <w:bottom w:val="nil"/>
              <w:right w:val="nil"/>
            </w:tcBorders>
          </w:tcPr>
          <w:p w14:paraId="7AF1CB14" w14:textId="77777777" w:rsidR="00D86764" w:rsidRPr="007E3B4E" w:rsidRDefault="00D86764" w:rsidP="00654447">
            <w:pPr>
              <w:jc w:val="left"/>
              <w:rPr>
                <w:rFonts w:eastAsia="Times New Roman"/>
                <w:noProof/>
                <w:highlight w:val="yellow"/>
              </w:rPr>
            </w:pPr>
            <w:r w:rsidRPr="007E3B4E">
              <w:t>33. cikk, (4) és (5) bekezdés</w:t>
            </w:r>
          </w:p>
        </w:tc>
      </w:tr>
      <w:tr w:rsidR="00D86764" w:rsidRPr="007E3B4E" w14:paraId="63C5A449" w14:textId="77777777" w:rsidTr="00654447">
        <w:tc>
          <w:tcPr>
            <w:tcW w:w="4674" w:type="dxa"/>
            <w:tcBorders>
              <w:top w:val="nil"/>
              <w:left w:val="nil"/>
              <w:bottom w:val="nil"/>
            </w:tcBorders>
          </w:tcPr>
          <w:p w14:paraId="4E15A3A3" w14:textId="77777777" w:rsidR="00D86764" w:rsidRPr="007E3B4E" w:rsidRDefault="00D86764" w:rsidP="00654447">
            <w:pPr>
              <w:jc w:val="left"/>
              <w:rPr>
                <w:rFonts w:eastAsia="Times New Roman"/>
                <w:noProof/>
                <w:highlight w:val="yellow"/>
              </w:rPr>
            </w:pPr>
            <w:r w:rsidRPr="007E3B4E">
              <w:t>24. cikk, (15) bekezdés, bevezető szöveg</w:t>
            </w:r>
          </w:p>
        </w:tc>
        <w:tc>
          <w:tcPr>
            <w:tcW w:w="4674" w:type="dxa"/>
            <w:tcBorders>
              <w:top w:val="nil"/>
              <w:bottom w:val="nil"/>
              <w:right w:val="nil"/>
            </w:tcBorders>
          </w:tcPr>
          <w:p w14:paraId="2F3372BE" w14:textId="77777777" w:rsidR="00D86764" w:rsidRPr="007E3B4E" w:rsidRDefault="00D86764" w:rsidP="00654447">
            <w:pPr>
              <w:jc w:val="left"/>
              <w:rPr>
                <w:rFonts w:eastAsia="Times New Roman"/>
                <w:noProof/>
                <w:highlight w:val="yellow"/>
              </w:rPr>
            </w:pPr>
            <w:r w:rsidRPr="007E3B4E">
              <w:t>33. cikk, (7) bekezdés, bevezető szöveg</w:t>
            </w:r>
          </w:p>
        </w:tc>
      </w:tr>
      <w:tr w:rsidR="00D86764" w:rsidRPr="007E3B4E" w14:paraId="10F6D16A" w14:textId="77777777" w:rsidTr="00654447">
        <w:tc>
          <w:tcPr>
            <w:tcW w:w="4674" w:type="dxa"/>
            <w:tcBorders>
              <w:top w:val="nil"/>
              <w:left w:val="nil"/>
              <w:bottom w:val="nil"/>
            </w:tcBorders>
          </w:tcPr>
          <w:p w14:paraId="303C6661" w14:textId="77777777" w:rsidR="00D86764" w:rsidRPr="007E3B4E" w:rsidRDefault="00D86764" w:rsidP="00654447">
            <w:pPr>
              <w:jc w:val="left"/>
              <w:rPr>
                <w:rFonts w:eastAsia="Times New Roman"/>
                <w:noProof/>
              </w:rPr>
            </w:pPr>
            <w:r w:rsidRPr="007E3B4E">
              <w:t>24. cikk, (15) bekezdés, a) pont</w:t>
            </w:r>
          </w:p>
        </w:tc>
        <w:tc>
          <w:tcPr>
            <w:tcW w:w="4674" w:type="dxa"/>
            <w:tcBorders>
              <w:top w:val="nil"/>
              <w:bottom w:val="nil"/>
              <w:right w:val="nil"/>
            </w:tcBorders>
          </w:tcPr>
          <w:p w14:paraId="18305342" w14:textId="77777777" w:rsidR="00D86764" w:rsidRPr="007E3B4E" w:rsidRDefault="00D86764" w:rsidP="00654447">
            <w:pPr>
              <w:jc w:val="left"/>
              <w:rPr>
                <w:rFonts w:eastAsia="Times New Roman"/>
                <w:noProof/>
              </w:rPr>
            </w:pPr>
            <w:r w:rsidRPr="007E3B4E">
              <w:t>–</w:t>
            </w:r>
          </w:p>
        </w:tc>
      </w:tr>
      <w:tr w:rsidR="00D86764" w:rsidRPr="007E3B4E" w14:paraId="1BD0D72B" w14:textId="77777777" w:rsidTr="00654447">
        <w:tc>
          <w:tcPr>
            <w:tcW w:w="4674" w:type="dxa"/>
            <w:tcBorders>
              <w:top w:val="nil"/>
              <w:left w:val="nil"/>
              <w:bottom w:val="nil"/>
            </w:tcBorders>
          </w:tcPr>
          <w:p w14:paraId="67CC7917" w14:textId="77777777" w:rsidR="00D86764" w:rsidRPr="007E3B4E" w:rsidRDefault="00D86764" w:rsidP="00654447">
            <w:pPr>
              <w:jc w:val="left"/>
              <w:rPr>
                <w:rFonts w:eastAsia="Times New Roman"/>
                <w:noProof/>
              </w:rPr>
            </w:pPr>
            <w:r w:rsidRPr="007E3B4E">
              <w:t>24. cikk, (15) bekezdés, b) pont</w:t>
            </w:r>
          </w:p>
        </w:tc>
        <w:tc>
          <w:tcPr>
            <w:tcW w:w="4674" w:type="dxa"/>
            <w:tcBorders>
              <w:top w:val="nil"/>
              <w:bottom w:val="nil"/>
              <w:right w:val="nil"/>
            </w:tcBorders>
          </w:tcPr>
          <w:p w14:paraId="2A4E604B" w14:textId="77777777" w:rsidR="00D86764" w:rsidRPr="007E3B4E" w:rsidRDefault="00D86764" w:rsidP="00654447">
            <w:pPr>
              <w:jc w:val="left"/>
              <w:rPr>
                <w:rFonts w:eastAsia="Times New Roman"/>
                <w:noProof/>
              </w:rPr>
            </w:pPr>
            <w:r w:rsidRPr="007E3B4E">
              <w:t>33. cikk, (7) bekezdés, a) pont</w:t>
            </w:r>
          </w:p>
        </w:tc>
      </w:tr>
      <w:tr w:rsidR="00D86764" w:rsidRPr="007E3B4E" w14:paraId="546FC8A7" w14:textId="77777777" w:rsidTr="00654447">
        <w:tc>
          <w:tcPr>
            <w:tcW w:w="4674" w:type="dxa"/>
            <w:tcBorders>
              <w:top w:val="nil"/>
              <w:left w:val="nil"/>
              <w:bottom w:val="nil"/>
            </w:tcBorders>
          </w:tcPr>
          <w:p w14:paraId="35DB4FC2" w14:textId="77777777" w:rsidR="00D86764" w:rsidRPr="007E3B4E" w:rsidRDefault="00D86764" w:rsidP="00654447">
            <w:pPr>
              <w:jc w:val="left"/>
              <w:rPr>
                <w:rFonts w:eastAsia="Times New Roman"/>
                <w:noProof/>
              </w:rPr>
            </w:pPr>
          </w:p>
        </w:tc>
        <w:tc>
          <w:tcPr>
            <w:tcW w:w="4674" w:type="dxa"/>
            <w:tcBorders>
              <w:top w:val="nil"/>
              <w:bottom w:val="nil"/>
              <w:right w:val="nil"/>
            </w:tcBorders>
          </w:tcPr>
          <w:p w14:paraId="398F95BA" w14:textId="77777777" w:rsidR="00D86764" w:rsidRPr="007E3B4E" w:rsidRDefault="00D86764" w:rsidP="00654447">
            <w:pPr>
              <w:jc w:val="left"/>
              <w:rPr>
                <w:rFonts w:eastAsia="Times New Roman"/>
                <w:noProof/>
              </w:rPr>
            </w:pPr>
            <w:r w:rsidRPr="007E3B4E">
              <w:t>33. cikk, (7) bekezdés, b), c), d), e) és f) pont</w:t>
            </w:r>
          </w:p>
        </w:tc>
      </w:tr>
      <w:tr w:rsidR="00D86764" w:rsidRPr="007E3B4E" w14:paraId="41E34798" w14:textId="77777777" w:rsidTr="00654447">
        <w:tc>
          <w:tcPr>
            <w:tcW w:w="4674" w:type="dxa"/>
            <w:tcBorders>
              <w:top w:val="nil"/>
              <w:left w:val="nil"/>
              <w:bottom w:val="nil"/>
            </w:tcBorders>
          </w:tcPr>
          <w:p w14:paraId="5F717E77" w14:textId="77777777" w:rsidR="00D86764" w:rsidRPr="007E3B4E" w:rsidRDefault="00D86764" w:rsidP="00654447">
            <w:pPr>
              <w:jc w:val="left"/>
              <w:rPr>
                <w:rFonts w:eastAsia="Times New Roman"/>
                <w:noProof/>
              </w:rPr>
            </w:pPr>
            <w:r w:rsidRPr="007E3B4E">
              <w:t>24. cikk, (15) bekezdés, második albekezdés</w:t>
            </w:r>
          </w:p>
        </w:tc>
        <w:tc>
          <w:tcPr>
            <w:tcW w:w="4674" w:type="dxa"/>
            <w:tcBorders>
              <w:top w:val="nil"/>
              <w:bottom w:val="nil"/>
              <w:right w:val="nil"/>
            </w:tcBorders>
          </w:tcPr>
          <w:p w14:paraId="200D863B" w14:textId="77777777" w:rsidR="00D86764" w:rsidRPr="007E3B4E" w:rsidRDefault="00D86764" w:rsidP="00654447">
            <w:pPr>
              <w:jc w:val="left"/>
              <w:rPr>
                <w:rFonts w:eastAsia="Times New Roman"/>
                <w:noProof/>
              </w:rPr>
            </w:pPr>
            <w:r w:rsidRPr="007E3B4E">
              <w:t>33. cikk, (7) bekezdés, második albekezdés</w:t>
            </w:r>
          </w:p>
        </w:tc>
      </w:tr>
      <w:tr w:rsidR="00D86764" w:rsidRPr="007E3B4E" w14:paraId="7E8BC7E4" w14:textId="77777777" w:rsidTr="00654447">
        <w:tc>
          <w:tcPr>
            <w:tcW w:w="4674" w:type="dxa"/>
            <w:tcBorders>
              <w:top w:val="nil"/>
              <w:left w:val="nil"/>
              <w:bottom w:val="nil"/>
            </w:tcBorders>
          </w:tcPr>
          <w:p w14:paraId="473E7AF8" w14:textId="77777777" w:rsidR="00D86764" w:rsidRPr="007E3B4E" w:rsidRDefault="00D86764" w:rsidP="00654447">
            <w:pPr>
              <w:jc w:val="left"/>
              <w:rPr>
                <w:rFonts w:eastAsia="Times New Roman"/>
                <w:noProof/>
                <w:highlight w:val="yellow"/>
              </w:rPr>
            </w:pPr>
            <w:r w:rsidRPr="007E3B4E">
              <w:t>25. cikk</w:t>
            </w:r>
          </w:p>
        </w:tc>
        <w:tc>
          <w:tcPr>
            <w:tcW w:w="4674" w:type="dxa"/>
            <w:tcBorders>
              <w:top w:val="nil"/>
              <w:bottom w:val="nil"/>
              <w:right w:val="nil"/>
            </w:tcBorders>
          </w:tcPr>
          <w:p w14:paraId="43005363" w14:textId="77777777" w:rsidR="00D86764" w:rsidRPr="007E3B4E" w:rsidRDefault="00D86764" w:rsidP="00654447">
            <w:pPr>
              <w:jc w:val="left"/>
              <w:rPr>
                <w:rFonts w:eastAsia="Times New Roman"/>
                <w:noProof/>
                <w:highlight w:val="yellow"/>
              </w:rPr>
            </w:pPr>
            <w:r w:rsidRPr="007E3B4E">
              <w:t>–</w:t>
            </w:r>
          </w:p>
        </w:tc>
      </w:tr>
      <w:tr w:rsidR="00D86764" w:rsidRPr="007E3B4E" w14:paraId="3233E525" w14:textId="77777777" w:rsidTr="00654447">
        <w:tc>
          <w:tcPr>
            <w:tcW w:w="4674" w:type="dxa"/>
            <w:tcBorders>
              <w:top w:val="nil"/>
              <w:left w:val="nil"/>
              <w:bottom w:val="nil"/>
            </w:tcBorders>
          </w:tcPr>
          <w:p w14:paraId="5380683E" w14:textId="77777777" w:rsidR="00D86764" w:rsidRPr="007E3B4E" w:rsidRDefault="00D86764" w:rsidP="00654447">
            <w:pPr>
              <w:jc w:val="left"/>
              <w:rPr>
                <w:rFonts w:eastAsia="Times New Roman"/>
                <w:noProof/>
                <w:highlight w:val="yellow"/>
              </w:rPr>
            </w:pPr>
            <w:r w:rsidRPr="007E3B4E">
              <w:t>26. cikk</w:t>
            </w:r>
          </w:p>
        </w:tc>
        <w:tc>
          <w:tcPr>
            <w:tcW w:w="4674" w:type="dxa"/>
            <w:tcBorders>
              <w:top w:val="nil"/>
              <w:bottom w:val="nil"/>
              <w:right w:val="nil"/>
            </w:tcBorders>
          </w:tcPr>
          <w:p w14:paraId="002BFA74" w14:textId="77777777" w:rsidR="00D86764" w:rsidRPr="007E3B4E" w:rsidRDefault="00D86764" w:rsidP="00654447">
            <w:pPr>
              <w:jc w:val="left"/>
              <w:rPr>
                <w:rFonts w:eastAsia="Times New Roman"/>
                <w:noProof/>
                <w:highlight w:val="yellow"/>
              </w:rPr>
            </w:pPr>
            <w:r w:rsidRPr="007E3B4E">
              <w:t>34. cikk</w:t>
            </w:r>
          </w:p>
        </w:tc>
      </w:tr>
      <w:tr w:rsidR="00D86764" w:rsidRPr="007E3B4E" w14:paraId="42AFC22A" w14:textId="77777777" w:rsidTr="00654447">
        <w:tc>
          <w:tcPr>
            <w:tcW w:w="4674" w:type="dxa"/>
            <w:tcBorders>
              <w:top w:val="nil"/>
              <w:left w:val="nil"/>
              <w:bottom w:val="nil"/>
            </w:tcBorders>
          </w:tcPr>
          <w:p w14:paraId="0BEA8E58" w14:textId="77777777" w:rsidR="00D86764" w:rsidRPr="007E3B4E" w:rsidRDefault="00D86764" w:rsidP="00654447">
            <w:pPr>
              <w:jc w:val="left"/>
              <w:rPr>
                <w:rFonts w:eastAsia="Times New Roman"/>
                <w:noProof/>
              </w:rPr>
            </w:pPr>
            <w:r w:rsidRPr="007E3B4E">
              <w:t>27. cikk, első albekezdés</w:t>
            </w:r>
          </w:p>
        </w:tc>
        <w:tc>
          <w:tcPr>
            <w:tcW w:w="4674" w:type="dxa"/>
            <w:tcBorders>
              <w:top w:val="nil"/>
              <w:bottom w:val="nil"/>
              <w:right w:val="nil"/>
            </w:tcBorders>
          </w:tcPr>
          <w:p w14:paraId="406375EC" w14:textId="77777777" w:rsidR="00D86764" w:rsidRPr="007E3B4E" w:rsidRDefault="00D86764" w:rsidP="00654447">
            <w:pPr>
              <w:jc w:val="left"/>
              <w:rPr>
                <w:rFonts w:eastAsia="Times New Roman"/>
                <w:noProof/>
              </w:rPr>
            </w:pPr>
            <w:r w:rsidRPr="007E3B4E">
              <w:t>36. cikk, első albekezdés</w:t>
            </w:r>
          </w:p>
        </w:tc>
      </w:tr>
      <w:tr w:rsidR="00D86764" w:rsidRPr="007E3B4E" w14:paraId="171FC881" w14:textId="77777777" w:rsidTr="00654447">
        <w:tc>
          <w:tcPr>
            <w:tcW w:w="4674" w:type="dxa"/>
            <w:tcBorders>
              <w:top w:val="nil"/>
              <w:left w:val="nil"/>
              <w:bottom w:val="nil"/>
            </w:tcBorders>
          </w:tcPr>
          <w:p w14:paraId="6BB8A085" w14:textId="77777777" w:rsidR="00D86764" w:rsidRPr="007E3B4E" w:rsidRDefault="00D86764" w:rsidP="00654447">
            <w:pPr>
              <w:jc w:val="left"/>
              <w:rPr>
                <w:rFonts w:eastAsia="Times New Roman"/>
                <w:noProof/>
              </w:rPr>
            </w:pPr>
            <w:r w:rsidRPr="007E3B4E">
              <w:t>27. cikk, második albekezdés</w:t>
            </w:r>
          </w:p>
        </w:tc>
        <w:tc>
          <w:tcPr>
            <w:tcW w:w="4674" w:type="dxa"/>
            <w:tcBorders>
              <w:top w:val="nil"/>
              <w:bottom w:val="nil"/>
              <w:right w:val="nil"/>
            </w:tcBorders>
          </w:tcPr>
          <w:p w14:paraId="24F2F14C" w14:textId="77777777" w:rsidR="00D86764" w:rsidRPr="007E3B4E" w:rsidRDefault="00D86764" w:rsidP="00654447">
            <w:pPr>
              <w:jc w:val="left"/>
              <w:rPr>
                <w:rFonts w:eastAsia="Times New Roman"/>
                <w:noProof/>
              </w:rPr>
            </w:pPr>
            <w:r w:rsidRPr="007E3B4E">
              <w:t>–</w:t>
            </w:r>
          </w:p>
        </w:tc>
      </w:tr>
      <w:tr w:rsidR="00D86764" w:rsidRPr="007E3B4E" w14:paraId="0AFEE294" w14:textId="77777777" w:rsidTr="00654447">
        <w:tc>
          <w:tcPr>
            <w:tcW w:w="4674" w:type="dxa"/>
            <w:tcBorders>
              <w:top w:val="nil"/>
              <w:left w:val="nil"/>
              <w:bottom w:val="nil"/>
            </w:tcBorders>
          </w:tcPr>
          <w:p w14:paraId="395BB2D0" w14:textId="77777777" w:rsidR="00D86764" w:rsidRPr="007E3B4E" w:rsidRDefault="00D86764" w:rsidP="00654447">
            <w:pPr>
              <w:jc w:val="left"/>
              <w:rPr>
                <w:rFonts w:eastAsia="Times New Roman"/>
                <w:noProof/>
              </w:rPr>
            </w:pPr>
            <w:r w:rsidRPr="007E3B4E">
              <w:t>27. cikk, harmadik albekezdés</w:t>
            </w:r>
          </w:p>
        </w:tc>
        <w:tc>
          <w:tcPr>
            <w:tcW w:w="4674" w:type="dxa"/>
            <w:tcBorders>
              <w:top w:val="nil"/>
              <w:bottom w:val="nil"/>
              <w:right w:val="nil"/>
            </w:tcBorders>
          </w:tcPr>
          <w:p w14:paraId="0DE7A703" w14:textId="77777777" w:rsidR="00D86764" w:rsidRPr="007E3B4E" w:rsidRDefault="00D86764" w:rsidP="00654447">
            <w:pPr>
              <w:jc w:val="left"/>
              <w:rPr>
                <w:rFonts w:eastAsia="Times New Roman"/>
                <w:noProof/>
              </w:rPr>
            </w:pPr>
            <w:r w:rsidRPr="007E3B4E">
              <w:t>36. cikk, második albekezdés</w:t>
            </w:r>
          </w:p>
        </w:tc>
      </w:tr>
      <w:tr w:rsidR="00D86764" w:rsidRPr="007E3B4E" w14:paraId="140EB977" w14:textId="77777777" w:rsidTr="00654447">
        <w:tc>
          <w:tcPr>
            <w:tcW w:w="4674" w:type="dxa"/>
            <w:tcBorders>
              <w:top w:val="nil"/>
              <w:left w:val="nil"/>
              <w:bottom w:val="nil"/>
            </w:tcBorders>
          </w:tcPr>
          <w:p w14:paraId="6F46FBFD" w14:textId="77777777" w:rsidR="00D86764" w:rsidRPr="007E3B4E" w:rsidRDefault="00D86764" w:rsidP="00654447">
            <w:pPr>
              <w:jc w:val="left"/>
              <w:rPr>
                <w:rFonts w:eastAsia="Times New Roman"/>
                <w:noProof/>
              </w:rPr>
            </w:pPr>
            <w:r w:rsidRPr="007E3B4E">
              <w:t>27. cikk, (2) és (3) bekezdés</w:t>
            </w:r>
          </w:p>
        </w:tc>
        <w:tc>
          <w:tcPr>
            <w:tcW w:w="4674" w:type="dxa"/>
            <w:tcBorders>
              <w:top w:val="nil"/>
              <w:bottom w:val="nil"/>
              <w:right w:val="nil"/>
            </w:tcBorders>
          </w:tcPr>
          <w:p w14:paraId="113E09E8" w14:textId="77777777" w:rsidR="00D86764" w:rsidRPr="007E3B4E" w:rsidRDefault="00D86764" w:rsidP="00654447">
            <w:pPr>
              <w:jc w:val="left"/>
              <w:rPr>
                <w:rFonts w:eastAsia="Times New Roman"/>
                <w:noProof/>
              </w:rPr>
            </w:pPr>
            <w:r w:rsidRPr="007E3B4E">
              <w:t>–</w:t>
            </w:r>
          </w:p>
        </w:tc>
      </w:tr>
      <w:tr w:rsidR="00D86764" w:rsidRPr="007E3B4E" w14:paraId="58B6B277" w14:textId="77777777" w:rsidTr="00654447">
        <w:tc>
          <w:tcPr>
            <w:tcW w:w="4674" w:type="dxa"/>
            <w:tcBorders>
              <w:top w:val="nil"/>
              <w:left w:val="nil"/>
              <w:bottom w:val="nil"/>
            </w:tcBorders>
          </w:tcPr>
          <w:p w14:paraId="13EDB5D7" w14:textId="77777777" w:rsidR="00D86764" w:rsidRPr="007E3B4E" w:rsidRDefault="00D86764" w:rsidP="00654447">
            <w:pPr>
              <w:jc w:val="left"/>
              <w:rPr>
                <w:rFonts w:eastAsia="Times New Roman"/>
                <w:noProof/>
                <w:highlight w:val="yellow"/>
              </w:rPr>
            </w:pPr>
            <w:r w:rsidRPr="007E3B4E">
              <w:t>28. cikk, (1) bekezdés, első albekezdés</w:t>
            </w:r>
          </w:p>
        </w:tc>
        <w:tc>
          <w:tcPr>
            <w:tcW w:w="4674" w:type="dxa"/>
            <w:tcBorders>
              <w:top w:val="nil"/>
              <w:bottom w:val="nil"/>
              <w:right w:val="nil"/>
            </w:tcBorders>
          </w:tcPr>
          <w:p w14:paraId="2165C802" w14:textId="77777777" w:rsidR="00D86764" w:rsidRPr="007E3B4E" w:rsidRDefault="00D86764" w:rsidP="00654447">
            <w:pPr>
              <w:jc w:val="left"/>
              <w:rPr>
                <w:rFonts w:eastAsia="Times New Roman"/>
                <w:noProof/>
                <w:highlight w:val="yellow"/>
              </w:rPr>
            </w:pPr>
            <w:r w:rsidRPr="007E3B4E">
              <w:t>35. cikk, (1) bekezdés, első albekezdés</w:t>
            </w:r>
          </w:p>
        </w:tc>
      </w:tr>
      <w:tr w:rsidR="00D86764" w:rsidRPr="007E3B4E" w14:paraId="1BDA108C" w14:textId="77777777" w:rsidTr="00654447">
        <w:tc>
          <w:tcPr>
            <w:tcW w:w="4674" w:type="dxa"/>
            <w:tcBorders>
              <w:top w:val="nil"/>
              <w:left w:val="nil"/>
              <w:bottom w:val="nil"/>
            </w:tcBorders>
          </w:tcPr>
          <w:p w14:paraId="73E972D8" w14:textId="77777777" w:rsidR="00D86764" w:rsidRPr="007E3B4E" w:rsidRDefault="00D86764" w:rsidP="00654447">
            <w:pPr>
              <w:jc w:val="left"/>
              <w:rPr>
                <w:rFonts w:eastAsia="Times New Roman"/>
                <w:noProof/>
              </w:rPr>
            </w:pPr>
            <w:r w:rsidRPr="007E3B4E">
              <w:t>28. cikk, (1) bekezdés, második albekezdés</w:t>
            </w:r>
          </w:p>
        </w:tc>
        <w:tc>
          <w:tcPr>
            <w:tcW w:w="4674" w:type="dxa"/>
            <w:tcBorders>
              <w:top w:val="nil"/>
              <w:bottom w:val="nil"/>
              <w:right w:val="nil"/>
            </w:tcBorders>
          </w:tcPr>
          <w:p w14:paraId="5DE7ACB9" w14:textId="77777777" w:rsidR="00D86764" w:rsidRPr="007E3B4E" w:rsidRDefault="00D86764" w:rsidP="00654447">
            <w:pPr>
              <w:jc w:val="left"/>
              <w:rPr>
                <w:rFonts w:eastAsia="Times New Roman"/>
                <w:noProof/>
              </w:rPr>
            </w:pPr>
            <w:r w:rsidRPr="007E3B4E">
              <w:t>–</w:t>
            </w:r>
          </w:p>
        </w:tc>
      </w:tr>
      <w:tr w:rsidR="00D86764" w:rsidRPr="007E3B4E" w14:paraId="760B2AE3" w14:textId="77777777" w:rsidTr="00654447">
        <w:tc>
          <w:tcPr>
            <w:tcW w:w="4674" w:type="dxa"/>
            <w:tcBorders>
              <w:top w:val="nil"/>
              <w:left w:val="nil"/>
              <w:bottom w:val="nil"/>
            </w:tcBorders>
          </w:tcPr>
          <w:p w14:paraId="17B98E73" w14:textId="77777777" w:rsidR="00D86764" w:rsidRPr="007E3B4E" w:rsidRDefault="00D86764" w:rsidP="00654447">
            <w:pPr>
              <w:jc w:val="left"/>
              <w:rPr>
                <w:rFonts w:eastAsia="Times New Roman"/>
                <w:noProof/>
              </w:rPr>
            </w:pPr>
            <w:r w:rsidRPr="007E3B4E">
              <w:t>28. cikk, (1) bekezdés, harmadik és negyedik albekezdés</w:t>
            </w:r>
          </w:p>
        </w:tc>
        <w:tc>
          <w:tcPr>
            <w:tcW w:w="4674" w:type="dxa"/>
            <w:tcBorders>
              <w:top w:val="nil"/>
              <w:bottom w:val="nil"/>
              <w:right w:val="nil"/>
            </w:tcBorders>
          </w:tcPr>
          <w:p w14:paraId="449A7F1C" w14:textId="77777777" w:rsidR="00D86764" w:rsidRPr="007E3B4E" w:rsidRDefault="00D86764" w:rsidP="00654447">
            <w:pPr>
              <w:jc w:val="left"/>
              <w:rPr>
                <w:rFonts w:eastAsia="Times New Roman"/>
                <w:noProof/>
              </w:rPr>
            </w:pPr>
            <w:r w:rsidRPr="007E3B4E">
              <w:t>35. cikk, (1) bekezdés, második és harmadik albekezdés</w:t>
            </w:r>
          </w:p>
        </w:tc>
      </w:tr>
      <w:tr w:rsidR="00D86764" w:rsidRPr="007E3B4E" w14:paraId="0F362361" w14:textId="77777777" w:rsidTr="00654447">
        <w:tc>
          <w:tcPr>
            <w:tcW w:w="4674" w:type="dxa"/>
            <w:tcBorders>
              <w:top w:val="nil"/>
              <w:left w:val="nil"/>
              <w:bottom w:val="nil"/>
            </w:tcBorders>
          </w:tcPr>
          <w:p w14:paraId="25793EE0" w14:textId="77777777" w:rsidR="00D86764" w:rsidRPr="007E3B4E" w:rsidRDefault="00D86764" w:rsidP="00654447">
            <w:pPr>
              <w:jc w:val="left"/>
              <w:rPr>
                <w:rFonts w:eastAsia="Times New Roman"/>
                <w:noProof/>
              </w:rPr>
            </w:pPr>
            <w:r w:rsidRPr="007E3B4E">
              <w:t>28. cikk, (2) bekezdés</w:t>
            </w:r>
          </w:p>
        </w:tc>
        <w:tc>
          <w:tcPr>
            <w:tcW w:w="4674" w:type="dxa"/>
            <w:tcBorders>
              <w:top w:val="nil"/>
              <w:bottom w:val="nil"/>
              <w:right w:val="nil"/>
            </w:tcBorders>
          </w:tcPr>
          <w:p w14:paraId="376DED52" w14:textId="77777777" w:rsidR="00D86764" w:rsidRPr="007E3B4E" w:rsidRDefault="00D86764" w:rsidP="00654447">
            <w:pPr>
              <w:jc w:val="left"/>
              <w:rPr>
                <w:rFonts w:eastAsia="Times New Roman"/>
                <w:noProof/>
              </w:rPr>
            </w:pPr>
            <w:r w:rsidRPr="007E3B4E">
              <w:t>35. cikk, (2) bekezdés</w:t>
            </w:r>
          </w:p>
        </w:tc>
      </w:tr>
      <w:tr w:rsidR="00D86764" w:rsidRPr="007E3B4E" w14:paraId="2ED79E6A" w14:textId="77777777" w:rsidTr="00654447">
        <w:tc>
          <w:tcPr>
            <w:tcW w:w="4674" w:type="dxa"/>
            <w:tcBorders>
              <w:top w:val="nil"/>
              <w:left w:val="nil"/>
              <w:bottom w:val="nil"/>
            </w:tcBorders>
          </w:tcPr>
          <w:p w14:paraId="2AF809BF" w14:textId="77777777" w:rsidR="00D86764" w:rsidRPr="007E3B4E" w:rsidRDefault="00D86764" w:rsidP="00654447">
            <w:pPr>
              <w:jc w:val="left"/>
              <w:rPr>
                <w:rFonts w:eastAsia="Times New Roman"/>
                <w:noProof/>
                <w:highlight w:val="yellow"/>
              </w:rPr>
            </w:pPr>
            <w:r w:rsidRPr="007E3B4E">
              <w:t>29. cikk</w:t>
            </w:r>
          </w:p>
        </w:tc>
        <w:tc>
          <w:tcPr>
            <w:tcW w:w="4674" w:type="dxa"/>
            <w:tcBorders>
              <w:top w:val="nil"/>
              <w:bottom w:val="nil"/>
              <w:right w:val="nil"/>
            </w:tcBorders>
          </w:tcPr>
          <w:p w14:paraId="089A9F22" w14:textId="77777777" w:rsidR="00D86764" w:rsidRPr="007E3B4E" w:rsidRDefault="00D86764" w:rsidP="00654447">
            <w:pPr>
              <w:jc w:val="left"/>
              <w:rPr>
                <w:rFonts w:eastAsia="Times New Roman"/>
                <w:noProof/>
                <w:highlight w:val="yellow"/>
              </w:rPr>
            </w:pPr>
            <w:r w:rsidRPr="007E3B4E">
              <w:t>37. cikk</w:t>
            </w:r>
          </w:p>
        </w:tc>
      </w:tr>
      <w:tr w:rsidR="00D86764" w:rsidRPr="007E3B4E" w14:paraId="7EB5CFEA" w14:textId="77777777" w:rsidTr="00654447">
        <w:tc>
          <w:tcPr>
            <w:tcW w:w="4674" w:type="dxa"/>
            <w:tcBorders>
              <w:top w:val="nil"/>
              <w:left w:val="nil"/>
              <w:bottom w:val="nil"/>
            </w:tcBorders>
          </w:tcPr>
          <w:p w14:paraId="20E511CA" w14:textId="77777777" w:rsidR="00D86764" w:rsidRPr="007E3B4E" w:rsidRDefault="00D86764" w:rsidP="00654447">
            <w:pPr>
              <w:jc w:val="left"/>
              <w:rPr>
                <w:rFonts w:eastAsia="Times New Roman"/>
                <w:noProof/>
                <w:highlight w:val="yellow"/>
              </w:rPr>
            </w:pPr>
            <w:r w:rsidRPr="007E3B4E">
              <w:t>30. cikk</w:t>
            </w:r>
          </w:p>
        </w:tc>
        <w:tc>
          <w:tcPr>
            <w:tcW w:w="4674" w:type="dxa"/>
            <w:tcBorders>
              <w:top w:val="nil"/>
              <w:bottom w:val="nil"/>
              <w:right w:val="nil"/>
            </w:tcBorders>
          </w:tcPr>
          <w:p w14:paraId="0EE83E97" w14:textId="77777777" w:rsidR="00D86764" w:rsidRPr="007E3B4E" w:rsidRDefault="00D86764" w:rsidP="00654447">
            <w:pPr>
              <w:jc w:val="left"/>
              <w:rPr>
                <w:rFonts w:eastAsia="Times New Roman"/>
                <w:noProof/>
                <w:highlight w:val="yellow"/>
              </w:rPr>
            </w:pPr>
            <w:r w:rsidRPr="007E3B4E">
              <w:t>38. cikk</w:t>
            </w:r>
          </w:p>
        </w:tc>
      </w:tr>
      <w:tr w:rsidR="00D86764" w:rsidRPr="007E3B4E" w14:paraId="07EF3AF3" w14:textId="77777777" w:rsidTr="00654447">
        <w:tc>
          <w:tcPr>
            <w:tcW w:w="4674" w:type="dxa"/>
            <w:tcBorders>
              <w:top w:val="nil"/>
              <w:left w:val="nil"/>
              <w:bottom w:val="nil"/>
            </w:tcBorders>
          </w:tcPr>
          <w:p w14:paraId="1FF63288"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42FD3BE3" w14:textId="77777777" w:rsidR="00D86764" w:rsidRPr="007E3B4E" w:rsidRDefault="00D86764" w:rsidP="00654447">
            <w:pPr>
              <w:jc w:val="left"/>
              <w:rPr>
                <w:rFonts w:eastAsia="Times New Roman"/>
                <w:noProof/>
              </w:rPr>
            </w:pPr>
            <w:r w:rsidRPr="007E3B4E">
              <w:t>I. melléklet</w:t>
            </w:r>
          </w:p>
        </w:tc>
      </w:tr>
      <w:tr w:rsidR="00D86764" w:rsidRPr="007E3B4E" w14:paraId="297FEC73" w14:textId="77777777" w:rsidTr="00654447">
        <w:tc>
          <w:tcPr>
            <w:tcW w:w="4674" w:type="dxa"/>
            <w:tcBorders>
              <w:top w:val="nil"/>
              <w:left w:val="nil"/>
              <w:bottom w:val="nil"/>
            </w:tcBorders>
          </w:tcPr>
          <w:p w14:paraId="7FB53AB0" w14:textId="77777777" w:rsidR="00D86764" w:rsidRPr="007E3B4E" w:rsidRDefault="00D86764" w:rsidP="00654447">
            <w:pPr>
              <w:jc w:val="left"/>
              <w:rPr>
                <w:rFonts w:eastAsia="Times New Roman"/>
                <w:noProof/>
              </w:rPr>
            </w:pPr>
            <w:r w:rsidRPr="007E3B4E">
              <w:t>I. melléklet</w:t>
            </w:r>
          </w:p>
        </w:tc>
        <w:tc>
          <w:tcPr>
            <w:tcW w:w="4674" w:type="dxa"/>
            <w:tcBorders>
              <w:top w:val="nil"/>
              <w:bottom w:val="nil"/>
              <w:right w:val="nil"/>
            </w:tcBorders>
          </w:tcPr>
          <w:p w14:paraId="66997DE7" w14:textId="77777777" w:rsidR="00D86764" w:rsidRPr="007E3B4E" w:rsidRDefault="00D86764" w:rsidP="00654447">
            <w:pPr>
              <w:jc w:val="left"/>
              <w:rPr>
                <w:rFonts w:eastAsia="Times New Roman"/>
                <w:noProof/>
              </w:rPr>
            </w:pPr>
            <w:r w:rsidRPr="007E3B4E">
              <w:t>II. melléklet</w:t>
            </w:r>
          </w:p>
        </w:tc>
      </w:tr>
      <w:tr w:rsidR="00D86764" w:rsidRPr="007E3B4E" w14:paraId="67AB0F05" w14:textId="77777777" w:rsidTr="00654447">
        <w:tc>
          <w:tcPr>
            <w:tcW w:w="4674" w:type="dxa"/>
            <w:tcBorders>
              <w:top w:val="nil"/>
              <w:left w:val="nil"/>
              <w:bottom w:val="nil"/>
            </w:tcBorders>
          </w:tcPr>
          <w:p w14:paraId="2B9EAFFA" w14:textId="77777777" w:rsidR="00D86764" w:rsidRPr="007E3B4E" w:rsidRDefault="00D86764" w:rsidP="00654447">
            <w:pPr>
              <w:jc w:val="left"/>
              <w:rPr>
                <w:rFonts w:eastAsia="Times New Roman"/>
                <w:noProof/>
              </w:rPr>
            </w:pPr>
            <w:r w:rsidRPr="007E3B4E">
              <w:t>II. melléklet</w:t>
            </w:r>
          </w:p>
        </w:tc>
        <w:tc>
          <w:tcPr>
            <w:tcW w:w="4674" w:type="dxa"/>
            <w:tcBorders>
              <w:top w:val="nil"/>
              <w:bottom w:val="nil"/>
              <w:right w:val="nil"/>
            </w:tcBorders>
          </w:tcPr>
          <w:p w14:paraId="01D1C624" w14:textId="77777777" w:rsidR="00D86764" w:rsidRPr="007E3B4E" w:rsidRDefault="00D86764" w:rsidP="00654447">
            <w:pPr>
              <w:jc w:val="left"/>
              <w:rPr>
                <w:rFonts w:eastAsia="Times New Roman"/>
                <w:noProof/>
              </w:rPr>
            </w:pPr>
            <w:r w:rsidRPr="007E3B4E">
              <w:t>III. melléklet</w:t>
            </w:r>
          </w:p>
        </w:tc>
      </w:tr>
      <w:tr w:rsidR="00D86764" w:rsidRPr="007E3B4E" w14:paraId="00CF2B96" w14:textId="77777777" w:rsidTr="00654447">
        <w:tc>
          <w:tcPr>
            <w:tcW w:w="4674" w:type="dxa"/>
            <w:tcBorders>
              <w:top w:val="nil"/>
              <w:left w:val="nil"/>
              <w:bottom w:val="nil"/>
            </w:tcBorders>
          </w:tcPr>
          <w:p w14:paraId="286C18A6" w14:textId="77777777" w:rsidR="00D86764" w:rsidRPr="007E3B4E" w:rsidRDefault="00D86764" w:rsidP="00654447">
            <w:pPr>
              <w:jc w:val="left"/>
              <w:rPr>
                <w:rFonts w:eastAsia="Times New Roman"/>
                <w:noProof/>
              </w:rPr>
            </w:pPr>
            <w:r w:rsidRPr="007E3B4E">
              <w:t>III. melléklet</w:t>
            </w:r>
          </w:p>
        </w:tc>
        <w:tc>
          <w:tcPr>
            <w:tcW w:w="4674" w:type="dxa"/>
            <w:tcBorders>
              <w:top w:val="nil"/>
              <w:bottom w:val="nil"/>
              <w:right w:val="nil"/>
            </w:tcBorders>
          </w:tcPr>
          <w:p w14:paraId="55FA5D03" w14:textId="77777777" w:rsidR="00D86764" w:rsidRPr="007E3B4E" w:rsidRDefault="00D86764" w:rsidP="00654447">
            <w:pPr>
              <w:jc w:val="left"/>
              <w:rPr>
                <w:rFonts w:eastAsia="Times New Roman"/>
                <w:noProof/>
              </w:rPr>
            </w:pPr>
            <w:r w:rsidRPr="007E3B4E">
              <w:t>IV. melléklet</w:t>
            </w:r>
          </w:p>
        </w:tc>
      </w:tr>
      <w:tr w:rsidR="00D86764" w:rsidRPr="007E3B4E" w14:paraId="17AB2F5A" w14:textId="77777777" w:rsidTr="00654447">
        <w:tc>
          <w:tcPr>
            <w:tcW w:w="4674" w:type="dxa"/>
            <w:tcBorders>
              <w:top w:val="nil"/>
              <w:left w:val="nil"/>
              <w:bottom w:val="nil"/>
            </w:tcBorders>
          </w:tcPr>
          <w:p w14:paraId="26C7D7C2" w14:textId="77777777" w:rsidR="00D86764" w:rsidRPr="007E3B4E" w:rsidRDefault="00D86764" w:rsidP="00654447">
            <w:pPr>
              <w:jc w:val="left"/>
              <w:rPr>
                <w:rFonts w:eastAsia="Times New Roman"/>
                <w:noProof/>
              </w:rPr>
            </w:pPr>
            <w:r w:rsidRPr="007E3B4E">
              <w:t>IV. melléklet</w:t>
            </w:r>
          </w:p>
        </w:tc>
        <w:tc>
          <w:tcPr>
            <w:tcW w:w="4674" w:type="dxa"/>
            <w:tcBorders>
              <w:top w:val="nil"/>
              <w:bottom w:val="nil"/>
              <w:right w:val="nil"/>
            </w:tcBorders>
          </w:tcPr>
          <w:p w14:paraId="5BAD0524" w14:textId="77777777" w:rsidR="00D86764" w:rsidRPr="007E3B4E" w:rsidRDefault="00D86764" w:rsidP="00654447">
            <w:pPr>
              <w:jc w:val="left"/>
              <w:rPr>
                <w:rFonts w:eastAsia="Times New Roman"/>
                <w:noProof/>
              </w:rPr>
            </w:pPr>
            <w:r w:rsidRPr="007E3B4E">
              <w:t>–</w:t>
            </w:r>
          </w:p>
        </w:tc>
      </w:tr>
      <w:tr w:rsidR="00D86764" w:rsidRPr="007E3B4E" w14:paraId="7255C531" w14:textId="77777777" w:rsidTr="00654447">
        <w:tc>
          <w:tcPr>
            <w:tcW w:w="4674" w:type="dxa"/>
            <w:tcBorders>
              <w:top w:val="nil"/>
              <w:left w:val="nil"/>
              <w:bottom w:val="nil"/>
            </w:tcBorders>
          </w:tcPr>
          <w:p w14:paraId="1D4455D5" w14:textId="77777777" w:rsidR="00D86764" w:rsidRPr="007E3B4E" w:rsidRDefault="00D86764" w:rsidP="00654447">
            <w:pPr>
              <w:jc w:val="left"/>
              <w:rPr>
                <w:rFonts w:eastAsia="Times New Roman"/>
                <w:noProof/>
              </w:rPr>
            </w:pPr>
            <w:r w:rsidRPr="007E3B4E">
              <w:t>V. melléklet</w:t>
            </w:r>
          </w:p>
        </w:tc>
        <w:tc>
          <w:tcPr>
            <w:tcW w:w="4674" w:type="dxa"/>
            <w:tcBorders>
              <w:top w:val="nil"/>
              <w:bottom w:val="nil"/>
              <w:right w:val="nil"/>
            </w:tcBorders>
          </w:tcPr>
          <w:p w14:paraId="619D8074" w14:textId="77777777" w:rsidR="00D86764" w:rsidRPr="007E3B4E" w:rsidRDefault="00D86764" w:rsidP="00654447">
            <w:pPr>
              <w:jc w:val="left"/>
              <w:rPr>
                <w:rFonts w:eastAsia="Times New Roman"/>
                <w:noProof/>
              </w:rPr>
            </w:pPr>
            <w:r w:rsidRPr="007E3B4E">
              <w:t>V. melléklet</w:t>
            </w:r>
          </w:p>
        </w:tc>
      </w:tr>
      <w:tr w:rsidR="00D86764" w:rsidRPr="007E3B4E" w14:paraId="56446850" w14:textId="77777777" w:rsidTr="00654447">
        <w:tc>
          <w:tcPr>
            <w:tcW w:w="4674" w:type="dxa"/>
            <w:tcBorders>
              <w:top w:val="nil"/>
              <w:left w:val="nil"/>
              <w:bottom w:val="nil"/>
            </w:tcBorders>
          </w:tcPr>
          <w:p w14:paraId="5F7AEDF2" w14:textId="77777777" w:rsidR="00D86764" w:rsidRPr="007E3B4E" w:rsidRDefault="00D86764" w:rsidP="00654447">
            <w:pPr>
              <w:jc w:val="left"/>
              <w:rPr>
                <w:rFonts w:eastAsia="Times New Roman"/>
                <w:noProof/>
              </w:rPr>
            </w:pPr>
            <w:r w:rsidRPr="007E3B4E">
              <w:t>VI. melléklet</w:t>
            </w:r>
          </w:p>
        </w:tc>
        <w:tc>
          <w:tcPr>
            <w:tcW w:w="4674" w:type="dxa"/>
            <w:tcBorders>
              <w:top w:val="nil"/>
              <w:bottom w:val="nil"/>
              <w:right w:val="nil"/>
            </w:tcBorders>
          </w:tcPr>
          <w:p w14:paraId="0A075494" w14:textId="77777777" w:rsidR="00D86764" w:rsidRPr="007E3B4E" w:rsidRDefault="00D86764" w:rsidP="00654447">
            <w:pPr>
              <w:jc w:val="left"/>
              <w:rPr>
                <w:rFonts w:eastAsia="Times New Roman"/>
                <w:noProof/>
              </w:rPr>
            </w:pPr>
            <w:r w:rsidRPr="007E3B4E">
              <w:t>VI. melléklet</w:t>
            </w:r>
          </w:p>
        </w:tc>
      </w:tr>
      <w:tr w:rsidR="00D86764" w:rsidRPr="007E3B4E" w14:paraId="55EE7E20" w14:textId="77777777" w:rsidTr="00654447">
        <w:tc>
          <w:tcPr>
            <w:tcW w:w="4674" w:type="dxa"/>
            <w:tcBorders>
              <w:top w:val="nil"/>
              <w:left w:val="nil"/>
              <w:bottom w:val="nil"/>
            </w:tcBorders>
          </w:tcPr>
          <w:p w14:paraId="1962A7E5" w14:textId="77777777" w:rsidR="00D86764" w:rsidRPr="007E3B4E" w:rsidRDefault="00D86764" w:rsidP="00654447">
            <w:pPr>
              <w:jc w:val="left"/>
              <w:rPr>
                <w:rFonts w:eastAsia="Times New Roman"/>
                <w:noProof/>
              </w:rPr>
            </w:pPr>
            <w:r w:rsidRPr="007E3B4E">
              <w:t>VII. melléklet</w:t>
            </w:r>
          </w:p>
        </w:tc>
        <w:tc>
          <w:tcPr>
            <w:tcW w:w="4674" w:type="dxa"/>
            <w:tcBorders>
              <w:top w:val="nil"/>
              <w:bottom w:val="nil"/>
              <w:right w:val="nil"/>
            </w:tcBorders>
          </w:tcPr>
          <w:p w14:paraId="78CFC611" w14:textId="77777777" w:rsidR="00D86764" w:rsidRPr="007E3B4E" w:rsidRDefault="00D86764" w:rsidP="00654447">
            <w:pPr>
              <w:jc w:val="left"/>
              <w:rPr>
                <w:rFonts w:eastAsia="Times New Roman"/>
                <w:noProof/>
              </w:rPr>
            </w:pPr>
            <w:r w:rsidRPr="007E3B4E">
              <w:t>VII. melléklet</w:t>
            </w:r>
          </w:p>
        </w:tc>
      </w:tr>
      <w:tr w:rsidR="00D86764" w:rsidRPr="007E3B4E" w14:paraId="50927B86" w14:textId="77777777" w:rsidTr="00654447">
        <w:tc>
          <w:tcPr>
            <w:tcW w:w="4674" w:type="dxa"/>
            <w:tcBorders>
              <w:top w:val="nil"/>
              <w:left w:val="nil"/>
              <w:bottom w:val="nil"/>
            </w:tcBorders>
          </w:tcPr>
          <w:p w14:paraId="39696685" w14:textId="77777777" w:rsidR="00D86764" w:rsidRPr="007E3B4E" w:rsidRDefault="00D86764" w:rsidP="00654447">
            <w:pPr>
              <w:jc w:val="left"/>
              <w:rPr>
                <w:rFonts w:eastAsia="Times New Roman"/>
                <w:noProof/>
              </w:rPr>
            </w:pPr>
            <w:r w:rsidRPr="007E3B4E">
              <w:t>VIIa. melléklet</w:t>
            </w:r>
          </w:p>
        </w:tc>
        <w:tc>
          <w:tcPr>
            <w:tcW w:w="4674" w:type="dxa"/>
            <w:tcBorders>
              <w:top w:val="nil"/>
              <w:bottom w:val="nil"/>
              <w:right w:val="nil"/>
            </w:tcBorders>
          </w:tcPr>
          <w:p w14:paraId="1B8ECE71" w14:textId="77777777" w:rsidR="00D86764" w:rsidRPr="007E3B4E" w:rsidRDefault="00D86764" w:rsidP="00654447">
            <w:pPr>
              <w:jc w:val="left"/>
              <w:rPr>
                <w:rFonts w:eastAsia="Times New Roman"/>
                <w:noProof/>
              </w:rPr>
            </w:pPr>
            <w:r w:rsidRPr="007E3B4E">
              <w:t>VIII. melléklet</w:t>
            </w:r>
          </w:p>
        </w:tc>
      </w:tr>
      <w:tr w:rsidR="00D86764" w:rsidRPr="007E3B4E" w14:paraId="0664965A" w14:textId="77777777" w:rsidTr="00654447">
        <w:tc>
          <w:tcPr>
            <w:tcW w:w="4674" w:type="dxa"/>
            <w:tcBorders>
              <w:top w:val="nil"/>
              <w:left w:val="nil"/>
              <w:bottom w:val="nil"/>
            </w:tcBorders>
          </w:tcPr>
          <w:p w14:paraId="1E999F8B" w14:textId="77777777" w:rsidR="00D86764" w:rsidRPr="007E3B4E" w:rsidRDefault="00D86764" w:rsidP="00654447">
            <w:pPr>
              <w:jc w:val="left"/>
              <w:rPr>
                <w:rFonts w:eastAsia="Times New Roman"/>
                <w:noProof/>
              </w:rPr>
            </w:pPr>
            <w:r w:rsidRPr="007E3B4E">
              <w:t>VIII. melléklet</w:t>
            </w:r>
          </w:p>
        </w:tc>
        <w:tc>
          <w:tcPr>
            <w:tcW w:w="4674" w:type="dxa"/>
            <w:tcBorders>
              <w:top w:val="nil"/>
              <w:bottom w:val="nil"/>
              <w:right w:val="nil"/>
            </w:tcBorders>
          </w:tcPr>
          <w:p w14:paraId="068A6580" w14:textId="77777777" w:rsidR="00D86764" w:rsidRPr="007E3B4E" w:rsidRDefault="00D86764" w:rsidP="00654447">
            <w:pPr>
              <w:jc w:val="left"/>
              <w:rPr>
                <w:rFonts w:eastAsia="Times New Roman"/>
                <w:noProof/>
              </w:rPr>
            </w:pPr>
            <w:r w:rsidRPr="007E3B4E">
              <w:t>IX. melléklet</w:t>
            </w:r>
          </w:p>
        </w:tc>
      </w:tr>
      <w:tr w:rsidR="00D86764" w:rsidRPr="007E3B4E" w14:paraId="796F839B" w14:textId="77777777" w:rsidTr="00654447">
        <w:tc>
          <w:tcPr>
            <w:tcW w:w="4674" w:type="dxa"/>
            <w:tcBorders>
              <w:top w:val="nil"/>
              <w:left w:val="nil"/>
              <w:bottom w:val="nil"/>
            </w:tcBorders>
          </w:tcPr>
          <w:p w14:paraId="5BE8ACAC" w14:textId="77777777" w:rsidR="00D86764" w:rsidRPr="007E3B4E" w:rsidRDefault="00D86764" w:rsidP="00654447">
            <w:pPr>
              <w:jc w:val="left"/>
              <w:rPr>
                <w:rFonts w:eastAsia="Times New Roman"/>
                <w:noProof/>
              </w:rPr>
            </w:pPr>
            <w:r w:rsidRPr="007E3B4E">
              <w:t>IX. melléklet</w:t>
            </w:r>
          </w:p>
        </w:tc>
        <w:tc>
          <w:tcPr>
            <w:tcW w:w="4674" w:type="dxa"/>
            <w:tcBorders>
              <w:top w:val="nil"/>
              <w:bottom w:val="nil"/>
              <w:right w:val="nil"/>
            </w:tcBorders>
          </w:tcPr>
          <w:p w14:paraId="0835223F" w14:textId="77777777" w:rsidR="00D86764" w:rsidRPr="007E3B4E" w:rsidRDefault="00D86764" w:rsidP="00654447">
            <w:pPr>
              <w:jc w:val="left"/>
              <w:rPr>
                <w:rFonts w:eastAsia="Times New Roman"/>
                <w:noProof/>
              </w:rPr>
            </w:pPr>
            <w:r w:rsidRPr="007E3B4E">
              <w:t>X. melléklet</w:t>
            </w:r>
          </w:p>
        </w:tc>
      </w:tr>
      <w:tr w:rsidR="00D86764" w:rsidRPr="007E3B4E" w14:paraId="3998499C" w14:textId="77777777" w:rsidTr="00654447">
        <w:tc>
          <w:tcPr>
            <w:tcW w:w="4674" w:type="dxa"/>
            <w:tcBorders>
              <w:top w:val="nil"/>
              <w:left w:val="nil"/>
              <w:bottom w:val="nil"/>
            </w:tcBorders>
          </w:tcPr>
          <w:p w14:paraId="4618BE67" w14:textId="77777777" w:rsidR="00D86764" w:rsidRPr="007E3B4E" w:rsidRDefault="00D86764" w:rsidP="00654447">
            <w:pPr>
              <w:jc w:val="left"/>
              <w:rPr>
                <w:rFonts w:eastAsia="Times New Roman"/>
                <w:noProof/>
              </w:rPr>
            </w:pPr>
            <w:r w:rsidRPr="007E3B4E">
              <w:t>X. melléklet</w:t>
            </w:r>
          </w:p>
        </w:tc>
        <w:tc>
          <w:tcPr>
            <w:tcW w:w="4674" w:type="dxa"/>
            <w:tcBorders>
              <w:top w:val="nil"/>
              <w:bottom w:val="nil"/>
              <w:right w:val="nil"/>
            </w:tcBorders>
          </w:tcPr>
          <w:p w14:paraId="3E4D613D" w14:textId="77777777" w:rsidR="00D86764" w:rsidRPr="007E3B4E" w:rsidRDefault="00D86764" w:rsidP="00654447">
            <w:pPr>
              <w:jc w:val="left"/>
              <w:rPr>
                <w:rFonts w:eastAsia="Times New Roman"/>
                <w:noProof/>
              </w:rPr>
            </w:pPr>
            <w:r w:rsidRPr="007E3B4E">
              <w:t>XI. melléklet</w:t>
            </w:r>
          </w:p>
        </w:tc>
      </w:tr>
      <w:tr w:rsidR="00D86764" w:rsidRPr="007E3B4E" w14:paraId="085F7A25" w14:textId="77777777" w:rsidTr="00654447">
        <w:tc>
          <w:tcPr>
            <w:tcW w:w="4674" w:type="dxa"/>
            <w:tcBorders>
              <w:top w:val="nil"/>
              <w:left w:val="nil"/>
              <w:bottom w:val="nil"/>
            </w:tcBorders>
          </w:tcPr>
          <w:p w14:paraId="224CC775" w14:textId="77777777" w:rsidR="00D86764" w:rsidRPr="007E3B4E" w:rsidRDefault="00D86764" w:rsidP="00654447">
            <w:pPr>
              <w:jc w:val="left"/>
              <w:rPr>
                <w:rFonts w:eastAsia="Times New Roman"/>
                <w:noProof/>
              </w:rPr>
            </w:pPr>
            <w:r w:rsidRPr="007E3B4E">
              <w:t>XI. melléklet</w:t>
            </w:r>
          </w:p>
        </w:tc>
        <w:tc>
          <w:tcPr>
            <w:tcW w:w="4674" w:type="dxa"/>
            <w:tcBorders>
              <w:top w:val="nil"/>
              <w:bottom w:val="nil"/>
              <w:right w:val="nil"/>
            </w:tcBorders>
          </w:tcPr>
          <w:p w14:paraId="768C888D" w14:textId="77777777" w:rsidR="00D86764" w:rsidRPr="007E3B4E" w:rsidRDefault="00D86764" w:rsidP="00654447">
            <w:pPr>
              <w:jc w:val="left"/>
              <w:rPr>
                <w:rFonts w:eastAsia="Times New Roman"/>
                <w:noProof/>
              </w:rPr>
            </w:pPr>
            <w:r w:rsidRPr="007E3B4E">
              <w:t>XII. melléklet</w:t>
            </w:r>
          </w:p>
        </w:tc>
      </w:tr>
      <w:tr w:rsidR="00D86764" w:rsidRPr="007E3B4E" w14:paraId="51B59341" w14:textId="77777777" w:rsidTr="00654447">
        <w:tc>
          <w:tcPr>
            <w:tcW w:w="4674" w:type="dxa"/>
            <w:tcBorders>
              <w:top w:val="nil"/>
              <w:left w:val="nil"/>
              <w:bottom w:val="nil"/>
            </w:tcBorders>
          </w:tcPr>
          <w:p w14:paraId="51DD86BA" w14:textId="77777777" w:rsidR="00D86764" w:rsidRPr="007E3B4E" w:rsidRDefault="00D86764" w:rsidP="00654447">
            <w:pPr>
              <w:jc w:val="left"/>
              <w:rPr>
                <w:rFonts w:eastAsia="Times New Roman"/>
                <w:noProof/>
              </w:rPr>
            </w:pPr>
            <w:r w:rsidRPr="007E3B4E">
              <w:t>XII. melléklet</w:t>
            </w:r>
          </w:p>
        </w:tc>
        <w:tc>
          <w:tcPr>
            <w:tcW w:w="4674" w:type="dxa"/>
            <w:tcBorders>
              <w:top w:val="nil"/>
              <w:bottom w:val="nil"/>
              <w:right w:val="nil"/>
            </w:tcBorders>
          </w:tcPr>
          <w:p w14:paraId="3A866AA2" w14:textId="77777777" w:rsidR="00D86764" w:rsidRPr="007E3B4E" w:rsidRDefault="00D86764" w:rsidP="00654447">
            <w:pPr>
              <w:jc w:val="left"/>
              <w:rPr>
                <w:rFonts w:eastAsia="Times New Roman"/>
                <w:noProof/>
              </w:rPr>
            </w:pPr>
            <w:r w:rsidRPr="007E3B4E">
              <w:t>XIII. melléklet</w:t>
            </w:r>
          </w:p>
        </w:tc>
      </w:tr>
      <w:tr w:rsidR="00D86764" w:rsidRPr="007E3B4E" w14:paraId="124E274A" w14:textId="77777777" w:rsidTr="00654447">
        <w:tc>
          <w:tcPr>
            <w:tcW w:w="4674" w:type="dxa"/>
            <w:tcBorders>
              <w:top w:val="nil"/>
              <w:left w:val="nil"/>
              <w:bottom w:val="nil"/>
            </w:tcBorders>
          </w:tcPr>
          <w:p w14:paraId="3DDF0C9D" w14:textId="77777777" w:rsidR="00D86764" w:rsidRPr="007E3B4E" w:rsidRDefault="00D86764" w:rsidP="00654447">
            <w:pPr>
              <w:jc w:val="left"/>
              <w:rPr>
                <w:rFonts w:eastAsia="Times New Roman"/>
                <w:noProof/>
              </w:rPr>
            </w:pPr>
            <w:r w:rsidRPr="007E3B4E">
              <w:t>XIII. melléklet</w:t>
            </w:r>
          </w:p>
        </w:tc>
        <w:tc>
          <w:tcPr>
            <w:tcW w:w="4674" w:type="dxa"/>
            <w:tcBorders>
              <w:top w:val="nil"/>
              <w:bottom w:val="nil"/>
              <w:right w:val="nil"/>
            </w:tcBorders>
          </w:tcPr>
          <w:p w14:paraId="30F3C15F" w14:textId="77777777" w:rsidR="00D86764" w:rsidRPr="007E3B4E" w:rsidRDefault="00D86764" w:rsidP="00654447">
            <w:pPr>
              <w:jc w:val="left"/>
              <w:rPr>
                <w:rFonts w:eastAsia="Times New Roman"/>
                <w:noProof/>
              </w:rPr>
            </w:pPr>
            <w:r w:rsidRPr="007E3B4E">
              <w:t>XIV. melléklet</w:t>
            </w:r>
          </w:p>
        </w:tc>
      </w:tr>
      <w:tr w:rsidR="00D86764" w:rsidRPr="007E3B4E" w14:paraId="42021BB6" w14:textId="77777777" w:rsidTr="00654447">
        <w:tc>
          <w:tcPr>
            <w:tcW w:w="4674" w:type="dxa"/>
            <w:tcBorders>
              <w:top w:val="nil"/>
              <w:left w:val="nil"/>
              <w:bottom w:val="nil"/>
            </w:tcBorders>
          </w:tcPr>
          <w:p w14:paraId="5B460A30" w14:textId="77777777" w:rsidR="00D86764" w:rsidRPr="007E3B4E" w:rsidRDefault="00D86764" w:rsidP="00654447">
            <w:pPr>
              <w:jc w:val="left"/>
              <w:rPr>
                <w:rFonts w:eastAsia="Times New Roman"/>
                <w:noProof/>
              </w:rPr>
            </w:pPr>
            <w:r w:rsidRPr="007E3B4E">
              <w:t>XV. melléklet</w:t>
            </w:r>
          </w:p>
        </w:tc>
        <w:tc>
          <w:tcPr>
            <w:tcW w:w="4674" w:type="dxa"/>
            <w:tcBorders>
              <w:top w:val="nil"/>
              <w:bottom w:val="nil"/>
              <w:right w:val="nil"/>
            </w:tcBorders>
          </w:tcPr>
          <w:p w14:paraId="2901B825" w14:textId="77777777" w:rsidR="00D86764" w:rsidRPr="007E3B4E" w:rsidRDefault="00D86764" w:rsidP="00654447">
            <w:pPr>
              <w:jc w:val="left"/>
              <w:rPr>
                <w:rFonts w:eastAsia="Times New Roman"/>
                <w:noProof/>
              </w:rPr>
            </w:pPr>
            <w:r w:rsidRPr="007E3B4E">
              <w:t>–</w:t>
            </w:r>
          </w:p>
        </w:tc>
      </w:tr>
      <w:tr w:rsidR="00D86764" w:rsidRPr="007E3B4E" w14:paraId="7CE4532A" w14:textId="77777777" w:rsidTr="00654447">
        <w:tc>
          <w:tcPr>
            <w:tcW w:w="4674" w:type="dxa"/>
            <w:tcBorders>
              <w:top w:val="nil"/>
              <w:left w:val="nil"/>
              <w:bottom w:val="nil"/>
            </w:tcBorders>
          </w:tcPr>
          <w:p w14:paraId="65EDFEC4"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76538363" w14:textId="77777777" w:rsidR="00D86764" w:rsidRPr="007E3B4E" w:rsidRDefault="00D86764" w:rsidP="00654447">
            <w:pPr>
              <w:jc w:val="left"/>
              <w:rPr>
                <w:rFonts w:eastAsia="Times New Roman"/>
                <w:noProof/>
              </w:rPr>
            </w:pPr>
            <w:r w:rsidRPr="007E3B4E">
              <w:t>XV. melléklet</w:t>
            </w:r>
          </w:p>
        </w:tc>
      </w:tr>
      <w:tr w:rsidR="00D86764" w:rsidRPr="007E3B4E" w14:paraId="41F01EF3" w14:textId="77777777" w:rsidTr="00654447">
        <w:tc>
          <w:tcPr>
            <w:tcW w:w="4674" w:type="dxa"/>
            <w:tcBorders>
              <w:top w:val="nil"/>
              <w:left w:val="nil"/>
              <w:bottom w:val="nil"/>
            </w:tcBorders>
          </w:tcPr>
          <w:p w14:paraId="5E57692B" w14:textId="77777777" w:rsidR="00D86764" w:rsidRPr="007E3B4E" w:rsidRDefault="00D86764" w:rsidP="00654447">
            <w:pPr>
              <w:jc w:val="left"/>
              <w:rPr>
                <w:rFonts w:eastAsia="Times New Roman"/>
                <w:noProof/>
              </w:rPr>
            </w:pPr>
            <w:r w:rsidRPr="007E3B4E">
              <w:t>–</w:t>
            </w:r>
          </w:p>
        </w:tc>
        <w:tc>
          <w:tcPr>
            <w:tcW w:w="4674" w:type="dxa"/>
            <w:tcBorders>
              <w:top w:val="nil"/>
              <w:bottom w:val="nil"/>
              <w:right w:val="nil"/>
            </w:tcBorders>
          </w:tcPr>
          <w:p w14:paraId="5A6A7AA6" w14:textId="77777777" w:rsidR="00D86764" w:rsidRPr="007E3B4E" w:rsidRDefault="00D86764" w:rsidP="00654447">
            <w:pPr>
              <w:jc w:val="left"/>
              <w:rPr>
                <w:rFonts w:eastAsia="Times New Roman"/>
                <w:noProof/>
              </w:rPr>
            </w:pPr>
            <w:r w:rsidRPr="007E3B4E">
              <w:t>XVI. melléklet</w:t>
            </w:r>
          </w:p>
        </w:tc>
      </w:tr>
    </w:tbl>
    <w:p w14:paraId="33E038A7" w14:textId="77777777" w:rsidR="001C2816" w:rsidRPr="007E3B4E" w:rsidRDefault="00F532EF" w:rsidP="00DB73A0">
      <w:pPr>
        <w:jc w:val="center"/>
      </w:pPr>
      <w:r w:rsidRPr="007E3B4E">
        <w:t>_________</w:t>
      </w:r>
    </w:p>
    <w:sectPr w:rsidR="001C2816" w:rsidRPr="007E3B4E" w:rsidSect="002A795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AB880" w14:textId="77777777" w:rsidR="00A5480A" w:rsidRDefault="00A5480A" w:rsidP="00DB73A0">
      <w:pPr>
        <w:spacing w:before="0" w:after="0"/>
      </w:pPr>
      <w:r>
        <w:separator/>
      </w:r>
    </w:p>
  </w:endnote>
  <w:endnote w:type="continuationSeparator" w:id="0">
    <w:p w14:paraId="35516708" w14:textId="77777777" w:rsidR="00A5480A" w:rsidRDefault="00A5480A" w:rsidP="00DB73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2343" w14:textId="096FFC41" w:rsidR="00A5480A" w:rsidRPr="002A7954" w:rsidRDefault="002A7954" w:rsidP="002A7954">
    <w:pPr>
      <w:pStyle w:val="Footer"/>
      <w:rPr>
        <w:rFonts w:ascii="Arial" w:hAnsi="Arial" w:cs="Arial"/>
        <w:b/>
        <w:sz w:val="48"/>
      </w:rPr>
    </w:pPr>
    <w:r w:rsidRPr="002A7954">
      <w:rPr>
        <w:rFonts w:ascii="Arial" w:hAnsi="Arial" w:cs="Arial"/>
        <w:b/>
        <w:sz w:val="48"/>
      </w:rPr>
      <w:t>HU</w:t>
    </w:r>
    <w:r w:rsidRPr="002A7954">
      <w:rPr>
        <w:rFonts w:ascii="Arial" w:hAnsi="Arial" w:cs="Arial"/>
        <w:b/>
        <w:sz w:val="48"/>
      </w:rPr>
      <w:tab/>
    </w:r>
    <w:r w:rsidRPr="002A7954">
      <w:rPr>
        <w:rFonts w:ascii="Arial" w:hAnsi="Arial" w:cs="Arial"/>
        <w:b/>
        <w:sz w:val="48"/>
      </w:rPr>
      <w:tab/>
    </w:r>
    <w:r w:rsidRPr="002A7954">
      <w:tab/>
    </w:r>
    <w:r w:rsidRPr="002A7954">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1E85" w14:textId="1127A1FA" w:rsidR="002A7954" w:rsidRPr="002A7954" w:rsidRDefault="002A7954" w:rsidP="002A7954">
    <w:pPr>
      <w:pStyle w:val="Footer"/>
      <w:rPr>
        <w:rFonts w:ascii="Arial" w:hAnsi="Arial" w:cs="Arial"/>
        <w:b/>
        <w:sz w:val="48"/>
      </w:rPr>
    </w:pPr>
    <w:r w:rsidRPr="002A7954">
      <w:rPr>
        <w:rFonts w:ascii="Arial" w:hAnsi="Arial" w:cs="Arial"/>
        <w:b/>
        <w:sz w:val="48"/>
      </w:rPr>
      <w:t>HU</w:t>
    </w:r>
    <w:r w:rsidRPr="002A7954">
      <w:rPr>
        <w:rFonts w:ascii="Arial" w:hAnsi="Arial" w:cs="Arial"/>
        <w:b/>
        <w:sz w:val="48"/>
      </w:rPr>
      <w:tab/>
    </w:r>
    <w:r>
      <w:fldChar w:fldCharType="begin"/>
    </w:r>
    <w:r>
      <w:instrText xml:space="preserve"> PAGE  \* MERGEFORMAT </w:instrText>
    </w:r>
    <w:r>
      <w:fldChar w:fldCharType="separate"/>
    </w:r>
    <w:r w:rsidR="009C3D5C">
      <w:rPr>
        <w:noProof/>
      </w:rPr>
      <w:t>2</w:t>
    </w:r>
    <w:r>
      <w:fldChar w:fldCharType="end"/>
    </w:r>
    <w:r>
      <w:tab/>
    </w:r>
    <w:r w:rsidRPr="002A7954">
      <w:tab/>
    </w:r>
    <w:r w:rsidRPr="002A7954">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1ADC" w14:textId="77777777" w:rsidR="002A7954" w:rsidRPr="002A7954" w:rsidRDefault="002A7954" w:rsidP="002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F7C01" w14:textId="77777777" w:rsidR="00A5480A" w:rsidRDefault="00A5480A" w:rsidP="00DB73A0">
      <w:pPr>
        <w:spacing w:before="0" w:after="0"/>
      </w:pPr>
      <w:r>
        <w:separator/>
      </w:r>
    </w:p>
  </w:footnote>
  <w:footnote w:type="continuationSeparator" w:id="0">
    <w:p w14:paraId="07B50E59" w14:textId="77777777" w:rsidR="00A5480A" w:rsidRDefault="00A5480A" w:rsidP="00DB73A0">
      <w:pPr>
        <w:spacing w:before="0" w:after="0"/>
      </w:pPr>
      <w:r>
        <w:continuationSeparator/>
      </w:r>
    </w:p>
  </w:footnote>
  <w:footnote w:id="1">
    <w:p w14:paraId="5FA025AB" w14:textId="77777777" w:rsidR="00A5480A" w:rsidRPr="005B6506" w:rsidRDefault="00A5480A" w:rsidP="00DB73A0">
      <w:pPr>
        <w:pStyle w:val="FootnoteText"/>
      </w:pPr>
      <w:r>
        <w:rPr>
          <w:rStyle w:val="FootnoteReference"/>
        </w:rPr>
        <w:footnoteRef/>
      </w:r>
      <w:r>
        <w:tab/>
      </w:r>
      <w:r>
        <w:rPr>
          <w:rStyle w:val="CRMinorChangeAdded"/>
        </w:rPr>
        <w:t>A Bizottság 2008/952/EK határozata (2008. november 19.) a 2004/8/EK európai parlamenti és tanácsi irányelv II. mellékletének végrehajtására és alkalmazására vonatkozó részletes iránymutatás létrehozásáról (</w:t>
      </w:r>
      <w:r>
        <w:t>HL L 338., 2008.12.17., 55. o.</w:t>
      </w:r>
      <w:r>
        <w:rPr>
          <w:rStyle w:val="CRMinorChangeAdded"/>
        </w:rPr>
        <w:t>).</w:t>
      </w:r>
    </w:p>
  </w:footnote>
  <w:footnote w:id="2">
    <w:p w14:paraId="1DD1EF29" w14:textId="77777777" w:rsidR="00A5480A" w:rsidRPr="00FD0FD1" w:rsidRDefault="00A5480A" w:rsidP="00DB73A0">
      <w:pPr>
        <w:pStyle w:val="FootnoteText"/>
        <w:rPr>
          <w:highlight w:val="lightGray"/>
        </w:rPr>
      </w:pPr>
      <w:r>
        <w:rPr>
          <w:rStyle w:val="FootnoteReference"/>
          <w:highlight w:val="lightGray"/>
        </w:rPr>
        <w:footnoteRef/>
      </w:r>
      <w:r>
        <w:tab/>
      </w:r>
      <w:r>
        <w:rPr>
          <w:rStyle w:val="CRRefonteDeleted"/>
          <w:highlight w:val="lightGray"/>
        </w:rPr>
        <w:t>HL L 381., 2006.12.28., 24. o.</w:t>
      </w:r>
    </w:p>
  </w:footnote>
  <w:footnote w:id="3">
    <w:p w14:paraId="19D0A9CD" w14:textId="77777777" w:rsidR="00A5480A" w:rsidRPr="009A6DA1" w:rsidRDefault="00A5480A" w:rsidP="00DB73A0">
      <w:pPr>
        <w:pStyle w:val="FootnoteText"/>
      </w:pPr>
      <w:r>
        <w:rPr>
          <w:rStyle w:val="FootnoteReference"/>
        </w:rPr>
        <w:footnoteRef/>
      </w:r>
      <w:r>
        <w:tab/>
      </w:r>
      <w:r>
        <w:rPr>
          <w:rStyle w:val="CRMinorChangeDeleted"/>
        </w:rPr>
        <w:t>HL L 342., 2009.12.22., 46. o.</w:t>
      </w:r>
    </w:p>
  </w:footnote>
  <w:footnote w:id="4">
    <w:p w14:paraId="750ECFE6" w14:textId="77777777" w:rsidR="00A5480A" w:rsidRPr="0006428D" w:rsidRDefault="00A5480A" w:rsidP="00DB73A0">
      <w:pPr>
        <w:pStyle w:val="FootnoteText"/>
      </w:pPr>
      <w:r>
        <w:rPr>
          <w:rStyle w:val="FootnoteReference"/>
        </w:rPr>
        <w:footnoteRef/>
      </w:r>
      <w:r>
        <w:tab/>
      </w:r>
      <w:r>
        <w:rPr>
          <w:rStyle w:val="CRMinorChangeAdded"/>
        </w:rPr>
        <w:t>Az Európai Parlament és a Tanács (EU) 2020/740 rendelete (2020. május 25.) a gumiabroncsok üzemanyag-hatékonyság és más paraméterek tekintetében történő címkézéséről, az (EU) 2017/1369 rendelet módosításáról és az 1222/2009/EK rendelet hatályon kívül helyezéséről (HL L 177., 2020.6.5., 1. o.)</w:t>
      </w:r>
    </w:p>
  </w:footnote>
  <w:footnote w:id="5">
    <w:p w14:paraId="544A8DC2" w14:textId="77777777" w:rsidR="00A5480A" w:rsidRPr="00157578" w:rsidRDefault="00A5480A" w:rsidP="00DB73A0">
      <w:pPr>
        <w:pStyle w:val="FootnoteText"/>
      </w:pPr>
      <w:r>
        <w:rPr>
          <w:rStyle w:val="FootnoteReference"/>
        </w:rPr>
        <w:footnoteRef/>
      </w:r>
      <w:r>
        <w:tab/>
      </w:r>
      <w:r>
        <w:rPr>
          <w:rStyle w:val="CRMinorChangeDeleted"/>
        </w:rPr>
        <w:t>Az Európai Parlament és a Tanács 443/2009/EK rendelete (2009. április 23.) a könnyű haszongépjárművek szén-dioxid-kibocsátásának csökkentésére irányuló közösségi integrált megközelítés keretében az új személygépkocsikra vonatkozó kibocsátási követelmények meghatározásáról (HL L 140., 2009.6.5., 1. o.).</w:t>
      </w:r>
    </w:p>
  </w:footnote>
  <w:footnote w:id="6">
    <w:p w14:paraId="4B2D3832" w14:textId="77777777" w:rsidR="00A5480A" w:rsidRPr="00157578" w:rsidRDefault="00A5480A" w:rsidP="00DB73A0">
      <w:pPr>
        <w:pStyle w:val="FootnoteText"/>
      </w:pPr>
      <w:r>
        <w:rPr>
          <w:rStyle w:val="FootnoteReference"/>
        </w:rPr>
        <w:footnoteRef/>
      </w:r>
      <w:r>
        <w:tab/>
      </w:r>
      <w:r>
        <w:rPr>
          <w:rStyle w:val="CRMinorChangeDeleted"/>
        </w:rPr>
        <w:t>Az Európai Parlament és a Tanács 510/2011/EU rendelete (2011. május 11.) az új könnyű haszongépjárművekre vonatkozó kibocsátási követelményeknek a könnyű haszongépjárművek CO</w:t>
      </w:r>
      <w:r>
        <w:rPr>
          <w:rStyle w:val="CRMinorChangeDeleted"/>
          <w:vertAlign w:val="subscript"/>
        </w:rPr>
        <w:t>2</w:t>
      </w:r>
      <w:r>
        <w:rPr>
          <w:rStyle w:val="CRMinorChangeDeleted"/>
        </w:rPr>
        <w:t>-kibocsátásának csökkentésére irányuló uniós integrált megközelítés keretében történő meghatározásáról (HL L 145., 2011.5.31., 1. o.).</w:t>
      </w:r>
    </w:p>
  </w:footnote>
  <w:footnote w:id="7">
    <w:p w14:paraId="20D1C582" w14:textId="77777777" w:rsidR="00A5480A" w:rsidRPr="009A6DA1" w:rsidRDefault="00A5480A" w:rsidP="00DB73A0">
      <w:pPr>
        <w:pStyle w:val="FootnoteText"/>
      </w:pPr>
      <w:r>
        <w:rPr>
          <w:rStyle w:val="FootnoteReference"/>
        </w:rPr>
        <w:footnoteRef/>
      </w:r>
      <w:r>
        <w:tab/>
      </w:r>
      <w:r>
        <w:rPr>
          <w:rStyle w:val="CRMinorChangeAdded"/>
        </w:rPr>
        <w:t>Az Európai Parlament és a Tanács (EU) 2019/631 rendelete (2019. április 17.) az új személygépkocsikra és az új könnyű haszongépjárművekre vonatkozó szén-dioxid-kibocsátási előírások meghatározásáról, valamint a 443/2009/EK és az 510/2011/EU rendelet hatályon kívül helyezéséről (HL L 111., 2019.4.25., 13. o.).</w:t>
      </w:r>
    </w:p>
  </w:footnote>
  <w:footnote w:id="8">
    <w:p w14:paraId="2A92E2EC" w14:textId="77777777" w:rsidR="00A5480A" w:rsidRPr="009A6DA1" w:rsidRDefault="00A5480A" w:rsidP="00DB73A0">
      <w:pPr>
        <w:pStyle w:val="FootnoteText"/>
      </w:pPr>
      <w:r>
        <w:rPr>
          <w:rStyle w:val="FootnoteReference"/>
        </w:rPr>
        <w:footnoteRef/>
      </w:r>
      <w:r>
        <w:tab/>
        <w:t>A Tanács 2003/96/EK irányelve (2003. október 27.) az energiatermékek és a villamos energia közösségi adóztatási keretének átszervezéséről (HL L 283., 2003.10.31., 51. o.).</w:t>
      </w:r>
    </w:p>
  </w:footnote>
  <w:footnote w:id="9">
    <w:p w14:paraId="60183147" w14:textId="77777777" w:rsidR="00A5480A" w:rsidRPr="009A6DA1" w:rsidRDefault="00A5480A" w:rsidP="00DB73A0">
      <w:pPr>
        <w:pStyle w:val="FootnoteText"/>
      </w:pPr>
      <w:r>
        <w:rPr>
          <w:rStyle w:val="FootnoteReference"/>
        </w:rPr>
        <w:footnoteRef/>
      </w:r>
      <w:r>
        <w:tab/>
        <w:t>A Tanács 2006/112/EK irányelve (2006. november 28.) a közös hozzáadottértékadó-rendszerről (HL L 347., 2006.12.11., 1. o.).</w:t>
      </w:r>
    </w:p>
  </w:footnote>
  <w:footnote w:id="10">
    <w:p w14:paraId="1B275DD1" w14:textId="77777777" w:rsidR="00A5480A" w:rsidRPr="007E48AE" w:rsidRDefault="00A5480A" w:rsidP="00DB73A0">
      <w:pPr>
        <w:pStyle w:val="FootnoteText"/>
      </w:pPr>
      <w:r>
        <w:rPr>
          <w:rStyle w:val="FootnoteReference"/>
        </w:rPr>
        <w:footnoteRef/>
      </w:r>
      <w:r>
        <w:tab/>
        <w:t>A végfelhasználók fűtési és hűtési igényeinek kielégítéséhez szükséges hőenergia-mennyiség.</w:t>
      </w:r>
    </w:p>
  </w:footnote>
  <w:footnote w:id="11">
    <w:p w14:paraId="5046D96A" w14:textId="77777777" w:rsidR="00A5480A" w:rsidRPr="007E48AE" w:rsidRDefault="00A5480A" w:rsidP="00DB73A0">
      <w:pPr>
        <w:pStyle w:val="FootnoteText"/>
      </w:pPr>
      <w:r>
        <w:rPr>
          <w:rStyle w:val="FootnoteReference"/>
        </w:rPr>
        <w:footnoteRef/>
      </w:r>
      <w:r>
        <w:tab/>
        <w:t>A rendelkezésre álló legfrissebb adatokat kell felhasználni.</w:t>
      </w:r>
    </w:p>
  </w:footnote>
  <w:footnote w:id="12">
    <w:p w14:paraId="490FA414" w14:textId="77777777" w:rsidR="00A5480A" w:rsidRPr="007E48AE" w:rsidRDefault="00A5480A" w:rsidP="00DB73A0">
      <w:pPr>
        <w:pStyle w:val="FootnoteText"/>
      </w:pPr>
      <w:r>
        <w:rPr>
          <w:rStyle w:val="FootnoteReference"/>
        </w:rPr>
        <w:footnoteRef/>
      </w:r>
      <w:r>
        <w:tab/>
        <w:t>A rendelkezésre álló legfrissebb adatokat kell felhasználni.</w:t>
      </w:r>
    </w:p>
  </w:footnote>
  <w:footnote w:id="13">
    <w:p w14:paraId="781674AB" w14:textId="77777777" w:rsidR="00A5480A" w:rsidRPr="007E48AE" w:rsidRDefault="00A5480A" w:rsidP="00DB73A0">
      <w:pPr>
        <w:pStyle w:val="FootnoteText"/>
      </w:pPr>
      <w:r>
        <w:rPr>
          <w:rStyle w:val="FootnoteReference"/>
        </w:rPr>
        <w:footnoteRef/>
      </w:r>
      <w:r>
        <w:tab/>
        <w:t>A megújuló energiaforrásokon alapuló hűtés mennyisége az (EU) 2018/2001 irányelv 35. cikkének megfelelően kerül meghatározásra a hűtéshez és távhűtéshez felhasznált megújuló energia mennyiségének kiszámításához használt módszernek az említett irányelv alapján történő meghatározását követően. Addig a megfelelő nemzeti módszertan szerint kell meghatározni.</w:t>
      </w:r>
    </w:p>
  </w:footnote>
  <w:footnote w:id="14">
    <w:p w14:paraId="1086C96C" w14:textId="77777777" w:rsidR="00A5480A" w:rsidRPr="007E48AE" w:rsidRDefault="00A5480A" w:rsidP="00DB73A0">
      <w:pPr>
        <w:pStyle w:val="FootnoteText"/>
      </w:pPr>
      <w:r>
        <w:rPr>
          <w:rStyle w:val="FootnoteReference"/>
        </w:rPr>
        <w:footnoteRef/>
      </w:r>
      <w:r>
        <w:tab/>
        <w:t>A gazdasági potenciál elemzésben meg kell adni az egyes elemzett technológiák által évente előállítható energia mennyiségét (GWh-ban). Az energiarendszeren belüli korlátokat és kapcsolatokat is figyelembe kell venni. Az elemzés a technológiák vagy rendszerek szokásos típusainak működését képviselő feltételezéseken alapuló modelleket is felhasználhat.</w:t>
      </w:r>
    </w:p>
  </w:footnote>
  <w:footnote w:id="15">
    <w:p w14:paraId="1DE9ED1B" w14:textId="77777777" w:rsidR="00A5480A" w:rsidRPr="007E48AE" w:rsidRDefault="00A5480A" w:rsidP="00DB73A0">
      <w:pPr>
        <w:pStyle w:val="FootnoteText"/>
      </w:pPr>
      <w:r>
        <w:rPr>
          <w:rStyle w:val="FootnoteReference"/>
        </w:rPr>
        <w:footnoteRef/>
      </w:r>
      <w:r>
        <w:tab/>
        <w:t>Beleértve az (EU) 2018/2001 irányelv 15. cikke (7) bekezdésében említett értékelést.</w:t>
      </w:r>
    </w:p>
  </w:footnote>
  <w:footnote w:id="16">
    <w:p w14:paraId="3239F97B" w14:textId="77777777" w:rsidR="00A5480A" w:rsidRPr="007E48AE" w:rsidRDefault="00A5480A" w:rsidP="00DB73A0">
      <w:pPr>
        <w:pStyle w:val="FootnoteText"/>
      </w:pPr>
      <w:r>
        <w:rPr>
          <w:rStyle w:val="FootnoteReference"/>
        </w:rPr>
        <w:footnoteRef/>
      </w:r>
      <w:r>
        <w:tab/>
        <w:t>Az alapforgatókönyvre vonatkozó szakpolitikák figyelembevételének határideje az azt megelőző évnek a vége, amelynek végére az átfogó értékelést el kell végezni. Ez azt jelenti, hogy az átfogó értékelés benyújtási határidejét megelőző egy éven belül elfogadott szakpolitikákat nem kell figyelembe venni.</w:t>
      </w:r>
    </w:p>
  </w:footnote>
  <w:footnote w:id="17">
    <w:p w14:paraId="7524A0E6" w14:textId="77777777" w:rsidR="00A5480A" w:rsidRPr="007E48AE" w:rsidRDefault="00A5480A" w:rsidP="00DB73A0">
      <w:pPr>
        <w:pStyle w:val="FootnoteText"/>
      </w:pPr>
      <w:r>
        <w:rPr>
          <w:rStyle w:val="FootnoteReference"/>
        </w:rPr>
        <w:footnoteRef/>
      </w:r>
      <w:r>
        <w:tab/>
        <w:t>Ennek az áttekintésnek tartalmaznia kell azokat a finanszírozási intézkedéseket és programokat, amelyek az átfogó értékelés időszakában elfogadhatók anélkül, hogy azok sértenék az állami támogatások értékelése céljából az állami támogatási rendszerekről szóló külön értesítésre vonatkozó kötelezettséget.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7EC4B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D8E8F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B5C61B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918085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D70415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ADA46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9441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10"/>
  </w:num>
  <w:num w:numId="4">
    <w:abstractNumId w:val="7"/>
  </w:num>
  <w:num w:numId="5">
    <w:abstractNumId w:val="5"/>
  </w:num>
  <w:num w:numId="6">
    <w:abstractNumId w:val="4"/>
  </w:num>
  <w:num w:numId="7">
    <w:abstractNumId w:val="3"/>
  </w:num>
  <w:num w:numId="8">
    <w:abstractNumId w:val="2"/>
  </w:num>
  <w:num w:numId="9">
    <w:abstractNumId w:val="1"/>
  </w:num>
  <w:num w:numId="10">
    <w:abstractNumId w:val="19"/>
    <w:lvlOverride w:ilvl="0">
      <w:startOverride w:val="1"/>
    </w:lvlOverride>
  </w:num>
  <w:num w:numId="11">
    <w:abstractNumId w:val="12"/>
    <w:lvlOverride w:ilvl="0">
      <w:startOverride w:val="1"/>
    </w:lvlOverride>
  </w:num>
  <w:num w:numId="12">
    <w:abstractNumId w:val="21"/>
    <w:lvlOverride w:ilvl="0">
      <w:startOverride w:val="1"/>
    </w:lvlOverride>
  </w:num>
  <w:num w:numId="13">
    <w:abstractNumId w:val="19"/>
  </w:num>
  <w:num w:numId="14">
    <w:abstractNumId w:val="13"/>
  </w:num>
  <w:num w:numId="15">
    <w:abstractNumId w:val="21"/>
  </w:num>
  <w:num w:numId="16">
    <w:abstractNumId w:val="12"/>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1"/>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3 12:35: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ACCOMPAGNANT" w:val="a következ\u337?höz:"/>
    <w:docVar w:name="LW_ACCOMPAGNANT.CP" w:val="a következ\u337?höz:"/>
    <w:docVar w:name="LW_ANNEX_NBR_FIRST" w:val="1"/>
    <w:docVar w:name="LW_ANNEX_NBR_LAST" w:val="16"/>
    <w:docVar w:name="LW_ANNEX_UNIQUE" w:val="0"/>
    <w:docVar w:name="LW_CORRIGENDUM" w:val="CORRIGENDUM_x000b_This document corrects COM(2021)558 final of 14.7.2021_x000b__x000b_Concerns all the language versions_x000b_Formatting errors in the text and other_x000b_minor errors in the text and annexes_x000b__x000b_The text shall read as follows:"/>
    <w:docVar w:name="LW_COVERPAGE_EXISTS" w:val="True"/>
    <w:docVar w:name="LW_COVERPAGE_GUID" w:val="B3985DF8-3F12-49C5-87F0-575216B52089"/>
    <w:docVar w:name="LW_COVERPAGE_TYPE" w:val="1"/>
    <w:docVar w:name="LW_CROSSREFERENCE" w:val="{SWD(2021) 623-627}_x000a_{SEC(2021) 558}"/>
    <w:docVar w:name="LW_DocType" w:val="ANNEX"/>
    <w:docVar w:name="LW_EMISSION" w:val="2021.7.14."/>
    <w:docVar w:name="LW_EMISSION_ISODATE" w:val="2021-07-14"/>
    <w:docVar w:name="LW_EMISSION_LOCATION" w:val="BRX"/>
    <w:docVar w:name="LW_EMISSION_PREFIX" w:val="Brüsszel, "/>
    <w:docVar w:name="LW_EMISSION_SUFFIX" w:val=" "/>
    <w:docVar w:name="LW_ID_DOCSTRUCTURE" w:val="COM/ANNEX"/>
    <w:docVar w:name="LW_ID_DOCTYPE" w:val="SG-017"/>
    <w:docVar w:name="LW_LANGUE" w:val="HU"/>
    <w:docVar w:name="LW_LEVEL_OF_SENSITIVITY" w:val="Standard treatment"/>
    <w:docVar w:name="LW_NOM.INST" w:val="EURÓPAI BIZOTTSÁG"/>
    <w:docVar w:name="LW_NOM.INST_JOINTDOC" w:val="&lt;EMPTY&gt;"/>
    <w:docVar w:name="LW_OBJETACTEPRINCIPAL" w:val="az energiahatékonyságról, a 2009/125/EK és a 2010/30/EU irányelv módosításáról, valamint a 2004/8/EK és a 2006/32/EK irányelv hatályon kívül helyezésér\u337?l (átdolgozás)"/>
    <w:docVar w:name="LW_OBJETACTEPRINCIPAL.CP" w:val="az energiahatékonyságról, a 2009/125/EK és a 2010/30/EU irányelv módosításáról, valamint a 2004/8/EK és a 2006/32/EK irányelv hatályon kívül helyezésér\u337?l (átdolgozás)"/>
    <w:docVar w:name="LW_PART_NBR" w:val="&lt;UNUSED&gt;"/>
    <w:docVar w:name="LW_PART_NBR_TOTAL" w:val="&lt;UNUSED&gt;"/>
    <w:docVar w:name="LW_REF.INST.NEW" w:val="COM"/>
    <w:docVar w:name="LW_REF.INST.NEW_ADOPTED" w:val="final/2"/>
    <w:docVar w:name="LW_REF.INST.NEW_TEXT" w:val="(2021) 5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MELLÉKLETEK"/>
    <w:docVar w:name="LW_TYPE.DOC.CP" w:val="MELLÉKLETEK"/>
    <w:docVar w:name="LW_TYPEACTEPRINCIPAL" w:val="Javaslat_x000b__x000b_AZ EURÓPAI PARLAMENT ÉS A TANÁCS IRÁNYELVE"/>
    <w:docVar w:name="LW_TYPEACTEPRINCIPAL.CP" w:val="Javaslat_x000b__x000b_AZ EURÓPAI PARLAMENT ÉS A TANÁCS IRÁNYELVE"/>
  </w:docVars>
  <w:rsids>
    <w:rsidRoot w:val="00DB73A0"/>
    <w:rsid w:val="000072E6"/>
    <w:rsid w:val="000078B4"/>
    <w:rsid w:val="00007AA3"/>
    <w:rsid w:val="000231F0"/>
    <w:rsid w:val="00055EAC"/>
    <w:rsid w:val="000655E9"/>
    <w:rsid w:val="0007351C"/>
    <w:rsid w:val="00081314"/>
    <w:rsid w:val="0008420E"/>
    <w:rsid w:val="000A7C9A"/>
    <w:rsid w:val="000B0659"/>
    <w:rsid w:val="000B3494"/>
    <w:rsid w:val="000B78B1"/>
    <w:rsid w:val="000C0F0B"/>
    <w:rsid w:val="000C0FA0"/>
    <w:rsid w:val="000D4990"/>
    <w:rsid w:val="000E049A"/>
    <w:rsid w:val="000E198E"/>
    <w:rsid w:val="000F1589"/>
    <w:rsid w:val="000F5E3D"/>
    <w:rsid w:val="001028EC"/>
    <w:rsid w:val="001445F1"/>
    <w:rsid w:val="001544AA"/>
    <w:rsid w:val="001571FA"/>
    <w:rsid w:val="001867F6"/>
    <w:rsid w:val="00194CF8"/>
    <w:rsid w:val="00197FC9"/>
    <w:rsid w:val="001B2E0D"/>
    <w:rsid w:val="001C2816"/>
    <w:rsid w:val="001C5C31"/>
    <w:rsid w:val="001D6F25"/>
    <w:rsid w:val="001D7874"/>
    <w:rsid w:val="001E4271"/>
    <w:rsid w:val="002131DA"/>
    <w:rsid w:val="00220278"/>
    <w:rsid w:val="00222384"/>
    <w:rsid w:val="00224575"/>
    <w:rsid w:val="0024282E"/>
    <w:rsid w:val="00280188"/>
    <w:rsid w:val="0028407D"/>
    <w:rsid w:val="00286BB8"/>
    <w:rsid w:val="002A290E"/>
    <w:rsid w:val="002A72C8"/>
    <w:rsid w:val="002A7954"/>
    <w:rsid w:val="002B0383"/>
    <w:rsid w:val="002B398F"/>
    <w:rsid w:val="002F0387"/>
    <w:rsid w:val="003056E5"/>
    <w:rsid w:val="00312BA7"/>
    <w:rsid w:val="00316900"/>
    <w:rsid w:val="00333153"/>
    <w:rsid w:val="00337D8E"/>
    <w:rsid w:val="00341DF3"/>
    <w:rsid w:val="00355A5E"/>
    <w:rsid w:val="003901DE"/>
    <w:rsid w:val="0039342A"/>
    <w:rsid w:val="003B74B0"/>
    <w:rsid w:val="003C238B"/>
    <w:rsid w:val="003C66BC"/>
    <w:rsid w:val="003F490E"/>
    <w:rsid w:val="004008AA"/>
    <w:rsid w:val="00405E3C"/>
    <w:rsid w:val="00406B22"/>
    <w:rsid w:val="0043088E"/>
    <w:rsid w:val="00441DBF"/>
    <w:rsid w:val="0046478F"/>
    <w:rsid w:val="0046561E"/>
    <w:rsid w:val="0047180D"/>
    <w:rsid w:val="004743AB"/>
    <w:rsid w:val="004A0EEE"/>
    <w:rsid w:val="004E1C97"/>
    <w:rsid w:val="004F03A9"/>
    <w:rsid w:val="00503423"/>
    <w:rsid w:val="00503B07"/>
    <w:rsid w:val="00505C9B"/>
    <w:rsid w:val="00506723"/>
    <w:rsid w:val="00521808"/>
    <w:rsid w:val="005278D8"/>
    <w:rsid w:val="00560D05"/>
    <w:rsid w:val="00576687"/>
    <w:rsid w:val="00583A52"/>
    <w:rsid w:val="005854FB"/>
    <w:rsid w:val="00586659"/>
    <w:rsid w:val="00586F4C"/>
    <w:rsid w:val="005A234A"/>
    <w:rsid w:val="005A48F1"/>
    <w:rsid w:val="005C021A"/>
    <w:rsid w:val="005D0AA2"/>
    <w:rsid w:val="005D18B4"/>
    <w:rsid w:val="005D4D8C"/>
    <w:rsid w:val="005F2112"/>
    <w:rsid w:val="005F433C"/>
    <w:rsid w:val="005F7642"/>
    <w:rsid w:val="00635083"/>
    <w:rsid w:val="00650AA0"/>
    <w:rsid w:val="00654447"/>
    <w:rsid w:val="006551AD"/>
    <w:rsid w:val="00656F69"/>
    <w:rsid w:val="00672991"/>
    <w:rsid w:val="006868AA"/>
    <w:rsid w:val="0069055C"/>
    <w:rsid w:val="0069107D"/>
    <w:rsid w:val="006A3965"/>
    <w:rsid w:val="006A5C43"/>
    <w:rsid w:val="006C32D7"/>
    <w:rsid w:val="006E5CE7"/>
    <w:rsid w:val="006F6227"/>
    <w:rsid w:val="00701AE8"/>
    <w:rsid w:val="00710DB4"/>
    <w:rsid w:val="007206BA"/>
    <w:rsid w:val="00723D5A"/>
    <w:rsid w:val="00731592"/>
    <w:rsid w:val="0073339D"/>
    <w:rsid w:val="00733459"/>
    <w:rsid w:val="0073623E"/>
    <w:rsid w:val="00761D40"/>
    <w:rsid w:val="007813BF"/>
    <w:rsid w:val="007A6ABD"/>
    <w:rsid w:val="007B26EB"/>
    <w:rsid w:val="007B2EAC"/>
    <w:rsid w:val="007B34C3"/>
    <w:rsid w:val="007C32E9"/>
    <w:rsid w:val="007D0A7F"/>
    <w:rsid w:val="007D2085"/>
    <w:rsid w:val="007E3B4E"/>
    <w:rsid w:val="007E7B1C"/>
    <w:rsid w:val="00821688"/>
    <w:rsid w:val="00826FF8"/>
    <w:rsid w:val="00827826"/>
    <w:rsid w:val="0085567D"/>
    <w:rsid w:val="00857194"/>
    <w:rsid w:val="008620D5"/>
    <w:rsid w:val="00862329"/>
    <w:rsid w:val="00867CB7"/>
    <w:rsid w:val="00872875"/>
    <w:rsid w:val="008765A3"/>
    <w:rsid w:val="008818E3"/>
    <w:rsid w:val="0089353E"/>
    <w:rsid w:val="008A3541"/>
    <w:rsid w:val="008B07C6"/>
    <w:rsid w:val="008B0BC6"/>
    <w:rsid w:val="008C0F7D"/>
    <w:rsid w:val="008D237C"/>
    <w:rsid w:val="008E2873"/>
    <w:rsid w:val="008F3599"/>
    <w:rsid w:val="0091058E"/>
    <w:rsid w:val="00922972"/>
    <w:rsid w:val="00936552"/>
    <w:rsid w:val="00940F24"/>
    <w:rsid w:val="009463DF"/>
    <w:rsid w:val="009528E0"/>
    <w:rsid w:val="00953EA9"/>
    <w:rsid w:val="00960390"/>
    <w:rsid w:val="00970E48"/>
    <w:rsid w:val="0098121E"/>
    <w:rsid w:val="009834C6"/>
    <w:rsid w:val="00986B33"/>
    <w:rsid w:val="00987AD5"/>
    <w:rsid w:val="009906C9"/>
    <w:rsid w:val="009B0EB3"/>
    <w:rsid w:val="009B2924"/>
    <w:rsid w:val="009B2F85"/>
    <w:rsid w:val="009B330A"/>
    <w:rsid w:val="009B34E0"/>
    <w:rsid w:val="009C3D5C"/>
    <w:rsid w:val="009C4BB8"/>
    <w:rsid w:val="009D092B"/>
    <w:rsid w:val="009D34BA"/>
    <w:rsid w:val="009E003D"/>
    <w:rsid w:val="009F0BAF"/>
    <w:rsid w:val="00A04E6E"/>
    <w:rsid w:val="00A05BB8"/>
    <w:rsid w:val="00A11681"/>
    <w:rsid w:val="00A145EF"/>
    <w:rsid w:val="00A16DEC"/>
    <w:rsid w:val="00A24182"/>
    <w:rsid w:val="00A2698B"/>
    <w:rsid w:val="00A31F69"/>
    <w:rsid w:val="00A37673"/>
    <w:rsid w:val="00A46725"/>
    <w:rsid w:val="00A50924"/>
    <w:rsid w:val="00A5480A"/>
    <w:rsid w:val="00A6019E"/>
    <w:rsid w:val="00A66BB2"/>
    <w:rsid w:val="00A71465"/>
    <w:rsid w:val="00A8631C"/>
    <w:rsid w:val="00AA331A"/>
    <w:rsid w:val="00AA4944"/>
    <w:rsid w:val="00AA6617"/>
    <w:rsid w:val="00AC2139"/>
    <w:rsid w:val="00AC5779"/>
    <w:rsid w:val="00AD1152"/>
    <w:rsid w:val="00AD11DF"/>
    <w:rsid w:val="00AD3EF3"/>
    <w:rsid w:val="00AE5B88"/>
    <w:rsid w:val="00AF327E"/>
    <w:rsid w:val="00AF3FCB"/>
    <w:rsid w:val="00AF476F"/>
    <w:rsid w:val="00B16F82"/>
    <w:rsid w:val="00B25DB2"/>
    <w:rsid w:val="00B30094"/>
    <w:rsid w:val="00B31DAA"/>
    <w:rsid w:val="00B468B5"/>
    <w:rsid w:val="00B551AE"/>
    <w:rsid w:val="00B711EC"/>
    <w:rsid w:val="00B8092E"/>
    <w:rsid w:val="00B815BA"/>
    <w:rsid w:val="00B84EE7"/>
    <w:rsid w:val="00B856AB"/>
    <w:rsid w:val="00B918D9"/>
    <w:rsid w:val="00B91D6A"/>
    <w:rsid w:val="00B92F0A"/>
    <w:rsid w:val="00B94BA6"/>
    <w:rsid w:val="00B96DF6"/>
    <w:rsid w:val="00BA4135"/>
    <w:rsid w:val="00BB0CF3"/>
    <w:rsid w:val="00BD6649"/>
    <w:rsid w:val="00BE5074"/>
    <w:rsid w:val="00BE7C8F"/>
    <w:rsid w:val="00BF17AA"/>
    <w:rsid w:val="00BF227B"/>
    <w:rsid w:val="00C22130"/>
    <w:rsid w:val="00C23E1D"/>
    <w:rsid w:val="00C24556"/>
    <w:rsid w:val="00C33921"/>
    <w:rsid w:val="00C36C57"/>
    <w:rsid w:val="00C4327F"/>
    <w:rsid w:val="00C55950"/>
    <w:rsid w:val="00C62D07"/>
    <w:rsid w:val="00C928D4"/>
    <w:rsid w:val="00C96F21"/>
    <w:rsid w:val="00CA01A7"/>
    <w:rsid w:val="00CA63E0"/>
    <w:rsid w:val="00CA727B"/>
    <w:rsid w:val="00CC35A4"/>
    <w:rsid w:val="00CE1AA1"/>
    <w:rsid w:val="00CE7487"/>
    <w:rsid w:val="00D13A2B"/>
    <w:rsid w:val="00D14D81"/>
    <w:rsid w:val="00D16CD3"/>
    <w:rsid w:val="00D2148B"/>
    <w:rsid w:val="00D219A3"/>
    <w:rsid w:val="00D31C38"/>
    <w:rsid w:val="00D40509"/>
    <w:rsid w:val="00D47EE4"/>
    <w:rsid w:val="00D57782"/>
    <w:rsid w:val="00D649AB"/>
    <w:rsid w:val="00D672FA"/>
    <w:rsid w:val="00D715A4"/>
    <w:rsid w:val="00D730E4"/>
    <w:rsid w:val="00D83FF9"/>
    <w:rsid w:val="00D862CD"/>
    <w:rsid w:val="00D86764"/>
    <w:rsid w:val="00D9469C"/>
    <w:rsid w:val="00DB73A0"/>
    <w:rsid w:val="00DD0755"/>
    <w:rsid w:val="00DD11FE"/>
    <w:rsid w:val="00DE17E6"/>
    <w:rsid w:val="00E119AB"/>
    <w:rsid w:val="00E14E8B"/>
    <w:rsid w:val="00E2269D"/>
    <w:rsid w:val="00E25B81"/>
    <w:rsid w:val="00E3596D"/>
    <w:rsid w:val="00E6107E"/>
    <w:rsid w:val="00E63A02"/>
    <w:rsid w:val="00E70287"/>
    <w:rsid w:val="00E72D49"/>
    <w:rsid w:val="00E871BC"/>
    <w:rsid w:val="00E91745"/>
    <w:rsid w:val="00E97454"/>
    <w:rsid w:val="00EC4408"/>
    <w:rsid w:val="00ED1103"/>
    <w:rsid w:val="00ED3198"/>
    <w:rsid w:val="00EE2C63"/>
    <w:rsid w:val="00EF3FF8"/>
    <w:rsid w:val="00F0123E"/>
    <w:rsid w:val="00F04A8A"/>
    <w:rsid w:val="00F10A75"/>
    <w:rsid w:val="00F31E39"/>
    <w:rsid w:val="00F52987"/>
    <w:rsid w:val="00F532EF"/>
    <w:rsid w:val="00F702EF"/>
    <w:rsid w:val="00F743E2"/>
    <w:rsid w:val="00F76DA6"/>
    <w:rsid w:val="00F9675E"/>
    <w:rsid w:val="00FA3085"/>
    <w:rsid w:val="00FA7ADC"/>
    <w:rsid w:val="00FB2B7E"/>
    <w:rsid w:val="00FB3D3A"/>
    <w:rsid w:val="00FB78B0"/>
    <w:rsid w:val="00FC68CC"/>
    <w:rsid w:val="00FD625F"/>
    <w:rsid w:val="00FE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F44CDD4"/>
  <w15:docId w15:val="{0656BE69-C28C-49CD-8336-8FC1A13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BB0CF3"/>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19"/>
      </w:numPr>
      <w:outlineLvl w:val="3"/>
    </w:pPr>
    <w:rPr>
      <w:rFonts w:eastAsiaTheme="majorEastAsia"/>
      <w:bCs/>
      <w:iCs/>
    </w:rPr>
  </w:style>
  <w:style w:type="paragraph" w:styleId="Heading5">
    <w:name w:val="heading 5"/>
    <w:basedOn w:val="Normal"/>
    <w:next w:val="Normal"/>
    <w:link w:val="Heading5Char"/>
    <w:uiPriority w:val="99"/>
    <w:qFormat/>
    <w:rsid w:val="00DB73A0"/>
    <w:pPr>
      <w:autoSpaceDE w:val="0"/>
      <w:autoSpaceDN w:val="0"/>
      <w:spacing w:before="240" w:after="60"/>
      <w:outlineLvl w:val="4"/>
    </w:pPr>
    <w:rPr>
      <w:rFonts w:ascii="Arial" w:eastAsiaTheme="minorEastAsia" w:hAnsi="Arial" w:cs="Arial"/>
      <w:sz w:val="22"/>
      <w:lang w:eastAsia="en-GB"/>
    </w:rPr>
  </w:style>
  <w:style w:type="paragraph" w:styleId="Heading6">
    <w:name w:val="heading 6"/>
    <w:basedOn w:val="Normal"/>
    <w:next w:val="Normal"/>
    <w:link w:val="Heading6Char"/>
    <w:uiPriority w:val="99"/>
    <w:qFormat/>
    <w:rsid w:val="00DB73A0"/>
    <w:pPr>
      <w:autoSpaceDE w:val="0"/>
      <w:autoSpaceDN w:val="0"/>
      <w:spacing w:before="240" w:after="60"/>
      <w:outlineLvl w:val="5"/>
    </w:pPr>
    <w:rPr>
      <w:rFonts w:ascii="Arial" w:eastAsiaTheme="minorEastAsia" w:hAnsi="Arial" w:cs="Arial"/>
      <w:i/>
      <w:iCs/>
      <w:sz w:val="22"/>
      <w:lang w:eastAsia="en-GB"/>
    </w:rPr>
  </w:style>
  <w:style w:type="paragraph" w:styleId="Heading7">
    <w:name w:val="heading 7"/>
    <w:basedOn w:val="Normal"/>
    <w:next w:val="Normal"/>
    <w:link w:val="Heading7Char"/>
    <w:uiPriority w:val="99"/>
    <w:qFormat/>
    <w:rsid w:val="00DB73A0"/>
    <w:pPr>
      <w:autoSpaceDE w:val="0"/>
      <w:autoSpaceDN w:val="0"/>
      <w:spacing w:before="240" w:after="60"/>
      <w:outlineLvl w:val="6"/>
    </w:pPr>
    <w:rPr>
      <w:rFonts w:ascii="Arial" w:eastAsiaTheme="minorEastAsia" w:hAnsi="Arial" w:cs="Arial"/>
      <w:sz w:val="20"/>
      <w:szCs w:val="20"/>
      <w:lang w:eastAsia="en-GB"/>
    </w:rPr>
  </w:style>
  <w:style w:type="paragraph" w:styleId="Heading8">
    <w:name w:val="heading 8"/>
    <w:basedOn w:val="Normal"/>
    <w:next w:val="Normal"/>
    <w:link w:val="Heading8Char"/>
    <w:uiPriority w:val="99"/>
    <w:qFormat/>
    <w:rsid w:val="00DB73A0"/>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rsid w:val="00DB73A0"/>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DB73A0"/>
    <w:rPr>
      <w:rFonts w:ascii="Arial" w:eastAsiaTheme="minorEastAsia" w:hAnsi="Arial" w:cs="Arial"/>
      <w:lang w:val="hu-HU" w:eastAsia="en-GB"/>
    </w:rPr>
  </w:style>
  <w:style w:type="character" w:customStyle="1" w:styleId="Heading6Char">
    <w:name w:val="Heading 6 Char"/>
    <w:basedOn w:val="DefaultParagraphFont"/>
    <w:link w:val="Heading6"/>
    <w:uiPriority w:val="99"/>
    <w:rsid w:val="00DB73A0"/>
    <w:rPr>
      <w:rFonts w:ascii="Arial" w:eastAsiaTheme="minorEastAsia" w:hAnsi="Arial" w:cs="Arial"/>
      <w:i/>
      <w:iCs/>
      <w:lang w:val="hu-HU" w:eastAsia="en-GB"/>
    </w:rPr>
  </w:style>
  <w:style w:type="character" w:customStyle="1" w:styleId="Heading7Char">
    <w:name w:val="Heading 7 Char"/>
    <w:basedOn w:val="DefaultParagraphFont"/>
    <w:link w:val="Heading7"/>
    <w:uiPriority w:val="99"/>
    <w:rsid w:val="00DB73A0"/>
    <w:rPr>
      <w:rFonts w:ascii="Arial" w:eastAsiaTheme="minorEastAsia" w:hAnsi="Arial" w:cs="Arial"/>
      <w:sz w:val="20"/>
      <w:szCs w:val="20"/>
      <w:lang w:val="hu-HU" w:eastAsia="en-GB"/>
    </w:rPr>
  </w:style>
  <w:style w:type="character" w:customStyle="1" w:styleId="Heading8Char">
    <w:name w:val="Heading 8 Char"/>
    <w:basedOn w:val="DefaultParagraphFont"/>
    <w:link w:val="Heading8"/>
    <w:uiPriority w:val="99"/>
    <w:rsid w:val="00DB73A0"/>
    <w:rPr>
      <w:rFonts w:ascii="Arial" w:eastAsiaTheme="minorEastAsia" w:hAnsi="Arial" w:cs="Arial"/>
      <w:i/>
      <w:iCs/>
      <w:sz w:val="20"/>
      <w:szCs w:val="20"/>
      <w:lang w:val="hu-HU" w:eastAsia="en-GB"/>
    </w:rPr>
  </w:style>
  <w:style w:type="character" w:customStyle="1" w:styleId="Heading9Char">
    <w:name w:val="Heading 9 Char"/>
    <w:basedOn w:val="DefaultParagraphFont"/>
    <w:link w:val="Heading9"/>
    <w:uiPriority w:val="99"/>
    <w:rsid w:val="00DB73A0"/>
    <w:rPr>
      <w:rFonts w:ascii="Arial" w:eastAsiaTheme="minorEastAsia" w:hAnsi="Arial" w:cs="Arial"/>
      <w:i/>
      <w:iCs/>
      <w:sz w:val="18"/>
      <w:szCs w:val="18"/>
      <w:lang w:val="hu-HU" w:eastAsia="en-GB"/>
    </w:rPr>
  </w:style>
  <w:style w:type="paragraph" w:styleId="ListNumber">
    <w:name w:val="List Number"/>
    <w:basedOn w:val="Normal"/>
    <w:rsid w:val="00DB73A0"/>
    <w:pPr>
      <w:numPr>
        <w:numId w:val="1"/>
      </w:numPr>
    </w:pPr>
    <w:rPr>
      <w:rFonts w:eastAsia="Times New Roman"/>
      <w:lang w:eastAsia="en-GB"/>
    </w:rPr>
  </w:style>
  <w:style w:type="paragraph" w:styleId="ListNumber4">
    <w:name w:val="List Number 4"/>
    <w:basedOn w:val="Normal"/>
    <w:rsid w:val="00DB73A0"/>
    <w:pPr>
      <w:numPr>
        <w:numId w:val="2"/>
      </w:numPr>
    </w:pPr>
    <w:rPr>
      <w:rFonts w:eastAsia="Times New Roman"/>
      <w:lang w:eastAsia="en-GB"/>
    </w:rPr>
  </w:style>
  <w:style w:type="paragraph" w:customStyle="1" w:styleId="Annexetitreacte">
    <w:name w:val="Annexe titre (acte)"/>
    <w:basedOn w:val="Normal"/>
    <w:next w:val="Normal"/>
    <w:uiPriority w:val="99"/>
    <w:rsid w:val="00DB73A0"/>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rsid w:val="00DB73A0"/>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rsid w:val="00DB73A0"/>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rsid w:val="00DB73A0"/>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rsid w:val="00DB73A0"/>
    <w:pPr>
      <w:autoSpaceDE w:val="0"/>
      <w:autoSpaceDN w:val="0"/>
      <w:jc w:val="center"/>
    </w:pPr>
    <w:rPr>
      <w:rFonts w:eastAsiaTheme="minorEastAsia"/>
      <w:b/>
      <w:bCs/>
      <w:szCs w:val="24"/>
      <w:u w:val="single"/>
      <w:lang w:eastAsia="en-GB"/>
    </w:rPr>
  </w:style>
  <w:style w:type="paragraph" w:styleId="Caption">
    <w:name w:val="caption"/>
    <w:basedOn w:val="Normal"/>
    <w:next w:val="Normal"/>
    <w:uiPriority w:val="99"/>
    <w:qFormat/>
    <w:rsid w:val="00DB73A0"/>
    <w:pPr>
      <w:autoSpaceDE w:val="0"/>
      <w:autoSpaceDN w:val="0"/>
    </w:pPr>
    <w:rPr>
      <w:rFonts w:eastAsiaTheme="minorEastAsia"/>
      <w:b/>
      <w:bCs/>
      <w:szCs w:val="24"/>
      <w:lang w:eastAsia="en-GB"/>
    </w:rPr>
  </w:style>
  <w:style w:type="character" w:styleId="CommentReference">
    <w:name w:val="annotation reference"/>
    <w:basedOn w:val="DefaultParagraphFont"/>
    <w:uiPriority w:val="99"/>
    <w:rsid w:val="00DB73A0"/>
    <w:rPr>
      <w:rFonts w:cs="Times New Roman"/>
      <w:sz w:val="16"/>
      <w:szCs w:val="16"/>
    </w:rPr>
  </w:style>
  <w:style w:type="paragraph" w:styleId="CommentText">
    <w:name w:val="annotation text"/>
    <w:basedOn w:val="Normal"/>
    <w:link w:val="CommentTextChar"/>
    <w:uiPriority w:val="99"/>
    <w:rsid w:val="00DB73A0"/>
    <w:pPr>
      <w:autoSpaceDE w:val="0"/>
      <w:autoSpaceDN w:val="0"/>
    </w:pPr>
    <w:rPr>
      <w:rFonts w:eastAsiaTheme="minorEastAsia"/>
      <w:sz w:val="20"/>
      <w:szCs w:val="20"/>
      <w:lang w:eastAsia="en-GB"/>
    </w:rPr>
  </w:style>
  <w:style w:type="character" w:customStyle="1" w:styleId="CommentTextChar">
    <w:name w:val="Comment Text Char"/>
    <w:basedOn w:val="DefaultParagraphFont"/>
    <w:link w:val="CommentText"/>
    <w:uiPriority w:val="99"/>
    <w:rsid w:val="00DB73A0"/>
    <w:rPr>
      <w:rFonts w:ascii="Times New Roman" w:eastAsiaTheme="minorEastAsia" w:hAnsi="Times New Roman" w:cs="Times New Roman"/>
      <w:sz w:val="20"/>
      <w:szCs w:val="20"/>
      <w:lang w:val="hu-HU" w:eastAsia="en-GB"/>
    </w:rPr>
  </w:style>
  <w:style w:type="paragraph" w:customStyle="1" w:styleId="Rfrenceinstitutionelle">
    <w:name w:val="Référence institutionelle"/>
    <w:basedOn w:val="Normal"/>
    <w:next w:val="Statut"/>
    <w:uiPriority w:val="99"/>
    <w:rsid w:val="00DB73A0"/>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rsid w:val="00DB73A0"/>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rsid w:val="00DB73A0"/>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rsid w:val="00DB73A0"/>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rsid w:val="00DB73A0"/>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rsid w:val="00DB73A0"/>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rsid w:val="00DB73A0"/>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rsid w:val="00DB73A0"/>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rsid w:val="00DB73A0"/>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rsid w:val="00DB73A0"/>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sid w:val="00DB73A0"/>
    <w:rPr>
      <w:rFonts w:cs="Times New Roman"/>
    </w:rPr>
  </w:style>
  <w:style w:type="paragraph" w:customStyle="1" w:styleId="Prliminairetitre">
    <w:name w:val="Préliminaire titre"/>
    <w:basedOn w:val="Normal"/>
    <w:next w:val="Normal"/>
    <w:uiPriority w:val="99"/>
    <w:rsid w:val="00DB73A0"/>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rsid w:val="00DB73A0"/>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rsid w:val="00DB73A0"/>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rsid w:val="00DB73A0"/>
    <w:pPr>
      <w:autoSpaceDE w:val="0"/>
      <w:autoSpaceDN w:val="0"/>
    </w:pPr>
    <w:rPr>
      <w:rFonts w:ascii="Arial" w:eastAsiaTheme="minorEastAsia" w:hAnsi="Arial" w:cs="Arial"/>
      <w:b/>
      <w:bCs/>
      <w:szCs w:val="24"/>
      <w:lang w:eastAsia="en-GB"/>
    </w:rPr>
  </w:style>
  <w:style w:type="character" w:customStyle="1" w:styleId="CRMarker">
    <w:name w:val="CR Marker"/>
    <w:basedOn w:val="DefaultParagraphFont"/>
    <w:rsid w:val="00DB73A0"/>
    <w:rPr>
      <w:rFonts w:ascii="Wingdings" w:hAnsi="Wingdings" w:cs="Wingdings"/>
    </w:rPr>
  </w:style>
  <w:style w:type="paragraph" w:customStyle="1" w:styleId="CRSeparator">
    <w:name w:val="CR Separator"/>
    <w:basedOn w:val="Normal"/>
    <w:next w:val="CRReference"/>
    <w:link w:val="CRSeparatorChar"/>
    <w:rsid w:val="00DB73A0"/>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link w:val="CRReferenceChar"/>
    <w:rsid w:val="00DB73A0"/>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CRRefNum">
    <w:name w:val="CR RefNum"/>
    <w:basedOn w:val="DefaultParagraphFont"/>
    <w:uiPriority w:val="99"/>
    <w:rsid w:val="00DB73A0"/>
    <w:rPr>
      <w:rFonts w:cs="Times New Roman"/>
      <w:vertAlign w:val="subscript"/>
    </w:rPr>
  </w:style>
  <w:style w:type="paragraph" w:customStyle="1" w:styleId="CRParaDeleted">
    <w:name w:val="CR ParaDeleted"/>
    <w:basedOn w:val="Normal"/>
    <w:next w:val="Normal"/>
    <w:uiPriority w:val="99"/>
    <w:rsid w:val="00DB73A0"/>
    <w:pPr>
      <w:autoSpaceDE w:val="0"/>
      <w:autoSpaceDN w:val="0"/>
    </w:pPr>
    <w:rPr>
      <w:rFonts w:eastAsiaTheme="minorEastAsia"/>
      <w:szCs w:val="24"/>
      <w:lang w:eastAsia="en-GB"/>
    </w:rPr>
  </w:style>
  <w:style w:type="character" w:customStyle="1" w:styleId="CRTextDeleted">
    <w:name w:val="CR TextDeleted"/>
    <w:basedOn w:val="DefaultParagraphFont"/>
    <w:uiPriority w:val="99"/>
    <w:rsid w:val="00DB73A0"/>
    <w:rPr>
      <w:rFonts w:cs="Times New Roman"/>
    </w:rPr>
  </w:style>
  <w:style w:type="paragraph" w:customStyle="1" w:styleId="Titredumodificateur">
    <w:name w:val="Titre du modificateur"/>
    <w:basedOn w:val="Normal"/>
    <w:next w:val="Annexetitrefichefinacte"/>
    <w:uiPriority w:val="99"/>
    <w:rsid w:val="00DB73A0"/>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rsid w:val="00DB73A0"/>
    <w:pPr>
      <w:autoSpaceDE w:val="0"/>
      <w:autoSpaceDN w:val="0"/>
      <w:spacing w:before="0"/>
      <w:jc w:val="left"/>
    </w:pPr>
    <w:rPr>
      <w:rFonts w:eastAsiaTheme="minorEastAsia"/>
      <w:szCs w:val="24"/>
      <w:lang w:eastAsia="en-GB"/>
    </w:rPr>
  </w:style>
  <w:style w:type="character" w:customStyle="1" w:styleId="CRDeleted">
    <w:name w:val="CR Deleted"/>
    <w:basedOn w:val="DefaultParagraphFont"/>
    <w:rsid w:val="00DB73A0"/>
    <w:rPr>
      <w:rFonts w:cs="Times New Roman"/>
      <w:dstrike/>
      <w:lang w:val="hu-HU" w:eastAsia="x-none"/>
    </w:rPr>
  </w:style>
  <w:style w:type="character" w:customStyle="1" w:styleId="CRMinorChangeDeleted">
    <w:name w:val="CR Minor Change Deleted"/>
    <w:basedOn w:val="DefaultParagraphFont"/>
    <w:rsid w:val="00DB73A0"/>
    <w:rPr>
      <w:rFonts w:cs="Times New Roman"/>
      <w:dstrike/>
      <w:u w:val="double"/>
      <w:lang w:val="hu-HU" w:eastAsia="x-none"/>
    </w:rPr>
  </w:style>
  <w:style w:type="character" w:customStyle="1" w:styleId="CRMinorChangeAdded">
    <w:name w:val="CR Minor Change Added"/>
    <w:basedOn w:val="DefaultParagraphFont"/>
    <w:rsid w:val="00DB73A0"/>
    <w:rPr>
      <w:rFonts w:cs="Times New Roman"/>
      <w:u w:val="double"/>
      <w:lang w:val="hu-HU" w:eastAsia="x-none"/>
    </w:rPr>
  </w:style>
  <w:style w:type="table" w:styleId="TableGrid">
    <w:name w:val="Table Grid"/>
    <w:basedOn w:val="TableNormal"/>
    <w:uiPriority w:val="59"/>
    <w:rsid w:val="00DB73A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73A0"/>
    <w:pPr>
      <w:autoSpaceDE w:val="0"/>
      <w:autoSpaceDN w:val="0"/>
      <w:spacing w:before="0" w:after="0"/>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DB73A0"/>
    <w:rPr>
      <w:rFonts w:ascii="Segoe UI" w:eastAsiaTheme="minorEastAsia" w:hAnsi="Segoe UI" w:cs="Segoe UI"/>
      <w:sz w:val="18"/>
      <w:szCs w:val="18"/>
      <w:lang w:val="hu-HU" w:eastAsia="en-GB"/>
    </w:rPr>
  </w:style>
  <w:style w:type="character" w:styleId="Emphasis">
    <w:name w:val="Emphasis"/>
    <w:basedOn w:val="DefaultParagraphFont"/>
    <w:uiPriority w:val="20"/>
    <w:qFormat/>
    <w:rsid w:val="00DB73A0"/>
    <w:rPr>
      <w:rFonts w:cs="Times New Roman"/>
      <w:i/>
    </w:rPr>
  </w:style>
  <w:style w:type="character" w:customStyle="1" w:styleId="CRSeparatorChar">
    <w:name w:val="CR Separator Char"/>
    <w:basedOn w:val="DefaultParagraphFont"/>
    <w:link w:val="CRSeparator"/>
    <w:locked/>
    <w:rsid w:val="00DB73A0"/>
    <w:rPr>
      <w:rFonts w:ascii="Times New Roman" w:eastAsiaTheme="minorEastAsia" w:hAnsi="Times New Roman" w:cs="Times New Roman"/>
      <w:sz w:val="24"/>
      <w:szCs w:val="24"/>
      <w:lang w:val="hu-HU" w:eastAsia="en-GB"/>
    </w:rPr>
  </w:style>
  <w:style w:type="character" w:customStyle="1" w:styleId="CRReferenceChar">
    <w:name w:val="CR Reference Char"/>
    <w:basedOn w:val="DefaultParagraphFont"/>
    <w:link w:val="CRReference"/>
    <w:locked/>
    <w:rsid w:val="00DB73A0"/>
    <w:rPr>
      <w:rFonts w:ascii="Times New Roman" w:eastAsiaTheme="minorEastAsia" w:hAnsi="Times New Roman" w:cs="Times New Roman"/>
      <w:sz w:val="24"/>
      <w:szCs w:val="24"/>
      <w:lang w:val="hu-HU" w:eastAsia="en-GB"/>
    </w:rPr>
  </w:style>
  <w:style w:type="paragraph" w:styleId="CommentSubject">
    <w:name w:val="annotation subject"/>
    <w:basedOn w:val="CommentText"/>
    <w:next w:val="CommentText"/>
    <w:link w:val="CommentSubjectChar"/>
    <w:uiPriority w:val="99"/>
    <w:semiHidden/>
    <w:unhideWhenUsed/>
    <w:rsid w:val="00DB73A0"/>
    <w:rPr>
      <w:b/>
      <w:bCs/>
    </w:rPr>
  </w:style>
  <w:style w:type="character" w:customStyle="1" w:styleId="CommentSubjectChar">
    <w:name w:val="Comment Subject Char"/>
    <w:basedOn w:val="CommentTextChar"/>
    <w:link w:val="CommentSubject"/>
    <w:uiPriority w:val="99"/>
    <w:semiHidden/>
    <w:rsid w:val="00DB73A0"/>
    <w:rPr>
      <w:rFonts w:ascii="Times New Roman" w:eastAsiaTheme="minorEastAsia" w:hAnsi="Times New Roman" w:cs="Times New Roman"/>
      <w:b/>
      <w:bCs/>
      <w:sz w:val="20"/>
      <w:szCs w:val="20"/>
      <w:lang w:val="hu-HU" w:eastAsia="en-GB"/>
    </w:rPr>
  </w:style>
  <w:style w:type="paragraph" w:styleId="NormalWeb">
    <w:name w:val="Normal (Web)"/>
    <w:basedOn w:val="Normal"/>
    <w:uiPriority w:val="99"/>
    <w:semiHidden/>
    <w:unhideWhenUsed/>
    <w:rsid w:val="00DB73A0"/>
    <w:pPr>
      <w:spacing w:before="100" w:beforeAutospacing="1" w:after="100" w:afterAutospacing="1"/>
      <w:jc w:val="left"/>
    </w:pPr>
    <w:rPr>
      <w:rFonts w:eastAsiaTheme="minorEastAsia"/>
      <w:szCs w:val="24"/>
      <w:lang w:eastAsia="en-GB"/>
    </w:rPr>
  </w:style>
  <w:style w:type="paragraph" w:styleId="Revision">
    <w:name w:val="Revision"/>
    <w:hidden/>
    <w:uiPriority w:val="99"/>
    <w:semiHidden/>
    <w:rsid w:val="00DB73A0"/>
    <w:pPr>
      <w:spacing w:after="0" w:line="240" w:lineRule="auto"/>
    </w:pPr>
    <w:rPr>
      <w:rFonts w:ascii="Times New Roman" w:eastAsiaTheme="minorEastAsia"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rsid w:val="00DB73A0"/>
    <w:pPr>
      <w:autoSpaceDE w:val="0"/>
      <w:autoSpaceDN w:val="0"/>
      <w:ind w:left="720"/>
      <w:contextualSpacing/>
    </w:pPr>
    <w:rPr>
      <w:rFonts w:eastAsiaTheme="minorEastAsia"/>
      <w:szCs w:val="24"/>
      <w:lang w:eastAsia="en-GB"/>
    </w:rPr>
  </w:style>
  <w:style w:type="paragraph" w:customStyle="1" w:styleId="Normal1">
    <w:name w:val="Normal1"/>
    <w:basedOn w:val="Normal"/>
    <w:rsid w:val="00DB73A0"/>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sid w:val="00DB73A0"/>
    <w:rPr>
      <w:color w:val="800080" w:themeColor="followedHyperlink"/>
      <w:u w:val="single"/>
    </w:rPr>
  </w:style>
  <w:style w:type="paragraph" w:customStyle="1" w:styleId="Normal2">
    <w:name w:val="Normal2"/>
    <w:basedOn w:val="Normal"/>
    <w:rsid w:val="00DB73A0"/>
    <w:pPr>
      <w:spacing w:before="100" w:beforeAutospacing="1" w:after="100" w:afterAutospacing="1"/>
      <w:jc w:val="left"/>
    </w:pPr>
    <w:rPr>
      <w:rFonts w:eastAsia="Times New Roman"/>
      <w:szCs w:val="24"/>
      <w:lang w:eastAsia="en-IE"/>
    </w:rPr>
  </w:style>
  <w:style w:type="paragraph" w:customStyle="1" w:styleId="Default">
    <w:name w:val="Default"/>
    <w:rsid w:val="00DB73A0"/>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norm">
    <w:name w:val="norm"/>
    <w:basedOn w:val="Normal"/>
    <w:rsid w:val="00DB73A0"/>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DB73A0"/>
  </w:style>
  <w:style w:type="paragraph" w:customStyle="1" w:styleId="ti-art">
    <w:name w:val="ti-art"/>
    <w:basedOn w:val="Normal"/>
    <w:rsid w:val="00DB73A0"/>
    <w:pPr>
      <w:spacing w:before="100" w:beforeAutospacing="1" w:after="100" w:afterAutospacing="1"/>
      <w:jc w:val="left"/>
    </w:pPr>
    <w:rPr>
      <w:rFonts w:eastAsia="Times New Roman"/>
      <w:szCs w:val="24"/>
      <w:lang w:eastAsia="en-GB"/>
    </w:rPr>
  </w:style>
  <w:style w:type="paragraph" w:customStyle="1" w:styleId="sti-art">
    <w:name w:val="sti-art"/>
    <w:basedOn w:val="Normal"/>
    <w:rsid w:val="00DB73A0"/>
    <w:pPr>
      <w:spacing w:before="100" w:beforeAutospacing="1" w:after="100" w:afterAutospacing="1"/>
      <w:jc w:val="left"/>
    </w:pPr>
    <w:rPr>
      <w:rFonts w:eastAsia="Times New Roman"/>
      <w:szCs w:val="24"/>
      <w:lang w:eastAsia="en-GB"/>
    </w:rPr>
  </w:style>
  <w:style w:type="paragraph" w:customStyle="1" w:styleId="Normal3">
    <w:name w:val="Normal3"/>
    <w:basedOn w:val="Normal"/>
    <w:rsid w:val="00DB73A0"/>
    <w:pPr>
      <w:spacing w:before="100" w:beforeAutospacing="1" w:after="100" w:afterAutospacing="1"/>
      <w:jc w:val="left"/>
    </w:pPr>
    <w:rPr>
      <w:rFonts w:eastAsia="Times New Roman"/>
      <w:szCs w:val="24"/>
      <w:lang w:eastAsia="en-IE"/>
    </w:rPr>
  </w:style>
  <w:style w:type="character" w:customStyle="1" w:styleId="CRRefonteDeleted">
    <w:name w:val="CR Refonte Deleted"/>
    <w:basedOn w:val="DefaultParagraphFont"/>
    <w:rsid w:val="00DB73A0"/>
    <w:rPr>
      <w:strike w:val="0"/>
      <w:dstrike/>
      <w:lang w:val="hu-HU"/>
    </w:rPr>
  </w:style>
  <w:style w:type="numbering" w:styleId="111111">
    <w:name w:val="Outline List 2"/>
    <w:basedOn w:val="NoList"/>
    <w:uiPriority w:val="99"/>
    <w:semiHidden/>
    <w:unhideWhenUsed/>
    <w:rsid w:val="00DB73A0"/>
    <w:pPr>
      <w:numPr>
        <w:numId w:val="3"/>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sid w:val="00DB73A0"/>
    <w:rPr>
      <w:rFonts w:ascii="Times New Roman" w:eastAsiaTheme="minorEastAsia" w:hAnsi="Times New Roman" w:cs="Times New Roman"/>
      <w:sz w:val="24"/>
      <w:szCs w:val="24"/>
      <w:lang w:val="hu-HU" w:eastAsia="en-GB"/>
    </w:rPr>
  </w:style>
  <w:style w:type="paragraph" w:customStyle="1" w:styleId="Body">
    <w:name w:val="Body"/>
    <w:rsid w:val="00DB73A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Normal4">
    <w:name w:val="Normal4"/>
    <w:basedOn w:val="Normal"/>
    <w:rsid w:val="00DB73A0"/>
    <w:pPr>
      <w:spacing w:before="100" w:beforeAutospacing="1" w:after="100" w:afterAutospacing="1"/>
      <w:jc w:val="left"/>
    </w:pPr>
    <w:rPr>
      <w:rFonts w:eastAsia="Times New Roman"/>
      <w:szCs w:val="24"/>
      <w:lang w:eastAsia="en-IE"/>
    </w:rPr>
  </w:style>
  <w:style w:type="character" w:customStyle="1" w:styleId="super">
    <w:name w:val="super"/>
    <w:basedOn w:val="DefaultParagraphFont"/>
    <w:rsid w:val="00DB73A0"/>
  </w:style>
  <w:style w:type="paragraph" w:styleId="ListBullet">
    <w:name w:val="List Bullet"/>
    <w:basedOn w:val="Normal"/>
    <w:uiPriority w:val="99"/>
    <w:semiHidden/>
    <w:unhideWhenUsed/>
    <w:rsid w:val="00DB73A0"/>
    <w:pPr>
      <w:numPr>
        <w:numId w:val="4"/>
      </w:numPr>
      <w:contextualSpacing/>
    </w:pPr>
  </w:style>
  <w:style w:type="paragraph" w:styleId="ListBullet2">
    <w:name w:val="List Bullet 2"/>
    <w:basedOn w:val="Normal"/>
    <w:uiPriority w:val="99"/>
    <w:semiHidden/>
    <w:unhideWhenUsed/>
    <w:rsid w:val="00DB73A0"/>
    <w:pPr>
      <w:numPr>
        <w:numId w:val="5"/>
      </w:numPr>
      <w:contextualSpacing/>
    </w:pPr>
  </w:style>
  <w:style w:type="paragraph" w:styleId="ListBullet3">
    <w:name w:val="List Bullet 3"/>
    <w:basedOn w:val="Normal"/>
    <w:uiPriority w:val="99"/>
    <w:semiHidden/>
    <w:unhideWhenUsed/>
    <w:rsid w:val="00DB73A0"/>
    <w:pPr>
      <w:numPr>
        <w:numId w:val="6"/>
      </w:numPr>
      <w:contextualSpacing/>
    </w:pPr>
  </w:style>
  <w:style w:type="paragraph" w:styleId="ListBullet4">
    <w:name w:val="List Bullet 4"/>
    <w:basedOn w:val="Normal"/>
    <w:uiPriority w:val="99"/>
    <w:semiHidden/>
    <w:unhideWhenUsed/>
    <w:rsid w:val="00DB73A0"/>
    <w:pPr>
      <w:numPr>
        <w:numId w:val="7"/>
      </w:numPr>
      <w:contextualSpacing/>
    </w:pPr>
  </w:style>
  <w:style w:type="paragraph" w:styleId="TableofFigures">
    <w:name w:val="table of figures"/>
    <w:basedOn w:val="Normal"/>
    <w:next w:val="Normal"/>
    <w:uiPriority w:val="99"/>
    <w:semiHidden/>
    <w:unhideWhenUsed/>
    <w:rsid w:val="00DB73A0"/>
    <w:pPr>
      <w:spacing w:after="0"/>
    </w:pPr>
  </w:style>
  <w:style w:type="paragraph" w:styleId="ListNumber2">
    <w:name w:val="List Number 2"/>
    <w:basedOn w:val="Normal"/>
    <w:uiPriority w:val="99"/>
    <w:semiHidden/>
    <w:unhideWhenUsed/>
    <w:rsid w:val="00DB73A0"/>
    <w:pPr>
      <w:numPr>
        <w:numId w:val="8"/>
      </w:numPr>
      <w:contextualSpacing/>
    </w:pPr>
  </w:style>
  <w:style w:type="paragraph" w:styleId="ListNumber3">
    <w:name w:val="List Number 3"/>
    <w:basedOn w:val="Normal"/>
    <w:uiPriority w:val="99"/>
    <w:semiHidden/>
    <w:unhideWhenUsed/>
    <w:rsid w:val="00DB73A0"/>
    <w:pPr>
      <w:numPr>
        <w:numId w:val="9"/>
      </w:numPr>
      <w:contextualSpacing/>
    </w:pPr>
  </w:style>
  <w:style w:type="character" w:styleId="Hyperlink">
    <w:name w:val="Hyperlink"/>
    <w:basedOn w:val="DefaultParagraphFont"/>
    <w:uiPriority w:val="99"/>
    <w:unhideWhenUsed/>
    <w:qFormat/>
    <w:rsid w:val="00DB73A0"/>
    <w:rPr>
      <w:color w:val="0000FF" w:themeColor="hyperlink"/>
      <w:u w:val="single"/>
    </w:rPr>
  </w:style>
  <w:style w:type="paragraph" w:customStyle="1" w:styleId="Titreobjet">
    <w:name w:val="Titre objet"/>
    <w:basedOn w:val="Normal"/>
    <w:next w:val="IntrtEEE"/>
    <w:rsid w:val="00DB73A0"/>
    <w:pPr>
      <w:spacing w:before="360" w:after="360"/>
      <w:jc w:val="center"/>
    </w:pPr>
    <w:rPr>
      <w:b/>
    </w:rPr>
  </w:style>
  <w:style w:type="paragraph" w:customStyle="1" w:styleId="TitreobjetPagedecouverture">
    <w:name w:val="Titre objet (Page de couverture)"/>
    <w:basedOn w:val="Titreobjet"/>
    <w:next w:val="IntrtEEEPagedecouverture"/>
    <w:rsid w:val="00DB73A0"/>
  </w:style>
  <w:style w:type="paragraph" w:styleId="Header">
    <w:name w:val="header"/>
    <w:basedOn w:val="Normal"/>
    <w:link w:val="HeaderChar"/>
    <w:uiPriority w:val="99"/>
    <w:semiHidden/>
    <w:unhideWhenUsed/>
    <w:rsid w:val="00BB0CF3"/>
    <w:pPr>
      <w:tabs>
        <w:tab w:val="center" w:pos="4535"/>
        <w:tab w:val="right" w:pos="9071"/>
      </w:tabs>
      <w:spacing w:before="0"/>
    </w:pPr>
  </w:style>
  <w:style w:type="character" w:customStyle="1" w:styleId="HeaderChar">
    <w:name w:val="Header Char"/>
    <w:basedOn w:val="DefaultParagraphFont"/>
    <w:link w:val="Header"/>
    <w:uiPriority w:val="99"/>
    <w:semiHidden/>
    <w:rsid w:val="00BB0CF3"/>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BB0CF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BB0CF3"/>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BB0CF3"/>
    <w:pPr>
      <w:tabs>
        <w:tab w:val="center" w:pos="7285"/>
        <w:tab w:val="right" w:pos="14003"/>
      </w:tabs>
      <w:spacing w:before="0"/>
    </w:pPr>
  </w:style>
  <w:style w:type="paragraph" w:customStyle="1" w:styleId="FooterLandscape">
    <w:name w:val="FooterLandscape"/>
    <w:basedOn w:val="Normal"/>
    <w:rsid w:val="00BB0CF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BB0C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B0CF3"/>
    <w:pPr>
      <w:spacing w:before="0"/>
      <w:jc w:val="right"/>
    </w:pPr>
    <w:rPr>
      <w:sz w:val="28"/>
    </w:rPr>
  </w:style>
  <w:style w:type="paragraph" w:customStyle="1" w:styleId="FooterSensitivity">
    <w:name w:val="Footer Sensitivity"/>
    <w:basedOn w:val="Normal"/>
    <w:rsid w:val="00BB0C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13"/>
      </w:numPr>
    </w:pPr>
  </w:style>
  <w:style w:type="paragraph" w:customStyle="1" w:styleId="Tiret1">
    <w:name w:val="Tiret 1"/>
    <w:basedOn w:val="Point1"/>
    <w:rsid w:val="00BB0CF3"/>
    <w:pPr>
      <w:numPr>
        <w:numId w:val="14"/>
      </w:numPr>
    </w:pPr>
  </w:style>
  <w:style w:type="paragraph" w:customStyle="1" w:styleId="Tiret2">
    <w:name w:val="Tiret 2"/>
    <w:basedOn w:val="Point2"/>
    <w:rsid w:val="00BB0CF3"/>
    <w:pPr>
      <w:numPr>
        <w:numId w:val="15"/>
      </w:numPr>
    </w:pPr>
  </w:style>
  <w:style w:type="paragraph" w:customStyle="1" w:styleId="Tiret3">
    <w:name w:val="Tiret 3"/>
    <w:basedOn w:val="Point3"/>
    <w:rsid w:val="00BB0CF3"/>
    <w:pPr>
      <w:numPr>
        <w:numId w:val="16"/>
      </w:numPr>
    </w:pPr>
  </w:style>
  <w:style w:type="paragraph" w:customStyle="1" w:styleId="Tiret4">
    <w:name w:val="Tiret 4"/>
    <w:basedOn w:val="Point4"/>
    <w:rsid w:val="00BB0CF3"/>
    <w:pPr>
      <w:numPr>
        <w:numId w:val="17"/>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18"/>
      </w:numPr>
    </w:pPr>
  </w:style>
  <w:style w:type="paragraph" w:customStyle="1" w:styleId="NumPar2">
    <w:name w:val="NumPar 2"/>
    <w:basedOn w:val="Normal"/>
    <w:next w:val="Text1"/>
    <w:rsid w:val="00BB0CF3"/>
    <w:pPr>
      <w:numPr>
        <w:ilvl w:val="1"/>
        <w:numId w:val="18"/>
      </w:numPr>
    </w:pPr>
  </w:style>
  <w:style w:type="paragraph" w:customStyle="1" w:styleId="NumPar3">
    <w:name w:val="NumPar 3"/>
    <w:basedOn w:val="Normal"/>
    <w:next w:val="Text1"/>
    <w:rsid w:val="00BB0CF3"/>
    <w:pPr>
      <w:numPr>
        <w:ilvl w:val="2"/>
        <w:numId w:val="18"/>
      </w:numPr>
    </w:pPr>
  </w:style>
  <w:style w:type="paragraph" w:customStyle="1" w:styleId="NumPar4">
    <w:name w:val="NumPar 4"/>
    <w:basedOn w:val="Normal"/>
    <w:next w:val="Text1"/>
    <w:rsid w:val="00BB0CF3"/>
    <w:pPr>
      <w:numPr>
        <w:ilvl w:val="3"/>
        <w:numId w:val="18"/>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20"/>
      </w:numPr>
    </w:pPr>
  </w:style>
  <w:style w:type="paragraph" w:customStyle="1" w:styleId="Point1number">
    <w:name w:val="Point 1 (number)"/>
    <w:basedOn w:val="Normal"/>
    <w:rsid w:val="00BB0CF3"/>
    <w:pPr>
      <w:numPr>
        <w:ilvl w:val="2"/>
        <w:numId w:val="20"/>
      </w:numPr>
    </w:pPr>
  </w:style>
  <w:style w:type="paragraph" w:customStyle="1" w:styleId="Point2number">
    <w:name w:val="Point 2 (number)"/>
    <w:basedOn w:val="Normal"/>
    <w:rsid w:val="00BB0CF3"/>
    <w:pPr>
      <w:numPr>
        <w:ilvl w:val="4"/>
        <w:numId w:val="20"/>
      </w:numPr>
    </w:pPr>
  </w:style>
  <w:style w:type="paragraph" w:customStyle="1" w:styleId="Point3number">
    <w:name w:val="Point 3 (number)"/>
    <w:basedOn w:val="Normal"/>
    <w:rsid w:val="00BB0CF3"/>
    <w:pPr>
      <w:numPr>
        <w:ilvl w:val="6"/>
        <w:numId w:val="20"/>
      </w:numPr>
    </w:pPr>
  </w:style>
  <w:style w:type="paragraph" w:customStyle="1" w:styleId="Point0letter">
    <w:name w:val="Point 0 (letter)"/>
    <w:basedOn w:val="Normal"/>
    <w:rsid w:val="00BB0CF3"/>
    <w:pPr>
      <w:numPr>
        <w:ilvl w:val="1"/>
        <w:numId w:val="20"/>
      </w:numPr>
    </w:pPr>
  </w:style>
  <w:style w:type="paragraph" w:customStyle="1" w:styleId="Point1letter">
    <w:name w:val="Point 1 (letter)"/>
    <w:basedOn w:val="Normal"/>
    <w:rsid w:val="00BB0CF3"/>
    <w:pPr>
      <w:numPr>
        <w:ilvl w:val="3"/>
        <w:numId w:val="20"/>
      </w:numPr>
    </w:pPr>
  </w:style>
  <w:style w:type="paragraph" w:customStyle="1" w:styleId="Point2letter">
    <w:name w:val="Point 2 (letter)"/>
    <w:basedOn w:val="Normal"/>
    <w:rsid w:val="00BB0CF3"/>
    <w:pPr>
      <w:numPr>
        <w:ilvl w:val="5"/>
        <w:numId w:val="20"/>
      </w:numPr>
    </w:pPr>
  </w:style>
  <w:style w:type="paragraph" w:customStyle="1" w:styleId="Point3letter">
    <w:name w:val="Point 3 (letter)"/>
    <w:basedOn w:val="Normal"/>
    <w:rsid w:val="00BB0CF3"/>
    <w:pPr>
      <w:numPr>
        <w:ilvl w:val="7"/>
        <w:numId w:val="20"/>
      </w:numPr>
    </w:pPr>
  </w:style>
  <w:style w:type="paragraph" w:customStyle="1" w:styleId="Point4letter">
    <w:name w:val="Point 4 (letter)"/>
    <w:basedOn w:val="Normal"/>
    <w:rsid w:val="00BB0CF3"/>
    <w:pPr>
      <w:numPr>
        <w:ilvl w:val="8"/>
        <w:numId w:val="20"/>
      </w:numPr>
    </w:pPr>
  </w:style>
  <w:style w:type="paragraph" w:customStyle="1" w:styleId="Bullet0">
    <w:name w:val="Bullet 0"/>
    <w:basedOn w:val="Normal"/>
    <w:rsid w:val="00BB0CF3"/>
    <w:pPr>
      <w:numPr>
        <w:numId w:val="21"/>
      </w:numPr>
    </w:pPr>
  </w:style>
  <w:style w:type="paragraph" w:customStyle="1" w:styleId="Bullet1">
    <w:name w:val="Bullet 1"/>
    <w:basedOn w:val="Normal"/>
    <w:rsid w:val="00BB0CF3"/>
    <w:pPr>
      <w:numPr>
        <w:numId w:val="22"/>
      </w:numPr>
    </w:pPr>
  </w:style>
  <w:style w:type="paragraph" w:customStyle="1" w:styleId="Bullet2">
    <w:name w:val="Bullet 2"/>
    <w:basedOn w:val="Normal"/>
    <w:rsid w:val="00BB0CF3"/>
    <w:pPr>
      <w:numPr>
        <w:numId w:val="23"/>
      </w:numPr>
    </w:pPr>
  </w:style>
  <w:style w:type="paragraph" w:customStyle="1" w:styleId="Bullet3">
    <w:name w:val="Bullet 3"/>
    <w:basedOn w:val="Normal"/>
    <w:rsid w:val="00BB0CF3"/>
    <w:pPr>
      <w:numPr>
        <w:numId w:val="24"/>
      </w:numPr>
    </w:pPr>
  </w:style>
  <w:style w:type="paragraph" w:customStyle="1" w:styleId="Bullet4">
    <w:name w:val="Bullet 4"/>
    <w:basedOn w:val="Normal"/>
    <w:rsid w:val="00BB0CF3"/>
    <w:pPr>
      <w:numPr>
        <w:numId w:val="25"/>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6"/>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847211">
      <w:bodyDiv w:val="1"/>
      <w:marLeft w:val="0"/>
      <w:marRight w:val="0"/>
      <w:marTop w:val="0"/>
      <w:marBottom w:val="0"/>
      <w:divBdr>
        <w:top w:val="none" w:sz="0" w:space="0" w:color="auto"/>
        <w:left w:val="none" w:sz="0" w:space="0" w:color="auto"/>
        <w:bottom w:val="none" w:sz="0" w:space="0" w:color="auto"/>
        <w:right w:val="none" w:sz="0" w:space="0" w:color="auto"/>
      </w:divBdr>
    </w:div>
    <w:div w:id="18889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ur-lex.europa.eu/legal-content/HU/TXT/HTML/?uri=CELEX:32012L0027&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HU/TXT/HTML/?uri=CELEX:32012L0027&amp;from=EN" TargetMode="External"/><Relationship Id="rId2" Type="http://schemas.openxmlformats.org/officeDocument/2006/relationships/customXml" Target="../customXml/item2.xml"/><Relationship Id="rId16" Type="http://schemas.openxmlformats.org/officeDocument/2006/relationships/hyperlink" Target="https://eur-lex.europa.eu/legal-content/HU/TXT/HTML/?uri=CELEX:32012L0027&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a818c08c-2776-4de8-95fb-741f3c7163b7" xsi:nil="true"/>
    <EC_Collab_DocumentLanguage xmlns="a818c08c-2776-4de8-95fb-741f3c7163b7">EN</EC_Collab_DocumentLanguage>
    <EC_ARES_NUMBER xmlns="a818c08c-2776-4de8-95fb-741f3c7163b7">
      <Url xsi:nil="true"/>
      <Description xsi:nil="true"/>
    </EC_ARES_NUMBER>
    <EC_Collab_Status xmlns="a818c08c-2776-4de8-95fb-741f3c7163b7">Not Started</EC_Collab_Status>
    <EC_ARES_DATE_TRANSFERRED xmlns="a818c08c-2776-4de8-95fb-741f3c7163b7" xsi:nil="true"/>
    <EC_Collab_Reference xmlns="a818c08c-2776-4de8-95fb-741f3c716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D86F137312EFD40B8C5008602F4782D" ma:contentTypeVersion="6" ma:contentTypeDescription="Create a new document in this library." ma:contentTypeScope="" ma:versionID="ed8668b92fc08cf73cca1040839dea30">
  <xsd:schema xmlns:xsd="http://www.w3.org/2001/XMLSchema" xmlns:xs="http://www.w3.org/2001/XMLSchema" xmlns:p="http://schemas.microsoft.com/office/2006/metadata/properties" xmlns:ns3="a818c08c-2776-4de8-95fb-741f3c7163b7" targetNamespace="http://schemas.microsoft.com/office/2006/metadata/properties" ma:root="true" ma:fieldsID="ea2a267fd847390061cdc6ee8ad86a86" ns3:_="">
    <xsd:import namespace="a818c08c-2776-4de8-95fb-741f3c7163b7"/>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c08c-2776-4de8-95fb-741f3c7163b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2B2C-4857-42A8-B99A-E789D749FC69}">
  <ds:schemaRefs>
    <ds:schemaRef ds:uri="http://schemas.microsoft.com/sharepoint/v3/contenttype/forms"/>
  </ds:schemaRefs>
</ds:datastoreItem>
</file>

<file path=customXml/itemProps2.xml><?xml version="1.0" encoding="utf-8"?>
<ds:datastoreItem xmlns:ds="http://schemas.openxmlformats.org/officeDocument/2006/customXml" ds:itemID="{80110A63-F0B4-4445-83E4-D6A750D3D12D}">
  <ds:schemaRefs>
    <ds:schemaRef ds:uri="http://purl.org/dc/terms/"/>
    <ds:schemaRef ds:uri="a818c08c-2776-4de8-95fb-741f3c7163b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65D78B0-A2FB-4188-8598-1396DEFA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c08c-2776-4de8-95fb-741f3c71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8BF03-E48F-41A7-B4A6-8F1EFB79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2</Pages>
  <Words>12120</Words>
  <Characters>80772</Characters>
  <Application>Microsoft Office Word</Application>
  <DocSecurity>0</DocSecurity>
  <Lines>2278</Lines>
  <Paragraphs>1204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Seija (SJ)</dc:creator>
  <cp:keywords/>
  <dc:description/>
  <cp:lastModifiedBy>RESS Renata (DGT)</cp:lastModifiedBy>
  <cp:revision>3</cp:revision>
  <cp:lastPrinted>2021-07-03T17:39:00Z</cp:lastPrinted>
  <dcterms:created xsi:type="dcterms:W3CDTF">2021-12-13T11:34:00Z</dcterms:created>
  <dcterms:modified xsi:type="dcterms:W3CDTF">2021-12-13T11:35:00Z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LWCR IsRefonte">
    <vt:lpwstr>True</vt:lpwstr>
  </property>
  <property fmtid="{D5CDD505-2E9C-101B-9397-08002B2CF9AE}" pid="14" name="ContentTypeId">
    <vt:lpwstr>0x010100258AA79CEB83498886A3A0868112325000BD86F137312EFD40B8C5008602F4782D</vt:lpwstr>
  </property>
  <property fmtid="{D5CDD505-2E9C-101B-9397-08002B2CF9AE}" pid="15" name="DQCStatus">
    <vt:lpwstr>Green (DQC version 03)</vt:lpwstr>
  </property>
</Properties>
</file>