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6DBAD" w14:textId="7D3BAD62" w:rsidR="00845AE8" w:rsidRPr="004F01E9" w:rsidRDefault="00132299" w:rsidP="00132299">
      <w:pPr>
        <w:pStyle w:val="Pagedecouverture"/>
        <w:rPr>
          <w:noProof/>
        </w:rPr>
      </w:pPr>
      <w:r>
        <w:rPr>
          <w:noProof/>
        </w:rPr>
        <w:pict w14:anchorId="0B7770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48FDC87F-1E02-472D-8C27-804801A3EC59" style="width:455.25pt;height:426pt">
            <v:imagedata r:id="rId7" o:title=""/>
          </v:shape>
        </w:pict>
      </w:r>
    </w:p>
    <w:p w14:paraId="15D63146" w14:textId="77777777" w:rsidR="00845AE8" w:rsidRPr="004F01E9" w:rsidRDefault="00845AE8" w:rsidP="00845AE8">
      <w:pPr>
        <w:rPr>
          <w:noProof/>
        </w:rPr>
        <w:sectPr w:rsidR="00845AE8" w:rsidRPr="004F01E9" w:rsidSect="00132299">
          <w:footerReference w:type="default" r:id="rId8"/>
          <w:pgSz w:w="11907" w:h="16839"/>
          <w:pgMar w:top="1134" w:right="1417" w:bottom="1134" w:left="1417" w:header="709" w:footer="709" w:gutter="0"/>
          <w:pgNumType w:start="0"/>
          <w:cols w:space="720"/>
          <w:docGrid w:linePitch="360"/>
        </w:sectPr>
      </w:pPr>
    </w:p>
    <w:p w14:paraId="552D1176" w14:textId="77777777" w:rsidR="00845AE8" w:rsidRPr="004F01E9" w:rsidRDefault="00845AE8" w:rsidP="008A4012">
      <w:pPr>
        <w:pStyle w:val="Exposdesmotifstitre"/>
        <w:rPr>
          <w:noProof/>
        </w:rPr>
      </w:pPr>
      <w:bookmarkStart w:id="0" w:name="_GoBack"/>
      <w:bookmarkEnd w:id="0"/>
      <w:r w:rsidRPr="004F01E9">
        <w:rPr>
          <w:noProof/>
        </w:rPr>
        <w:lastRenderedPageBreak/>
        <w:t>DÔVODOVÁ SPRÁVA</w:t>
      </w:r>
    </w:p>
    <w:p w14:paraId="3D03BD33" w14:textId="77777777" w:rsidR="00845AE8" w:rsidRPr="004F01E9" w:rsidRDefault="00845AE8" w:rsidP="008A4012">
      <w:pPr>
        <w:pStyle w:val="ManualHeading1"/>
        <w:rPr>
          <w:noProof/>
        </w:rPr>
      </w:pPr>
      <w:r w:rsidRPr="004F01E9">
        <w:rPr>
          <w:noProof/>
        </w:rPr>
        <w:t>1.</w:t>
      </w:r>
      <w:r w:rsidRPr="004F01E9">
        <w:rPr>
          <w:noProof/>
        </w:rPr>
        <w:tab/>
        <w:t>KONTEXT NÁVRHU</w:t>
      </w:r>
    </w:p>
    <w:p w14:paraId="537E257E" w14:textId="3DB3D4D4" w:rsidR="00845AE8" w:rsidRPr="004F01E9" w:rsidRDefault="00845AE8" w:rsidP="008A4012">
      <w:pPr>
        <w:pStyle w:val="ManualHeading2"/>
        <w:rPr>
          <w:rFonts w:eastAsia="Arial Unicode MS"/>
          <w:noProof/>
        </w:rPr>
      </w:pPr>
      <w:r w:rsidRPr="004F01E9">
        <w:rPr>
          <w:noProof/>
          <w:color w:val="000000"/>
          <w:u w:color="000000"/>
          <w:bdr w:val="nil"/>
        </w:rPr>
        <w:t>•</w:t>
      </w:r>
      <w:r w:rsidRPr="004F01E9">
        <w:rPr>
          <w:noProof/>
        </w:rPr>
        <w:tab/>
        <w:t>Dôvody</w:t>
      </w:r>
      <w:r w:rsidR="004F01E9">
        <w:rPr>
          <w:noProof/>
        </w:rPr>
        <w:t xml:space="preserve"> a </w:t>
      </w:r>
      <w:r w:rsidRPr="004F01E9">
        <w:rPr>
          <w:noProof/>
        </w:rPr>
        <w:t>ciele návrhu</w:t>
      </w:r>
    </w:p>
    <w:p w14:paraId="2971360E" w14:textId="60934DBC" w:rsidR="00845AE8" w:rsidRPr="004F01E9" w:rsidRDefault="00845AE8" w:rsidP="00E74DDF">
      <w:pPr>
        <w:rPr>
          <w:noProof/>
        </w:rPr>
      </w:pPr>
      <w:r w:rsidRPr="004F01E9">
        <w:rPr>
          <w:noProof/>
        </w:rPr>
        <w:t xml:space="preserve">Navrhovaná zmena nariadenia (EÚ) </w:t>
      </w:r>
      <w:r w:rsidR="004F01E9">
        <w:rPr>
          <w:noProof/>
        </w:rPr>
        <w:t>č. </w:t>
      </w:r>
      <w:r w:rsidRPr="004F01E9">
        <w:rPr>
          <w:noProof/>
        </w:rPr>
        <w:t>575/2013 (ďalej len „nariadenie</w:t>
      </w:r>
      <w:r w:rsidR="004F01E9">
        <w:rPr>
          <w:noProof/>
        </w:rPr>
        <w:t xml:space="preserve"> o </w:t>
      </w:r>
      <w:r w:rsidRPr="004F01E9">
        <w:rPr>
          <w:noProof/>
        </w:rPr>
        <w:t>kapitálových požiadavkách“ alebo „CRR“) je súčasťou legislatívneho balíka, ktorý obsahuje aj zmeny smernice 2013/36/EÚ (ďalej len „smernica</w:t>
      </w:r>
      <w:r w:rsidR="004F01E9">
        <w:rPr>
          <w:noProof/>
        </w:rPr>
        <w:t xml:space="preserve"> o </w:t>
      </w:r>
      <w:r w:rsidRPr="004F01E9">
        <w:rPr>
          <w:noProof/>
        </w:rPr>
        <w:t>kapitálových požiadavkách“ alebo „CRD“)</w:t>
      </w:r>
      <w:r w:rsidRPr="004F01E9">
        <w:rPr>
          <w:rStyle w:val="FootnoteReference0"/>
          <w:rFonts w:eastAsia="Times New Roman"/>
          <w:noProof/>
        </w:rPr>
        <w:footnoteReference w:id="2"/>
      </w:r>
      <w:r w:rsidRPr="004F01E9">
        <w:rPr>
          <w:noProof/>
        </w:rPr>
        <w:t>.</w:t>
      </w:r>
    </w:p>
    <w:p w14:paraId="77338469" w14:textId="7CC00F64" w:rsidR="00845AE8" w:rsidRPr="004F01E9" w:rsidRDefault="00845AE8" w:rsidP="00E74DDF">
      <w:pPr>
        <w:rPr>
          <w:rFonts w:eastAsia="Times New Roman"/>
          <w:noProof/>
          <w:spacing w:val="-4"/>
        </w:rPr>
      </w:pPr>
      <w:r w:rsidRPr="004F01E9">
        <w:rPr>
          <w:noProof/>
          <w:spacing w:val="-4"/>
        </w:rPr>
        <w:t>V reakcii na veľkú finančnú krízu</w:t>
      </w:r>
      <w:r w:rsidR="004F01E9" w:rsidRPr="004F01E9">
        <w:rPr>
          <w:noProof/>
          <w:spacing w:val="-4"/>
        </w:rPr>
        <w:t xml:space="preserve"> v </w:t>
      </w:r>
      <w:r w:rsidRPr="004F01E9">
        <w:rPr>
          <w:noProof/>
          <w:spacing w:val="-4"/>
        </w:rPr>
        <w:t>rokoch 2008 – 2009 Únia zaviedla zásadné reformy prudenciálneho rámca uplatniteľného na banky</w:t>
      </w:r>
      <w:r w:rsidR="004F01E9" w:rsidRPr="004F01E9">
        <w:rPr>
          <w:noProof/>
          <w:spacing w:val="-4"/>
        </w:rPr>
        <w:t xml:space="preserve"> s </w:t>
      </w:r>
      <w:r w:rsidRPr="004F01E9">
        <w:rPr>
          <w:noProof/>
          <w:spacing w:val="-4"/>
        </w:rPr>
        <w:t>cieľom zvýšiť ich odolnosť,</w:t>
      </w:r>
      <w:r w:rsidR="004F01E9" w:rsidRPr="004F01E9">
        <w:rPr>
          <w:noProof/>
          <w:spacing w:val="-4"/>
        </w:rPr>
        <w:t xml:space="preserve"> a </w:t>
      </w:r>
      <w:r w:rsidRPr="004F01E9">
        <w:rPr>
          <w:noProof/>
          <w:spacing w:val="-4"/>
        </w:rPr>
        <w:t>tak zabrániť opakovaniu podobnej krízy. Tieto reformy boli do veľkej miery založené na medzinárodných štandardoch, ktoré po roku 2010 prijal Bazilejský výbor pre bankový dohľad (BCBS)</w:t>
      </w:r>
      <w:r w:rsidRPr="004F01E9">
        <w:rPr>
          <w:rStyle w:val="FootnoteReference0"/>
          <w:noProof/>
          <w:spacing w:val="-4"/>
        </w:rPr>
        <w:footnoteReference w:id="3"/>
      </w:r>
      <w:r w:rsidRPr="004F01E9">
        <w:rPr>
          <w:noProof/>
          <w:spacing w:val="-4"/>
        </w:rPr>
        <w:t>. Štandardy sú spoločne známe ako štandardy Bazilej III, reformy Bazilej III alebo rámec Bazilej III</w:t>
      </w:r>
      <w:r w:rsidRPr="004F01E9">
        <w:rPr>
          <w:rStyle w:val="FootnoteReference0"/>
          <w:noProof/>
          <w:spacing w:val="-4"/>
        </w:rPr>
        <w:footnoteReference w:id="4"/>
      </w:r>
      <w:r w:rsidRPr="004F01E9">
        <w:rPr>
          <w:noProof/>
          <w:spacing w:val="-4"/>
        </w:rPr>
        <w:t>.</w:t>
      </w:r>
    </w:p>
    <w:p w14:paraId="350B36C3" w14:textId="52259B75" w:rsidR="00806B81" w:rsidRPr="004F01E9" w:rsidRDefault="00845AE8" w:rsidP="00845AE8">
      <w:pPr>
        <w:rPr>
          <w:rFonts w:eastAsia="Times New Roman"/>
          <w:noProof/>
        </w:rPr>
      </w:pPr>
      <w:r w:rsidRPr="004F01E9">
        <w:rPr>
          <w:noProof/>
        </w:rPr>
        <w:t>Význam globálnych štandardov, ktoré vypracúva výbor BCBS, sa zvyšuje vzhľadom na čoraz globálnejší</w:t>
      </w:r>
      <w:r w:rsidR="004F01E9">
        <w:rPr>
          <w:noProof/>
        </w:rPr>
        <w:t xml:space="preserve"> a </w:t>
      </w:r>
      <w:r w:rsidRPr="004F01E9">
        <w:rPr>
          <w:noProof/>
        </w:rPr>
        <w:t>prepojenejší charakter bankového sektora. Hoci globalizovaný bankový sektor uľahčuje medzinárodný obchod</w:t>
      </w:r>
      <w:r w:rsidR="004F01E9">
        <w:rPr>
          <w:noProof/>
        </w:rPr>
        <w:t xml:space="preserve"> a </w:t>
      </w:r>
      <w:r w:rsidRPr="004F01E9">
        <w:rPr>
          <w:noProof/>
        </w:rPr>
        <w:t>medzinárodné investície, vyvoláva aj zložitejšie finančné riziká. Bez jednotných globálnych štandardov by sa banky mohli rozhodnúť, že svoje činnosti začnú vykonávať</w:t>
      </w:r>
      <w:r w:rsidR="004F01E9">
        <w:rPr>
          <w:noProof/>
        </w:rPr>
        <w:t xml:space="preserve"> v </w:t>
      </w:r>
      <w:r w:rsidRPr="004F01E9">
        <w:rPr>
          <w:noProof/>
        </w:rPr>
        <w:t>jurisdikcii</w:t>
      </w:r>
      <w:r w:rsidR="004F01E9">
        <w:rPr>
          <w:noProof/>
        </w:rPr>
        <w:t xml:space="preserve"> s </w:t>
      </w:r>
      <w:r w:rsidRPr="004F01E9">
        <w:rPr>
          <w:noProof/>
        </w:rPr>
        <w:t>najmiernejšími režimami regulácie</w:t>
      </w:r>
      <w:r w:rsidR="004F01E9">
        <w:rPr>
          <w:noProof/>
        </w:rPr>
        <w:t xml:space="preserve"> a </w:t>
      </w:r>
      <w:r w:rsidRPr="004F01E9">
        <w:rPr>
          <w:noProof/>
        </w:rPr>
        <w:t>dohľadu. To by mohlo viesť</w:t>
      </w:r>
      <w:r w:rsidR="004F01E9">
        <w:rPr>
          <w:noProof/>
        </w:rPr>
        <w:t xml:space="preserve"> k </w:t>
      </w:r>
      <w:r w:rsidRPr="004F01E9">
        <w:rPr>
          <w:noProof/>
        </w:rPr>
        <w:t>regulačným pretekom ku dnu</w:t>
      </w:r>
      <w:r w:rsidR="004F01E9">
        <w:rPr>
          <w:noProof/>
        </w:rPr>
        <w:t xml:space="preserve"> s </w:t>
      </w:r>
      <w:r w:rsidRPr="004F01E9">
        <w:rPr>
          <w:noProof/>
        </w:rPr>
        <w:t>cieľom pritiahnuť bankové podniky, čím by sa zároveň zvýšilo riziko celosvetovej finančnej nestability. Medzinárodná koordinácia</w:t>
      </w:r>
      <w:r w:rsidR="004F01E9">
        <w:rPr>
          <w:noProof/>
        </w:rPr>
        <w:t xml:space="preserve"> v </w:t>
      </w:r>
      <w:r w:rsidRPr="004F01E9">
        <w:rPr>
          <w:noProof/>
        </w:rPr>
        <w:t>oblasti globálnych štandardov do veľkej miery obmedzuje tento druh rizikovej súťaže</w:t>
      </w:r>
      <w:r w:rsidR="004F01E9">
        <w:rPr>
          <w:noProof/>
        </w:rPr>
        <w:t xml:space="preserve"> a </w:t>
      </w:r>
      <w:r w:rsidRPr="004F01E9">
        <w:rPr>
          <w:noProof/>
        </w:rPr>
        <w:t>je kľúčom</w:t>
      </w:r>
      <w:r w:rsidR="004F01E9">
        <w:rPr>
          <w:noProof/>
        </w:rPr>
        <w:t xml:space="preserve"> k </w:t>
      </w:r>
      <w:r w:rsidRPr="004F01E9">
        <w:rPr>
          <w:noProof/>
        </w:rPr>
        <w:t>zachovaniu finančnej stability</w:t>
      </w:r>
      <w:r w:rsidR="004F01E9">
        <w:rPr>
          <w:noProof/>
        </w:rPr>
        <w:t xml:space="preserve"> v </w:t>
      </w:r>
      <w:r w:rsidRPr="004F01E9">
        <w:rPr>
          <w:noProof/>
        </w:rPr>
        <w:t>globalizovanom svete. Globálne štandardy okrem toho zjednodušujú život medzinárodne pôsobiacich bánk – medzi ktorými je značný počet bánk EÚ – pretože zaručujú, aby sa vo všeobecnosti podobné pravidlá uplatňovali</w:t>
      </w:r>
      <w:r w:rsidR="004F01E9">
        <w:rPr>
          <w:noProof/>
        </w:rPr>
        <w:t xml:space="preserve"> v </w:t>
      </w:r>
      <w:r w:rsidRPr="004F01E9">
        <w:rPr>
          <w:noProof/>
        </w:rPr>
        <w:t>najdôležitejších finančných centrách sveta.</w:t>
      </w:r>
    </w:p>
    <w:p w14:paraId="51343C4A" w14:textId="0FA2506A" w:rsidR="00845AE8" w:rsidRPr="004F01E9" w:rsidRDefault="00845AE8" w:rsidP="00845AE8">
      <w:pPr>
        <w:rPr>
          <w:rFonts w:eastAsia="Times New Roman"/>
          <w:noProof/>
        </w:rPr>
      </w:pPr>
      <w:r w:rsidRPr="004F01E9">
        <w:rPr>
          <w:noProof/>
        </w:rPr>
        <w:t>EÚ bola kľúčovým navrhovateľom medzinárodnej spolupráce</w:t>
      </w:r>
      <w:r w:rsidR="004F01E9">
        <w:rPr>
          <w:noProof/>
        </w:rPr>
        <w:t xml:space="preserve"> v </w:t>
      </w:r>
      <w:r w:rsidRPr="004F01E9">
        <w:rPr>
          <w:noProof/>
        </w:rPr>
        <w:t>oblasti bankovej regulácie. Prvý súbor reforiem prijatých po kríze, ktoré sú súčasťou rámca Bazilej III sa zaviedol</w:t>
      </w:r>
      <w:r w:rsidR="004F01E9">
        <w:rPr>
          <w:noProof/>
        </w:rPr>
        <w:t xml:space="preserve"> v </w:t>
      </w:r>
      <w:r w:rsidRPr="004F01E9">
        <w:rPr>
          <w:noProof/>
        </w:rPr>
        <w:t>dvoch krokoch:</w:t>
      </w:r>
    </w:p>
    <w:p w14:paraId="5BF9C63D" w14:textId="638AC1C3" w:rsidR="00845AE8" w:rsidRPr="004F01E9" w:rsidRDefault="00845AE8" w:rsidP="00654F23">
      <w:pPr>
        <w:pStyle w:val="Bullet0"/>
        <w:numPr>
          <w:ilvl w:val="0"/>
          <w:numId w:val="2"/>
        </w:numPr>
        <w:rPr>
          <w:noProof/>
        </w:rPr>
      </w:pPr>
      <w:r w:rsidRPr="004F01E9">
        <w:rPr>
          <w:noProof/>
        </w:rPr>
        <w:t>v júni 2013 prijatím nariadenia CRR</w:t>
      </w:r>
      <w:r w:rsidRPr="004F01E9">
        <w:rPr>
          <w:rStyle w:val="FootnoteReference0"/>
          <w:noProof/>
        </w:rPr>
        <w:footnoteReference w:id="5"/>
      </w:r>
      <w:r w:rsidR="004F01E9">
        <w:rPr>
          <w:noProof/>
        </w:rPr>
        <w:t xml:space="preserve"> a </w:t>
      </w:r>
      <w:r w:rsidRPr="004F01E9">
        <w:rPr>
          <w:noProof/>
        </w:rPr>
        <w:t>smernice CRD IV</w:t>
      </w:r>
      <w:r w:rsidRPr="004F01E9">
        <w:rPr>
          <w:rStyle w:val="FootnoteReference0"/>
          <w:noProof/>
        </w:rPr>
        <w:footnoteReference w:id="6"/>
      </w:r>
      <w:r w:rsidRPr="004F01E9">
        <w:rPr>
          <w:noProof/>
        </w:rPr>
        <w:t>,</w:t>
      </w:r>
    </w:p>
    <w:p w14:paraId="1836E675" w14:textId="53A328AE" w:rsidR="00845AE8" w:rsidRPr="004F01E9" w:rsidRDefault="00845AE8" w:rsidP="00845AE8">
      <w:pPr>
        <w:pStyle w:val="Bullet0"/>
        <w:rPr>
          <w:noProof/>
        </w:rPr>
      </w:pPr>
      <w:r w:rsidRPr="004F01E9">
        <w:rPr>
          <w:noProof/>
        </w:rPr>
        <w:t>v máji 2019 prijatím nariadenia (EÚ) 2019/876</w:t>
      </w:r>
      <w:r w:rsidRPr="004F01E9">
        <w:rPr>
          <w:rStyle w:val="FootnoteReference0"/>
          <w:noProof/>
        </w:rPr>
        <w:footnoteReference w:id="7"/>
      </w:r>
      <w:r w:rsidRPr="004F01E9">
        <w:rPr>
          <w:noProof/>
        </w:rPr>
        <w:t>, známeho aj ako nariadenie CRR II,</w:t>
      </w:r>
      <w:r w:rsidR="004F01E9">
        <w:rPr>
          <w:noProof/>
        </w:rPr>
        <w:t xml:space="preserve"> a </w:t>
      </w:r>
      <w:r w:rsidRPr="004F01E9">
        <w:rPr>
          <w:noProof/>
        </w:rPr>
        <w:t>smernice (EÚ) 2019/878, známej aj ako smernica CRD V</w:t>
      </w:r>
      <w:r w:rsidRPr="004F01E9">
        <w:rPr>
          <w:rStyle w:val="FootnoteReference0"/>
          <w:noProof/>
        </w:rPr>
        <w:footnoteReference w:id="8"/>
      </w:r>
      <w:r w:rsidRPr="004F01E9">
        <w:rPr>
          <w:noProof/>
        </w:rPr>
        <w:t>.</w:t>
      </w:r>
    </w:p>
    <w:p w14:paraId="01D629AE" w14:textId="3D7545F1" w:rsidR="00806B81" w:rsidRPr="004F01E9" w:rsidRDefault="00845AE8" w:rsidP="00845AE8">
      <w:pPr>
        <w:rPr>
          <w:rFonts w:eastAsia="Times New Roman"/>
          <w:noProof/>
          <w:spacing w:val="-4"/>
        </w:rPr>
      </w:pPr>
      <w:r w:rsidRPr="004F01E9">
        <w:rPr>
          <w:noProof/>
          <w:spacing w:val="-4"/>
        </w:rPr>
        <w:t>Doteraz uskutočnené reformy boli zamerané na zvyšovanie kvality</w:t>
      </w:r>
      <w:r w:rsidR="004F01E9" w:rsidRPr="004F01E9">
        <w:rPr>
          <w:noProof/>
          <w:spacing w:val="-4"/>
        </w:rPr>
        <w:t xml:space="preserve"> a </w:t>
      </w:r>
      <w:r w:rsidRPr="004F01E9">
        <w:rPr>
          <w:noProof/>
          <w:spacing w:val="-4"/>
        </w:rPr>
        <w:t>kvantity regulatórneho kapitálu, ktorý sa od bánk vyžaduje na pokrytie potenciálnych strát. Ich cieľom ďalej bolo zníženie nadmerného využívania finančnej páky bánk, zvýšenie odolnosti inštitúcií</w:t>
      </w:r>
      <w:r w:rsidRPr="004F01E9">
        <w:rPr>
          <w:rStyle w:val="FootnoteReference0"/>
          <w:rFonts w:eastAsia="Times New Roman"/>
          <w:noProof/>
          <w:spacing w:val="-4"/>
        </w:rPr>
        <w:footnoteReference w:id="9"/>
      </w:r>
      <w:r w:rsidRPr="004F01E9">
        <w:rPr>
          <w:noProof/>
          <w:spacing w:val="-4"/>
        </w:rPr>
        <w:t xml:space="preserve"> proti krátkodobým šokom likvidity, zníženie ich závislosti od krátkodobého financovania, obmedzenie rizika koncentrácie</w:t>
      </w:r>
      <w:r w:rsidR="004F01E9" w:rsidRPr="004F01E9">
        <w:rPr>
          <w:noProof/>
          <w:spacing w:val="-4"/>
        </w:rPr>
        <w:t xml:space="preserve"> a </w:t>
      </w:r>
      <w:r w:rsidRPr="004F01E9">
        <w:rPr>
          <w:noProof/>
          <w:spacing w:val="-4"/>
        </w:rPr>
        <w:t>riešenie problémov bánk, ktoré sú príliš veľké na vyhlásenie úpadku</w:t>
      </w:r>
      <w:r w:rsidRPr="004F01E9">
        <w:rPr>
          <w:rStyle w:val="FootnoteReference0"/>
          <w:noProof/>
          <w:spacing w:val="-4"/>
        </w:rPr>
        <w:footnoteReference w:id="10"/>
      </w:r>
      <w:r w:rsidRPr="004F01E9">
        <w:rPr>
          <w:noProof/>
          <w:spacing w:val="-4"/>
        </w:rPr>
        <w:t>.</w:t>
      </w:r>
    </w:p>
    <w:p w14:paraId="18D53CF8" w14:textId="040CF24E" w:rsidR="00845AE8" w:rsidRPr="004F01E9" w:rsidRDefault="00845AE8" w:rsidP="00845AE8">
      <w:pPr>
        <w:rPr>
          <w:rFonts w:eastAsia="Times New Roman"/>
          <w:noProof/>
          <w:spacing w:val="-4"/>
        </w:rPr>
      </w:pPr>
      <w:r w:rsidRPr="004F01E9">
        <w:rPr>
          <w:noProof/>
          <w:spacing w:val="-4"/>
        </w:rPr>
        <w:t>V dôsledku toho sa podľa nových pravidiel posilnili kritériá prípustného regulatórneho kapitálu, zvýšili minimálne kapitálové požiadavky</w:t>
      </w:r>
      <w:r w:rsidR="004F01E9" w:rsidRPr="004F01E9">
        <w:rPr>
          <w:noProof/>
          <w:spacing w:val="-4"/>
        </w:rPr>
        <w:t xml:space="preserve"> a </w:t>
      </w:r>
      <w:r w:rsidRPr="004F01E9">
        <w:rPr>
          <w:noProof/>
          <w:spacing w:val="-4"/>
        </w:rPr>
        <w:t>zaviedli nové požiadavky na riziko úpravy ocenenia pohľadávok</w:t>
      </w:r>
      <w:r w:rsidRPr="004F01E9">
        <w:rPr>
          <w:rStyle w:val="FootnoteReference0"/>
          <w:noProof/>
          <w:spacing w:val="-4"/>
        </w:rPr>
        <w:footnoteReference w:id="11"/>
      </w:r>
      <w:r w:rsidRPr="004F01E9">
        <w:rPr>
          <w:noProof/>
          <w:spacing w:val="-4"/>
        </w:rPr>
        <w:t xml:space="preserve"> (CVA)</w:t>
      </w:r>
      <w:r w:rsidR="004F01E9" w:rsidRPr="004F01E9">
        <w:rPr>
          <w:noProof/>
          <w:spacing w:val="-4"/>
        </w:rPr>
        <w:t xml:space="preserve"> a </w:t>
      </w:r>
      <w:r w:rsidRPr="004F01E9">
        <w:rPr>
          <w:noProof/>
          <w:spacing w:val="-4"/>
        </w:rPr>
        <w:t>na expozície centrálnym protistranám</w:t>
      </w:r>
      <w:r w:rsidRPr="004F01E9">
        <w:rPr>
          <w:rStyle w:val="FootnoteReference0"/>
          <w:noProof/>
          <w:spacing w:val="-4"/>
        </w:rPr>
        <w:footnoteReference w:id="12"/>
      </w:r>
      <w:r w:rsidRPr="004F01E9">
        <w:rPr>
          <w:noProof/>
          <w:spacing w:val="-4"/>
        </w:rPr>
        <w:t>. Okrem toho boli zavedené viaceré nové prudenciálne opatrenia: požiadavka na minimálny ukazovateľ finančnej páky, ukazovateľ krátkodobej likvidity (známy ako ukazovateľ krytia likvidity, LCR), ukazovateľ dlhodobejšieho stabilného financovania (známy ako ukazovateľ čistého stabilného financovania), limity veľkej majetkovej angažovanosti</w:t>
      </w:r>
      <w:r w:rsidRPr="004F01E9">
        <w:rPr>
          <w:rStyle w:val="FootnoteReference0"/>
          <w:noProof/>
          <w:spacing w:val="-4"/>
        </w:rPr>
        <w:footnoteReference w:id="13"/>
      </w:r>
      <w:r w:rsidR="004F01E9" w:rsidRPr="004F01E9">
        <w:rPr>
          <w:noProof/>
          <w:spacing w:val="-4"/>
        </w:rPr>
        <w:t xml:space="preserve"> a </w:t>
      </w:r>
      <w:r w:rsidRPr="004F01E9">
        <w:rPr>
          <w:noProof/>
          <w:spacing w:val="-4"/>
        </w:rPr>
        <w:t>makroprudenciálne kapitálové vankúše</w:t>
      </w:r>
      <w:r w:rsidRPr="004F01E9">
        <w:rPr>
          <w:rStyle w:val="FootnoteReference0"/>
          <w:noProof/>
          <w:spacing w:val="-4"/>
        </w:rPr>
        <w:footnoteReference w:id="14"/>
      </w:r>
      <w:r w:rsidRPr="004F01E9">
        <w:rPr>
          <w:noProof/>
          <w:spacing w:val="-4"/>
        </w:rPr>
        <w:t>.</w:t>
      </w:r>
    </w:p>
    <w:p w14:paraId="02D147CB" w14:textId="5E73C060" w:rsidR="00806B81" w:rsidRPr="004F01E9" w:rsidRDefault="00845AE8" w:rsidP="00E74DDF">
      <w:pPr>
        <w:rPr>
          <w:rFonts w:eastAsia="Times New Roman"/>
          <w:noProof/>
        </w:rPr>
      </w:pPr>
      <w:r w:rsidRPr="004F01E9">
        <w:rPr>
          <w:noProof/>
        </w:rPr>
        <w:t>Vďaka tomuto prvému súboru reforiem zavedených</w:t>
      </w:r>
      <w:r w:rsidR="004F01E9">
        <w:rPr>
          <w:noProof/>
        </w:rPr>
        <w:t xml:space="preserve"> v </w:t>
      </w:r>
      <w:r w:rsidRPr="004F01E9">
        <w:rPr>
          <w:noProof/>
        </w:rPr>
        <w:t>Únii</w:t>
      </w:r>
      <w:r w:rsidRPr="004F01E9">
        <w:rPr>
          <w:rStyle w:val="FootnoteReference0"/>
          <w:noProof/>
        </w:rPr>
        <w:footnoteReference w:id="15"/>
      </w:r>
      <w:r w:rsidRPr="004F01E9">
        <w:rPr>
          <w:noProof/>
        </w:rPr>
        <w:t xml:space="preserve"> je bankový sektor EÚ výrazne odolnejší proti hospodárskym otrasom</w:t>
      </w:r>
      <w:r w:rsidR="004F01E9">
        <w:rPr>
          <w:noProof/>
        </w:rPr>
        <w:t xml:space="preserve"> a </w:t>
      </w:r>
      <w:r w:rsidRPr="004F01E9">
        <w:rPr>
          <w:noProof/>
        </w:rPr>
        <w:t>do krízy</w:t>
      </w:r>
      <w:r w:rsidR="004F01E9">
        <w:rPr>
          <w:noProof/>
        </w:rPr>
        <w:t xml:space="preserve"> v </w:t>
      </w:r>
      <w:r w:rsidRPr="004F01E9">
        <w:rPr>
          <w:noProof/>
        </w:rPr>
        <w:t>súvislosti COVID-19 vstupoval na podstatne stabilnejšej pôde</w:t>
      </w:r>
      <w:r w:rsidR="004F01E9">
        <w:rPr>
          <w:noProof/>
        </w:rPr>
        <w:t xml:space="preserve"> v </w:t>
      </w:r>
      <w:r w:rsidRPr="004F01E9">
        <w:rPr>
          <w:noProof/>
        </w:rPr>
        <w:t>porovnaní so stavom na začiatku veľkej finančnej krízy.</w:t>
      </w:r>
    </w:p>
    <w:p w14:paraId="2552931B" w14:textId="71559313" w:rsidR="00806B81" w:rsidRPr="004F01E9" w:rsidRDefault="00845AE8" w:rsidP="00E74DDF">
      <w:pPr>
        <w:rPr>
          <w:noProof/>
          <w:spacing w:val="-6"/>
        </w:rPr>
      </w:pPr>
      <w:r w:rsidRPr="004F01E9">
        <w:rPr>
          <w:noProof/>
          <w:spacing w:val="-6"/>
        </w:rPr>
        <w:t>Orgány dohľadu</w:t>
      </w:r>
      <w:r w:rsidR="004F01E9" w:rsidRPr="004F01E9">
        <w:rPr>
          <w:noProof/>
          <w:spacing w:val="-6"/>
        </w:rPr>
        <w:t xml:space="preserve"> a </w:t>
      </w:r>
      <w:r w:rsidRPr="004F01E9">
        <w:rPr>
          <w:noProof/>
          <w:spacing w:val="-6"/>
        </w:rPr>
        <w:t>zákonodarcovia navyše na začiatku krízy spôsobenej pandémiou COVID-19 prijali dočasné uľahčujúce opatrenia. Komisia vo svojom výkladovom oznámení</w:t>
      </w:r>
      <w:r w:rsidR="004F01E9" w:rsidRPr="004F01E9">
        <w:rPr>
          <w:noProof/>
          <w:spacing w:val="-6"/>
        </w:rPr>
        <w:t xml:space="preserve"> z </w:t>
      </w:r>
      <w:r w:rsidRPr="004F01E9">
        <w:rPr>
          <w:noProof/>
          <w:spacing w:val="-6"/>
        </w:rPr>
        <w:t>28</w:t>
      </w:r>
      <w:r w:rsidR="004F01E9" w:rsidRPr="004F01E9">
        <w:rPr>
          <w:noProof/>
          <w:spacing w:val="-6"/>
        </w:rPr>
        <w:t>. apríla</w:t>
      </w:r>
      <w:r w:rsidRPr="004F01E9">
        <w:rPr>
          <w:noProof/>
          <w:spacing w:val="-6"/>
        </w:rPr>
        <w:t> 2020</w:t>
      </w:r>
      <w:r w:rsidRPr="004F01E9">
        <w:rPr>
          <w:rStyle w:val="FootnoteReference0"/>
          <w:noProof/>
          <w:spacing w:val="-6"/>
        </w:rPr>
        <w:footnoteReference w:id="16"/>
      </w:r>
      <w:r w:rsidR="004F01E9" w:rsidRPr="004F01E9">
        <w:rPr>
          <w:noProof/>
          <w:spacing w:val="-6"/>
        </w:rPr>
        <w:t xml:space="preserve"> o </w:t>
      </w:r>
      <w:r w:rsidRPr="004F01E9">
        <w:rPr>
          <w:noProof/>
          <w:spacing w:val="-6"/>
        </w:rPr>
        <w:t>uplatňovaní účtovných</w:t>
      </w:r>
      <w:r w:rsidR="004F01E9" w:rsidRPr="004F01E9">
        <w:rPr>
          <w:noProof/>
          <w:spacing w:val="-6"/>
        </w:rPr>
        <w:t xml:space="preserve"> a </w:t>
      </w:r>
      <w:r w:rsidRPr="004F01E9">
        <w:rPr>
          <w:noProof/>
          <w:spacing w:val="-6"/>
        </w:rPr>
        <w:t>prudenciálnych rámcov na uľahčenie poskytovania bankových úverov určených na podporu podnikov</w:t>
      </w:r>
      <w:r w:rsidR="004F01E9" w:rsidRPr="004F01E9">
        <w:rPr>
          <w:noProof/>
          <w:spacing w:val="-6"/>
        </w:rPr>
        <w:t xml:space="preserve"> a </w:t>
      </w:r>
      <w:r w:rsidRPr="004F01E9">
        <w:rPr>
          <w:noProof/>
          <w:spacing w:val="-6"/>
        </w:rPr>
        <w:t>domácností počas pandémie COVID-19 potvrdila flexibilitu zakotvenú</w:t>
      </w:r>
      <w:r w:rsidR="004F01E9" w:rsidRPr="004F01E9">
        <w:rPr>
          <w:noProof/>
          <w:spacing w:val="-6"/>
        </w:rPr>
        <w:t xml:space="preserve"> v </w:t>
      </w:r>
      <w:r w:rsidRPr="004F01E9">
        <w:rPr>
          <w:noProof/>
          <w:spacing w:val="-6"/>
        </w:rPr>
        <w:t>prudenciálnych</w:t>
      </w:r>
      <w:r w:rsidR="004F01E9" w:rsidRPr="004F01E9">
        <w:rPr>
          <w:noProof/>
          <w:spacing w:val="-6"/>
        </w:rPr>
        <w:t xml:space="preserve"> a </w:t>
      </w:r>
      <w:r w:rsidRPr="004F01E9">
        <w:rPr>
          <w:noProof/>
          <w:spacing w:val="-6"/>
        </w:rPr>
        <w:t>účtovných pravidlách ako zdôraznili európske orgány dohľadu</w:t>
      </w:r>
      <w:r w:rsidR="004F01E9" w:rsidRPr="004F01E9">
        <w:rPr>
          <w:noProof/>
          <w:spacing w:val="-6"/>
        </w:rPr>
        <w:t xml:space="preserve"> a </w:t>
      </w:r>
      <w:r w:rsidRPr="004F01E9">
        <w:rPr>
          <w:noProof/>
          <w:spacing w:val="-6"/>
        </w:rPr>
        <w:t>medzinárodné orgány. Na tomto základe spoluzákonodarcovia</w:t>
      </w:r>
      <w:r w:rsidR="004F01E9" w:rsidRPr="004F01E9">
        <w:rPr>
          <w:noProof/>
          <w:spacing w:val="-6"/>
        </w:rPr>
        <w:t xml:space="preserve"> v </w:t>
      </w:r>
      <w:r w:rsidRPr="004F01E9">
        <w:rPr>
          <w:noProof/>
          <w:spacing w:val="-6"/>
        </w:rPr>
        <w:t>júni 2020 prijali cielené dočasné zmeny konkrétnych aspektov prudenciálneho rámca ako balík rýchlych riešení nariadenia CRR</w:t>
      </w:r>
      <w:r w:rsidRPr="004F01E9">
        <w:rPr>
          <w:rStyle w:val="FootnoteReference0"/>
          <w:noProof/>
          <w:spacing w:val="-6"/>
        </w:rPr>
        <w:footnoteReference w:id="17"/>
      </w:r>
      <w:r w:rsidRPr="004F01E9">
        <w:rPr>
          <w:noProof/>
          <w:spacing w:val="-6"/>
        </w:rPr>
        <w:t>. Tento balík spolu</w:t>
      </w:r>
      <w:r w:rsidR="004F01E9" w:rsidRPr="004F01E9">
        <w:rPr>
          <w:noProof/>
          <w:spacing w:val="-6"/>
        </w:rPr>
        <w:t xml:space="preserve"> s </w:t>
      </w:r>
      <w:r w:rsidRPr="004F01E9">
        <w:rPr>
          <w:noProof/>
          <w:spacing w:val="-6"/>
        </w:rPr>
        <w:t>rozhodnými opatreniami</w:t>
      </w:r>
      <w:r w:rsidR="004F01E9" w:rsidRPr="004F01E9">
        <w:rPr>
          <w:noProof/>
          <w:spacing w:val="-6"/>
        </w:rPr>
        <w:t xml:space="preserve"> v </w:t>
      </w:r>
      <w:r w:rsidRPr="004F01E9">
        <w:rPr>
          <w:noProof/>
          <w:spacing w:val="-6"/>
        </w:rPr>
        <w:t>oblasti menovej</w:t>
      </w:r>
      <w:r w:rsidR="004F01E9" w:rsidRPr="004F01E9">
        <w:rPr>
          <w:noProof/>
          <w:spacing w:val="-6"/>
        </w:rPr>
        <w:t xml:space="preserve"> a </w:t>
      </w:r>
      <w:r w:rsidRPr="004F01E9">
        <w:rPr>
          <w:noProof/>
          <w:spacing w:val="-6"/>
        </w:rPr>
        <w:t>fiškálnej politiky</w:t>
      </w:r>
      <w:r w:rsidRPr="004F01E9">
        <w:rPr>
          <w:rStyle w:val="FootnoteReference0"/>
          <w:noProof/>
          <w:spacing w:val="-6"/>
        </w:rPr>
        <w:footnoteReference w:id="18"/>
      </w:r>
      <w:r w:rsidRPr="004F01E9">
        <w:rPr>
          <w:noProof/>
          <w:spacing w:val="-6"/>
        </w:rPr>
        <w:t xml:space="preserve"> pomohol inštitúciám počas pandémie zachovať poskytovanie úverov pre domácnosti</w:t>
      </w:r>
      <w:r w:rsidR="004F01E9" w:rsidRPr="004F01E9">
        <w:rPr>
          <w:noProof/>
          <w:spacing w:val="-6"/>
        </w:rPr>
        <w:t xml:space="preserve"> a </w:t>
      </w:r>
      <w:r w:rsidRPr="004F01E9">
        <w:rPr>
          <w:noProof/>
          <w:spacing w:val="-6"/>
        </w:rPr>
        <w:t>spoločnosti. To na druhej strane pomohlo zmierniť hospodársky šok</w:t>
      </w:r>
      <w:r w:rsidRPr="004F01E9">
        <w:rPr>
          <w:rStyle w:val="FootnoteReference0"/>
          <w:noProof/>
          <w:spacing w:val="-6"/>
        </w:rPr>
        <w:footnoteReference w:id="19"/>
      </w:r>
      <w:r w:rsidRPr="004F01E9">
        <w:rPr>
          <w:noProof/>
          <w:spacing w:val="-6"/>
        </w:rPr>
        <w:t>, ktorý spôsobila pandémia.</w:t>
      </w:r>
    </w:p>
    <w:p w14:paraId="2CAD538B" w14:textId="4CFDF28E" w:rsidR="00806B81" w:rsidRPr="004F01E9" w:rsidRDefault="00845AE8" w:rsidP="00845AE8">
      <w:pPr>
        <w:rPr>
          <w:rFonts w:eastAsia="Times New Roman"/>
          <w:noProof/>
          <w:spacing w:val="-6"/>
        </w:rPr>
      </w:pPr>
      <w:r w:rsidRPr="004F01E9">
        <w:rPr>
          <w:noProof/>
          <w:spacing w:val="-6"/>
        </w:rPr>
        <w:t>Hoci sa celková úroveň kapitálu</w:t>
      </w:r>
      <w:r w:rsidR="004F01E9" w:rsidRPr="004F01E9">
        <w:rPr>
          <w:noProof/>
          <w:spacing w:val="-6"/>
        </w:rPr>
        <w:t xml:space="preserve"> v </w:t>
      </w:r>
      <w:r w:rsidRPr="004F01E9">
        <w:rPr>
          <w:noProof/>
          <w:spacing w:val="-6"/>
        </w:rPr>
        <w:t>bankovom systéme EÚ teraz považuje</w:t>
      </w:r>
      <w:r w:rsidR="004F01E9" w:rsidRPr="004F01E9">
        <w:rPr>
          <w:noProof/>
          <w:spacing w:val="-6"/>
        </w:rPr>
        <w:t xml:space="preserve"> v </w:t>
      </w:r>
      <w:r w:rsidRPr="004F01E9">
        <w:rPr>
          <w:noProof/>
          <w:spacing w:val="-6"/>
        </w:rPr>
        <w:t>priemere za uspokojivú, niektoré problémy, ktoré boli identifikované ako následky veľkej finančnej krízy, sa ešte neriešili.</w:t>
      </w:r>
      <w:r w:rsidR="004F01E9" w:rsidRPr="004F01E9">
        <w:rPr>
          <w:noProof/>
          <w:spacing w:val="-6"/>
        </w:rPr>
        <w:t xml:space="preserve"> Z </w:t>
      </w:r>
      <w:r w:rsidRPr="004F01E9">
        <w:rPr>
          <w:noProof/>
          <w:spacing w:val="-6"/>
        </w:rPr>
        <w:t>analýz vykonaných Európskym orgánom pre bankovníctvo (EBA)</w:t>
      </w:r>
      <w:r w:rsidR="004F01E9" w:rsidRPr="004F01E9">
        <w:rPr>
          <w:noProof/>
          <w:spacing w:val="-6"/>
        </w:rPr>
        <w:t xml:space="preserve"> a </w:t>
      </w:r>
      <w:r w:rsidRPr="004F01E9">
        <w:rPr>
          <w:noProof/>
          <w:spacing w:val="-6"/>
        </w:rPr>
        <w:t>Európskou centrálnou bankou (ECB) vyplýva, že kapitálové požiadavky vypočítané inštitúciami usadenými</w:t>
      </w:r>
      <w:r w:rsidR="004F01E9" w:rsidRPr="004F01E9">
        <w:rPr>
          <w:noProof/>
          <w:spacing w:val="-6"/>
        </w:rPr>
        <w:t xml:space="preserve"> v </w:t>
      </w:r>
      <w:r w:rsidRPr="004F01E9">
        <w:rPr>
          <w:noProof/>
          <w:spacing w:val="-6"/>
        </w:rPr>
        <w:t>EÚ</w:t>
      </w:r>
      <w:r w:rsidR="004F01E9" w:rsidRPr="004F01E9">
        <w:rPr>
          <w:noProof/>
          <w:spacing w:val="-6"/>
        </w:rPr>
        <w:t xml:space="preserve"> s </w:t>
      </w:r>
      <w:r w:rsidRPr="004F01E9">
        <w:rPr>
          <w:noProof/>
          <w:spacing w:val="-6"/>
        </w:rPr>
        <w:t>použitím interných modelov sa vyznačujú značnou úrovňou rozdielov, ktorá nebola odôvodnená rozdielmi súvisiacich rizík</w:t>
      </w:r>
      <w:r w:rsidR="004F01E9" w:rsidRPr="004F01E9">
        <w:rPr>
          <w:noProof/>
          <w:spacing w:val="-6"/>
        </w:rPr>
        <w:t xml:space="preserve"> a v </w:t>
      </w:r>
      <w:r w:rsidRPr="004F01E9">
        <w:rPr>
          <w:noProof/>
          <w:spacing w:val="-6"/>
        </w:rPr>
        <w:t>skutočnosti ohrozuje spoľahlivosť</w:t>
      </w:r>
      <w:r w:rsidR="004F01E9" w:rsidRPr="004F01E9">
        <w:rPr>
          <w:noProof/>
          <w:spacing w:val="-6"/>
        </w:rPr>
        <w:t xml:space="preserve"> a </w:t>
      </w:r>
      <w:r w:rsidRPr="004F01E9">
        <w:rPr>
          <w:noProof/>
          <w:spacing w:val="-6"/>
        </w:rPr>
        <w:t>porovnateľnosť ich kapitálových ukazovateľov</w:t>
      </w:r>
      <w:r w:rsidRPr="004F01E9">
        <w:rPr>
          <w:rStyle w:val="FootnoteReference0"/>
          <w:rFonts w:eastAsia="Times New Roman"/>
          <w:noProof/>
          <w:spacing w:val="-6"/>
        </w:rPr>
        <w:footnoteReference w:id="20"/>
      </w:r>
      <w:r w:rsidRPr="004F01E9">
        <w:rPr>
          <w:noProof/>
          <w:spacing w:val="-6"/>
        </w:rPr>
        <w:t>. Okrem toho nedostatočná citlivosť na riziko</w:t>
      </w:r>
      <w:r w:rsidR="004F01E9" w:rsidRPr="004F01E9">
        <w:rPr>
          <w:noProof/>
          <w:spacing w:val="-6"/>
        </w:rPr>
        <w:t xml:space="preserve"> v </w:t>
      </w:r>
      <w:r w:rsidRPr="004F01E9">
        <w:rPr>
          <w:noProof/>
          <w:spacing w:val="-6"/>
        </w:rPr>
        <w:t>kapitálových požiadavkách vypočítaných</w:t>
      </w:r>
      <w:r w:rsidR="004F01E9" w:rsidRPr="004F01E9">
        <w:rPr>
          <w:noProof/>
          <w:spacing w:val="-6"/>
        </w:rPr>
        <w:t xml:space="preserve"> s </w:t>
      </w:r>
      <w:r w:rsidRPr="004F01E9">
        <w:rPr>
          <w:noProof/>
          <w:spacing w:val="-6"/>
        </w:rPr>
        <w:t>použitím štandardizovaných prístupov má za následok nedostatočné alebo neprimerane vysoké kapitálové požiadavky týkajúce sa niektorých finančných produktov alebo činností (a teda konkrétnych obchodných modelov, ktoré sú na nich primárne založené).</w:t>
      </w:r>
      <w:r w:rsidR="004F01E9" w:rsidRPr="004F01E9">
        <w:rPr>
          <w:noProof/>
          <w:spacing w:val="-6"/>
        </w:rPr>
        <w:t xml:space="preserve"> V </w:t>
      </w:r>
      <w:r w:rsidRPr="004F01E9">
        <w:rPr>
          <w:noProof/>
          <w:spacing w:val="-6"/>
        </w:rPr>
        <w:t>decembri 2017 sa výbor BCBS dohodol na konečnom súbore reforiem</w:t>
      </w:r>
      <w:r w:rsidRPr="004F01E9">
        <w:rPr>
          <w:rStyle w:val="FootnoteReference0"/>
          <w:noProof/>
          <w:spacing w:val="-6"/>
        </w:rPr>
        <w:footnoteReference w:id="21"/>
      </w:r>
      <w:r w:rsidRPr="004F01E9">
        <w:rPr>
          <w:noProof/>
          <w:spacing w:val="-6"/>
        </w:rPr>
        <w:t xml:space="preserve"> medzinárodných štandardov na riešenie týchto problémov.</w:t>
      </w:r>
      <w:r w:rsidR="004F01E9" w:rsidRPr="004F01E9">
        <w:rPr>
          <w:noProof/>
          <w:spacing w:val="-6"/>
          <w:vertAlign w:val="superscript"/>
        </w:rPr>
        <w:t xml:space="preserve"> V </w:t>
      </w:r>
      <w:r w:rsidRPr="004F01E9">
        <w:rPr>
          <w:noProof/>
          <w:spacing w:val="-6"/>
        </w:rPr>
        <w:t>marci 2018 uvítali tieto reformy ministri financií</w:t>
      </w:r>
      <w:r w:rsidR="004F01E9" w:rsidRPr="004F01E9">
        <w:rPr>
          <w:noProof/>
          <w:spacing w:val="-6"/>
        </w:rPr>
        <w:t xml:space="preserve"> a </w:t>
      </w:r>
      <w:r w:rsidRPr="004F01E9">
        <w:rPr>
          <w:noProof/>
          <w:spacing w:val="-6"/>
        </w:rPr>
        <w:t>guvernéri centrálnych bánk krajín G20</w:t>
      </w:r>
      <w:r w:rsidR="004F01E9" w:rsidRPr="004F01E9">
        <w:rPr>
          <w:noProof/>
          <w:spacing w:val="-6"/>
        </w:rPr>
        <w:t xml:space="preserve"> a </w:t>
      </w:r>
      <w:r w:rsidRPr="004F01E9">
        <w:rPr>
          <w:noProof/>
          <w:spacing w:val="-6"/>
        </w:rPr>
        <w:t>opakovane potvrdili svoj záväzok ich úplného, včasného</w:t>
      </w:r>
      <w:r w:rsidR="004F01E9" w:rsidRPr="004F01E9">
        <w:rPr>
          <w:noProof/>
          <w:spacing w:val="-6"/>
        </w:rPr>
        <w:t xml:space="preserve"> a </w:t>
      </w:r>
      <w:r w:rsidRPr="004F01E9">
        <w:rPr>
          <w:noProof/>
          <w:spacing w:val="-6"/>
        </w:rPr>
        <w:t>dôsledného vykonania.</w:t>
      </w:r>
      <w:r w:rsidR="004F01E9" w:rsidRPr="004F01E9">
        <w:rPr>
          <w:noProof/>
          <w:spacing w:val="-6"/>
        </w:rPr>
        <w:t xml:space="preserve"> V </w:t>
      </w:r>
      <w:r w:rsidRPr="004F01E9">
        <w:rPr>
          <w:noProof/>
          <w:spacing w:val="-6"/>
        </w:rPr>
        <w:t>roku 2019 oznámila Komisia svoj zámer predložiť legislatívny návrh na vykonanie týchto reforiem</w:t>
      </w:r>
      <w:r w:rsidR="004F01E9" w:rsidRPr="004F01E9">
        <w:rPr>
          <w:noProof/>
          <w:spacing w:val="-6"/>
        </w:rPr>
        <w:t xml:space="preserve"> v </w:t>
      </w:r>
      <w:r w:rsidRPr="004F01E9">
        <w:rPr>
          <w:noProof/>
          <w:spacing w:val="-6"/>
        </w:rPr>
        <w:t>prudenciálnom rámci EÚ</w:t>
      </w:r>
      <w:r w:rsidRPr="004F01E9">
        <w:rPr>
          <w:rStyle w:val="FootnoteReference0"/>
          <w:noProof/>
          <w:spacing w:val="-6"/>
        </w:rPr>
        <w:footnoteReference w:id="22"/>
      </w:r>
      <w:r w:rsidRPr="004F01E9">
        <w:rPr>
          <w:noProof/>
          <w:spacing w:val="-6"/>
        </w:rPr>
        <w:t>.</w:t>
      </w:r>
    </w:p>
    <w:p w14:paraId="500FDBFF" w14:textId="346C2C09" w:rsidR="00806B81" w:rsidRPr="004F01E9" w:rsidRDefault="00845AE8" w:rsidP="00845AE8">
      <w:pPr>
        <w:rPr>
          <w:rFonts w:eastAsia="Times New Roman"/>
          <w:noProof/>
        </w:rPr>
      </w:pPr>
      <w:r w:rsidRPr="004F01E9">
        <w:rPr>
          <w:noProof/>
        </w:rPr>
        <w:t>Vzhľadom na pandémiu COVID-19 sa prípravné práce na tomto návrhu oneskorili. Oneskorenie sa prejavilo</w:t>
      </w:r>
      <w:r w:rsidR="004F01E9">
        <w:rPr>
          <w:noProof/>
        </w:rPr>
        <w:t xml:space="preserve"> v </w:t>
      </w:r>
      <w:r w:rsidRPr="004F01E9">
        <w:rPr>
          <w:noProof/>
        </w:rPr>
        <w:t>rozhodnutí BCBS</w:t>
      </w:r>
      <w:r w:rsidR="004F01E9">
        <w:rPr>
          <w:noProof/>
        </w:rPr>
        <w:t xml:space="preserve"> z </w:t>
      </w:r>
      <w:r w:rsidRPr="004F01E9">
        <w:rPr>
          <w:noProof/>
        </w:rPr>
        <w:t>26</w:t>
      </w:r>
      <w:r w:rsidR="004F01E9">
        <w:rPr>
          <w:noProof/>
        </w:rPr>
        <w:t>. marca</w:t>
      </w:r>
      <w:r w:rsidRPr="004F01E9">
        <w:rPr>
          <w:noProof/>
        </w:rPr>
        <w:t> 2020</w:t>
      </w:r>
      <w:r w:rsidR="004F01E9">
        <w:rPr>
          <w:noProof/>
        </w:rPr>
        <w:t xml:space="preserve"> o </w:t>
      </w:r>
      <w:r w:rsidRPr="004F01E9">
        <w:rPr>
          <w:noProof/>
        </w:rPr>
        <w:t>odložení už dohodnutých lehôt zavedenia konečných prvkov reformy Bazilej III</w:t>
      </w:r>
      <w:r w:rsidR="004F01E9">
        <w:rPr>
          <w:noProof/>
        </w:rPr>
        <w:t xml:space="preserve"> o </w:t>
      </w:r>
      <w:r w:rsidRPr="004F01E9">
        <w:rPr>
          <w:noProof/>
        </w:rPr>
        <w:t>jeden rok.</w:t>
      </w:r>
      <w:r w:rsidRPr="004F01E9">
        <w:rPr>
          <w:noProof/>
          <w:vertAlign w:val="superscript"/>
        </w:rPr>
        <w:t xml:space="preserve"> </w:t>
      </w:r>
      <w:r w:rsidRPr="004F01E9">
        <w:rPr>
          <w:rStyle w:val="FootnoteReference0"/>
          <w:noProof/>
        </w:rPr>
        <w:footnoteReference w:id="23"/>
      </w:r>
    </w:p>
    <w:p w14:paraId="16BD8D19" w14:textId="07366697" w:rsidR="00845AE8" w:rsidRPr="004F01E9" w:rsidRDefault="00845AE8" w:rsidP="00845AE8">
      <w:pPr>
        <w:rPr>
          <w:rFonts w:eastAsia="Times New Roman"/>
          <w:noProof/>
        </w:rPr>
      </w:pPr>
      <w:r w:rsidRPr="004F01E9">
        <w:rPr>
          <w:noProof/>
        </w:rPr>
        <w:t>So zreteľom na uvedené skutočnosti, súčasná legislatívna iniciatíva mala dva všeobecné ciele: prispieť</w:t>
      </w:r>
      <w:r w:rsidR="004F01E9">
        <w:rPr>
          <w:noProof/>
        </w:rPr>
        <w:t xml:space="preserve"> k </w:t>
      </w:r>
      <w:r w:rsidRPr="004F01E9">
        <w:rPr>
          <w:noProof/>
        </w:rPr>
        <w:t>finančnej stabilite</w:t>
      </w:r>
      <w:r w:rsidR="004F01E9">
        <w:rPr>
          <w:noProof/>
        </w:rPr>
        <w:t xml:space="preserve"> a </w:t>
      </w:r>
      <w:r w:rsidRPr="004F01E9">
        <w:rPr>
          <w:noProof/>
        </w:rPr>
        <w:t>prispieť</w:t>
      </w:r>
      <w:r w:rsidR="004F01E9">
        <w:rPr>
          <w:noProof/>
        </w:rPr>
        <w:t xml:space="preserve"> k </w:t>
      </w:r>
      <w:r w:rsidRPr="004F01E9">
        <w:rPr>
          <w:noProof/>
        </w:rPr>
        <w:t>stabilnému financovaniu hospodárstva</w:t>
      </w:r>
      <w:r w:rsidR="004F01E9">
        <w:rPr>
          <w:noProof/>
        </w:rPr>
        <w:t xml:space="preserve"> v </w:t>
      </w:r>
      <w:r w:rsidRPr="004F01E9">
        <w:rPr>
          <w:noProof/>
        </w:rPr>
        <w:t>súvislosti</w:t>
      </w:r>
      <w:r w:rsidR="004F01E9">
        <w:rPr>
          <w:noProof/>
        </w:rPr>
        <w:t xml:space="preserve"> s </w:t>
      </w:r>
      <w:r w:rsidRPr="004F01E9">
        <w:rPr>
          <w:noProof/>
        </w:rPr>
        <w:t>obnovou po kríze spôsobenej pandémiou COVID-19. Tieto všeobecné ciele možno rozdeliť do štyroch špecifickejších cieľov:</w:t>
      </w:r>
    </w:p>
    <w:p w14:paraId="00DAC364" w14:textId="49A5A5A4" w:rsidR="00845AE8" w:rsidRPr="004F01E9" w:rsidRDefault="001C4527" w:rsidP="001C4527">
      <w:pPr>
        <w:pStyle w:val="Point0"/>
        <w:rPr>
          <w:noProof/>
        </w:rPr>
      </w:pPr>
      <w:r>
        <w:rPr>
          <w:noProof/>
        </w:rPr>
        <w:t>1.</w:t>
      </w:r>
      <w:r>
        <w:rPr>
          <w:noProof/>
        </w:rPr>
        <w:tab/>
      </w:r>
      <w:r w:rsidR="00845AE8" w:rsidRPr="004F01E9">
        <w:rPr>
          <w:noProof/>
        </w:rPr>
        <w:t>posilniť rámec kapitálových požiadaviek založených na rizikách bez výrazného zvýšenia celkových kapitálových požiadaviek;</w:t>
      </w:r>
    </w:p>
    <w:p w14:paraId="6386757E" w14:textId="4961DE36" w:rsidR="00845AE8" w:rsidRPr="004F01E9" w:rsidRDefault="001C4527" w:rsidP="001C4527">
      <w:pPr>
        <w:pStyle w:val="Point0"/>
        <w:rPr>
          <w:noProof/>
        </w:rPr>
      </w:pPr>
      <w:r>
        <w:rPr>
          <w:noProof/>
        </w:rPr>
        <w:t>2.</w:t>
      </w:r>
      <w:r>
        <w:rPr>
          <w:noProof/>
        </w:rPr>
        <w:tab/>
      </w:r>
      <w:r w:rsidR="00845AE8" w:rsidRPr="004F01E9">
        <w:rPr>
          <w:noProof/>
        </w:rPr>
        <w:t>rozšíriť</w:t>
      </w:r>
      <w:r w:rsidR="004F01E9">
        <w:rPr>
          <w:noProof/>
        </w:rPr>
        <w:t xml:space="preserve"> v </w:t>
      </w:r>
      <w:r w:rsidR="00845AE8" w:rsidRPr="004F01E9">
        <w:rPr>
          <w:noProof/>
        </w:rPr>
        <w:t>prudenciálnom rámci zameranie na environmentálne</w:t>
      </w:r>
      <w:r w:rsidR="004F01E9">
        <w:rPr>
          <w:noProof/>
        </w:rPr>
        <w:t xml:space="preserve"> a </w:t>
      </w:r>
      <w:r w:rsidR="00845AE8" w:rsidRPr="004F01E9">
        <w:rPr>
          <w:noProof/>
        </w:rPr>
        <w:t>sociálne riziká</w:t>
      </w:r>
      <w:r w:rsidR="004F01E9">
        <w:rPr>
          <w:noProof/>
        </w:rPr>
        <w:t xml:space="preserve"> a </w:t>
      </w:r>
      <w:r w:rsidR="00845AE8" w:rsidRPr="004F01E9">
        <w:rPr>
          <w:noProof/>
        </w:rPr>
        <w:t>riziká</w:t>
      </w:r>
      <w:r w:rsidR="004F01E9">
        <w:rPr>
          <w:noProof/>
        </w:rPr>
        <w:t xml:space="preserve"> v </w:t>
      </w:r>
      <w:r w:rsidR="00845AE8" w:rsidRPr="004F01E9">
        <w:rPr>
          <w:noProof/>
        </w:rPr>
        <w:t>oblasti správy</w:t>
      </w:r>
      <w:r w:rsidR="004F01E9">
        <w:rPr>
          <w:noProof/>
        </w:rPr>
        <w:t xml:space="preserve"> a </w:t>
      </w:r>
      <w:r w:rsidR="00845AE8" w:rsidRPr="004F01E9">
        <w:rPr>
          <w:noProof/>
        </w:rPr>
        <w:t>riadenia (ďalej len „riziká ESG“);</w:t>
      </w:r>
    </w:p>
    <w:p w14:paraId="38565C62" w14:textId="743903F1" w:rsidR="00845AE8" w:rsidRPr="004F01E9" w:rsidRDefault="001C4527" w:rsidP="001C4527">
      <w:pPr>
        <w:pStyle w:val="Point0"/>
        <w:rPr>
          <w:noProof/>
        </w:rPr>
      </w:pPr>
      <w:r>
        <w:rPr>
          <w:noProof/>
        </w:rPr>
        <w:t>3.</w:t>
      </w:r>
      <w:r>
        <w:rPr>
          <w:noProof/>
        </w:rPr>
        <w:tab/>
      </w:r>
      <w:r w:rsidR="00845AE8" w:rsidRPr="004F01E9">
        <w:rPr>
          <w:noProof/>
        </w:rPr>
        <w:t>ďalej harmonizovať právomoci</w:t>
      </w:r>
      <w:r w:rsidR="004F01E9">
        <w:rPr>
          <w:noProof/>
        </w:rPr>
        <w:t xml:space="preserve"> v </w:t>
      </w:r>
      <w:r w:rsidR="00845AE8" w:rsidRPr="004F01E9">
        <w:rPr>
          <w:noProof/>
        </w:rPr>
        <w:t>oblasti dohľadu</w:t>
      </w:r>
      <w:r w:rsidR="004F01E9">
        <w:rPr>
          <w:noProof/>
        </w:rPr>
        <w:t xml:space="preserve"> a </w:t>
      </w:r>
      <w:r w:rsidR="00845AE8" w:rsidRPr="004F01E9">
        <w:rPr>
          <w:noProof/>
        </w:rPr>
        <w:t>nástroje dohľadu; a</w:t>
      </w:r>
    </w:p>
    <w:p w14:paraId="6422F956" w14:textId="7A639B6D" w:rsidR="00845AE8" w:rsidRPr="004F01E9" w:rsidRDefault="001C4527" w:rsidP="001C4527">
      <w:pPr>
        <w:pStyle w:val="Point0"/>
        <w:rPr>
          <w:noProof/>
        </w:rPr>
      </w:pPr>
      <w:r>
        <w:rPr>
          <w:noProof/>
        </w:rPr>
        <w:t>4.</w:t>
      </w:r>
      <w:r>
        <w:rPr>
          <w:noProof/>
        </w:rPr>
        <w:tab/>
      </w:r>
      <w:r w:rsidR="00845AE8" w:rsidRPr="004F01E9">
        <w:rPr>
          <w:noProof/>
        </w:rPr>
        <w:t>znížiť administratívne náklady inštitúcií súvisiace so zverejňovaním informácií</w:t>
      </w:r>
      <w:r w:rsidR="004F01E9">
        <w:rPr>
          <w:noProof/>
        </w:rPr>
        <w:t xml:space="preserve"> a </w:t>
      </w:r>
      <w:r w:rsidR="00845AE8" w:rsidRPr="004F01E9">
        <w:rPr>
          <w:noProof/>
        </w:rPr>
        <w:t>zlepšovaním prístupu</w:t>
      </w:r>
      <w:r w:rsidR="004F01E9">
        <w:rPr>
          <w:noProof/>
        </w:rPr>
        <w:t xml:space="preserve"> k </w:t>
      </w:r>
      <w:r w:rsidR="00845AE8" w:rsidRPr="004F01E9">
        <w:rPr>
          <w:noProof/>
        </w:rPr>
        <w:t>prudenciálnym údajom inštitúcií.</w:t>
      </w:r>
    </w:p>
    <w:p w14:paraId="07808F08" w14:textId="2D4F8D14" w:rsidR="00806B81" w:rsidRPr="004F01E9" w:rsidRDefault="001C4527" w:rsidP="001C4527">
      <w:pPr>
        <w:pStyle w:val="Point0"/>
        <w:rPr>
          <w:i/>
          <w:noProof/>
        </w:rPr>
      </w:pPr>
      <w:r>
        <w:rPr>
          <w:i/>
          <w:noProof/>
        </w:rPr>
        <w:t>1.</w:t>
      </w:r>
      <w:r>
        <w:rPr>
          <w:i/>
          <w:noProof/>
        </w:rPr>
        <w:tab/>
      </w:r>
      <w:r w:rsidR="00845AE8" w:rsidRPr="004F01E9">
        <w:rPr>
          <w:i/>
          <w:noProof/>
        </w:rPr>
        <w:t>Posilniť rámec kapitálových požiadaviek založených na rizikách</w:t>
      </w:r>
    </w:p>
    <w:p w14:paraId="7F1831E8" w14:textId="535745DF" w:rsidR="00845AE8" w:rsidRPr="004F01E9" w:rsidRDefault="00845AE8" w:rsidP="00C67562">
      <w:pPr>
        <w:spacing w:after="240"/>
        <w:rPr>
          <w:rFonts w:eastAsia="Times New Roman"/>
          <w:noProof/>
        </w:rPr>
      </w:pPr>
      <w:r w:rsidRPr="004F01E9">
        <w:rPr>
          <w:noProof/>
        </w:rPr>
        <w:t>Dočasne zhoršené hospodárske podmienky nezmenili potrebu uskutočnenia tejto štrukturálnej reformy. Dokončenie reformy je potrebné</w:t>
      </w:r>
      <w:r w:rsidR="004F01E9">
        <w:rPr>
          <w:noProof/>
        </w:rPr>
        <w:t xml:space="preserve"> v </w:t>
      </w:r>
      <w:r w:rsidRPr="004F01E9">
        <w:rPr>
          <w:noProof/>
        </w:rPr>
        <w:t>záujme riešenia pretrvávajúcich problémov</w:t>
      </w:r>
      <w:r w:rsidR="004F01E9">
        <w:rPr>
          <w:noProof/>
        </w:rPr>
        <w:t xml:space="preserve"> a </w:t>
      </w:r>
      <w:r w:rsidRPr="004F01E9">
        <w:rPr>
          <w:noProof/>
        </w:rPr>
        <w:t>ďalšieho posilnenia finančného zdravia inštitúcií usadených</w:t>
      </w:r>
      <w:r w:rsidR="004F01E9">
        <w:rPr>
          <w:noProof/>
        </w:rPr>
        <w:t xml:space="preserve"> v </w:t>
      </w:r>
      <w:r w:rsidRPr="004F01E9">
        <w:rPr>
          <w:noProof/>
        </w:rPr>
        <w:t>EÚ, ich uvedenia do lepšieho postavenia, pokiaľ ide</w:t>
      </w:r>
      <w:r w:rsidR="004F01E9">
        <w:rPr>
          <w:noProof/>
        </w:rPr>
        <w:t xml:space="preserve"> o </w:t>
      </w:r>
      <w:r w:rsidRPr="004F01E9">
        <w:rPr>
          <w:noProof/>
        </w:rPr>
        <w:t>podporu hospodárskeho rastu</w:t>
      </w:r>
      <w:r w:rsidR="004F01E9">
        <w:rPr>
          <w:noProof/>
        </w:rPr>
        <w:t xml:space="preserve"> a </w:t>
      </w:r>
      <w:r w:rsidRPr="004F01E9">
        <w:rPr>
          <w:noProof/>
        </w:rPr>
        <w:t>odolávanie potenciálnym budúcim krízam. Zavedenie zostávajúcich prvkov reformy Bazilej III je potrebné aj na to, aby sa inštitúciám poskytla potrebná regulačná istota,</w:t>
      </w:r>
      <w:r w:rsidR="004F01E9">
        <w:rPr>
          <w:noProof/>
        </w:rPr>
        <w:t xml:space="preserve"> a </w:t>
      </w:r>
      <w:r w:rsidRPr="004F01E9">
        <w:rPr>
          <w:noProof/>
        </w:rPr>
        <w:t>zároveň sa dokončí desaťročia trvajúca reforma prudenciálneho rámca. Dokončenie reformy je napokon</w:t>
      </w:r>
      <w:r w:rsidR="004F01E9">
        <w:rPr>
          <w:noProof/>
        </w:rPr>
        <w:t xml:space="preserve"> v </w:t>
      </w:r>
      <w:r w:rsidRPr="004F01E9">
        <w:rPr>
          <w:noProof/>
        </w:rPr>
        <w:t>súlade so záväzkom EÚ týkajúcim sa medzinárodnej spolupráce</w:t>
      </w:r>
      <w:r w:rsidR="004F01E9">
        <w:rPr>
          <w:noProof/>
        </w:rPr>
        <w:t xml:space="preserve"> v </w:t>
      </w:r>
      <w:r w:rsidRPr="004F01E9">
        <w:rPr>
          <w:noProof/>
        </w:rPr>
        <w:t>oblasti regulácie</w:t>
      </w:r>
      <w:r w:rsidR="004F01E9">
        <w:rPr>
          <w:noProof/>
        </w:rPr>
        <w:t xml:space="preserve"> a s </w:t>
      </w:r>
      <w:r w:rsidRPr="004F01E9">
        <w:rPr>
          <w:noProof/>
        </w:rPr>
        <w:t>konkrétnymi opatreniami, ktoré niektorí jej partneri oznámili alebo už podnikli</w:t>
      </w:r>
      <w:r w:rsidR="004F01E9">
        <w:rPr>
          <w:noProof/>
        </w:rPr>
        <w:t xml:space="preserve"> s </w:t>
      </w:r>
      <w:r w:rsidRPr="004F01E9">
        <w:rPr>
          <w:noProof/>
        </w:rPr>
        <w:t>cieľom vykonať túto reformu včas</w:t>
      </w:r>
      <w:r w:rsidR="004F01E9">
        <w:rPr>
          <w:noProof/>
        </w:rPr>
        <w:t xml:space="preserve"> a </w:t>
      </w:r>
      <w:r w:rsidRPr="004F01E9">
        <w:rPr>
          <w:noProof/>
        </w:rPr>
        <w:t>poctivo.</w:t>
      </w:r>
    </w:p>
    <w:p w14:paraId="5E3F9959" w14:textId="304252A0" w:rsidR="00845AE8" w:rsidRPr="001C4527" w:rsidRDefault="001C4527" w:rsidP="001C4527">
      <w:pPr>
        <w:pStyle w:val="Point0"/>
        <w:rPr>
          <w:i/>
          <w:noProof/>
        </w:rPr>
      </w:pPr>
      <w:r w:rsidRPr="001C4527">
        <w:rPr>
          <w:i/>
          <w:noProof/>
        </w:rPr>
        <w:t>2.</w:t>
      </w:r>
      <w:r w:rsidRPr="001C4527">
        <w:rPr>
          <w:i/>
          <w:noProof/>
        </w:rPr>
        <w:tab/>
      </w:r>
      <w:r w:rsidR="00845AE8" w:rsidRPr="001C4527">
        <w:rPr>
          <w:i/>
          <w:noProof/>
        </w:rPr>
        <w:t>Zvýšiť zameranie na riziká ESG</w:t>
      </w:r>
      <w:r w:rsidR="004F01E9" w:rsidRPr="001C4527">
        <w:rPr>
          <w:i/>
          <w:noProof/>
        </w:rPr>
        <w:t xml:space="preserve"> v </w:t>
      </w:r>
      <w:r w:rsidR="00845AE8" w:rsidRPr="001C4527">
        <w:rPr>
          <w:i/>
          <w:noProof/>
        </w:rPr>
        <w:t>prudenciálnom rámci</w:t>
      </w:r>
    </w:p>
    <w:p w14:paraId="48EAE624" w14:textId="79A2DE4A" w:rsidR="00845AE8" w:rsidRPr="001C4527" w:rsidRDefault="00845AE8" w:rsidP="00ED32E4">
      <w:pPr>
        <w:pBdr>
          <w:top w:val="nil"/>
          <w:left w:val="nil"/>
          <w:bottom w:val="nil"/>
          <w:right w:val="nil"/>
          <w:between w:val="nil"/>
          <w:bar w:val="nil"/>
        </w:pBdr>
        <w:rPr>
          <w:noProof/>
          <w:spacing w:val="-4"/>
        </w:rPr>
      </w:pPr>
      <w:r w:rsidRPr="001C4527">
        <w:rPr>
          <w:noProof/>
          <w:spacing w:val="-4"/>
        </w:rPr>
        <w:t>Ďalšia rovnako dôležitá potreba reformy vyplýva</w:t>
      </w:r>
      <w:r w:rsidR="004F01E9" w:rsidRPr="001C4527">
        <w:rPr>
          <w:noProof/>
          <w:spacing w:val="-4"/>
        </w:rPr>
        <w:t xml:space="preserve"> z </w:t>
      </w:r>
      <w:r w:rsidRPr="001C4527">
        <w:rPr>
          <w:noProof/>
          <w:spacing w:val="-4"/>
        </w:rPr>
        <w:t>aktuálneho úsilia Komisie</w:t>
      </w:r>
      <w:r w:rsidR="004F01E9" w:rsidRPr="001C4527">
        <w:rPr>
          <w:noProof/>
          <w:spacing w:val="-4"/>
        </w:rPr>
        <w:t xml:space="preserve"> v </w:t>
      </w:r>
      <w:r w:rsidRPr="001C4527">
        <w:rPr>
          <w:noProof/>
          <w:spacing w:val="-4"/>
        </w:rPr>
        <w:t>oblasti prechodu na udržateľné hospodárstvo.</w:t>
      </w:r>
      <w:r w:rsidR="004F01E9" w:rsidRPr="001C4527">
        <w:rPr>
          <w:noProof/>
          <w:spacing w:val="-4"/>
        </w:rPr>
        <w:t xml:space="preserve"> V </w:t>
      </w:r>
      <w:r w:rsidRPr="001C4527">
        <w:rPr>
          <w:noProof/>
          <w:spacing w:val="-4"/>
        </w:rPr>
        <w:t>oznámení Komisie</w:t>
      </w:r>
      <w:r w:rsidR="004F01E9" w:rsidRPr="001C4527">
        <w:rPr>
          <w:noProof/>
          <w:spacing w:val="-4"/>
        </w:rPr>
        <w:t xml:space="preserve"> o </w:t>
      </w:r>
      <w:r w:rsidRPr="001C4527">
        <w:rPr>
          <w:noProof/>
          <w:spacing w:val="-4"/>
        </w:rPr>
        <w:t>Európskej zelenej dohode</w:t>
      </w:r>
      <w:r w:rsidRPr="001C4527">
        <w:rPr>
          <w:rStyle w:val="FootnoteReference0"/>
          <w:noProof/>
          <w:spacing w:val="-4"/>
        </w:rPr>
        <w:footnoteReference w:id="24"/>
      </w:r>
      <w:r w:rsidR="004F01E9" w:rsidRPr="001C4527">
        <w:rPr>
          <w:noProof/>
          <w:spacing w:val="-4"/>
        </w:rPr>
        <w:t xml:space="preserve"> a v </w:t>
      </w:r>
      <w:r w:rsidRPr="001C4527">
        <w:rPr>
          <w:noProof/>
          <w:spacing w:val="-4"/>
        </w:rPr>
        <w:t>oznámení Komisie</w:t>
      </w:r>
      <w:r w:rsidR="004F01E9" w:rsidRPr="001C4527">
        <w:rPr>
          <w:noProof/>
          <w:spacing w:val="-4"/>
        </w:rPr>
        <w:t xml:space="preserve"> o </w:t>
      </w:r>
      <w:r w:rsidRPr="001C4527">
        <w:rPr>
          <w:noProof/>
          <w:spacing w:val="-4"/>
        </w:rPr>
        <w:t>plnení cieľa EÚ</w:t>
      </w:r>
      <w:r w:rsidR="004F01E9" w:rsidRPr="001C4527">
        <w:rPr>
          <w:noProof/>
          <w:spacing w:val="-4"/>
        </w:rPr>
        <w:t xml:space="preserve"> v </w:t>
      </w:r>
      <w:r w:rsidRPr="001C4527">
        <w:rPr>
          <w:noProof/>
          <w:spacing w:val="-4"/>
        </w:rPr>
        <w:t>oblasti klímy do roku 2030 („Fit for 55“)</w:t>
      </w:r>
      <w:r w:rsidRPr="001C4527">
        <w:rPr>
          <w:rStyle w:val="FootnoteReference0"/>
          <w:noProof/>
          <w:spacing w:val="-4"/>
        </w:rPr>
        <w:footnoteReference w:id="25"/>
      </w:r>
      <w:r w:rsidRPr="001C4527">
        <w:rPr>
          <w:noProof/>
          <w:spacing w:val="-4"/>
        </w:rPr>
        <w:t xml:space="preserve"> sa jasne uvádza záväzok Komisie transformovať hospodárstvo EÚ na udržateľné hospodárstvo</w:t>
      </w:r>
      <w:r w:rsidR="004F01E9" w:rsidRPr="001C4527">
        <w:rPr>
          <w:noProof/>
          <w:spacing w:val="-4"/>
        </w:rPr>
        <w:t xml:space="preserve"> a </w:t>
      </w:r>
      <w:r w:rsidRPr="001C4527">
        <w:rPr>
          <w:noProof/>
          <w:spacing w:val="-4"/>
        </w:rPr>
        <w:t>súčasne sa zaoberať nevyhnutnými dôsledkami zmeny klímy. Komisia takisto oznámila stratégiu financovania prechodu na udržateľné hospodárstvo</w:t>
      </w:r>
      <w:r w:rsidRPr="001C4527">
        <w:rPr>
          <w:rStyle w:val="FootnoteReference0"/>
          <w:noProof/>
          <w:spacing w:val="-4"/>
        </w:rPr>
        <w:footnoteReference w:id="26"/>
      </w:r>
      <w:r w:rsidRPr="001C4527">
        <w:rPr>
          <w:noProof/>
          <w:spacing w:val="-4"/>
        </w:rPr>
        <w:t>, ktorá nadväzuje na predchádzajúce iniciatívy</w:t>
      </w:r>
      <w:r w:rsidR="004F01E9" w:rsidRPr="001C4527">
        <w:rPr>
          <w:noProof/>
          <w:spacing w:val="-4"/>
        </w:rPr>
        <w:t xml:space="preserve"> a </w:t>
      </w:r>
      <w:r w:rsidRPr="001C4527">
        <w:rPr>
          <w:noProof/>
          <w:spacing w:val="-4"/>
        </w:rPr>
        <w:t>správy, ako napr. akčný plán</w:t>
      </w:r>
      <w:r w:rsidR="004F01E9" w:rsidRPr="001C4527">
        <w:rPr>
          <w:noProof/>
          <w:spacing w:val="-4"/>
        </w:rPr>
        <w:t xml:space="preserve"> o </w:t>
      </w:r>
      <w:r w:rsidRPr="001C4527">
        <w:rPr>
          <w:noProof/>
          <w:spacing w:val="-4"/>
        </w:rPr>
        <w:t>financovaní udržateľného rastu</w:t>
      </w:r>
      <w:r w:rsidRPr="001C4527">
        <w:rPr>
          <w:rStyle w:val="FootnoteReference0"/>
          <w:noProof/>
          <w:spacing w:val="-4"/>
        </w:rPr>
        <w:footnoteReference w:id="27"/>
      </w:r>
      <w:r w:rsidR="004F01E9" w:rsidRPr="001C4527">
        <w:rPr>
          <w:noProof/>
          <w:spacing w:val="-4"/>
        </w:rPr>
        <w:t xml:space="preserve"> a </w:t>
      </w:r>
      <w:r w:rsidRPr="001C4527">
        <w:rPr>
          <w:noProof/>
          <w:spacing w:val="-4"/>
        </w:rPr>
        <w:t>správa technickej expertnej skupiny</w:t>
      </w:r>
      <w:r w:rsidR="004F01E9" w:rsidRPr="001C4527">
        <w:rPr>
          <w:noProof/>
          <w:spacing w:val="-4"/>
        </w:rPr>
        <w:t xml:space="preserve"> o </w:t>
      </w:r>
      <w:r w:rsidRPr="001C4527">
        <w:rPr>
          <w:noProof/>
          <w:spacing w:val="-4"/>
        </w:rPr>
        <w:t>udržateľnom financovaní</w:t>
      </w:r>
      <w:r w:rsidRPr="001C4527">
        <w:rPr>
          <w:rStyle w:val="FootnoteReference0"/>
          <w:noProof/>
          <w:spacing w:val="-4"/>
        </w:rPr>
        <w:footnoteReference w:id="28"/>
      </w:r>
      <w:r w:rsidRPr="001C4527">
        <w:rPr>
          <w:noProof/>
          <w:spacing w:val="-4"/>
        </w:rPr>
        <w:t>, ale posilňuje úsilie Komisie</w:t>
      </w:r>
      <w:r w:rsidR="004F01E9" w:rsidRPr="001C4527">
        <w:rPr>
          <w:noProof/>
          <w:spacing w:val="-4"/>
        </w:rPr>
        <w:t xml:space="preserve"> v </w:t>
      </w:r>
      <w:r w:rsidRPr="001C4527">
        <w:rPr>
          <w:noProof/>
          <w:spacing w:val="-4"/>
        </w:rPr>
        <w:t>tejto oblasti</w:t>
      </w:r>
      <w:r w:rsidR="004F01E9" w:rsidRPr="001C4527">
        <w:rPr>
          <w:noProof/>
          <w:spacing w:val="-4"/>
        </w:rPr>
        <w:t xml:space="preserve"> o </w:t>
      </w:r>
      <w:r w:rsidRPr="001C4527">
        <w:rPr>
          <w:noProof/>
          <w:spacing w:val="-4"/>
        </w:rPr>
        <w:t>ich uvedenie do súladu</w:t>
      </w:r>
      <w:r w:rsidR="004F01E9" w:rsidRPr="001C4527">
        <w:rPr>
          <w:noProof/>
          <w:spacing w:val="-4"/>
        </w:rPr>
        <w:t xml:space="preserve"> s </w:t>
      </w:r>
      <w:r w:rsidRPr="001C4527">
        <w:rPr>
          <w:noProof/>
          <w:spacing w:val="-4"/>
        </w:rPr>
        <w:t>ambicióznymi cieľmi Európskej zelenej dohody.</w:t>
      </w:r>
    </w:p>
    <w:p w14:paraId="67639866" w14:textId="398B936D" w:rsidR="004F01E9" w:rsidRPr="001C4527" w:rsidRDefault="00845AE8" w:rsidP="00845AE8">
      <w:pPr>
        <w:pBdr>
          <w:top w:val="nil"/>
          <w:left w:val="nil"/>
          <w:bottom w:val="nil"/>
          <w:right w:val="nil"/>
          <w:between w:val="nil"/>
          <w:bar w:val="nil"/>
        </w:pBdr>
        <w:spacing w:after="240"/>
        <w:rPr>
          <w:noProof/>
          <w:spacing w:val="-6"/>
        </w:rPr>
      </w:pPr>
      <w:r w:rsidRPr="001C4527">
        <w:rPr>
          <w:noProof/>
          <w:spacing w:val="-6"/>
        </w:rPr>
        <w:t>Sprostredkovanie prostredníctvom bánk zohrá kľúčovú úlohu pri financovaní prechodu na udržateľnejšie hospodárstvo. Prechod na udržateľnejšie hospodárstvo bude pravdepodobne zároveň znamenať riziká pre inštitúcie, ktoré budú musieť náležite riadiť</w:t>
      </w:r>
      <w:r w:rsidR="004F01E9" w:rsidRPr="001C4527">
        <w:rPr>
          <w:noProof/>
          <w:spacing w:val="-6"/>
        </w:rPr>
        <w:t xml:space="preserve"> s </w:t>
      </w:r>
      <w:r w:rsidRPr="001C4527">
        <w:rPr>
          <w:noProof/>
          <w:spacing w:val="-6"/>
        </w:rPr>
        <w:t>cieľom zabezpečiť minimalizáciu rizík pre finančnú stabilitu. A práve tu je potrebná prudenciálna regulácia, ktorá môže</w:t>
      </w:r>
      <w:r w:rsidR="004F01E9" w:rsidRPr="001C4527">
        <w:rPr>
          <w:noProof/>
          <w:spacing w:val="-6"/>
        </w:rPr>
        <w:t xml:space="preserve"> v </w:t>
      </w:r>
      <w:r w:rsidRPr="001C4527">
        <w:rPr>
          <w:noProof/>
          <w:spacing w:val="-6"/>
        </w:rPr>
        <w:t>tejto súvislosti zohrať kľúčovú úlohu. Potvrdilo sa to</w:t>
      </w:r>
      <w:r w:rsidR="004F01E9" w:rsidRPr="001C4527">
        <w:rPr>
          <w:noProof/>
          <w:spacing w:val="-6"/>
        </w:rPr>
        <w:t xml:space="preserve"> v </w:t>
      </w:r>
      <w:r w:rsidRPr="001C4527">
        <w:rPr>
          <w:noProof/>
          <w:spacing w:val="-6"/>
        </w:rPr>
        <w:t>stratégii financovania prechodu na udržateľné hospodárstvo,</w:t>
      </w:r>
      <w:r w:rsidR="004F01E9" w:rsidRPr="001C4527">
        <w:rPr>
          <w:noProof/>
          <w:spacing w:val="-6"/>
        </w:rPr>
        <w:t xml:space="preserve"> v </w:t>
      </w:r>
      <w:r w:rsidRPr="001C4527">
        <w:rPr>
          <w:noProof/>
          <w:spacing w:val="-6"/>
        </w:rPr>
        <w:t>ktorej sa poukázalo na potrebu zahrnúť lepšiu integráciu environmentálnych</w:t>
      </w:r>
      <w:r w:rsidR="004F01E9" w:rsidRPr="001C4527">
        <w:rPr>
          <w:noProof/>
          <w:spacing w:val="-6"/>
        </w:rPr>
        <w:t xml:space="preserve"> a </w:t>
      </w:r>
      <w:r w:rsidRPr="001C4527">
        <w:rPr>
          <w:noProof/>
          <w:spacing w:val="-6"/>
        </w:rPr>
        <w:t>sociálnych rizík</w:t>
      </w:r>
      <w:r w:rsidR="004F01E9" w:rsidRPr="001C4527">
        <w:rPr>
          <w:noProof/>
          <w:spacing w:val="-6"/>
        </w:rPr>
        <w:t xml:space="preserve"> a </w:t>
      </w:r>
      <w:r w:rsidRPr="001C4527">
        <w:rPr>
          <w:noProof/>
          <w:spacing w:val="-6"/>
        </w:rPr>
        <w:t>rizík</w:t>
      </w:r>
      <w:r w:rsidR="004F01E9" w:rsidRPr="001C4527">
        <w:rPr>
          <w:noProof/>
          <w:spacing w:val="-6"/>
        </w:rPr>
        <w:t xml:space="preserve"> v </w:t>
      </w:r>
      <w:r w:rsidRPr="001C4527">
        <w:rPr>
          <w:noProof/>
          <w:spacing w:val="-6"/>
        </w:rPr>
        <w:t>oblasti správy</w:t>
      </w:r>
      <w:r w:rsidR="004F01E9" w:rsidRPr="001C4527">
        <w:rPr>
          <w:noProof/>
          <w:spacing w:val="-6"/>
        </w:rPr>
        <w:t xml:space="preserve"> a </w:t>
      </w:r>
      <w:r w:rsidRPr="001C4527">
        <w:rPr>
          <w:noProof/>
          <w:spacing w:val="-6"/>
        </w:rPr>
        <w:t>riadenia (rizík ESG) do prudenciálneho rámca EÚ, keďže samotné súčasné právne požiadavky sa považujú za nedostatočné na poskytovanie stimulov na účely systematického</w:t>
      </w:r>
      <w:r w:rsidR="004F01E9" w:rsidRPr="001C4527">
        <w:rPr>
          <w:noProof/>
          <w:spacing w:val="-6"/>
        </w:rPr>
        <w:t xml:space="preserve"> a </w:t>
      </w:r>
      <w:r w:rsidRPr="001C4527">
        <w:rPr>
          <w:noProof/>
          <w:spacing w:val="-6"/>
        </w:rPr>
        <w:t>konzistentného riadenia rizík ESG inštitúciami</w:t>
      </w:r>
      <w:r w:rsidR="004F01E9" w:rsidRPr="001C4527">
        <w:rPr>
          <w:noProof/>
          <w:spacing w:val="-6"/>
        </w:rPr>
        <w:t>.</w:t>
      </w:r>
    </w:p>
    <w:p w14:paraId="74207241" w14:textId="5EC66692" w:rsidR="00806B81" w:rsidRPr="001C4527" w:rsidRDefault="001C4527" w:rsidP="001C4527">
      <w:pPr>
        <w:pStyle w:val="Point0"/>
        <w:rPr>
          <w:i/>
          <w:noProof/>
        </w:rPr>
      </w:pPr>
      <w:r w:rsidRPr="001C4527">
        <w:rPr>
          <w:i/>
          <w:noProof/>
        </w:rPr>
        <w:t>3.</w:t>
      </w:r>
      <w:r w:rsidRPr="001C4527">
        <w:rPr>
          <w:i/>
          <w:noProof/>
        </w:rPr>
        <w:tab/>
      </w:r>
      <w:r w:rsidR="00845AE8" w:rsidRPr="001C4527">
        <w:rPr>
          <w:i/>
          <w:noProof/>
        </w:rPr>
        <w:t>Ďalej harmonizovať právomoci</w:t>
      </w:r>
      <w:r w:rsidR="004F01E9" w:rsidRPr="001C4527">
        <w:rPr>
          <w:i/>
          <w:noProof/>
        </w:rPr>
        <w:t xml:space="preserve"> v </w:t>
      </w:r>
      <w:r w:rsidR="00845AE8" w:rsidRPr="001C4527">
        <w:rPr>
          <w:i/>
          <w:noProof/>
        </w:rPr>
        <w:t>oblasti dohľadu</w:t>
      </w:r>
      <w:r w:rsidR="004F01E9" w:rsidRPr="001C4527">
        <w:rPr>
          <w:i/>
          <w:noProof/>
        </w:rPr>
        <w:t xml:space="preserve"> a </w:t>
      </w:r>
      <w:r w:rsidR="00845AE8" w:rsidRPr="001C4527">
        <w:rPr>
          <w:i/>
          <w:noProof/>
        </w:rPr>
        <w:t>nástroje dohľadu</w:t>
      </w:r>
    </w:p>
    <w:p w14:paraId="6B3B4EC0" w14:textId="5FA4E869" w:rsidR="00845AE8" w:rsidRPr="001C4527" w:rsidRDefault="00845AE8" w:rsidP="00ED32E4">
      <w:pPr>
        <w:pBdr>
          <w:top w:val="nil"/>
          <w:left w:val="nil"/>
          <w:bottom w:val="nil"/>
          <w:right w:val="nil"/>
          <w:between w:val="nil"/>
          <w:bar w:val="nil"/>
        </w:pBdr>
        <w:rPr>
          <w:rFonts w:eastAsia="Arial Unicode MS"/>
          <w:noProof/>
          <w:spacing w:val="-4"/>
        </w:rPr>
      </w:pPr>
      <w:r w:rsidRPr="001C4527">
        <w:rPr>
          <w:noProof/>
          <w:spacing w:val="-4"/>
        </w:rPr>
        <w:t>Ďalšou oblasťou, na ktorú sa treba zamerať, je riadne presadzovanie prudenciálnych pravidiel. Orgány dohľadu musia mať na tento účel</w:t>
      </w:r>
      <w:r w:rsidR="004F01E9" w:rsidRPr="001C4527">
        <w:rPr>
          <w:noProof/>
          <w:spacing w:val="-4"/>
        </w:rPr>
        <w:t xml:space="preserve"> k </w:t>
      </w:r>
      <w:r w:rsidRPr="001C4527">
        <w:rPr>
          <w:noProof/>
          <w:spacing w:val="-4"/>
        </w:rPr>
        <w:t>dispozícii potrebné nástroje</w:t>
      </w:r>
      <w:r w:rsidR="004F01E9" w:rsidRPr="001C4527">
        <w:rPr>
          <w:noProof/>
          <w:spacing w:val="-4"/>
        </w:rPr>
        <w:t xml:space="preserve"> a </w:t>
      </w:r>
      <w:r w:rsidRPr="001C4527">
        <w:rPr>
          <w:noProof/>
          <w:spacing w:val="-4"/>
        </w:rPr>
        <w:t>právomoci (napr. právomoci povoľovať inštitúcie</w:t>
      </w:r>
      <w:r w:rsidR="004F01E9" w:rsidRPr="001C4527">
        <w:rPr>
          <w:noProof/>
          <w:spacing w:val="-4"/>
        </w:rPr>
        <w:t xml:space="preserve"> a </w:t>
      </w:r>
      <w:r w:rsidRPr="001C4527">
        <w:rPr>
          <w:noProof/>
          <w:spacing w:val="-4"/>
        </w:rPr>
        <w:t>ich činnosti, posudzovať vhodnosť ich vedenia alebo ukladať im sankcie</w:t>
      </w:r>
      <w:r w:rsidR="004F01E9" w:rsidRPr="001C4527">
        <w:rPr>
          <w:noProof/>
          <w:spacing w:val="-4"/>
        </w:rPr>
        <w:t xml:space="preserve"> v </w:t>
      </w:r>
      <w:r w:rsidRPr="001C4527">
        <w:rPr>
          <w:noProof/>
          <w:spacing w:val="-4"/>
        </w:rPr>
        <w:t>prípade porušenia pravidiel). Hoci právne predpisy Únie zabezpečujú minimálnu úroveň harmonizácie, súbory nástrojov</w:t>
      </w:r>
      <w:r w:rsidR="004F01E9" w:rsidRPr="001C4527">
        <w:rPr>
          <w:noProof/>
          <w:spacing w:val="-4"/>
        </w:rPr>
        <w:t xml:space="preserve"> a </w:t>
      </w:r>
      <w:r w:rsidRPr="001C4527">
        <w:rPr>
          <w:noProof/>
          <w:spacing w:val="-4"/>
        </w:rPr>
        <w:t>postupy</w:t>
      </w:r>
      <w:r w:rsidR="004F01E9" w:rsidRPr="001C4527">
        <w:rPr>
          <w:noProof/>
          <w:spacing w:val="-4"/>
        </w:rPr>
        <w:t xml:space="preserve"> v </w:t>
      </w:r>
      <w:r w:rsidRPr="001C4527">
        <w:rPr>
          <w:noProof/>
          <w:spacing w:val="-4"/>
        </w:rPr>
        <w:t>oblasti dohľadu</w:t>
      </w:r>
      <w:r w:rsidR="004F01E9" w:rsidRPr="001C4527">
        <w:rPr>
          <w:noProof/>
          <w:spacing w:val="-4"/>
        </w:rPr>
        <w:t xml:space="preserve"> v </w:t>
      </w:r>
      <w:r w:rsidRPr="001C4527">
        <w:rPr>
          <w:noProof/>
          <w:spacing w:val="-4"/>
        </w:rPr>
        <w:t>jednotlivých členských štátoch sa veľmi líšia. Toto roztrieštené regulačné prostredie</w:t>
      </w:r>
      <w:r w:rsidR="004F01E9" w:rsidRPr="001C4527">
        <w:rPr>
          <w:noProof/>
          <w:spacing w:val="-4"/>
        </w:rPr>
        <w:t xml:space="preserve"> v </w:t>
      </w:r>
      <w:r w:rsidRPr="001C4527">
        <w:rPr>
          <w:noProof/>
          <w:spacing w:val="-4"/>
        </w:rPr>
        <w:t>súvislosti</w:t>
      </w:r>
      <w:r w:rsidR="004F01E9" w:rsidRPr="001C4527">
        <w:rPr>
          <w:noProof/>
          <w:spacing w:val="-4"/>
        </w:rPr>
        <w:t xml:space="preserve"> s </w:t>
      </w:r>
      <w:r w:rsidRPr="001C4527">
        <w:rPr>
          <w:noProof/>
          <w:spacing w:val="-4"/>
        </w:rPr>
        <w:t>vymedzením určitých právomocí</w:t>
      </w:r>
      <w:r w:rsidR="004F01E9" w:rsidRPr="001C4527">
        <w:rPr>
          <w:noProof/>
          <w:spacing w:val="-4"/>
        </w:rPr>
        <w:t xml:space="preserve"> a </w:t>
      </w:r>
      <w:r w:rsidRPr="001C4527">
        <w:rPr>
          <w:noProof/>
          <w:spacing w:val="-4"/>
        </w:rPr>
        <w:t>nástrojov, ktoré majú orgány dohľadu</w:t>
      </w:r>
      <w:r w:rsidR="004F01E9" w:rsidRPr="001C4527">
        <w:rPr>
          <w:noProof/>
          <w:spacing w:val="-4"/>
        </w:rPr>
        <w:t xml:space="preserve"> k </w:t>
      </w:r>
      <w:r w:rsidRPr="001C4527">
        <w:rPr>
          <w:noProof/>
          <w:spacing w:val="-4"/>
        </w:rPr>
        <w:t>dispozícii,</w:t>
      </w:r>
      <w:r w:rsidR="004F01E9" w:rsidRPr="001C4527">
        <w:rPr>
          <w:noProof/>
          <w:spacing w:val="-4"/>
        </w:rPr>
        <w:t xml:space="preserve"> a </w:t>
      </w:r>
      <w:r w:rsidRPr="001C4527">
        <w:rPr>
          <w:noProof/>
          <w:spacing w:val="-4"/>
        </w:rPr>
        <w:t>ich uplatňovaním</w:t>
      </w:r>
      <w:r w:rsidR="004F01E9" w:rsidRPr="001C4527">
        <w:rPr>
          <w:noProof/>
          <w:spacing w:val="-4"/>
        </w:rPr>
        <w:t xml:space="preserve"> v </w:t>
      </w:r>
      <w:r w:rsidRPr="001C4527">
        <w:rPr>
          <w:noProof/>
          <w:spacing w:val="-4"/>
        </w:rPr>
        <w:t>členských štátoch oslabuje rovnaké podmienky na jednotnom trhu</w:t>
      </w:r>
      <w:r w:rsidR="004F01E9" w:rsidRPr="001C4527">
        <w:rPr>
          <w:noProof/>
          <w:spacing w:val="-4"/>
        </w:rPr>
        <w:t xml:space="preserve"> a </w:t>
      </w:r>
      <w:r w:rsidRPr="001C4527">
        <w:rPr>
          <w:noProof/>
          <w:spacing w:val="-4"/>
        </w:rPr>
        <w:t>vyvoláva pochybnosti</w:t>
      </w:r>
      <w:r w:rsidR="004F01E9" w:rsidRPr="001C4527">
        <w:rPr>
          <w:noProof/>
          <w:spacing w:val="-4"/>
        </w:rPr>
        <w:t xml:space="preserve"> o </w:t>
      </w:r>
      <w:r w:rsidRPr="001C4527">
        <w:rPr>
          <w:noProof/>
          <w:spacing w:val="-4"/>
        </w:rPr>
        <w:t>správnom</w:t>
      </w:r>
      <w:r w:rsidR="004F01E9" w:rsidRPr="001C4527">
        <w:rPr>
          <w:noProof/>
          <w:spacing w:val="-4"/>
        </w:rPr>
        <w:t xml:space="preserve"> a </w:t>
      </w:r>
      <w:r w:rsidRPr="001C4527">
        <w:rPr>
          <w:noProof/>
          <w:spacing w:val="-4"/>
        </w:rPr>
        <w:t>obozretnom riadení inštitúcií</w:t>
      </w:r>
      <w:r w:rsidR="004F01E9" w:rsidRPr="001C4527">
        <w:rPr>
          <w:noProof/>
          <w:spacing w:val="-4"/>
        </w:rPr>
        <w:t xml:space="preserve"> a </w:t>
      </w:r>
      <w:r w:rsidRPr="001C4527">
        <w:rPr>
          <w:noProof/>
          <w:spacing w:val="-4"/>
        </w:rPr>
        <w:t>dohľade nad nimi. Obzvlášť naliehavý je tento problém</w:t>
      </w:r>
      <w:r w:rsidR="004F01E9" w:rsidRPr="001C4527">
        <w:rPr>
          <w:noProof/>
          <w:spacing w:val="-4"/>
        </w:rPr>
        <w:t xml:space="preserve"> v </w:t>
      </w:r>
      <w:r w:rsidRPr="001C4527">
        <w:rPr>
          <w:noProof/>
          <w:spacing w:val="-4"/>
        </w:rPr>
        <w:t>kontexte bankovej únie. Rozdiely medzi 21 rôznymi právnymi systémami bránia jednotnému mechanizmu dohľadu</w:t>
      </w:r>
      <w:r w:rsidR="004F01E9" w:rsidRPr="001C4527">
        <w:rPr>
          <w:noProof/>
          <w:spacing w:val="-4"/>
        </w:rPr>
        <w:t xml:space="preserve"> v </w:t>
      </w:r>
      <w:r w:rsidRPr="001C4527">
        <w:rPr>
          <w:noProof/>
          <w:spacing w:val="-4"/>
        </w:rPr>
        <w:t>účinnom</w:t>
      </w:r>
      <w:r w:rsidR="004F01E9" w:rsidRPr="001C4527">
        <w:rPr>
          <w:noProof/>
          <w:spacing w:val="-4"/>
        </w:rPr>
        <w:t xml:space="preserve"> a </w:t>
      </w:r>
      <w:r w:rsidRPr="001C4527">
        <w:rPr>
          <w:noProof/>
          <w:spacing w:val="-4"/>
        </w:rPr>
        <w:t>efektívnom vykonávaní jeho funkcií. Cezhraničné bankové skupiny si okrem toho musia poradiť</w:t>
      </w:r>
      <w:r w:rsidR="004F01E9" w:rsidRPr="001C4527">
        <w:rPr>
          <w:noProof/>
          <w:spacing w:val="-4"/>
        </w:rPr>
        <w:t xml:space="preserve"> s </w:t>
      </w:r>
      <w:r w:rsidRPr="001C4527">
        <w:rPr>
          <w:noProof/>
          <w:spacing w:val="-4"/>
        </w:rPr>
        <w:t>viacerými rôznymi postupmi týkajúcimi sa rovnakého prudenciálneho problému, čím sa neprimerane zvyšujú ich administratívne náklady.</w:t>
      </w:r>
    </w:p>
    <w:p w14:paraId="5D4905D9" w14:textId="5BD16E47" w:rsidR="00845AE8" w:rsidRPr="004F01E9" w:rsidRDefault="00845AE8" w:rsidP="00ED32E4">
      <w:pPr>
        <w:pBdr>
          <w:top w:val="nil"/>
          <w:left w:val="nil"/>
          <w:bottom w:val="nil"/>
          <w:right w:val="nil"/>
          <w:between w:val="nil"/>
          <w:bar w:val="nil"/>
        </w:pBdr>
        <w:rPr>
          <w:rFonts w:eastAsia="Arial Unicode MS"/>
          <w:noProof/>
        </w:rPr>
      </w:pPr>
      <w:r w:rsidRPr="004F01E9">
        <w:rPr>
          <w:noProof/>
        </w:rPr>
        <w:t>Ďalší významný problém,</w:t>
      </w:r>
      <w:r w:rsidR="004F01E9">
        <w:rPr>
          <w:noProof/>
        </w:rPr>
        <w:t xml:space="preserve"> a </w:t>
      </w:r>
      <w:r w:rsidRPr="004F01E9">
        <w:rPr>
          <w:noProof/>
        </w:rPr>
        <w:t>to nedostatok spoľahlivého rámca EÚ pre skupiny tretích krajín, ktoré poskytujú bankové služby</w:t>
      </w:r>
      <w:r w:rsidR="004F01E9">
        <w:rPr>
          <w:noProof/>
        </w:rPr>
        <w:t xml:space="preserve"> v </w:t>
      </w:r>
      <w:r w:rsidRPr="004F01E9">
        <w:rPr>
          <w:noProof/>
        </w:rPr>
        <w:t>EÚ, nadobudol po brexite nový rozmer. Zriaďovanie pobočiek</w:t>
      </w:r>
      <w:r w:rsidR="004F01E9">
        <w:rPr>
          <w:noProof/>
        </w:rPr>
        <w:t xml:space="preserve"> z </w:t>
      </w:r>
      <w:r w:rsidRPr="004F01E9">
        <w:rPr>
          <w:noProof/>
        </w:rPr>
        <w:t>tretích krajín je hlavne predmetom vnútroštátnych právnych predpisov, ktoré sú smernicou CRD harmonizované iba vo veľmi obmedzenom rozsahu.</w:t>
      </w:r>
      <w:r w:rsidR="004F01E9">
        <w:rPr>
          <w:noProof/>
        </w:rPr>
        <w:t xml:space="preserve"> Z </w:t>
      </w:r>
      <w:r w:rsidRPr="004F01E9">
        <w:rPr>
          <w:noProof/>
        </w:rPr>
        <w:t>nedávnej správy orgánu EBA</w:t>
      </w:r>
      <w:r w:rsidRPr="004F01E9">
        <w:rPr>
          <w:rStyle w:val="FootnoteReference0"/>
          <w:noProof/>
        </w:rPr>
        <w:footnoteReference w:id="29"/>
      </w:r>
      <w:r w:rsidRPr="004F01E9">
        <w:rPr>
          <w:noProof/>
        </w:rPr>
        <w:t xml:space="preserve"> vyplýva, že toto nejednotné prudenciálne prostredie poskytuje pobočkám</w:t>
      </w:r>
      <w:r w:rsidR="004F01E9">
        <w:rPr>
          <w:noProof/>
        </w:rPr>
        <w:t xml:space="preserve"> z </w:t>
      </w:r>
      <w:r w:rsidRPr="004F01E9">
        <w:rPr>
          <w:noProof/>
        </w:rPr>
        <w:t>tretích krajín výrazné príležitosti na regulačnú arbitráž</w:t>
      </w:r>
      <w:r w:rsidR="004F01E9">
        <w:rPr>
          <w:noProof/>
        </w:rPr>
        <w:t xml:space="preserve"> s </w:t>
      </w:r>
      <w:r w:rsidRPr="004F01E9">
        <w:rPr>
          <w:noProof/>
        </w:rPr>
        <w:t>cieľom vykonávať ich bankové činnosti na jednej strane, čo má na druhej strane za následok nedostatočný dohľad</w:t>
      </w:r>
      <w:r w:rsidR="004F01E9">
        <w:rPr>
          <w:noProof/>
        </w:rPr>
        <w:t xml:space="preserve"> a </w:t>
      </w:r>
      <w:r w:rsidRPr="004F01E9">
        <w:rPr>
          <w:noProof/>
        </w:rPr>
        <w:t>zvýšenie rizík pre finančnú stabilitu pre EÚ.</w:t>
      </w:r>
    </w:p>
    <w:p w14:paraId="55723776" w14:textId="010C5850" w:rsidR="00845AE8" w:rsidRPr="004F01E9" w:rsidRDefault="00845AE8" w:rsidP="00845AE8">
      <w:pPr>
        <w:pBdr>
          <w:top w:val="nil"/>
          <w:left w:val="nil"/>
          <w:bottom w:val="nil"/>
          <w:right w:val="nil"/>
          <w:between w:val="nil"/>
          <w:bar w:val="nil"/>
        </w:pBdr>
        <w:spacing w:after="240"/>
        <w:rPr>
          <w:rFonts w:eastAsia="Arial Unicode MS"/>
          <w:noProof/>
        </w:rPr>
      </w:pPr>
      <w:r w:rsidRPr="004F01E9">
        <w:rPr>
          <w:noProof/>
        </w:rPr>
        <w:t>Orgánom dohľadu často chýbajú informácie</w:t>
      </w:r>
      <w:r w:rsidR="004F01E9">
        <w:rPr>
          <w:noProof/>
        </w:rPr>
        <w:t xml:space="preserve"> a </w:t>
      </w:r>
      <w:r w:rsidRPr="004F01E9">
        <w:rPr>
          <w:noProof/>
        </w:rPr>
        <w:t>právomoci potrebné na riešenie týchto rizík. Nedostatok podrobného vykazovania na účely dohľadu</w:t>
      </w:r>
      <w:r w:rsidR="004F01E9">
        <w:rPr>
          <w:noProof/>
        </w:rPr>
        <w:t xml:space="preserve"> a </w:t>
      </w:r>
      <w:r w:rsidRPr="004F01E9">
        <w:rPr>
          <w:noProof/>
        </w:rPr>
        <w:t>nedostatočná výmena informácií medzi orgánmi poverenými dohľadom nad rôznymi subjektmi/činnosťami skupiny</w:t>
      </w:r>
      <w:r w:rsidR="004F01E9">
        <w:rPr>
          <w:noProof/>
        </w:rPr>
        <w:t xml:space="preserve"> z </w:t>
      </w:r>
      <w:r w:rsidRPr="004F01E9">
        <w:rPr>
          <w:noProof/>
        </w:rPr>
        <w:t>tretích krajín vytvárajú slepé miesta. EÚ je jedinou veľkou jurisdikciou,</w:t>
      </w:r>
      <w:r w:rsidR="004F01E9">
        <w:rPr>
          <w:noProof/>
        </w:rPr>
        <w:t xml:space="preserve"> v </w:t>
      </w:r>
      <w:r w:rsidRPr="004F01E9">
        <w:rPr>
          <w:noProof/>
        </w:rPr>
        <w:t>ktorej orgán konsolidovaného dohľadu nemá úplný prehľad</w:t>
      </w:r>
      <w:r w:rsidR="004F01E9">
        <w:rPr>
          <w:noProof/>
        </w:rPr>
        <w:t xml:space="preserve"> o </w:t>
      </w:r>
      <w:r w:rsidRPr="004F01E9">
        <w:rPr>
          <w:noProof/>
        </w:rPr>
        <w:t>činnostiach skupín</w:t>
      </w:r>
      <w:r w:rsidR="004F01E9">
        <w:rPr>
          <w:noProof/>
        </w:rPr>
        <w:t xml:space="preserve"> z </w:t>
      </w:r>
      <w:r w:rsidRPr="004F01E9">
        <w:rPr>
          <w:noProof/>
        </w:rPr>
        <w:t>tretích krajín, ktoré fungujú prostredníctvom dcérskych spoločností aj pobočiek. Tieto nedostatky nepriaznivo ovplyvňujú rovnaké podmienky medzi skupinami</w:t>
      </w:r>
      <w:r w:rsidR="004F01E9">
        <w:rPr>
          <w:noProof/>
        </w:rPr>
        <w:t xml:space="preserve"> z </w:t>
      </w:r>
      <w:r w:rsidRPr="004F01E9">
        <w:rPr>
          <w:noProof/>
        </w:rPr>
        <w:t>tretích krajín pôsobiacimi</w:t>
      </w:r>
      <w:r w:rsidR="004F01E9">
        <w:rPr>
          <w:noProof/>
        </w:rPr>
        <w:t xml:space="preserve"> v </w:t>
      </w:r>
      <w:r w:rsidRPr="004F01E9">
        <w:rPr>
          <w:noProof/>
        </w:rPr>
        <w:t>rôznych členských štátoch, ako aj priamo medzi inštitúciami</w:t>
      </w:r>
      <w:r w:rsidR="004F01E9">
        <w:rPr>
          <w:noProof/>
        </w:rPr>
        <w:t xml:space="preserve"> s </w:t>
      </w:r>
      <w:r w:rsidRPr="004F01E9">
        <w:rPr>
          <w:noProof/>
        </w:rPr>
        <w:t>ústredím</w:t>
      </w:r>
      <w:r w:rsidR="004F01E9">
        <w:rPr>
          <w:noProof/>
        </w:rPr>
        <w:t xml:space="preserve"> v </w:t>
      </w:r>
      <w:r w:rsidRPr="004F01E9">
        <w:rPr>
          <w:noProof/>
        </w:rPr>
        <w:t>EÚ.</w:t>
      </w:r>
    </w:p>
    <w:p w14:paraId="19C69DB5" w14:textId="79302AC4" w:rsidR="00845AE8" w:rsidRPr="001C4527" w:rsidRDefault="001C4527" w:rsidP="001C4527">
      <w:pPr>
        <w:pStyle w:val="Point0"/>
        <w:rPr>
          <w:i/>
          <w:noProof/>
        </w:rPr>
      </w:pPr>
      <w:r w:rsidRPr="001C4527">
        <w:rPr>
          <w:i/>
          <w:noProof/>
        </w:rPr>
        <w:t>4.</w:t>
      </w:r>
      <w:r w:rsidRPr="001C4527">
        <w:rPr>
          <w:i/>
          <w:noProof/>
        </w:rPr>
        <w:tab/>
      </w:r>
      <w:r w:rsidR="00845AE8" w:rsidRPr="001C4527">
        <w:rPr>
          <w:i/>
          <w:noProof/>
        </w:rPr>
        <w:t>Znížiť administratívne náklady inštitúcií súvisiace so zverejňovaním informácií</w:t>
      </w:r>
      <w:r w:rsidR="004F01E9" w:rsidRPr="001C4527">
        <w:rPr>
          <w:i/>
          <w:noProof/>
        </w:rPr>
        <w:t xml:space="preserve"> a </w:t>
      </w:r>
      <w:r w:rsidR="00845AE8" w:rsidRPr="001C4527">
        <w:rPr>
          <w:i/>
          <w:noProof/>
        </w:rPr>
        <w:t>zlepšovať prístup</w:t>
      </w:r>
      <w:r w:rsidR="004F01E9" w:rsidRPr="001C4527">
        <w:rPr>
          <w:i/>
          <w:noProof/>
        </w:rPr>
        <w:t xml:space="preserve"> k </w:t>
      </w:r>
      <w:r w:rsidR="00845AE8" w:rsidRPr="001C4527">
        <w:rPr>
          <w:i/>
          <w:noProof/>
        </w:rPr>
        <w:t>prudenciálnym údajom inštitúcií</w:t>
      </w:r>
    </w:p>
    <w:p w14:paraId="739CFB8C" w14:textId="67764126" w:rsidR="00845AE8" w:rsidRPr="001C4527" w:rsidRDefault="00845AE8" w:rsidP="00845AE8">
      <w:pPr>
        <w:pBdr>
          <w:top w:val="nil"/>
          <w:left w:val="nil"/>
          <w:bottom w:val="nil"/>
          <w:right w:val="nil"/>
          <w:between w:val="nil"/>
          <w:bar w:val="nil"/>
        </w:pBdr>
        <w:spacing w:after="240"/>
        <w:rPr>
          <w:rFonts w:eastAsia="Arial Unicode MS"/>
          <w:noProof/>
          <w:spacing w:val="-4"/>
        </w:rPr>
      </w:pPr>
      <w:r w:rsidRPr="001C4527">
        <w:rPr>
          <w:noProof/>
          <w:spacing w:val="-4"/>
        </w:rPr>
        <w:t>Tento návrh je potrebný aj na ďalšie zvyšovanie trhovej disciplíny. Ide</w:t>
      </w:r>
      <w:r w:rsidR="004F01E9" w:rsidRPr="001C4527">
        <w:rPr>
          <w:noProof/>
          <w:spacing w:val="-4"/>
        </w:rPr>
        <w:t xml:space="preserve"> o </w:t>
      </w:r>
      <w:r w:rsidRPr="001C4527">
        <w:rPr>
          <w:noProof/>
          <w:spacing w:val="-4"/>
        </w:rPr>
        <w:t>ďalší dôležitý nástroj pre investorov, aby plnili svoju úlohu monitorovania správania inštitúcií. Na tento účel musia mať prístup</w:t>
      </w:r>
      <w:r w:rsidR="004F01E9" w:rsidRPr="001C4527">
        <w:rPr>
          <w:noProof/>
          <w:spacing w:val="-4"/>
        </w:rPr>
        <w:t xml:space="preserve"> k </w:t>
      </w:r>
      <w:r w:rsidRPr="001C4527">
        <w:rPr>
          <w:noProof/>
          <w:spacing w:val="-4"/>
        </w:rPr>
        <w:t>potrebným informáciám. Súčasné ťažkosti súvisiace</w:t>
      </w:r>
      <w:r w:rsidR="004F01E9" w:rsidRPr="001C4527">
        <w:rPr>
          <w:noProof/>
          <w:spacing w:val="-4"/>
        </w:rPr>
        <w:t xml:space="preserve"> s </w:t>
      </w:r>
      <w:r w:rsidRPr="001C4527">
        <w:rPr>
          <w:noProof/>
          <w:spacing w:val="-4"/>
        </w:rPr>
        <w:t>prístupom</w:t>
      </w:r>
      <w:r w:rsidR="004F01E9" w:rsidRPr="001C4527">
        <w:rPr>
          <w:noProof/>
          <w:spacing w:val="-4"/>
        </w:rPr>
        <w:t xml:space="preserve"> k </w:t>
      </w:r>
      <w:r w:rsidRPr="001C4527">
        <w:rPr>
          <w:noProof/>
          <w:spacing w:val="-4"/>
        </w:rPr>
        <w:t>prudenciálnym informáciám pripravujú účastníkov trhu</w:t>
      </w:r>
      <w:r w:rsidR="004F01E9" w:rsidRPr="001C4527">
        <w:rPr>
          <w:noProof/>
          <w:spacing w:val="-4"/>
        </w:rPr>
        <w:t xml:space="preserve"> o </w:t>
      </w:r>
      <w:r w:rsidRPr="001C4527">
        <w:rPr>
          <w:noProof/>
          <w:spacing w:val="-4"/>
        </w:rPr>
        <w:t>informácie, ktoré potrebujú</w:t>
      </w:r>
      <w:r w:rsidR="004F01E9" w:rsidRPr="001C4527">
        <w:rPr>
          <w:noProof/>
          <w:spacing w:val="-4"/>
        </w:rPr>
        <w:t xml:space="preserve"> o </w:t>
      </w:r>
      <w:r w:rsidRPr="001C4527">
        <w:rPr>
          <w:noProof/>
          <w:spacing w:val="-4"/>
        </w:rPr>
        <w:t>prudenciálnej situácii inštitúcií. To</w:t>
      </w:r>
      <w:r w:rsidR="004F01E9" w:rsidRPr="001C4527">
        <w:rPr>
          <w:noProof/>
          <w:spacing w:val="-4"/>
        </w:rPr>
        <w:t xml:space="preserve"> v </w:t>
      </w:r>
      <w:r w:rsidRPr="001C4527">
        <w:rPr>
          <w:noProof/>
          <w:spacing w:val="-4"/>
        </w:rPr>
        <w:t>konečnom dôsledku znižuje účinnosť prudenciálneho rámca pre inštitúcie</w:t>
      </w:r>
      <w:r w:rsidR="004F01E9" w:rsidRPr="001C4527">
        <w:rPr>
          <w:noProof/>
          <w:spacing w:val="-4"/>
        </w:rPr>
        <w:t xml:space="preserve"> a </w:t>
      </w:r>
      <w:r w:rsidRPr="001C4527">
        <w:rPr>
          <w:noProof/>
          <w:spacing w:val="-4"/>
        </w:rPr>
        <w:t>môže vyvolávať pochybnosti</w:t>
      </w:r>
      <w:r w:rsidR="004F01E9" w:rsidRPr="001C4527">
        <w:rPr>
          <w:noProof/>
          <w:spacing w:val="-4"/>
        </w:rPr>
        <w:t xml:space="preserve"> o </w:t>
      </w:r>
      <w:r w:rsidRPr="001C4527">
        <w:rPr>
          <w:noProof/>
          <w:spacing w:val="-4"/>
        </w:rPr>
        <w:t>odolnosti bankového sektora, najmä počas období stresu.</w:t>
      </w:r>
      <w:r w:rsidR="004F01E9" w:rsidRPr="001C4527">
        <w:rPr>
          <w:noProof/>
          <w:spacing w:val="-4"/>
        </w:rPr>
        <w:t xml:space="preserve"> Z </w:t>
      </w:r>
      <w:r w:rsidRPr="001C4527">
        <w:rPr>
          <w:noProof/>
          <w:spacing w:val="-4"/>
        </w:rPr>
        <w:t>tohto dôvodu je zámerom návrhu centralizácia zverejňovania prudenciálnych informácií</w:t>
      </w:r>
      <w:r w:rsidR="004F01E9" w:rsidRPr="001C4527">
        <w:rPr>
          <w:noProof/>
          <w:spacing w:val="-4"/>
        </w:rPr>
        <w:t xml:space="preserve"> s </w:t>
      </w:r>
      <w:r w:rsidRPr="001C4527">
        <w:rPr>
          <w:noProof/>
          <w:spacing w:val="-4"/>
        </w:rPr>
        <w:t>cieľom zlepšiť prístup</w:t>
      </w:r>
      <w:r w:rsidR="004F01E9" w:rsidRPr="001C4527">
        <w:rPr>
          <w:noProof/>
          <w:spacing w:val="-4"/>
        </w:rPr>
        <w:t xml:space="preserve"> k </w:t>
      </w:r>
      <w:r w:rsidRPr="001C4527">
        <w:rPr>
          <w:noProof/>
          <w:spacing w:val="-4"/>
        </w:rPr>
        <w:t>prudenciálnym údajom</w:t>
      </w:r>
      <w:r w:rsidR="004F01E9" w:rsidRPr="001C4527">
        <w:rPr>
          <w:noProof/>
          <w:spacing w:val="-4"/>
        </w:rPr>
        <w:t xml:space="preserve"> a </w:t>
      </w:r>
      <w:r w:rsidRPr="001C4527">
        <w:rPr>
          <w:noProof/>
          <w:spacing w:val="-4"/>
        </w:rPr>
        <w:t>porovnateľnosť</w:t>
      </w:r>
      <w:r w:rsidR="004F01E9" w:rsidRPr="001C4527">
        <w:rPr>
          <w:noProof/>
          <w:spacing w:val="-4"/>
        </w:rPr>
        <w:t xml:space="preserve"> v </w:t>
      </w:r>
      <w:r w:rsidRPr="001C4527">
        <w:rPr>
          <w:noProof/>
          <w:spacing w:val="-4"/>
        </w:rPr>
        <w:t>rámci odvetvia. Cieľom centralizácie zverejňovania informácií prostredníctvom jednotného prístupového bodu zriadeného orgánom EBA je aj zníženie administratívnej záťaže inštitúcií, najmä malých</w:t>
      </w:r>
      <w:r w:rsidR="004F01E9" w:rsidRPr="001C4527">
        <w:rPr>
          <w:noProof/>
          <w:spacing w:val="-4"/>
        </w:rPr>
        <w:t xml:space="preserve"> a </w:t>
      </w:r>
      <w:r w:rsidRPr="001C4527">
        <w:rPr>
          <w:noProof/>
          <w:spacing w:val="-4"/>
        </w:rPr>
        <w:t>menej zložitých.</w:t>
      </w:r>
    </w:p>
    <w:p w14:paraId="686B1F0C" w14:textId="09152432" w:rsidR="00845AE8" w:rsidRPr="004F01E9" w:rsidRDefault="00845AE8" w:rsidP="008A4012">
      <w:pPr>
        <w:pStyle w:val="ManualHeading2"/>
        <w:rPr>
          <w:rFonts w:eastAsia="Arial Unicode MS"/>
          <w:noProof/>
          <w:color w:val="000000"/>
          <w:u w:color="000000"/>
          <w:bdr w:val="nil"/>
        </w:rPr>
      </w:pPr>
      <w:r w:rsidRPr="004F01E9">
        <w:rPr>
          <w:noProof/>
          <w:color w:val="000000"/>
          <w:u w:color="000000"/>
          <w:bdr w:val="nil"/>
        </w:rPr>
        <w:t>•</w:t>
      </w:r>
      <w:r w:rsidRPr="004F01E9">
        <w:rPr>
          <w:noProof/>
        </w:rPr>
        <w:tab/>
        <w:t>Súlad</w:t>
      </w:r>
      <w:r w:rsidR="004F01E9">
        <w:rPr>
          <w:noProof/>
        </w:rPr>
        <w:t xml:space="preserve"> s </w:t>
      </w:r>
      <w:r w:rsidRPr="004F01E9">
        <w:rPr>
          <w:noProof/>
        </w:rPr>
        <w:t>existujúcimi ustanoveniami</w:t>
      </w:r>
      <w:r w:rsidR="004F01E9">
        <w:rPr>
          <w:noProof/>
        </w:rPr>
        <w:t xml:space="preserve"> v </w:t>
      </w:r>
      <w:r w:rsidRPr="004F01E9">
        <w:rPr>
          <w:noProof/>
        </w:rPr>
        <w:t>tejto oblasti politiky</w:t>
      </w:r>
    </w:p>
    <w:p w14:paraId="70159977" w14:textId="0150D01E" w:rsidR="00806B81" w:rsidRPr="004F01E9" w:rsidRDefault="00E74DDF" w:rsidP="00ED32E4">
      <w:pPr>
        <w:pBdr>
          <w:top w:val="nil"/>
          <w:left w:val="nil"/>
          <w:bottom w:val="nil"/>
          <w:right w:val="nil"/>
          <w:between w:val="nil"/>
          <w:bar w:val="nil"/>
        </w:pBdr>
        <w:rPr>
          <w:rFonts w:eastAsia="Arial Unicode MS"/>
          <w:noProof/>
        </w:rPr>
      </w:pPr>
      <w:r w:rsidRPr="004F01E9">
        <w:rPr>
          <w:noProof/>
        </w:rPr>
        <w:t>Viaceré prvky návrhov, ktorými sa mení nariadenie CRR aj smernica CRD, vyplývajú</w:t>
      </w:r>
      <w:r w:rsidR="004F01E9">
        <w:rPr>
          <w:noProof/>
        </w:rPr>
        <w:t xml:space="preserve"> z </w:t>
      </w:r>
      <w:r w:rsidRPr="004F01E9">
        <w:rPr>
          <w:noProof/>
        </w:rPr>
        <w:t>práce vykonanej na medzinárodnej úrovni alebo</w:t>
      </w:r>
      <w:r w:rsidR="004F01E9">
        <w:rPr>
          <w:noProof/>
        </w:rPr>
        <w:t xml:space="preserve"> z </w:t>
      </w:r>
      <w:r w:rsidRPr="004F01E9">
        <w:rPr>
          <w:noProof/>
        </w:rPr>
        <w:t>práce orgánu EBA, zatiaľ čo iné prispôsobenia prudenciálnemu rámcu začali byť potrebné vzhľadom na praktické skúsenosti získavané od vnútroštátnej transpozície</w:t>
      </w:r>
      <w:r w:rsidR="004F01E9">
        <w:rPr>
          <w:noProof/>
        </w:rPr>
        <w:t xml:space="preserve"> a </w:t>
      </w:r>
      <w:r w:rsidRPr="004F01E9">
        <w:rPr>
          <w:noProof/>
        </w:rPr>
        <w:t>začiatku uplatňovania smernice</w:t>
      </w:r>
      <w:r w:rsidR="004F01E9">
        <w:rPr>
          <w:noProof/>
        </w:rPr>
        <w:t xml:space="preserve"> o </w:t>
      </w:r>
      <w:r w:rsidRPr="004F01E9">
        <w:rPr>
          <w:noProof/>
        </w:rPr>
        <w:t>kapitálových požiadavkách,</w:t>
      </w:r>
      <w:r w:rsidR="004F01E9">
        <w:rPr>
          <w:noProof/>
        </w:rPr>
        <w:t xml:space="preserve"> a </w:t>
      </w:r>
      <w:r w:rsidRPr="004F01E9">
        <w:rPr>
          <w:noProof/>
        </w:rPr>
        <w:t>to aj</w:t>
      </w:r>
      <w:r w:rsidR="004F01E9">
        <w:rPr>
          <w:noProof/>
        </w:rPr>
        <w:t xml:space="preserve"> v </w:t>
      </w:r>
      <w:r w:rsidRPr="004F01E9">
        <w:rPr>
          <w:noProof/>
        </w:rPr>
        <w:t>súvislosti</w:t>
      </w:r>
      <w:r w:rsidR="004F01E9">
        <w:rPr>
          <w:noProof/>
        </w:rPr>
        <w:t xml:space="preserve"> s </w:t>
      </w:r>
      <w:r w:rsidRPr="004F01E9">
        <w:rPr>
          <w:noProof/>
        </w:rPr>
        <w:t>jednotným mechanizmom dohľadu (SSM).</w:t>
      </w:r>
    </w:p>
    <w:p w14:paraId="4F879582" w14:textId="552CF42E" w:rsidR="00E74DDF" w:rsidRPr="004F01E9" w:rsidRDefault="00E74DDF" w:rsidP="00E74DDF">
      <w:pPr>
        <w:pBdr>
          <w:top w:val="nil"/>
          <w:left w:val="nil"/>
          <w:bottom w:val="nil"/>
          <w:right w:val="nil"/>
          <w:between w:val="nil"/>
          <w:bar w:val="nil"/>
        </w:pBdr>
        <w:spacing w:before="0" w:after="240"/>
        <w:rPr>
          <w:rFonts w:eastAsia="Arial Unicode MS"/>
          <w:noProof/>
        </w:rPr>
      </w:pPr>
      <w:r w:rsidRPr="004F01E9">
        <w:rPr>
          <w:noProof/>
        </w:rPr>
        <w:t>Návrhmi sa zavádzajú zmeny existujúcich právnych predpisov, ktoré sú úplnom súlade</w:t>
      </w:r>
      <w:r w:rsidR="004F01E9">
        <w:rPr>
          <w:noProof/>
        </w:rPr>
        <w:t xml:space="preserve"> s </w:t>
      </w:r>
      <w:r w:rsidRPr="004F01E9">
        <w:rPr>
          <w:noProof/>
        </w:rPr>
        <w:t>existujúcimi ustanoveniami politík</w:t>
      </w:r>
      <w:r w:rsidR="004F01E9">
        <w:rPr>
          <w:noProof/>
        </w:rPr>
        <w:t xml:space="preserve"> v </w:t>
      </w:r>
      <w:r w:rsidRPr="004F01E9">
        <w:rPr>
          <w:noProof/>
        </w:rPr>
        <w:t>oblasti prudenciálnej regulácie</w:t>
      </w:r>
      <w:r w:rsidR="004F01E9">
        <w:rPr>
          <w:noProof/>
        </w:rPr>
        <w:t xml:space="preserve"> a </w:t>
      </w:r>
      <w:r w:rsidRPr="004F01E9">
        <w:rPr>
          <w:noProof/>
        </w:rPr>
        <w:t>dohľadu nad inštitúciami. Preskúmanie nariadenia CRR</w:t>
      </w:r>
      <w:r w:rsidR="004F01E9">
        <w:rPr>
          <w:noProof/>
        </w:rPr>
        <w:t xml:space="preserve"> a </w:t>
      </w:r>
      <w:r w:rsidRPr="004F01E9">
        <w:rPr>
          <w:noProof/>
        </w:rPr>
        <w:t>smernice CRD má za cieľ dokončenie vykonania reformy Bazilej III</w:t>
      </w:r>
      <w:r w:rsidR="004F01E9">
        <w:rPr>
          <w:noProof/>
        </w:rPr>
        <w:t xml:space="preserve"> v </w:t>
      </w:r>
      <w:r w:rsidRPr="004F01E9">
        <w:rPr>
          <w:noProof/>
        </w:rPr>
        <w:t>EÚ, ako aj posilnenie</w:t>
      </w:r>
      <w:r w:rsidR="004F01E9">
        <w:rPr>
          <w:noProof/>
        </w:rPr>
        <w:t xml:space="preserve"> a </w:t>
      </w:r>
      <w:r w:rsidRPr="004F01E9">
        <w:rPr>
          <w:noProof/>
        </w:rPr>
        <w:t>harmonizáciu nástrojov</w:t>
      </w:r>
      <w:r w:rsidR="004F01E9">
        <w:rPr>
          <w:noProof/>
        </w:rPr>
        <w:t xml:space="preserve"> a </w:t>
      </w:r>
      <w:r w:rsidRPr="004F01E9">
        <w:rPr>
          <w:noProof/>
        </w:rPr>
        <w:t>právomocí</w:t>
      </w:r>
      <w:r w:rsidR="004F01E9">
        <w:rPr>
          <w:noProof/>
        </w:rPr>
        <w:t xml:space="preserve"> v </w:t>
      </w:r>
      <w:r w:rsidRPr="004F01E9">
        <w:rPr>
          <w:noProof/>
        </w:rPr>
        <w:t>oblasti dohľadu. Tieto opatrenia sú potrebné na ďalšie posilnenie odolnosti bankového sektora.</w:t>
      </w:r>
    </w:p>
    <w:p w14:paraId="1F7F8042" w14:textId="2504EA75" w:rsidR="00845AE8" w:rsidRPr="004F01E9" w:rsidRDefault="00845AE8" w:rsidP="008A4012">
      <w:pPr>
        <w:pStyle w:val="ManualHeading2"/>
        <w:rPr>
          <w:rFonts w:eastAsia="Arial Unicode MS"/>
          <w:noProof/>
        </w:rPr>
      </w:pPr>
      <w:r w:rsidRPr="004F01E9">
        <w:rPr>
          <w:noProof/>
          <w:color w:val="000000"/>
          <w:u w:color="000000"/>
          <w:bdr w:val="nil"/>
        </w:rPr>
        <w:t>•</w:t>
      </w:r>
      <w:r w:rsidRPr="004F01E9">
        <w:rPr>
          <w:noProof/>
        </w:rPr>
        <w:tab/>
        <w:t>Súlad</w:t>
      </w:r>
      <w:r w:rsidR="004F01E9">
        <w:rPr>
          <w:noProof/>
        </w:rPr>
        <w:t xml:space="preserve"> s </w:t>
      </w:r>
      <w:r w:rsidRPr="004F01E9">
        <w:rPr>
          <w:noProof/>
        </w:rPr>
        <w:t>ostatnými politikami Únie</w:t>
      </w:r>
    </w:p>
    <w:p w14:paraId="79682A42" w14:textId="55053FDD" w:rsidR="00E74DDF" w:rsidRPr="001C4527" w:rsidRDefault="00E74DDF" w:rsidP="00ED32E4">
      <w:pPr>
        <w:pBdr>
          <w:top w:val="nil"/>
          <w:left w:val="nil"/>
          <w:bottom w:val="nil"/>
          <w:right w:val="nil"/>
          <w:between w:val="nil"/>
          <w:bar w:val="nil"/>
        </w:pBdr>
        <w:rPr>
          <w:rFonts w:eastAsia="Arial Unicode MS"/>
          <w:noProof/>
          <w:spacing w:val="-4"/>
        </w:rPr>
      </w:pPr>
      <w:r w:rsidRPr="001C4527">
        <w:rPr>
          <w:noProof/>
          <w:spacing w:val="-4"/>
        </w:rPr>
        <w:t>Takmer desať rokov uplynulo od dohody hláv štátov</w:t>
      </w:r>
      <w:r w:rsidR="004F01E9" w:rsidRPr="001C4527">
        <w:rPr>
          <w:noProof/>
          <w:spacing w:val="-4"/>
        </w:rPr>
        <w:t xml:space="preserve"> a </w:t>
      </w:r>
      <w:r w:rsidRPr="001C4527">
        <w:rPr>
          <w:noProof/>
          <w:spacing w:val="-4"/>
        </w:rPr>
        <w:t>predsedov vlád európskych štátov</w:t>
      </w:r>
      <w:r w:rsidR="004F01E9" w:rsidRPr="001C4527">
        <w:rPr>
          <w:noProof/>
          <w:spacing w:val="-4"/>
        </w:rPr>
        <w:t xml:space="preserve"> o </w:t>
      </w:r>
      <w:r w:rsidRPr="001C4527">
        <w:rPr>
          <w:noProof/>
          <w:spacing w:val="-4"/>
        </w:rPr>
        <w:t>vytvorení bankovej únie. Dva piliere bankovej únie – jednotný dohľad</w:t>
      </w:r>
      <w:r w:rsidR="004F01E9" w:rsidRPr="001C4527">
        <w:rPr>
          <w:noProof/>
          <w:spacing w:val="-4"/>
        </w:rPr>
        <w:t xml:space="preserve"> a </w:t>
      </w:r>
      <w:r w:rsidRPr="001C4527">
        <w:rPr>
          <w:noProof/>
          <w:spacing w:val="-4"/>
        </w:rPr>
        <w:t>jednotné riešenie krízových situácií – sú zavedené</w:t>
      </w:r>
      <w:r w:rsidR="004F01E9" w:rsidRPr="001C4527">
        <w:rPr>
          <w:noProof/>
          <w:spacing w:val="-4"/>
        </w:rPr>
        <w:t xml:space="preserve"> a </w:t>
      </w:r>
      <w:r w:rsidRPr="001C4527">
        <w:rPr>
          <w:noProof/>
          <w:spacing w:val="-4"/>
        </w:rPr>
        <w:t>spočívajú na pevnom základe jednotného súboru pravidiel pre všetky inštitúcie</w:t>
      </w:r>
      <w:r w:rsidR="004F01E9" w:rsidRPr="001C4527">
        <w:rPr>
          <w:noProof/>
          <w:spacing w:val="-4"/>
        </w:rPr>
        <w:t xml:space="preserve"> v </w:t>
      </w:r>
      <w:r w:rsidRPr="001C4527">
        <w:rPr>
          <w:noProof/>
          <w:spacing w:val="-4"/>
        </w:rPr>
        <w:t>EÚ.</w:t>
      </w:r>
    </w:p>
    <w:p w14:paraId="2C2A0E5A" w14:textId="3A35001B" w:rsidR="00E74DDF" w:rsidRPr="001C4527" w:rsidRDefault="00E74DDF" w:rsidP="00ED32E4">
      <w:pPr>
        <w:pBdr>
          <w:top w:val="nil"/>
          <w:left w:val="nil"/>
          <w:bottom w:val="nil"/>
          <w:right w:val="nil"/>
          <w:between w:val="nil"/>
          <w:bar w:val="nil"/>
        </w:pBdr>
        <w:rPr>
          <w:rFonts w:eastAsia="Arial Unicode MS"/>
          <w:noProof/>
          <w:spacing w:val="-4"/>
        </w:rPr>
      </w:pPr>
      <w:r w:rsidRPr="001C4527">
        <w:rPr>
          <w:noProof/>
          <w:spacing w:val="-4"/>
        </w:rPr>
        <w:t>Cieľom návrhov je zabezpečiť pokračovanie platnosti jednotného súboru pravidiel pre všetky inštitúcie</w:t>
      </w:r>
      <w:r w:rsidR="004F01E9" w:rsidRPr="001C4527">
        <w:rPr>
          <w:noProof/>
          <w:spacing w:val="-4"/>
        </w:rPr>
        <w:t xml:space="preserve"> v </w:t>
      </w:r>
      <w:r w:rsidRPr="001C4527">
        <w:rPr>
          <w:noProof/>
          <w:spacing w:val="-4"/>
        </w:rPr>
        <w:t>EÚ, či už</w:t>
      </w:r>
      <w:r w:rsidR="004F01E9" w:rsidRPr="001C4527">
        <w:rPr>
          <w:noProof/>
          <w:spacing w:val="-4"/>
        </w:rPr>
        <w:t xml:space="preserve"> v </w:t>
      </w:r>
      <w:r w:rsidRPr="001C4527">
        <w:rPr>
          <w:noProof/>
          <w:spacing w:val="-4"/>
        </w:rPr>
        <w:t>bankovej únii alebo mimo nej. Celkové ciele uvedenej iniciatívy sú</w:t>
      </w:r>
      <w:r w:rsidR="004F01E9" w:rsidRPr="001C4527">
        <w:rPr>
          <w:noProof/>
          <w:spacing w:val="-4"/>
        </w:rPr>
        <w:t xml:space="preserve"> v </w:t>
      </w:r>
      <w:r w:rsidRPr="001C4527">
        <w:rPr>
          <w:noProof/>
          <w:spacing w:val="-4"/>
        </w:rPr>
        <w:t>plnej miere konzistentné</w:t>
      </w:r>
      <w:r w:rsidR="004F01E9" w:rsidRPr="001C4527">
        <w:rPr>
          <w:noProof/>
          <w:spacing w:val="-4"/>
        </w:rPr>
        <w:t xml:space="preserve"> a </w:t>
      </w:r>
      <w:r w:rsidRPr="001C4527">
        <w:rPr>
          <w:noProof/>
          <w:spacing w:val="-4"/>
        </w:rPr>
        <w:t>koherentné so základnými cieľmi EÚ, ktorými sú podpora finančnej stability, zníženie pravdepodobnosti</w:t>
      </w:r>
      <w:r w:rsidR="004F01E9" w:rsidRPr="001C4527">
        <w:rPr>
          <w:noProof/>
          <w:spacing w:val="-4"/>
        </w:rPr>
        <w:t xml:space="preserve"> a </w:t>
      </w:r>
      <w:r w:rsidRPr="001C4527">
        <w:rPr>
          <w:noProof/>
          <w:spacing w:val="-4"/>
        </w:rPr>
        <w:t>rozsahu podpory daňových poplatníkov</w:t>
      </w:r>
      <w:r w:rsidR="004F01E9" w:rsidRPr="001C4527">
        <w:rPr>
          <w:noProof/>
          <w:spacing w:val="-4"/>
        </w:rPr>
        <w:t xml:space="preserve"> v </w:t>
      </w:r>
      <w:r w:rsidRPr="001C4527">
        <w:rPr>
          <w:noProof/>
          <w:spacing w:val="-4"/>
        </w:rPr>
        <w:t>prípade riešenia krízy</w:t>
      </w:r>
      <w:r w:rsidR="004F01E9" w:rsidRPr="001C4527">
        <w:rPr>
          <w:noProof/>
          <w:spacing w:val="-4"/>
        </w:rPr>
        <w:t xml:space="preserve"> v </w:t>
      </w:r>
      <w:r w:rsidRPr="001C4527">
        <w:rPr>
          <w:noProof/>
          <w:spacing w:val="-4"/>
        </w:rPr>
        <w:t>inštitúcii, ako aj prínos</w:t>
      </w:r>
      <w:r w:rsidR="004F01E9" w:rsidRPr="001C4527">
        <w:rPr>
          <w:noProof/>
          <w:spacing w:val="-4"/>
        </w:rPr>
        <w:t xml:space="preserve"> k </w:t>
      </w:r>
      <w:r w:rsidRPr="001C4527">
        <w:rPr>
          <w:noProof/>
          <w:spacing w:val="-4"/>
        </w:rPr>
        <w:t>harmonickému</w:t>
      </w:r>
      <w:r w:rsidR="004F01E9" w:rsidRPr="001C4527">
        <w:rPr>
          <w:noProof/>
          <w:spacing w:val="-4"/>
        </w:rPr>
        <w:t xml:space="preserve"> a </w:t>
      </w:r>
      <w:r w:rsidRPr="001C4527">
        <w:rPr>
          <w:noProof/>
          <w:spacing w:val="-4"/>
        </w:rPr>
        <w:t>udržateľnému financovaniu hospodárskej činnosti, ktoré vedie</w:t>
      </w:r>
      <w:r w:rsidR="004F01E9" w:rsidRPr="001C4527">
        <w:rPr>
          <w:noProof/>
          <w:spacing w:val="-4"/>
        </w:rPr>
        <w:t xml:space="preserve"> k </w:t>
      </w:r>
      <w:r w:rsidRPr="001C4527">
        <w:rPr>
          <w:noProof/>
          <w:spacing w:val="-4"/>
        </w:rPr>
        <w:t>vysokej úrovni konkurencieschopnosti</w:t>
      </w:r>
      <w:r w:rsidR="004F01E9" w:rsidRPr="001C4527">
        <w:rPr>
          <w:noProof/>
          <w:spacing w:val="-4"/>
        </w:rPr>
        <w:t xml:space="preserve"> a </w:t>
      </w:r>
      <w:r w:rsidRPr="001C4527">
        <w:rPr>
          <w:noProof/>
          <w:spacing w:val="-4"/>
        </w:rPr>
        <w:t>ochrany spotrebiteľa.</w:t>
      </w:r>
    </w:p>
    <w:p w14:paraId="423922AF" w14:textId="13E973EA" w:rsidR="004F01E9" w:rsidRDefault="00E74DDF" w:rsidP="008A4012">
      <w:pPr>
        <w:pBdr>
          <w:top w:val="nil"/>
          <w:left w:val="nil"/>
          <w:bottom w:val="nil"/>
          <w:right w:val="nil"/>
          <w:between w:val="nil"/>
          <w:bar w:val="nil"/>
        </w:pBdr>
        <w:spacing w:before="0" w:after="240"/>
        <w:rPr>
          <w:noProof/>
          <w:color w:val="000000"/>
          <w:bdr w:val="none" w:sz="0" w:space="0" w:color="auto" w:frame="1"/>
          <w:shd w:val="clear" w:color="auto" w:fill="FFFFFF"/>
        </w:rPr>
      </w:pPr>
      <w:r w:rsidRPr="004F01E9">
        <w:rPr>
          <w:noProof/>
        </w:rPr>
        <w:t>A napokon, uznaním rizík ESG</w:t>
      </w:r>
      <w:r w:rsidR="004F01E9">
        <w:rPr>
          <w:noProof/>
        </w:rPr>
        <w:t xml:space="preserve"> a </w:t>
      </w:r>
      <w:r w:rsidRPr="004F01E9">
        <w:rPr>
          <w:noProof/>
        </w:rPr>
        <w:t>začlenením prvkov súvisiacich</w:t>
      </w:r>
      <w:r w:rsidR="004F01E9">
        <w:rPr>
          <w:noProof/>
        </w:rPr>
        <w:t xml:space="preserve"> s </w:t>
      </w:r>
      <w:r w:rsidRPr="004F01E9">
        <w:rPr>
          <w:noProof/>
        </w:rPr>
        <w:t>rizikami ESG do prudenciálneho rámca táto iniciatíva dopĺňa širšiu stratégiu EÚ</w:t>
      </w:r>
      <w:r w:rsidR="004F01E9">
        <w:rPr>
          <w:noProof/>
        </w:rPr>
        <w:t xml:space="preserve"> v </w:t>
      </w:r>
      <w:r w:rsidRPr="004F01E9">
        <w:rPr>
          <w:noProof/>
        </w:rPr>
        <w:t>oblasti udržateľnejšieho</w:t>
      </w:r>
      <w:r w:rsidR="004F01E9">
        <w:rPr>
          <w:noProof/>
        </w:rPr>
        <w:t xml:space="preserve"> a </w:t>
      </w:r>
      <w:r w:rsidRPr="004F01E9">
        <w:rPr>
          <w:noProof/>
        </w:rPr>
        <w:t>odolnejšieho finančného systému.</w:t>
      </w:r>
      <w:r w:rsidRPr="004F01E9">
        <w:rPr>
          <w:noProof/>
          <w:color w:val="000000"/>
          <w:bdr w:val="none" w:sz="0" w:space="0" w:color="auto" w:frame="1"/>
          <w:shd w:val="clear" w:color="auto" w:fill="FFFFFF"/>
        </w:rPr>
        <w:t xml:space="preserve"> Iniciatíva prispeje</w:t>
      </w:r>
      <w:r w:rsidR="004F01E9">
        <w:rPr>
          <w:noProof/>
          <w:color w:val="000000"/>
          <w:bdr w:val="none" w:sz="0" w:space="0" w:color="auto" w:frame="1"/>
          <w:shd w:val="clear" w:color="auto" w:fill="FFFFFF"/>
        </w:rPr>
        <w:t xml:space="preserve"> k </w:t>
      </w:r>
      <w:r w:rsidRPr="004F01E9">
        <w:rPr>
          <w:noProof/>
          <w:color w:val="000000"/>
          <w:bdr w:val="none" w:sz="0" w:space="0" w:color="auto" w:frame="1"/>
          <w:shd w:val="clear" w:color="auto" w:fill="FFFFFF"/>
        </w:rPr>
        <w:t>cieľu Európskej zelenej dohody, ktorým je riadenie klimatických rizík</w:t>
      </w:r>
      <w:r w:rsidR="004F01E9">
        <w:rPr>
          <w:noProof/>
          <w:color w:val="000000"/>
          <w:bdr w:val="none" w:sz="0" w:space="0" w:color="auto" w:frame="1"/>
          <w:shd w:val="clear" w:color="auto" w:fill="FFFFFF"/>
        </w:rPr>
        <w:t xml:space="preserve"> a </w:t>
      </w:r>
      <w:r w:rsidRPr="004F01E9">
        <w:rPr>
          <w:noProof/>
          <w:color w:val="000000"/>
          <w:bdr w:val="none" w:sz="0" w:space="0" w:color="auto" w:frame="1"/>
          <w:shd w:val="clear" w:color="auto" w:fill="FFFFFF"/>
        </w:rPr>
        <w:t>ich začlenenie do finančného systému</w:t>
      </w:r>
      <w:r w:rsidR="004F01E9">
        <w:rPr>
          <w:noProof/>
          <w:color w:val="000000"/>
          <w:bdr w:val="none" w:sz="0" w:space="0" w:color="auto" w:frame="1"/>
          <w:shd w:val="clear" w:color="auto" w:fill="FFFFFF"/>
        </w:rPr>
        <w:t xml:space="preserve"> a </w:t>
      </w:r>
      <w:r w:rsidRPr="004F01E9">
        <w:rPr>
          <w:noProof/>
          <w:color w:val="000000"/>
          <w:bdr w:val="none" w:sz="0" w:space="0" w:color="auto" w:frame="1"/>
          <w:shd w:val="clear" w:color="auto" w:fill="FFFFFF"/>
        </w:rPr>
        <w:t>strategických oblastí činnosti uvedených</w:t>
      </w:r>
      <w:r w:rsidR="004F01E9">
        <w:rPr>
          <w:noProof/>
          <w:color w:val="000000"/>
          <w:bdr w:val="none" w:sz="0" w:space="0" w:color="auto" w:frame="1"/>
          <w:shd w:val="clear" w:color="auto" w:fill="FFFFFF"/>
        </w:rPr>
        <w:t xml:space="preserve"> v </w:t>
      </w:r>
      <w:r w:rsidRPr="004F01E9">
        <w:rPr>
          <w:noProof/>
          <w:color w:val="000000"/>
          <w:bdr w:val="none" w:sz="0" w:space="0" w:color="auto" w:frame="1"/>
          <w:shd w:val="clear" w:color="auto" w:fill="FFFFFF"/>
        </w:rPr>
        <w:t>správe</w:t>
      </w:r>
      <w:r w:rsidR="004F01E9">
        <w:rPr>
          <w:noProof/>
          <w:color w:val="000000"/>
          <w:bdr w:val="none" w:sz="0" w:space="0" w:color="auto" w:frame="1"/>
          <w:shd w:val="clear" w:color="auto" w:fill="FFFFFF"/>
        </w:rPr>
        <w:t xml:space="preserve"> o </w:t>
      </w:r>
      <w:r w:rsidRPr="004F01E9">
        <w:rPr>
          <w:noProof/>
          <w:color w:val="000000"/>
          <w:bdr w:val="none" w:sz="0" w:space="0" w:color="auto" w:frame="1"/>
          <w:shd w:val="clear" w:color="auto" w:fill="FFFFFF"/>
        </w:rPr>
        <w:t>strategickom výhľade za rok 2021</w:t>
      </w:r>
      <w:r w:rsidRPr="004F01E9">
        <w:rPr>
          <w:rStyle w:val="FootnoteReference0"/>
          <w:rFonts w:eastAsia="Arial Unicode MS"/>
          <w:noProof/>
        </w:rPr>
        <w:footnoteReference w:id="30"/>
      </w:r>
      <w:r w:rsidR="004F01E9">
        <w:rPr>
          <w:noProof/>
          <w:color w:val="000000"/>
          <w:bdr w:val="none" w:sz="0" w:space="0" w:color="auto" w:frame="1"/>
          <w:shd w:val="clear" w:color="auto" w:fill="FFFFFF"/>
        </w:rPr>
        <w:t>.</w:t>
      </w:r>
    </w:p>
    <w:p w14:paraId="07F9D3A2" w14:textId="72DA77F7" w:rsidR="00845AE8" w:rsidRPr="004F01E9" w:rsidRDefault="00845AE8" w:rsidP="008A4012">
      <w:pPr>
        <w:pStyle w:val="ManualHeading1"/>
        <w:rPr>
          <w:noProof/>
        </w:rPr>
      </w:pPr>
      <w:r w:rsidRPr="004F01E9">
        <w:rPr>
          <w:noProof/>
        </w:rPr>
        <w:t>2.</w:t>
      </w:r>
      <w:r w:rsidRPr="004F01E9">
        <w:rPr>
          <w:noProof/>
        </w:rPr>
        <w:tab/>
        <w:t>PRÁVNY ZÁKLAD, SUBSIDIARITA A PROPORCIONALITA</w:t>
      </w:r>
    </w:p>
    <w:p w14:paraId="1638B3EA" w14:textId="77777777" w:rsidR="00845AE8" w:rsidRPr="004F01E9" w:rsidRDefault="00845AE8" w:rsidP="008A4012">
      <w:pPr>
        <w:pStyle w:val="ManualHeading2"/>
        <w:rPr>
          <w:rFonts w:eastAsia="Arial Unicode MS"/>
          <w:noProof/>
          <w:u w:color="000000"/>
          <w:bdr w:val="nil"/>
        </w:rPr>
      </w:pPr>
      <w:r w:rsidRPr="004F01E9">
        <w:rPr>
          <w:noProof/>
          <w:color w:val="000000"/>
          <w:u w:color="000000"/>
          <w:bdr w:val="nil"/>
        </w:rPr>
        <w:t>•</w:t>
      </w:r>
      <w:r w:rsidRPr="004F01E9">
        <w:rPr>
          <w:noProof/>
        </w:rPr>
        <w:tab/>
        <w:t>Právny základ</w:t>
      </w:r>
    </w:p>
    <w:p w14:paraId="70DF7CE6" w14:textId="6A8F5AD6" w:rsidR="00806B81" w:rsidRPr="004F01E9" w:rsidRDefault="00E74DDF" w:rsidP="00E74DDF">
      <w:pPr>
        <w:rPr>
          <w:noProof/>
        </w:rPr>
      </w:pPr>
      <w:r w:rsidRPr="004F01E9">
        <w:rPr>
          <w:noProof/>
        </w:rPr>
        <w:t>V návrhu sa uvažuje</w:t>
      </w:r>
      <w:r w:rsidR="004F01E9">
        <w:rPr>
          <w:noProof/>
        </w:rPr>
        <w:t xml:space="preserve"> o </w:t>
      </w:r>
      <w:r w:rsidRPr="004F01E9">
        <w:rPr>
          <w:noProof/>
        </w:rPr>
        <w:t>činnostiach na vytvorenie rámca na začatie</w:t>
      </w:r>
      <w:r w:rsidR="004F01E9">
        <w:rPr>
          <w:noProof/>
        </w:rPr>
        <w:t xml:space="preserve"> a </w:t>
      </w:r>
      <w:r w:rsidRPr="004F01E9">
        <w:rPr>
          <w:noProof/>
        </w:rPr>
        <w:t>vykonávanie činností inštitúcií</w:t>
      </w:r>
      <w:r w:rsidR="004F01E9">
        <w:rPr>
          <w:noProof/>
        </w:rPr>
        <w:t xml:space="preserve"> v </w:t>
      </w:r>
      <w:r w:rsidRPr="004F01E9">
        <w:rPr>
          <w:noProof/>
        </w:rPr>
        <w:t>rámci Únie</w:t>
      </w:r>
      <w:r w:rsidR="004F01E9">
        <w:rPr>
          <w:noProof/>
        </w:rPr>
        <w:t xml:space="preserve"> a </w:t>
      </w:r>
      <w:r w:rsidRPr="004F01E9">
        <w:rPr>
          <w:noProof/>
        </w:rPr>
        <w:t>na dohľad nad nimi</w:t>
      </w:r>
      <w:r w:rsidR="004F01E9">
        <w:rPr>
          <w:noProof/>
        </w:rPr>
        <w:t xml:space="preserve"> s </w:t>
      </w:r>
      <w:r w:rsidRPr="004F01E9">
        <w:rPr>
          <w:noProof/>
        </w:rPr>
        <w:t>cieľom zabezpečiť stabilitu jednotného trhu. Bankový sektor</w:t>
      </w:r>
      <w:r w:rsidR="004F01E9">
        <w:rPr>
          <w:noProof/>
        </w:rPr>
        <w:t xml:space="preserve"> v </w:t>
      </w:r>
      <w:r w:rsidRPr="004F01E9">
        <w:rPr>
          <w:noProof/>
        </w:rPr>
        <w:t>súčasnosti zabezpečuje najväčšiu časť financovania</w:t>
      </w:r>
      <w:r w:rsidR="004F01E9">
        <w:rPr>
          <w:noProof/>
        </w:rPr>
        <w:t xml:space="preserve"> v </w:t>
      </w:r>
      <w:r w:rsidRPr="004F01E9">
        <w:rPr>
          <w:noProof/>
        </w:rPr>
        <w:t>rámci jednotného trhu,</w:t>
      </w:r>
      <w:r w:rsidR="004F01E9">
        <w:rPr>
          <w:noProof/>
        </w:rPr>
        <w:t xml:space="preserve"> v </w:t>
      </w:r>
      <w:r w:rsidRPr="004F01E9">
        <w:rPr>
          <w:noProof/>
        </w:rPr>
        <w:t>dôsledku čoho je jednou</w:t>
      </w:r>
      <w:r w:rsidR="004F01E9">
        <w:rPr>
          <w:noProof/>
        </w:rPr>
        <w:t xml:space="preserve"> z </w:t>
      </w:r>
      <w:r w:rsidRPr="004F01E9">
        <w:rPr>
          <w:noProof/>
        </w:rPr>
        <w:t>hlavných zložiek finančného systému Únie. Únia má jasný mandát konať</w:t>
      </w:r>
      <w:r w:rsidR="004F01E9">
        <w:rPr>
          <w:noProof/>
        </w:rPr>
        <w:t xml:space="preserve"> v </w:t>
      </w:r>
      <w:r w:rsidRPr="004F01E9">
        <w:rPr>
          <w:noProof/>
        </w:rPr>
        <w:t>oblasti jednotného trhu</w:t>
      </w:r>
      <w:r w:rsidR="004F01E9">
        <w:rPr>
          <w:noProof/>
        </w:rPr>
        <w:t xml:space="preserve"> a </w:t>
      </w:r>
      <w:r w:rsidRPr="004F01E9">
        <w:rPr>
          <w:noProof/>
        </w:rPr>
        <w:t>primeraný právny základ pozostáva</w:t>
      </w:r>
      <w:r w:rsidR="004F01E9">
        <w:rPr>
          <w:noProof/>
        </w:rPr>
        <w:t xml:space="preserve"> s </w:t>
      </w:r>
      <w:r w:rsidRPr="004F01E9">
        <w:rPr>
          <w:noProof/>
        </w:rPr>
        <w:t>príslušných článkov zmluvy</w:t>
      </w:r>
      <w:r w:rsidRPr="004F01E9">
        <w:rPr>
          <w:rStyle w:val="FootnoteReference0"/>
          <w:noProof/>
        </w:rPr>
        <w:footnoteReference w:id="31"/>
      </w:r>
      <w:r w:rsidRPr="004F01E9">
        <w:rPr>
          <w:noProof/>
        </w:rPr>
        <w:t xml:space="preserve"> podporujúcich právomoci Únie</w:t>
      </w:r>
      <w:r w:rsidR="004F01E9">
        <w:rPr>
          <w:noProof/>
        </w:rPr>
        <w:t xml:space="preserve"> v </w:t>
      </w:r>
      <w:r w:rsidRPr="004F01E9">
        <w:rPr>
          <w:noProof/>
        </w:rPr>
        <w:t>tejto oblasti.</w:t>
      </w:r>
    </w:p>
    <w:p w14:paraId="6D48D0B5" w14:textId="4FF97064" w:rsidR="00845AE8" w:rsidRPr="004F01E9" w:rsidRDefault="00E74DDF" w:rsidP="008A4012">
      <w:pPr>
        <w:pBdr>
          <w:top w:val="nil"/>
          <w:left w:val="nil"/>
          <w:bottom w:val="nil"/>
          <w:right w:val="nil"/>
          <w:between w:val="nil"/>
          <w:bar w:val="nil"/>
        </w:pBdr>
        <w:spacing w:before="0" w:after="240"/>
        <w:rPr>
          <w:rFonts w:eastAsia="Arial Unicode MS"/>
          <w:noProof/>
        </w:rPr>
      </w:pPr>
      <w:r w:rsidRPr="004F01E9">
        <w:rPr>
          <w:noProof/>
        </w:rPr>
        <w:t>Navrhované zmeny vychádzajú</w:t>
      </w:r>
      <w:r w:rsidR="004F01E9">
        <w:rPr>
          <w:noProof/>
        </w:rPr>
        <w:t xml:space="preserve"> z </w:t>
      </w:r>
      <w:r w:rsidRPr="004F01E9">
        <w:rPr>
          <w:noProof/>
        </w:rPr>
        <w:t>rovnakého právneho základu ako legislatívne akty, ktoré sa menia, t. j.</w:t>
      </w:r>
      <w:r w:rsidR="004F01E9">
        <w:rPr>
          <w:noProof/>
        </w:rPr>
        <w:t xml:space="preserve"> z </w:t>
      </w:r>
      <w:r w:rsidRPr="004F01E9">
        <w:rPr>
          <w:noProof/>
        </w:rPr>
        <w:t>článku 114 ZFEÚ</w:t>
      </w:r>
      <w:r w:rsidR="004F01E9">
        <w:rPr>
          <w:noProof/>
        </w:rPr>
        <w:t xml:space="preserve"> v </w:t>
      </w:r>
      <w:r w:rsidRPr="004F01E9">
        <w:rPr>
          <w:noProof/>
        </w:rPr>
        <w:t>prípade návrhu nariadenia, ktorým sa mení nariadenie CRR,</w:t>
      </w:r>
      <w:r w:rsidR="004F01E9">
        <w:rPr>
          <w:noProof/>
        </w:rPr>
        <w:t xml:space="preserve"> a z </w:t>
      </w:r>
      <w:r w:rsidRPr="004F01E9">
        <w:rPr>
          <w:noProof/>
        </w:rPr>
        <w:t>článku 53 ods. 1 ZFEÚ</w:t>
      </w:r>
      <w:r w:rsidR="004F01E9">
        <w:rPr>
          <w:noProof/>
        </w:rPr>
        <w:t xml:space="preserve"> v </w:t>
      </w:r>
      <w:r w:rsidRPr="004F01E9">
        <w:rPr>
          <w:noProof/>
        </w:rPr>
        <w:t>prípade návrhu smernice, ktorou sa mení smernica CRD.</w:t>
      </w:r>
    </w:p>
    <w:p w14:paraId="458B6397" w14:textId="77777777" w:rsidR="00806B81" w:rsidRPr="004F01E9" w:rsidRDefault="00845AE8" w:rsidP="008A4012">
      <w:pPr>
        <w:pStyle w:val="ManualHeading2"/>
        <w:rPr>
          <w:rFonts w:eastAsia="Arial Unicode MS"/>
          <w:noProof/>
          <w:u w:color="000000"/>
          <w:bdr w:val="nil"/>
        </w:rPr>
      </w:pPr>
      <w:r w:rsidRPr="004F01E9">
        <w:rPr>
          <w:noProof/>
          <w:color w:val="000000"/>
          <w:u w:color="000000"/>
          <w:bdr w:val="nil"/>
        </w:rPr>
        <w:t>•</w:t>
      </w:r>
      <w:r w:rsidRPr="004F01E9">
        <w:rPr>
          <w:noProof/>
        </w:rPr>
        <w:tab/>
        <w:t>Subsidiarita (v prípade inej ako výlučnej právomoci)</w:t>
      </w:r>
    </w:p>
    <w:p w14:paraId="2DC973CA" w14:textId="0D167E4B" w:rsidR="00E74DDF" w:rsidRPr="004F01E9" w:rsidRDefault="00E74DDF" w:rsidP="00E74DDF">
      <w:pPr>
        <w:rPr>
          <w:rFonts w:eastAsia="Arial Unicode MS"/>
          <w:noProof/>
        </w:rPr>
      </w:pPr>
      <w:r w:rsidRPr="004F01E9">
        <w:rPr>
          <w:noProof/>
        </w:rPr>
        <w:t>Väčšinu zvažovaných opatrení predstavujú aktualizácie</w:t>
      </w:r>
      <w:r w:rsidR="004F01E9">
        <w:rPr>
          <w:noProof/>
        </w:rPr>
        <w:t xml:space="preserve"> a </w:t>
      </w:r>
      <w:r w:rsidRPr="004F01E9">
        <w:rPr>
          <w:noProof/>
        </w:rPr>
        <w:t>zmeny existujúceho práva Únie</w:t>
      </w:r>
      <w:r w:rsidR="004F01E9">
        <w:rPr>
          <w:noProof/>
        </w:rPr>
        <w:t xml:space="preserve"> a </w:t>
      </w:r>
      <w:r w:rsidRPr="004F01E9">
        <w:rPr>
          <w:noProof/>
        </w:rPr>
        <w:t>ako také sa týkajú oblastí,</w:t>
      </w:r>
      <w:r w:rsidR="004F01E9">
        <w:rPr>
          <w:noProof/>
        </w:rPr>
        <w:t xml:space="preserve"> v </w:t>
      </w:r>
      <w:r w:rsidRPr="004F01E9">
        <w:rPr>
          <w:noProof/>
        </w:rPr>
        <w:t>ktorých Únia už vykonávala svoje právomoci</w:t>
      </w:r>
      <w:r w:rsidR="004F01E9">
        <w:rPr>
          <w:noProof/>
        </w:rPr>
        <w:t xml:space="preserve"> a </w:t>
      </w:r>
      <w:r w:rsidRPr="004F01E9">
        <w:rPr>
          <w:noProof/>
        </w:rPr>
        <w:t>nemá</w:t>
      </w:r>
      <w:r w:rsidR="004F01E9">
        <w:rPr>
          <w:noProof/>
        </w:rPr>
        <w:t xml:space="preserve"> v </w:t>
      </w:r>
      <w:r w:rsidRPr="004F01E9">
        <w:rPr>
          <w:noProof/>
        </w:rPr>
        <w:t>úmysle od týchto existujúcich právomocí upustiť. Cieľom niekoľkých opatrení (najmä tých, ktorými sa mení smernica CRD), je zavedenie dodatočného stupňa harmonizácie</w:t>
      </w:r>
      <w:r w:rsidR="004F01E9">
        <w:rPr>
          <w:noProof/>
        </w:rPr>
        <w:t xml:space="preserve"> v </w:t>
      </w:r>
      <w:r w:rsidRPr="004F01E9">
        <w:rPr>
          <w:noProof/>
        </w:rPr>
        <w:t>záujme konzistentného dosiahnutia cieľov vymedzených</w:t>
      </w:r>
      <w:r w:rsidR="004F01E9">
        <w:rPr>
          <w:noProof/>
        </w:rPr>
        <w:t xml:space="preserve"> v </w:t>
      </w:r>
      <w:r w:rsidRPr="004F01E9">
        <w:rPr>
          <w:noProof/>
        </w:rPr>
        <w:t>uvedenej smernici.</w:t>
      </w:r>
    </w:p>
    <w:p w14:paraId="246BD092" w14:textId="2E83AB2B" w:rsidR="00E74DDF" w:rsidRPr="004F01E9" w:rsidRDefault="00E74DDF" w:rsidP="003E3AD9">
      <w:pPr>
        <w:pBdr>
          <w:top w:val="nil"/>
          <w:left w:val="nil"/>
          <w:bottom w:val="nil"/>
          <w:right w:val="nil"/>
          <w:between w:val="nil"/>
          <w:bar w:val="nil"/>
        </w:pBdr>
        <w:rPr>
          <w:rFonts w:eastAsia="Arial Unicode MS"/>
          <w:noProof/>
        </w:rPr>
      </w:pPr>
      <w:r w:rsidRPr="004F01E9">
        <w:rPr>
          <w:noProof/>
        </w:rPr>
        <w:t>Za predpokladu, že ciele sledované navrhovanými opatreniami majú dopĺňať už existujúce právne predpisy Únie, možno ich najlepšie dosiahnuť skôr na úrovni EÚ než rôznymi vnútroštátnymi iniciatívami. Vnútroštátne opatrenia zamerané napríklad na vykonávanie pravidiel, ktoré majú vlastnú medzinárodnú stopu – ako napríklad globálny štandard podobný štandardu Bazilej III alebo štandard, ktorý lepšie rieši riziká ESG –</w:t>
      </w:r>
      <w:r w:rsidR="004F01E9">
        <w:rPr>
          <w:noProof/>
        </w:rPr>
        <w:t xml:space="preserve"> v </w:t>
      </w:r>
      <w:r w:rsidRPr="004F01E9">
        <w:rPr>
          <w:noProof/>
        </w:rPr>
        <w:t>uplatniteľných právnych predpisoch nebudú také účinné pri zabezpečovaní finančnej stability ako pravidlá EÚ. Pokiaľ ide</w:t>
      </w:r>
      <w:r w:rsidR="004F01E9">
        <w:rPr>
          <w:noProof/>
        </w:rPr>
        <w:t xml:space="preserve"> o </w:t>
      </w:r>
      <w:r w:rsidRPr="004F01E9">
        <w:rPr>
          <w:noProof/>
        </w:rPr>
        <w:t>nástroje dohľadu, zverejňovanie právomocí</w:t>
      </w:r>
      <w:r w:rsidR="004F01E9">
        <w:rPr>
          <w:noProof/>
        </w:rPr>
        <w:t xml:space="preserve"> a </w:t>
      </w:r>
      <w:r w:rsidRPr="004F01E9">
        <w:rPr>
          <w:noProof/>
        </w:rPr>
        <w:t>pobočky</w:t>
      </w:r>
      <w:r w:rsidR="004F01E9">
        <w:rPr>
          <w:noProof/>
        </w:rPr>
        <w:t xml:space="preserve"> z </w:t>
      </w:r>
      <w:r w:rsidRPr="004F01E9">
        <w:rPr>
          <w:noProof/>
        </w:rPr>
        <w:t>tretích krajín, ak sa zabezpečenie iniciatívy ponechá len na vnútroštátnu úroveň, výsledkom môže byť nižšia transparentnosť</w:t>
      </w:r>
      <w:r w:rsidR="004F01E9">
        <w:rPr>
          <w:noProof/>
        </w:rPr>
        <w:t xml:space="preserve"> a </w:t>
      </w:r>
      <w:r w:rsidRPr="004F01E9">
        <w:rPr>
          <w:noProof/>
        </w:rPr>
        <w:t>vyššie riziko arbitráže, ktoré povedú</w:t>
      </w:r>
      <w:r w:rsidR="004F01E9">
        <w:rPr>
          <w:noProof/>
        </w:rPr>
        <w:t xml:space="preserve"> k </w:t>
      </w:r>
      <w:r w:rsidRPr="004F01E9">
        <w:rPr>
          <w:noProof/>
        </w:rPr>
        <w:t>potenciálnemu narušeniu hospodárskej súťaže</w:t>
      </w:r>
      <w:r w:rsidR="004F01E9">
        <w:rPr>
          <w:noProof/>
        </w:rPr>
        <w:t xml:space="preserve"> a </w:t>
      </w:r>
      <w:r w:rsidRPr="004F01E9">
        <w:rPr>
          <w:noProof/>
        </w:rPr>
        <w:t>ovplyvneniu kapitálových tokov. Navyše prijímanie vnútroštátnych opatrení by bolo právne náročné za predpokladu, že nariadením</w:t>
      </w:r>
      <w:r w:rsidR="004F01E9">
        <w:rPr>
          <w:noProof/>
        </w:rPr>
        <w:t xml:space="preserve"> o </w:t>
      </w:r>
      <w:r w:rsidRPr="004F01E9">
        <w:rPr>
          <w:noProof/>
        </w:rPr>
        <w:t>kapitálových požiadavkách sa už upravujú záležitosti bánk vrátane rizikových váh, podávania správ, zverejňovania informácií</w:t>
      </w:r>
      <w:r w:rsidR="004F01E9">
        <w:rPr>
          <w:noProof/>
        </w:rPr>
        <w:t xml:space="preserve"> a </w:t>
      </w:r>
      <w:r w:rsidRPr="004F01E9">
        <w:rPr>
          <w:noProof/>
        </w:rPr>
        <w:t>ďalších požiadaviek súvisiacich</w:t>
      </w:r>
      <w:r w:rsidR="004F01E9">
        <w:rPr>
          <w:noProof/>
        </w:rPr>
        <w:t xml:space="preserve"> s </w:t>
      </w:r>
      <w:r w:rsidRPr="004F01E9">
        <w:rPr>
          <w:noProof/>
        </w:rPr>
        <w:t>nariadením CRR.</w:t>
      </w:r>
    </w:p>
    <w:p w14:paraId="572D2FC1" w14:textId="5B7DB99B" w:rsidR="00845AE8" w:rsidRPr="004F01E9" w:rsidRDefault="00E74DDF" w:rsidP="008A4012">
      <w:pPr>
        <w:pBdr>
          <w:top w:val="nil"/>
          <w:left w:val="nil"/>
          <w:bottom w:val="nil"/>
          <w:right w:val="nil"/>
          <w:between w:val="nil"/>
          <w:bar w:val="nil"/>
        </w:pBdr>
        <w:spacing w:before="0" w:after="240"/>
        <w:rPr>
          <w:rFonts w:eastAsia="Arial Unicode MS"/>
          <w:noProof/>
        </w:rPr>
      </w:pPr>
      <w:r w:rsidRPr="004F01E9">
        <w:rPr>
          <w:noProof/>
        </w:rPr>
        <w:t>Zmeny nariadenia CRR</w:t>
      </w:r>
      <w:r w:rsidR="004F01E9">
        <w:rPr>
          <w:noProof/>
        </w:rPr>
        <w:t xml:space="preserve"> a </w:t>
      </w:r>
      <w:r w:rsidRPr="004F01E9">
        <w:rPr>
          <w:noProof/>
        </w:rPr>
        <w:t>smernice CRD sa tak považujú za najlepšiu možnosť. Dosiahne sa tým náležitá rovnováha medzi harmonizovaním pravidiel</w:t>
      </w:r>
      <w:r w:rsidR="004F01E9">
        <w:rPr>
          <w:noProof/>
        </w:rPr>
        <w:t xml:space="preserve"> a </w:t>
      </w:r>
      <w:r w:rsidRPr="004F01E9">
        <w:rPr>
          <w:noProof/>
        </w:rPr>
        <w:t>zachovaním vnútroštátnej flexibility</w:t>
      </w:r>
      <w:r w:rsidR="004F01E9">
        <w:rPr>
          <w:noProof/>
        </w:rPr>
        <w:t xml:space="preserve"> v </w:t>
      </w:r>
      <w:r w:rsidRPr="004F01E9">
        <w:rPr>
          <w:noProof/>
        </w:rPr>
        <w:t>nevyhnutných prípadoch bez toho, aby sa tým narúšal jednotný súbor pravidiel. Zmenami sa tak podporí jednotné uplatňovanie prudenciálnych požiadaviek, zbližovanie postupov dohľadu</w:t>
      </w:r>
      <w:r w:rsidR="004F01E9">
        <w:rPr>
          <w:noProof/>
        </w:rPr>
        <w:t xml:space="preserve"> a </w:t>
      </w:r>
      <w:r w:rsidRPr="004F01E9">
        <w:rPr>
          <w:noProof/>
        </w:rPr>
        <w:t>zabezpečia rovnaké podmienky</w:t>
      </w:r>
      <w:r w:rsidR="004F01E9">
        <w:rPr>
          <w:noProof/>
        </w:rPr>
        <w:t xml:space="preserve"> v </w:t>
      </w:r>
      <w:r w:rsidRPr="004F01E9">
        <w:rPr>
          <w:noProof/>
        </w:rPr>
        <w:t>rámci jednotného trhu</w:t>
      </w:r>
      <w:r w:rsidR="004F01E9">
        <w:rPr>
          <w:noProof/>
        </w:rPr>
        <w:t xml:space="preserve"> s </w:t>
      </w:r>
      <w:r w:rsidRPr="004F01E9">
        <w:rPr>
          <w:noProof/>
        </w:rPr>
        <w:t>bankovými službami. Toto je obzvlášť dôležité</w:t>
      </w:r>
      <w:r w:rsidR="004F01E9">
        <w:rPr>
          <w:noProof/>
        </w:rPr>
        <w:t xml:space="preserve"> v </w:t>
      </w:r>
      <w:r w:rsidRPr="004F01E9">
        <w:rPr>
          <w:noProof/>
        </w:rPr>
        <w:t>bankovom sektore,</w:t>
      </w:r>
      <w:r w:rsidR="004F01E9">
        <w:rPr>
          <w:noProof/>
        </w:rPr>
        <w:t xml:space="preserve"> v </w:t>
      </w:r>
      <w:r w:rsidRPr="004F01E9">
        <w:rPr>
          <w:noProof/>
        </w:rPr>
        <w:t>ktorom veľa inštitúcií pôsobí naprieč jednotným trhom EÚ. Úplná spolupráca</w:t>
      </w:r>
      <w:r w:rsidR="004F01E9">
        <w:rPr>
          <w:noProof/>
        </w:rPr>
        <w:t xml:space="preserve"> a </w:t>
      </w:r>
      <w:r w:rsidRPr="004F01E9">
        <w:rPr>
          <w:noProof/>
        </w:rPr>
        <w:t>dôvera</w:t>
      </w:r>
      <w:r w:rsidR="004F01E9">
        <w:rPr>
          <w:noProof/>
        </w:rPr>
        <w:t xml:space="preserve"> v </w:t>
      </w:r>
      <w:r w:rsidRPr="004F01E9">
        <w:rPr>
          <w:noProof/>
        </w:rPr>
        <w:t>rámci jednotného mechanizmu dohľadu (SSM)</w:t>
      </w:r>
      <w:r w:rsidR="004F01E9">
        <w:rPr>
          <w:noProof/>
        </w:rPr>
        <w:t xml:space="preserve"> a v </w:t>
      </w:r>
      <w:r w:rsidRPr="004F01E9">
        <w:rPr>
          <w:noProof/>
        </w:rPr>
        <w:t>rámci kolégií orgánov dohľadu</w:t>
      </w:r>
      <w:r w:rsidR="004F01E9">
        <w:rPr>
          <w:noProof/>
        </w:rPr>
        <w:t xml:space="preserve"> a </w:t>
      </w:r>
      <w:r w:rsidRPr="004F01E9">
        <w:rPr>
          <w:noProof/>
        </w:rPr>
        <w:t>príslušných orgánov mimo jednotného mechanizmu dohľadu sú nevyhnutné na to, aby sa nad úverovými inštitúciami mohol vykonávať účinný dohľad na konsolidovanom základe. Tieto ciele sa vnútroštátnymi pravidlami nedosiahnu.</w:t>
      </w:r>
    </w:p>
    <w:p w14:paraId="7B8DDA39" w14:textId="77777777" w:rsidR="00845AE8" w:rsidRPr="004F01E9" w:rsidRDefault="00845AE8" w:rsidP="008A4012">
      <w:pPr>
        <w:pStyle w:val="ManualHeading2"/>
        <w:rPr>
          <w:rFonts w:eastAsia="Arial Unicode MS"/>
          <w:noProof/>
          <w:u w:color="000000"/>
          <w:bdr w:val="nil"/>
        </w:rPr>
      </w:pPr>
      <w:r w:rsidRPr="004F01E9">
        <w:rPr>
          <w:noProof/>
          <w:color w:val="000000"/>
          <w:u w:color="000000"/>
          <w:bdr w:val="nil"/>
        </w:rPr>
        <w:t>•</w:t>
      </w:r>
      <w:r w:rsidRPr="004F01E9">
        <w:rPr>
          <w:noProof/>
        </w:rPr>
        <w:tab/>
        <w:t>Proporcionalita</w:t>
      </w:r>
    </w:p>
    <w:p w14:paraId="0BF9B81E" w14:textId="043D5C85" w:rsidR="00845AE8" w:rsidRPr="004F01E9" w:rsidRDefault="00E74DDF" w:rsidP="008A4012">
      <w:pPr>
        <w:pBdr>
          <w:top w:val="nil"/>
          <w:left w:val="nil"/>
          <w:bottom w:val="nil"/>
          <w:right w:val="nil"/>
          <w:between w:val="nil"/>
          <w:bar w:val="nil"/>
        </w:pBdr>
        <w:spacing w:before="0" w:after="240"/>
        <w:rPr>
          <w:rFonts w:eastAsia="Arial Unicode MS"/>
          <w:noProof/>
        </w:rPr>
      </w:pPr>
      <w:r w:rsidRPr="004F01E9">
        <w:rPr>
          <w:noProof/>
        </w:rPr>
        <w:t>Neoddeliteľnou súčasťou posúdenia vplyvu pripojeného</w:t>
      </w:r>
      <w:r w:rsidR="004F01E9">
        <w:rPr>
          <w:noProof/>
        </w:rPr>
        <w:t xml:space="preserve"> k </w:t>
      </w:r>
      <w:r w:rsidRPr="004F01E9">
        <w:rPr>
          <w:noProof/>
        </w:rPr>
        <w:t>tomuto návrhu je otázka proporcionality. Navrhované zmeny</w:t>
      </w:r>
      <w:r w:rsidR="004F01E9">
        <w:rPr>
          <w:noProof/>
        </w:rPr>
        <w:t xml:space="preserve"> v </w:t>
      </w:r>
      <w:r w:rsidRPr="004F01E9">
        <w:rPr>
          <w:noProof/>
        </w:rPr>
        <w:t>rôznych oblastiach regulácie sa jednotlivo posudzovali</w:t>
      </w:r>
      <w:r w:rsidR="004F01E9">
        <w:rPr>
          <w:noProof/>
        </w:rPr>
        <w:t xml:space="preserve"> z </w:t>
      </w:r>
      <w:r w:rsidRPr="004F01E9">
        <w:rPr>
          <w:noProof/>
        </w:rPr>
        <w:t>hľadiska cieľa proporcionality. Nedostatok proporcionality existujúcich pravidiel bol navyše prezentovaný vo viacerých oblastiach, pričom sa analyzovali konkrétne možnosti zamerané na zníženie administratívnej záťaže</w:t>
      </w:r>
      <w:r w:rsidR="004F01E9">
        <w:rPr>
          <w:noProof/>
        </w:rPr>
        <w:t xml:space="preserve"> a </w:t>
      </w:r>
      <w:r w:rsidRPr="004F01E9">
        <w:rPr>
          <w:noProof/>
        </w:rPr>
        <w:t>nákladov na dodržiavanie predpisov pre menšie inštitúcie. Toto platí najmä pri opatreniach</w:t>
      </w:r>
      <w:r w:rsidR="004F01E9">
        <w:rPr>
          <w:noProof/>
        </w:rPr>
        <w:t xml:space="preserve"> v </w:t>
      </w:r>
      <w:r w:rsidRPr="004F01E9">
        <w:rPr>
          <w:noProof/>
        </w:rPr>
        <w:t>oblasti zverejňovania informácií,</w:t>
      </w:r>
      <w:r w:rsidR="004F01E9">
        <w:rPr>
          <w:noProof/>
        </w:rPr>
        <w:t xml:space="preserve"> v </w:t>
      </w:r>
      <w:r w:rsidRPr="004F01E9">
        <w:rPr>
          <w:noProof/>
        </w:rPr>
        <w:t>ktorej sa</w:t>
      </w:r>
      <w:r w:rsidR="004F01E9">
        <w:rPr>
          <w:noProof/>
        </w:rPr>
        <w:t xml:space="preserve"> v </w:t>
      </w:r>
      <w:r w:rsidRPr="004F01E9">
        <w:rPr>
          <w:noProof/>
        </w:rPr>
        <w:t>prípade malých</w:t>
      </w:r>
      <w:r w:rsidR="004F01E9">
        <w:rPr>
          <w:noProof/>
        </w:rPr>
        <w:t xml:space="preserve"> a </w:t>
      </w:r>
      <w:r w:rsidRPr="004F01E9">
        <w:rPr>
          <w:noProof/>
        </w:rPr>
        <w:t>menej zložitých inštitúcií výrazne zníži, ak nie úplne odstráni záťaž súvisiaca</w:t>
      </w:r>
      <w:r w:rsidR="004F01E9">
        <w:rPr>
          <w:noProof/>
        </w:rPr>
        <w:t xml:space="preserve"> s </w:t>
      </w:r>
      <w:r w:rsidRPr="004F01E9">
        <w:rPr>
          <w:noProof/>
        </w:rPr>
        <w:t>dodržiavaním predpisov. Okrem toho požiadavky na zverejňovanie informácií týkajúce sa zverejňovania informácií</w:t>
      </w:r>
      <w:r w:rsidR="004F01E9">
        <w:rPr>
          <w:noProof/>
        </w:rPr>
        <w:t xml:space="preserve"> o </w:t>
      </w:r>
      <w:r w:rsidRPr="004F01E9">
        <w:rPr>
          <w:noProof/>
        </w:rPr>
        <w:t>rizikách ESG, ktoré sa podľa návrhu majú vzťahovať na všetky inštitúcie (t. j. nielen veľké kótované banky, na ktoré sa bude uplatňovať existujúca požiadavka od roku 2022), budú podľa periodicity</w:t>
      </w:r>
      <w:r w:rsidR="004F01E9">
        <w:rPr>
          <w:noProof/>
        </w:rPr>
        <w:t xml:space="preserve"> a </w:t>
      </w:r>
      <w:r w:rsidRPr="004F01E9">
        <w:rPr>
          <w:noProof/>
        </w:rPr>
        <w:t>podrobnosti prispôsobené veľkosti</w:t>
      </w:r>
      <w:r w:rsidR="004F01E9">
        <w:rPr>
          <w:noProof/>
        </w:rPr>
        <w:t xml:space="preserve"> a </w:t>
      </w:r>
      <w:r w:rsidRPr="004F01E9">
        <w:rPr>
          <w:noProof/>
        </w:rPr>
        <w:t>zložitosti inštitúcií, pričom sa tak dodrží zásada proporcionality.</w:t>
      </w:r>
    </w:p>
    <w:p w14:paraId="061910AC" w14:textId="77777777" w:rsidR="00845AE8" w:rsidRPr="004F01E9" w:rsidRDefault="00845AE8" w:rsidP="008A4012">
      <w:pPr>
        <w:pStyle w:val="ManualHeading2"/>
        <w:rPr>
          <w:rFonts w:eastAsia="Arial Unicode MS"/>
          <w:noProof/>
          <w:u w:color="000000"/>
          <w:bdr w:val="nil"/>
        </w:rPr>
      </w:pPr>
      <w:r w:rsidRPr="004F01E9">
        <w:rPr>
          <w:noProof/>
          <w:color w:val="000000"/>
          <w:u w:color="000000"/>
          <w:bdr w:val="nil"/>
        </w:rPr>
        <w:t>•</w:t>
      </w:r>
      <w:r w:rsidRPr="004F01E9">
        <w:rPr>
          <w:noProof/>
        </w:rPr>
        <w:tab/>
        <w:t>Výber nástroja</w:t>
      </w:r>
    </w:p>
    <w:p w14:paraId="0AA14BB0" w14:textId="251B3C41" w:rsidR="00E74DDF" w:rsidRPr="004F01E9" w:rsidRDefault="00E74DDF" w:rsidP="003E3AD9">
      <w:pPr>
        <w:pBdr>
          <w:top w:val="nil"/>
          <w:left w:val="nil"/>
          <w:bottom w:val="nil"/>
          <w:right w:val="nil"/>
          <w:between w:val="nil"/>
          <w:bar w:val="nil"/>
        </w:pBdr>
        <w:rPr>
          <w:rFonts w:eastAsia="Arial Unicode MS"/>
          <w:noProof/>
        </w:rPr>
      </w:pPr>
      <w:r w:rsidRPr="004F01E9">
        <w:rPr>
          <w:noProof/>
        </w:rPr>
        <w:t>Navrhuje sa vykonanie opatrení zmenou nariadenia CRR na základe nariadenia</w:t>
      </w:r>
      <w:r w:rsidR="004F01E9">
        <w:rPr>
          <w:noProof/>
        </w:rPr>
        <w:t xml:space="preserve"> a </w:t>
      </w:r>
      <w:r w:rsidRPr="004F01E9">
        <w:rPr>
          <w:noProof/>
        </w:rPr>
        <w:t>zmenou smernice CRD na základe smernice. Navrhované opatrenia sa skutočne vzťahujú na už existujúce predpisy zohľadnené</w:t>
      </w:r>
      <w:r w:rsidR="004F01E9">
        <w:rPr>
          <w:noProof/>
        </w:rPr>
        <w:t xml:space="preserve"> v </w:t>
      </w:r>
      <w:r w:rsidRPr="004F01E9">
        <w:rPr>
          <w:noProof/>
        </w:rPr>
        <w:t>uvedených právnych nástrojoch (t. j.</w:t>
      </w:r>
      <w:r w:rsidR="004F01E9">
        <w:rPr>
          <w:noProof/>
        </w:rPr>
        <w:t xml:space="preserve"> v </w:t>
      </w:r>
      <w:r w:rsidRPr="004F01E9">
        <w:rPr>
          <w:noProof/>
        </w:rPr>
        <w:t>rámci na výpočet kapitálových požiadaviek založených na rizikách, právomocí</w:t>
      </w:r>
      <w:r w:rsidR="004F01E9">
        <w:rPr>
          <w:noProof/>
        </w:rPr>
        <w:t xml:space="preserve"> a </w:t>
      </w:r>
      <w:r w:rsidRPr="004F01E9">
        <w:rPr>
          <w:noProof/>
        </w:rPr>
        <w:t>nástrojov, ktoré majú</w:t>
      </w:r>
      <w:r w:rsidR="004F01E9">
        <w:rPr>
          <w:noProof/>
        </w:rPr>
        <w:t xml:space="preserve"> k </w:t>
      </w:r>
      <w:r w:rsidRPr="004F01E9">
        <w:rPr>
          <w:noProof/>
        </w:rPr>
        <w:t>dispozícii orgány dohľadu</w:t>
      </w:r>
      <w:r w:rsidR="004F01E9">
        <w:rPr>
          <w:noProof/>
        </w:rPr>
        <w:t xml:space="preserve"> v </w:t>
      </w:r>
      <w:r w:rsidRPr="004F01E9">
        <w:rPr>
          <w:noProof/>
        </w:rPr>
        <w:t>celej Únii) alebo ich ďalej rozvíjajú.</w:t>
      </w:r>
    </w:p>
    <w:p w14:paraId="68E15110" w14:textId="18FD836C" w:rsidR="00845AE8" w:rsidRPr="004F01E9" w:rsidRDefault="00E74DDF" w:rsidP="008A4012">
      <w:pPr>
        <w:pBdr>
          <w:top w:val="nil"/>
          <w:left w:val="nil"/>
          <w:bottom w:val="nil"/>
          <w:right w:val="nil"/>
          <w:between w:val="nil"/>
          <w:bar w:val="nil"/>
        </w:pBdr>
        <w:spacing w:before="0" w:after="240"/>
        <w:rPr>
          <w:rFonts w:eastAsia="Arial Unicode MS"/>
          <w:noProof/>
        </w:rPr>
      </w:pPr>
      <w:r w:rsidRPr="004F01E9">
        <w:rPr>
          <w:noProof/>
        </w:rPr>
        <w:t>Niektorými</w:t>
      </w:r>
      <w:r w:rsidR="004F01E9">
        <w:rPr>
          <w:noProof/>
        </w:rPr>
        <w:t xml:space="preserve"> z </w:t>
      </w:r>
      <w:r w:rsidRPr="004F01E9">
        <w:rPr>
          <w:noProof/>
        </w:rPr>
        <w:t>navrhovaných zmien smernice CRD</w:t>
      </w:r>
      <w:r w:rsidR="004F01E9">
        <w:rPr>
          <w:noProof/>
        </w:rPr>
        <w:t xml:space="preserve"> s </w:t>
      </w:r>
      <w:r w:rsidRPr="004F01E9">
        <w:rPr>
          <w:noProof/>
        </w:rPr>
        <w:t>vplyvom na právomoci ukladať sankcie sa členským štátom ponecháva určitý stupeň flexibility na zachovanie rôznych pravidiel</w:t>
      </w:r>
      <w:r w:rsidR="004F01E9">
        <w:rPr>
          <w:noProof/>
        </w:rPr>
        <w:t xml:space="preserve"> v </w:t>
      </w:r>
      <w:r w:rsidRPr="004F01E9">
        <w:rPr>
          <w:noProof/>
        </w:rPr>
        <w:t>štádiu ich transpozície do vnútroštátneho práva.</w:t>
      </w:r>
    </w:p>
    <w:p w14:paraId="26EFC082" w14:textId="77777777" w:rsidR="00845AE8" w:rsidRPr="004F01E9" w:rsidRDefault="00845AE8" w:rsidP="008A4012">
      <w:pPr>
        <w:pStyle w:val="ManualHeading1"/>
        <w:rPr>
          <w:noProof/>
        </w:rPr>
      </w:pPr>
      <w:r w:rsidRPr="004F01E9">
        <w:rPr>
          <w:noProof/>
        </w:rPr>
        <w:t>3.</w:t>
      </w:r>
      <w:r w:rsidRPr="004F01E9">
        <w:rPr>
          <w:noProof/>
        </w:rPr>
        <w:tab/>
        <w:t xml:space="preserve">VÝSLEDKY HODNOTENÍ </w:t>
      </w:r>
      <w:r w:rsidRPr="004F01E9">
        <w:rPr>
          <w:i/>
          <w:noProof/>
        </w:rPr>
        <w:t>EX POST</w:t>
      </w:r>
      <w:r w:rsidRPr="004F01E9">
        <w:rPr>
          <w:noProof/>
        </w:rPr>
        <w:t>, KONZULTÁCIÍ SO ZAINTERESOVANÝMI STRANAMI A POSÚDENÍ VPLYVU</w:t>
      </w:r>
    </w:p>
    <w:p w14:paraId="56B91211" w14:textId="77777777" w:rsidR="00845AE8" w:rsidRPr="004F01E9" w:rsidRDefault="00845AE8" w:rsidP="008A4012">
      <w:pPr>
        <w:pStyle w:val="ManualHeading2"/>
        <w:rPr>
          <w:rFonts w:eastAsia="Arial Unicode MS"/>
          <w:noProof/>
          <w:u w:color="000000"/>
          <w:bdr w:val="nil"/>
        </w:rPr>
      </w:pPr>
      <w:r w:rsidRPr="004F01E9">
        <w:rPr>
          <w:noProof/>
          <w:color w:val="000000"/>
          <w:u w:color="000000"/>
          <w:bdr w:val="nil"/>
        </w:rPr>
        <w:t>•</w:t>
      </w:r>
      <w:r w:rsidRPr="004F01E9">
        <w:rPr>
          <w:noProof/>
        </w:rPr>
        <w:tab/>
        <w:t>Konzultácie so zainteresovanými stranami</w:t>
      </w:r>
    </w:p>
    <w:p w14:paraId="14F70406" w14:textId="71DF1A87" w:rsidR="00E74DDF" w:rsidRPr="004F01E9" w:rsidRDefault="00E74DDF" w:rsidP="003E3AD9">
      <w:pPr>
        <w:pBdr>
          <w:top w:val="nil"/>
          <w:left w:val="nil"/>
          <w:bottom w:val="nil"/>
          <w:right w:val="nil"/>
          <w:between w:val="nil"/>
          <w:bar w:val="nil"/>
        </w:pBdr>
        <w:rPr>
          <w:rFonts w:eastAsia="Arial Unicode MS"/>
          <w:noProof/>
        </w:rPr>
      </w:pPr>
      <w:r w:rsidRPr="004F01E9">
        <w:rPr>
          <w:noProof/>
        </w:rPr>
        <w:t>Komisia podnikla viaceré kroky</w:t>
      </w:r>
      <w:r w:rsidR="004F01E9">
        <w:rPr>
          <w:noProof/>
        </w:rPr>
        <w:t xml:space="preserve"> a </w:t>
      </w:r>
      <w:r w:rsidRPr="004F01E9">
        <w:rPr>
          <w:noProof/>
        </w:rPr>
        <w:t>vykonala rôzne iniciatívy</w:t>
      </w:r>
      <w:r w:rsidR="004F01E9">
        <w:rPr>
          <w:noProof/>
        </w:rPr>
        <w:t xml:space="preserve"> s </w:t>
      </w:r>
      <w:r w:rsidRPr="004F01E9">
        <w:rPr>
          <w:noProof/>
        </w:rPr>
        <w:t>cieľom posúdiť, či súčasný prudenciálny bankový rámec</w:t>
      </w:r>
      <w:r w:rsidR="004F01E9">
        <w:rPr>
          <w:noProof/>
        </w:rPr>
        <w:t xml:space="preserve"> v </w:t>
      </w:r>
      <w:r w:rsidRPr="004F01E9">
        <w:rPr>
          <w:noProof/>
        </w:rPr>
        <w:t>EÚ</w:t>
      </w:r>
      <w:r w:rsidR="004F01E9">
        <w:rPr>
          <w:noProof/>
        </w:rPr>
        <w:t xml:space="preserve"> a </w:t>
      </w:r>
      <w:r w:rsidRPr="004F01E9">
        <w:rPr>
          <w:noProof/>
        </w:rPr>
        <w:t>vykonanie zostávajúcich prvkov reformy Bazilej III sú primerané na podporu zabezpečenia stability</w:t>
      </w:r>
      <w:r w:rsidR="004F01E9">
        <w:rPr>
          <w:noProof/>
        </w:rPr>
        <w:t xml:space="preserve"> a </w:t>
      </w:r>
      <w:r w:rsidRPr="004F01E9">
        <w:rPr>
          <w:noProof/>
        </w:rPr>
        <w:t>odolnosti bankového systému EÚ proti hospodárskym otrasom,</w:t>
      </w:r>
      <w:r w:rsidR="004F01E9">
        <w:rPr>
          <w:noProof/>
        </w:rPr>
        <w:t xml:space="preserve"> a </w:t>
      </w:r>
      <w:r w:rsidRPr="004F01E9">
        <w:rPr>
          <w:noProof/>
        </w:rPr>
        <w:t>aby ďalej fungoval ako udržateľný zdroj stabilného financovania hospodárstva EÚ.</w:t>
      </w:r>
    </w:p>
    <w:p w14:paraId="63621898" w14:textId="7F7CD7FA" w:rsidR="00E74DDF" w:rsidRPr="004F01E9" w:rsidRDefault="00E74DDF" w:rsidP="003E3AD9">
      <w:pPr>
        <w:pBdr>
          <w:top w:val="nil"/>
          <w:left w:val="nil"/>
          <w:bottom w:val="nil"/>
          <w:right w:val="nil"/>
          <w:between w:val="nil"/>
          <w:bar w:val="nil"/>
        </w:pBdr>
        <w:rPr>
          <w:rFonts w:eastAsia="Arial Unicode MS"/>
          <w:noProof/>
        </w:rPr>
      </w:pPr>
      <w:r w:rsidRPr="004F01E9">
        <w:rPr>
          <w:noProof/>
        </w:rPr>
        <w:t>Komisia zhromaždila názory zainteresovaných strán na konkrétne témy</w:t>
      </w:r>
      <w:r w:rsidR="004F01E9">
        <w:rPr>
          <w:noProof/>
        </w:rPr>
        <w:t xml:space="preserve"> v </w:t>
      </w:r>
      <w:r w:rsidRPr="004F01E9">
        <w:rPr>
          <w:noProof/>
        </w:rPr>
        <w:t>oblastiach kreditného rizika, operačného rizika, trhového rizika, rizika úpravy ocenenia pohľadávok (CVA), transakcií financovania prostredníctvom cenných papierov, ako aj vo vzťahu</w:t>
      </w:r>
      <w:r w:rsidR="004F01E9">
        <w:rPr>
          <w:noProof/>
        </w:rPr>
        <w:t xml:space="preserve"> k </w:t>
      </w:r>
      <w:r w:rsidRPr="004F01E9">
        <w:rPr>
          <w:noProof/>
        </w:rPr>
        <w:t>spodnej hranici pre výstupné hodnoty. Okrem týchto prvkov súvisiacich so zavedením reformy Bazilej III, Komisia konzultovala aj</w:t>
      </w:r>
      <w:r w:rsidR="004F01E9">
        <w:rPr>
          <w:noProof/>
        </w:rPr>
        <w:t xml:space="preserve"> s </w:t>
      </w:r>
      <w:r w:rsidRPr="004F01E9">
        <w:rPr>
          <w:noProof/>
        </w:rPr>
        <w:t>určitými ďalšími subjektmi</w:t>
      </w:r>
      <w:r w:rsidR="004F01E9">
        <w:rPr>
          <w:noProof/>
        </w:rPr>
        <w:t xml:space="preserve"> s </w:t>
      </w:r>
      <w:r w:rsidRPr="004F01E9">
        <w:rPr>
          <w:noProof/>
        </w:rPr>
        <w:t>cieľom zabezpečiť konvergentné</w:t>
      </w:r>
      <w:r w:rsidR="004F01E9">
        <w:rPr>
          <w:noProof/>
        </w:rPr>
        <w:t xml:space="preserve"> a </w:t>
      </w:r>
      <w:r w:rsidRPr="004F01E9">
        <w:rPr>
          <w:noProof/>
        </w:rPr>
        <w:t>konzistentné postupy dohľadu</w:t>
      </w:r>
      <w:r w:rsidR="004F01E9">
        <w:rPr>
          <w:noProof/>
        </w:rPr>
        <w:t xml:space="preserve"> v </w:t>
      </w:r>
      <w:r w:rsidRPr="004F01E9">
        <w:rPr>
          <w:noProof/>
        </w:rPr>
        <w:t>celej Únii</w:t>
      </w:r>
      <w:r w:rsidR="004F01E9">
        <w:rPr>
          <w:noProof/>
        </w:rPr>
        <w:t xml:space="preserve"> a </w:t>
      </w:r>
      <w:r w:rsidRPr="004F01E9">
        <w:rPr>
          <w:noProof/>
        </w:rPr>
        <w:t>zmierniť administratívnu záťaž inštitúcií.</w:t>
      </w:r>
    </w:p>
    <w:p w14:paraId="455664D2" w14:textId="73C90FAB" w:rsidR="00E74DDF" w:rsidRPr="004F01E9" w:rsidRDefault="00E74DDF" w:rsidP="003E3AD9">
      <w:pPr>
        <w:pBdr>
          <w:top w:val="nil"/>
          <w:left w:val="nil"/>
          <w:bottom w:val="nil"/>
          <w:right w:val="nil"/>
          <w:between w:val="nil"/>
          <w:bar w:val="nil"/>
        </w:pBdr>
        <w:rPr>
          <w:rFonts w:eastAsia="Arial Unicode MS"/>
          <w:noProof/>
        </w:rPr>
      </w:pPr>
      <w:r w:rsidRPr="004F01E9">
        <w:rPr>
          <w:noProof/>
        </w:rPr>
        <w:t>Verejnej konzultácii uskutočnenej od októbra 2019 do januára 2020</w:t>
      </w:r>
      <w:r w:rsidRPr="004F01E9">
        <w:rPr>
          <w:rStyle w:val="FootnoteReference0"/>
          <w:noProof/>
        </w:rPr>
        <w:footnoteReference w:id="32"/>
      </w:r>
      <w:r w:rsidRPr="004F01E9">
        <w:rPr>
          <w:noProof/>
        </w:rPr>
        <w:t xml:space="preserve"> predchádzala prvá prieskumná konzultácia vykonaná na jar 2018</w:t>
      </w:r>
      <w:r w:rsidRPr="004F01E9">
        <w:rPr>
          <w:rStyle w:val="FootnoteReference0"/>
          <w:noProof/>
        </w:rPr>
        <w:footnoteReference w:id="33"/>
      </w:r>
      <w:r w:rsidRPr="004F01E9">
        <w:rPr>
          <w:noProof/>
        </w:rPr>
        <w:t>, ktorej cieľom bolo zistiť prvé názory cieľovej skupiny zainteresovaných strán na medzinárodnú dohodu. Okrem toho</w:t>
      </w:r>
      <w:r w:rsidR="004F01E9">
        <w:rPr>
          <w:noProof/>
        </w:rPr>
        <w:t xml:space="preserve"> v </w:t>
      </w:r>
      <w:r w:rsidRPr="004F01E9">
        <w:rPr>
          <w:noProof/>
        </w:rPr>
        <w:t>novembri 2019 bola usporiadaná verejná konferencia, na ktorej sa diskutovalo</w:t>
      </w:r>
      <w:r w:rsidR="004F01E9">
        <w:rPr>
          <w:noProof/>
        </w:rPr>
        <w:t xml:space="preserve"> o </w:t>
      </w:r>
      <w:r w:rsidRPr="004F01E9">
        <w:rPr>
          <w:noProof/>
        </w:rPr>
        <w:t>vplyve</w:t>
      </w:r>
      <w:r w:rsidR="004F01E9">
        <w:rPr>
          <w:noProof/>
        </w:rPr>
        <w:t xml:space="preserve"> a </w:t>
      </w:r>
      <w:r w:rsidRPr="004F01E9">
        <w:rPr>
          <w:noProof/>
        </w:rPr>
        <w:t>problémoch vykonávania dokončených štandardov Bazilej III</w:t>
      </w:r>
      <w:r w:rsidR="004F01E9">
        <w:rPr>
          <w:noProof/>
        </w:rPr>
        <w:t xml:space="preserve"> v </w:t>
      </w:r>
      <w:r w:rsidRPr="004F01E9">
        <w:rPr>
          <w:noProof/>
        </w:rPr>
        <w:t>EÚ.</w:t>
      </w:r>
      <w:r w:rsidR="004F01E9">
        <w:rPr>
          <w:noProof/>
        </w:rPr>
        <w:t xml:space="preserve"> V </w:t>
      </w:r>
      <w:r w:rsidRPr="004F01E9">
        <w:rPr>
          <w:noProof/>
        </w:rPr>
        <w:t>prílohe 2</w:t>
      </w:r>
      <w:r w:rsidR="004F01E9">
        <w:rPr>
          <w:noProof/>
        </w:rPr>
        <w:t xml:space="preserve"> k </w:t>
      </w:r>
      <w:r w:rsidRPr="004F01E9">
        <w:rPr>
          <w:noProof/>
        </w:rPr>
        <w:t>posúdeniu vplyvu sa uvádzajú súhrny</w:t>
      </w:r>
      <w:r w:rsidR="004F01E9">
        <w:rPr>
          <w:noProof/>
        </w:rPr>
        <w:t xml:space="preserve"> z </w:t>
      </w:r>
      <w:r w:rsidRPr="004F01E9">
        <w:rPr>
          <w:noProof/>
        </w:rPr>
        <w:t>konzultácie</w:t>
      </w:r>
      <w:r w:rsidR="004F01E9">
        <w:rPr>
          <w:noProof/>
        </w:rPr>
        <w:t xml:space="preserve"> a </w:t>
      </w:r>
      <w:r w:rsidRPr="004F01E9">
        <w:rPr>
          <w:noProof/>
        </w:rPr>
        <w:t>verejnej konferencie.</w:t>
      </w:r>
    </w:p>
    <w:p w14:paraId="1E66B1D2" w14:textId="369B58FF" w:rsidR="00E74DDF" w:rsidRPr="004F01E9" w:rsidRDefault="00E74DDF" w:rsidP="00C67562">
      <w:pPr>
        <w:rPr>
          <w:noProof/>
        </w:rPr>
      </w:pPr>
      <w:r w:rsidRPr="004F01E9">
        <w:rPr>
          <w:noProof/>
        </w:rPr>
        <w:t>Útvary Komisie takisto viedli opakované konzultácie</w:t>
      </w:r>
      <w:r w:rsidR="004F01E9">
        <w:rPr>
          <w:noProof/>
        </w:rPr>
        <w:t xml:space="preserve"> s </w:t>
      </w:r>
      <w:r w:rsidRPr="004F01E9">
        <w:rPr>
          <w:noProof/>
        </w:rPr>
        <w:t>členskými štátmi</w:t>
      </w:r>
      <w:r w:rsidR="004F01E9">
        <w:rPr>
          <w:noProof/>
        </w:rPr>
        <w:t xml:space="preserve"> o </w:t>
      </w:r>
      <w:r w:rsidRPr="004F01E9">
        <w:rPr>
          <w:noProof/>
        </w:rPr>
        <w:t>vykonaní konečných prvkov reformy Bazilej III</w:t>
      </w:r>
      <w:r w:rsidR="004F01E9">
        <w:rPr>
          <w:noProof/>
        </w:rPr>
        <w:t xml:space="preserve"> v </w:t>
      </w:r>
      <w:r w:rsidRPr="004F01E9">
        <w:rPr>
          <w:noProof/>
        </w:rPr>
        <w:t>EÚ</w:t>
      </w:r>
      <w:r w:rsidR="004F01E9">
        <w:rPr>
          <w:noProof/>
        </w:rPr>
        <w:t xml:space="preserve"> a o </w:t>
      </w:r>
      <w:r w:rsidRPr="004F01E9">
        <w:rPr>
          <w:noProof/>
        </w:rPr>
        <w:t>ďalších možných revíziách nariadenia CRR</w:t>
      </w:r>
      <w:r w:rsidR="004F01E9">
        <w:rPr>
          <w:noProof/>
        </w:rPr>
        <w:t xml:space="preserve"> a </w:t>
      </w:r>
      <w:r w:rsidRPr="004F01E9">
        <w:rPr>
          <w:noProof/>
        </w:rPr>
        <w:t>smernice CRD</w:t>
      </w:r>
      <w:r w:rsidR="004F01E9">
        <w:rPr>
          <w:noProof/>
        </w:rPr>
        <w:t xml:space="preserve"> v </w:t>
      </w:r>
      <w:r w:rsidRPr="004F01E9">
        <w:rPr>
          <w:noProof/>
        </w:rPr>
        <w:t>súvislosti</w:t>
      </w:r>
      <w:r w:rsidR="004F01E9">
        <w:rPr>
          <w:noProof/>
        </w:rPr>
        <w:t xml:space="preserve"> s </w:t>
      </w:r>
      <w:r w:rsidRPr="004F01E9">
        <w:rPr>
          <w:noProof/>
        </w:rPr>
        <w:t>expertnou skupinou Komisie pre bankové, platobné</w:t>
      </w:r>
      <w:r w:rsidR="004F01E9">
        <w:rPr>
          <w:noProof/>
        </w:rPr>
        <w:t xml:space="preserve"> a </w:t>
      </w:r>
      <w:r w:rsidRPr="004F01E9">
        <w:rPr>
          <w:noProof/>
        </w:rPr>
        <w:t>poisťovacie služby (EGBPI).</w:t>
      </w:r>
    </w:p>
    <w:p w14:paraId="64C07D7C" w14:textId="3165CA5A" w:rsidR="00E74DDF" w:rsidRPr="004F01E9" w:rsidRDefault="00E74DDF" w:rsidP="003E3AD9">
      <w:pPr>
        <w:pBdr>
          <w:top w:val="nil"/>
          <w:left w:val="nil"/>
          <w:bottom w:val="nil"/>
          <w:right w:val="nil"/>
          <w:between w:val="nil"/>
          <w:bar w:val="nil"/>
        </w:pBdr>
        <w:rPr>
          <w:rFonts w:eastAsia="Arial Unicode MS"/>
          <w:noProof/>
        </w:rPr>
      </w:pPr>
      <w:r w:rsidRPr="004F01E9">
        <w:rPr>
          <w:noProof/>
        </w:rPr>
        <w:t>A napokon, počas fázy prípravy právnych predpisov útvary Komisie usporiadali aj stovky stretnutí (fyzických</w:t>
      </w:r>
      <w:r w:rsidR="004F01E9">
        <w:rPr>
          <w:noProof/>
        </w:rPr>
        <w:t xml:space="preserve"> a </w:t>
      </w:r>
      <w:r w:rsidRPr="004F01E9">
        <w:rPr>
          <w:noProof/>
        </w:rPr>
        <w:t>virtuálnych) so zástupcami bankového sektora</w:t>
      </w:r>
      <w:r w:rsidR="004F01E9">
        <w:rPr>
          <w:noProof/>
        </w:rPr>
        <w:t xml:space="preserve"> a s </w:t>
      </w:r>
      <w:r w:rsidRPr="004F01E9">
        <w:rPr>
          <w:noProof/>
        </w:rPr>
        <w:t>ďalšími zainteresovanými stranami.</w:t>
      </w:r>
    </w:p>
    <w:p w14:paraId="5A8E1517" w14:textId="59BD390A" w:rsidR="00806B81" w:rsidRPr="004F01E9" w:rsidRDefault="00E74DDF" w:rsidP="00E74DDF">
      <w:pPr>
        <w:pBdr>
          <w:top w:val="nil"/>
          <w:left w:val="nil"/>
          <w:bottom w:val="nil"/>
          <w:right w:val="nil"/>
          <w:between w:val="nil"/>
          <w:bar w:val="nil"/>
        </w:pBdr>
        <w:spacing w:after="240"/>
        <w:rPr>
          <w:rFonts w:eastAsia="Arial Unicode MS"/>
          <w:noProof/>
        </w:rPr>
      </w:pPr>
      <w:r w:rsidRPr="004F01E9">
        <w:rPr>
          <w:noProof/>
        </w:rPr>
        <w:t>Výsledky všetkých uvedených iniciatív sa premietli do prípravy legislatívnej iniciatívy pripojenej</w:t>
      </w:r>
      <w:r w:rsidR="004F01E9">
        <w:rPr>
          <w:noProof/>
        </w:rPr>
        <w:t xml:space="preserve"> k </w:t>
      </w:r>
      <w:r w:rsidRPr="004F01E9">
        <w:rPr>
          <w:noProof/>
        </w:rPr>
        <w:t>posúdeniu vplyvu. Výsledky poskytli jasný dôkaz potreby aktualizovať</w:t>
      </w:r>
      <w:r w:rsidR="004F01E9">
        <w:rPr>
          <w:noProof/>
        </w:rPr>
        <w:t xml:space="preserve"> a </w:t>
      </w:r>
      <w:r w:rsidRPr="004F01E9">
        <w:rPr>
          <w:noProof/>
        </w:rPr>
        <w:t>doplniť súčasné pravidlá</w:t>
      </w:r>
      <w:r w:rsidR="004F01E9">
        <w:rPr>
          <w:noProof/>
        </w:rPr>
        <w:t xml:space="preserve"> s </w:t>
      </w:r>
      <w:r w:rsidRPr="004F01E9">
        <w:rPr>
          <w:noProof/>
        </w:rPr>
        <w:t>cieľom i) ďalej znižovať riziká</w:t>
      </w:r>
      <w:r w:rsidR="004F01E9">
        <w:rPr>
          <w:noProof/>
        </w:rPr>
        <w:t xml:space="preserve"> v </w:t>
      </w:r>
      <w:r w:rsidRPr="004F01E9">
        <w:rPr>
          <w:noProof/>
        </w:rPr>
        <w:t>bankovom sektore</w:t>
      </w:r>
      <w:r w:rsidR="004F01E9">
        <w:rPr>
          <w:noProof/>
        </w:rPr>
        <w:t xml:space="preserve"> a </w:t>
      </w:r>
      <w:r w:rsidRPr="004F01E9">
        <w:rPr>
          <w:noProof/>
        </w:rPr>
        <w:t>ii) posilniť schopnosť inštitúcií zabezpečiť primerané financovanie pre hospodárstvo.</w:t>
      </w:r>
    </w:p>
    <w:p w14:paraId="1BAC21E1" w14:textId="443FBAF1" w:rsidR="00845AE8" w:rsidRPr="004F01E9" w:rsidRDefault="00845AE8" w:rsidP="008A4012">
      <w:pPr>
        <w:pStyle w:val="ManualHeading2"/>
        <w:rPr>
          <w:rFonts w:eastAsia="Arial Unicode MS"/>
          <w:noProof/>
          <w:u w:color="000000"/>
          <w:bdr w:val="nil"/>
        </w:rPr>
      </w:pPr>
      <w:r w:rsidRPr="004F01E9">
        <w:rPr>
          <w:noProof/>
          <w:color w:val="000000"/>
          <w:u w:color="000000"/>
          <w:bdr w:val="nil"/>
        </w:rPr>
        <w:t>•</w:t>
      </w:r>
      <w:r w:rsidRPr="004F01E9">
        <w:rPr>
          <w:noProof/>
        </w:rPr>
        <w:tab/>
        <w:t>Získavanie</w:t>
      </w:r>
      <w:r w:rsidR="004F01E9">
        <w:rPr>
          <w:noProof/>
        </w:rPr>
        <w:t xml:space="preserve"> a </w:t>
      </w:r>
      <w:r w:rsidRPr="004F01E9">
        <w:rPr>
          <w:noProof/>
        </w:rPr>
        <w:t>využívanie expertízy</w:t>
      </w:r>
    </w:p>
    <w:p w14:paraId="359C7434" w14:textId="77777777" w:rsidR="00E74DDF" w:rsidRPr="004F01E9" w:rsidRDefault="00E74DDF" w:rsidP="00E74DDF">
      <w:pPr>
        <w:pBdr>
          <w:top w:val="nil"/>
          <w:left w:val="nil"/>
          <w:bottom w:val="nil"/>
          <w:right w:val="nil"/>
          <w:between w:val="nil"/>
          <w:bar w:val="nil"/>
        </w:pBdr>
        <w:spacing w:before="0" w:after="240"/>
        <w:rPr>
          <w:rFonts w:eastAsia="Arial Unicode MS"/>
          <w:noProof/>
        </w:rPr>
      </w:pPr>
      <w:r w:rsidRPr="004F01E9">
        <w:rPr>
          <w:noProof/>
        </w:rPr>
        <w:t>Komisia využila expertízu orgánu EBA, ktorý vypracoval posúdenie vplyvu vykonania zostávajúcich prvkov reformy Bazilej III</w:t>
      </w:r>
      <w:r w:rsidRPr="004F01E9">
        <w:rPr>
          <w:rStyle w:val="FootnoteReference0"/>
          <w:noProof/>
        </w:rPr>
        <w:footnoteReference w:id="34"/>
      </w:r>
      <w:r w:rsidRPr="004F01E9">
        <w:rPr>
          <w:noProof/>
        </w:rPr>
        <w:t>. Útvary komisie navyše využili odborné znalosti ECB, ktorá pripravila makroekonomickú analýzu vplyvu vykonania uvedených prvkov.</w:t>
      </w:r>
      <w:r w:rsidRPr="004F01E9">
        <w:rPr>
          <w:rStyle w:val="FootnoteReference0"/>
          <w:rFonts w:eastAsia="Arial Unicode MS"/>
          <w:noProof/>
        </w:rPr>
        <w:footnoteReference w:id="35"/>
      </w:r>
    </w:p>
    <w:p w14:paraId="4E22C2F6" w14:textId="77777777" w:rsidR="00845AE8" w:rsidRPr="004F01E9" w:rsidRDefault="00845AE8" w:rsidP="008A4012">
      <w:pPr>
        <w:pStyle w:val="ManualHeading2"/>
        <w:rPr>
          <w:rFonts w:eastAsia="Arial Unicode MS"/>
          <w:noProof/>
          <w:u w:color="000000"/>
          <w:bdr w:val="nil"/>
        </w:rPr>
      </w:pPr>
      <w:r w:rsidRPr="004F01E9">
        <w:rPr>
          <w:noProof/>
          <w:color w:val="000000"/>
          <w:u w:color="000000"/>
          <w:bdr w:val="nil"/>
        </w:rPr>
        <w:t>•</w:t>
      </w:r>
      <w:r w:rsidRPr="004F01E9">
        <w:rPr>
          <w:noProof/>
        </w:rPr>
        <w:tab/>
        <w:t>Posúdenie vplyvu</w:t>
      </w:r>
    </w:p>
    <w:p w14:paraId="269E2991" w14:textId="28257EA6" w:rsidR="00E74DDF" w:rsidRPr="004F01E9" w:rsidRDefault="00E74DDF" w:rsidP="00E74DDF">
      <w:pPr>
        <w:pBdr>
          <w:top w:val="nil"/>
          <w:left w:val="nil"/>
          <w:bottom w:val="nil"/>
          <w:right w:val="nil"/>
          <w:between w:val="nil"/>
          <w:bar w:val="nil"/>
        </w:pBdr>
        <w:spacing w:after="240"/>
        <w:rPr>
          <w:rFonts w:eastAsia="Arial Unicode MS"/>
          <w:noProof/>
        </w:rPr>
      </w:pPr>
      <w:r w:rsidRPr="004F01E9">
        <w:rPr>
          <w:noProof/>
        </w:rPr>
        <w:t>Pri každom identifikovanom probléme sa</w:t>
      </w:r>
      <w:r w:rsidR="004F01E9">
        <w:rPr>
          <w:noProof/>
        </w:rPr>
        <w:t xml:space="preserve"> v </w:t>
      </w:r>
      <w:r w:rsidRPr="004F01E9">
        <w:rPr>
          <w:noProof/>
        </w:rPr>
        <w:t>posúdení vplyvu</w:t>
      </w:r>
      <w:r w:rsidRPr="004F01E9">
        <w:rPr>
          <w:rStyle w:val="FootnoteReference0"/>
          <w:rFonts w:eastAsia="Arial Unicode MS"/>
          <w:noProof/>
        </w:rPr>
        <w:footnoteReference w:id="36"/>
      </w:r>
      <w:r w:rsidRPr="004F01E9">
        <w:rPr>
          <w:noProof/>
        </w:rPr>
        <w:t xml:space="preserve"> popri východiskovej situácii, pri ktorej Únia neprijme žiadne opatrenie, zvažoval okruh možností politiky</w:t>
      </w:r>
      <w:r w:rsidR="004F01E9">
        <w:rPr>
          <w:noProof/>
        </w:rPr>
        <w:t xml:space="preserve"> v </w:t>
      </w:r>
      <w:r w:rsidRPr="004F01E9">
        <w:rPr>
          <w:noProof/>
        </w:rPr>
        <w:t>rámci štyroch kľúčových politických rozmerov okrem.</w:t>
      </w:r>
    </w:p>
    <w:p w14:paraId="1CAD5D1F" w14:textId="234A262B" w:rsidR="00E74DDF" w:rsidRPr="004F01E9" w:rsidRDefault="00E74DDF" w:rsidP="00E74DDF">
      <w:pPr>
        <w:pBdr>
          <w:top w:val="nil"/>
          <w:left w:val="nil"/>
          <w:bottom w:val="nil"/>
          <w:right w:val="nil"/>
          <w:between w:val="nil"/>
          <w:bar w:val="nil"/>
        </w:pBdr>
        <w:spacing w:after="240"/>
        <w:rPr>
          <w:rFonts w:eastAsia="Arial Unicode MS"/>
          <w:noProof/>
        </w:rPr>
      </w:pPr>
      <w:r w:rsidRPr="004F01E9">
        <w:rPr>
          <w:noProof/>
        </w:rPr>
        <w:t>Pokiaľ ide</w:t>
      </w:r>
      <w:r w:rsidR="004F01E9">
        <w:rPr>
          <w:noProof/>
        </w:rPr>
        <w:t xml:space="preserve"> o </w:t>
      </w:r>
      <w:r w:rsidRPr="004F01E9">
        <w:rPr>
          <w:noProof/>
        </w:rPr>
        <w:t>vykonávanie reformy Bazilej III,</w:t>
      </w:r>
      <w:r w:rsidR="004F01E9">
        <w:rPr>
          <w:noProof/>
        </w:rPr>
        <w:t xml:space="preserve"> z </w:t>
      </w:r>
      <w:r w:rsidRPr="004F01E9">
        <w:rPr>
          <w:noProof/>
        </w:rPr>
        <w:t>analýzy</w:t>
      </w:r>
      <w:r w:rsidR="004F01E9">
        <w:rPr>
          <w:noProof/>
        </w:rPr>
        <w:t xml:space="preserve"> a </w:t>
      </w:r>
      <w:r w:rsidRPr="004F01E9">
        <w:rPr>
          <w:noProof/>
        </w:rPr>
        <w:t>makroekonomického modelovania vyvinutého pri posudzovaní vplyvu vyplýva, že vykonanie uprednostňovaných možností</w:t>
      </w:r>
      <w:r w:rsidR="004F01E9">
        <w:rPr>
          <w:noProof/>
        </w:rPr>
        <w:t xml:space="preserve"> a </w:t>
      </w:r>
      <w:r w:rsidRPr="004F01E9">
        <w:rPr>
          <w:noProof/>
        </w:rPr>
        <w:t>zohľadnenie všetkých opatrení</w:t>
      </w:r>
      <w:r w:rsidR="004F01E9">
        <w:rPr>
          <w:noProof/>
        </w:rPr>
        <w:t xml:space="preserve"> v </w:t>
      </w:r>
      <w:r w:rsidRPr="004F01E9">
        <w:rPr>
          <w:noProof/>
        </w:rPr>
        <w:t>návrhu po plánovanom prechodnom období podľa očakávania povedie</w:t>
      </w:r>
      <w:r w:rsidR="004F01E9">
        <w:rPr>
          <w:noProof/>
        </w:rPr>
        <w:t xml:space="preserve"> v </w:t>
      </w:r>
      <w:r w:rsidRPr="004F01E9">
        <w:rPr>
          <w:noProof/>
        </w:rPr>
        <w:t>dlhodobom horizonte (do roku 2030)</w:t>
      </w:r>
      <w:r w:rsidR="004F01E9">
        <w:rPr>
          <w:noProof/>
        </w:rPr>
        <w:t xml:space="preserve"> k </w:t>
      </w:r>
      <w:r w:rsidRPr="004F01E9">
        <w:rPr>
          <w:noProof/>
        </w:rPr>
        <w:t>váženému priemernému zvýšeniu minimálnych kapitálových požiadaviek na inštitúcie</w:t>
      </w:r>
      <w:r w:rsidR="004F01E9">
        <w:rPr>
          <w:noProof/>
        </w:rPr>
        <w:t xml:space="preserve"> o </w:t>
      </w:r>
      <w:r w:rsidRPr="004F01E9">
        <w:rPr>
          <w:noProof/>
        </w:rPr>
        <w:t>6,4</w:t>
      </w:r>
      <w:r w:rsidR="004F01E9">
        <w:rPr>
          <w:noProof/>
        </w:rPr>
        <w:t> %</w:t>
      </w:r>
      <w:r w:rsidRPr="004F01E9">
        <w:rPr>
          <w:noProof/>
        </w:rPr>
        <w:t xml:space="preserve"> na 8,4</w:t>
      </w:r>
      <w:r w:rsidR="004F01E9">
        <w:rPr>
          <w:noProof/>
        </w:rPr>
        <w:t> %</w:t>
      </w:r>
      <w:r w:rsidRPr="004F01E9">
        <w:rPr>
          <w:noProof/>
        </w:rPr>
        <w:t>.</w:t>
      </w:r>
      <w:r w:rsidR="004F01E9">
        <w:rPr>
          <w:noProof/>
        </w:rPr>
        <w:t xml:space="preserve"> V </w:t>
      </w:r>
      <w:r w:rsidRPr="004F01E9">
        <w:rPr>
          <w:noProof/>
        </w:rPr>
        <w:t>strednodobom horizonte (v roku 2025) sa očakáva zvýšenie</w:t>
      </w:r>
      <w:r w:rsidR="004F01E9">
        <w:rPr>
          <w:noProof/>
        </w:rPr>
        <w:t xml:space="preserve"> v </w:t>
      </w:r>
      <w:r w:rsidRPr="004F01E9">
        <w:rPr>
          <w:noProof/>
        </w:rPr>
        <w:t>rozpätí od 0,7</w:t>
      </w:r>
      <w:r w:rsidR="004F01E9">
        <w:rPr>
          <w:noProof/>
        </w:rPr>
        <w:t> %</w:t>
      </w:r>
      <w:r w:rsidRPr="004F01E9">
        <w:rPr>
          <w:noProof/>
        </w:rPr>
        <w:t xml:space="preserve"> do 2,7</w:t>
      </w:r>
      <w:r w:rsidR="004F01E9">
        <w:rPr>
          <w:noProof/>
        </w:rPr>
        <w:t> %</w:t>
      </w:r>
      <w:r w:rsidRPr="004F01E9">
        <w:rPr>
          <w:noProof/>
        </w:rPr>
        <w:t>.</w:t>
      </w:r>
    </w:p>
    <w:p w14:paraId="1C35CFA0" w14:textId="1A522382" w:rsidR="00806B81" w:rsidRPr="001C4527" w:rsidRDefault="00E74DDF" w:rsidP="00E74DDF">
      <w:pPr>
        <w:pBdr>
          <w:top w:val="nil"/>
          <w:left w:val="nil"/>
          <w:bottom w:val="nil"/>
          <w:right w:val="nil"/>
          <w:between w:val="nil"/>
          <w:bar w:val="nil"/>
        </w:pBdr>
        <w:spacing w:after="240"/>
        <w:rPr>
          <w:rFonts w:eastAsia="Arial Unicode MS"/>
          <w:noProof/>
          <w:spacing w:val="-8"/>
        </w:rPr>
      </w:pPr>
      <w:r w:rsidRPr="001C4527">
        <w:rPr>
          <w:noProof/>
          <w:spacing w:val="-8"/>
        </w:rPr>
        <w:t>Podľa odhadov orgánu EBA by tento vplyv mohol viesť</w:t>
      </w:r>
      <w:r w:rsidR="004F01E9" w:rsidRPr="001C4527">
        <w:rPr>
          <w:noProof/>
          <w:spacing w:val="-8"/>
        </w:rPr>
        <w:t xml:space="preserve"> k </w:t>
      </w:r>
      <w:r w:rsidRPr="001C4527">
        <w:rPr>
          <w:noProof/>
          <w:spacing w:val="-8"/>
        </w:rPr>
        <w:t>tomu, že malý počet veľkých inštitúcií (10</w:t>
      </w:r>
      <w:r w:rsidR="004F01E9" w:rsidRPr="001C4527">
        <w:rPr>
          <w:noProof/>
          <w:spacing w:val="-8"/>
        </w:rPr>
        <w:t xml:space="preserve"> z </w:t>
      </w:r>
      <w:r w:rsidRPr="001C4527">
        <w:rPr>
          <w:noProof/>
          <w:spacing w:val="-8"/>
        </w:rPr>
        <w:t>99 inštitúcií</w:t>
      </w:r>
      <w:r w:rsidR="004F01E9" w:rsidRPr="001C4527">
        <w:rPr>
          <w:noProof/>
          <w:spacing w:val="-8"/>
        </w:rPr>
        <w:t xml:space="preserve"> v </w:t>
      </w:r>
      <w:r w:rsidRPr="001C4527">
        <w:rPr>
          <w:noProof/>
          <w:spacing w:val="-8"/>
        </w:rPr>
        <w:t>testovanej vzorke) bude musieť kolektívne získať dodatočný kapitál vo výške najviac 27 mld. EUR</w:t>
      </w:r>
      <w:r w:rsidR="004F01E9" w:rsidRPr="001C4527">
        <w:rPr>
          <w:noProof/>
          <w:spacing w:val="-8"/>
        </w:rPr>
        <w:t xml:space="preserve"> s </w:t>
      </w:r>
      <w:r w:rsidRPr="001C4527">
        <w:rPr>
          <w:noProof/>
          <w:spacing w:val="-8"/>
        </w:rPr>
        <w:t>cieľom splniť nové minimálne kapitálové požiadavky</w:t>
      </w:r>
      <w:r w:rsidR="004F01E9" w:rsidRPr="001C4527">
        <w:rPr>
          <w:noProof/>
          <w:spacing w:val="-8"/>
        </w:rPr>
        <w:t xml:space="preserve"> v </w:t>
      </w:r>
      <w:r w:rsidRPr="001C4527">
        <w:rPr>
          <w:noProof/>
          <w:spacing w:val="-8"/>
        </w:rPr>
        <w:t>rámci uprednostňovanej možnosti. Na uvedenie tejto sumy do súvislostí, 99 inštitúcií vo vzorke (predstavujúcich 75</w:t>
      </w:r>
      <w:r w:rsidR="004F01E9" w:rsidRPr="001C4527">
        <w:rPr>
          <w:noProof/>
          <w:spacing w:val="-8"/>
        </w:rPr>
        <w:t> %</w:t>
      </w:r>
      <w:r w:rsidRPr="001C4527">
        <w:rPr>
          <w:noProof/>
          <w:spacing w:val="-8"/>
        </w:rPr>
        <w:t xml:space="preserve"> aktív bánk EÚ) malo na konci roka 2019</w:t>
      </w:r>
      <w:r w:rsidR="004F01E9" w:rsidRPr="001C4527">
        <w:rPr>
          <w:noProof/>
          <w:spacing w:val="-8"/>
        </w:rPr>
        <w:t xml:space="preserve"> v </w:t>
      </w:r>
      <w:r w:rsidRPr="001C4527">
        <w:rPr>
          <w:noProof/>
          <w:spacing w:val="-8"/>
        </w:rPr>
        <w:t>držbe celkovú sumu regulatórneho kapitálu</w:t>
      </w:r>
      <w:r w:rsidR="004F01E9" w:rsidRPr="001C4527">
        <w:rPr>
          <w:noProof/>
          <w:spacing w:val="-8"/>
        </w:rPr>
        <w:t xml:space="preserve"> v </w:t>
      </w:r>
      <w:r w:rsidRPr="001C4527">
        <w:rPr>
          <w:noProof/>
          <w:spacing w:val="-8"/>
        </w:rPr>
        <w:t>hodnote 1 414 mld. EUR</w:t>
      </w:r>
      <w:r w:rsidR="004F01E9" w:rsidRPr="001C4527">
        <w:rPr>
          <w:noProof/>
          <w:spacing w:val="-8"/>
        </w:rPr>
        <w:t xml:space="preserve"> a v </w:t>
      </w:r>
      <w:r w:rsidRPr="001C4527">
        <w:rPr>
          <w:noProof/>
          <w:spacing w:val="-8"/>
        </w:rPr>
        <w:t>roku 2019 dosiahlo kombinovaný zisk 99,8 mld. EUR.</w:t>
      </w:r>
    </w:p>
    <w:p w14:paraId="67FCA4F3" w14:textId="21DD9562" w:rsidR="00E74DDF" w:rsidRPr="004F01E9" w:rsidRDefault="00E74DDF" w:rsidP="00E74DDF">
      <w:pPr>
        <w:pBdr>
          <w:top w:val="nil"/>
          <w:left w:val="nil"/>
          <w:bottom w:val="nil"/>
          <w:right w:val="nil"/>
          <w:between w:val="nil"/>
          <w:bar w:val="nil"/>
        </w:pBdr>
        <w:spacing w:before="0" w:after="240"/>
        <w:rPr>
          <w:rFonts w:eastAsia="Arial Unicode MS"/>
          <w:noProof/>
        </w:rPr>
      </w:pPr>
      <w:r w:rsidRPr="004F01E9">
        <w:rPr>
          <w:noProof/>
        </w:rPr>
        <w:t>Všeobecnejšie, hoci inštitúciám vzniknú jednorazové administratívne</w:t>
      </w:r>
      <w:r w:rsidR="004F01E9">
        <w:rPr>
          <w:noProof/>
        </w:rPr>
        <w:t xml:space="preserve"> a </w:t>
      </w:r>
      <w:r w:rsidRPr="004F01E9">
        <w:rPr>
          <w:noProof/>
        </w:rPr>
        <w:t>prevádzkové náklady na vykonanie navrhovaných zmien predpisov, žiadne výrazné zvýšenie nákladov sa neočakáva. Okrem toho sa očakáva, že zjednodušeniami vyplývajúcimi</w:t>
      </w:r>
      <w:r w:rsidR="004F01E9">
        <w:rPr>
          <w:noProof/>
        </w:rPr>
        <w:t xml:space="preserve"> z </w:t>
      </w:r>
      <w:r w:rsidRPr="004F01E9">
        <w:rPr>
          <w:noProof/>
        </w:rPr>
        <w:t>viacerých uprednostňovaných možností (napr. odstránenie interne modelovaných prístupov, centralizované zverejňovanie) sa znížia náklady</w:t>
      </w:r>
      <w:r w:rsidR="004F01E9">
        <w:rPr>
          <w:noProof/>
        </w:rPr>
        <w:t xml:space="preserve"> v </w:t>
      </w:r>
      <w:r w:rsidRPr="004F01E9">
        <w:rPr>
          <w:noProof/>
        </w:rPr>
        <w:t>porovnaní so súčasnosťou.</w:t>
      </w:r>
    </w:p>
    <w:p w14:paraId="6250FE54" w14:textId="60C6415F" w:rsidR="00845AE8" w:rsidRPr="004F01E9" w:rsidRDefault="00845AE8" w:rsidP="008A4012">
      <w:pPr>
        <w:pStyle w:val="ManualHeading2"/>
        <w:rPr>
          <w:rFonts w:eastAsia="Arial Unicode MS"/>
          <w:noProof/>
          <w:u w:color="000000"/>
          <w:bdr w:val="nil"/>
        </w:rPr>
      </w:pPr>
      <w:r w:rsidRPr="004F01E9">
        <w:rPr>
          <w:noProof/>
          <w:color w:val="000000"/>
          <w:u w:color="000000"/>
          <w:bdr w:val="nil"/>
        </w:rPr>
        <w:t>•</w:t>
      </w:r>
      <w:r w:rsidRPr="004F01E9">
        <w:rPr>
          <w:noProof/>
        </w:rPr>
        <w:tab/>
        <w:t>Regulačná vhodnosť</w:t>
      </w:r>
      <w:r w:rsidR="004F01E9">
        <w:rPr>
          <w:noProof/>
        </w:rPr>
        <w:t xml:space="preserve"> a </w:t>
      </w:r>
      <w:r w:rsidRPr="004F01E9">
        <w:rPr>
          <w:noProof/>
        </w:rPr>
        <w:t>zjednodušenie</w:t>
      </w:r>
    </w:p>
    <w:p w14:paraId="5839C69D" w14:textId="049ECACC" w:rsidR="00845AE8" w:rsidRPr="001C4527" w:rsidRDefault="00E74DDF" w:rsidP="008A4012">
      <w:pPr>
        <w:pBdr>
          <w:top w:val="nil"/>
          <w:left w:val="nil"/>
          <w:bottom w:val="nil"/>
          <w:right w:val="nil"/>
          <w:between w:val="nil"/>
          <w:bar w:val="nil"/>
        </w:pBdr>
        <w:spacing w:before="0" w:after="240"/>
        <w:rPr>
          <w:rFonts w:eastAsia="Arial Unicode MS"/>
          <w:noProof/>
          <w:spacing w:val="-4"/>
        </w:rPr>
      </w:pPr>
      <w:r w:rsidRPr="001C4527">
        <w:rPr>
          <w:noProof/>
          <w:spacing w:val="-4"/>
        </w:rPr>
        <w:t>Táto iniciatíva je zameraná na dokončenie vykonávania medzinárodných prudenciálnych štandardov pre banky EÚ dohodnutých výborom BCBS</w:t>
      </w:r>
      <w:r w:rsidR="004F01E9" w:rsidRPr="001C4527">
        <w:rPr>
          <w:noProof/>
          <w:spacing w:val="-4"/>
        </w:rPr>
        <w:t xml:space="preserve"> v </w:t>
      </w:r>
      <w:r w:rsidRPr="001C4527">
        <w:rPr>
          <w:noProof/>
          <w:spacing w:val="-4"/>
        </w:rPr>
        <w:t>rokoch 2017 až 2020. Zavŕšilo by sa ňou vykonanie reformy Bazilej III</w:t>
      </w:r>
      <w:r w:rsidR="004F01E9" w:rsidRPr="001C4527">
        <w:rPr>
          <w:noProof/>
          <w:spacing w:val="-4"/>
        </w:rPr>
        <w:t xml:space="preserve"> v </w:t>
      </w:r>
      <w:r w:rsidRPr="001C4527">
        <w:rPr>
          <w:noProof/>
          <w:spacing w:val="-4"/>
        </w:rPr>
        <w:t>EÚ, ktorú začal Bazilejský výbor pre bankový dohľad</w:t>
      </w:r>
      <w:r w:rsidR="004F01E9" w:rsidRPr="001C4527">
        <w:rPr>
          <w:noProof/>
          <w:spacing w:val="-4"/>
        </w:rPr>
        <w:t xml:space="preserve"> v </w:t>
      </w:r>
      <w:r w:rsidRPr="001C4527">
        <w:rPr>
          <w:noProof/>
          <w:spacing w:val="-4"/>
        </w:rPr>
        <w:t>nadväznosti na veľkú finančnú krízu. Táto reforma bola sama osebe komplexným prehodnotením prudenciálneho rámca, ktorý existoval pred veľkou finančnou krízou</w:t>
      </w:r>
      <w:r w:rsidR="004F01E9" w:rsidRPr="001C4527">
        <w:rPr>
          <w:noProof/>
          <w:spacing w:val="-4"/>
        </w:rPr>
        <w:t xml:space="preserve"> a </w:t>
      </w:r>
      <w:r w:rsidRPr="001C4527">
        <w:rPr>
          <w:noProof/>
          <w:spacing w:val="-4"/>
        </w:rPr>
        <w:t>počas nej, konkrétne rámca Bazilej II (v EÚ bol tento rámec zavedený smernicou 2006/48/ES, t. j. pôvodnou smernicou CRD). Komisia využila výsledky komplexnej revízie prudenciálneho rámca výborom BCBS spolu</w:t>
      </w:r>
      <w:r w:rsidR="004F01E9" w:rsidRPr="001C4527">
        <w:rPr>
          <w:noProof/>
          <w:spacing w:val="-4"/>
        </w:rPr>
        <w:t xml:space="preserve"> s </w:t>
      </w:r>
      <w:r w:rsidRPr="001C4527">
        <w:rPr>
          <w:noProof/>
          <w:spacing w:val="-4"/>
        </w:rPr>
        <w:t>príspevkami, ktoré poskytli orgán EBA, ECB</w:t>
      </w:r>
      <w:r w:rsidR="004F01E9" w:rsidRPr="001C4527">
        <w:rPr>
          <w:noProof/>
          <w:spacing w:val="-4"/>
        </w:rPr>
        <w:t xml:space="preserve"> a </w:t>
      </w:r>
      <w:r w:rsidRPr="001C4527">
        <w:rPr>
          <w:noProof/>
          <w:spacing w:val="-4"/>
        </w:rPr>
        <w:t>ďalšie zainteresované strany ako podklad pre svoju činnosť spojenú</w:t>
      </w:r>
      <w:r w:rsidR="004F01E9" w:rsidRPr="001C4527">
        <w:rPr>
          <w:noProof/>
          <w:spacing w:val="-4"/>
        </w:rPr>
        <w:t xml:space="preserve"> s </w:t>
      </w:r>
      <w:r w:rsidRPr="001C4527">
        <w:rPr>
          <w:noProof/>
          <w:spacing w:val="-4"/>
        </w:rPr>
        <w:t>vykonávaním. Pred vykonaním konečných reforiem Bazilej III</w:t>
      </w:r>
      <w:r w:rsidR="004F01E9" w:rsidRPr="001C4527">
        <w:rPr>
          <w:noProof/>
          <w:spacing w:val="-4"/>
        </w:rPr>
        <w:t xml:space="preserve"> v </w:t>
      </w:r>
      <w:r w:rsidRPr="001C4527">
        <w:rPr>
          <w:noProof/>
          <w:spacing w:val="-4"/>
        </w:rPr>
        <w:t>EÚ sa ešte neuskutočnila kontrola vhodnosti ani program REFIT.</w:t>
      </w:r>
    </w:p>
    <w:p w14:paraId="3B8556AB" w14:textId="77777777" w:rsidR="00845AE8" w:rsidRPr="004F01E9" w:rsidRDefault="00845AE8" w:rsidP="008A4012">
      <w:pPr>
        <w:pStyle w:val="ManualHeading2"/>
        <w:rPr>
          <w:rFonts w:eastAsia="Arial Unicode MS"/>
          <w:noProof/>
          <w:u w:color="000000"/>
          <w:bdr w:val="nil"/>
        </w:rPr>
      </w:pPr>
      <w:r w:rsidRPr="004F01E9">
        <w:rPr>
          <w:noProof/>
          <w:color w:val="000000"/>
          <w:u w:color="000000"/>
          <w:bdr w:val="nil"/>
        </w:rPr>
        <w:t>•</w:t>
      </w:r>
      <w:r w:rsidRPr="004F01E9">
        <w:rPr>
          <w:noProof/>
        </w:rPr>
        <w:tab/>
        <w:t>Základné práva</w:t>
      </w:r>
    </w:p>
    <w:p w14:paraId="055AAB9A" w14:textId="679B5954" w:rsidR="00E74DDF" w:rsidRPr="004F01E9" w:rsidRDefault="00E74DDF" w:rsidP="00E74DDF">
      <w:pPr>
        <w:pBdr>
          <w:top w:val="nil"/>
          <w:left w:val="nil"/>
          <w:bottom w:val="nil"/>
          <w:right w:val="nil"/>
          <w:between w:val="nil"/>
          <w:bar w:val="nil"/>
        </w:pBdr>
        <w:spacing w:before="0" w:after="240"/>
        <w:rPr>
          <w:rFonts w:eastAsia="Arial Unicode MS"/>
          <w:noProof/>
        </w:rPr>
      </w:pPr>
      <w:r w:rsidRPr="004F01E9">
        <w:rPr>
          <w:noProof/>
        </w:rPr>
        <w:t>EÚ sa zaviazala dodržiavať prísne normy ochrany základných práv</w:t>
      </w:r>
      <w:r w:rsidR="004F01E9">
        <w:rPr>
          <w:noProof/>
        </w:rPr>
        <w:t xml:space="preserve"> a </w:t>
      </w:r>
      <w:r w:rsidRPr="004F01E9">
        <w:rPr>
          <w:noProof/>
        </w:rPr>
        <w:t>je signatárom mnohých dohovorov</w:t>
      </w:r>
      <w:r w:rsidR="004F01E9">
        <w:rPr>
          <w:noProof/>
        </w:rPr>
        <w:t xml:space="preserve"> o </w:t>
      </w:r>
      <w:r w:rsidRPr="004F01E9">
        <w:rPr>
          <w:noProof/>
        </w:rPr>
        <w:t>ľudských právach.</w:t>
      </w:r>
      <w:r w:rsidR="004F01E9">
        <w:rPr>
          <w:noProof/>
        </w:rPr>
        <w:t xml:space="preserve"> V </w:t>
      </w:r>
      <w:r w:rsidRPr="004F01E9">
        <w:rPr>
          <w:noProof/>
        </w:rPr>
        <w:t>tomto kontexte je nepravdepodobné, že tieto práva, ktoré sú zakotvené</w:t>
      </w:r>
      <w:r w:rsidR="004F01E9">
        <w:rPr>
          <w:noProof/>
        </w:rPr>
        <w:t xml:space="preserve"> v </w:t>
      </w:r>
      <w:r w:rsidRPr="004F01E9">
        <w:rPr>
          <w:noProof/>
        </w:rPr>
        <w:t>hlavných dohovoroch OSN</w:t>
      </w:r>
      <w:r w:rsidR="004F01E9">
        <w:rPr>
          <w:noProof/>
        </w:rPr>
        <w:t xml:space="preserve"> o </w:t>
      </w:r>
      <w:r w:rsidRPr="004F01E9">
        <w:rPr>
          <w:noProof/>
        </w:rPr>
        <w:t>ľudských právach,</w:t>
      </w:r>
      <w:r w:rsidR="004F01E9">
        <w:rPr>
          <w:noProof/>
        </w:rPr>
        <w:t xml:space="preserve"> v </w:t>
      </w:r>
      <w:r w:rsidRPr="004F01E9">
        <w:rPr>
          <w:noProof/>
        </w:rPr>
        <w:t>Charte základných práv Európskej únie, ktorá je neoddeliteľnou súčasťou zmlúv</w:t>
      </w:r>
      <w:r w:rsidR="004F01E9">
        <w:rPr>
          <w:noProof/>
        </w:rPr>
        <w:t xml:space="preserve"> o </w:t>
      </w:r>
      <w:r w:rsidRPr="004F01E9">
        <w:rPr>
          <w:noProof/>
        </w:rPr>
        <w:t>EÚ,</w:t>
      </w:r>
      <w:r w:rsidR="004F01E9">
        <w:rPr>
          <w:noProof/>
        </w:rPr>
        <w:t xml:space="preserve"> a v </w:t>
      </w:r>
      <w:r w:rsidRPr="004F01E9">
        <w:rPr>
          <w:noProof/>
        </w:rPr>
        <w:t>Európskom dohovore</w:t>
      </w:r>
      <w:r w:rsidR="004F01E9">
        <w:rPr>
          <w:noProof/>
        </w:rPr>
        <w:t xml:space="preserve"> o </w:t>
      </w:r>
      <w:r w:rsidRPr="004F01E9">
        <w:rPr>
          <w:noProof/>
        </w:rPr>
        <w:t>ľudských právach (EDĽP), budú návrhom priamo dotknuté.</w:t>
      </w:r>
    </w:p>
    <w:p w14:paraId="0275DF62" w14:textId="77777777" w:rsidR="00845AE8" w:rsidRPr="004F01E9" w:rsidRDefault="00845AE8" w:rsidP="008A4012">
      <w:pPr>
        <w:pStyle w:val="ManualHeading1"/>
        <w:rPr>
          <w:noProof/>
        </w:rPr>
      </w:pPr>
      <w:r w:rsidRPr="004F01E9">
        <w:rPr>
          <w:noProof/>
        </w:rPr>
        <w:t>4.</w:t>
      </w:r>
      <w:r w:rsidRPr="004F01E9">
        <w:rPr>
          <w:noProof/>
        </w:rPr>
        <w:tab/>
        <w:t>VPLYV NA ROZPOČET</w:t>
      </w:r>
    </w:p>
    <w:p w14:paraId="7F075B0F" w14:textId="77777777" w:rsidR="00E74DDF" w:rsidRPr="004F01E9" w:rsidRDefault="00E74DDF" w:rsidP="00E74DDF">
      <w:pPr>
        <w:pBdr>
          <w:top w:val="nil"/>
          <w:left w:val="nil"/>
          <w:bottom w:val="nil"/>
          <w:right w:val="nil"/>
          <w:between w:val="nil"/>
          <w:bar w:val="nil"/>
        </w:pBdr>
        <w:spacing w:before="0" w:after="240"/>
        <w:rPr>
          <w:rFonts w:eastAsia="Arial Unicode MS"/>
          <w:noProof/>
        </w:rPr>
      </w:pPr>
      <w:r w:rsidRPr="004F01E9">
        <w:rPr>
          <w:noProof/>
        </w:rPr>
        <w:t>Tento návrh nemá vplyv na rozpočet Únie.</w:t>
      </w:r>
    </w:p>
    <w:p w14:paraId="583D51F3" w14:textId="77777777" w:rsidR="00845AE8" w:rsidRPr="004F01E9" w:rsidRDefault="00845AE8" w:rsidP="008A4012">
      <w:pPr>
        <w:pStyle w:val="ManualHeading1"/>
        <w:rPr>
          <w:noProof/>
        </w:rPr>
      </w:pPr>
      <w:r w:rsidRPr="004F01E9">
        <w:rPr>
          <w:noProof/>
        </w:rPr>
        <w:t>5.</w:t>
      </w:r>
      <w:r w:rsidRPr="004F01E9">
        <w:rPr>
          <w:noProof/>
        </w:rPr>
        <w:tab/>
        <w:t>ĎALŠIE PRVKY</w:t>
      </w:r>
    </w:p>
    <w:p w14:paraId="437DBFA7" w14:textId="2C2A1446" w:rsidR="00845AE8" w:rsidRPr="004F01E9" w:rsidRDefault="00845AE8" w:rsidP="008A4012">
      <w:pPr>
        <w:pStyle w:val="ManualHeading2"/>
        <w:rPr>
          <w:rFonts w:eastAsia="Arial Unicode MS"/>
          <w:noProof/>
          <w:u w:color="000000"/>
          <w:bdr w:val="nil"/>
        </w:rPr>
      </w:pPr>
      <w:r w:rsidRPr="004F01E9">
        <w:rPr>
          <w:noProof/>
          <w:color w:val="000000"/>
          <w:u w:color="000000"/>
          <w:bdr w:val="nil"/>
        </w:rPr>
        <w:t>•</w:t>
      </w:r>
      <w:r w:rsidRPr="004F01E9">
        <w:rPr>
          <w:noProof/>
        </w:rPr>
        <w:tab/>
        <w:t>Plány vykonávania, spôsob monitorovania, hodnotenia</w:t>
      </w:r>
      <w:r w:rsidR="004F01E9">
        <w:rPr>
          <w:noProof/>
        </w:rPr>
        <w:t xml:space="preserve"> a </w:t>
      </w:r>
      <w:r w:rsidRPr="004F01E9">
        <w:rPr>
          <w:noProof/>
        </w:rPr>
        <w:t>podávania správ</w:t>
      </w:r>
    </w:p>
    <w:p w14:paraId="4A2E447B" w14:textId="6F41A37D" w:rsidR="00E74DDF" w:rsidRPr="001C4527" w:rsidRDefault="00E74DDF" w:rsidP="003E3AD9">
      <w:pPr>
        <w:pBdr>
          <w:top w:val="nil"/>
          <w:left w:val="nil"/>
          <w:bottom w:val="nil"/>
          <w:right w:val="nil"/>
          <w:between w:val="nil"/>
          <w:bar w:val="nil"/>
        </w:pBdr>
        <w:rPr>
          <w:rFonts w:eastAsia="Arial Unicode MS"/>
          <w:noProof/>
          <w:spacing w:val="-8"/>
        </w:rPr>
      </w:pPr>
      <w:r w:rsidRPr="001C4527">
        <w:rPr>
          <w:noProof/>
          <w:spacing w:val="-8"/>
        </w:rPr>
        <w:t>Očakáva sa, že navrhované zmeny nadobudnú účinnosť najskôr</w:t>
      </w:r>
      <w:r w:rsidR="004F01E9" w:rsidRPr="001C4527">
        <w:rPr>
          <w:noProof/>
          <w:spacing w:val="-8"/>
        </w:rPr>
        <w:t xml:space="preserve"> v </w:t>
      </w:r>
      <w:r w:rsidRPr="001C4527">
        <w:rPr>
          <w:noProof/>
          <w:spacing w:val="-8"/>
        </w:rPr>
        <w:t>roku 2023. Zmeny sú úzko prepojené</w:t>
      </w:r>
      <w:r w:rsidR="004F01E9" w:rsidRPr="001C4527">
        <w:rPr>
          <w:noProof/>
          <w:spacing w:val="-8"/>
        </w:rPr>
        <w:t xml:space="preserve"> s </w:t>
      </w:r>
      <w:r w:rsidRPr="001C4527">
        <w:rPr>
          <w:noProof/>
          <w:spacing w:val="-8"/>
        </w:rPr>
        <w:t>ďalšími ustanoveniami nariadenia CRR</w:t>
      </w:r>
      <w:r w:rsidR="004F01E9" w:rsidRPr="001C4527">
        <w:rPr>
          <w:noProof/>
          <w:spacing w:val="-8"/>
        </w:rPr>
        <w:t xml:space="preserve"> a </w:t>
      </w:r>
      <w:r w:rsidRPr="001C4527">
        <w:rPr>
          <w:noProof/>
          <w:spacing w:val="-8"/>
        </w:rPr>
        <w:t>smernice CRD, ktoré sú už účinné</w:t>
      </w:r>
      <w:r w:rsidR="004F01E9" w:rsidRPr="001C4527">
        <w:rPr>
          <w:noProof/>
          <w:spacing w:val="-8"/>
        </w:rPr>
        <w:t xml:space="preserve"> a </w:t>
      </w:r>
      <w:r w:rsidRPr="001C4527">
        <w:rPr>
          <w:noProof/>
          <w:spacing w:val="-8"/>
        </w:rPr>
        <w:t>monitorujú sa od roku 2014</w:t>
      </w:r>
      <w:r w:rsidR="004F01E9" w:rsidRPr="001C4527">
        <w:rPr>
          <w:noProof/>
          <w:spacing w:val="-8"/>
        </w:rPr>
        <w:t xml:space="preserve"> a </w:t>
      </w:r>
      <w:r w:rsidRPr="001C4527">
        <w:rPr>
          <w:noProof/>
          <w:spacing w:val="-8"/>
        </w:rPr>
        <w:t>od roku 2019, pokiaľ ide</w:t>
      </w:r>
      <w:r w:rsidR="004F01E9" w:rsidRPr="001C4527">
        <w:rPr>
          <w:noProof/>
          <w:spacing w:val="-8"/>
        </w:rPr>
        <w:t xml:space="preserve"> o </w:t>
      </w:r>
      <w:r w:rsidRPr="001C4527">
        <w:rPr>
          <w:noProof/>
          <w:spacing w:val="-8"/>
        </w:rPr>
        <w:t>opatrenia zavedené balíkom opatrení na zníženie rizika.</w:t>
      </w:r>
    </w:p>
    <w:p w14:paraId="6C060237" w14:textId="634D8584" w:rsidR="00E74DDF" w:rsidRPr="001C4527" w:rsidRDefault="00E74DDF" w:rsidP="00E74DDF">
      <w:pPr>
        <w:pBdr>
          <w:top w:val="nil"/>
          <w:left w:val="nil"/>
          <w:bottom w:val="nil"/>
          <w:right w:val="nil"/>
          <w:between w:val="nil"/>
          <w:bar w:val="nil"/>
        </w:pBdr>
        <w:spacing w:after="240"/>
        <w:rPr>
          <w:rFonts w:eastAsia="Arial Unicode MS"/>
          <w:noProof/>
          <w:spacing w:val="-8"/>
        </w:rPr>
      </w:pPr>
      <w:r w:rsidRPr="001C4527">
        <w:rPr>
          <w:noProof/>
          <w:spacing w:val="-8"/>
        </w:rPr>
        <w:t>Výbor BCBS</w:t>
      </w:r>
      <w:r w:rsidR="004F01E9" w:rsidRPr="001C4527">
        <w:rPr>
          <w:noProof/>
          <w:spacing w:val="-8"/>
        </w:rPr>
        <w:t xml:space="preserve"> a </w:t>
      </w:r>
      <w:r w:rsidRPr="001C4527">
        <w:rPr>
          <w:noProof/>
          <w:spacing w:val="-8"/>
        </w:rPr>
        <w:t>orgán EBA budú pokračovať</w:t>
      </w:r>
      <w:r w:rsidR="004F01E9" w:rsidRPr="001C4527">
        <w:rPr>
          <w:noProof/>
          <w:spacing w:val="-8"/>
        </w:rPr>
        <w:t xml:space="preserve"> v </w:t>
      </w:r>
      <w:r w:rsidRPr="001C4527">
        <w:rPr>
          <w:noProof/>
          <w:spacing w:val="-8"/>
        </w:rPr>
        <w:t>zhromažďovaní údajov potrebných na monitorovanie kľúčových ukazovateľov (ukazovateľov kapitálu, ukazovateľa finančnej páky, opatrení na podporu likvidity). Týmto sa umožní budúce hodnotenie vplyvu nových politických nástrojov. Pravidelný postup preskúmania</w:t>
      </w:r>
      <w:r w:rsidR="004F01E9" w:rsidRPr="001C4527">
        <w:rPr>
          <w:noProof/>
          <w:spacing w:val="-8"/>
        </w:rPr>
        <w:t xml:space="preserve"> a </w:t>
      </w:r>
      <w:r w:rsidRPr="001C4527">
        <w:rPr>
          <w:noProof/>
          <w:spacing w:val="-8"/>
        </w:rPr>
        <w:t>hodnotenia orgánmi dohľadu (REP)</w:t>
      </w:r>
      <w:r w:rsidR="004F01E9" w:rsidRPr="001C4527">
        <w:rPr>
          <w:noProof/>
          <w:spacing w:val="-8"/>
        </w:rPr>
        <w:t xml:space="preserve"> a </w:t>
      </w:r>
      <w:r w:rsidRPr="001C4527">
        <w:rPr>
          <w:noProof/>
          <w:spacing w:val="-8"/>
        </w:rPr>
        <w:t>stresové testovanie takisto pomôžu pri monitorovaní vplyvu nových navrhovaných opatrení na dotknuté inštitúcie</w:t>
      </w:r>
      <w:r w:rsidR="004F01E9" w:rsidRPr="001C4527">
        <w:rPr>
          <w:noProof/>
          <w:spacing w:val="-8"/>
        </w:rPr>
        <w:t xml:space="preserve"> a </w:t>
      </w:r>
      <w:r w:rsidRPr="001C4527">
        <w:rPr>
          <w:noProof/>
          <w:spacing w:val="-8"/>
        </w:rPr>
        <w:t>pri posudzovaní vhodnosti úrovne flexibility</w:t>
      </w:r>
      <w:r w:rsidR="004F01E9" w:rsidRPr="001C4527">
        <w:rPr>
          <w:noProof/>
          <w:spacing w:val="-8"/>
        </w:rPr>
        <w:t xml:space="preserve"> a </w:t>
      </w:r>
      <w:r w:rsidRPr="001C4527">
        <w:rPr>
          <w:noProof/>
          <w:spacing w:val="-8"/>
        </w:rPr>
        <w:t>proporcionality, ktorá sa poskytla</w:t>
      </w:r>
      <w:r w:rsidR="004F01E9" w:rsidRPr="001C4527">
        <w:rPr>
          <w:noProof/>
          <w:spacing w:val="-8"/>
        </w:rPr>
        <w:t xml:space="preserve"> v </w:t>
      </w:r>
      <w:r w:rsidRPr="001C4527">
        <w:rPr>
          <w:noProof/>
          <w:spacing w:val="-8"/>
        </w:rPr>
        <w:t>snahe zohľadniť špecifiká menších inštitúcií. Orgán EBA spolu</w:t>
      </w:r>
      <w:r w:rsidR="004F01E9" w:rsidRPr="001C4527">
        <w:rPr>
          <w:noProof/>
          <w:spacing w:val="-8"/>
        </w:rPr>
        <w:t xml:space="preserve"> s </w:t>
      </w:r>
      <w:r w:rsidRPr="001C4527">
        <w:rPr>
          <w:noProof/>
          <w:spacing w:val="-8"/>
        </w:rPr>
        <w:t>jednotným mechanizmom dohľadu</w:t>
      </w:r>
      <w:r w:rsidR="004F01E9" w:rsidRPr="001C4527">
        <w:rPr>
          <w:noProof/>
          <w:spacing w:val="-8"/>
        </w:rPr>
        <w:t xml:space="preserve"> a </w:t>
      </w:r>
      <w:r w:rsidRPr="001C4527">
        <w:rPr>
          <w:noProof/>
          <w:spacing w:val="-8"/>
        </w:rPr>
        <w:t>príslušnými vnútroštátnymi orgánmi navyše vyvíjajú integrovaný nástroj na podávanie správ (EUCLID), od ktorého sa očakáva, že bude užitočným nástrojom na monitorovanie</w:t>
      </w:r>
      <w:r w:rsidR="004F01E9" w:rsidRPr="001C4527">
        <w:rPr>
          <w:noProof/>
          <w:spacing w:val="-8"/>
        </w:rPr>
        <w:t xml:space="preserve"> a </w:t>
      </w:r>
      <w:r w:rsidRPr="001C4527">
        <w:rPr>
          <w:noProof/>
          <w:spacing w:val="-8"/>
        </w:rPr>
        <w:t>hodnotenie vplyvu reforiem. A napokon, Komisia sa bude naďalej zúčastňovať na činnosti pracovných skupín výboru BCBS</w:t>
      </w:r>
      <w:r w:rsidR="004F01E9" w:rsidRPr="001C4527">
        <w:rPr>
          <w:noProof/>
          <w:spacing w:val="-8"/>
        </w:rPr>
        <w:t xml:space="preserve"> a </w:t>
      </w:r>
      <w:r w:rsidRPr="001C4527">
        <w:rPr>
          <w:noProof/>
          <w:spacing w:val="-8"/>
        </w:rPr>
        <w:t>spoločnej pracovnej skupiny zriadenej Európskou centrálnou bankou (ECB)</w:t>
      </w:r>
      <w:r w:rsidR="004F01E9" w:rsidRPr="001C4527">
        <w:rPr>
          <w:noProof/>
          <w:spacing w:val="-8"/>
        </w:rPr>
        <w:t xml:space="preserve"> a </w:t>
      </w:r>
      <w:r w:rsidRPr="001C4527">
        <w:rPr>
          <w:noProof/>
          <w:spacing w:val="-8"/>
        </w:rPr>
        <w:t>orgánom EBA, ktoré monitorujú dynamiku vlastných zdrojov</w:t>
      </w:r>
      <w:r w:rsidR="004F01E9" w:rsidRPr="001C4527">
        <w:rPr>
          <w:noProof/>
          <w:spacing w:val="-8"/>
        </w:rPr>
        <w:t xml:space="preserve"> a </w:t>
      </w:r>
      <w:r w:rsidRPr="001C4527">
        <w:rPr>
          <w:noProof/>
          <w:spacing w:val="-8"/>
        </w:rPr>
        <w:t>pozícií likvidity inštitúcií na celosvetovej úrovni</w:t>
      </w:r>
      <w:r w:rsidR="004F01E9" w:rsidRPr="001C4527">
        <w:rPr>
          <w:noProof/>
          <w:spacing w:val="-8"/>
        </w:rPr>
        <w:t xml:space="preserve"> v </w:t>
      </w:r>
      <w:r w:rsidRPr="001C4527">
        <w:rPr>
          <w:noProof/>
          <w:spacing w:val="-8"/>
        </w:rPr>
        <w:t>prípade pracovných skupín výboru BCBS</w:t>
      </w:r>
      <w:r w:rsidR="004F01E9" w:rsidRPr="001C4527">
        <w:rPr>
          <w:noProof/>
          <w:spacing w:val="-8"/>
        </w:rPr>
        <w:t xml:space="preserve"> a v </w:t>
      </w:r>
      <w:r w:rsidRPr="001C4527">
        <w:rPr>
          <w:noProof/>
          <w:spacing w:val="-8"/>
        </w:rPr>
        <w:t>EÚ</w:t>
      </w:r>
      <w:r w:rsidR="004F01E9" w:rsidRPr="001C4527">
        <w:rPr>
          <w:noProof/>
          <w:spacing w:val="-8"/>
        </w:rPr>
        <w:t xml:space="preserve"> v </w:t>
      </w:r>
      <w:r w:rsidRPr="001C4527">
        <w:rPr>
          <w:noProof/>
          <w:spacing w:val="-8"/>
        </w:rPr>
        <w:t>prípade spoločnej pracovnej skupiny zriadenej ECB</w:t>
      </w:r>
      <w:r w:rsidR="004F01E9" w:rsidRPr="001C4527">
        <w:rPr>
          <w:noProof/>
          <w:spacing w:val="-8"/>
        </w:rPr>
        <w:t xml:space="preserve"> a </w:t>
      </w:r>
      <w:r w:rsidRPr="001C4527">
        <w:rPr>
          <w:noProof/>
          <w:spacing w:val="-8"/>
        </w:rPr>
        <w:t>orgánom EBA.</w:t>
      </w:r>
    </w:p>
    <w:p w14:paraId="3D8FE886" w14:textId="77777777" w:rsidR="00845AE8" w:rsidRPr="004F01E9" w:rsidRDefault="00845AE8" w:rsidP="008A4012">
      <w:pPr>
        <w:pStyle w:val="ManualHeading2"/>
        <w:rPr>
          <w:rFonts w:eastAsia="Arial Unicode MS"/>
          <w:noProof/>
          <w:u w:color="000000"/>
          <w:bdr w:val="nil"/>
        </w:rPr>
      </w:pPr>
      <w:r w:rsidRPr="004F01E9">
        <w:rPr>
          <w:noProof/>
          <w:color w:val="000000"/>
          <w:u w:color="000000"/>
          <w:bdr w:val="nil"/>
        </w:rPr>
        <w:t>•</w:t>
      </w:r>
      <w:r w:rsidRPr="004F01E9">
        <w:rPr>
          <w:noProof/>
        </w:rPr>
        <w:tab/>
        <w:t>Podrobné vysvetlenie konkrétnych ustanovení návrhu</w:t>
      </w:r>
    </w:p>
    <w:p w14:paraId="6F502EA9" w14:textId="77777777" w:rsidR="00806B81" w:rsidRPr="004F01E9" w:rsidRDefault="00E74DDF" w:rsidP="00E74DDF">
      <w:pPr>
        <w:pBdr>
          <w:top w:val="nil"/>
          <w:left w:val="nil"/>
          <w:bottom w:val="nil"/>
          <w:right w:val="nil"/>
          <w:between w:val="nil"/>
          <w:bar w:val="nil"/>
        </w:pBdr>
        <w:spacing w:after="240"/>
        <w:rPr>
          <w:b/>
          <w:noProof/>
        </w:rPr>
      </w:pPr>
      <w:bookmarkStart w:id="1" w:name="_Toc75262634"/>
      <w:r w:rsidRPr="004F01E9">
        <w:rPr>
          <w:b/>
          <w:noProof/>
        </w:rPr>
        <w:t>Rozšírené vymedzenie subjektov zaradených do rozsahu prudenciálnej konsolidácie</w:t>
      </w:r>
    </w:p>
    <w:p w14:paraId="758A16AF" w14:textId="72F80DE7" w:rsidR="00806B81" w:rsidRPr="004F01E9" w:rsidRDefault="00E74DDF" w:rsidP="00E74DDF">
      <w:pPr>
        <w:pBdr>
          <w:top w:val="nil"/>
          <w:left w:val="nil"/>
          <w:bottom w:val="nil"/>
          <w:right w:val="nil"/>
          <w:between w:val="nil"/>
          <w:bar w:val="nil"/>
        </w:pBdr>
        <w:rPr>
          <w:noProof/>
        </w:rPr>
      </w:pPr>
      <w:r w:rsidRPr="004F01E9">
        <w:rPr>
          <w:noProof/>
        </w:rPr>
        <w:t>Nedávne udalosti zvýraznili potrebu objasniť ustanovenia</w:t>
      </w:r>
      <w:r w:rsidR="004F01E9">
        <w:rPr>
          <w:noProof/>
        </w:rPr>
        <w:t xml:space="preserve"> o </w:t>
      </w:r>
      <w:r w:rsidRPr="004F01E9">
        <w:rPr>
          <w:noProof/>
        </w:rPr>
        <w:t>prudenciálnej konsolidácii</w:t>
      </w:r>
      <w:r w:rsidR="004F01E9">
        <w:rPr>
          <w:noProof/>
        </w:rPr>
        <w:t xml:space="preserve"> s </w:t>
      </w:r>
      <w:r w:rsidRPr="004F01E9">
        <w:rPr>
          <w:noProof/>
        </w:rPr>
        <w:t>cieľom zabezpečiť, aby finančné skupiny, ktoré sú vedené finančnotechnologickými spoločnosťami alebo ktorých členmi sú okrem inštitúcií ďalšie subjekty, ktoré sa priamo alebo nepriamo zapájajú do finančných činností, podliehali konsolidovanému dohľadu. Na tento účel sa článok 4 mení tak, aby sa objasnilo</w:t>
      </w:r>
      <w:r w:rsidR="004F01E9">
        <w:rPr>
          <w:noProof/>
        </w:rPr>
        <w:t xml:space="preserve"> a </w:t>
      </w:r>
      <w:r w:rsidRPr="004F01E9">
        <w:rPr>
          <w:noProof/>
        </w:rPr>
        <w:t>rozšírilo vymedzenie pojmov „podnik pomocných služieb“ (PPS), „finančná holdingová spoločnosť“</w:t>
      </w:r>
      <w:r w:rsidR="004F01E9">
        <w:rPr>
          <w:noProof/>
        </w:rPr>
        <w:t xml:space="preserve"> a </w:t>
      </w:r>
      <w:r w:rsidRPr="004F01E9">
        <w:rPr>
          <w:noProof/>
        </w:rPr>
        <w:t>„finančná inštitúcia“, ktoré sú</w:t>
      </w:r>
      <w:r w:rsidR="004F01E9">
        <w:rPr>
          <w:noProof/>
        </w:rPr>
        <w:t xml:space="preserve"> v </w:t>
      </w:r>
      <w:r w:rsidRPr="004F01E9">
        <w:rPr>
          <w:noProof/>
        </w:rPr>
        <w:t>tomto ohľade kľúčovými pojmami. Podniky pomocných služieb by sa mali považovať za finančné inštitúcie,</w:t>
      </w:r>
      <w:r w:rsidR="004F01E9">
        <w:rPr>
          <w:noProof/>
        </w:rPr>
        <w:t xml:space="preserve"> a </w:t>
      </w:r>
      <w:r w:rsidRPr="004F01E9">
        <w:rPr>
          <w:noProof/>
        </w:rPr>
        <w:t>teda by sa mali zahrnúť do rozsahu prudenciálnej konsolidácie.</w:t>
      </w:r>
    </w:p>
    <w:p w14:paraId="196F4C9A" w14:textId="587B5276" w:rsidR="00806B81" w:rsidRPr="004F01E9" w:rsidRDefault="00E74DDF" w:rsidP="00C67562">
      <w:pPr>
        <w:pBdr>
          <w:top w:val="nil"/>
          <w:left w:val="nil"/>
          <w:bottom w:val="nil"/>
          <w:right w:val="nil"/>
          <w:between w:val="nil"/>
          <w:bar w:val="nil"/>
        </w:pBdr>
        <w:spacing w:after="240"/>
        <w:rPr>
          <w:noProof/>
        </w:rPr>
      </w:pPr>
      <w:r w:rsidRPr="004F01E9">
        <w:rPr>
          <w:noProof/>
        </w:rPr>
        <w:t>Okrem toho sa navrhuje aktualizovať aj vymedzenie pojmov „materská spoločnosť“</w:t>
      </w:r>
      <w:r w:rsidR="004F01E9">
        <w:rPr>
          <w:noProof/>
        </w:rPr>
        <w:t xml:space="preserve"> a </w:t>
      </w:r>
      <w:r w:rsidRPr="004F01E9">
        <w:rPr>
          <w:noProof/>
        </w:rPr>
        <w:t>„dcérska spoločnosť“</w:t>
      </w:r>
      <w:r w:rsidR="004F01E9">
        <w:rPr>
          <w:noProof/>
        </w:rPr>
        <w:t xml:space="preserve"> v </w:t>
      </w:r>
      <w:r w:rsidRPr="004F01E9">
        <w:rPr>
          <w:noProof/>
        </w:rPr>
        <w:t>súlade</w:t>
      </w:r>
      <w:r w:rsidR="004F01E9">
        <w:rPr>
          <w:noProof/>
        </w:rPr>
        <w:t xml:space="preserve"> s </w:t>
      </w:r>
      <w:r w:rsidRPr="004F01E9">
        <w:rPr>
          <w:noProof/>
        </w:rPr>
        <w:t>uplatniteľnými účtovnými štandardmi</w:t>
      </w:r>
      <w:r w:rsidR="004F01E9">
        <w:rPr>
          <w:noProof/>
        </w:rPr>
        <w:t xml:space="preserve"> a </w:t>
      </w:r>
      <w:r w:rsidRPr="004F01E9">
        <w:rPr>
          <w:noProof/>
        </w:rPr>
        <w:t>zosúladiť ich</w:t>
      </w:r>
      <w:r w:rsidR="004F01E9">
        <w:rPr>
          <w:noProof/>
        </w:rPr>
        <w:t xml:space="preserve"> s </w:t>
      </w:r>
      <w:r w:rsidRPr="004F01E9">
        <w:rPr>
          <w:noProof/>
        </w:rPr>
        <w:t>pojmom „kontrola“ už stanovenom</w:t>
      </w:r>
      <w:r w:rsidR="004F01E9">
        <w:rPr>
          <w:noProof/>
        </w:rPr>
        <w:t xml:space="preserve"> v </w:t>
      </w:r>
      <w:r w:rsidRPr="004F01E9">
        <w:rPr>
          <w:noProof/>
        </w:rPr>
        <w:t>nariadení CRR</w:t>
      </w:r>
      <w:r w:rsidR="004F01E9">
        <w:rPr>
          <w:noProof/>
        </w:rPr>
        <w:t xml:space="preserve"> s </w:t>
      </w:r>
      <w:r w:rsidRPr="004F01E9">
        <w:rPr>
          <w:noProof/>
        </w:rPr>
        <w:t>cieľom vyhnúť sa nekonzistentnému uplatňovaniu pravidiel</w:t>
      </w:r>
      <w:r w:rsidR="004F01E9">
        <w:rPr>
          <w:noProof/>
        </w:rPr>
        <w:t xml:space="preserve"> a </w:t>
      </w:r>
      <w:r w:rsidRPr="004F01E9">
        <w:rPr>
          <w:noProof/>
        </w:rPr>
        <w:t>regulačnej arbitráži.</w:t>
      </w:r>
    </w:p>
    <w:p w14:paraId="7261A25A" w14:textId="6D48B5B2" w:rsidR="00E74DDF" w:rsidRPr="004F01E9" w:rsidRDefault="00E74DDF" w:rsidP="00E22C97">
      <w:pPr>
        <w:rPr>
          <w:b/>
          <w:noProof/>
        </w:rPr>
      </w:pPr>
      <w:r w:rsidRPr="004F01E9">
        <w:rPr>
          <w:b/>
          <w:noProof/>
        </w:rPr>
        <w:t>Vlastné zdroje</w:t>
      </w:r>
    </w:p>
    <w:p w14:paraId="269E4BCF" w14:textId="331135CB" w:rsidR="00E74DDF" w:rsidRPr="004F01E9" w:rsidRDefault="00E74DDF" w:rsidP="00E22C97">
      <w:pPr>
        <w:rPr>
          <w:i/>
          <w:noProof/>
        </w:rPr>
      </w:pPr>
      <w:r w:rsidRPr="004F01E9">
        <w:rPr>
          <w:i/>
          <w:noProof/>
        </w:rPr>
        <w:t>Vymedzenie pojmov „nepriamy podiel“</w:t>
      </w:r>
      <w:r w:rsidR="004F01E9">
        <w:rPr>
          <w:i/>
          <w:noProof/>
        </w:rPr>
        <w:t xml:space="preserve"> a </w:t>
      </w:r>
      <w:r w:rsidRPr="004F01E9">
        <w:rPr>
          <w:i/>
          <w:noProof/>
        </w:rPr>
        <w:t>„syntetický podiel“</w:t>
      </w:r>
    </w:p>
    <w:p w14:paraId="38981B4F" w14:textId="5EB161E1" w:rsidR="00806B81" w:rsidRPr="004F01E9" w:rsidRDefault="00E74DDF" w:rsidP="00E22C97">
      <w:pPr>
        <w:rPr>
          <w:noProof/>
        </w:rPr>
      </w:pPr>
      <w:r w:rsidRPr="004F01E9">
        <w:rPr>
          <w:noProof/>
        </w:rPr>
        <w:t>Podľa článku 72e ods. 1 nariadenia CRR, inštitúcie, ktoré podliehajú článku 92a nariadenia CRR sú povinné odpočítať od určitých oprávnených záväzkov nepriame</w:t>
      </w:r>
      <w:r w:rsidR="004F01E9">
        <w:rPr>
          <w:noProof/>
        </w:rPr>
        <w:t xml:space="preserve"> a </w:t>
      </w:r>
      <w:r w:rsidRPr="004F01E9">
        <w:rPr>
          <w:noProof/>
        </w:rPr>
        <w:t>syntetické podiely. Súčasné vymedzenie pojmov „nepriamy podiel“</w:t>
      </w:r>
      <w:r w:rsidR="004F01E9">
        <w:rPr>
          <w:noProof/>
        </w:rPr>
        <w:t xml:space="preserve"> a </w:t>
      </w:r>
      <w:r w:rsidRPr="004F01E9">
        <w:rPr>
          <w:noProof/>
        </w:rPr>
        <w:t>„syntetický podiel“ však zachytáva iba podiely kapitálových nástrojov. Uvedené vymedzenie pojmov sa preto zmenilo, aby zachytilo aj podiely príslušných záväzkov (článok 4 ods. 1 body 114</w:t>
      </w:r>
      <w:r w:rsidR="004F01E9">
        <w:rPr>
          <w:noProof/>
        </w:rPr>
        <w:t xml:space="preserve"> a </w:t>
      </w:r>
      <w:r w:rsidRPr="004F01E9">
        <w:rPr>
          <w:noProof/>
        </w:rPr>
        <w:t>126 nariadenia CRR).</w:t>
      </w:r>
    </w:p>
    <w:p w14:paraId="21363D84" w14:textId="0F1520CD" w:rsidR="00E74DDF" w:rsidRPr="004F01E9" w:rsidRDefault="00E74DDF" w:rsidP="00E22C97">
      <w:pPr>
        <w:rPr>
          <w:i/>
          <w:noProof/>
        </w:rPr>
      </w:pPr>
      <w:r w:rsidRPr="004F01E9">
        <w:rPr>
          <w:i/>
          <w:noProof/>
        </w:rPr>
        <w:t>Kapitálové nástroje vzájomných spoločností, družstevných spoločností, sporiteľní alebo podobných inštitúcií</w:t>
      </w:r>
    </w:p>
    <w:p w14:paraId="38E2A9F9" w14:textId="34C61D2F" w:rsidR="00E74DDF" w:rsidRPr="004F01E9" w:rsidRDefault="00E74DDF" w:rsidP="00E74DDF">
      <w:pPr>
        <w:rPr>
          <w:rFonts w:eastAsia="Times New Roman"/>
          <w:noProof/>
          <w:color w:val="000000"/>
        </w:rPr>
      </w:pPr>
      <w:r w:rsidRPr="004F01E9">
        <w:rPr>
          <w:noProof/>
          <w:color w:val="000000"/>
        </w:rPr>
        <w:t>Po vystúpení Spojeného kráľovstva</w:t>
      </w:r>
      <w:r w:rsidR="004F01E9">
        <w:rPr>
          <w:noProof/>
          <w:color w:val="000000"/>
        </w:rPr>
        <w:t xml:space="preserve"> z </w:t>
      </w:r>
      <w:r w:rsidRPr="004F01E9">
        <w:rPr>
          <w:noProof/>
          <w:color w:val="000000"/>
        </w:rPr>
        <w:t>EÚ podľa článku 50 Zmluvy</w:t>
      </w:r>
      <w:r w:rsidR="004F01E9">
        <w:rPr>
          <w:noProof/>
          <w:color w:val="000000"/>
        </w:rPr>
        <w:t xml:space="preserve"> o </w:t>
      </w:r>
      <w:r w:rsidRPr="004F01E9">
        <w:rPr>
          <w:noProof/>
          <w:color w:val="000000"/>
        </w:rPr>
        <w:t>Európskej únii sa už článok 27 ods. 1 písm. a) bod v) nariadenia CRR netýka inštitúcií usadených</w:t>
      </w:r>
      <w:r w:rsidR="004F01E9">
        <w:rPr>
          <w:noProof/>
          <w:color w:val="000000"/>
        </w:rPr>
        <w:t xml:space="preserve"> v </w:t>
      </w:r>
      <w:r w:rsidRPr="004F01E9">
        <w:rPr>
          <w:noProof/>
          <w:color w:val="000000"/>
        </w:rPr>
        <w:t>Únii (ustanovenie bolo zavedené na uspokojenie potrieb inštitúcie usadenej</w:t>
      </w:r>
      <w:r w:rsidR="004F01E9">
        <w:rPr>
          <w:noProof/>
          <w:color w:val="000000"/>
        </w:rPr>
        <w:t xml:space="preserve"> v </w:t>
      </w:r>
      <w:r w:rsidRPr="004F01E9">
        <w:rPr>
          <w:noProof/>
          <w:color w:val="000000"/>
        </w:rPr>
        <w:t>Spojenom kráľovstve). Ustanovenie sa preto vypúšťa.</w:t>
      </w:r>
    </w:p>
    <w:p w14:paraId="6A9F980F" w14:textId="39BC0CC0" w:rsidR="00E74DDF" w:rsidRPr="004F01E9" w:rsidRDefault="00E74DDF" w:rsidP="00E22C97">
      <w:pPr>
        <w:rPr>
          <w:i/>
          <w:noProof/>
        </w:rPr>
      </w:pPr>
      <w:r w:rsidRPr="004F01E9">
        <w:rPr>
          <w:i/>
          <w:noProof/>
        </w:rPr>
        <w:t>Prahové výnimky</w:t>
      </w:r>
      <w:r w:rsidR="004F01E9">
        <w:rPr>
          <w:i/>
          <w:noProof/>
        </w:rPr>
        <w:t xml:space="preserve"> z </w:t>
      </w:r>
      <w:r w:rsidRPr="004F01E9">
        <w:rPr>
          <w:i/>
          <w:noProof/>
        </w:rPr>
        <w:t>odpočtu od položiek vlastného kapitálu Tier 1</w:t>
      </w:r>
    </w:p>
    <w:p w14:paraId="07997927" w14:textId="58DA0843" w:rsidR="00E74DDF" w:rsidRPr="001C4527" w:rsidRDefault="00E74DDF" w:rsidP="00E22C97">
      <w:pPr>
        <w:rPr>
          <w:noProof/>
          <w:spacing w:val="-4"/>
        </w:rPr>
      </w:pPr>
      <w:r w:rsidRPr="001C4527">
        <w:rPr>
          <w:noProof/>
          <w:spacing w:val="-4"/>
        </w:rPr>
        <w:t>Na účely uplatňovania niektorých odpočtov vlastných zdrojov stanovených</w:t>
      </w:r>
      <w:r w:rsidR="004F01E9" w:rsidRPr="001C4527">
        <w:rPr>
          <w:noProof/>
          <w:spacing w:val="-4"/>
        </w:rPr>
        <w:t xml:space="preserve"> v </w:t>
      </w:r>
      <w:r w:rsidRPr="001C4527">
        <w:rPr>
          <w:noProof/>
          <w:spacing w:val="-4"/>
        </w:rPr>
        <w:t>nariadení CRR musia inštitúcie vypočítať určité prahové hodnoty, ktoré vychádzajú</w:t>
      </w:r>
      <w:r w:rsidR="004F01E9" w:rsidRPr="001C4527">
        <w:rPr>
          <w:noProof/>
          <w:spacing w:val="-4"/>
        </w:rPr>
        <w:t xml:space="preserve"> z </w:t>
      </w:r>
      <w:r w:rsidRPr="001C4527">
        <w:rPr>
          <w:noProof/>
          <w:spacing w:val="-4"/>
        </w:rPr>
        <w:t>položiek vlastného kapitálu Tier 1 (CET1) po uplatnení prudenciálnych filtrov</w:t>
      </w:r>
      <w:r w:rsidR="004F01E9" w:rsidRPr="001C4527">
        <w:rPr>
          <w:noProof/>
          <w:spacing w:val="-4"/>
        </w:rPr>
        <w:t xml:space="preserve"> a </w:t>
      </w:r>
      <w:r w:rsidRPr="001C4527">
        <w:rPr>
          <w:noProof/>
          <w:spacing w:val="-4"/>
        </w:rPr>
        <w:t>väčšiny odpočtov týkajúcich sa vlastného kapitálu Tier 1.</w:t>
      </w:r>
      <w:r w:rsidR="004F01E9" w:rsidRPr="001C4527">
        <w:rPr>
          <w:noProof/>
          <w:spacing w:val="-4"/>
        </w:rPr>
        <w:t xml:space="preserve"> V </w:t>
      </w:r>
      <w:r w:rsidRPr="001C4527">
        <w:rPr>
          <w:noProof/>
          <w:spacing w:val="-4"/>
        </w:rPr>
        <w:t>záujme udržania koherentnosti výpočtu príslušných prahových hodnôt</w:t>
      </w:r>
      <w:r w:rsidR="004F01E9" w:rsidRPr="001C4527">
        <w:rPr>
          <w:noProof/>
          <w:spacing w:val="-4"/>
        </w:rPr>
        <w:t xml:space="preserve"> a s </w:t>
      </w:r>
      <w:r w:rsidRPr="001C4527">
        <w:rPr>
          <w:noProof/>
          <w:spacing w:val="-4"/>
        </w:rPr>
        <w:t>cieľom vyhnúť sa asymetrii pri zaobchádzaní</w:t>
      </w:r>
      <w:r w:rsidR="004F01E9" w:rsidRPr="001C4527">
        <w:rPr>
          <w:noProof/>
          <w:spacing w:val="-4"/>
        </w:rPr>
        <w:t xml:space="preserve"> s </w:t>
      </w:r>
      <w:r w:rsidRPr="001C4527">
        <w:rPr>
          <w:noProof/>
          <w:spacing w:val="-4"/>
        </w:rPr>
        <w:t>určitými odpočtami prahových hodnôt, sa aj nové odpočty, ktoré sa týkajú vlastného kapitálu Tier 1 podľa nariadenia Európskeho parlamentu</w:t>
      </w:r>
      <w:r w:rsidR="004F01E9" w:rsidRPr="001C4527">
        <w:rPr>
          <w:noProof/>
          <w:spacing w:val="-4"/>
        </w:rPr>
        <w:t xml:space="preserve"> a </w:t>
      </w:r>
      <w:r w:rsidRPr="001C4527">
        <w:rPr>
          <w:noProof/>
          <w:spacing w:val="-4"/>
        </w:rPr>
        <w:t>Rady (EÚ) 2019/630</w:t>
      </w:r>
      <w:r w:rsidRPr="001C4527">
        <w:rPr>
          <w:rStyle w:val="FootnoteReference0"/>
          <w:noProof/>
          <w:spacing w:val="-4"/>
        </w:rPr>
        <w:footnoteReference w:id="37"/>
      </w:r>
      <w:r w:rsidR="004F01E9" w:rsidRPr="001C4527">
        <w:rPr>
          <w:noProof/>
          <w:spacing w:val="-4"/>
        </w:rPr>
        <w:t xml:space="preserve"> a </w:t>
      </w:r>
      <w:r w:rsidRPr="001C4527">
        <w:rPr>
          <w:noProof/>
          <w:spacing w:val="-4"/>
        </w:rPr>
        <w:t>nariadenia (EÚ) 2019/876, musia zohľadniť pri výpočte príslušných položiek vlastného kapitálu Tier 1. Preto sa do článku 46 ods. 1, článku 48 ods. 1, článku 60 ods. 1, článku 70 ods. 1</w:t>
      </w:r>
      <w:r w:rsidR="004F01E9" w:rsidRPr="001C4527">
        <w:rPr>
          <w:noProof/>
          <w:spacing w:val="-4"/>
        </w:rPr>
        <w:t xml:space="preserve"> a </w:t>
      </w:r>
      <w:r w:rsidRPr="001C4527">
        <w:rPr>
          <w:noProof/>
          <w:spacing w:val="-4"/>
        </w:rPr>
        <w:t>článku 72i ods. 1 nariadenia CRR dopĺňajú odkazy na článok 36 ods. 1 písm. m)</w:t>
      </w:r>
      <w:r w:rsidR="004F01E9" w:rsidRPr="001C4527">
        <w:rPr>
          <w:noProof/>
          <w:spacing w:val="-4"/>
        </w:rPr>
        <w:t xml:space="preserve"> a </w:t>
      </w:r>
      <w:r w:rsidRPr="001C4527">
        <w:rPr>
          <w:noProof/>
          <w:spacing w:val="-4"/>
        </w:rPr>
        <w:t>n) nariadenia</w:t>
      </w:r>
      <w:r w:rsidR="004F01E9" w:rsidRPr="001C4527">
        <w:rPr>
          <w:noProof/>
          <w:spacing w:val="-4"/>
        </w:rPr>
        <w:t xml:space="preserve"> o </w:t>
      </w:r>
      <w:r w:rsidRPr="001C4527">
        <w:rPr>
          <w:noProof/>
          <w:spacing w:val="-4"/>
        </w:rPr>
        <w:t>kapitálových požiadavkách. Zároveň sa</w:t>
      </w:r>
      <w:r w:rsidR="004F01E9" w:rsidRPr="001C4527">
        <w:rPr>
          <w:noProof/>
          <w:spacing w:val="-4"/>
        </w:rPr>
        <w:t xml:space="preserve"> v </w:t>
      </w:r>
      <w:r w:rsidRPr="001C4527">
        <w:rPr>
          <w:noProof/>
          <w:spacing w:val="-4"/>
        </w:rPr>
        <w:t>záujme zohľadnenia odstránenia odpočtov kapitálových expozícií</w:t>
      </w:r>
      <w:r w:rsidR="004F01E9" w:rsidRPr="001C4527">
        <w:rPr>
          <w:noProof/>
          <w:spacing w:val="-4"/>
        </w:rPr>
        <w:t xml:space="preserve"> v </w:t>
      </w:r>
      <w:r w:rsidRPr="001C4527">
        <w:rPr>
          <w:noProof/>
          <w:spacing w:val="-4"/>
        </w:rPr>
        <w:t>rámci prístupu interných modelov vypúšťa</w:t>
      </w:r>
      <w:r w:rsidR="004F01E9" w:rsidRPr="001C4527">
        <w:rPr>
          <w:noProof/>
          <w:spacing w:val="-4"/>
        </w:rPr>
        <w:t xml:space="preserve"> z </w:t>
      </w:r>
      <w:r w:rsidRPr="001C4527">
        <w:rPr>
          <w:noProof/>
          <w:spacing w:val="-4"/>
        </w:rPr>
        <w:t>uvedených ustanovení odkaz na článok 36 ods. 1 písm. k) bod v).</w:t>
      </w:r>
    </w:p>
    <w:p w14:paraId="25C990C1" w14:textId="5F313DC0" w:rsidR="00E74DDF" w:rsidRPr="004F01E9" w:rsidRDefault="00E74DDF" w:rsidP="00E22C97">
      <w:pPr>
        <w:rPr>
          <w:i/>
          <w:noProof/>
        </w:rPr>
      </w:pPr>
      <w:r w:rsidRPr="004F01E9">
        <w:rPr>
          <w:i/>
          <w:noProof/>
        </w:rPr>
        <w:t>Menšinové účasti</w:t>
      </w:r>
      <w:r w:rsidR="004F01E9">
        <w:rPr>
          <w:i/>
          <w:noProof/>
        </w:rPr>
        <w:t xml:space="preserve"> v </w:t>
      </w:r>
      <w:r w:rsidRPr="004F01E9">
        <w:rPr>
          <w:i/>
          <w:noProof/>
        </w:rPr>
        <w:t>súvislosti</w:t>
      </w:r>
      <w:r w:rsidR="004F01E9">
        <w:rPr>
          <w:i/>
          <w:noProof/>
        </w:rPr>
        <w:t xml:space="preserve"> s </w:t>
      </w:r>
      <w:r w:rsidRPr="004F01E9">
        <w:rPr>
          <w:i/>
          <w:noProof/>
        </w:rPr>
        <w:t>dcérskymi spoločnosťami</w:t>
      </w:r>
      <w:r w:rsidR="004F01E9">
        <w:rPr>
          <w:i/>
          <w:noProof/>
        </w:rPr>
        <w:t xml:space="preserve"> z </w:t>
      </w:r>
      <w:r w:rsidRPr="004F01E9">
        <w:rPr>
          <w:i/>
          <w:noProof/>
        </w:rPr>
        <w:t>tretích krajín</w:t>
      </w:r>
    </w:p>
    <w:p w14:paraId="0FF14BCF" w14:textId="2036C6AD" w:rsidR="00806B81" w:rsidRPr="001C4527" w:rsidRDefault="00E74DDF" w:rsidP="00E22C97">
      <w:pPr>
        <w:rPr>
          <w:noProof/>
          <w:spacing w:val="-4"/>
        </w:rPr>
      </w:pPr>
      <w:r w:rsidRPr="001C4527">
        <w:rPr>
          <w:noProof/>
          <w:spacing w:val="-4"/>
        </w:rPr>
        <w:t>V nariadení Európskeho parlamentu</w:t>
      </w:r>
      <w:r w:rsidR="004F01E9" w:rsidRPr="001C4527">
        <w:rPr>
          <w:noProof/>
          <w:spacing w:val="-4"/>
        </w:rPr>
        <w:t xml:space="preserve"> a </w:t>
      </w:r>
      <w:r w:rsidRPr="001C4527">
        <w:rPr>
          <w:noProof/>
          <w:spacing w:val="-4"/>
        </w:rPr>
        <w:t>Rady (EÚ) 2019/2033</w:t>
      </w:r>
      <w:r w:rsidRPr="001C4527">
        <w:rPr>
          <w:rStyle w:val="FootnoteReference0"/>
          <w:noProof/>
          <w:spacing w:val="-4"/>
        </w:rPr>
        <w:footnoteReference w:id="38"/>
      </w:r>
      <w:r w:rsidRPr="001C4527">
        <w:rPr>
          <w:noProof/>
          <w:spacing w:val="-4"/>
        </w:rPr>
        <w:t xml:space="preserve"> (nariadenie</w:t>
      </w:r>
      <w:r w:rsidR="004F01E9" w:rsidRPr="001C4527">
        <w:rPr>
          <w:noProof/>
          <w:spacing w:val="-4"/>
        </w:rPr>
        <w:t xml:space="preserve"> o </w:t>
      </w:r>
      <w:r w:rsidRPr="001C4527">
        <w:rPr>
          <w:noProof/>
          <w:spacing w:val="-4"/>
        </w:rPr>
        <w:t>investičných spoločnostiach) sa zavádzajú zmeny</w:t>
      </w:r>
      <w:r w:rsidR="004F01E9" w:rsidRPr="001C4527">
        <w:rPr>
          <w:noProof/>
          <w:spacing w:val="-4"/>
        </w:rPr>
        <w:t xml:space="preserve"> v </w:t>
      </w:r>
      <w:r w:rsidRPr="001C4527">
        <w:rPr>
          <w:noProof/>
          <w:spacing w:val="-4"/>
        </w:rPr>
        <w:t>pojmoch „inštitúcia“</w:t>
      </w:r>
      <w:r w:rsidR="004F01E9" w:rsidRPr="001C4527">
        <w:rPr>
          <w:noProof/>
          <w:spacing w:val="-4"/>
        </w:rPr>
        <w:t xml:space="preserve"> a </w:t>
      </w:r>
      <w:r w:rsidRPr="001C4527">
        <w:rPr>
          <w:noProof/>
          <w:spacing w:val="-4"/>
        </w:rPr>
        <w:t>„investičná spoločnosť“ (článok 4 ods. 1 body 2</w:t>
      </w:r>
      <w:r w:rsidR="004F01E9" w:rsidRPr="001C4527">
        <w:rPr>
          <w:noProof/>
          <w:spacing w:val="-4"/>
        </w:rPr>
        <w:t xml:space="preserve"> a </w:t>
      </w:r>
      <w:r w:rsidRPr="001C4527">
        <w:rPr>
          <w:noProof/>
          <w:spacing w:val="-4"/>
        </w:rPr>
        <w:t>3 nariadenia CRR). Vkladá sa nový článok 88b</w:t>
      </w:r>
      <w:r w:rsidR="004F01E9" w:rsidRPr="001C4527">
        <w:rPr>
          <w:noProof/>
          <w:spacing w:val="-4"/>
        </w:rPr>
        <w:t xml:space="preserve"> s </w:t>
      </w:r>
      <w:r w:rsidRPr="001C4527">
        <w:rPr>
          <w:noProof/>
          <w:spacing w:val="-4"/>
        </w:rPr>
        <w:t>cieľom zabezpečiť, aby sa dcérske spoločnosti, ktoré sídlia</w:t>
      </w:r>
      <w:r w:rsidR="004F01E9" w:rsidRPr="001C4527">
        <w:rPr>
          <w:noProof/>
          <w:spacing w:val="-4"/>
        </w:rPr>
        <w:t xml:space="preserve"> v </w:t>
      </w:r>
      <w:r w:rsidRPr="001C4527">
        <w:rPr>
          <w:noProof/>
          <w:spacing w:val="-4"/>
        </w:rPr>
        <w:t>tretej krajine, mohli napriek tomu zohľadňovať na účely druhej časti hlavy II nariadenia CRR (t. j. na určenie menšinovej účasti) pod podmienkou, že sa na tieto dcérske spoločnosti vzťahuje revidované vymedzenie pojmu, ak boli založené</w:t>
      </w:r>
      <w:r w:rsidR="004F01E9" w:rsidRPr="001C4527">
        <w:rPr>
          <w:noProof/>
          <w:spacing w:val="-4"/>
        </w:rPr>
        <w:t xml:space="preserve"> v </w:t>
      </w:r>
      <w:r w:rsidRPr="001C4527">
        <w:rPr>
          <w:noProof/>
          <w:spacing w:val="-4"/>
        </w:rPr>
        <w:t>Únii.</w:t>
      </w:r>
    </w:p>
    <w:p w14:paraId="16424DEC" w14:textId="59B43A42" w:rsidR="00E74DDF" w:rsidRPr="001C4527" w:rsidRDefault="00E74DDF" w:rsidP="00C67562">
      <w:pPr>
        <w:spacing w:after="240"/>
        <w:rPr>
          <w:noProof/>
          <w:spacing w:val="-8"/>
        </w:rPr>
      </w:pPr>
      <w:r w:rsidRPr="001C4527">
        <w:rPr>
          <w:noProof/>
          <w:spacing w:val="-8"/>
        </w:rPr>
        <w:t>Niektoré dodatočné zmeny sa uplatňujú na článok 84 ods. 1, článok 85 ods. 1</w:t>
      </w:r>
      <w:r w:rsidR="004F01E9" w:rsidRPr="001C4527">
        <w:rPr>
          <w:noProof/>
          <w:spacing w:val="-8"/>
        </w:rPr>
        <w:t xml:space="preserve"> a </w:t>
      </w:r>
      <w:r w:rsidRPr="001C4527">
        <w:rPr>
          <w:noProof/>
          <w:spacing w:val="-8"/>
        </w:rPr>
        <w:t>článok 87 ods. 1 nariadenia CRR</w:t>
      </w:r>
      <w:r w:rsidR="004F01E9" w:rsidRPr="001C4527">
        <w:rPr>
          <w:noProof/>
          <w:spacing w:val="-8"/>
        </w:rPr>
        <w:t xml:space="preserve"> v </w:t>
      </w:r>
      <w:r w:rsidRPr="001C4527">
        <w:rPr>
          <w:noProof/>
          <w:spacing w:val="-8"/>
        </w:rPr>
        <w:t>súvislosti</w:t>
      </w:r>
      <w:r w:rsidR="004F01E9" w:rsidRPr="001C4527">
        <w:rPr>
          <w:noProof/>
          <w:spacing w:val="-8"/>
        </w:rPr>
        <w:t xml:space="preserve"> s </w:t>
      </w:r>
      <w:r w:rsidRPr="001C4527">
        <w:rPr>
          <w:noProof/>
          <w:spacing w:val="-8"/>
        </w:rPr>
        <w:t>dcérskymi spoločnosťami</w:t>
      </w:r>
      <w:r w:rsidR="004F01E9" w:rsidRPr="001C4527">
        <w:rPr>
          <w:noProof/>
          <w:spacing w:val="-8"/>
        </w:rPr>
        <w:t xml:space="preserve"> z </w:t>
      </w:r>
      <w:r w:rsidRPr="001C4527">
        <w:rPr>
          <w:noProof/>
          <w:spacing w:val="-8"/>
        </w:rPr>
        <w:t>tretích krajín. Týmito zmenami sa súčasný výpočet menšinovej účasti nemení, ale ich účelom je objasniť právny text</w:t>
      </w:r>
      <w:r w:rsidR="004F01E9" w:rsidRPr="001C4527">
        <w:rPr>
          <w:noProof/>
          <w:spacing w:val="-8"/>
        </w:rPr>
        <w:t xml:space="preserve"> v </w:t>
      </w:r>
      <w:r w:rsidRPr="001C4527">
        <w:rPr>
          <w:noProof/>
          <w:spacing w:val="-8"/>
        </w:rPr>
        <w:t>nadväznosti na odpovede Komisie prostredníctvom nástroja otázok</w:t>
      </w:r>
      <w:r w:rsidR="004F01E9" w:rsidRPr="001C4527">
        <w:rPr>
          <w:noProof/>
          <w:spacing w:val="-8"/>
        </w:rPr>
        <w:t xml:space="preserve"> a </w:t>
      </w:r>
      <w:r w:rsidRPr="001C4527">
        <w:rPr>
          <w:noProof/>
          <w:spacing w:val="-8"/>
        </w:rPr>
        <w:t>odpovedí</w:t>
      </w:r>
      <w:r w:rsidR="004F01E9" w:rsidRPr="001C4527">
        <w:rPr>
          <w:noProof/>
          <w:spacing w:val="-8"/>
        </w:rPr>
        <w:t xml:space="preserve"> k </w:t>
      </w:r>
      <w:r w:rsidRPr="001C4527">
        <w:rPr>
          <w:noProof/>
          <w:spacing w:val="-8"/>
        </w:rPr>
        <w:t>súboru jednotných pravidiel orgánu EBA.</w:t>
      </w:r>
    </w:p>
    <w:p w14:paraId="08B4026C" w14:textId="77777777" w:rsidR="00E74DDF" w:rsidRPr="004F01E9" w:rsidRDefault="00E74DDF" w:rsidP="00E74DDF">
      <w:pPr>
        <w:pBdr>
          <w:top w:val="nil"/>
          <w:left w:val="nil"/>
          <w:bottom w:val="nil"/>
          <w:right w:val="nil"/>
          <w:between w:val="nil"/>
          <w:bar w:val="nil"/>
        </w:pBdr>
        <w:rPr>
          <w:b/>
          <w:noProof/>
        </w:rPr>
      </w:pPr>
      <w:r w:rsidRPr="004F01E9">
        <w:rPr>
          <w:b/>
          <w:noProof/>
        </w:rPr>
        <w:t>Spodná hranica pre výstupné hodnoty</w:t>
      </w:r>
    </w:p>
    <w:p w14:paraId="7CCD98BC" w14:textId="2B6AD4C0" w:rsidR="00E74DDF" w:rsidRPr="001C4527" w:rsidRDefault="00E74DDF" w:rsidP="002E122C">
      <w:pPr>
        <w:rPr>
          <w:bCs/>
          <w:noProof/>
          <w:spacing w:val="-4"/>
        </w:rPr>
      </w:pPr>
      <w:r w:rsidRPr="001C4527">
        <w:rPr>
          <w:noProof/>
          <w:spacing w:val="-4"/>
        </w:rPr>
        <w:t>Spodná hranica pre výstupné hodnoty, pokiaľ ide</w:t>
      </w:r>
      <w:r w:rsidR="004F01E9" w:rsidRPr="001C4527">
        <w:rPr>
          <w:noProof/>
          <w:spacing w:val="-4"/>
        </w:rPr>
        <w:t xml:space="preserve"> o </w:t>
      </w:r>
      <w:r w:rsidRPr="001C4527">
        <w:rPr>
          <w:noProof/>
          <w:spacing w:val="-4"/>
        </w:rPr>
        <w:t>kapitálové požiadavky založené na rizikách, sa zavádza zmenami nariadenia CRR aj zmenami smernice CRD. Predstavujú jedno</w:t>
      </w:r>
      <w:r w:rsidR="004F01E9" w:rsidRPr="001C4527">
        <w:rPr>
          <w:noProof/>
          <w:spacing w:val="-4"/>
        </w:rPr>
        <w:t xml:space="preserve"> z </w:t>
      </w:r>
      <w:r w:rsidRPr="001C4527">
        <w:rPr>
          <w:noProof/>
          <w:spacing w:val="-4"/>
        </w:rPr>
        <w:t>kľúčových opatrení reforiem Bazilej III</w:t>
      </w:r>
      <w:r w:rsidR="004F01E9" w:rsidRPr="001C4527">
        <w:rPr>
          <w:noProof/>
          <w:spacing w:val="-4"/>
        </w:rPr>
        <w:t xml:space="preserve"> a </w:t>
      </w:r>
      <w:r w:rsidRPr="001C4527">
        <w:rPr>
          <w:noProof/>
          <w:spacing w:val="-4"/>
        </w:rPr>
        <w:t>ich cieľom je obmedziť nadmernú variabilitu požiadaviek na vlastné zdroje inštitúcií vypočítané</w:t>
      </w:r>
      <w:r w:rsidR="004F01E9" w:rsidRPr="001C4527">
        <w:rPr>
          <w:noProof/>
          <w:spacing w:val="-4"/>
        </w:rPr>
        <w:t xml:space="preserve"> s </w:t>
      </w:r>
      <w:r w:rsidRPr="001C4527">
        <w:rPr>
          <w:noProof/>
          <w:spacing w:val="-4"/>
        </w:rPr>
        <w:t>použitím interných modelov,</w:t>
      </w:r>
      <w:r w:rsidR="004F01E9" w:rsidRPr="001C4527">
        <w:rPr>
          <w:noProof/>
          <w:spacing w:val="-4"/>
        </w:rPr>
        <w:t xml:space="preserve"> a </w:t>
      </w:r>
      <w:r w:rsidRPr="001C4527">
        <w:rPr>
          <w:noProof/>
          <w:spacing w:val="-4"/>
        </w:rPr>
        <w:t>tým zvýšiť porovnateľnosť kapitálových ukazovateľov inštitúcií. Stanovujú nižšiu hranicu kapitálových požiadaviek ako interné modely inštitúcií,</w:t>
      </w:r>
      <w:r w:rsidR="004F01E9" w:rsidRPr="001C4527">
        <w:rPr>
          <w:noProof/>
          <w:spacing w:val="-4"/>
        </w:rPr>
        <w:t xml:space="preserve"> a </w:t>
      </w:r>
      <w:r w:rsidRPr="001C4527">
        <w:rPr>
          <w:noProof/>
          <w:spacing w:val="-4"/>
        </w:rPr>
        <w:t>to vo výške 72,5</w:t>
      </w:r>
      <w:r w:rsidR="004F01E9" w:rsidRPr="001C4527">
        <w:rPr>
          <w:noProof/>
          <w:spacing w:val="-4"/>
        </w:rPr>
        <w:t> %</w:t>
      </w:r>
      <w:r w:rsidRPr="001C4527">
        <w:rPr>
          <w:noProof/>
          <w:spacing w:val="-4"/>
        </w:rPr>
        <w:t xml:space="preserve"> požiadaviek na vlastné zdroje, ktoré by sa uplatňovali na základe štandardizovaných prístupov. Rozhodnutie</w:t>
      </w:r>
      <w:r w:rsidR="004F01E9" w:rsidRPr="001C4527">
        <w:rPr>
          <w:noProof/>
          <w:spacing w:val="-4"/>
        </w:rPr>
        <w:t xml:space="preserve"> o </w:t>
      </w:r>
      <w:r w:rsidRPr="001C4527">
        <w:rPr>
          <w:noProof/>
          <w:spacing w:val="-4"/>
        </w:rPr>
        <w:t>zavedení minimálnych požiadaviek na výstupné parametre sa zakladá na analýze, ktorou sa zistilo, že inštitúcie používajúce interné modely sú náchylné podceniť riziká,</w:t>
      </w:r>
      <w:r w:rsidR="004F01E9" w:rsidRPr="001C4527">
        <w:rPr>
          <w:noProof/>
          <w:spacing w:val="-4"/>
        </w:rPr>
        <w:t xml:space="preserve"> a </w:t>
      </w:r>
      <w:r w:rsidRPr="001C4527">
        <w:rPr>
          <w:noProof/>
          <w:spacing w:val="-4"/>
        </w:rPr>
        <w:t>teda aj požiadavky na vlastné zdroje.</w:t>
      </w:r>
    </w:p>
    <w:p w14:paraId="6D3F2C2C" w14:textId="4AD2A5E2" w:rsidR="00806B81" w:rsidRPr="004F01E9" w:rsidRDefault="00E74DDF" w:rsidP="00E74DDF">
      <w:pPr>
        <w:pBdr>
          <w:top w:val="nil"/>
          <w:left w:val="nil"/>
          <w:bottom w:val="nil"/>
          <w:right w:val="nil"/>
          <w:between w:val="nil"/>
          <w:bar w:val="nil"/>
        </w:pBdr>
        <w:rPr>
          <w:bCs/>
          <w:noProof/>
        </w:rPr>
      </w:pPr>
      <w:r w:rsidRPr="004F01E9">
        <w:rPr>
          <w:noProof/>
        </w:rPr>
        <w:t>Výpočet spodnej hodnoty rizikovo vážených aktív sa stanovuje</w:t>
      </w:r>
      <w:r w:rsidR="004F01E9">
        <w:rPr>
          <w:noProof/>
        </w:rPr>
        <w:t xml:space="preserve"> v </w:t>
      </w:r>
      <w:r w:rsidRPr="004F01E9">
        <w:rPr>
          <w:noProof/>
        </w:rPr>
        <w:t>článku 92 nariadenia CRR. Konkrétne sa mení článok 92 ods. 3</w:t>
      </w:r>
      <w:r w:rsidR="004F01E9">
        <w:rPr>
          <w:noProof/>
        </w:rPr>
        <w:t xml:space="preserve"> s </w:t>
      </w:r>
      <w:r w:rsidRPr="004F01E9">
        <w:rPr>
          <w:noProof/>
        </w:rPr>
        <w:t>cieľom špecifikovať, ktorá celková hodnota rizikovej expozície – so spodnou hranicou alebo bez spodnej hranice – sa má použiť na výpočet minimálnych požiadaviek na vlastné zdroje (tzv. pilier 1).</w:t>
      </w:r>
    </w:p>
    <w:p w14:paraId="452D09A4" w14:textId="439DC9FE" w:rsidR="00E74DDF" w:rsidRPr="004F01E9" w:rsidRDefault="00E74DDF" w:rsidP="00E74DDF">
      <w:pPr>
        <w:pBdr>
          <w:top w:val="nil"/>
          <w:left w:val="nil"/>
          <w:bottom w:val="nil"/>
          <w:right w:val="nil"/>
          <w:between w:val="nil"/>
          <w:bar w:val="nil"/>
        </w:pBdr>
        <w:rPr>
          <w:bCs/>
          <w:noProof/>
        </w:rPr>
      </w:pPr>
      <w:r w:rsidRPr="004F01E9">
        <w:rPr>
          <w:noProof/>
        </w:rPr>
        <w:t>Celkovú hodnotu rizikovej expozície so spodnou hranicou, ako sa stanovuje</w:t>
      </w:r>
      <w:r w:rsidR="004F01E9">
        <w:rPr>
          <w:noProof/>
        </w:rPr>
        <w:t xml:space="preserve"> v </w:t>
      </w:r>
      <w:r w:rsidRPr="004F01E9">
        <w:rPr>
          <w:noProof/>
        </w:rPr>
        <w:t>článku 92 ods. 5, má použiť len materská inštitúcia</w:t>
      </w:r>
      <w:r w:rsidR="004F01E9">
        <w:rPr>
          <w:noProof/>
        </w:rPr>
        <w:t xml:space="preserve"> v </w:t>
      </w:r>
      <w:r w:rsidRPr="004F01E9">
        <w:rPr>
          <w:noProof/>
        </w:rPr>
        <w:t>EÚ, finančná holdingová spoločnosť alebo zmiešaná finančná holdingová spoločnosť bankovej skupiny na účely ukazovateľa solventnosti skupiny vypočítaného na najvyššej úrovni konsolidácie</w:t>
      </w:r>
      <w:r w:rsidR="004F01E9">
        <w:rPr>
          <w:noProof/>
        </w:rPr>
        <w:t xml:space="preserve"> v </w:t>
      </w:r>
      <w:r w:rsidRPr="004F01E9">
        <w:rPr>
          <w:noProof/>
        </w:rPr>
        <w:t>EÚ.</w:t>
      </w:r>
    </w:p>
    <w:p w14:paraId="269E4FFF" w14:textId="18FE0168" w:rsidR="00806B81" w:rsidRPr="004F01E9" w:rsidRDefault="00E74DDF" w:rsidP="00E74DDF">
      <w:pPr>
        <w:pBdr>
          <w:top w:val="nil"/>
          <w:left w:val="nil"/>
          <w:bottom w:val="nil"/>
          <w:right w:val="nil"/>
          <w:between w:val="nil"/>
          <w:bar w:val="nil"/>
        </w:pBdr>
        <w:rPr>
          <w:bCs/>
          <w:noProof/>
        </w:rPr>
      </w:pPr>
      <w:r w:rsidRPr="004F01E9">
        <w:rPr>
          <w:noProof/>
        </w:rPr>
        <w:t>Na rozdiel od toho, celková hodnota rizikovej expozície bez spodnej hranice sa naďalej uplatňuje na akýkoľvek subjekt skupiny na výpočet požiadaviek na vlastné zdroje na individuálnej úrovni, ako sa stanovuje ďalej</w:t>
      </w:r>
      <w:r w:rsidR="004F01E9">
        <w:rPr>
          <w:noProof/>
        </w:rPr>
        <w:t xml:space="preserve"> v </w:t>
      </w:r>
      <w:r w:rsidRPr="004F01E9">
        <w:rPr>
          <w:noProof/>
        </w:rPr>
        <w:t>článku 92 ods. 4.</w:t>
      </w:r>
    </w:p>
    <w:p w14:paraId="6A22A1CB" w14:textId="226987F3" w:rsidR="00806B81" w:rsidRPr="001C4527" w:rsidRDefault="00E74DDF" w:rsidP="00E74DDF">
      <w:pPr>
        <w:pBdr>
          <w:top w:val="nil"/>
          <w:left w:val="nil"/>
          <w:bottom w:val="nil"/>
          <w:right w:val="nil"/>
          <w:between w:val="nil"/>
          <w:bar w:val="nil"/>
        </w:pBdr>
        <w:rPr>
          <w:bCs/>
          <w:noProof/>
          <w:spacing w:val="-8"/>
        </w:rPr>
      </w:pPr>
      <w:r w:rsidRPr="001C4527">
        <w:rPr>
          <w:noProof/>
          <w:spacing w:val="-8"/>
        </w:rPr>
        <w:t>Každá materská inštitúcia, finančná holdingová spoločnosť alebo zmiešaná finančná holdingová spoločnosť</w:t>
      </w:r>
      <w:r w:rsidR="004F01E9" w:rsidRPr="001C4527">
        <w:rPr>
          <w:noProof/>
          <w:spacing w:val="-8"/>
        </w:rPr>
        <w:t xml:space="preserve"> v </w:t>
      </w:r>
      <w:r w:rsidRPr="001C4527">
        <w:rPr>
          <w:noProof/>
          <w:spacing w:val="-8"/>
        </w:rPr>
        <w:t>členskom štáte (odlišnom od miesta materskej inštitúcie</w:t>
      </w:r>
      <w:r w:rsidR="004F01E9" w:rsidRPr="001C4527">
        <w:rPr>
          <w:noProof/>
          <w:spacing w:val="-8"/>
        </w:rPr>
        <w:t xml:space="preserve"> v </w:t>
      </w:r>
      <w:r w:rsidRPr="001C4527">
        <w:rPr>
          <w:noProof/>
          <w:spacing w:val="-8"/>
        </w:rPr>
        <w:t>EÚ) musí vypočítať svoj podiel na celkovej hodnote rizikovej expozície so spodnou hranicou použitej na požiadavku vlastných zdrojov konsolidovanej skupiny vynásobením uvedenej požiadavky vlastných zdrojov konsolidovanej skupiny pomerom</w:t>
      </w:r>
      <w:r w:rsidRPr="001C4527">
        <w:rPr>
          <w:rStyle w:val="FootnoteReference0"/>
          <w:bCs/>
          <w:noProof/>
          <w:spacing w:val="-8"/>
        </w:rPr>
        <w:footnoteReference w:id="39"/>
      </w:r>
      <w:r w:rsidRPr="001C4527">
        <w:rPr>
          <w:noProof/>
          <w:spacing w:val="-8"/>
        </w:rPr>
        <w:t xml:space="preserve"> subkonsolidovaných rizikovo vážených aktív, ktoré sú podľa potreby pripísateľné uvedenému subjektu</w:t>
      </w:r>
      <w:r w:rsidR="004F01E9" w:rsidRPr="001C4527">
        <w:rPr>
          <w:noProof/>
          <w:spacing w:val="-8"/>
        </w:rPr>
        <w:t xml:space="preserve"> a </w:t>
      </w:r>
      <w:r w:rsidRPr="001C4527">
        <w:rPr>
          <w:noProof/>
          <w:spacing w:val="-8"/>
        </w:rPr>
        <w:t>jeho dcérskym spoločnostiam</w:t>
      </w:r>
      <w:r w:rsidR="004F01E9" w:rsidRPr="001C4527">
        <w:rPr>
          <w:noProof/>
          <w:spacing w:val="-8"/>
        </w:rPr>
        <w:t xml:space="preserve"> v </w:t>
      </w:r>
      <w:r w:rsidRPr="001C4527">
        <w:rPr>
          <w:noProof/>
          <w:spacing w:val="-8"/>
        </w:rPr>
        <w:t>tom istom členskom štáte.</w:t>
      </w:r>
    </w:p>
    <w:p w14:paraId="7D62FBCA" w14:textId="70D7779D" w:rsidR="00806B81" w:rsidRPr="004F01E9" w:rsidRDefault="00E74DDF" w:rsidP="00E74DDF">
      <w:pPr>
        <w:pBdr>
          <w:top w:val="nil"/>
          <w:left w:val="nil"/>
          <w:bottom w:val="nil"/>
          <w:right w:val="nil"/>
          <w:between w:val="nil"/>
          <w:bar w:val="nil"/>
        </w:pBdr>
        <w:rPr>
          <w:bCs/>
          <w:noProof/>
        </w:rPr>
      </w:pPr>
      <w:r w:rsidRPr="004F01E9">
        <w:rPr>
          <w:noProof/>
        </w:rPr>
        <w:t>Rizikovo vážené aktíva konsolidovanej skupiny, ktoré možno pripísať subjektu/podskupine, sa vypočítavajú</w:t>
      </w:r>
      <w:r w:rsidR="004F01E9">
        <w:rPr>
          <w:noProof/>
        </w:rPr>
        <w:t xml:space="preserve"> v </w:t>
      </w:r>
      <w:r w:rsidRPr="004F01E9">
        <w:rPr>
          <w:noProof/>
        </w:rPr>
        <w:t>súlade</w:t>
      </w:r>
      <w:r w:rsidR="004F01E9">
        <w:rPr>
          <w:noProof/>
        </w:rPr>
        <w:t xml:space="preserve"> s </w:t>
      </w:r>
      <w:r w:rsidRPr="004F01E9">
        <w:rPr>
          <w:noProof/>
        </w:rPr>
        <w:t>článkom 92 ods. 6 ako rizikovo vážené aktíva subjektu/skupiny, ako keby sa minimálne požiadavky na výstupné parametre uplatňovali na príslušnú celkovú hodnotu rizikovej expozície. Tým by došlo</w:t>
      </w:r>
      <w:r w:rsidR="004F01E9">
        <w:rPr>
          <w:noProof/>
        </w:rPr>
        <w:t xml:space="preserve"> k </w:t>
      </w:r>
      <w:r w:rsidRPr="004F01E9">
        <w:rPr>
          <w:noProof/>
        </w:rPr>
        <w:t>uznaniu výhod diverzifikácie rizík</w:t>
      </w:r>
      <w:r w:rsidR="004F01E9">
        <w:rPr>
          <w:noProof/>
        </w:rPr>
        <w:t xml:space="preserve"> v </w:t>
      </w:r>
      <w:r w:rsidRPr="004F01E9">
        <w:rPr>
          <w:noProof/>
        </w:rPr>
        <w:t>obchodných modeloch jednotlivých subjektov</w:t>
      </w:r>
      <w:r w:rsidR="004F01E9">
        <w:rPr>
          <w:noProof/>
        </w:rPr>
        <w:t xml:space="preserve"> v </w:t>
      </w:r>
      <w:r w:rsidRPr="004F01E9">
        <w:rPr>
          <w:noProof/>
        </w:rPr>
        <w:t>rámci tej istej bankovej skupiny. Zároveň by sa akékoľvek možné zvýšenie vlastných zdrojov požadované</w:t>
      </w:r>
      <w:r w:rsidR="004F01E9">
        <w:rPr>
          <w:noProof/>
        </w:rPr>
        <w:t xml:space="preserve"> z </w:t>
      </w:r>
      <w:r w:rsidRPr="004F01E9">
        <w:rPr>
          <w:noProof/>
        </w:rPr>
        <w:t>dôvodov uplatnenia minimálnych požiadaviek na výstupné parametre na konsolidovanej úrovni muselo spravodlivo rozdeliť medzi všetky podskupiny, ktoré sa nachádzajú</w:t>
      </w:r>
      <w:r w:rsidR="004F01E9">
        <w:rPr>
          <w:noProof/>
        </w:rPr>
        <w:t xml:space="preserve"> v </w:t>
      </w:r>
      <w:r w:rsidRPr="004F01E9">
        <w:rPr>
          <w:noProof/>
        </w:rPr>
        <w:t>iných členských štátoch ako materská spoločnosť,</w:t>
      </w:r>
      <w:r w:rsidR="004F01E9">
        <w:rPr>
          <w:noProof/>
        </w:rPr>
        <w:t xml:space="preserve"> a </w:t>
      </w:r>
      <w:r w:rsidRPr="004F01E9">
        <w:rPr>
          <w:noProof/>
        </w:rPr>
        <w:t>to podľa ich rizikových profilov.</w:t>
      </w:r>
    </w:p>
    <w:p w14:paraId="6C6A9567" w14:textId="35AE5E43" w:rsidR="00E74DDF" w:rsidRPr="004F01E9" w:rsidRDefault="00E74DDF" w:rsidP="00C67562">
      <w:pPr>
        <w:pBdr>
          <w:top w:val="nil"/>
          <w:left w:val="nil"/>
          <w:bottom w:val="nil"/>
          <w:right w:val="nil"/>
          <w:between w:val="nil"/>
          <w:bar w:val="nil"/>
        </w:pBdr>
        <w:spacing w:after="240"/>
        <w:rPr>
          <w:bCs/>
          <w:noProof/>
        </w:rPr>
      </w:pPr>
      <w:r w:rsidRPr="004F01E9">
        <w:rPr>
          <w:noProof/>
        </w:rPr>
        <w:t>V článku 92 ods. 7 sa opakujú ustanovenia bývalého článku 92 ods. 4, ktorými sa objasňujú faktory výpočtu uplatňované na rôzne druhy rizík krytých požiadavkami na vlastné zdroje.</w:t>
      </w:r>
    </w:p>
    <w:p w14:paraId="4FF27FB0" w14:textId="77777777" w:rsidR="00E74DDF" w:rsidRPr="004F01E9" w:rsidRDefault="00E74DDF" w:rsidP="00E74DDF">
      <w:pPr>
        <w:pBdr>
          <w:top w:val="nil"/>
          <w:left w:val="nil"/>
          <w:bottom w:val="nil"/>
          <w:right w:val="nil"/>
          <w:between w:val="nil"/>
          <w:bar w:val="nil"/>
        </w:pBdr>
        <w:rPr>
          <w:b/>
          <w:noProof/>
        </w:rPr>
      </w:pPr>
      <w:r w:rsidRPr="004F01E9">
        <w:rPr>
          <w:b/>
          <w:noProof/>
        </w:rPr>
        <w:t>Rámec kreditného rizika – štandardizovaný prístup</w:t>
      </w:r>
      <w:bookmarkEnd w:id="1"/>
    </w:p>
    <w:p w14:paraId="67F36D2F" w14:textId="05720923" w:rsidR="00806B81" w:rsidRPr="001C4527" w:rsidRDefault="00E74DDF" w:rsidP="00E74DDF">
      <w:pPr>
        <w:pBdr>
          <w:top w:val="nil"/>
          <w:left w:val="nil"/>
          <w:bottom w:val="nil"/>
          <w:right w:val="nil"/>
          <w:between w:val="nil"/>
          <w:bar w:val="nil"/>
        </w:pBdr>
        <w:rPr>
          <w:noProof/>
          <w:spacing w:val="-4"/>
        </w:rPr>
      </w:pPr>
      <w:r w:rsidRPr="001C4527">
        <w:rPr>
          <w:noProof/>
          <w:spacing w:val="-4"/>
        </w:rPr>
        <w:t>Štandardizovaný prístup pre kreditné riziko (SA–CR) uplatňuje väčšina inštitúcií</w:t>
      </w:r>
      <w:r w:rsidR="004F01E9" w:rsidRPr="001C4527">
        <w:rPr>
          <w:noProof/>
          <w:spacing w:val="-4"/>
        </w:rPr>
        <w:t xml:space="preserve"> v </w:t>
      </w:r>
      <w:r w:rsidRPr="001C4527">
        <w:rPr>
          <w:noProof/>
          <w:spacing w:val="-4"/>
        </w:rPr>
        <w:t>celej EÚ na výpočet požiadaviek na vlastné zdroje</w:t>
      </w:r>
      <w:r w:rsidR="004F01E9" w:rsidRPr="001C4527">
        <w:rPr>
          <w:noProof/>
          <w:spacing w:val="-4"/>
        </w:rPr>
        <w:t xml:space="preserve"> v </w:t>
      </w:r>
      <w:r w:rsidRPr="001C4527">
        <w:rPr>
          <w:noProof/>
          <w:spacing w:val="-4"/>
        </w:rPr>
        <w:t>súvislosti</w:t>
      </w:r>
      <w:r w:rsidR="004F01E9" w:rsidRPr="001C4527">
        <w:rPr>
          <w:noProof/>
          <w:spacing w:val="-4"/>
        </w:rPr>
        <w:t xml:space="preserve"> s </w:t>
      </w:r>
      <w:r w:rsidRPr="001C4527">
        <w:rPr>
          <w:noProof/>
          <w:spacing w:val="-4"/>
        </w:rPr>
        <w:t>ich expozíciami voči kreditnému riziku. Prístup SA-CR musí popritom slúžiť ako dôveryhodná alternatíva</w:t>
      </w:r>
      <w:r w:rsidR="004F01E9" w:rsidRPr="001C4527">
        <w:rPr>
          <w:noProof/>
          <w:spacing w:val="-4"/>
        </w:rPr>
        <w:t xml:space="preserve"> k </w:t>
      </w:r>
      <w:r w:rsidRPr="001C4527">
        <w:rPr>
          <w:noProof/>
          <w:spacing w:val="-4"/>
        </w:rPr>
        <w:t>prístupom interného modelu</w:t>
      </w:r>
      <w:r w:rsidR="004F01E9" w:rsidRPr="001C4527">
        <w:rPr>
          <w:noProof/>
          <w:spacing w:val="-4"/>
        </w:rPr>
        <w:t xml:space="preserve"> a </w:t>
      </w:r>
      <w:r w:rsidRPr="001C4527">
        <w:rPr>
          <w:noProof/>
          <w:spacing w:val="-4"/>
        </w:rPr>
        <w:t>ako účinný zabezpečovací mechanizmus proti nim. Aktuálny štandardizovaný prístup SA-CR sa považuje za nedostatočne citlivý na riziká</w:t>
      </w:r>
      <w:r w:rsidR="004F01E9" w:rsidRPr="001C4527">
        <w:rPr>
          <w:noProof/>
          <w:spacing w:val="-4"/>
        </w:rPr>
        <w:t xml:space="preserve"> v </w:t>
      </w:r>
      <w:r w:rsidRPr="001C4527">
        <w:rPr>
          <w:noProof/>
          <w:spacing w:val="-4"/>
        </w:rPr>
        <w:t>mnohých oblastiach, čo občas vedie</w:t>
      </w:r>
      <w:r w:rsidR="004F01E9" w:rsidRPr="001C4527">
        <w:rPr>
          <w:noProof/>
          <w:spacing w:val="-4"/>
        </w:rPr>
        <w:t xml:space="preserve"> k </w:t>
      </w:r>
      <w:r w:rsidRPr="001C4527">
        <w:rPr>
          <w:noProof/>
          <w:spacing w:val="-4"/>
        </w:rPr>
        <w:t>nepresnému alebo neprimeranému (buď príliš vysokému, alebo príliš nízkemu) hodnoteniu kreditného rizika,</w:t>
      </w:r>
      <w:r w:rsidR="004F01E9" w:rsidRPr="001C4527">
        <w:rPr>
          <w:noProof/>
          <w:spacing w:val="-4"/>
        </w:rPr>
        <w:t xml:space="preserve"> a </w:t>
      </w:r>
      <w:r w:rsidRPr="001C4527">
        <w:rPr>
          <w:noProof/>
          <w:spacing w:val="-4"/>
        </w:rPr>
        <w:t>teda</w:t>
      </w:r>
      <w:r w:rsidR="004F01E9" w:rsidRPr="001C4527">
        <w:rPr>
          <w:noProof/>
          <w:spacing w:val="-4"/>
        </w:rPr>
        <w:t xml:space="preserve"> k </w:t>
      </w:r>
      <w:r w:rsidRPr="001C4527">
        <w:rPr>
          <w:noProof/>
          <w:spacing w:val="-4"/>
        </w:rPr>
        <w:t>nepresnému alebo nevhodnému výpočtu požiadaviek na vlastné zdroje.</w:t>
      </w:r>
    </w:p>
    <w:p w14:paraId="5787E14B" w14:textId="0100CB4C" w:rsidR="00E74DDF" w:rsidRPr="001C4527" w:rsidRDefault="00E74DDF" w:rsidP="00E74DDF">
      <w:pPr>
        <w:pBdr>
          <w:top w:val="nil"/>
          <w:left w:val="nil"/>
          <w:bottom w:val="nil"/>
          <w:right w:val="nil"/>
          <w:between w:val="nil"/>
          <w:bar w:val="nil"/>
        </w:pBdr>
        <w:rPr>
          <w:noProof/>
          <w:spacing w:val="-8"/>
        </w:rPr>
      </w:pPr>
      <w:r w:rsidRPr="001C4527">
        <w:rPr>
          <w:noProof/>
          <w:spacing w:val="-8"/>
        </w:rPr>
        <w:t>Revíziou prístupu SA-CR sa zvýši citlivosť tohto prístupu vo vzťahu</w:t>
      </w:r>
      <w:r w:rsidR="004F01E9" w:rsidRPr="001C4527">
        <w:rPr>
          <w:noProof/>
          <w:spacing w:val="-8"/>
        </w:rPr>
        <w:t xml:space="preserve"> k </w:t>
      </w:r>
      <w:r w:rsidRPr="001C4527">
        <w:rPr>
          <w:noProof/>
          <w:spacing w:val="-8"/>
        </w:rPr>
        <w:t>viacerým kľúčovým aspektom.</w:t>
      </w:r>
    </w:p>
    <w:p w14:paraId="12DAE2C6" w14:textId="77777777" w:rsidR="00E74DDF" w:rsidRPr="004F01E9" w:rsidRDefault="00E74DDF" w:rsidP="00E74DDF">
      <w:pPr>
        <w:pBdr>
          <w:top w:val="nil"/>
          <w:left w:val="nil"/>
          <w:bottom w:val="nil"/>
          <w:right w:val="nil"/>
          <w:between w:val="nil"/>
          <w:bar w:val="nil"/>
        </w:pBdr>
        <w:rPr>
          <w:i/>
          <w:noProof/>
        </w:rPr>
      </w:pPr>
      <w:r w:rsidRPr="004F01E9">
        <w:rPr>
          <w:i/>
          <w:noProof/>
        </w:rPr>
        <w:t>Hodnota expozície podsúvahových položiek</w:t>
      </w:r>
    </w:p>
    <w:p w14:paraId="26662DFC" w14:textId="47153718" w:rsidR="00806B81" w:rsidRPr="004F01E9" w:rsidRDefault="00E74DDF" w:rsidP="00E74DDF">
      <w:pPr>
        <w:pBdr>
          <w:top w:val="nil"/>
          <w:left w:val="nil"/>
          <w:bottom w:val="nil"/>
          <w:right w:val="nil"/>
          <w:between w:val="nil"/>
          <w:bar w:val="nil"/>
        </w:pBdr>
        <w:rPr>
          <w:noProof/>
        </w:rPr>
      </w:pPr>
      <w:r w:rsidRPr="004F01E9">
        <w:rPr>
          <w:noProof/>
        </w:rPr>
        <w:t>V revidovanom texte bazilejských pravidiel sa zaviedlo viacero zmien spôsobu, akým majú inštitúcie určovať hodnotu expozície podsúvahových položiek</w:t>
      </w:r>
      <w:r w:rsidR="004F01E9">
        <w:rPr>
          <w:noProof/>
        </w:rPr>
        <w:t xml:space="preserve"> a </w:t>
      </w:r>
      <w:r w:rsidRPr="004F01E9">
        <w:rPr>
          <w:noProof/>
        </w:rPr>
        <w:t>prísľubov týkajúcich sa podsúvahových položiek.</w:t>
      </w:r>
    </w:p>
    <w:p w14:paraId="20373136" w14:textId="65EB915C" w:rsidR="00806B81" w:rsidRPr="004F01E9" w:rsidRDefault="00E74DDF" w:rsidP="00495A8E">
      <w:pPr>
        <w:pBdr>
          <w:top w:val="nil"/>
          <w:left w:val="nil"/>
          <w:bottom w:val="nil"/>
          <w:right w:val="nil"/>
          <w:between w:val="nil"/>
          <w:bar w:val="nil"/>
        </w:pBdr>
        <w:rPr>
          <w:noProof/>
        </w:rPr>
      </w:pPr>
      <w:r w:rsidRPr="004F01E9">
        <w:rPr>
          <w:noProof/>
        </w:rPr>
        <w:t>Zmenou článku 5 sa zaviedlo vymedzenie pojmu „prísľub“</w:t>
      </w:r>
      <w:r w:rsidR="004F01E9">
        <w:rPr>
          <w:noProof/>
        </w:rPr>
        <w:t xml:space="preserve"> a </w:t>
      </w:r>
      <w:r w:rsidRPr="004F01E9">
        <w:rPr>
          <w:noProof/>
        </w:rPr>
        <w:t>výnimka zo zmluvných dohovorov, ktoré spĺňajú osobitné podmienky, aby boli klasifikované ako prísľuby.</w:t>
      </w:r>
    </w:p>
    <w:p w14:paraId="490CAAD9" w14:textId="6DC64B60" w:rsidR="00495A8E" w:rsidRPr="004F01E9" w:rsidRDefault="00495A8E" w:rsidP="00495A8E">
      <w:pPr>
        <w:pBdr>
          <w:top w:val="nil"/>
          <w:left w:val="nil"/>
          <w:bottom w:val="nil"/>
          <w:right w:val="nil"/>
          <w:between w:val="nil"/>
          <w:bar w:val="nil"/>
        </w:pBdr>
        <w:rPr>
          <w:noProof/>
        </w:rPr>
      </w:pPr>
      <w:r w:rsidRPr="004F01E9">
        <w:rPr>
          <w:noProof/>
        </w:rPr>
        <w:t>Zmenou článku 111 sa zosúladili konverzné faktory úverov uplatniteľné na expozície podsúvahových položiek podľa štandardov Bazilej III zavedením dvoch nových konverzných faktorov úverov,</w:t>
      </w:r>
      <w:r w:rsidR="004F01E9">
        <w:rPr>
          <w:noProof/>
        </w:rPr>
        <w:t xml:space="preserve"> a </w:t>
      </w:r>
      <w:r w:rsidRPr="004F01E9">
        <w:rPr>
          <w:noProof/>
        </w:rPr>
        <w:t>to 40</w:t>
      </w:r>
      <w:r w:rsidR="004F01E9">
        <w:rPr>
          <w:noProof/>
        </w:rPr>
        <w:t> % a </w:t>
      </w:r>
      <w:r w:rsidRPr="004F01E9">
        <w:rPr>
          <w:noProof/>
        </w:rPr>
        <w:t>10</w:t>
      </w:r>
      <w:r w:rsidR="004F01E9">
        <w:rPr>
          <w:noProof/>
        </w:rPr>
        <w:t> %</w:t>
      </w:r>
      <w:r w:rsidRPr="004F01E9">
        <w:rPr>
          <w:noProof/>
        </w:rPr>
        <w:t>,</w:t>
      </w:r>
      <w:r w:rsidR="004F01E9">
        <w:rPr>
          <w:noProof/>
        </w:rPr>
        <w:t xml:space="preserve"> a </w:t>
      </w:r>
      <w:r w:rsidRPr="004F01E9">
        <w:rPr>
          <w:noProof/>
        </w:rPr>
        <w:t>odstránením konverzného faktora úverov 0</w:t>
      </w:r>
      <w:r w:rsidR="004F01E9">
        <w:rPr>
          <w:noProof/>
        </w:rPr>
        <w:t> %</w:t>
      </w:r>
      <w:r w:rsidRPr="004F01E9">
        <w:rPr>
          <w:noProof/>
        </w:rPr>
        <w:t>. Objasnilo sa aj zaobchádzanie</w:t>
      </w:r>
      <w:r w:rsidR="004F01E9">
        <w:rPr>
          <w:noProof/>
        </w:rPr>
        <w:t xml:space="preserve"> s </w:t>
      </w:r>
      <w:r w:rsidRPr="004F01E9">
        <w:rPr>
          <w:noProof/>
        </w:rPr>
        <w:t>prísľubmi</w:t>
      </w:r>
      <w:r w:rsidR="004F01E9">
        <w:rPr>
          <w:noProof/>
        </w:rPr>
        <w:t xml:space="preserve"> v </w:t>
      </w:r>
      <w:r w:rsidRPr="004F01E9">
        <w:rPr>
          <w:noProof/>
        </w:rPr>
        <w:t>podsúvahových položkách, pokiaľ ide</w:t>
      </w:r>
      <w:r w:rsidR="004F01E9">
        <w:rPr>
          <w:noProof/>
        </w:rPr>
        <w:t xml:space="preserve"> o </w:t>
      </w:r>
      <w:r w:rsidRPr="004F01E9">
        <w:rPr>
          <w:noProof/>
        </w:rPr>
        <w:t>konverzné faktory úverov uplatniteľné na určenie ich hodnoty expozície.</w:t>
      </w:r>
    </w:p>
    <w:p w14:paraId="4A8C62B8" w14:textId="2FCC8D7C" w:rsidR="00E74DDF" w:rsidRPr="004F01E9" w:rsidRDefault="00495A8E" w:rsidP="00495A8E">
      <w:pPr>
        <w:pBdr>
          <w:top w:val="nil"/>
          <w:left w:val="nil"/>
          <w:bottom w:val="nil"/>
          <w:right w:val="nil"/>
          <w:between w:val="nil"/>
          <w:bar w:val="nil"/>
        </w:pBdr>
        <w:rPr>
          <w:noProof/>
        </w:rPr>
      </w:pPr>
      <w:r w:rsidRPr="004F01E9">
        <w:rPr>
          <w:noProof/>
        </w:rPr>
        <w:t>Výnimka zavedená</w:t>
      </w:r>
      <w:r w:rsidR="004F01E9">
        <w:rPr>
          <w:noProof/>
        </w:rPr>
        <w:t xml:space="preserve"> v </w:t>
      </w:r>
      <w:r w:rsidRPr="004F01E9">
        <w:rPr>
          <w:noProof/>
        </w:rPr>
        <w:t>článku 5</w:t>
      </w:r>
      <w:r w:rsidR="004F01E9">
        <w:rPr>
          <w:noProof/>
        </w:rPr>
        <w:t xml:space="preserve"> v </w:t>
      </w:r>
      <w:r w:rsidRPr="004F01E9">
        <w:rPr>
          <w:noProof/>
        </w:rPr>
        <w:t>súlade so štandardmi Bazilej III umožní inštitúciám pokračovať</w:t>
      </w:r>
      <w:r w:rsidR="004F01E9">
        <w:rPr>
          <w:noProof/>
        </w:rPr>
        <w:t xml:space="preserve"> v </w:t>
      </w:r>
      <w:r w:rsidRPr="004F01E9">
        <w:rPr>
          <w:noProof/>
        </w:rPr>
        <w:t>uplatňovaní konverzného faktora úverov na úrovni 0</w:t>
      </w:r>
      <w:r w:rsidR="004F01E9">
        <w:rPr>
          <w:noProof/>
        </w:rPr>
        <w:t> %</w:t>
      </w:r>
      <w:r w:rsidRPr="004F01E9">
        <w:rPr>
          <w:noProof/>
        </w:rPr>
        <w:t xml:space="preserve"> na konkrétne zmluvné dohody</w:t>
      </w:r>
      <w:r w:rsidR="004F01E9">
        <w:rPr>
          <w:noProof/>
        </w:rPr>
        <w:t xml:space="preserve"> s </w:t>
      </w:r>
      <w:r w:rsidRPr="004F01E9">
        <w:rPr>
          <w:noProof/>
        </w:rPr>
        <w:t>podnikateľskými subjektmi vrátane malých</w:t>
      </w:r>
      <w:r w:rsidR="004F01E9">
        <w:rPr>
          <w:noProof/>
        </w:rPr>
        <w:t xml:space="preserve"> a </w:t>
      </w:r>
      <w:r w:rsidRPr="004F01E9">
        <w:rPr>
          <w:noProof/>
        </w:rPr>
        <w:t>stredných podnikov, ktoré sa neklasifikujú ako „prísľuby“. Okrem toho</w:t>
      </w:r>
      <w:r w:rsidR="004F01E9">
        <w:rPr>
          <w:noProof/>
        </w:rPr>
        <w:t xml:space="preserve"> v </w:t>
      </w:r>
      <w:r w:rsidRPr="004F01E9">
        <w:rPr>
          <w:noProof/>
        </w:rPr>
        <w:t>článku 495d sa zavádza prechodné obdobie, počas ktorého sa inštitúciám povoľuje uplatňovať konverzný faktor úverov na úrovni 0</w:t>
      </w:r>
      <w:r w:rsidR="004F01E9">
        <w:rPr>
          <w:noProof/>
        </w:rPr>
        <w:t> %</w:t>
      </w:r>
      <w:r w:rsidRPr="004F01E9">
        <w:rPr>
          <w:noProof/>
        </w:rPr>
        <w:t xml:space="preserve"> na bezpodmienečne zrušiteľné prísľuby do 31</w:t>
      </w:r>
      <w:r w:rsidR="004F01E9">
        <w:rPr>
          <w:noProof/>
        </w:rPr>
        <w:t>. decembra</w:t>
      </w:r>
      <w:r w:rsidRPr="004F01E9">
        <w:rPr>
          <w:noProof/>
        </w:rPr>
        <w:t> 2029; po tomto dátume sa bude hodnota konverzného faktora úverov</w:t>
      </w:r>
      <w:r w:rsidR="004F01E9">
        <w:rPr>
          <w:noProof/>
        </w:rPr>
        <w:t xml:space="preserve"> v </w:t>
      </w:r>
      <w:r w:rsidRPr="004F01E9">
        <w:rPr>
          <w:noProof/>
        </w:rPr>
        <w:t>nasledujúcich troch rokoch postupne zvyšovať, až na konci tohto obdobia postupného zavádzania dosiahne 10</w:t>
      </w:r>
      <w:r w:rsidR="004F01E9">
        <w:rPr>
          <w:noProof/>
        </w:rPr>
        <w:t> %</w:t>
      </w:r>
      <w:r w:rsidRPr="004F01E9">
        <w:rPr>
          <w:noProof/>
        </w:rPr>
        <w:t>. Toto prechodné obdobie umožní orgánu EBA posúdiť, či vplyv konverzného faktora úverov vo výške 10</w:t>
      </w:r>
      <w:r w:rsidR="004F01E9">
        <w:rPr>
          <w:noProof/>
        </w:rPr>
        <w:t> %</w:t>
      </w:r>
      <w:r w:rsidRPr="004F01E9">
        <w:rPr>
          <w:noProof/>
        </w:rPr>
        <w:t xml:space="preserve"> nepovedie pri uvedených prísľuboch</w:t>
      </w:r>
      <w:r w:rsidR="004F01E9">
        <w:rPr>
          <w:noProof/>
        </w:rPr>
        <w:t xml:space="preserve"> k </w:t>
      </w:r>
      <w:r w:rsidRPr="004F01E9">
        <w:rPr>
          <w:noProof/>
        </w:rPr>
        <w:t>neplánovaným dôsledkom pre určité druhy dlžníkov, ktorí sa na uvedený záväzok spoliehajú ako na zdroj flexibilného financovania. Na základe tohto posúdenia sa bude musieť Komisia rozhodnúť, či predloží Európskemu parlamentu</w:t>
      </w:r>
      <w:r w:rsidR="004F01E9">
        <w:rPr>
          <w:noProof/>
        </w:rPr>
        <w:t xml:space="preserve"> a </w:t>
      </w:r>
      <w:r w:rsidRPr="004F01E9">
        <w:rPr>
          <w:noProof/>
        </w:rPr>
        <w:t>Rade legislatívny návrh na zmenu konverzných faktorov úverov, ktoré sa budú uplatňovať na bezpodmienečne zrušiteľné prísľuby.</w:t>
      </w:r>
    </w:p>
    <w:p w14:paraId="3686C022" w14:textId="037610A6" w:rsidR="00806B81" w:rsidRPr="004F01E9" w:rsidRDefault="00E74DDF" w:rsidP="00E74DDF">
      <w:pPr>
        <w:pBdr>
          <w:top w:val="nil"/>
          <w:left w:val="nil"/>
          <w:bottom w:val="nil"/>
          <w:right w:val="nil"/>
          <w:between w:val="nil"/>
          <w:bar w:val="nil"/>
        </w:pBdr>
        <w:rPr>
          <w:noProof/>
        </w:rPr>
      </w:pPr>
      <w:r w:rsidRPr="004F01E9">
        <w:rPr>
          <w:noProof/>
        </w:rPr>
        <w:t>Klasifikácia podsúvahových položiek</w:t>
      </w:r>
      <w:r w:rsidR="004F01E9">
        <w:rPr>
          <w:noProof/>
        </w:rPr>
        <w:t xml:space="preserve"> v </w:t>
      </w:r>
      <w:r w:rsidRPr="004F01E9">
        <w:rPr>
          <w:noProof/>
        </w:rPr>
        <w:t>prílohe I sa mení</w:t>
      </w:r>
      <w:r w:rsidR="004F01E9">
        <w:rPr>
          <w:noProof/>
        </w:rPr>
        <w:t xml:space="preserve"> v </w:t>
      </w:r>
      <w:r w:rsidRPr="004F01E9">
        <w:rPr>
          <w:noProof/>
        </w:rPr>
        <w:t>súlade</w:t>
      </w:r>
      <w:r w:rsidR="004F01E9">
        <w:rPr>
          <w:noProof/>
        </w:rPr>
        <w:t xml:space="preserve"> s </w:t>
      </w:r>
      <w:r w:rsidRPr="004F01E9">
        <w:rPr>
          <w:noProof/>
        </w:rPr>
        <w:t>revidovanými štandardmi Bazilej III, aby lepšie zodpovedali zoskupeniu týchto položiek</w:t>
      </w:r>
      <w:r w:rsidR="004F01E9">
        <w:rPr>
          <w:noProof/>
        </w:rPr>
        <w:t xml:space="preserve"> v </w:t>
      </w:r>
      <w:r w:rsidRPr="004F01E9">
        <w:rPr>
          <w:noProof/>
        </w:rPr>
        <w:t>skupinách na základe uplatniteľných konverzných faktorov úverov.</w:t>
      </w:r>
    </w:p>
    <w:p w14:paraId="06B3F7DA" w14:textId="063304FA" w:rsidR="00E74DDF" w:rsidRPr="004F01E9" w:rsidRDefault="00E74DDF" w:rsidP="00E74DDF">
      <w:pPr>
        <w:pBdr>
          <w:top w:val="nil"/>
          <w:left w:val="nil"/>
          <w:bottom w:val="nil"/>
          <w:right w:val="nil"/>
          <w:between w:val="nil"/>
          <w:bar w:val="nil"/>
        </w:pBdr>
        <w:rPr>
          <w:noProof/>
        </w:rPr>
      </w:pPr>
      <w:r w:rsidRPr="004F01E9">
        <w:rPr>
          <w:noProof/>
        </w:rPr>
        <w:t>Článok 111 sa ďalej mení</w:t>
      </w:r>
      <w:r w:rsidR="004F01E9">
        <w:rPr>
          <w:noProof/>
        </w:rPr>
        <w:t xml:space="preserve"> s </w:t>
      </w:r>
      <w:r w:rsidRPr="004F01E9">
        <w:rPr>
          <w:noProof/>
        </w:rPr>
        <w:t>cieľom poveriť orgán EBA stanovením technických prvkov, ktoré inštitúciám umožnia správne uvádzať svoje podsúvahové expozície do skupín</w:t>
      </w:r>
      <w:r w:rsidR="004F01E9">
        <w:rPr>
          <w:noProof/>
        </w:rPr>
        <w:t xml:space="preserve"> v </w:t>
      </w:r>
      <w:r w:rsidRPr="004F01E9">
        <w:rPr>
          <w:noProof/>
        </w:rPr>
        <w:t>prílohe I,</w:t>
      </w:r>
      <w:r w:rsidR="004F01E9">
        <w:rPr>
          <w:noProof/>
        </w:rPr>
        <w:t xml:space="preserve"> a </w:t>
      </w:r>
      <w:r w:rsidRPr="004F01E9">
        <w:rPr>
          <w:noProof/>
        </w:rPr>
        <w:t>tak správne vypočítať hodnotu expozícií pre tieto položky.</w:t>
      </w:r>
    </w:p>
    <w:p w14:paraId="413812DA" w14:textId="77777777" w:rsidR="00E74DDF" w:rsidRPr="004F01E9" w:rsidRDefault="00E74DDF" w:rsidP="00E74DDF">
      <w:pPr>
        <w:keepNext/>
        <w:pBdr>
          <w:top w:val="nil"/>
          <w:left w:val="nil"/>
          <w:bottom w:val="nil"/>
          <w:right w:val="nil"/>
          <w:between w:val="nil"/>
          <w:bar w:val="nil"/>
        </w:pBdr>
        <w:rPr>
          <w:i/>
          <w:noProof/>
        </w:rPr>
      </w:pPr>
      <w:r w:rsidRPr="004F01E9">
        <w:rPr>
          <w:i/>
          <w:noProof/>
        </w:rPr>
        <w:t>Expozície voči inštitúciám</w:t>
      </w:r>
    </w:p>
    <w:p w14:paraId="1F3818ED" w14:textId="358704F3" w:rsidR="00E74DDF" w:rsidRPr="004F01E9" w:rsidRDefault="00E74DDF" w:rsidP="00E74DDF">
      <w:pPr>
        <w:pBdr>
          <w:top w:val="nil"/>
          <w:left w:val="nil"/>
          <w:bottom w:val="nil"/>
          <w:right w:val="nil"/>
          <w:between w:val="nil"/>
          <w:bar w:val="nil"/>
        </w:pBdr>
        <w:rPr>
          <w:noProof/>
        </w:rPr>
      </w:pPr>
      <w:r w:rsidRPr="004F01E9">
        <w:rPr>
          <w:noProof/>
        </w:rPr>
        <w:t>Revidovanými štandardmi Bazilej III sa mení súčasné zaobchádzanie</w:t>
      </w:r>
      <w:r w:rsidR="004F01E9">
        <w:rPr>
          <w:noProof/>
        </w:rPr>
        <w:t xml:space="preserve"> s </w:t>
      </w:r>
      <w:r w:rsidRPr="004F01E9">
        <w:rPr>
          <w:noProof/>
        </w:rPr>
        <w:t>expozíciami voči inštitúciám zavedením štandardizovaného prístupu</w:t>
      </w:r>
      <w:r w:rsidR="004F01E9">
        <w:rPr>
          <w:noProof/>
        </w:rPr>
        <w:t xml:space="preserve"> k </w:t>
      </w:r>
      <w:r w:rsidRPr="004F01E9">
        <w:rPr>
          <w:noProof/>
        </w:rPr>
        <w:t>posudzovaniu kreditného rizika (SCRA) popri existujúcom externom prístupe</w:t>
      </w:r>
      <w:r w:rsidR="004F01E9">
        <w:rPr>
          <w:noProof/>
        </w:rPr>
        <w:t xml:space="preserve"> k </w:t>
      </w:r>
      <w:r w:rsidRPr="004F01E9">
        <w:rPr>
          <w:noProof/>
        </w:rPr>
        <w:t>posudzovaniu kreditného rizika (ECRA). Hoci sa ECRA spolieha na externé posúdenia kreditného rizika (t. j. úverové ratingy) poskytované oprávnenými ratingovými agentúrami (ECAI), na určenie uplatniteľných rizikových váh</w:t>
      </w:r>
      <w:r w:rsidR="004F01E9">
        <w:rPr>
          <w:noProof/>
        </w:rPr>
        <w:t xml:space="preserve"> v </w:t>
      </w:r>
      <w:r w:rsidRPr="004F01E9">
        <w:rPr>
          <w:noProof/>
        </w:rPr>
        <w:t>rámci SCRA sa od inštitúcií vyžaduje, aby zatriedili svoje expozície voči inštitúciám do jednej</w:t>
      </w:r>
      <w:r w:rsidR="004F01E9">
        <w:rPr>
          <w:noProof/>
        </w:rPr>
        <w:t xml:space="preserve"> z </w:t>
      </w:r>
      <w:r w:rsidRPr="004F01E9">
        <w:rPr>
          <w:noProof/>
        </w:rPr>
        <w:t>troch skupín („stupňov“).</w:t>
      </w:r>
    </w:p>
    <w:p w14:paraId="46210CDF" w14:textId="7441A7C0" w:rsidR="00E74DDF" w:rsidRPr="004F01E9" w:rsidRDefault="00E74DDF" w:rsidP="00E74DDF">
      <w:pPr>
        <w:pBdr>
          <w:top w:val="nil"/>
          <w:left w:val="nil"/>
          <w:bottom w:val="nil"/>
          <w:right w:val="nil"/>
          <w:between w:val="nil"/>
          <w:bar w:val="nil"/>
        </w:pBdr>
        <w:rPr>
          <w:noProof/>
        </w:rPr>
      </w:pPr>
      <w:r w:rsidRPr="004F01E9">
        <w:rPr>
          <w:noProof/>
        </w:rPr>
        <w:t>Článok 120 sa mení</w:t>
      </w:r>
      <w:r w:rsidR="004F01E9">
        <w:rPr>
          <w:noProof/>
        </w:rPr>
        <w:t xml:space="preserve"> v </w:t>
      </w:r>
      <w:r w:rsidRPr="004F01E9">
        <w:rPr>
          <w:noProof/>
        </w:rPr>
        <w:t>súlade so štandardmi Bazilej III</w:t>
      </w:r>
      <w:r w:rsidR="004F01E9">
        <w:rPr>
          <w:noProof/>
        </w:rPr>
        <w:t xml:space="preserve"> s </w:t>
      </w:r>
      <w:r w:rsidRPr="004F01E9">
        <w:rPr>
          <w:noProof/>
        </w:rPr>
        <w:t>cieľom znížiť rizikovú váhu uplatniteľnú na expozície voči inštitúciám, pre ktoré je</w:t>
      </w:r>
      <w:r w:rsidR="004F01E9">
        <w:rPr>
          <w:noProof/>
        </w:rPr>
        <w:t xml:space="preserve"> k </w:t>
      </w:r>
      <w:r w:rsidRPr="004F01E9">
        <w:rPr>
          <w:noProof/>
        </w:rPr>
        <w:t>dispozícii ratingové hodnotenie 2. stupňa kreditnej kvality od nominovanej ECAI,</w:t>
      </w:r>
      <w:r w:rsidR="004F01E9">
        <w:rPr>
          <w:noProof/>
        </w:rPr>
        <w:t xml:space="preserve"> a </w:t>
      </w:r>
      <w:r w:rsidRPr="004F01E9">
        <w:rPr>
          <w:noProof/>
        </w:rPr>
        <w:t>do rozsahu pôsobnosti krátkodobých expozícií začleniť expozície, ktoré vyplývajú</w:t>
      </w:r>
      <w:r w:rsidR="004F01E9">
        <w:rPr>
          <w:noProof/>
        </w:rPr>
        <w:t xml:space="preserve"> z </w:t>
      </w:r>
      <w:r w:rsidRPr="004F01E9">
        <w:rPr>
          <w:noProof/>
        </w:rPr>
        <w:t>pohybu tovaru cez štátne hranice</w:t>
      </w:r>
      <w:r w:rsidR="004F01E9">
        <w:rPr>
          <w:noProof/>
        </w:rPr>
        <w:t xml:space="preserve"> s </w:t>
      </w:r>
      <w:r w:rsidRPr="004F01E9">
        <w:rPr>
          <w:noProof/>
        </w:rPr>
        <w:t>pôvodnou splatnosťou šesť mesiacov alebo kratšou.</w:t>
      </w:r>
    </w:p>
    <w:p w14:paraId="7CF79981" w14:textId="4CD6B74E" w:rsidR="00E74DDF" w:rsidRPr="001C4527" w:rsidRDefault="00E74DDF" w:rsidP="00E74DDF">
      <w:pPr>
        <w:pBdr>
          <w:top w:val="nil"/>
          <w:left w:val="nil"/>
          <w:bottom w:val="nil"/>
          <w:right w:val="nil"/>
          <w:between w:val="nil"/>
          <w:bar w:val="nil"/>
        </w:pBdr>
        <w:rPr>
          <w:noProof/>
          <w:spacing w:val="-4"/>
        </w:rPr>
      </w:pPr>
      <w:r w:rsidRPr="001C4527">
        <w:rPr>
          <w:noProof/>
          <w:spacing w:val="-4"/>
        </w:rPr>
        <w:t>Článok 121 sa mení</w:t>
      </w:r>
      <w:r w:rsidR="004F01E9" w:rsidRPr="001C4527">
        <w:rPr>
          <w:noProof/>
          <w:spacing w:val="-4"/>
        </w:rPr>
        <w:t xml:space="preserve"> s </w:t>
      </w:r>
      <w:r w:rsidRPr="001C4527">
        <w:rPr>
          <w:noProof/>
          <w:spacing w:val="-4"/>
        </w:rPr>
        <w:t>cieľom zaviesť štandardizovaný prístup SCRA stanovený štandardmi Bazilej III pre expozície voči inštitúciám, ktoré nemajú žiadne ratingové hodnotenie od nominovanej ECAI. Pri tomto prístupe sa od inštitúcií vyžaduje, aby svoje expozície voči týmto inštitúciám zatriedili do jedného</w:t>
      </w:r>
      <w:r w:rsidR="004F01E9" w:rsidRPr="001C4527">
        <w:rPr>
          <w:noProof/>
          <w:spacing w:val="-4"/>
        </w:rPr>
        <w:t xml:space="preserve"> z </w:t>
      </w:r>
      <w:r w:rsidRPr="001C4527">
        <w:rPr>
          <w:noProof/>
          <w:spacing w:val="-4"/>
        </w:rPr>
        <w:t>troch stupňov na základe niekoľkých kvantitatívnych</w:t>
      </w:r>
      <w:r w:rsidR="004F01E9" w:rsidRPr="001C4527">
        <w:rPr>
          <w:noProof/>
          <w:spacing w:val="-4"/>
        </w:rPr>
        <w:t xml:space="preserve"> a </w:t>
      </w:r>
      <w:r w:rsidRPr="001C4527">
        <w:rPr>
          <w:noProof/>
          <w:spacing w:val="-4"/>
        </w:rPr>
        <w:t>kvalitatívnych kritérií.</w:t>
      </w:r>
      <w:r w:rsidR="004F01E9" w:rsidRPr="001C4527">
        <w:rPr>
          <w:noProof/>
          <w:spacing w:val="-4"/>
        </w:rPr>
        <w:t xml:space="preserve"> S </w:t>
      </w:r>
      <w:r w:rsidRPr="001C4527">
        <w:rPr>
          <w:noProof/>
          <w:spacing w:val="-4"/>
        </w:rPr>
        <w:t>cieľom vyhnúť sa mechanickému uplatňovaniu kritérií, inštitúcie podliehajú požiadavkám náležitej starostlivosti stanoveným</w:t>
      </w:r>
      <w:r w:rsidR="004F01E9" w:rsidRPr="001C4527">
        <w:rPr>
          <w:noProof/>
          <w:spacing w:val="-4"/>
        </w:rPr>
        <w:t xml:space="preserve"> v </w:t>
      </w:r>
      <w:r w:rsidRPr="001C4527">
        <w:rPr>
          <w:noProof/>
          <w:spacing w:val="-4"/>
        </w:rPr>
        <w:t>článku 79 smernice CRD, pokiaľ ide</w:t>
      </w:r>
      <w:r w:rsidR="004F01E9" w:rsidRPr="001C4527">
        <w:rPr>
          <w:noProof/>
          <w:spacing w:val="-4"/>
        </w:rPr>
        <w:t xml:space="preserve"> o </w:t>
      </w:r>
      <w:r w:rsidRPr="001C4527">
        <w:rPr>
          <w:noProof/>
          <w:spacing w:val="-4"/>
        </w:rPr>
        <w:t>expozície voči inštitúciám, pri ktorých je pri určovaní uplatniteľnej rizikovej váhy</w:t>
      </w:r>
      <w:r w:rsidR="004F01E9" w:rsidRPr="001C4527">
        <w:rPr>
          <w:noProof/>
          <w:spacing w:val="-4"/>
        </w:rPr>
        <w:t xml:space="preserve"> k </w:t>
      </w:r>
      <w:r w:rsidRPr="001C4527">
        <w:rPr>
          <w:noProof/>
          <w:spacing w:val="-4"/>
        </w:rPr>
        <w:t>dispozícii ratingové hodnotenie od nominovanej ECAI. Tým sa zabezpečí, aby požiadavky na vlastné zdroje primerane</w:t>
      </w:r>
      <w:r w:rsidR="004F01E9" w:rsidRPr="001C4527">
        <w:rPr>
          <w:noProof/>
          <w:spacing w:val="-4"/>
        </w:rPr>
        <w:t xml:space="preserve"> a </w:t>
      </w:r>
      <w:r w:rsidRPr="001C4527">
        <w:rPr>
          <w:noProof/>
          <w:spacing w:val="-4"/>
        </w:rPr>
        <w:t>konzervatívne odzrkadľovali úverovú bonitu protistrán inštitúcie bez ohľadu na to, či expozície boli externe posudzované.</w:t>
      </w:r>
      <w:r w:rsidR="004F01E9" w:rsidRPr="001C4527">
        <w:rPr>
          <w:noProof/>
          <w:spacing w:val="-4"/>
        </w:rPr>
        <w:t xml:space="preserve"> V </w:t>
      </w:r>
      <w:r w:rsidRPr="001C4527">
        <w:rPr>
          <w:noProof/>
          <w:spacing w:val="-4"/>
        </w:rPr>
        <w:t>súlade so štandardmi Bazilej III sa odstraňuje súčasná možnosť rizikovo vážených expozícií voči inštitúciám na základe ratingov ich štátov</w:t>
      </w:r>
      <w:r w:rsidR="004F01E9" w:rsidRPr="001C4527">
        <w:rPr>
          <w:noProof/>
          <w:spacing w:val="-4"/>
        </w:rPr>
        <w:t xml:space="preserve"> s </w:t>
      </w:r>
      <w:r w:rsidRPr="001C4527">
        <w:rPr>
          <w:noProof/>
          <w:spacing w:val="-4"/>
        </w:rPr>
        <w:t>cieľom prerušiť prepojenie medzi inštitúciami</w:t>
      </w:r>
      <w:r w:rsidR="004F01E9" w:rsidRPr="001C4527">
        <w:rPr>
          <w:noProof/>
          <w:spacing w:val="-4"/>
        </w:rPr>
        <w:t xml:space="preserve"> a </w:t>
      </w:r>
      <w:r w:rsidRPr="001C4527">
        <w:rPr>
          <w:noProof/>
          <w:spacing w:val="-4"/>
        </w:rPr>
        <w:t>ich štátmi.</w:t>
      </w:r>
    </w:p>
    <w:p w14:paraId="41C8E98B" w14:textId="0378FE07" w:rsidR="00E74DDF" w:rsidRPr="004F01E9" w:rsidRDefault="00E74DDF" w:rsidP="00E74DDF">
      <w:pPr>
        <w:pBdr>
          <w:top w:val="nil"/>
          <w:left w:val="nil"/>
          <w:bottom w:val="nil"/>
          <w:right w:val="nil"/>
          <w:between w:val="nil"/>
          <w:bar w:val="nil"/>
        </w:pBdr>
        <w:rPr>
          <w:noProof/>
        </w:rPr>
      </w:pPr>
      <w:r w:rsidRPr="004F01E9">
        <w:rPr>
          <w:noProof/>
        </w:rPr>
        <w:t>Článok 138 sa mení</w:t>
      </w:r>
      <w:r w:rsidR="004F01E9">
        <w:rPr>
          <w:noProof/>
        </w:rPr>
        <w:t xml:space="preserve"> v </w:t>
      </w:r>
      <w:r w:rsidRPr="004F01E9">
        <w:rPr>
          <w:noProof/>
        </w:rPr>
        <w:t>súlade so štandardmi Bazilej III</w:t>
      </w:r>
      <w:r w:rsidR="004F01E9">
        <w:rPr>
          <w:noProof/>
        </w:rPr>
        <w:t xml:space="preserve"> s </w:t>
      </w:r>
      <w:r w:rsidRPr="004F01E9">
        <w:rPr>
          <w:noProof/>
        </w:rPr>
        <w:t>cieľom prerušiť prepojenie medzi bankou</w:t>
      </w:r>
      <w:r w:rsidR="004F01E9">
        <w:rPr>
          <w:noProof/>
        </w:rPr>
        <w:t xml:space="preserve"> a </w:t>
      </w:r>
      <w:r w:rsidRPr="004F01E9">
        <w:rPr>
          <w:noProof/>
        </w:rPr>
        <w:t>štátom, aj pokiaľ ide</w:t>
      </w:r>
      <w:r w:rsidR="004F01E9">
        <w:rPr>
          <w:noProof/>
        </w:rPr>
        <w:t xml:space="preserve"> o </w:t>
      </w:r>
      <w:r w:rsidRPr="004F01E9">
        <w:rPr>
          <w:noProof/>
        </w:rPr>
        <w:t>inštitúcie</w:t>
      </w:r>
      <w:r w:rsidR="004F01E9">
        <w:rPr>
          <w:noProof/>
        </w:rPr>
        <w:t xml:space="preserve"> s </w:t>
      </w:r>
      <w:r w:rsidRPr="004F01E9">
        <w:rPr>
          <w:noProof/>
        </w:rPr>
        <w:t>ratingom,</w:t>
      </w:r>
      <w:r w:rsidR="004F01E9">
        <w:rPr>
          <w:noProof/>
        </w:rPr>
        <w:t xml:space="preserve"> a </w:t>
      </w:r>
      <w:r w:rsidRPr="004F01E9">
        <w:rPr>
          <w:noProof/>
        </w:rPr>
        <w:t>to zákazom, aby ratingové hodnotenie od nominovanej ECAI tvorilo predpoklady implicitnej podpory štátu, pokiaľ ratingy neodkazujú na inštitúcie verejného sektora.</w:t>
      </w:r>
    </w:p>
    <w:p w14:paraId="53B440C1" w14:textId="77777777" w:rsidR="00E74DDF" w:rsidRPr="004F01E9" w:rsidRDefault="00E74DDF" w:rsidP="00E74DDF">
      <w:pPr>
        <w:pBdr>
          <w:top w:val="nil"/>
          <w:left w:val="nil"/>
          <w:bottom w:val="nil"/>
          <w:right w:val="nil"/>
          <w:between w:val="nil"/>
          <w:bar w:val="nil"/>
        </w:pBdr>
        <w:rPr>
          <w:i/>
          <w:noProof/>
        </w:rPr>
      </w:pPr>
      <w:r w:rsidRPr="004F01E9">
        <w:rPr>
          <w:i/>
          <w:noProof/>
        </w:rPr>
        <w:t>Expozície voči podnikateľským subjektom</w:t>
      </w:r>
    </w:p>
    <w:p w14:paraId="4524FBFD" w14:textId="5FFF1D3B" w:rsidR="00E74DDF" w:rsidRPr="004F01E9" w:rsidRDefault="00E74DDF" w:rsidP="00E74DDF">
      <w:pPr>
        <w:pBdr>
          <w:top w:val="nil"/>
          <w:left w:val="nil"/>
          <w:bottom w:val="nil"/>
          <w:right w:val="nil"/>
          <w:between w:val="nil"/>
          <w:bar w:val="nil"/>
        </w:pBdr>
        <w:rPr>
          <w:noProof/>
        </w:rPr>
      </w:pPr>
      <w:r w:rsidRPr="004F01E9">
        <w:rPr>
          <w:noProof/>
        </w:rPr>
        <w:t>Článok 122 sa mení</w:t>
      </w:r>
      <w:r w:rsidR="004F01E9">
        <w:rPr>
          <w:noProof/>
        </w:rPr>
        <w:t xml:space="preserve"> v </w:t>
      </w:r>
      <w:r w:rsidRPr="004F01E9">
        <w:rPr>
          <w:noProof/>
        </w:rPr>
        <w:t>súlade so štandardmi Bazilej III</w:t>
      </w:r>
      <w:r w:rsidR="004F01E9">
        <w:rPr>
          <w:noProof/>
        </w:rPr>
        <w:t xml:space="preserve"> s </w:t>
      </w:r>
      <w:r w:rsidRPr="004F01E9">
        <w:rPr>
          <w:noProof/>
        </w:rPr>
        <w:t>cieľom znížiť rizikovú váhu uplatniteľnú na expozície voči podnikateľským subjektom, pre ktoré je</w:t>
      </w:r>
      <w:r w:rsidR="004F01E9">
        <w:rPr>
          <w:noProof/>
        </w:rPr>
        <w:t xml:space="preserve"> k </w:t>
      </w:r>
      <w:r w:rsidRPr="004F01E9">
        <w:rPr>
          <w:noProof/>
        </w:rPr>
        <w:t>dispozícii ratingové hodnotenie 3. stupňa kreditnej kvality od nominovanej ECAI.</w:t>
      </w:r>
    </w:p>
    <w:p w14:paraId="36E3E484" w14:textId="4743B902" w:rsidR="00E74DDF" w:rsidRPr="004F01E9" w:rsidRDefault="00E74DDF" w:rsidP="00E74DDF">
      <w:pPr>
        <w:pBdr>
          <w:top w:val="nil"/>
          <w:left w:val="nil"/>
          <w:bottom w:val="nil"/>
          <w:right w:val="nil"/>
          <w:between w:val="nil"/>
          <w:bar w:val="nil"/>
        </w:pBdr>
        <w:rPr>
          <w:noProof/>
        </w:rPr>
      </w:pPr>
      <w:r w:rsidRPr="004F01E9">
        <w:rPr>
          <w:noProof/>
        </w:rPr>
        <w:t>Po zavedení minimálnych požiadaviek na výstupné parametre inštitúcie, ktoré používajú interné modely na výpočet požiadaviek na vlastné zdroje na expozície voči podnikateľským subjektom, budú musieť uplatniť aj štandardizovaný prístup SA-CR, ktorý sa pri určovaní kreditnej kvality podnikového dlžníka opiera</w:t>
      </w:r>
      <w:r w:rsidR="004F01E9">
        <w:rPr>
          <w:noProof/>
        </w:rPr>
        <w:t xml:space="preserve"> o </w:t>
      </w:r>
      <w:r w:rsidRPr="004F01E9">
        <w:rPr>
          <w:noProof/>
        </w:rPr>
        <w:t>externé ratingy. Väčšina podnikateľských subjektov</w:t>
      </w:r>
      <w:r w:rsidR="004F01E9">
        <w:rPr>
          <w:noProof/>
        </w:rPr>
        <w:t xml:space="preserve"> v </w:t>
      </w:r>
      <w:r w:rsidRPr="004F01E9">
        <w:rPr>
          <w:noProof/>
        </w:rPr>
        <w:t>EÚ však obvykle nepožaduje externé úverové ratingy</w:t>
      </w:r>
      <w:r w:rsidR="004F01E9">
        <w:rPr>
          <w:noProof/>
        </w:rPr>
        <w:t xml:space="preserve"> z </w:t>
      </w:r>
      <w:r w:rsidRPr="004F01E9">
        <w:rPr>
          <w:noProof/>
        </w:rPr>
        <w:t>dôvodov nákladov na stanovenie ratingu</w:t>
      </w:r>
      <w:r w:rsidR="004F01E9">
        <w:rPr>
          <w:noProof/>
        </w:rPr>
        <w:t xml:space="preserve"> a </w:t>
      </w:r>
      <w:r w:rsidRPr="004F01E9">
        <w:rPr>
          <w:noProof/>
        </w:rPr>
        <w:t>iných faktorov. Za predpokladu, že požiadavky na vlastné zdroje vypočítané</w:t>
      </w:r>
      <w:r w:rsidR="004F01E9">
        <w:rPr>
          <w:noProof/>
        </w:rPr>
        <w:t xml:space="preserve"> v </w:t>
      </w:r>
      <w:r w:rsidRPr="004F01E9">
        <w:rPr>
          <w:noProof/>
        </w:rPr>
        <w:t>rámci prístupu SA-CR sú</w:t>
      </w:r>
      <w:r w:rsidR="004F01E9">
        <w:rPr>
          <w:noProof/>
        </w:rPr>
        <w:t xml:space="preserve"> v </w:t>
      </w:r>
      <w:r w:rsidRPr="004F01E9">
        <w:rPr>
          <w:noProof/>
        </w:rPr>
        <w:t>priemere konzervatívnejšie</w:t>
      </w:r>
      <w:r w:rsidR="004F01E9">
        <w:rPr>
          <w:noProof/>
        </w:rPr>
        <w:t xml:space="preserve"> v </w:t>
      </w:r>
      <w:r w:rsidRPr="004F01E9">
        <w:rPr>
          <w:noProof/>
        </w:rPr>
        <w:t>prípade podnikateľských subjektov bez ratingu než</w:t>
      </w:r>
      <w:r w:rsidR="004F01E9">
        <w:rPr>
          <w:noProof/>
        </w:rPr>
        <w:t xml:space="preserve"> v </w:t>
      </w:r>
      <w:r w:rsidRPr="004F01E9">
        <w:rPr>
          <w:noProof/>
        </w:rPr>
        <w:t>prípade podnikateľských subjektov, ktoré majú rating, vykonanie minimálnych požiadaviek na výstupné parametre by mohlo spôsobiť podstatne zvýšenie požiadaviek na vlastné zdroje pre inštitúcie, ktoré používajú interné modely.</w:t>
      </w:r>
      <w:r w:rsidR="004F01E9">
        <w:rPr>
          <w:noProof/>
        </w:rPr>
        <w:t xml:space="preserve"> V </w:t>
      </w:r>
      <w:r w:rsidRPr="004F01E9">
        <w:rPr>
          <w:noProof/>
        </w:rPr>
        <w:t>záujme zabránenia rušivým vplyvom na poskytovanie bankových úverov podnikateľským subjektom bez ratingu</w:t>
      </w:r>
      <w:r w:rsidR="004F01E9">
        <w:rPr>
          <w:noProof/>
        </w:rPr>
        <w:t xml:space="preserve"> a </w:t>
      </w:r>
      <w:r w:rsidRPr="004F01E9">
        <w:rPr>
          <w:noProof/>
        </w:rPr>
        <w:t>poskytnutia dostatočného času na vytvorenie verejných a/alebo súkromných iniciatív zameraných na zvýšenie krytia úverových ratingov sa</w:t>
      </w:r>
      <w:r w:rsidR="004F01E9">
        <w:rPr>
          <w:noProof/>
        </w:rPr>
        <w:t xml:space="preserve"> v </w:t>
      </w:r>
      <w:r w:rsidRPr="004F01E9">
        <w:rPr>
          <w:noProof/>
        </w:rPr>
        <w:t xml:space="preserve">zmenenom článku 465 pri výpočte minimálnych požiadaviek na výstupné parametre stanovuje osobitná prechodná úprava pre expozície voči podnikateľským subjektom bez ratingu. Počas prechodného obdobia majú inštitúcie možnosť uplatniť </w:t>
      </w:r>
      <w:r w:rsidRPr="004F01E9">
        <w:rPr>
          <w:noProof/>
          <w:color w:val="000000"/>
        </w:rPr>
        <w:t>preferenčnú</w:t>
      </w:r>
      <w:r w:rsidRPr="004F01E9">
        <w:rPr>
          <w:noProof/>
        </w:rPr>
        <w:t xml:space="preserve"> rizikovú váhu 65</w:t>
      </w:r>
      <w:r w:rsidR="004F01E9">
        <w:rPr>
          <w:noProof/>
        </w:rPr>
        <w:t> %</w:t>
      </w:r>
      <w:r w:rsidRPr="004F01E9">
        <w:rPr>
          <w:noProof/>
        </w:rPr>
        <w:t xml:space="preserve"> na svoje expozície voči podnikateľským subjektom, ktoré nemajú externý rating, pod podmienkou, že pravdepodobnosť zlyhania týchto expozícií je nižšia alebo sa rovná 0,5</w:t>
      </w:r>
      <w:r w:rsidR="004F01E9">
        <w:rPr>
          <w:noProof/>
        </w:rPr>
        <w:t> %</w:t>
      </w:r>
      <w:r w:rsidRPr="004F01E9">
        <w:rPr>
          <w:noProof/>
        </w:rPr>
        <w:t xml:space="preserve"> (čo zodpovedá ratingu „investičný stupeň“). Táto úprava sa vzťahuje na všetky podnikateľské subjekty bez ratingu bez ohľadu na to, či sú kótované alebo nie. Orgán EBA monitoruje využívanie prechodného zaobchádzania</w:t>
      </w:r>
      <w:r w:rsidR="004F01E9">
        <w:rPr>
          <w:noProof/>
        </w:rPr>
        <w:t xml:space="preserve"> a </w:t>
      </w:r>
      <w:r w:rsidRPr="004F01E9">
        <w:rPr>
          <w:noProof/>
        </w:rPr>
        <w:t>dostupnosť ratingových hodnotení od nominovaných ECAI pre expozície voči podnikateľským subjektom. Orgán EBA má povinnosť monitorovať využívanie prechodného zaobchádzania</w:t>
      </w:r>
      <w:r w:rsidR="004F01E9">
        <w:rPr>
          <w:noProof/>
        </w:rPr>
        <w:t xml:space="preserve"> a </w:t>
      </w:r>
      <w:r w:rsidRPr="004F01E9">
        <w:rPr>
          <w:noProof/>
        </w:rPr>
        <w:t>vypracovať správu</w:t>
      </w:r>
      <w:r w:rsidR="004F01E9">
        <w:rPr>
          <w:noProof/>
        </w:rPr>
        <w:t xml:space="preserve"> o </w:t>
      </w:r>
      <w:r w:rsidRPr="004F01E9">
        <w:rPr>
          <w:noProof/>
        </w:rPr>
        <w:t>vhodnosti jeho kalibrácie. Na základe tejto správy sa Komisia musí rozhodnúť, či Európskemu parlamentu</w:t>
      </w:r>
      <w:r w:rsidR="004F01E9">
        <w:rPr>
          <w:noProof/>
        </w:rPr>
        <w:t xml:space="preserve"> a </w:t>
      </w:r>
      <w:r w:rsidRPr="004F01E9">
        <w:rPr>
          <w:noProof/>
        </w:rPr>
        <w:t>Rade predloží legislatívny návrh</w:t>
      </w:r>
      <w:r w:rsidR="004F01E9">
        <w:rPr>
          <w:noProof/>
        </w:rPr>
        <w:t xml:space="preserve"> o </w:t>
      </w:r>
      <w:r w:rsidRPr="004F01E9">
        <w:rPr>
          <w:noProof/>
        </w:rPr>
        <w:t>zaobchádzaní</w:t>
      </w:r>
      <w:r w:rsidR="004F01E9">
        <w:rPr>
          <w:noProof/>
        </w:rPr>
        <w:t xml:space="preserve"> s </w:t>
      </w:r>
      <w:r w:rsidRPr="004F01E9">
        <w:rPr>
          <w:noProof/>
        </w:rPr>
        <w:t>expozíciami voči podnikateľským subjektom</w:t>
      </w:r>
      <w:r w:rsidR="004F01E9">
        <w:rPr>
          <w:noProof/>
        </w:rPr>
        <w:t xml:space="preserve"> s </w:t>
      </w:r>
      <w:r w:rsidRPr="004F01E9">
        <w:rPr>
          <w:noProof/>
        </w:rPr>
        <w:t>vysokou kreditnou kvalitou bez ratingu.</w:t>
      </w:r>
    </w:p>
    <w:p w14:paraId="5FC259FE" w14:textId="3E602812" w:rsidR="00E74DDF" w:rsidRPr="004F01E9" w:rsidRDefault="00E74DDF" w:rsidP="00E74DDF">
      <w:pPr>
        <w:pBdr>
          <w:top w:val="nil"/>
          <w:left w:val="nil"/>
          <w:bottom w:val="nil"/>
          <w:right w:val="nil"/>
          <w:between w:val="nil"/>
          <w:bar w:val="nil"/>
        </w:pBdr>
        <w:rPr>
          <w:noProof/>
        </w:rPr>
      </w:pPr>
      <w:r w:rsidRPr="004F01E9">
        <w:rPr>
          <w:noProof/>
        </w:rPr>
        <w:t>Opatrenia na zlepšenie dostupnosti externých ratingov pre podnikateľské subjekty sa navrhujú</w:t>
      </w:r>
      <w:r w:rsidR="004F01E9">
        <w:rPr>
          <w:noProof/>
        </w:rPr>
        <w:t xml:space="preserve"> v </w:t>
      </w:r>
      <w:r w:rsidRPr="004F01E9">
        <w:rPr>
          <w:noProof/>
        </w:rPr>
        <w:t>zmenách článku 135.</w:t>
      </w:r>
    </w:p>
    <w:p w14:paraId="2D4AA8B2" w14:textId="67FD257E" w:rsidR="00806B81" w:rsidRPr="004F01E9" w:rsidRDefault="00E74DDF" w:rsidP="00E74DDF">
      <w:pPr>
        <w:keepNext/>
        <w:pBdr>
          <w:top w:val="nil"/>
          <w:left w:val="nil"/>
          <w:bottom w:val="nil"/>
          <w:right w:val="nil"/>
          <w:between w:val="nil"/>
          <w:bar w:val="nil"/>
        </w:pBdr>
        <w:rPr>
          <w:i/>
          <w:noProof/>
        </w:rPr>
      </w:pPr>
      <w:r w:rsidRPr="004F01E9">
        <w:rPr>
          <w:i/>
          <w:noProof/>
        </w:rPr>
        <w:t>Zaobchádzanie</w:t>
      </w:r>
      <w:r w:rsidR="004F01E9">
        <w:rPr>
          <w:i/>
          <w:noProof/>
        </w:rPr>
        <w:t xml:space="preserve"> s </w:t>
      </w:r>
      <w:r w:rsidRPr="004F01E9">
        <w:rPr>
          <w:i/>
          <w:noProof/>
        </w:rPr>
        <w:t>expozíciami vo forme špecializovaného financovania</w:t>
      </w:r>
    </w:p>
    <w:p w14:paraId="7374B094" w14:textId="480573C3" w:rsidR="00806B81" w:rsidRPr="004F01E9" w:rsidRDefault="00E74DDF" w:rsidP="00E74DDF">
      <w:pPr>
        <w:rPr>
          <w:noProof/>
          <w:color w:val="000000"/>
        </w:rPr>
      </w:pPr>
      <w:r w:rsidRPr="004F01E9">
        <w:rPr>
          <w:noProof/>
          <w:color w:val="000000"/>
        </w:rPr>
        <w:t>Podpora životaschopných projektov infraštruktúry</w:t>
      </w:r>
      <w:r w:rsidR="004F01E9">
        <w:rPr>
          <w:noProof/>
          <w:color w:val="000000"/>
        </w:rPr>
        <w:t xml:space="preserve"> a </w:t>
      </w:r>
      <w:r w:rsidRPr="004F01E9">
        <w:rPr>
          <w:noProof/>
          <w:color w:val="000000"/>
        </w:rPr>
        <w:t>ďalších špecializovaných projektov je životne dôležitá pre hospodársky rast Únie. Špecializované financovanie inštitúciami je takisto určujúcou vlastnosťou hospodárstva Únie</w:t>
      </w:r>
      <w:r w:rsidR="004F01E9">
        <w:rPr>
          <w:noProof/>
          <w:color w:val="000000"/>
        </w:rPr>
        <w:t xml:space="preserve"> v </w:t>
      </w:r>
      <w:r w:rsidRPr="004F01E9">
        <w:rPr>
          <w:noProof/>
          <w:color w:val="000000"/>
        </w:rPr>
        <w:t>porovnaní</w:t>
      </w:r>
      <w:r w:rsidR="004F01E9">
        <w:rPr>
          <w:noProof/>
          <w:color w:val="000000"/>
        </w:rPr>
        <w:t xml:space="preserve"> s </w:t>
      </w:r>
      <w:r w:rsidRPr="004F01E9">
        <w:rPr>
          <w:noProof/>
          <w:color w:val="000000"/>
        </w:rPr>
        <w:t>inými jurisdikciami,</w:t>
      </w:r>
      <w:r w:rsidR="004F01E9">
        <w:rPr>
          <w:noProof/>
          <w:color w:val="000000"/>
        </w:rPr>
        <w:t xml:space="preserve"> v </w:t>
      </w:r>
      <w:r w:rsidRPr="004F01E9">
        <w:rPr>
          <w:noProof/>
          <w:color w:val="000000"/>
        </w:rPr>
        <w:t>ktorých takéto projekty financujú prevažne kapitálové trhy. Veľké inštitúcie usadené</w:t>
      </w:r>
      <w:r w:rsidR="004F01E9">
        <w:rPr>
          <w:noProof/>
          <w:color w:val="000000"/>
        </w:rPr>
        <w:t xml:space="preserve"> v </w:t>
      </w:r>
      <w:r w:rsidRPr="004F01E9">
        <w:rPr>
          <w:noProof/>
          <w:color w:val="000000"/>
        </w:rPr>
        <w:t>EÚ sú hlavnými poskytovateľmi financovania špecializovaných projektov, financovania predmetov</w:t>
      </w:r>
      <w:r w:rsidR="004F01E9">
        <w:rPr>
          <w:noProof/>
          <w:color w:val="000000"/>
        </w:rPr>
        <w:t xml:space="preserve"> a </w:t>
      </w:r>
      <w:r w:rsidRPr="004F01E9">
        <w:rPr>
          <w:noProof/>
          <w:color w:val="000000"/>
        </w:rPr>
        <w:t>komodít</w:t>
      </w:r>
      <w:r w:rsidR="004F01E9">
        <w:rPr>
          <w:noProof/>
          <w:color w:val="000000"/>
        </w:rPr>
        <w:t xml:space="preserve"> v </w:t>
      </w:r>
      <w:r w:rsidRPr="004F01E9">
        <w:rPr>
          <w:noProof/>
          <w:color w:val="000000"/>
        </w:rPr>
        <w:t>Únii aj na celom svete; ako také</w:t>
      </w:r>
      <w:r w:rsidR="004F01E9">
        <w:rPr>
          <w:noProof/>
          <w:color w:val="000000"/>
        </w:rPr>
        <w:t xml:space="preserve"> v </w:t>
      </w:r>
      <w:r w:rsidRPr="004F01E9">
        <w:rPr>
          <w:noProof/>
          <w:color w:val="000000"/>
        </w:rPr>
        <w:t>týchto oblastiach dosiahli vysokú úroveň odborných znalostí. Činnosť vykonávajú hlavne účelové jednotky, ktoré zvyčajne fungujú ako subjekty, ktoré si požičiavajú</w:t>
      </w:r>
      <w:r w:rsidR="004F01E9">
        <w:rPr>
          <w:noProof/>
          <w:color w:val="000000"/>
        </w:rPr>
        <w:t xml:space="preserve"> a </w:t>
      </w:r>
      <w:r w:rsidRPr="004F01E9">
        <w:rPr>
          <w:noProof/>
          <w:color w:val="000000"/>
        </w:rPr>
        <w:t>pre ktoré je návratnosť investície primárnym zdrojom splatenia získaného financovania.</w:t>
      </w:r>
    </w:p>
    <w:p w14:paraId="73B8E556" w14:textId="3308DA3A" w:rsidR="00E74DDF" w:rsidRPr="004F01E9" w:rsidRDefault="00E74DDF" w:rsidP="00E74DDF">
      <w:pPr>
        <w:rPr>
          <w:noProof/>
          <w:spacing w:val="-2"/>
        </w:rPr>
      </w:pPr>
      <w:r w:rsidRPr="004F01E9">
        <w:rPr>
          <w:noProof/>
          <w:color w:val="000000"/>
          <w:spacing w:val="-2"/>
        </w:rPr>
        <w:t>V súlade so štandardmi Bazilej III sa</w:t>
      </w:r>
      <w:r w:rsidR="004F01E9" w:rsidRPr="004F01E9">
        <w:rPr>
          <w:noProof/>
          <w:color w:val="000000"/>
          <w:spacing w:val="-2"/>
        </w:rPr>
        <w:t xml:space="preserve"> v </w:t>
      </w:r>
      <w:r w:rsidRPr="004F01E9">
        <w:rPr>
          <w:noProof/>
          <w:color w:val="000000"/>
          <w:spacing w:val="-2"/>
        </w:rPr>
        <w:t>novom článku 122a</w:t>
      </w:r>
      <w:r w:rsidR="004F01E9" w:rsidRPr="004F01E9">
        <w:rPr>
          <w:noProof/>
          <w:color w:val="000000"/>
          <w:spacing w:val="-2"/>
        </w:rPr>
        <w:t xml:space="preserve"> v </w:t>
      </w:r>
      <w:r w:rsidRPr="004F01E9">
        <w:rPr>
          <w:noProof/>
          <w:color w:val="000000"/>
          <w:spacing w:val="-2"/>
        </w:rPr>
        <w:t>rámci</w:t>
      </w:r>
      <w:r w:rsidRPr="004F01E9">
        <w:rPr>
          <w:noProof/>
          <w:spacing w:val="-2"/>
        </w:rPr>
        <w:t xml:space="preserve"> prístupu SA-CR </w:t>
      </w:r>
      <w:r w:rsidRPr="004F01E9">
        <w:rPr>
          <w:noProof/>
          <w:color w:val="000000"/>
          <w:spacing w:val="-2"/>
        </w:rPr>
        <w:t>zavádza špecializovaná trieda expozícií, ako aj dva všeobecné prístupy na určenie rizikových váh špecializovaných expozícií,</w:t>
      </w:r>
      <w:r w:rsidR="004F01E9" w:rsidRPr="004F01E9">
        <w:rPr>
          <w:noProof/>
          <w:color w:val="000000"/>
          <w:spacing w:val="-2"/>
        </w:rPr>
        <w:t xml:space="preserve"> a </w:t>
      </w:r>
      <w:r w:rsidRPr="004F01E9">
        <w:rPr>
          <w:noProof/>
          <w:color w:val="000000"/>
          <w:spacing w:val="-2"/>
        </w:rPr>
        <w:t>to jeden pre expozície</w:t>
      </w:r>
      <w:r w:rsidR="004F01E9" w:rsidRPr="004F01E9">
        <w:rPr>
          <w:noProof/>
          <w:color w:val="000000"/>
          <w:spacing w:val="-2"/>
        </w:rPr>
        <w:t xml:space="preserve"> s </w:t>
      </w:r>
      <w:r w:rsidRPr="004F01E9">
        <w:rPr>
          <w:noProof/>
          <w:color w:val="000000"/>
          <w:spacing w:val="-2"/>
        </w:rPr>
        <w:t>externým ratingom</w:t>
      </w:r>
      <w:r w:rsidR="004F01E9" w:rsidRPr="004F01E9">
        <w:rPr>
          <w:noProof/>
          <w:color w:val="000000"/>
          <w:spacing w:val="-2"/>
        </w:rPr>
        <w:t xml:space="preserve"> a </w:t>
      </w:r>
      <w:r w:rsidRPr="004F01E9">
        <w:rPr>
          <w:noProof/>
          <w:color w:val="000000"/>
          <w:spacing w:val="-2"/>
        </w:rPr>
        <w:t xml:space="preserve">jeden pre expozície, ktoré nemajú externý rating. </w:t>
      </w:r>
      <w:r w:rsidRPr="004F01E9">
        <w:rPr>
          <w:noProof/>
          <w:spacing w:val="-2"/>
        </w:rPr>
        <w:t>Triedy expozície financovania projektov, financovania predmetov</w:t>
      </w:r>
      <w:r w:rsidR="004F01E9" w:rsidRPr="004F01E9">
        <w:rPr>
          <w:noProof/>
          <w:spacing w:val="-2"/>
        </w:rPr>
        <w:t xml:space="preserve"> a </w:t>
      </w:r>
      <w:r w:rsidRPr="004F01E9">
        <w:rPr>
          <w:noProof/>
          <w:spacing w:val="-2"/>
        </w:rPr>
        <w:t>financovania komodít sa zavádzajú</w:t>
      </w:r>
      <w:r w:rsidR="004F01E9" w:rsidRPr="004F01E9">
        <w:rPr>
          <w:noProof/>
          <w:spacing w:val="-2"/>
        </w:rPr>
        <w:t xml:space="preserve"> v </w:t>
      </w:r>
      <w:r w:rsidRPr="004F01E9">
        <w:rPr>
          <w:noProof/>
          <w:spacing w:val="-2"/>
        </w:rPr>
        <w:t>rámci prístupu SA-CR</w:t>
      </w:r>
      <w:r w:rsidR="004F01E9" w:rsidRPr="004F01E9">
        <w:rPr>
          <w:noProof/>
          <w:spacing w:val="-2"/>
        </w:rPr>
        <w:t xml:space="preserve"> v </w:t>
      </w:r>
      <w:r w:rsidRPr="004F01E9">
        <w:rPr>
          <w:noProof/>
          <w:spacing w:val="-2"/>
        </w:rPr>
        <w:t>súlade</w:t>
      </w:r>
      <w:r w:rsidR="004F01E9" w:rsidRPr="004F01E9">
        <w:rPr>
          <w:noProof/>
          <w:spacing w:val="-2"/>
        </w:rPr>
        <w:t xml:space="preserve"> s </w:t>
      </w:r>
      <w:r w:rsidRPr="004F01E9">
        <w:rPr>
          <w:noProof/>
          <w:spacing w:val="-2"/>
        </w:rPr>
        <w:t>rovnakými tromi podkategóriami podľa prístupu na základe interných ratingov (IRB).</w:t>
      </w:r>
    </w:p>
    <w:p w14:paraId="7382F32F" w14:textId="63CBDAAE" w:rsidR="00806B81" w:rsidRPr="001C4527" w:rsidRDefault="00E74DDF" w:rsidP="00E74DDF">
      <w:pPr>
        <w:rPr>
          <w:noProof/>
          <w:spacing w:val="-6"/>
        </w:rPr>
      </w:pPr>
      <w:r w:rsidRPr="001C4527">
        <w:rPr>
          <w:noProof/>
          <w:spacing w:val="-6"/>
        </w:rPr>
        <w:t>Keďže nové štandardizované zaobchádzanie</w:t>
      </w:r>
      <w:r w:rsidR="004F01E9" w:rsidRPr="001C4527">
        <w:rPr>
          <w:noProof/>
          <w:spacing w:val="-6"/>
        </w:rPr>
        <w:t xml:space="preserve"> s </w:t>
      </w:r>
      <w:r w:rsidRPr="001C4527">
        <w:rPr>
          <w:noProof/>
          <w:spacing w:val="-6"/>
        </w:rPr>
        <w:t>expozíciami bez ratingu vo forme špecializovaného financovania</w:t>
      </w:r>
      <w:r w:rsidR="004F01E9" w:rsidRPr="001C4527">
        <w:rPr>
          <w:noProof/>
          <w:spacing w:val="-6"/>
        </w:rPr>
        <w:t xml:space="preserve"> v </w:t>
      </w:r>
      <w:r w:rsidRPr="001C4527">
        <w:rPr>
          <w:noProof/>
          <w:spacing w:val="-6"/>
        </w:rPr>
        <w:t>rámci Bazilej III nie je dostatočne citlivé na riziko, aby sa prejavili účinky komplexných balíkov zabezpečenia</w:t>
      </w:r>
      <w:r w:rsidR="004F01E9" w:rsidRPr="001C4527">
        <w:rPr>
          <w:noProof/>
          <w:spacing w:val="-6"/>
        </w:rPr>
        <w:t xml:space="preserve"> v </w:t>
      </w:r>
      <w:r w:rsidRPr="001C4527">
        <w:rPr>
          <w:noProof/>
          <w:spacing w:val="-6"/>
        </w:rPr>
        <w:t>Únii obvykle spojené</w:t>
      </w:r>
      <w:r w:rsidR="004F01E9" w:rsidRPr="001C4527">
        <w:rPr>
          <w:noProof/>
          <w:spacing w:val="-6"/>
        </w:rPr>
        <w:t xml:space="preserve"> s </w:t>
      </w:r>
      <w:r w:rsidRPr="001C4527">
        <w:rPr>
          <w:noProof/>
          <w:spacing w:val="-6"/>
        </w:rPr>
        <w:t>určitými expozíciami financovania predmetov,</w:t>
      </w:r>
      <w:r w:rsidR="004F01E9" w:rsidRPr="001C4527">
        <w:rPr>
          <w:noProof/>
          <w:spacing w:val="-6"/>
        </w:rPr>
        <w:t xml:space="preserve"> v </w:t>
      </w:r>
      <w:r w:rsidRPr="001C4527">
        <w:rPr>
          <w:noProof/>
          <w:spacing w:val="-6"/>
        </w:rPr>
        <w:t>rámci prístupu SA-CR sa pre tieto expozície zavádza dodatočná podrobnosť. Expozície financovania predmetov bez ratingu, pri ktorých sa využíva obozretné</w:t>
      </w:r>
      <w:r w:rsidR="004F01E9" w:rsidRPr="001C4527">
        <w:rPr>
          <w:noProof/>
          <w:spacing w:val="-6"/>
        </w:rPr>
        <w:t xml:space="preserve"> a </w:t>
      </w:r>
      <w:r w:rsidRPr="001C4527">
        <w:rPr>
          <w:noProof/>
          <w:spacing w:val="-6"/>
        </w:rPr>
        <w:t>konzervatívne riadenie súvisiacich finančných rizík dodržiavaním súboru kritérií schopných znížiť ich rizikový profil na štandard „vysokej kvality“, využívajú priaznivé zaobchádzanie</w:t>
      </w:r>
      <w:r w:rsidR="004F01E9" w:rsidRPr="001C4527">
        <w:rPr>
          <w:noProof/>
          <w:spacing w:val="-6"/>
        </w:rPr>
        <w:t xml:space="preserve"> s </w:t>
      </w:r>
      <w:r w:rsidRPr="001C4527">
        <w:rPr>
          <w:noProof/>
          <w:spacing w:val="-6"/>
        </w:rPr>
        <w:t>kapitálom</w:t>
      </w:r>
      <w:r w:rsidR="004F01E9" w:rsidRPr="001C4527">
        <w:rPr>
          <w:noProof/>
          <w:spacing w:val="-6"/>
        </w:rPr>
        <w:t xml:space="preserve"> v </w:t>
      </w:r>
      <w:r w:rsidRPr="001C4527">
        <w:rPr>
          <w:noProof/>
          <w:spacing w:val="-6"/>
        </w:rPr>
        <w:t>porovnaní so všeobecným zaobchádzaním</w:t>
      </w:r>
      <w:r w:rsidR="004F01E9" w:rsidRPr="001C4527">
        <w:rPr>
          <w:noProof/>
          <w:spacing w:val="-6"/>
        </w:rPr>
        <w:t xml:space="preserve"> s </w:t>
      </w:r>
      <w:r w:rsidRPr="001C4527">
        <w:rPr>
          <w:noProof/>
          <w:spacing w:val="-6"/>
        </w:rPr>
        <w:t>expozíciami financovania predmetov bez ratingu</w:t>
      </w:r>
      <w:r w:rsidR="004F01E9" w:rsidRPr="001C4527">
        <w:rPr>
          <w:noProof/>
          <w:spacing w:val="-6"/>
        </w:rPr>
        <w:t xml:space="preserve"> v </w:t>
      </w:r>
      <w:r w:rsidRPr="001C4527">
        <w:rPr>
          <w:noProof/>
          <w:spacing w:val="-6"/>
        </w:rPr>
        <w:t>rámci štandardov Bazilej III. Určenie toho, čo tvorí „vysokú kvalitu“ financovania predmetov je otázkou konkrétnych podmienok, ktoré vypracuje orgán EBA</w:t>
      </w:r>
      <w:r w:rsidR="004F01E9" w:rsidRPr="001C4527">
        <w:rPr>
          <w:noProof/>
          <w:spacing w:val="-6"/>
        </w:rPr>
        <w:t xml:space="preserve"> v </w:t>
      </w:r>
      <w:r w:rsidRPr="001C4527">
        <w:rPr>
          <w:noProof/>
          <w:spacing w:val="-6"/>
        </w:rPr>
        <w:t>návrhu regulačných technických predpisov.</w:t>
      </w:r>
    </w:p>
    <w:p w14:paraId="01AB1FA7" w14:textId="1BF2D800" w:rsidR="00E74DDF" w:rsidRPr="001C4527" w:rsidRDefault="00E74DDF" w:rsidP="00E74DDF">
      <w:pPr>
        <w:rPr>
          <w:noProof/>
          <w:color w:val="000000"/>
          <w:spacing w:val="-8"/>
        </w:rPr>
      </w:pPr>
      <w:r w:rsidRPr="001C4527">
        <w:rPr>
          <w:noProof/>
          <w:spacing w:val="-8"/>
        </w:rPr>
        <w:t>Preferenčné zaobchádzanie zavedené nariadením CRR II na podporu bankového financovania</w:t>
      </w:r>
      <w:r w:rsidR="004F01E9" w:rsidRPr="001C4527">
        <w:rPr>
          <w:noProof/>
          <w:spacing w:val="-8"/>
        </w:rPr>
        <w:t xml:space="preserve"> a </w:t>
      </w:r>
      <w:r w:rsidRPr="001C4527">
        <w:rPr>
          <w:noProof/>
          <w:spacing w:val="-8"/>
        </w:rPr>
        <w:t>súkromných investícií do projektov infraštruktúry vysokej kvality (faktor na podporu infraštruktúry) stanovené</w:t>
      </w:r>
      <w:r w:rsidR="004F01E9" w:rsidRPr="001C4527">
        <w:rPr>
          <w:noProof/>
          <w:spacing w:val="-8"/>
        </w:rPr>
        <w:t xml:space="preserve"> v </w:t>
      </w:r>
      <w:r w:rsidRPr="001C4527">
        <w:rPr>
          <w:noProof/>
          <w:spacing w:val="-8"/>
        </w:rPr>
        <w:t>článku 501a sa zachováva</w:t>
      </w:r>
      <w:r w:rsidR="004F01E9" w:rsidRPr="001C4527">
        <w:rPr>
          <w:noProof/>
          <w:spacing w:val="-8"/>
        </w:rPr>
        <w:t xml:space="preserve"> v </w:t>
      </w:r>
      <w:r w:rsidRPr="001C4527">
        <w:rPr>
          <w:noProof/>
          <w:spacing w:val="-8"/>
        </w:rPr>
        <w:t>rámci prístupu SA-CR</w:t>
      </w:r>
      <w:r w:rsidR="004F01E9" w:rsidRPr="001C4527">
        <w:rPr>
          <w:noProof/>
          <w:spacing w:val="-8"/>
        </w:rPr>
        <w:t xml:space="preserve"> a </w:t>
      </w:r>
      <w:r w:rsidRPr="001C4527">
        <w:rPr>
          <w:noProof/>
          <w:color w:val="000000"/>
          <w:spacing w:val="-8"/>
        </w:rPr>
        <w:t>prístupov IRB ku kreditnému riziku</w:t>
      </w:r>
      <w:r w:rsidR="004F01E9" w:rsidRPr="001C4527">
        <w:rPr>
          <w:noProof/>
          <w:spacing w:val="-8"/>
        </w:rPr>
        <w:t xml:space="preserve"> s </w:t>
      </w:r>
      <w:r w:rsidRPr="001C4527">
        <w:rPr>
          <w:noProof/>
          <w:spacing w:val="-8"/>
        </w:rPr>
        <w:t>cielenými objasneniami</w:t>
      </w:r>
      <w:r w:rsidRPr="001C4527">
        <w:rPr>
          <w:noProof/>
          <w:color w:val="000000"/>
          <w:spacing w:val="-8"/>
        </w:rPr>
        <w:t xml:space="preserve">, </w:t>
      </w:r>
      <w:r w:rsidRPr="001C4527">
        <w:rPr>
          <w:noProof/>
          <w:spacing w:val="-8"/>
        </w:rPr>
        <w:t>čo vedie</w:t>
      </w:r>
      <w:r w:rsidR="004F01E9" w:rsidRPr="001C4527">
        <w:rPr>
          <w:noProof/>
          <w:spacing w:val="-8"/>
        </w:rPr>
        <w:t xml:space="preserve"> k </w:t>
      </w:r>
      <w:r w:rsidRPr="001C4527">
        <w:rPr>
          <w:noProof/>
          <w:spacing w:val="-8"/>
        </w:rPr>
        <w:t xml:space="preserve">nižším požiadavkám na vlastné zdroje pre projekty infraštruktúry než osobitné zaobchádzanie stanovené štandardmi Bazilej III. </w:t>
      </w:r>
      <w:r w:rsidRPr="001C4527">
        <w:rPr>
          <w:noProof/>
          <w:color w:val="000000"/>
          <w:spacing w:val="-8"/>
        </w:rPr>
        <w:t>Preferenčné zaobchádzanie uvedené</w:t>
      </w:r>
      <w:r w:rsidR="004F01E9" w:rsidRPr="001C4527">
        <w:rPr>
          <w:noProof/>
          <w:color w:val="000000"/>
          <w:spacing w:val="-8"/>
        </w:rPr>
        <w:t xml:space="preserve"> v </w:t>
      </w:r>
      <w:r w:rsidRPr="001C4527">
        <w:rPr>
          <w:noProof/>
          <w:color w:val="000000"/>
          <w:spacing w:val="-8"/>
        </w:rPr>
        <w:t>novom článku 122a</w:t>
      </w:r>
      <w:r w:rsidR="004F01E9" w:rsidRPr="001C4527">
        <w:rPr>
          <w:noProof/>
          <w:color w:val="000000"/>
          <w:spacing w:val="-8"/>
        </w:rPr>
        <w:t xml:space="preserve"> v </w:t>
      </w:r>
      <w:r w:rsidRPr="001C4527">
        <w:rPr>
          <w:noProof/>
          <w:color w:val="000000"/>
          <w:spacing w:val="-8"/>
        </w:rPr>
        <w:t>súvislosti</w:t>
      </w:r>
      <w:r w:rsidR="004F01E9" w:rsidRPr="001C4527">
        <w:rPr>
          <w:noProof/>
          <w:color w:val="000000"/>
          <w:spacing w:val="-8"/>
        </w:rPr>
        <w:t xml:space="preserve"> s </w:t>
      </w:r>
      <w:r w:rsidRPr="001C4527">
        <w:rPr>
          <w:noProof/>
          <w:color w:val="000000"/>
          <w:spacing w:val="-8"/>
        </w:rPr>
        <w:t>expozíciami financovania projektov</w:t>
      </w:r>
      <w:r w:rsidR="004F01E9" w:rsidRPr="001C4527">
        <w:rPr>
          <w:noProof/>
          <w:color w:val="000000"/>
          <w:spacing w:val="-8"/>
        </w:rPr>
        <w:t xml:space="preserve"> s </w:t>
      </w:r>
      <w:r w:rsidRPr="001C4527">
        <w:rPr>
          <w:noProof/>
          <w:color w:val="000000"/>
          <w:spacing w:val="-8"/>
        </w:rPr>
        <w:t>„vysokou kvalitou“ sa však vzťahuje len na expozície, na ktoré inštitúcie ešte neuplatňujú „faktor na podporu infraštruktúry“ podľa článku 501a, aby sa vyhli bezdôvodnému zníženiu požiadaviek na vlastné zdroje.</w:t>
      </w:r>
    </w:p>
    <w:p w14:paraId="1CE9FFC5" w14:textId="77777777" w:rsidR="00E74DDF" w:rsidRPr="004F01E9" w:rsidRDefault="00E74DDF" w:rsidP="00E74DDF">
      <w:pPr>
        <w:keepNext/>
        <w:pBdr>
          <w:top w:val="nil"/>
          <w:left w:val="nil"/>
          <w:bottom w:val="nil"/>
          <w:right w:val="nil"/>
          <w:between w:val="nil"/>
          <w:bar w:val="nil"/>
        </w:pBdr>
        <w:rPr>
          <w:i/>
          <w:noProof/>
        </w:rPr>
      </w:pPr>
      <w:r w:rsidRPr="004F01E9">
        <w:rPr>
          <w:i/>
          <w:noProof/>
        </w:rPr>
        <w:t>Retailové expozície</w:t>
      </w:r>
    </w:p>
    <w:p w14:paraId="5805E197" w14:textId="503C3ECC" w:rsidR="00E74DDF" w:rsidRPr="004F01E9" w:rsidRDefault="00E74DDF" w:rsidP="00E74DDF">
      <w:pPr>
        <w:rPr>
          <w:noProof/>
          <w:color w:val="000000"/>
        </w:rPr>
      </w:pPr>
      <w:r w:rsidRPr="004F01E9">
        <w:rPr>
          <w:noProof/>
        </w:rPr>
        <w:t>Článok 123 sa mení</w:t>
      </w:r>
      <w:r w:rsidR="004F01E9">
        <w:rPr>
          <w:noProof/>
        </w:rPr>
        <w:t xml:space="preserve"> v </w:t>
      </w:r>
      <w:r w:rsidRPr="004F01E9">
        <w:rPr>
          <w:noProof/>
        </w:rPr>
        <w:t>záujme ďalšieho zladenia klasifikácie retailových expozícií</w:t>
      </w:r>
      <w:r w:rsidR="004F01E9">
        <w:rPr>
          <w:noProof/>
        </w:rPr>
        <w:t xml:space="preserve"> v </w:t>
      </w:r>
      <w:r w:rsidRPr="004F01E9">
        <w:rPr>
          <w:noProof/>
        </w:rPr>
        <w:t>rámci prístupu SA-CR</w:t>
      </w:r>
      <w:r w:rsidR="004F01E9">
        <w:rPr>
          <w:noProof/>
        </w:rPr>
        <w:t xml:space="preserve"> s </w:t>
      </w:r>
      <w:r w:rsidRPr="004F01E9">
        <w:rPr>
          <w:noProof/>
        </w:rPr>
        <w:t>klasifikáciou podľa prístupov IRB tak, aby sa zabezpečilo konzistentné uplatňovanie zodpovedajúcich rizikových váh na ten istý súbor expozícií. Článok 123 sa mení aj</w:t>
      </w:r>
      <w:r w:rsidR="004F01E9">
        <w:rPr>
          <w:noProof/>
        </w:rPr>
        <w:t xml:space="preserve"> s </w:t>
      </w:r>
      <w:r w:rsidRPr="004F01E9">
        <w:rPr>
          <w:noProof/>
        </w:rPr>
        <w:t xml:space="preserve">cieľom </w:t>
      </w:r>
      <w:r w:rsidRPr="004F01E9">
        <w:rPr>
          <w:noProof/>
          <w:color w:val="000000"/>
        </w:rPr>
        <w:t>zaviesť preferenčné zaobchádzanie podľa rizikových váh</w:t>
      </w:r>
      <w:r w:rsidR="004F01E9">
        <w:rPr>
          <w:noProof/>
          <w:color w:val="000000"/>
        </w:rPr>
        <w:t xml:space="preserve"> v </w:t>
      </w:r>
      <w:r w:rsidRPr="004F01E9">
        <w:rPr>
          <w:noProof/>
          <w:color w:val="000000"/>
        </w:rPr>
        <w:t>hodnote 45</w:t>
      </w:r>
      <w:r w:rsidR="004F01E9">
        <w:rPr>
          <w:noProof/>
          <w:color w:val="000000"/>
        </w:rPr>
        <w:t> %</w:t>
      </w:r>
      <w:r w:rsidRPr="004F01E9">
        <w:rPr>
          <w:noProof/>
          <w:color w:val="000000"/>
        </w:rPr>
        <w:t xml:space="preserve"> pre revolvingové retailové expozície, ktoré spĺňajú súbor podmienok splácania alebo využívania, schopné znížiť svoj rizikový profil,</w:t>
      </w:r>
      <w:r w:rsidR="004F01E9">
        <w:rPr>
          <w:noProof/>
          <w:color w:val="000000"/>
        </w:rPr>
        <w:t xml:space="preserve"> a </w:t>
      </w:r>
      <w:r w:rsidRPr="004F01E9">
        <w:rPr>
          <w:noProof/>
          <w:color w:val="000000"/>
        </w:rPr>
        <w:t>vymedziť ich ako expozície voči „účastníkom transakcie“</w:t>
      </w:r>
      <w:r w:rsidR="004F01E9">
        <w:rPr>
          <w:noProof/>
          <w:color w:val="000000"/>
        </w:rPr>
        <w:t xml:space="preserve"> v </w:t>
      </w:r>
      <w:r w:rsidRPr="004F01E9">
        <w:rPr>
          <w:noProof/>
          <w:color w:val="000000"/>
        </w:rPr>
        <w:t>súlade so štandardmi Bazilej III. Expozíciám voči jednej fyzickej osobe alebo viacerým fyzickým osobám, ktoré nespĺňajú všetky podmienky, aby sa mohli považovať za retailové expozície, sa priradí riziková váha 100</w:t>
      </w:r>
      <w:r w:rsidR="004F01E9">
        <w:rPr>
          <w:noProof/>
          <w:color w:val="000000"/>
        </w:rPr>
        <w:t> %</w:t>
      </w:r>
      <w:r w:rsidRPr="004F01E9">
        <w:rPr>
          <w:noProof/>
          <w:color w:val="000000"/>
        </w:rPr>
        <w:t>.</w:t>
      </w:r>
    </w:p>
    <w:p w14:paraId="74AC3119" w14:textId="77777777" w:rsidR="00E74DDF" w:rsidRPr="004F01E9" w:rsidRDefault="00E74DDF" w:rsidP="00E74DDF">
      <w:pPr>
        <w:keepNext/>
        <w:rPr>
          <w:i/>
          <w:noProof/>
          <w:color w:val="000000"/>
        </w:rPr>
      </w:pPr>
      <w:r w:rsidRPr="004F01E9">
        <w:rPr>
          <w:i/>
          <w:noProof/>
          <w:color w:val="000000"/>
        </w:rPr>
        <w:t>Expozície voči nesúladu mien</w:t>
      </w:r>
    </w:p>
    <w:p w14:paraId="0CE484B8" w14:textId="257619C3" w:rsidR="00E74DDF" w:rsidRPr="001C4527" w:rsidRDefault="00E74DDF" w:rsidP="00E74DDF">
      <w:pPr>
        <w:rPr>
          <w:noProof/>
          <w:color w:val="000000"/>
          <w:spacing w:val="-4"/>
        </w:rPr>
      </w:pPr>
      <w:r w:rsidRPr="001C4527">
        <w:rPr>
          <w:noProof/>
          <w:color w:val="000000"/>
          <w:spacing w:val="-4"/>
        </w:rPr>
        <w:t>Vkladá sa nový článok 123a, ktorým sa zavádza požiadavka na multiplikátor rizikovej váhy pre nehedžované retailové expozície</w:t>
      </w:r>
      <w:r w:rsidR="004F01E9" w:rsidRPr="001C4527">
        <w:rPr>
          <w:noProof/>
          <w:color w:val="000000"/>
          <w:spacing w:val="-4"/>
        </w:rPr>
        <w:t xml:space="preserve"> a </w:t>
      </w:r>
      <w:r w:rsidRPr="001C4527">
        <w:rPr>
          <w:noProof/>
          <w:color w:val="000000"/>
          <w:spacing w:val="-4"/>
        </w:rPr>
        <w:t>expozície nehnuteľností voči jednotlivcom, ak je nesúlad medzi menou nominálnej hodnoty úveru</w:t>
      </w:r>
      <w:r w:rsidR="004F01E9" w:rsidRPr="001C4527">
        <w:rPr>
          <w:noProof/>
          <w:color w:val="000000"/>
          <w:spacing w:val="-4"/>
        </w:rPr>
        <w:t xml:space="preserve"> a </w:t>
      </w:r>
      <w:r w:rsidRPr="001C4527">
        <w:rPr>
          <w:noProof/>
          <w:color w:val="000000"/>
          <w:spacing w:val="-4"/>
        </w:rPr>
        <w:t>menou dlžníkovho zdroja príjmu. Ako sa uvádza</w:t>
      </w:r>
      <w:r w:rsidR="004F01E9" w:rsidRPr="001C4527">
        <w:rPr>
          <w:noProof/>
          <w:color w:val="000000"/>
          <w:spacing w:val="-4"/>
        </w:rPr>
        <w:t xml:space="preserve"> v </w:t>
      </w:r>
      <w:r w:rsidRPr="001C4527">
        <w:rPr>
          <w:noProof/>
          <w:color w:val="000000"/>
          <w:spacing w:val="-4"/>
        </w:rPr>
        <w:t>konečnom znení štandardov Bazilej III, multiplikátor je stanovený na úroveň 1,5 podľa stropu výslednej konečnej rizikovej váhy 150</w:t>
      </w:r>
      <w:r w:rsidR="004F01E9" w:rsidRPr="001C4527">
        <w:rPr>
          <w:noProof/>
          <w:color w:val="000000"/>
          <w:spacing w:val="-4"/>
        </w:rPr>
        <w:t> %</w:t>
      </w:r>
      <w:r w:rsidRPr="001C4527">
        <w:rPr>
          <w:noProof/>
          <w:color w:val="000000"/>
          <w:spacing w:val="-4"/>
        </w:rPr>
        <w:t>. Keď je mena expozícií odlišná od domácej meny krajiny pobytu dlžníka, inštitúcie môžu uplatniť ako náhradu všetky nehedžované expozície.</w:t>
      </w:r>
    </w:p>
    <w:p w14:paraId="35C44B67" w14:textId="77777777" w:rsidR="00E74DDF" w:rsidRPr="004F01E9" w:rsidRDefault="00E74DDF" w:rsidP="00E74DDF">
      <w:pPr>
        <w:pBdr>
          <w:top w:val="nil"/>
          <w:left w:val="nil"/>
          <w:bottom w:val="nil"/>
          <w:right w:val="nil"/>
          <w:between w:val="nil"/>
          <w:bar w:val="nil"/>
        </w:pBdr>
        <w:rPr>
          <w:i/>
          <w:noProof/>
        </w:rPr>
      </w:pPr>
      <w:r w:rsidRPr="004F01E9">
        <w:rPr>
          <w:i/>
          <w:noProof/>
        </w:rPr>
        <w:t>Expozície zabezpečené nehnuteľným majetkom</w:t>
      </w:r>
    </w:p>
    <w:p w14:paraId="468D8FF9" w14:textId="5E2DDA92" w:rsidR="00E74DDF" w:rsidRPr="004F01E9" w:rsidRDefault="00E74DDF" w:rsidP="00E74DDF">
      <w:pPr>
        <w:rPr>
          <w:noProof/>
        </w:rPr>
      </w:pPr>
      <w:r w:rsidRPr="004F01E9">
        <w:rPr>
          <w:noProof/>
        </w:rPr>
        <w:t>V súlade</w:t>
      </w:r>
      <w:r w:rsidR="004F01E9">
        <w:rPr>
          <w:noProof/>
        </w:rPr>
        <w:t xml:space="preserve"> s </w:t>
      </w:r>
      <w:r w:rsidRPr="004F01E9">
        <w:rPr>
          <w:noProof/>
        </w:rPr>
        <w:t>konečným znením štandardov Bazilej III sa zmenilo zaobchádzanie</w:t>
      </w:r>
      <w:r w:rsidR="004F01E9">
        <w:rPr>
          <w:noProof/>
        </w:rPr>
        <w:t xml:space="preserve"> s </w:t>
      </w:r>
      <w:r w:rsidRPr="004F01E9">
        <w:rPr>
          <w:noProof/>
        </w:rPr>
        <w:t>triedou expozície nehnuteľného majetku</w:t>
      </w:r>
      <w:r w:rsidR="004F01E9">
        <w:rPr>
          <w:noProof/>
        </w:rPr>
        <w:t xml:space="preserve"> s </w:t>
      </w:r>
      <w:r w:rsidRPr="004F01E9">
        <w:rPr>
          <w:noProof/>
        </w:rPr>
        <w:t>cieľom ďalej zvýšiť podrobnosť so zreteľom na inherentné riziko, ktoré predstavujú odlišné druhy transakcií</w:t>
      </w:r>
      <w:r w:rsidR="004F01E9">
        <w:rPr>
          <w:noProof/>
        </w:rPr>
        <w:t xml:space="preserve"> s </w:t>
      </w:r>
      <w:r w:rsidRPr="004F01E9">
        <w:rPr>
          <w:noProof/>
        </w:rPr>
        <w:t>nehnuteľnosťami</w:t>
      </w:r>
      <w:r w:rsidR="004F01E9">
        <w:rPr>
          <w:noProof/>
        </w:rPr>
        <w:t xml:space="preserve"> a </w:t>
      </w:r>
      <w:r w:rsidRPr="004F01E9">
        <w:rPr>
          <w:noProof/>
        </w:rPr>
        <w:t>úverov na ne.</w:t>
      </w:r>
    </w:p>
    <w:p w14:paraId="3FD93054" w14:textId="16E93299" w:rsidR="00E74DDF" w:rsidRPr="004F01E9" w:rsidRDefault="00E74DDF" w:rsidP="00E74DDF">
      <w:pPr>
        <w:rPr>
          <w:noProof/>
        </w:rPr>
      </w:pPr>
      <w:r w:rsidRPr="004F01E9">
        <w:rPr>
          <w:noProof/>
        </w:rPr>
        <w:t>V rámci nového zaobchádzania na základe rizikovej váhy sa zachováva rozlišovanie medzi hypotékami na bývanie</w:t>
      </w:r>
      <w:r w:rsidR="004F01E9">
        <w:rPr>
          <w:noProof/>
        </w:rPr>
        <w:t xml:space="preserve"> a </w:t>
      </w:r>
      <w:r w:rsidRPr="004F01E9">
        <w:rPr>
          <w:noProof/>
        </w:rPr>
        <w:t>na podnikanie, ale dopĺňajú sa ďalšie podrobnosti podľa druhu financovania expozície (ktoré závisí od príjmových tokov vytváraných majetkom zabezpečeným kolaterálom alebo od nich nezávisí)</w:t>
      </w:r>
      <w:r w:rsidR="004F01E9">
        <w:rPr>
          <w:noProof/>
        </w:rPr>
        <w:t xml:space="preserve"> a </w:t>
      </w:r>
      <w:r w:rsidRPr="004F01E9">
        <w:rPr>
          <w:noProof/>
        </w:rPr>
        <w:t>podľa prebiehajúcej fázy majetku (fázy výstavby resp. dokončeného majetku).</w:t>
      </w:r>
    </w:p>
    <w:p w14:paraId="0A1FDD70" w14:textId="6C4368BA" w:rsidR="00E74DDF" w:rsidRPr="004F01E9" w:rsidRDefault="00E74DDF" w:rsidP="00E74DDF">
      <w:pPr>
        <w:rPr>
          <w:noProof/>
        </w:rPr>
      </w:pPr>
      <w:r w:rsidRPr="004F01E9">
        <w:rPr>
          <w:noProof/>
        </w:rPr>
        <w:t>Novinkou je zavedenie osobitného zaobchádzania</w:t>
      </w:r>
      <w:r w:rsidR="004F01E9">
        <w:rPr>
          <w:noProof/>
        </w:rPr>
        <w:t xml:space="preserve"> s </w:t>
      </w:r>
      <w:r w:rsidRPr="004F01E9">
        <w:rPr>
          <w:noProof/>
        </w:rPr>
        <w:t>hypotekárnymi úvermi generujúcimi príjem</w:t>
      </w:r>
      <w:r w:rsidR="004F01E9">
        <w:rPr>
          <w:noProof/>
        </w:rPr>
        <w:t xml:space="preserve"> z </w:t>
      </w:r>
      <w:r w:rsidRPr="004F01E9">
        <w:rPr>
          <w:noProof/>
        </w:rPr>
        <w:t>nehnuteľností (IPRE), t. j.</w:t>
      </w:r>
      <w:r w:rsidR="004F01E9">
        <w:rPr>
          <w:noProof/>
        </w:rPr>
        <w:t xml:space="preserve"> s </w:t>
      </w:r>
      <w:r w:rsidRPr="004F01E9">
        <w:rPr>
          <w:noProof/>
        </w:rPr>
        <w:t>hypotekárnymi úvermi, ktorých splácanie fyzicky závisí od peňažných tokov vytváraných majetkom zabezpečujúcim tieto úvery.</w:t>
      </w:r>
      <w:r w:rsidR="004F01E9">
        <w:rPr>
          <w:noProof/>
        </w:rPr>
        <w:t xml:space="preserve"> Z </w:t>
      </w:r>
      <w:r w:rsidRPr="004F01E9">
        <w:rPr>
          <w:noProof/>
        </w:rPr>
        <w:t>dôkazov zhromaždených Bazilejským výborom pre bankový dohľad vyplýva, že uvedené úvery mávajú podstatne väčšiu rizikovosť než hypotekárne úvery, ktorých splácanie významne závisí od základnej schopnosti dlžníka splácať úver. Podľa súčasného prístupu SA-CR však neexistuje žiadne osobitné zaobchádzanie</w:t>
      </w:r>
      <w:r w:rsidR="004F01E9">
        <w:rPr>
          <w:noProof/>
        </w:rPr>
        <w:t xml:space="preserve"> s </w:t>
      </w:r>
      <w:r w:rsidRPr="004F01E9">
        <w:rPr>
          <w:noProof/>
        </w:rPr>
        <w:t>týmito rizikovejšími expozíciami, hoci táto závislosť od peňažných rokov vytváraných majetkom, ktorým je úver zabezpečený, je významným rizikovým faktorom. Chýbajúce osobitné zaobchádzanie môže viesť</w:t>
      </w:r>
      <w:r w:rsidR="004F01E9">
        <w:rPr>
          <w:noProof/>
        </w:rPr>
        <w:t xml:space="preserve"> k </w:t>
      </w:r>
      <w:r w:rsidRPr="004F01E9">
        <w:rPr>
          <w:noProof/>
        </w:rPr>
        <w:t>nedostatočným úrovniam požiadaviek na vlastné zdroje na pokrytie neočakávaných strát pri tomto druhu expozícií nehnuteľného majetku.</w:t>
      </w:r>
    </w:p>
    <w:p w14:paraId="037EB9C7" w14:textId="3BCE6CD2" w:rsidR="00E74DDF" w:rsidRPr="004F01E9" w:rsidRDefault="00E74DDF" w:rsidP="00E74DDF">
      <w:pPr>
        <w:rPr>
          <w:noProof/>
        </w:rPr>
      </w:pPr>
      <w:r w:rsidRPr="004F01E9">
        <w:rPr>
          <w:noProof/>
        </w:rPr>
        <w:t>V článku 4 sa mení, nahrádza alebo dopĺňa niekoľko vymedzení pojmov</w:t>
      </w:r>
      <w:r w:rsidR="004F01E9">
        <w:rPr>
          <w:noProof/>
        </w:rPr>
        <w:t xml:space="preserve"> s </w:t>
      </w:r>
      <w:r w:rsidRPr="004F01E9">
        <w:rPr>
          <w:noProof/>
        </w:rPr>
        <w:t>cieľom objasniť zmysel rôznych druhov expozícií zabezpečených hypotékami na nehnuteľný majetok</w:t>
      </w:r>
      <w:r w:rsidR="004F01E9">
        <w:rPr>
          <w:noProof/>
        </w:rPr>
        <w:t xml:space="preserve"> v </w:t>
      </w:r>
      <w:r w:rsidRPr="004F01E9">
        <w:rPr>
          <w:noProof/>
        </w:rPr>
        <w:t>súlade</w:t>
      </w:r>
      <w:r w:rsidR="004F01E9">
        <w:rPr>
          <w:noProof/>
        </w:rPr>
        <w:t xml:space="preserve"> s </w:t>
      </w:r>
      <w:r w:rsidRPr="004F01E9">
        <w:rPr>
          <w:noProof/>
        </w:rPr>
        <w:t>revidovaným zaobchádzaním</w:t>
      </w:r>
      <w:r w:rsidR="004F01E9">
        <w:rPr>
          <w:noProof/>
        </w:rPr>
        <w:t xml:space="preserve"> v </w:t>
      </w:r>
      <w:r w:rsidRPr="004F01E9">
        <w:rPr>
          <w:noProof/>
        </w:rPr>
        <w:t>časti III (body 75 až 75g).</w:t>
      </w:r>
    </w:p>
    <w:p w14:paraId="2FA9C197" w14:textId="030218C6" w:rsidR="00E74DDF" w:rsidRPr="001C4527" w:rsidRDefault="00E74DDF" w:rsidP="00E74DDF">
      <w:pPr>
        <w:rPr>
          <w:noProof/>
          <w:spacing w:val="-4"/>
        </w:rPr>
      </w:pPr>
      <w:r w:rsidRPr="001C4527">
        <w:rPr>
          <w:noProof/>
          <w:spacing w:val="-4"/>
        </w:rPr>
        <w:t>Článok 124 sa nahrádza tak, že</w:t>
      </w:r>
      <w:r w:rsidR="004F01E9" w:rsidRPr="001C4527">
        <w:rPr>
          <w:noProof/>
          <w:spacing w:val="-4"/>
        </w:rPr>
        <w:t xml:space="preserve"> v </w:t>
      </w:r>
      <w:r w:rsidRPr="001C4527">
        <w:rPr>
          <w:noProof/>
          <w:spacing w:val="-4"/>
        </w:rPr>
        <w:t>odsekoch 1 až 5 sa stanovujú všeobecné</w:t>
      </w:r>
      <w:r w:rsidR="004F01E9" w:rsidRPr="001C4527">
        <w:rPr>
          <w:noProof/>
          <w:spacing w:val="-4"/>
        </w:rPr>
        <w:t xml:space="preserve"> a </w:t>
      </w:r>
      <w:r w:rsidRPr="001C4527">
        <w:rPr>
          <w:noProof/>
          <w:spacing w:val="-4"/>
        </w:rPr>
        <w:t>niektoré osobitné požiadavky na priraďovanie rizikových váh</w:t>
      </w:r>
      <w:r w:rsidR="004F01E9" w:rsidRPr="001C4527">
        <w:rPr>
          <w:noProof/>
          <w:spacing w:val="-4"/>
        </w:rPr>
        <w:t xml:space="preserve"> k </w:t>
      </w:r>
      <w:r w:rsidRPr="001C4527">
        <w:rPr>
          <w:noProof/>
          <w:spacing w:val="-4"/>
        </w:rPr>
        <w:t>expozíciám zabezpečeným hypotékami na nehnuteľný majetok určený na bývanie</w:t>
      </w:r>
      <w:r w:rsidR="004F01E9" w:rsidRPr="001C4527">
        <w:rPr>
          <w:noProof/>
          <w:spacing w:val="-4"/>
        </w:rPr>
        <w:t xml:space="preserve"> a </w:t>
      </w:r>
      <w:r w:rsidRPr="001C4527">
        <w:rPr>
          <w:noProof/>
          <w:spacing w:val="-4"/>
        </w:rPr>
        <w:t>nehnuteľný majetok určený na podnikanie vrátane hypotekárnych úverov IPRE.</w:t>
      </w:r>
      <w:r w:rsidR="004F01E9" w:rsidRPr="001C4527">
        <w:rPr>
          <w:noProof/>
          <w:spacing w:val="-4"/>
        </w:rPr>
        <w:t xml:space="preserve"> V </w:t>
      </w:r>
      <w:r w:rsidRPr="001C4527">
        <w:rPr>
          <w:noProof/>
          <w:spacing w:val="-4"/>
        </w:rPr>
        <w:t>odsekoch 6 až 10 sa zachováva súčasné pravidelné hodnotenie vhodnosti štandardných rizikových váh</w:t>
      </w:r>
      <w:r w:rsidR="004F01E9" w:rsidRPr="001C4527">
        <w:rPr>
          <w:noProof/>
          <w:spacing w:val="-4"/>
        </w:rPr>
        <w:t xml:space="preserve"> a </w:t>
      </w:r>
      <w:r w:rsidRPr="001C4527">
        <w:rPr>
          <w:noProof/>
          <w:spacing w:val="-4"/>
        </w:rPr>
        <w:t>postup ich zvyšovania podľa uváženia určeného orgánu.</w:t>
      </w:r>
    </w:p>
    <w:p w14:paraId="426CFD3A" w14:textId="34536D35" w:rsidR="00806B81" w:rsidRPr="001C4527" w:rsidRDefault="00E74DDF" w:rsidP="00E74DDF">
      <w:pPr>
        <w:rPr>
          <w:noProof/>
          <w:spacing w:val="-4"/>
        </w:rPr>
      </w:pPr>
      <w:r w:rsidRPr="001C4527">
        <w:rPr>
          <w:noProof/>
          <w:spacing w:val="-4"/>
        </w:rPr>
        <w:t>Článok 125 sa nahrádza</w:t>
      </w:r>
      <w:r w:rsidR="004F01E9" w:rsidRPr="001C4527">
        <w:rPr>
          <w:noProof/>
          <w:spacing w:val="-4"/>
        </w:rPr>
        <w:t xml:space="preserve"> s </w:t>
      </w:r>
      <w:r w:rsidRPr="001C4527">
        <w:rPr>
          <w:noProof/>
          <w:spacing w:val="-4"/>
        </w:rPr>
        <w:t>cieľom zaviesť revidované zaobchádzanie Bazilej III</w:t>
      </w:r>
      <w:r w:rsidR="004F01E9" w:rsidRPr="001C4527">
        <w:rPr>
          <w:noProof/>
          <w:spacing w:val="-4"/>
        </w:rPr>
        <w:t xml:space="preserve"> s </w:t>
      </w:r>
      <w:r w:rsidRPr="001C4527">
        <w:rPr>
          <w:noProof/>
          <w:spacing w:val="-4"/>
        </w:rPr>
        <w:t>expozíciami zabezpečenými hypotékou na nehnuteľný majetok určený na bývanie. Vzhľadom na to, že sa zachováva prístup delenia úverov, pri ktorom sa hypotekárne expozície delia na zabezpečenú</w:t>
      </w:r>
      <w:r w:rsidR="004F01E9" w:rsidRPr="001C4527">
        <w:rPr>
          <w:noProof/>
          <w:spacing w:val="-4"/>
        </w:rPr>
        <w:t xml:space="preserve"> a </w:t>
      </w:r>
      <w:r w:rsidRPr="001C4527">
        <w:rPr>
          <w:noProof/>
          <w:spacing w:val="-4"/>
        </w:rPr>
        <w:t>nezabezpečenú časť</w:t>
      </w:r>
      <w:r w:rsidR="004F01E9" w:rsidRPr="001C4527">
        <w:rPr>
          <w:noProof/>
          <w:spacing w:val="-4"/>
        </w:rPr>
        <w:t xml:space="preserve"> a </w:t>
      </w:r>
      <w:r w:rsidRPr="001C4527">
        <w:rPr>
          <w:noProof/>
          <w:spacing w:val="-4"/>
        </w:rPr>
        <w:t>každej</w:t>
      </w:r>
      <w:r w:rsidR="004F01E9" w:rsidRPr="001C4527">
        <w:rPr>
          <w:noProof/>
          <w:spacing w:val="-4"/>
        </w:rPr>
        <w:t xml:space="preserve"> z </w:t>
      </w:r>
      <w:r w:rsidRPr="001C4527">
        <w:rPr>
          <w:noProof/>
          <w:spacing w:val="-4"/>
        </w:rPr>
        <w:t>týchto dvoch častí sa prideľuje príslušná riziková váha, jeho kalibrácia sa upravuje podľa štandardov Bazilej III, pričom zabezpečená časť expozície až do hodnoty majetku 55</w:t>
      </w:r>
      <w:r w:rsidR="004F01E9" w:rsidRPr="001C4527">
        <w:rPr>
          <w:noProof/>
          <w:spacing w:val="-4"/>
        </w:rPr>
        <w:t> %</w:t>
      </w:r>
      <w:r w:rsidRPr="001C4527">
        <w:rPr>
          <w:noProof/>
          <w:spacing w:val="-4"/>
        </w:rPr>
        <w:t xml:space="preserve"> dostáva rizikovú váhu 20</w:t>
      </w:r>
      <w:r w:rsidR="004F01E9" w:rsidRPr="001C4527">
        <w:rPr>
          <w:noProof/>
          <w:spacing w:val="-4"/>
        </w:rPr>
        <w:t> %</w:t>
      </w:r>
      <w:r w:rsidRPr="001C4527">
        <w:rPr>
          <w:noProof/>
          <w:spacing w:val="-4"/>
        </w:rPr>
        <w:t>. Kalibráciou rizikovej váhy zabezpečenej časti sa rieši situácia, keď inštitúcii môžu vzniknúť dodatočné neočakávané straty mimo haircutu, ktorý už bol uplatnený na hodnotu majetku pri predaji</w:t>
      </w:r>
      <w:r w:rsidR="004F01E9" w:rsidRPr="001C4527">
        <w:rPr>
          <w:noProof/>
          <w:spacing w:val="-4"/>
        </w:rPr>
        <w:t xml:space="preserve"> v </w:t>
      </w:r>
      <w:r w:rsidRPr="001C4527">
        <w:rPr>
          <w:noProof/>
          <w:spacing w:val="-4"/>
        </w:rPr>
        <w:t>prípade zlyhania dlžníka. Článok 125 okrem toho poskytuje citlivejšie zaobchádzanie</w:t>
      </w:r>
      <w:r w:rsidR="004F01E9" w:rsidRPr="001C4527">
        <w:rPr>
          <w:noProof/>
          <w:spacing w:val="-4"/>
        </w:rPr>
        <w:t xml:space="preserve"> z </w:t>
      </w:r>
      <w:r w:rsidRPr="001C4527">
        <w:rPr>
          <w:noProof/>
          <w:spacing w:val="-4"/>
        </w:rPr>
        <w:t>hľadiska rizika</w:t>
      </w:r>
      <w:r w:rsidR="004F01E9" w:rsidRPr="001C4527">
        <w:rPr>
          <w:noProof/>
          <w:spacing w:val="-4"/>
        </w:rPr>
        <w:t xml:space="preserve"> v </w:t>
      </w:r>
      <w:r w:rsidRPr="001C4527">
        <w:rPr>
          <w:noProof/>
          <w:spacing w:val="-4"/>
        </w:rPr>
        <w:t>závislosti od pomeru hodnoty expozície</w:t>
      </w:r>
      <w:r w:rsidR="004F01E9" w:rsidRPr="001C4527">
        <w:rPr>
          <w:noProof/>
          <w:spacing w:val="-4"/>
        </w:rPr>
        <w:t xml:space="preserve"> k </w:t>
      </w:r>
      <w:r w:rsidRPr="001C4527">
        <w:rPr>
          <w:noProof/>
          <w:spacing w:val="-4"/>
        </w:rPr>
        <w:t>hodnote zabezpečenia pri hypotékach na nehnuteľný majetok určený na bývanie, keď majetok nie je oprávnený na rozdelenie úveru (napr. pretože nie je dokončený).</w:t>
      </w:r>
    </w:p>
    <w:p w14:paraId="75FE4699" w14:textId="0F04A75E" w:rsidR="00E74DDF" w:rsidRPr="001C4527" w:rsidRDefault="00E74DDF" w:rsidP="00E74DDF">
      <w:pPr>
        <w:rPr>
          <w:noProof/>
          <w:color w:val="000000"/>
          <w:spacing w:val="-6"/>
        </w:rPr>
      </w:pPr>
      <w:r w:rsidRPr="001C4527">
        <w:rPr>
          <w:noProof/>
          <w:spacing w:val="-6"/>
        </w:rPr>
        <w:t>V zmenenom článku 125 sa takisto stanovuje osobitné</w:t>
      </w:r>
      <w:r w:rsidR="004F01E9" w:rsidRPr="001C4527">
        <w:rPr>
          <w:noProof/>
          <w:spacing w:val="-6"/>
        </w:rPr>
        <w:t xml:space="preserve"> a </w:t>
      </w:r>
      <w:r w:rsidRPr="001C4527">
        <w:rPr>
          <w:noProof/>
          <w:spacing w:val="-6"/>
        </w:rPr>
        <w:t>podrobnejšie zaobchádzanie na základe rizikovej váhy, ktoré sa uplatňuje na expozície voči nehnuteľnostiam generujúcim príjem určeným na bývanie, pokiaľ nebola úspešná tzv. ťažká skúška: pri ktorej príslušný orgán členského štátu,</w:t>
      </w:r>
      <w:r w:rsidR="004F01E9" w:rsidRPr="001C4527">
        <w:rPr>
          <w:noProof/>
          <w:spacing w:val="-6"/>
        </w:rPr>
        <w:t xml:space="preserve"> v </w:t>
      </w:r>
      <w:r w:rsidRPr="001C4527">
        <w:rPr>
          <w:noProof/>
          <w:spacing w:val="-6"/>
        </w:rPr>
        <w:t>ktorom sa hypotéka zabezpečujúca majetok nachádza, uverejnil dôkaz,</w:t>
      </w:r>
      <w:r w:rsidR="004F01E9" w:rsidRPr="001C4527">
        <w:rPr>
          <w:noProof/>
          <w:spacing w:val="-6"/>
        </w:rPr>
        <w:t xml:space="preserve"> z </w:t>
      </w:r>
      <w:r w:rsidRPr="001C4527">
        <w:rPr>
          <w:noProof/>
          <w:spacing w:val="-6"/>
        </w:rPr>
        <w:t>ktorého vyplýva, že trh</w:t>
      </w:r>
      <w:r w:rsidR="004F01E9" w:rsidRPr="001C4527">
        <w:rPr>
          <w:noProof/>
          <w:spacing w:val="-6"/>
        </w:rPr>
        <w:t xml:space="preserve"> s </w:t>
      </w:r>
      <w:r w:rsidRPr="001C4527">
        <w:rPr>
          <w:noProof/>
          <w:spacing w:val="-6"/>
        </w:rPr>
        <w:t>nehnuteľnosťami je dobre rozvinutý</w:t>
      </w:r>
      <w:r w:rsidR="004F01E9" w:rsidRPr="001C4527">
        <w:rPr>
          <w:noProof/>
          <w:spacing w:val="-6"/>
        </w:rPr>
        <w:t xml:space="preserve"> s </w:t>
      </w:r>
      <w:r w:rsidRPr="001C4527">
        <w:rPr>
          <w:noProof/>
          <w:spacing w:val="-6"/>
        </w:rPr>
        <w:t>dlhodobou tradíciou</w:t>
      </w:r>
      <w:r w:rsidR="004F01E9" w:rsidRPr="001C4527">
        <w:rPr>
          <w:noProof/>
          <w:spacing w:val="-6"/>
        </w:rPr>
        <w:t xml:space="preserve"> a </w:t>
      </w:r>
      <w:r w:rsidRPr="001C4527">
        <w:rPr>
          <w:noProof/>
          <w:spacing w:val="-6"/>
        </w:rPr>
        <w:t>ročnou mierou strát neprevyšujúcou určité prahové hodnoty, rovnaké preferenčné rizikové váhy sa môžu uplatňovať na expozície voči nehnuteľnostiam generujúcim príjem určeným na bývanie ako na iné expozície na bývanie, pri ktorých riziko dlžníka významne nezávisí od výkonnosti nehnuteľnosti.</w:t>
      </w:r>
    </w:p>
    <w:p w14:paraId="36E74BE7" w14:textId="27B0A1C4" w:rsidR="00E74DDF" w:rsidRPr="004F01E9" w:rsidRDefault="00E74DDF" w:rsidP="00E74DDF">
      <w:pPr>
        <w:rPr>
          <w:noProof/>
        </w:rPr>
      </w:pPr>
      <w:r w:rsidRPr="004F01E9">
        <w:rPr>
          <w:noProof/>
        </w:rPr>
        <w:t>Článok 126 sa nahrádza</w:t>
      </w:r>
      <w:r w:rsidR="004F01E9">
        <w:rPr>
          <w:noProof/>
        </w:rPr>
        <w:t xml:space="preserve"> s </w:t>
      </w:r>
      <w:r w:rsidRPr="004F01E9">
        <w:rPr>
          <w:noProof/>
        </w:rPr>
        <w:t>cieľom zaviesť revidované zaobchádzanie Bazilej III</w:t>
      </w:r>
      <w:r w:rsidR="004F01E9">
        <w:rPr>
          <w:noProof/>
        </w:rPr>
        <w:t xml:space="preserve"> s </w:t>
      </w:r>
      <w:r w:rsidRPr="004F01E9">
        <w:rPr>
          <w:noProof/>
        </w:rPr>
        <w:t>expozíciami zabezpečenými hypotékou na nehnuteľný majetok určený na podnikanie. Koncepčne sa</w:t>
      </w:r>
      <w:r w:rsidR="004F01E9">
        <w:rPr>
          <w:noProof/>
        </w:rPr>
        <w:t xml:space="preserve"> v </w:t>
      </w:r>
      <w:r w:rsidRPr="004F01E9">
        <w:rPr>
          <w:noProof/>
        </w:rPr>
        <w:t>ňom odzrkadľuje zaobchádzanie</w:t>
      </w:r>
      <w:r w:rsidR="004F01E9">
        <w:rPr>
          <w:noProof/>
        </w:rPr>
        <w:t xml:space="preserve"> s </w:t>
      </w:r>
      <w:r w:rsidRPr="004F01E9">
        <w:rPr>
          <w:noProof/>
        </w:rPr>
        <w:t>expozíciami</w:t>
      </w:r>
      <w:r w:rsidR="004F01E9">
        <w:rPr>
          <w:noProof/>
        </w:rPr>
        <w:t xml:space="preserve"> v </w:t>
      </w:r>
      <w:r w:rsidRPr="004F01E9">
        <w:rPr>
          <w:noProof/>
        </w:rPr>
        <w:t>prípade nehnuteľností na bývanie: zavedený prístup delenia úverov sa zachováva</w:t>
      </w:r>
      <w:r w:rsidR="004F01E9">
        <w:rPr>
          <w:noProof/>
        </w:rPr>
        <w:t xml:space="preserve"> a </w:t>
      </w:r>
      <w:r w:rsidRPr="004F01E9">
        <w:rPr>
          <w:noProof/>
        </w:rPr>
        <w:t>jeho kalibrácia sa upravuje</w:t>
      </w:r>
      <w:r w:rsidR="004F01E9">
        <w:rPr>
          <w:noProof/>
        </w:rPr>
        <w:t xml:space="preserve"> v </w:t>
      </w:r>
      <w:r w:rsidRPr="004F01E9">
        <w:rPr>
          <w:noProof/>
        </w:rPr>
        <w:t>súlade so štandardmi Bazilej III, pričom zabezpečená časť expozície až do hodnoty majetku 55</w:t>
      </w:r>
      <w:r w:rsidR="004F01E9">
        <w:rPr>
          <w:noProof/>
        </w:rPr>
        <w:t> %</w:t>
      </w:r>
      <w:r w:rsidRPr="004F01E9">
        <w:rPr>
          <w:noProof/>
        </w:rPr>
        <w:t xml:space="preserve"> dostáva rizikovú váhu 60</w:t>
      </w:r>
      <w:r w:rsidR="004F01E9">
        <w:rPr>
          <w:noProof/>
        </w:rPr>
        <w:t> %</w:t>
      </w:r>
      <w:r w:rsidRPr="004F01E9">
        <w:rPr>
          <w:noProof/>
        </w:rPr>
        <w:t>. Článok 126 okrem toho poskytuje citlivejšie zaobchádzanie</w:t>
      </w:r>
      <w:r w:rsidR="004F01E9">
        <w:rPr>
          <w:noProof/>
        </w:rPr>
        <w:t xml:space="preserve"> z </w:t>
      </w:r>
      <w:r w:rsidRPr="004F01E9">
        <w:rPr>
          <w:noProof/>
        </w:rPr>
        <w:t>hľadiska rizika</w:t>
      </w:r>
      <w:r w:rsidR="004F01E9">
        <w:rPr>
          <w:noProof/>
        </w:rPr>
        <w:t xml:space="preserve"> v </w:t>
      </w:r>
      <w:r w:rsidRPr="004F01E9">
        <w:rPr>
          <w:noProof/>
        </w:rPr>
        <w:t>závislosti od pomeru expozície</w:t>
      </w:r>
      <w:r w:rsidR="004F01E9">
        <w:rPr>
          <w:noProof/>
        </w:rPr>
        <w:t xml:space="preserve"> k </w:t>
      </w:r>
      <w:r w:rsidRPr="004F01E9">
        <w:rPr>
          <w:noProof/>
        </w:rPr>
        <w:t>hodnote pri hypotékach na nehnuteľný majetok určený na podnikanie, keď majetok nie je oprávnený na rozdelenie úveru.</w:t>
      </w:r>
    </w:p>
    <w:p w14:paraId="62579B2E" w14:textId="6AF76D5C" w:rsidR="00E74DDF" w:rsidRPr="004F01E9" w:rsidRDefault="00E74DDF" w:rsidP="00E74DDF">
      <w:pPr>
        <w:rPr>
          <w:noProof/>
          <w:color w:val="000000"/>
        </w:rPr>
      </w:pPr>
      <w:r w:rsidRPr="004F01E9">
        <w:rPr>
          <w:noProof/>
        </w:rPr>
        <w:t>Osobitné</w:t>
      </w:r>
      <w:r w:rsidR="004F01E9">
        <w:rPr>
          <w:noProof/>
        </w:rPr>
        <w:t xml:space="preserve"> a </w:t>
      </w:r>
      <w:r w:rsidRPr="004F01E9">
        <w:rPr>
          <w:noProof/>
        </w:rPr>
        <w:t>podrobnejšie rizikovo vážené zaobchádzanie</w:t>
      </w:r>
      <w:r w:rsidR="004F01E9">
        <w:rPr>
          <w:noProof/>
        </w:rPr>
        <w:t xml:space="preserve"> s </w:t>
      </w:r>
      <w:r w:rsidRPr="004F01E9">
        <w:rPr>
          <w:noProof/>
        </w:rPr>
        <w:t xml:space="preserve">expozíciami IPRE sa zavádza zmenami článku 126, pričom sa zachováva „ťažká skúška“, ktorá umožňuje inštitúciám uplatňovať </w:t>
      </w:r>
      <w:r w:rsidRPr="004F01E9">
        <w:rPr>
          <w:noProof/>
          <w:color w:val="000000"/>
        </w:rPr>
        <w:t>rovnaké preferenčné rizikové váhy na expozície generujúce príjem</w:t>
      </w:r>
      <w:r w:rsidR="004F01E9">
        <w:rPr>
          <w:noProof/>
          <w:color w:val="000000"/>
        </w:rPr>
        <w:t xml:space="preserve"> a </w:t>
      </w:r>
      <w:r w:rsidRPr="004F01E9">
        <w:rPr>
          <w:noProof/>
          <w:color w:val="000000"/>
        </w:rPr>
        <w:t>iné expozície voči nehnuteľnostiam určeným na podnikanie zabezpečeným majetkom umiestneným na trhoch, kde ročné miery strát nepresahujú určité prahové hodnoty.</w:t>
      </w:r>
    </w:p>
    <w:p w14:paraId="55E931BD" w14:textId="7EA2BBA2" w:rsidR="00E74DDF" w:rsidRPr="001C4527" w:rsidRDefault="00E74DDF" w:rsidP="00E74DDF">
      <w:pPr>
        <w:rPr>
          <w:noProof/>
          <w:spacing w:val="-4"/>
        </w:rPr>
      </w:pPr>
      <w:r w:rsidRPr="001C4527">
        <w:rPr>
          <w:noProof/>
          <w:spacing w:val="-4"/>
        </w:rPr>
        <w:t>Úvery na financovanie nadobudnutia pozemkov, rozvoja alebo výstavby akéhokoľvek nehnuteľného majetku určeného na bývanie alebo na podnikanie prinášajú zvýšené riziko. Príčinou zvýšeného rizika je skutočnosť, že</w:t>
      </w:r>
      <w:r w:rsidR="004F01E9" w:rsidRPr="001C4527">
        <w:rPr>
          <w:noProof/>
          <w:spacing w:val="-4"/>
        </w:rPr>
        <w:t xml:space="preserve"> v </w:t>
      </w:r>
      <w:r w:rsidRPr="001C4527">
        <w:rPr>
          <w:noProof/>
          <w:spacing w:val="-4"/>
        </w:rPr>
        <w:t>čase vzniku úveru bol zdrojom splatenia buď plánovaný, ale neistý predaj majetku, alebo značne neisté peňažné toky. Súčasná úprava špekulatívneho financovania nehnuteľného majetku sa zakladá výhradne na zámere dlžníka predať majetok so ziskom bez ohľadu na to, aký rozsah splatenia je</w:t>
      </w:r>
      <w:r w:rsidR="004F01E9" w:rsidRPr="001C4527">
        <w:rPr>
          <w:noProof/>
          <w:spacing w:val="-4"/>
        </w:rPr>
        <w:t xml:space="preserve"> v </w:t>
      </w:r>
      <w:r w:rsidRPr="001C4527">
        <w:rPr>
          <w:noProof/>
          <w:spacing w:val="-4"/>
        </w:rPr>
        <w:t>skutočnosti istý. Preto sa</w:t>
      </w:r>
      <w:r w:rsidR="004F01E9" w:rsidRPr="001C4527">
        <w:rPr>
          <w:noProof/>
          <w:spacing w:val="-4"/>
        </w:rPr>
        <w:t xml:space="preserve"> v </w:t>
      </w:r>
      <w:r w:rsidRPr="001C4527">
        <w:rPr>
          <w:noProof/>
          <w:spacing w:val="-4"/>
        </w:rPr>
        <w:t>článku 4 zavádza nové vymedzenie pojmu</w:t>
      </w:r>
      <w:r w:rsidR="004F01E9" w:rsidRPr="001C4527">
        <w:rPr>
          <w:noProof/>
          <w:spacing w:val="-4"/>
        </w:rPr>
        <w:t xml:space="preserve"> a </w:t>
      </w:r>
      <w:r w:rsidRPr="001C4527">
        <w:rPr>
          <w:noProof/>
          <w:spacing w:val="-4"/>
        </w:rPr>
        <w:t>vkladá sa nový článok 126a, ktorým sa zavádza osobitné zaobchádzanie na základe rizikovej váhy 150</w:t>
      </w:r>
      <w:r w:rsidR="004F01E9" w:rsidRPr="001C4527">
        <w:rPr>
          <w:noProof/>
          <w:spacing w:val="-4"/>
        </w:rPr>
        <w:t> %</w:t>
      </w:r>
      <w:r w:rsidRPr="001C4527">
        <w:rPr>
          <w:noProof/>
          <w:spacing w:val="-4"/>
        </w:rPr>
        <w:t xml:space="preserve"> podľa štandardov Bazilej III pre úvery poskytované spoločnostiam alebo účelovo vytvoreným subjektom financujúcim nadobudnutie pozemkov, rozvoj alebo výstavbu akéhokoľvek nehnuteľného majetku určeného na bývanie alebo podnikanie. Na druhej strane sa odstránila súčasné zaobchádzanie na základe rizikovej váhy 150</w:t>
      </w:r>
      <w:r w:rsidR="004F01E9" w:rsidRPr="001C4527">
        <w:rPr>
          <w:noProof/>
          <w:spacing w:val="-4"/>
        </w:rPr>
        <w:t> %</w:t>
      </w:r>
      <w:r w:rsidRPr="001C4527">
        <w:rPr>
          <w:noProof/>
          <w:spacing w:val="-4"/>
        </w:rPr>
        <w:t xml:space="preserve"> pre „špekulatívne financovanie nehnuteľného majetku“, keďže je založené výhradne na zámere dlžníka predať majetok so ziskom bez ohľadu na to,</w:t>
      </w:r>
      <w:r w:rsidR="004F01E9" w:rsidRPr="001C4527">
        <w:rPr>
          <w:noProof/>
          <w:spacing w:val="-4"/>
        </w:rPr>
        <w:t xml:space="preserve"> v </w:t>
      </w:r>
      <w:r w:rsidRPr="001C4527">
        <w:rPr>
          <w:noProof/>
          <w:spacing w:val="-4"/>
        </w:rPr>
        <w:t>akom rozsahu je splatenie</w:t>
      </w:r>
      <w:r w:rsidR="004F01E9" w:rsidRPr="001C4527">
        <w:rPr>
          <w:noProof/>
          <w:spacing w:val="-4"/>
        </w:rPr>
        <w:t xml:space="preserve"> v </w:t>
      </w:r>
      <w:r w:rsidRPr="001C4527">
        <w:rPr>
          <w:noProof/>
          <w:spacing w:val="-4"/>
        </w:rPr>
        <w:t>skutočnosti neisté. Článok 126a</w:t>
      </w:r>
      <w:r w:rsidR="004F01E9" w:rsidRPr="001C4527">
        <w:rPr>
          <w:noProof/>
          <w:spacing w:val="-4"/>
        </w:rPr>
        <w:t xml:space="preserve"> v </w:t>
      </w:r>
      <w:r w:rsidRPr="001C4527">
        <w:rPr>
          <w:noProof/>
          <w:spacing w:val="-4"/>
        </w:rPr>
        <w:t>súlade so štandardmi Bazilej III umožňuje priradiť rizikovú váhu 100</w:t>
      </w:r>
      <w:r w:rsidR="004F01E9" w:rsidRPr="001C4527">
        <w:rPr>
          <w:noProof/>
          <w:spacing w:val="-4"/>
        </w:rPr>
        <w:t> %</w:t>
      </w:r>
      <w:r w:rsidRPr="001C4527">
        <w:rPr>
          <w:noProof/>
          <w:spacing w:val="-4"/>
        </w:rPr>
        <w:t xml:space="preserve"> expozíciám voči nadobudnutiu pozemku, výstavbe</w:t>
      </w:r>
      <w:r w:rsidR="004F01E9" w:rsidRPr="001C4527">
        <w:rPr>
          <w:noProof/>
          <w:spacing w:val="-4"/>
        </w:rPr>
        <w:t xml:space="preserve"> a </w:t>
      </w:r>
      <w:r w:rsidRPr="001C4527">
        <w:rPr>
          <w:noProof/>
          <w:spacing w:val="-4"/>
        </w:rPr>
        <w:t>budovaniu nehnuteľností určených na bývanie, ak sú splnené určité podmienky zmierňujúce riziko (pokiaľ ide</w:t>
      </w:r>
      <w:r w:rsidR="004F01E9" w:rsidRPr="001C4527">
        <w:rPr>
          <w:noProof/>
          <w:spacing w:val="-4"/>
        </w:rPr>
        <w:t xml:space="preserve"> o </w:t>
      </w:r>
      <w:r w:rsidRPr="001C4527">
        <w:rPr>
          <w:noProof/>
          <w:spacing w:val="-4"/>
        </w:rPr>
        <w:t>štandardy upisovania, podiel predpredajných alebo predlízingových zmlúv</w:t>
      </w:r>
      <w:r w:rsidR="004F01E9" w:rsidRPr="001C4527">
        <w:rPr>
          <w:noProof/>
          <w:spacing w:val="-4"/>
        </w:rPr>
        <w:t xml:space="preserve"> a </w:t>
      </w:r>
      <w:r w:rsidRPr="001C4527">
        <w:rPr>
          <w:noProof/>
          <w:spacing w:val="-4"/>
        </w:rPr>
        <w:t>kapitál vystavený riziku).</w:t>
      </w:r>
    </w:p>
    <w:p w14:paraId="6E260D6D" w14:textId="360EC82B" w:rsidR="00E74DDF" w:rsidRPr="001C4527" w:rsidRDefault="00E74DDF" w:rsidP="00E74DDF">
      <w:pPr>
        <w:rPr>
          <w:noProof/>
          <w:spacing w:val="-4"/>
        </w:rPr>
      </w:pPr>
      <w:r w:rsidRPr="001C4527">
        <w:rPr>
          <w:noProof/>
          <w:spacing w:val="-4"/>
        </w:rPr>
        <w:t>Na zníženie vplyvu cyklických účinkov na oceňovanie majetku, ktorým sa zabezpečuje úver,</w:t>
      </w:r>
      <w:r w:rsidR="004F01E9" w:rsidRPr="001C4527">
        <w:rPr>
          <w:noProof/>
          <w:spacing w:val="-4"/>
        </w:rPr>
        <w:t xml:space="preserve"> a </w:t>
      </w:r>
      <w:r w:rsidRPr="001C4527">
        <w:rPr>
          <w:noProof/>
          <w:spacing w:val="-4"/>
        </w:rPr>
        <w:t>na zachovanie požiadaviek na vyššiu stabilitu vlastných zdrojov na hypotekárne úvery, sa</w:t>
      </w:r>
      <w:r w:rsidR="004F01E9" w:rsidRPr="001C4527">
        <w:rPr>
          <w:noProof/>
          <w:spacing w:val="-4"/>
        </w:rPr>
        <w:t xml:space="preserve"> v </w:t>
      </w:r>
      <w:r w:rsidRPr="001C4527">
        <w:rPr>
          <w:noProof/>
          <w:spacing w:val="-4"/>
        </w:rPr>
        <w:t>konečnom znení štandardov Bazilej III stanovuje horná hranica hodnoty majetku uznávaného na prudenciálne účely pri hodnote meranej</w:t>
      </w:r>
      <w:r w:rsidR="004F01E9" w:rsidRPr="001C4527">
        <w:rPr>
          <w:noProof/>
          <w:spacing w:val="-4"/>
        </w:rPr>
        <w:t xml:space="preserve"> v </w:t>
      </w:r>
      <w:r w:rsidRPr="001C4527">
        <w:rPr>
          <w:noProof/>
          <w:spacing w:val="-4"/>
        </w:rPr>
        <w:t>čase vzniku úveru, pokiaľ sa zmenami „jednoznačne“ nezvýši hodnota majetku. Štandardmi sa zároveň neukladá bankám povinnosť monitorovať vývoj hodnoty majetku. Namiesto toho sa iba vyžadujú úpravy</w:t>
      </w:r>
      <w:r w:rsidR="004F01E9" w:rsidRPr="001C4527">
        <w:rPr>
          <w:noProof/>
          <w:spacing w:val="-4"/>
        </w:rPr>
        <w:t xml:space="preserve"> v </w:t>
      </w:r>
      <w:r w:rsidRPr="001C4527">
        <w:rPr>
          <w:noProof/>
          <w:spacing w:val="-4"/>
        </w:rPr>
        <w:t>prípade mimoriadnych udalostí. Naopak podľa súčasného prístupu SA-CR uplatniteľného</w:t>
      </w:r>
      <w:r w:rsidR="004F01E9" w:rsidRPr="001C4527">
        <w:rPr>
          <w:noProof/>
          <w:spacing w:val="-4"/>
        </w:rPr>
        <w:t xml:space="preserve"> v </w:t>
      </w:r>
      <w:r w:rsidRPr="001C4527">
        <w:rPr>
          <w:noProof/>
          <w:spacing w:val="-4"/>
        </w:rPr>
        <w:t>EÚ musia inštitúcie pravidelne monitorovať hodnotu majetku založeného ako kolaterál. Na základe tohto monitorovania sú inštitúcie povinné upravovať hodnoty majetku nahor alebo nadol (bez ohľadu na hodnotu majetku</w:t>
      </w:r>
      <w:r w:rsidR="004F01E9" w:rsidRPr="001C4527">
        <w:rPr>
          <w:noProof/>
          <w:spacing w:val="-4"/>
        </w:rPr>
        <w:t xml:space="preserve"> v </w:t>
      </w:r>
      <w:r w:rsidRPr="001C4527">
        <w:rPr>
          <w:noProof/>
          <w:spacing w:val="-4"/>
        </w:rPr>
        <w:t>čase vzniku úveru). Článok 208 sa mení</w:t>
      </w:r>
      <w:r w:rsidR="004F01E9" w:rsidRPr="001C4527">
        <w:rPr>
          <w:noProof/>
          <w:spacing w:val="-4"/>
        </w:rPr>
        <w:t xml:space="preserve"> s </w:t>
      </w:r>
      <w:r w:rsidRPr="001C4527">
        <w:rPr>
          <w:noProof/>
          <w:spacing w:val="-4"/>
        </w:rPr>
        <w:t>cieľom obmedziť vplyv cyklických účinkov na oceňovanie majetku, ktorým sa zabezpečujú úvery,</w:t>
      </w:r>
      <w:r w:rsidR="004F01E9" w:rsidRPr="001C4527">
        <w:rPr>
          <w:noProof/>
          <w:spacing w:val="-4"/>
        </w:rPr>
        <w:t xml:space="preserve"> a </w:t>
      </w:r>
      <w:r w:rsidRPr="001C4527">
        <w:rPr>
          <w:noProof/>
          <w:spacing w:val="-4"/>
        </w:rPr>
        <w:t>zachovať stabilnejšie požiadavky na vlastné zdroje</w:t>
      </w:r>
      <w:r w:rsidR="004F01E9" w:rsidRPr="001C4527">
        <w:rPr>
          <w:noProof/>
          <w:spacing w:val="-4"/>
        </w:rPr>
        <w:t xml:space="preserve"> v </w:t>
      </w:r>
      <w:r w:rsidRPr="001C4527">
        <w:rPr>
          <w:noProof/>
          <w:spacing w:val="-4"/>
        </w:rPr>
        <w:t>súvislosti</w:t>
      </w:r>
      <w:r w:rsidR="004F01E9" w:rsidRPr="001C4527">
        <w:rPr>
          <w:noProof/>
          <w:spacing w:val="-4"/>
        </w:rPr>
        <w:t xml:space="preserve"> s </w:t>
      </w:r>
      <w:r w:rsidRPr="001C4527">
        <w:rPr>
          <w:noProof/>
          <w:spacing w:val="-4"/>
        </w:rPr>
        <w:t>hypotékami. Zachováva sa najmä súčasná požiadavka častého monitorovania hodnôt majetku, čo umožňuje úpravu smerom nahor nad hodnotu</w:t>
      </w:r>
      <w:r w:rsidR="004F01E9" w:rsidRPr="001C4527">
        <w:rPr>
          <w:noProof/>
          <w:spacing w:val="-4"/>
        </w:rPr>
        <w:t xml:space="preserve"> v </w:t>
      </w:r>
      <w:r w:rsidRPr="001C4527">
        <w:rPr>
          <w:noProof/>
          <w:spacing w:val="-4"/>
        </w:rPr>
        <w:t>čase vzniku úveru (na rozdiel od štandardov Bazilej III), ale len do priemernej hodnoty za posledné tri roky</w:t>
      </w:r>
      <w:r w:rsidR="004F01E9" w:rsidRPr="001C4527">
        <w:rPr>
          <w:noProof/>
          <w:spacing w:val="-4"/>
        </w:rPr>
        <w:t xml:space="preserve"> v </w:t>
      </w:r>
      <w:r w:rsidRPr="001C4527">
        <w:rPr>
          <w:noProof/>
          <w:spacing w:val="-4"/>
        </w:rPr>
        <w:t>prípade nehnuteľného majetku určeného na podnikanie</w:t>
      </w:r>
      <w:r w:rsidR="004F01E9" w:rsidRPr="001C4527">
        <w:rPr>
          <w:noProof/>
          <w:spacing w:val="-4"/>
        </w:rPr>
        <w:t xml:space="preserve"> a </w:t>
      </w:r>
      <w:r w:rsidRPr="001C4527">
        <w:rPr>
          <w:noProof/>
          <w:spacing w:val="-4"/>
        </w:rPr>
        <w:t>za posledných šesť rokov</w:t>
      </w:r>
      <w:r w:rsidR="004F01E9" w:rsidRPr="001C4527">
        <w:rPr>
          <w:noProof/>
          <w:spacing w:val="-4"/>
        </w:rPr>
        <w:t xml:space="preserve"> v </w:t>
      </w:r>
      <w:r w:rsidRPr="001C4527">
        <w:rPr>
          <w:noProof/>
          <w:spacing w:val="-4"/>
        </w:rPr>
        <w:t>prípade nehnuteľného majetku určeného na bývanie. Pre nehnuteľný majetok, ktorým sa zabezpečujú kryté dlhopisy, sa</w:t>
      </w:r>
      <w:r w:rsidR="004F01E9" w:rsidRPr="001C4527">
        <w:rPr>
          <w:noProof/>
          <w:spacing w:val="-4"/>
        </w:rPr>
        <w:t xml:space="preserve"> v </w:t>
      </w:r>
      <w:r w:rsidRPr="001C4527">
        <w:rPr>
          <w:noProof/>
          <w:spacing w:val="-4"/>
        </w:rPr>
        <w:t>článku 129 objasňuje, že príslušné orgány môžu inštitúciám umožniť používať trhovú hodnotu alebo hodnotu poskytnutého hypotekárneho financovania bez obmedzenia zvyšovania hodnoty majetku</w:t>
      </w:r>
      <w:r w:rsidR="004F01E9" w:rsidRPr="001C4527">
        <w:rPr>
          <w:noProof/>
          <w:spacing w:val="-4"/>
        </w:rPr>
        <w:t xml:space="preserve"> v </w:t>
      </w:r>
      <w:r w:rsidRPr="001C4527">
        <w:rPr>
          <w:noProof/>
          <w:spacing w:val="-4"/>
        </w:rPr>
        <w:t>priemere počas posledných troch alebo šiestich rokov,</w:t>
      </w:r>
      <w:r w:rsidR="004F01E9" w:rsidRPr="001C4527">
        <w:rPr>
          <w:noProof/>
          <w:spacing w:val="-4"/>
        </w:rPr>
        <w:t xml:space="preserve"> v </w:t>
      </w:r>
      <w:r w:rsidRPr="001C4527">
        <w:rPr>
          <w:noProof/>
          <w:spacing w:val="-4"/>
        </w:rPr>
        <w:t>uvedenom poradí. Navyše sa</w:t>
      </w:r>
      <w:r w:rsidR="004F01E9" w:rsidRPr="001C4527">
        <w:rPr>
          <w:noProof/>
          <w:spacing w:val="-4"/>
        </w:rPr>
        <w:t xml:space="preserve"> v </w:t>
      </w:r>
      <w:r w:rsidRPr="001C4527">
        <w:rPr>
          <w:noProof/>
          <w:spacing w:val="-4"/>
        </w:rPr>
        <w:t>článku 208 objasňuje, že zmeny majetku, ktorými sa zvyšuje energetická efektívnosť budovy alebo bytovej jednotky, sa musia považovať za jednoznačne zvyšujúce ich hodnotu. A napokon, inštitúciám sa umožňuje vykonávať oceňovanie</w:t>
      </w:r>
      <w:r w:rsidR="004F01E9" w:rsidRPr="001C4527">
        <w:rPr>
          <w:noProof/>
          <w:spacing w:val="-4"/>
        </w:rPr>
        <w:t xml:space="preserve"> a </w:t>
      </w:r>
      <w:r w:rsidRPr="001C4527">
        <w:rPr>
          <w:noProof/>
          <w:spacing w:val="-4"/>
        </w:rPr>
        <w:t>preceňovanie nehnuteľností pomocou pokročilých štatistických alebo iných matematických metód vyvinutých nezávisle od procesu rozhodovania</w:t>
      </w:r>
      <w:r w:rsidR="004F01E9" w:rsidRPr="001C4527">
        <w:rPr>
          <w:noProof/>
          <w:spacing w:val="-4"/>
        </w:rPr>
        <w:t xml:space="preserve"> o </w:t>
      </w:r>
      <w:r w:rsidRPr="001C4527">
        <w:rPr>
          <w:noProof/>
          <w:spacing w:val="-4"/>
        </w:rPr>
        <w:t>úveroch,</w:t>
      </w:r>
      <w:r w:rsidR="004F01E9" w:rsidRPr="001C4527">
        <w:rPr>
          <w:noProof/>
          <w:spacing w:val="-4"/>
        </w:rPr>
        <w:t xml:space="preserve"> a </w:t>
      </w:r>
      <w:r w:rsidRPr="001C4527">
        <w:rPr>
          <w:noProof/>
          <w:spacing w:val="-4"/>
        </w:rPr>
        <w:t>to</w:t>
      </w:r>
      <w:r w:rsidR="004F01E9" w:rsidRPr="001C4527">
        <w:rPr>
          <w:noProof/>
          <w:spacing w:val="-4"/>
        </w:rPr>
        <w:t xml:space="preserve"> v </w:t>
      </w:r>
      <w:r w:rsidRPr="001C4527">
        <w:rPr>
          <w:noProof/>
          <w:spacing w:val="-4"/>
        </w:rPr>
        <w:t>závislosti od splnenia viacerých podmienok, ktoré sú uvedené</w:t>
      </w:r>
      <w:r w:rsidR="004F01E9" w:rsidRPr="001C4527">
        <w:rPr>
          <w:noProof/>
          <w:spacing w:val="-4"/>
        </w:rPr>
        <w:t xml:space="preserve"> v </w:t>
      </w:r>
      <w:r w:rsidRPr="001C4527">
        <w:rPr>
          <w:noProof/>
          <w:spacing w:val="-4"/>
        </w:rPr>
        <w:t>usmerneniach orgánu EBA</w:t>
      </w:r>
      <w:r w:rsidR="004F01E9" w:rsidRPr="001C4527">
        <w:rPr>
          <w:noProof/>
          <w:spacing w:val="-4"/>
        </w:rPr>
        <w:t xml:space="preserve"> k </w:t>
      </w:r>
      <w:r w:rsidRPr="001C4527">
        <w:rPr>
          <w:noProof/>
          <w:spacing w:val="-4"/>
        </w:rPr>
        <w:t>vzniku</w:t>
      </w:r>
      <w:r w:rsidR="004F01E9" w:rsidRPr="001C4527">
        <w:rPr>
          <w:noProof/>
          <w:spacing w:val="-4"/>
        </w:rPr>
        <w:t xml:space="preserve"> a </w:t>
      </w:r>
      <w:r w:rsidRPr="001C4527">
        <w:rPr>
          <w:noProof/>
          <w:spacing w:val="-4"/>
        </w:rPr>
        <w:t>monitorovaniu úveru (EBA/GL/2020/06),</w:t>
      </w:r>
      <w:r w:rsidR="004F01E9" w:rsidRPr="001C4527">
        <w:rPr>
          <w:noProof/>
          <w:spacing w:val="-4"/>
        </w:rPr>
        <w:t xml:space="preserve"> a </w:t>
      </w:r>
      <w:r w:rsidRPr="001C4527">
        <w:rPr>
          <w:noProof/>
          <w:spacing w:val="-4"/>
        </w:rPr>
        <w:t>od schválenia orgánom dohľadu.</w:t>
      </w:r>
    </w:p>
    <w:p w14:paraId="44DE12C5" w14:textId="575F4467" w:rsidR="00E74DDF" w:rsidRPr="001C4527" w:rsidRDefault="00E74DDF" w:rsidP="00E74DDF">
      <w:pPr>
        <w:rPr>
          <w:noProof/>
          <w:spacing w:val="-8"/>
        </w:rPr>
      </w:pPr>
      <w:r w:rsidRPr="001C4527">
        <w:rPr>
          <w:noProof/>
          <w:spacing w:val="-8"/>
        </w:rPr>
        <w:t>Článok 465 sa mení na konkrétne prechodné opatrenie</w:t>
      </w:r>
      <w:r w:rsidR="004F01E9" w:rsidRPr="001C4527">
        <w:rPr>
          <w:noProof/>
          <w:spacing w:val="-8"/>
        </w:rPr>
        <w:t xml:space="preserve"> v </w:t>
      </w:r>
      <w:r w:rsidRPr="001C4527">
        <w:rPr>
          <w:noProof/>
          <w:spacing w:val="-8"/>
        </w:rPr>
        <w:t>prípade expozícií</w:t>
      </w:r>
      <w:r w:rsidR="004F01E9" w:rsidRPr="001C4527">
        <w:rPr>
          <w:noProof/>
          <w:spacing w:val="-8"/>
        </w:rPr>
        <w:t xml:space="preserve"> s </w:t>
      </w:r>
      <w:r w:rsidRPr="001C4527">
        <w:rPr>
          <w:noProof/>
          <w:spacing w:val="-8"/>
        </w:rPr>
        <w:t>nízkym rizikom zabezpečených hypotékou na nehnuteľný majetok určený na bývanie pri výpočte spodnej hranice pre výstupné hodnoty. Počas prechodného obdobia môžu členské štáty umožniť inštitúciám uplatňovať preferenčnú rizikovú váhu 10</w:t>
      </w:r>
      <w:r w:rsidR="004F01E9" w:rsidRPr="001C4527">
        <w:rPr>
          <w:noProof/>
          <w:spacing w:val="-8"/>
        </w:rPr>
        <w:t> %</w:t>
      </w:r>
      <w:r w:rsidRPr="001C4527">
        <w:rPr>
          <w:noProof/>
          <w:spacing w:val="-8"/>
        </w:rPr>
        <w:t xml:space="preserve"> na zabezpečenú časť expozície do 55</w:t>
      </w:r>
      <w:r w:rsidR="004F01E9" w:rsidRPr="001C4527">
        <w:rPr>
          <w:noProof/>
          <w:spacing w:val="-8"/>
        </w:rPr>
        <w:t> %</w:t>
      </w:r>
      <w:r w:rsidRPr="001C4527">
        <w:rPr>
          <w:noProof/>
          <w:spacing w:val="-8"/>
        </w:rPr>
        <w:t xml:space="preserve"> hodnoty majetku</w:t>
      </w:r>
      <w:r w:rsidR="004F01E9" w:rsidRPr="001C4527">
        <w:rPr>
          <w:noProof/>
          <w:spacing w:val="-8"/>
        </w:rPr>
        <w:t xml:space="preserve"> a </w:t>
      </w:r>
      <w:r w:rsidRPr="001C4527">
        <w:rPr>
          <w:noProof/>
          <w:spacing w:val="-8"/>
        </w:rPr>
        <w:t>rizikovú váhu 45</w:t>
      </w:r>
      <w:r w:rsidR="004F01E9" w:rsidRPr="001C4527">
        <w:rPr>
          <w:noProof/>
          <w:spacing w:val="-8"/>
        </w:rPr>
        <w:t> %</w:t>
      </w:r>
      <w:r w:rsidRPr="001C4527">
        <w:rPr>
          <w:noProof/>
          <w:spacing w:val="-8"/>
        </w:rPr>
        <w:t xml:space="preserve"> na zvyšnú časť expozície do výšky 80</w:t>
      </w:r>
      <w:r w:rsidR="004F01E9" w:rsidRPr="001C4527">
        <w:rPr>
          <w:noProof/>
          <w:spacing w:val="-8"/>
        </w:rPr>
        <w:t> %</w:t>
      </w:r>
      <w:r w:rsidRPr="001C4527">
        <w:rPr>
          <w:noProof/>
          <w:spacing w:val="-8"/>
        </w:rPr>
        <w:t xml:space="preserve"> hodnoty majetku, ak sú splnené určité podmienky určené na zabezpečenie, že predstavujú nízke riziko</w:t>
      </w:r>
      <w:r w:rsidR="004F01E9" w:rsidRPr="001C4527">
        <w:rPr>
          <w:noProof/>
          <w:spacing w:val="-8"/>
        </w:rPr>
        <w:t xml:space="preserve"> a </w:t>
      </w:r>
      <w:r w:rsidRPr="001C4527">
        <w:rPr>
          <w:noProof/>
          <w:spacing w:val="-8"/>
        </w:rPr>
        <w:t>boli overené príslušným orgánom. Orgán EBA má povinnosť monitorovať využívanie prechodného zaobchádzania</w:t>
      </w:r>
      <w:r w:rsidR="004F01E9" w:rsidRPr="001C4527">
        <w:rPr>
          <w:noProof/>
          <w:spacing w:val="-8"/>
        </w:rPr>
        <w:t xml:space="preserve"> a </w:t>
      </w:r>
      <w:r w:rsidRPr="001C4527">
        <w:rPr>
          <w:noProof/>
          <w:spacing w:val="-8"/>
        </w:rPr>
        <w:t>vypracovať správu</w:t>
      </w:r>
      <w:r w:rsidR="004F01E9" w:rsidRPr="001C4527">
        <w:rPr>
          <w:noProof/>
          <w:spacing w:val="-8"/>
        </w:rPr>
        <w:t xml:space="preserve"> o </w:t>
      </w:r>
      <w:r w:rsidRPr="001C4527">
        <w:rPr>
          <w:noProof/>
          <w:spacing w:val="-8"/>
        </w:rPr>
        <w:t>vhodnosti jeho kalibrácie. Na základe tejto správy sa Komisia bude musieť rozhodnúť, či Európskemu parlamentu</w:t>
      </w:r>
      <w:r w:rsidR="004F01E9" w:rsidRPr="001C4527">
        <w:rPr>
          <w:noProof/>
          <w:spacing w:val="-8"/>
        </w:rPr>
        <w:t xml:space="preserve"> a </w:t>
      </w:r>
      <w:r w:rsidRPr="001C4527">
        <w:rPr>
          <w:noProof/>
          <w:spacing w:val="-8"/>
        </w:rPr>
        <w:t>Rade predloží legislatívny návrh</w:t>
      </w:r>
      <w:r w:rsidR="004F01E9" w:rsidRPr="001C4527">
        <w:rPr>
          <w:noProof/>
          <w:spacing w:val="-8"/>
        </w:rPr>
        <w:t xml:space="preserve"> o </w:t>
      </w:r>
      <w:r w:rsidRPr="001C4527">
        <w:rPr>
          <w:noProof/>
          <w:spacing w:val="-8"/>
        </w:rPr>
        <w:t>nízkorizikových expozíciách zabezpečených hypotékou na nehnuteľný majetok určený na bývanie.</w:t>
      </w:r>
    </w:p>
    <w:p w14:paraId="1682F94B" w14:textId="77777777" w:rsidR="00E74DDF" w:rsidRPr="004F01E9" w:rsidRDefault="00E74DDF" w:rsidP="00E74DDF">
      <w:pPr>
        <w:pBdr>
          <w:top w:val="nil"/>
          <w:left w:val="nil"/>
          <w:bottom w:val="nil"/>
          <w:right w:val="nil"/>
          <w:between w:val="nil"/>
          <w:bar w:val="nil"/>
        </w:pBdr>
        <w:rPr>
          <w:i/>
          <w:noProof/>
        </w:rPr>
      </w:pPr>
      <w:r w:rsidRPr="004F01E9">
        <w:rPr>
          <w:i/>
          <w:noProof/>
        </w:rPr>
        <w:t>Expozície voči podriadeným dlhom</w:t>
      </w:r>
    </w:p>
    <w:p w14:paraId="39A27109" w14:textId="51E8E203" w:rsidR="00E74DDF" w:rsidRPr="001C4527" w:rsidRDefault="00E74DDF" w:rsidP="00E74DDF">
      <w:pPr>
        <w:pBdr>
          <w:top w:val="nil"/>
          <w:left w:val="nil"/>
          <w:bottom w:val="nil"/>
          <w:right w:val="nil"/>
          <w:between w:val="nil"/>
          <w:bar w:val="nil"/>
        </w:pBdr>
        <w:rPr>
          <w:noProof/>
          <w:spacing w:val="-6"/>
        </w:rPr>
      </w:pPr>
      <w:r w:rsidRPr="001C4527">
        <w:rPr>
          <w:noProof/>
          <w:spacing w:val="-6"/>
        </w:rPr>
        <w:t>Článok 128 sa nahrádza</w:t>
      </w:r>
      <w:r w:rsidR="004F01E9" w:rsidRPr="001C4527">
        <w:rPr>
          <w:noProof/>
          <w:spacing w:val="-6"/>
        </w:rPr>
        <w:t xml:space="preserve"> s </w:t>
      </w:r>
      <w:r w:rsidRPr="001C4527">
        <w:rPr>
          <w:noProof/>
          <w:spacing w:val="-6"/>
        </w:rPr>
        <w:t>cieľom zaviesť revidované zaobchádzanie</w:t>
      </w:r>
      <w:r w:rsidR="004F01E9" w:rsidRPr="001C4527">
        <w:rPr>
          <w:noProof/>
          <w:spacing w:val="-6"/>
        </w:rPr>
        <w:t xml:space="preserve"> s </w:t>
      </w:r>
      <w:r w:rsidRPr="001C4527">
        <w:rPr>
          <w:noProof/>
          <w:spacing w:val="-6"/>
        </w:rPr>
        <w:t>expozíciami voči podriadeným dlhom uvedeným</w:t>
      </w:r>
      <w:r w:rsidR="004F01E9" w:rsidRPr="001C4527">
        <w:rPr>
          <w:noProof/>
          <w:spacing w:val="-6"/>
        </w:rPr>
        <w:t xml:space="preserve"> v </w:t>
      </w:r>
      <w:r w:rsidRPr="001C4527">
        <w:rPr>
          <w:noProof/>
          <w:spacing w:val="-6"/>
        </w:rPr>
        <w:t>konečnom znení štandardov Bazilej III (t. j. riziková váha 150</w:t>
      </w:r>
      <w:r w:rsidR="004F01E9" w:rsidRPr="001C4527">
        <w:rPr>
          <w:noProof/>
          <w:spacing w:val="-6"/>
        </w:rPr>
        <w:t> %</w:t>
      </w:r>
      <w:r w:rsidRPr="001C4527">
        <w:rPr>
          <w:noProof/>
          <w:spacing w:val="-6"/>
        </w:rPr>
        <w:t>).</w:t>
      </w:r>
    </w:p>
    <w:p w14:paraId="27D7485A" w14:textId="77777777" w:rsidR="00E74DDF" w:rsidRPr="004F01E9" w:rsidRDefault="00E74DDF" w:rsidP="00E74DDF">
      <w:pPr>
        <w:pBdr>
          <w:top w:val="nil"/>
          <w:left w:val="nil"/>
          <w:bottom w:val="nil"/>
          <w:right w:val="nil"/>
          <w:between w:val="nil"/>
          <w:bar w:val="nil"/>
        </w:pBdr>
        <w:rPr>
          <w:i/>
          <w:noProof/>
        </w:rPr>
      </w:pPr>
      <w:r w:rsidRPr="004F01E9">
        <w:rPr>
          <w:i/>
          <w:noProof/>
        </w:rPr>
        <w:t>Kapitálové expozície</w:t>
      </w:r>
    </w:p>
    <w:p w14:paraId="5647B7BD" w14:textId="230EB4A1" w:rsidR="00806B81" w:rsidRPr="004F01E9" w:rsidRDefault="00E74DDF" w:rsidP="00E74DDF">
      <w:pPr>
        <w:pBdr>
          <w:top w:val="nil"/>
          <w:left w:val="nil"/>
          <w:bottom w:val="nil"/>
          <w:right w:val="nil"/>
          <w:between w:val="nil"/>
          <w:bar w:val="nil"/>
        </w:pBdr>
        <w:rPr>
          <w:noProof/>
        </w:rPr>
      </w:pPr>
      <w:r w:rsidRPr="004F01E9">
        <w:rPr>
          <w:noProof/>
        </w:rPr>
        <w:t>Článok 133 sa nahrádza</w:t>
      </w:r>
      <w:r w:rsidR="004F01E9">
        <w:rPr>
          <w:noProof/>
        </w:rPr>
        <w:t xml:space="preserve"> s </w:t>
      </w:r>
      <w:r w:rsidRPr="004F01E9">
        <w:rPr>
          <w:noProof/>
        </w:rPr>
        <w:t>cieľom zaviesť revidované zaobchádzanie</w:t>
      </w:r>
      <w:r w:rsidR="004F01E9">
        <w:rPr>
          <w:noProof/>
        </w:rPr>
        <w:t xml:space="preserve"> s </w:t>
      </w:r>
      <w:r w:rsidRPr="004F01E9">
        <w:rPr>
          <w:noProof/>
        </w:rPr>
        <w:t>kapitálovými expozíciami</w:t>
      </w:r>
      <w:r w:rsidR="004F01E9">
        <w:rPr>
          <w:noProof/>
        </w:rPr>
        <w:t xml:space="preserve"> v </w:t>
      </w:r>
      <w:r w:rsidRPr="004F01E9">
        <w:rPr>
          <w:noProof/>
        </w:rPr>
        <w:t>rámci konečného znenia štandardov Bazilej III. Rozsah pôsobnosti triedy kapitálových expozícií sa objasňuje vymedzením pojmu kapitálových expozícií</w:t>
      </w:r>
      <w:r w:rsidR="004F01E9">
        <w:rPr>
          <w:noProof/>
        </w:rPr>
        <w:t xml:space="preserve"> a </w:t>
      </w:r>
      <w:r w:rsidRPr="004F01E9">
        <w:rPr>
          <w:noProof/>
        </w:rPr>
        <w:t>špecifikovaním, ktoré nástroje sa majú kategorizovať ako kapitálové expozície na účely výpočtu rizikovo vážených aktív kreditného rizika.</w:t>
      </w:r>
    </w:p>
    <w:p w14:paraId="666E405C" w14:textId="3264D748" w:rsidR="00806B81" w:rsidRPr="001C4527" w:rsidRDefault="00E74DDF" w:rsidP="00E74DDF">
      <w:pPr>
        <w:pBdr>
          <w:top w:val="nil"/>
          <w:left w:val="nil"/>
          <w:bottom w:val="nil"/>
          <w:right w:val="nil"/>
          <w:between w:val="nil"/>
          <w:bar w:val="nil"/>
        </w:pBdr>
        <w:rPr>
          <w:noProof/>
          <w:spacing w:val="-8"/>
        </w:rPr>
      </w:pPr>
      <w:r w:rsidRPr="001C4527">
        <w:rPr>
          <w:noProof/>
          <w:spacing w:val="-8"/>
        </w:rPr>
        <w:t>Na zvýšenie rizikovej citlivosti prístupu SA-CR, revidované rizikové váhy odzrkadľujú vyššie riziko strát kapitálu</w:t>
      </w:r>
      <w:r w:rsidR="004F01E9" w:rsidRPr="001C4527">
        <w:rPr>
          <w:noProof/>
          <w:spacing w:val="-8"/>
        </w:rPr>
        <w:t xml:space="preserve"> v </w:t>
      </w:r>
      <w:r w:rsidRPr="001C4527">
        <w:rPr>
          <w:noProof/>
          <w:spacing w:val="-8"/>
        </w:rPr>
        <w:t>porovnaní</w:t>
      </w:r>
      <w:r w:rsidR="004F01E9" w:rsidRPr="001C4527">
        <w:rPr>
          <w:noProof/>
          <w:spacing w:val="-8"/>
        </w:rPr>
        <w:t xml:space="preserve"> s </w:t>
      </w:r>
      <w:r w:rsidRPr="001C4527">
        <w:rPr>
          <w:noProof/>
          <w:spacing w:val="-8"/>
        </w:rPr>
        <w:t>dlhovými expozíciami prostredníctvom rizikovej váhy 250</w:t>
      </w:r>
      <w:r w:rsidR="004F01E9" w:rsidRPr="001C4527">
        <w:rPr>
          <w:noProof/>
          <w:spacing w:val="-8"/>
        </w:rPr>
        <w:t> % a </w:t>
      </w:r>
      <w:r w:rsidRPr="001C4527">
        <w:rPr>
          <w:noProof/>
          <w:spacing w:val="-8"/>
        </w:rPr>
        <w:t>rozlišujú medzi dlhodobými</w:t>
      </w:r>
      <w:r w:rsidR="004F01E9" w:rsidRPr="001C4527">
        <w:rPr>
          <w:noProof/>
          <w:spacing w:val="-8"/>
        </w:rPr>
        <w:t xml:space="preserve"> a </w:t>
      </w:r>
      <w:r w:rsidRPr="001C4527">
        <w:rPr>
          <w:noProof/>
          <w:spacing w:val="-8"/>
        </w:rPr>
        <w:t>rizikovejšími špekulatívnymi investíciami, ktorým sa priraďuje riziková váha 400</w:t>
      </w:r>
      <w:r w:rsidR="004F01E9" w:rsidRPr="001C4527">
        <w:rPr>
          <w:noProof/>
          <w:spacing w:val="-8"/>
        </w:rPr>
        <w:t> %</w:t>
      </w:r>
      <w:r w:rsidRPr="001C4527">
        <w:rPr>
          <w:noProof/>
          <w:spacing w:val="-8"/>
        </w:rPr>
        <w:t>.</w:t>
      </w:r>
      <w:r w:rsidR="004F01E9" w:rsidRPr="001C4527">
        <w:rPr>
          <w:noProof/>
          <w:spacing w:val="-8"/>
        </w:rPr>
        <w:t xml:space="preserve"> S </w:t>
      </w:r>
      <w:r w:rsidRPr="001C4527">
        <w:rPr>
          <w:noProof/>
          <w:spacing w:val="-8"/>
        </w:rPr>
        <w:t>cieľom zabrániť neodôvodnenej zložitosti sa klasifikácia dlhodobých expozícií ako hlavné kritérium vzťahuje na obdobie držby schválené vrcholovým manažmentom inštitúcie.</w:t>
      </w:r>
    </w:p>
    <w:p w14:paraId="5955D273" w14:textId="4E4CEBCA" w:rsidR="00E74DDF" w:rsidRPr="001C4527" w:rsidRDefault="00E74DDF" w:rsidP="00E74DDF">
      <w:pPr>
        <w:pBdr>
          <w:top w:val="nil"/>
          <w:left w:val="nil"/>
          <w:bottom w:val="nil"/>
          <w:right w:val="nil"/>
          <w:between w:val="nil"/>
          <w:bar w:val="nil"/>
        </w:pBdr>
        <w:rPr>
          <w:noProof/>
          <w:spacing w:val="-4"/>
        </w:rPr>
      </w:pPr>
      <w:r w:rsidRPr="001C4527">
        <w:rPr>
          <w:noProof/>
          <w:spacing w:val="-4"/>
        </w:rPr>
        <w:t>Kapitálovým expozíciám, ktoré vznikli na základe legislatívnych programov na podporu určených hospodárskych odvetví poskytujúcich inštitúcii významné dotácie na investície</w:t>
      </w:r>
      <w:r w:rsidR="004F01E9" w:rsidRPr="001C4527">
        <w:rPr>
          <w:noProof/>
          <w:spacing w:val="-4"/>
        </w:rPr>
        <w:t xml:space="preserve"> a </w:t>
      </w:r>
      <w:r w:rsidRPr="001C4527">
        <w:rPr>
          <w:noProof/>
          <w:spacing w:val="-4"/>
        </w:rPr>
        <w:t>ktoré zahŕňajú istú formu vládneho dohľadu, možno priradiť rizikovú váhu 100</w:t>
      </w:r>
      <w:r w:rsidR="004F01E9" w:rsidRPr="001C4527">
        <w:rPr>
          <w:noProof/>
          <w:spacing w:val="-4"/>
        </w:rPr>
        <w:t> %</w:t>
      </w:r>
      <w:r w:rsidRPr="001C4527">
        <w:rPr>
          <w:noProof/>
          <w:spacing w:val="-4"/>
        </w:rPr>
        <w:t>, ktorá podlieha prahovej hodnote 10</w:t>
      </w:r>
      <w:r w:rsidR="004F01E9" w:rsidRPr="001C4527">
        <w:rPr>
          <w:noProof/>
          <w:spacing w:val="-4"/>
        </w:rPr>
        <w:t> %</w:t>
      </w:r>
      <w:r w:rsidRPr="001C4527">
        <w:rPr>
          <w:noProof/>
          <w:spacing w:val="-4"/>
        </w:rPr>
        <w:t xml:space="preserve"> vlastných zdrojov inštitúcie</w:t>
      </w:r>
      <w:r w:rsidR="004F01E9" w:rsidRPr="001C4527">
        <w:rPr>
          <w:noProof/>
          <w:spacing w:val="-4"/>
        </w:rPr>
        <w:t xml:space="preserve"> a </w:t>
      </w:r>
      <w:r w:rsidRPr="001C4527">
        <w:rPr>
          <w:noProof/>
          <w:spacing w:val="-4"/>
        </w:rPr>
        <w:t>schváleniu orgánom dohľadu. Takéto dotácie môžu mať aj formu všeobecných záruk multilaterálnych rozvojových bánk, verejných rozvojových úverových inštitúcií</w:t>
      </w:r>
      <w:r w:rsidR="004F01E9" w:rsidRPr="001C4527">
        <w:rPr>
          <w:noProof/>
          <w:spacing w:val="-4"/>
        </w:rPr>
        <w:t xml:space="preserve"> a </w:t>
      </w:r>
      <w:r w:rsidRPr="001C4527">
        <w:rPr>
          <w:noProof/>
          <w:spacing w:val="-4"/>
        </w:rPr>
        <w:t>medzinárodných organizácií.</w:t>
      </w:r>
      <w:r w:rsidR="004F01E9" w:rsidRPr="001C4527">
        <w:rPr>
          <w:noProof/>
          <w:spacing w:val="-4"/>
        </w:rPr>
        <w:t xml:space="preserve"> V </w:t>
      </w:r>
      <w:r w:rsidRPr="001C4527">
        <w:rPr>
          <w:noProof/>
          <w:spacing w:val="-4"/>
        </w:rPr>
        <w:t>tomto sa odzrkadľuje skutočnosť, že skupina Európskej investičnej banky, multilaterálne rozvojové banky, verejné rozvojové úverové inštitúcie</w:t>
      </w:r>
      <w:r w:rsidR="004F01E9" w:rsidRPr="001C4527">
        <w:rPr>
          <w:noProof/>
          <w:spacing w:val="-4"/>
        </w:rPr>
        <w:t xml:space="preserve"> a </w:t>
      </w:r>
      <w:r w:rsidRPr="001C4527">
        <w:rPr>
          <w:noProof/>
          <w:spacing w:val="-4"/>
        </w:rPr>
        <w:t>členské štáty vytvárajú takéto „legislatívne programy“, ktoré často bývajú založené na všeobecných verejných zárukách</w:t>
      </w:r>
      <w:r w:rsidR="004F01E9" w:rsidRPr="001C4527">
        <w:rPr>
          <w:noProof/>
          <w:spacing w:val="-4"/>
        </w:rPr>
        <w:t xml:space="preserve"> a </w:t>
      </w:r>
      <w:r w:rsidRPr="001C4527">
        <w:rPr>
          <w:noProof/>
          <w:spacing w:val="-4"/>
        </w:rPr>
        <w:t>prepojené</w:t>
      </w:r>
      <w:r w:rsidR="004F01E9" w:rsidRPr="001C4527">
        <w:rPr>
          <w:noProof/>
          <w:spacing w:val="-4"/>
        </w:rPr>
        <w:t xml:space="preserve"> s </w:t>
      </w:r>
      <w:r w:rsidRPr="001C4527">
        <w:rPr>
          <w:noProof/>
          <w:spacing w:val="-4"/>
        </w:rPr>
        <w:t>plánmi finančnej obnovy</w:t>
      </w:r>
      <w:r w:rsidR="004F01E9" w:rsidRPr="001C4527">
        <w:rPr>
          <w:noProof/>
          <w:spacing w:val="-4"/>
        </w:rPr>
        <w:t xml:space="preserve"> a </w:t>
      </w:r>
      <w:r w:rsidRPr="001C4527">
        <w:rPr>
          <w:noProof/>
          <w:spacing w:val="-4"/>
        </w:rPr>
        <w:t>odolnosti</w:t>
      </w:r>
      <w:r w:rsidR="004F01E9" w:rsidRPr="001C4527">
        <w:rPr>
          <w:noProof/>
          <w:spacing w:val="-4"/>
        </w:rPr>
        <w:t xml:space="preserve"> s </w:t>
      </w:r>
      <w:r w:rsidRPr="001C4527">
        <w:rPr>
          <w:noProof/>
          <w:spacing w:val="-4"/>
        </w:rPr>
        <w:t>cieľom mobilizovať súkromný kapitál vrátane podpory strategických podnikov.</w:t>
      </w:r>
    </w:p>
    <w:p w14:paraId="68A92AFD" w14:textId="77E711C4" w:rsidR="00806B81" w:rsidRPr="001C4527" w:rsidRDefault="00E74DDF" w:rsidP="00E74DDF">
      <w:pPr>
        <w:pBdr>
          <w:top w:val="nil"/>
          <w:left w:val="nil"/>
          <w:bottom w:val="nil"/>
          <w:right w:val="nil"/>
          <w:between w:val="nil"/>
          <w:bar w:val="nil"/>
        </w:pBdr>
        <w:rPr>
          <w:noProof/>
          <w:spacing w:val="-4"/>
        </w:rPr>
      </w:pPr>
      <w:r w:rsidRPr="001C4527">
        <w:rPr>
          <w:noProof/>
          <w:spacing w:val="-4"/>
        </w:rPr>
        <w:t>Na kapitálové expozície voči centrálnym bankám sa naďalej uplatňuje riziková váha 100</w:t>
      </w:r>
      <w:r w:rsidR="004F01E9" w:rsidRPr="001C4527">
        <w:rPr>
          <w:noProof/>
          <w:spacing w:val="-4"/>
        </w:rPr>
        <w:t> %</w:t>
      </w:r>
      <w:r w:rsidRPr="001C4527">
        <w:rPr>
          <w:noProof/>
          <w:spacing w:val="-4"/>
        </w:rPr>
        <w:t>.</w:t>
      </w:r>
    </w:p>
    <w:p w14:paraId="1DAF9EA3" w14:textId="6D8AD8C0" w:rsidR="00E74DDF" w:rsidRPr="001C4527" w:rsidRDefault="00E74DDF" w:rsidP="00E74DDF">
      <w:pPr>
        <w:pBdr>
          <w:top w:val="nil"/>
          <w:left w:val="nil"/>
          <w:bottom w:val="nil"/>
          <w:right w:val="nil"/>
          <w:between w:val="nil"/>
          <w:bar w:val="nil"/>
        </w:pBdr>
        <w:rPr>
          <w:noProof/>
          <w:spacing w:val="-4"/>
        </w:rPr>
      </w:pPr>
      <w:r w:rsidRPr="001C4527">
        <w:rPr>
          <w:noProof/>
          <w:spacing w:val="-4"/>
        </w:rPr>
        <w:t>Konečne</w:t>
      </w:r>
      <w:r w:rsidR="004F01E9" w:rsidRPr="001C4527">
        <w:rPr>
          <w:noProof/>
          <w:spacing w:val="-4"/>
        </w:rPr>
        <w:t xml:space="preserve"> v </w:t>
      </w:r>
      <w:r w:rsidRPr="001C4527">
        <w:rPr>
          <w:noProof/>
          <w:spacing w:val="-4"/>
        </w:rPr>
        <w:t>článku 133 sa stanovuje spodná hranica pre kapitálové expozície, ktoré sú zaznamenané ako úver, ale vznikli swapom dlhu za kapitálový podiel ako súčasťou riadnej správy alebo reštrukturalizácie dlhu:</w:t>
      </w:r>
      <w:r w:rsidR="004F01E9" w:rsidRPr="001C4527">
        <w:rPr>
          <w:noProof/>
          <w:spacing w:val="-4"/>
        </w:rPr>
        <w:t xml:space="preserve"> v </w:t>
      </w:r>
      <w:r w:rsidRPr="001C4527">
        <w:rPr>
          <w:noProof/>
          <w:spacing w:val="-4"/>
        </w:rPr>
        <w:t>súlade so štandardom Bazilej III nesmie byť uplatniteľná riziková váha nižšia ako riziková váha, ktorá by sa uplatňovala, keby podiely zostali</w:t>
      </w:r>
      <w:r w:rsidR="004F01E9" w:rsidRPr="001C4527">
        <w:rPr>
          <w:noProof/>
          <w:spacing w:val="-4"/>
        </w:rPr>
        <w:t xml:space="preserve"> v </w:t>
      </w:r>
      <w:r w:rsidRPr="001C4527">
        <w:rPr>
          <w:noProof/>
          <w:spacing w:val="-4"/>
        </w:rPr>
        <w:t>dlhovom portfóliu.</w:t>
      </w:r>
    </w:p>
    <w:p w14:paraId="75659BF8" w14:textId="534942BD" w:rsidR="00E74DDF" w:rsidRPr="004F01E9" w:rsidRDefault="00E74DDF" w:rsidP="00E74DDF">
      <w:pPr>
        <w:pBdr>
          <w:top w:val="nil"/>
          <w:left w:val="nil"/>
          <w:bottom w:val="nil"/>
          <w:right w:val="nil"/>
          <w:between w:val="nil"/>
          <w:bar w:val="nil"/>
        </w:pBdr>
        <w:rPr>
          <w:noProof/>
        </w:rPr>
      </w:pPr>
      <w:r w:rsidRPr="004F01E9">
        <w:rPr>
          <w:noProof/>
        </w:rPr>
        <w:t>Mnoho bánk EÚ má dlhodobú strategickú majetkovú účasť vo finančných aj nefinančných podnikateľských subjektoch. Štandardmi Bazilej III sa zvyšujú rizikové váhy všetkých druhov kapitálových expozícií počas 5-ročného prechodného obdobia bez poskytnutia osobitného zaobchádzania so strategickými kapitálovými investíciami. Uplatňovanie konzervatívnejšieho prístupu zakotveného</w:t>
      </w:r>
      <w:r w:rsidR="004F01E9">
        <w:rPr>
          <w:noProof/>
        </w:rPr>
        <w:t xml:space="preserve"> v </w:t>
      </w:r>
      <w:r w:rsidRPr="004F01E9">
        <w:rPr>
          <w:noProof/>
        </w:rPr>
        <w:t>štandardoch Bazilej III na všetky existujúce majetkové účasti by mohlo ohroziť ekonomickú životaschopnosť existujúcich strategických vzťahov.</w:t>
      </w:r>
    </w:p>
    <w:p w14:paraId="561D613E" w14:textId="2D46D288" w:rsidR="00E74DDF" w:rsidRPr="004F01E9" w:rsidRDefault="00E74DDF" w:rsidP="00E74DDF">
      <w:pPr>
        <w:pBdr>
          <w:top w:val="nil"/>
          <w:left w:val="nil"/>
          <w:bottom w:val="nil"/>
          <w:right w:val="nil"/>
          <w:between w:val="nil"/>
          <w:bar w:val="nil"/>
        </w:pBdr>
        <w:rPr>
          <w:noProof/>
        </w:rPr>
      </w:pPr>
      <w:r w:rsidRPr="004F01E9">
        <w:rPr>
          <w:noProof/>
        </w:rPr>
        <w:t>Vzhľadom na to sa</w:t>
      </w:r>
      <w:r w:rsidR="004F01E9">
        <w:rPr>
          <w:noProof/>
        </w:rPr>
        <w:t xml:space="preserve"> v </w:t>
      </w:r>
      <w:r w:rsidRPr="004F01E9">
        <w:rPr>
          <w:noProof/>
        </w:rPr>
        <w:t>zmenenom článku 49 stanovuje riziková váha uplatniteľná na kapitálové expozície voči subjektom finančného sektora zaradeným do toho istého rozsahu pôsobnosti prudenciálnej konsolidácie (skupiny) alebo – na základe schválenia orgánom dohľadu – voči inštitúciám, ktoré patria do toho istého programu inštitucionálnej ochrany na 100</w:t>
      </w:r>
      <w:r w:rsidR="004F01E9">
        <w:rPr>
          <w:noProof/>
        </w:rPr>
        <w:t> %</w:t>
      </w:r>
      <w:r w:rsidRPr="004F01E9">
        <w:rPr>
          <w:noProof/>
        </w:rPr>
        <w:t>, pričom sa chráni súčasné zaobchádzanie</w:t>
      </w:r>
      <w:r w:rsidR="004F01E9">
        <w:rPr>
          <w:noProof/>
        </w:rPr>
        <w:t xml:space="preserve"> s </w:t>
      </w:r>
      <w:r w:rsidRPr="004F01E9">
        <w:rPr>
          <w:noProof/>
        </w:rPr>
        <w:t>väčšinou dotknutých subjektov.</w:t>
      </w:r>
    </w:p>
    <w:p w14:paraId="402873F2" w14:textId="175E8D46" w:rsidR="00E74DDF" w:rsidRPr="004F01E9" w:rsidRDefault="00E74DDF" w:rsidP="00E74DDF">
      <w:pPr>
        <w:rPr>
          <w:noProof/>
        </w:rPr>
      </w:pPr>
      <w:r w:rsidRPr="004F01E9">
        <w:rPr>
          <w:noProof/>
        </w:rPr>
        <w:t>Okrem toho sa vkladá nový článok 495a</w:t>
      </w:r>
      <w:r w:rsidR="004F01E9">
        <w:rPr>
          <w:noProof/>
        </w:rPr>
        <w:t xml:space="preserve"> s </w:t>
      </w:r>
      <w:r w:rsidRPr="004F01E9">
        <w:rPr>
          <w:noProof/>
        </w:rPr>
        <w:t>cieľom postupného zavedenia nových rizikových váh uplatniteľných na kapitálové expozície.</w:t>
      </w:r>
      <w:r w:rsidR="004F01E9">
        <w:rPr>
          <w:noProof/>
        </w:rPr>
        <w:t xml:space="preserve"> V </w:t>
      </w:r>
      <w:r w:rsidRPr="004F01E9">
        <w:rPr>
          <w:noProof/>
        </w:rPr>
        <w:t>tomto novom článku sa navyše stanovuje zachovanie nadobudnutých práv pri súčasnom zaobchádzaní</w:t>
      </w:r>
      <w:r w:rsidR="004F01E9">
        <w:rPr>
          <w:noProof/>
        </w:rPr>
        <w:t xml:space="preserve"> s </w:t>
      </w:r>
      <w:r w:rsidRPr="004F01E9">
        <w:rPr>
          <w:noProof/>
        </w:rPr>
        <w:t>historickými</w:t>
      </w:r>
      <w:r w:rsidR="004F01E9">
        <w:rPr>
          <w:noProof/>
        </w:rPr>
        <w:t xml:space="preserve"> a </w:t>
      </w:r>
      <w:r w:rsidRPr="004F01E9">
        <w:rPr>
          <w:noProof/>
        </w:rPr>
        <w:t>strategickými kapitálovými investíciami, ktoré sú</w:t>
      </w:r>
      <w:r w:rsidR="004F01E9">
        <w:rPr>
          <w:noProof/>
        </w:rPr>
        <w:t xml:space="preserve"> v </w:t>
      </w:r>
      <w:r w:rsidRPr="004F01E9">
        <w:rPr>
          <w:noProof/>
        </w:rPr>
        <w:t>držbe inštitúcie počas posledných desiatich rokov</w:t>
      </w:r>
      <w:r w:rsidR="004F01E9">
        <w:rPr>
          <w:noProof/>
        </w:rPr>
        <w:t xml:space="preserve"> v </w:t>
      </w:r>
      <w:r w:rsidRPr="004F01E9">
        <w:rPr>
          <w:noProof/>
        </w:rPr>
        <w:t>subjektoch vrátane poisťovní, na ktoré má významný vplyv.</w:t>
      </w:r>
    </w:p>
    <w:p w14:paraId="6AF4DE62" w14:textId="4348EE8F" w:rsidR="00E74DDF" w:rsidRPr="004F01E9" w:rsidRDefault="00E74DDF" w:rsidP="00E74DDF">
      <w:pPr>
        <w:keepNext/>
        <w:rPr>
          <w:i/>
          <w:noProof/>
        </w:rPr>
      </w:pPr>
      <w:r w:rsidRPr="004F01E9">
        <w:rPr>
          <w:i/>
          <w:noProof/>
        </w:rPr>
        <w:t>Expozície</w:t>
      </w:r>
      <w:r w:rsidR="004F01E9">
        <w:rPr>
          <w:i/>
          <w:noProof/>
        </w:rPr>
        <w:t xml:space="preserve"> v </w:t>
      </w:r>
      <w:r w:rsidRPr="004F01E9">
        <w:rPr>
          <w:i/>
          <w:noProof/>
        </w:rPr>
        <w:t>stave zlyhania</w:t>
      </w:r>
    </w:p>
    <w:p w14:paraId="4F043CC7" w14:textId="554389F0" w:rsidR="00E74DDF" w:rsidRPr="004F01E9" w:rsidRDefault="00E74DDF" w:rsidP="00E74DDF">
      <w:pPr>
        <w:rPr>
          <w:noProof/>
        </w:rPr>
      </w:pPr>
      <w:r w:rsidRPr="004F01E9">
        <w:rPr>
          <w:noProof/>
        </w:rPr>
        <w:t>Článok 127 sa zmenil, aby objasňoval zaobchádzanie na základe rizikovej váhy so zľavami pri nákupoch problémových expozícií, ako sa uvádza</w:t>
      </w:r>
      <w:r w:rsidR="004F01E9">
        <w:rPr>
          <w:noProof/>
        </w:rPr>
        <w:t xml:space="preserve"> v </w:t>
      </w:r>
      <w:r w:rsidRPr="004F01E9">
        <w:rPr>
          <w:noProof/>
        </w:rPr>
        <w:t>oznámení Riešenie nesplácaných úverov</w:t>
      </w:r>
      <w:r w:rsidR="004F01E9">
        <w:rPr>
          <w:noProof/>
        </w:rPr>
        <w:t xml:space="preserve"> v </w:t>
      </w:r>
      <w:r w:rsidRPr="004F01E9">
        <w:rPr>
          <w:noProof/>
        </w:rPr>
        <w:t>období po pandémii COVID-19. Na tento účel sa</w:t>
      </w:r>
      <w:r w:rsidR="004F01E9">
        <w:rPr>
          <w:noProof/>
        </w:rPr>
        <w:t xml:space="preserve"> v </w:t>
      </w:r>
      <w:r w:rsidRPr="004F01E9">
        <w:rPr>
          <w:noProof/>
        </w:rPr>
        <w:t>návrhu objasňuje, že inštitúcie môžu vziať do úvahy zľavu pri nákupe zlyhaných aktív, keď určujú primeranú rizikovú váhu, ktorá sa má uplatniť na expozíciu</w:t>
      </w:r>
      <w:r w:rsidR="004F01E9">
        <w:rPr>
          <w:noProof/>
        </w:rPr>
        <w:t xml:space="preserve"> v </w:t>
      </w:r>
      <w:r w:rsidRPr="004F01E9">
        <w:rPr>
          <w:noProof/>
        </w:rPr>
        <w:t>stave zlyhania. Tým sa dopĺňa aktuálne úsilie orgánu EBA zamerané na zmenu regulačných technických predpisov</w:t>
      </w:r>
      <w:r w:rsidR="004F01E9">
        <w:rPr>
          <w:noProof/>
        </w:rPr>
        <w:t xml:space="preserve"> o </w:t>
      </w:r>
      <w:r w:rsidRPr="004F01E9">
        <w:rPr>
          <w:noProof/>
        </w:rPr>
        <w:t>úprave kreditného rizika.</w:t>
      </w:r>
    </w:p>
    <w:p w14:paraId="709C7CC6" w14:textId="40827623" w:rsidR="00E74DDF" w:rsidRPr="001C4527" w:rsidRDefault="00E74DDF" w:rsidP="00E74DDF">
      <w:pPr>
        <w:rPr>
          <w:noProof/>
          <w:spacing w:val="-10"/>
        </w:rPr>
      </w:pPr>
      <w:r w:rsidRPr="001C4527">
        <w:rPr>
          <w:noProof/>
          <w:spacing w:val="-10"/>
        </w:rPr>
        <w:t>Ďalšie zmeny článku 127 zosúlaďujú jazyk</w:t>
      </w:r>
      <w:r w:rsidR="004F01E9" w:rsidRPr="001C4527">
        <w:rPr>
          <w:noProof/>
          <w:spacing w:val="-10"/>
        </w:rPr>
        <w:t xml:space="preserve"> s </w:t>
      </w:r>
      <w:r w:rsidRPr="001C4527">
        <w:rPr>
          <w:noProof/>
          <w:spacing w:val="-10"/>
        </w:rPr>
        <w:t>jazykom použitým</w:t>
      </w:r>
      <w:r w:rsidR="004F01E9" w:rsidRPr="001C4527">
        <w:rPr>
          <w:noProof/>
          <w:spacing w:val="-10"/>
        </w:rPr>
        <w:t xml:space="preserve"> v </w:t>
      </w:r>
      <w:r w:rsidRPr="001C4527">
        <w:rPr>
          <w:noProof/>
          <w:spacing w:val="-10"/>
        </w:rPr>
        <w:t>revidovaných štandardoch Bazilej III.</w:t>
      </w:r>
    </w:p>
    <w:p w14:paraId="3E6BBA01" w14:textId="3EA4545C" w:rsidR="00E74DDF" w:rsidRPr="004F01E9" w:rsidRDefault="00E74DDF" w:rsidP="00E74DDF">
      <w:pPr>
        <w:rPr>
          <w:i/>
          <w:noProof/>
        </w:rPr>
      </w:pPr>
      <w:r w:rsidRPr="004F01E9">
        <w:rPr>
          <w:i/>
          <w:noProof/>
        </w:rPr>
        <w:t>Využívanie ratingových hodnotení externými ratingovými agentúrami</w:t>
      </w:r>
      <w:r w:rsidR="004F01E9">
        <w:rPr>
          <w:i/>
          <w:noProof/>
        </w:rPr>
        <w:t xml:space="preserve"> a </w:t>
      </w:r>
      <w:r w:rsidRPr="004F01E9">
        <w:rPr>
          <w:i/>
          <w:noProof/>
        </w:rPr>
        <w:t>mapovanie</w:t>
      </w:r>
    </w:p>
    <w:p w14:paraId="45CB9ECA" w14:textId="122E877A" w:rsidR="00E74DDF" w:rsidRPr="001C4527" w:rsidRDefault="00E74DDF" w:rsidP="00C67562">
      <w:pPr>
        <w:spacing w:after="240"/>
        <w:rPr>
          <w:noProof/>
          <w:spacing w:val="-4"/>
        </w:rPr>
      </w:pPr>
      <w:r w:rsidRPr="001C4527">
        <w:rPr>
          <w:noProof/>
          <w:spacing w:val="-4"/>
        </w:rPr>
        <w:t>Článok 135 sa zmenil</w:t>
      </w:r>
      <w:r w:rsidR="004F01E9" w:rsidRPr="001C4527">
        <w:rPr>
          <w:noProof/>
          <w:spacing w:val="-4"/>
        </w:rPr>
        <w:t xml:space="preserve"> s </w:t>
      </w:r>
      <w:r w:rsidRPr="001C4527">
        <w:rPr>
          <w:noProof/>
          <w:spacing w:val="-4"/>
        </w:rPr>
        <w:t>cieľom poveriť európske orgány dohľadu (ESA) vypracovaním správy</w:t>
      </w:r>
      <w:r w:rsidR="004F01E9" w:rsidRPr="001C4527">
        <w:rPr>
          <w:noProof/>
          <w:spacing w:val="-4"/>
        </w:rPr>
        <w:t xml:space="preserve"> o </w:t>
      </w:r>
      <w:r w:rsidRPr="001C4527">
        <w:rPr>
          <w:noProof/>
          <w:spacing w:val="-4"/>
        </w:rPr>
        <w:t>prekážkach dostupnosti externých úverových ratingov od ECAI, najmä pokiaľ ide</w:t>
      </w:r>
      <w:r w:rsidR="004F01E9" w:rsidRPr="001C4527">
        <w:rPr>
          <w:noProof/>
          <w:spacing w:val="-4"/>
        </w:rPr>
        <w:t xml:space="preserve"> o </w:t>
      </w:r>
      <w:r w:rsidRPr="001C4527">
        <w:rPr>
          <w:noProof/>
          <w:spacing w:val="-4"/>
        </w:rPr>
        <w:t>podnikateľské subjekty,</w:t>
      </w:r>
      <w:r w:rsidR="004F01E9" w:rsidRPr="001C4527">
        <w:rPr>
          <w:noProof/>
          <w:spacing w:val="-4"/>
        </w:rPr>
        <w:t xml:space="preserve"> a o </w:t>
      </w:r>
      <w:r w:rsidRPr="001C4527">
        <w:rPr>
          <w:noProof/>
          <w:spacing w:val="-4"/>
        </w:rPr>
        <w:t>možných opatreniach na ich odstránenie, ktorá poslúži ako podklad pre každú budúcu iniciatívu</w:t>
      </w:r>
      <w:r w:rsidR="004F01E9" w:rsidRPr="001C4527">
        <w:rPr>
          <w:noProof/>
          <w:spacing w:val="-4"/>
        </w:rPr>
        <w:t xml:space="preserve"> o </w:t>
      </w:r>
      <w:r w:rsidRPr="001C4527">
        <w:rPr>
          <w:noProof/>
          <w:spacing w:val="-4"/>
        </w:rPr>
        <w:t>vytvorení verejných alebo súkromných ratingových systémov.</w:t>
      </w:r>
    </w:p>
    <w:p w14:paraId="53137B5B" w14:textId="77777777" w:rsidR="00806B81" w:rsidRPr="004F01E9" w:rsidRDefault="00E74DDF" w:rsidP="00E74DDF">
      <w:pPr>
        <w:keepNext/>
        <w:pBdr>
          <w:top w:val="nil"/>
          <w:left w:val="nil"/>
          <w:bottom w:val="nil"/>
          <w:right w:val="nil"/>
          <w:between w:val="nil"/>
          <w:bar w:val="nil"/>
        </w:pBdr>
        <w:rPr>
          <w:b/>
          <w:noProof/>
        </w:rPr>
      </w:pPr>
      <w:r w:rsidRPr="004F01E9">
        <w:rPr>
          <w:b/>
          <w:noProof/>
        </w:rPr>
        <w:t>Rámec kreditného rizika – prístupy na základe interných ratingov</w:t>
      </w:r>
    </w:p>
    <w:p w14:paraId="594966BE" w14:textId="77777777" w:rsidR="00806B81" w:rsidRPr="004F01E9" w:rsidRDefault="00E74DDF" w:rsidP="00E74DDF">
      <w:pPr>
        <w:keepNext/>
        <w:pBdr>
          <w:top w:val="nil"/>
          <w:left w:val="nil"/>
          <w:bottom w:val="nil"/>
          <w:right w:val="nil"/>
          <w:between w:val="nil"/>
          <w:bar w:val="nil"/>
        </w:pBdr>
        <w:rPr>
          <w:i/>
          <w:noProof/>
        </w:rPr>
      </w:pPr>
      <w:r w:rsidRPr="004F01E9">
        <w:rPr>
          <w:i/>
          <w:noProof/>
        </w:rPr>
        <w:t>Obmedzenie rozsahu prístupov na základe interných ratingov</w:t>
      </w:r>
    </w:p>
    <w:p w14:paraId="585058AE" w14:textId="1704C37F" w:rsidR="00E74DDF" w:rsidRPr="004F01E9" w:rsidRDefault="00E74DDF" w:rsidP="00E74DDF">
      <w:pPr>
        <w:pBdr>
          <w:top w:val="nil"/>
          <w:left w:val="nil"/>
          <w:bottom w:val="nil"/>
          <w:right w:val="nil"/>
          <w:between w:val="nil"/>
          <w:bar w:val="nil"/>
        </w:pBdr>
        <w:rPr>
          <w:noProof/>
        </w:rPr>
      </w:pPr>
      <w:r w:rsidRPr="004F01E9">
        <w:rPr>
          <w:noProof/>
        </w:rPr>
        <w:t>Požiadavky na vlastné zdroje pre kreditné riziko, ktoré vychádzajú</w:t>
      </w:r>
      <w:r w:rsidR="004F01E9">
        <w:rPr>
          <w:noProof/>
        </w:rPr>
        <w:t xml:space="preserve"> z </w:t>
      </w:r>
      <w:r w:rsidRPr="004F01E9">
        <w:rPr>
          <w:noProof/>
        </w:rPr>
        <w:t>interných modelov inštitúcií, majú významné výhody, čo sa týka citlivosti na riziká, pochopenia rizík inštitúciami, ako aj rovnakých podmienok medzi inštitúciami</w:t>
      </w:r>
      <w:r w:rsidR="004F01E9">
        <w:rPr>
          <w:noProof/>
        </w:rPr>
        <w:t xml:space="preserve"> v </w:t>
      </w:r>
      <w:r w:rsidRPr="004F01E9">
        <w:rPr>
          <w:noProof/>
        </w:rPr>
        <w:t>celej Únii. Finančná kríza však zvýraznila významné nedostatky prístupov IRB.</w:t>
      </w:r>
      <w:r w:rsidR="004F01E9">
        <w:rPr>
          <w:noProof/>
        </w:rPr>
        <w:t xml:space="preserve"> V </w:t>
      </w:r>
      <w:r w:rsidRPr="004F01E9">
        <w:rPr>
          <w:noProof/>
        </w:rPr>
        <w:t>celom rade štúdií vykonaných na medzinárodnej úrovni aj na úrovni EÚ sa zistili neprijateľne veľké rozdiely</w:t>
      </w:r>
      <w:r w:rsidR="004F01E9">
        <w:rPr>
          <w:noProof/>
        </w:rPr>
        <w:t xml:space="preserve"> v </w:t>
      </w:r>
      <w:r w:rsidRPr="004F01E9">
        <w:rPr>
          <w:noProof/>
        </w:rPr>
        <w:t>kapitálových požiadavkách inštitúcií, ktoré nemožno vysvetliť iba rozdielmi</w:t>
      </w:r>
      <w:r w:rsidR="004F01E9">
        <w:rPr>
          <w:noProof/>
        </w:rPr>
        <w:t xml:space="preserve"> v </w:t>
      </w:r>
      <w:r w:rsidRPr="004F01E9">
        <w:rPr>
          <w:noProof/>
        </w:rPr>
        <w:t>rizikovosti portfólií inštitúcií. Toto je prekážkou porovnateľnosti kapitálových parametrov, ktorá ovplyvňuje rovnaké podmienky medzi inštitúciami. Kríza takisto odhalila prípady, keď straty</w:t>
      </w:r>
      <w:r w:rsidR="004F01E9">
        <w:rPr>
          <w:noProof/>
        </w:rPr>
        <w:t xml:space="preserve"> v </w:t>
      </w:r>
      <w:r w:rsidRPr="004F01E9">
        <w:rPr>
          <w:noProof/>
        </w:rPr>
        <w:t>portfóliách niektorých inštitúcií pre nedostatočné úrovne kapitálu</w:t>
      </w:r>
      <w:r w:rsidR="004F01E9">
        <w:rPr>
          <w:noProof/>
        </w:rPr>
        <w:t xml:space="preserve"> v </w:t>
      </w:r>
      <w:r w:rsidRPr="004F01E9">
        <w:rPr>
          <w:noProof/>
        </w:rPr>
        <w:t>držbe jednotlivých inštitúcií boli výrazne vyššie ako modelové predpovede.</w:t>
      </w:r>
    </w:p>
    <w:p w14:paraId="1D66ED25" w14:textId="6799B503" w:rsidR="00E74DDF" w:rsidRPr="004F01E9" w:rsidRDefault="00E74DDF" w:rsidP="00E74DDF">
      <w:pPr>
        <w:pBdr>
          <w:top w:val="nil"/>
          <w:left w:val="nil"/>
          <w:bottom w:val="nil"/>
          <w:right w:val="nil"/>
          <w:between w:val="nil"/>
          <w:bar w:val="nil"/>
        </w:pBdr>
        <w:rPr>
          <w:noProof/>
        </w:rPr>
      </w:pPr>
      <w:r w:rsidRPr="004F01E9">
        <w:rPr>
          <w:noProof/>
        </w:rPr>
        <w:t>Inštitúcie tak dopadli preto, že uplatniteľný rámec obsahoval nedostatočné limity, pokiaľ ide</w:t>
      </w:r>
      <w:r w:rsidR="004F01E9">
        <w:rPr>
          <w:noProof/>
        </w:rPr>
        <w:t xml:space="preserve"> o </w:t>
      </w:r>
      <w:r w:rsidRPr="004F01E9">
        <w:rPr>
          <w:noProof/>
        </w:rPr>
        <w:t>dostupnosť prístupov IRB</w:t>
      </w:r>
      <w:r w:rsidR="004F01E9">
        <w:rPr>
          <w:noProof/>
        </w:rPr>
        <w:t xml:space="preserve"> k </w:t>
      </w:r>
      <w:r w:rsidRPr="004F01E9">
        <w:rPr>
          <w:noProof/>
        </w:rPr>
        <w:t>triedam expozícií, ktoré sa ťažko modelujú,</w:t>
      </w:r>
      <w:r w:rsidR="004F01E9">
        <w:rPr>
          <w:noProof/>
        </w:rPr>
        <w:t xml:space="preserve"> a </w:t>
      </w:r>
      <w:r w:rsidRPr="004F01E9">
        <w:rPr>
          <w:noProof/>
        </w:rPr>
        <w:t>aj preto, že rámec</w:t>
      </w:r>
      <w:r w:rsidR="004F01E9">
        <w:rPr>
          <w:noProof/>
        </w:rPr>
        <w:t xml:space="preserve"> v </w:t>
      </w:r>
      <w:r w:rsidRPr="004F01E9">
        <w:rPr>
          <w:noProof/>
        </w:rPr>
        <w:t>princípe nabádal tieto inštitúcie, ktoré chceli uplatniť prístup IRB na niektoré svoje expozície, aby ich uplatnili na všetky expozície.</w:t>
      </w:r>
    </w:p>
    <w:p w14:paraId="10A4676E" w14:textId="497CE884" w:rsidR="00E74DDF" w:rsidRPr="004F01E9" w:rsidRDefault="00E74DDF" w:rsidP="00E74DDF">
      <w:pPr>
        <w:pBdr>
          <w:top w:val="nil"/>
          <w:left w:val="nil"/>
          <w:bottom w:val="nil"/>
          <w:right w:val="nil"/>
          <w:between w:val="nil"/>
          <w:bar w:val="nil"/>
        </w:pBdr>
        <w:rPr>
          <w:noProof/>
        </w:rPr>
      </w:pPr>
      <w:r w:rsidRPr="004F01E9">
        <w:rPr>
          <w:noProof/>
        </w:rPr>
        <w:t>Zmenami</w:t>
      </w:r>
      <w:r w:rsidR="004F01E9">
        <w:rPr>
          <w:noProof/>
        </w:rPr>
        <w:t xml:space="preserve"> v </w:t>
      </w:r>
      <w:r w:rsidRPr="004F01E9">
        <w:rPr>
          <w:noProof/>
        </w:rPr>
        <w:t>článku 150</w:t>
      </w:r>
      <w:r w:rsidR="004F01E9">
        <w:rPr>
          <w:noProof/>
        </w:rPr>
        <w:t xml:space="preserve"> a </w:t>
      </w:r>
      <w:r w:rsidRPr="004F01E9">
        <w:rPr>
          <w:noProof/>
        </w:rPr>
        <w:t>článku 151 ods. 8 sa obmedzujú triedy expozícií, pri ktorých možno použiť interné modely na výpočet požiadaviek na vlastné zdroje pre kreditné riziko, čím sa vykonávajú štandardy Bazilej III. Konkrétne použitie pokročilého prístupu IRB (A-IRB), ktorý umožňuje modelovanie všetkých parametrov rizika, je dovolené len pri tých triedach expozícií, pri ktorých je možné spoľahlivé modelovanie, zatiaľ čo ostatné triedy expozícií sa presunú</w:t>
      </w:r>
      <w:r w:rsidR="004F01E9">
        <w:rPr>
          <w:noProof/>
        </w:rPr>
        <w:t xml:space="preserve"> k </w:t>
      </w:r>
      <w:r w:rsidRPr="004F01E9">
        <w:rPr>
          <w:noProof/>
        </w:rPr>
        <w:t>menej sofistikovaným prístupom:</w:t>
      </w:r>
    </w:p>
    <w:p w14:paraId="0E20A947" w14:textId="00D1CD11" w:rsidR="00E74DDF" w:rsidRPr="004F01E9" w:rsidRDefault="00E74DDF" w:rsidP="00654F23">
      <w:pPr>
        <w:pStyle w:val="Bullet0"/>
        <w:numPr>
          <w:ilvl w:val="0"/>
          <w:numId w:val="1"/>
        </w:numPr>
        <w:rPr>
          <w:noProof/>
        </w:rPr>
      </w:pPr>
      <w:r w:rsidRPr="004F01E9">
        <w:rPr>
          <w:noProof/>
        </w:rPr>
        <w:t>pri expozíciách voči podnikateľským subjektom</w:t>
      </w:r>
      <w:r w:rsidR="004F01E9">
        <w:rPr>
          <w:noProof/>
        </w:rPr>
        <w:t xml:space="preserve"> s </w:t>
      </w:r>
      <w:r w:rsidRPr="004F01E9">
        <w:rPr>
          <w:noProof/>
        </w:rPr>
        <w:t>celkovým konsolidovaným ročným obratom prevyšujúcim 500 miliónov EUR alebo patriacim do skupiny, ktorej celkový ročný obrat za konsolidovanú skupinu prevyšuje 500 miliónov EUR („veľké podniky“), pri expozíciách voči inštitúciám</w:t>
      </w:r>
      <w:r w:rsidR="004F01E9">
        <w:rPr>
          <w:noProof/>
        </w:rPr>
        <w:t xml:space="preserve"> a </w:t>
      </w:r>
      <w:r w:rsidRPr="004F01E9">
        <w:rPr>
          <w:noProof/>
        </w:rPr>
        <w:t>iným subjektom finančného sektora (vrátane subjektov považovaných za podnikateľské subjekty) už uplatnenie pokročilého prístupu IRB nie je dostupné – pri týchto expozíciách môžu inštitúcie použiť základný prístup interných ratingov (F-IRB),</w:t>
      </w:r>
      <w:r w:rsidR="004F01E9">
        <w:rPr>
          <w:noProof/>
        </w:rPr>
        <w:t xml:space="preserve"> a </w:t>
      </w:r>
      <w:r w:rsidRPr="004F01E9">
        <w:rPr>
          <w:noProof/>
        </w:rPr>
        <w:t>teda modelovať iba pravdepodobnosť zlyhania;</w:t>
      </w:r>
    </w:p>
    <w:p w14:paraId="160AB2C1" w14:textId="4D5EFF72" w:rsidR="00E74DDF" w:rsidRPr="004F01E9" w:rsidRDefault="00E74DDF" w:rsidP="00654F23">
      <w:pPr>
        <w:pStyle w:val="Bullet0"/>
        <w:numPr>
          <w:ilvl w:val="0"/>
          <w:numId w:val="1"/>
        </w:numPr>
        <w:rPr>
          <w:noProof/>
        </w:rPr>
      </w:pPr>
      <w:r w:rsidRPr="004F01E9">
        <w:rPr>
          <w:noProof/>
        </w:rPr>
        <w:t>pri kapitálových expozíciách už nie je</w:t>
      </w:r>
      <w:r w:rsidR="004F01E9">
        <w:rPr>
          <w:noProof/>
        </w:rPr>
        <w:t xml:space="preserve"> k </w:t>
      </w:r>
      <w:r w:rsidRPr="004F01E9">
        <w:rPr>
          <w:noProof/>
        </w:rPr>
        <w:t>dispozícii prístup IRB – na tieto expozície musia inštitúcie použiť prístup SA-CR.</w:t>
      </w:r>
    </w:p>
    <w:p w14:paraId="3378652A" w14:textId="79CE3E0C" w:rsidR="00E74DDF" w:rsidRPr="001C4527" w:rsidRDefault="00E74DDF" w:rsidP="00E74DDF">
      <w:pPr>
        <w:pBdr>
          <w:top w:val="nil"/>
          <w:left w:val="nil"/>
          <w:bottom w:val="nil"/>
          <w:right w:val="nil"/>
          <w:between w:val="nil"/>
          <w:bar w:val="nil"/>
        </w:pBdr>
        <w:rPr>
          <w:noProof/>
          <w:spacing w:val="-6"/>
        </w:rPr>
      </w:pPr>
      <w:r w:rsidRPr="001C4527">
        <w:rPr>
          <w:noProof/>
          <w:spacing w:val="-6"/>
        </w:rPr>
        <w:t>Očakáva sa, že obmedzením uplatňovania pokročilých prístupov</w:t>
      </w:r>
      <w:r w:rsidR="004F01E9" w:rsidRPr="001C4527">
        <w:rPr>
          <w:noProof/>
          <w:spacing w:val="-6"/>
        </w:rPr>
        <w:t xml:space="preserve"> k </w:t>
      </w:r>
      <w:r w:rsidRPr="001C4527">
        <w:rPr>
          <w:noProof/>
          <w:spacing w:val="-6"/>
        </w:rPr>
        <w:t>modelovaniu sa odstráni významný zdroj</w:t>
      </w:r>
      <w:r w:rsidR="004F01E9" w:rsidRPr="001C4527">
        <w:rPr>
          <w:noProof/>
          <w:spacing w:val="-6"/>
        </w:rPr>
        <w:t xml:space="preserve"> a </w:t>
      </w:r>
      <w:r w:rsidRPr="001C4527">
        <w:rPr>
          <w:noProof/>
          <w:spacing w:val="-6"/>
        </w:rPr>
        <w:t>neprimeranej variability rizikovo vážených aktív,</w:t>
      </w:r>
      <w:r w:rsidR="004F01E9" w:rsidRPr="001C4527">
        <w:rPr>
          <w:noProof/>
          <w:spacing w:val="-6"/>
        </w:rPr>
        <w:t xml:space="preserve"> a </w:t>
      </w:r>
      <w:r w:rsidRPr="001C4527">
        <w:rPr>
          <w:noProof/>
          <w:spacing w:val="-6"/>
        </w:rPr>
        <w:t>tým sa zlepší porovnateľnosť požiadaviek na vlastné zdroje. Navyše sa</w:t>
      </w:r>
      <w:r w:rsidR="004F01E9" w:rsidRPr="001C4527">
        <w:rPr>
          <w:noProof/>
          <w:spacing w:val="-6"/>
        </w:rPr>
        <w:t xml:space="preserve"> z </w:t>
      </w:r>
      <w:r w:rsidRPr="001C4527">
        <w:rPr>
          <w:noProof/>
          <w:spacing w:val="-6"/>
        </w:rPr>
        <w:t>rámca odstráni zdroj zbytočnej zložitosti.</w:t>
      </w:r>
    </w:p>
    <w:p w14:paraId="2CCDC7F0" w14:textId="4C0BDE36" w:rsidR="00E74DDF" w:rsidRPr="001C4527" w:rsidRDefault="00E74DDF" w:rsidP="00E74DDF">
      <w:pPr>
        <w:keepNext/>
        <w:pBdr>
          <w:top w:val="nil"/>
          <w:left w:val="nil"/>
          <w:bottom w:val="nil"/>
          <w:right w:val="nil"/>
          <w:between w:val="nil"/>
          <w:bar w:val="nil"/>
        </w:pBdr>
        <w:rPr>
          <w:i/>
          <w:noProof/>
          <w:spacing w:val="-6"/>
        </w:rPr>
      </w:pPr>
      <w:r w:rsidRPr="001C4527">
        <w:rPr>
          <w:i/>
          <w:noProof/>
          <w:spacing w:val="-6"/>
        </w:rPr>
        <w:t>Nová trieda expozícií voči regionálnym vládam, miestnym orgánom</w:t>
      </w:r>
      <w:r w:rsidR="004F01E9" w:rsidRPr="001C4527">
        <w:rPr>
          <w:i/>
          <w:noProof/>
          <w:spacing w:val="-6"/>
        </w:rPr>
        <w:t xml:space="preserve"> a </w:t>
      </w:r>
      <w:r w:rsidRPr="001C4527">
        <w:rPr>
          <w:i/>
          <w:noProof/>
          <w:spacing w:val="-6"/>
        </w:rPr>
        <w:t>subjektom verejného sektora</w:t>
      </w:r>
    </w:p>
    <w:p w14:paraId="6D7C0732" w14:textId="08A1924B" w:rsidR="00E74DDF" w:rsidRPr="001C4527" w:rsidRDefault="00E74DDF" w:rsidP="00E74DDF">
      <w:pPr>
        <w:pBdr>
          <w:top w:val="nil"/>
          <w:left w:val="nil"/>
          <w:bottom w:val="nil"/>
          <w:right w:val="nil"/>
          <w:between w:val="nil"/>
          <w:bar w:val="nil"/>
        </w:pBdr>
        <w:rPr>
          <w:noProof/>
          <w:spacing w:val="-6"/>
        </w:rPr>
      </w:pPr>
      <w:r w:rsidRPr="001C4527">
        <w:rPr>
          <w:noProof/>
          <w:spacing w:val="-6"/>
        </w:rPr>
        <w:t>V súčasnosti možno</w:t>
      </w:r>
      <w:r w:rsidR="004F01E9" w:rsidRPr="001C4527">
        <w:rPr>
          <w:noProof/>
          <w:spacing w:val="-6"/>
        </w:rPr>
        <w:t xml:space="preserve"> s </w:t>
      </w:r>
      <w:r w:rsidRPr="001C4527">
        <w:rPr>
          <w:noProof/>
          <w:spacing w:val="-6"/>
        </w:rPr>
        <w:t>expozíciami voči subjektom verejného sektora</w:t>
      </w:r>
      <w:r w:rsidR="004F01E9" w:rsidRPr="001C4527">
        <w:rPr>
          <w:noProof/>
          <w:spacing w:val="-6"/>
        </w:rPr>
        <w:t xml:space="preserve"> a </w:t>
      </w:r>
      <w:r w:rsidRPr="001C4527">
        <w:rPr>
          <w:noProof/>
          <w:spacing w:val="-6"/>
        </w:rPr>
        <w:t>voči regionálnym vládam</w:t>
      </w:r>
      <w:r w:rsidR="004F01E9" w:rsidRPr="001C4527">
        <w:rPr>
          <w:noProof/>
          <w:spacing w:val="-6"/>
        </w:rPr>
        <w:t xml:space="preserve"> a </w:t>
      </w:r>
      <w:r w:rsidRPr="001C4527">
        <w:rPr>
          <w:noProof/>
          <w:spacing w:val="-6"/>
        </w:rPr>
        <w:t>miestnym orgánom zaobchádzať buď ako</w:t>
      </w:r>
      <w:r w:rsidR="004F01E9" w:rsidRPr="001C4527">
        <w:rPr>
          <w:noProof/>
          <w:spacing w:val="-6"/>
        </w:rPr>
        <w:t xml:space="preserve"> s </w:t>
      </w:r>
      <w:r w:rsidRPr="001C4527">
        <w:rPr>
          <w:noProof/>
          <w:spacing w:val="-6"/>
        </w:rPr>
        <w:t>expozíciami voči ústredným orgánom štátnej správy, alebo ako</w:t>
      </w:r>
      <w:r w:rsidR="004F01E9" w:rsidRPr="001C4527">
        <w:rPr>
          <w:noProof/>
          <w:spacing w:val="-6"/>
        </w:rPr>
        <w:t xml:space="preserve"> s </w:t>
      </w:r>
      <w:r w:rsidRPr="001C4527">
        <w:rPr>
          <w:noProof/>
          <w:spacing w:val="-6"/>
        </w:rPr>
        <w:t>expozíciami voči inštitúciám. Expozície,</w:t>
      </w:r>
      <w:r w:rsidR="004F01E9" w:rsidRPr="001C4527">
        <w:rPr>
          <w:noProof/>
          <w:spacing w:val="-6"/>
        </w:rPr>
        <w:t xml:space="preserve"> s </w:t>
      </w:r>
      <w:r w:rsidRPr="001C4527">
        <w:rPr>
          <w:noProof/>
          <w:spacing w:val="-6"/>
        </w:rPr>
        <w:t>ktorými sa zaobchádza ako</w:t>
      </w:r>
      <w:r w:rsidR="004F01E9" w:rsidRPr="001C4527">
        <w:rPr>
          <w:noProof/>
          <w:spacing w:val="-6"/>
        </w:rPr>
        <w:t xml:space="preserve"> s </w:t>
      </w:r>
      <w:r w:rsidRPr="001C4527">
        <w:rPr>
          <w:noProof/>
          <w:spacing w:val="-6"/>
        </w:rPr>
        <w:t>expozíciami voči inštitúciám, sa budú musieť presunúť</w:t>
      </w:r>
      <w:r w:rsidR="004F01E9" w:rsidRPr="001C4527">
        <w:rPr>
          <w:noProof/>
          <w:spacing w:val="-6"/>
        </w:rPr>
        <w:t xml:space="preserve"> k </w:t>
      </w:r>
      <w:r w:rsidRPr="001C4527">
        <w:rPr>
          <w:noProof/>
          <w:spacing w:val="-6"/>
        </w:rPr>
        <w:t>základnému prístupu F-IRB podľa revidovaných štandardov Bazilej III,</w:t>
      </w:r>
      <w:r w:rsidR="004F01E9" w:rsidRPr="001C4527">
        <w:rPr>
          <w:noProof/>
          <w:spacing w:val="-6"/>
        </w:rPr>
        <w:t xml:space="preserve"> a </w:t>
      </w:r>
      <w:r w:rsidRPr="001C4527">
        <w:rPr>
          <w:noProof/>
          <w:spacing w:val="-6"/>
        </w:rPr>
        <w:t>teda</w:t>
      </w:r>
      <w:r w:rsidR="004F01E9" w:rsidRPr="001C4527">
        <w:rPr>
          <w:noProof/>
          <w:spacing w:val="-6"/>
        </w:rPr>
        <w:t xml:space="preserve"> k </w:t>
      </w:r>
      <w:r w:rsidRPr="001C4527">
        <w:rPr>
          <w:noProof/>
          <w:spacing w:val="-6"/>
        </w:rPr>
        <w:t>modelovaniu obmedzení, zatiaľ čo expozície,</w:t>
      </w:r>
      <w:r w:rsidR="004F01E9" w:rsidRPr="001C4527">
        <w:rPr>
          <w:noProof/>
          <w:spacing w:val="-6"/>
        </w:rPr>
        <w:t xml:space="preserve"> s </w:t>
      </w:r>
      <w:r w:rsidRPr="001C4527">
        <w:rPr>
          <w:noProof/>
          <w:spacing w:val="-6"/>
        </w:rPr>
        <w:t>ktorými sa zaobchádza ako</w:t>
      </w:r>
      <w:r w:rsidR="004F01E9" w:rsidRPr="001C4527">
        <w:rPr>
          <w:noProof/>
          <w:spacing w:val="-6"/>
        </w:rPr>
        <w:t xml:space="preserve"> s </w:t>
      </w:r>
      <w:r w:rsidRPr="001C4527">
        <w:rPr>
          <w:noProof/>
          <w:spacing w:val="-6"/>
        </w:rPr>
        <w:t>expozíciami voči ústredným orgánom štátnej správy, sa presunúť nemusia. Na zníženie zbytočnej zložitosti rámca, zabezpečenie konzistentného zaobchádzania</w:t>
      </w:r>
      <w:r w:rsidR="004F01E9" w:rsidRPr="001C4527">
        <w:rPr>
          <w:noProof/>
          <w:spacing w:val="-6"/>
        </w:rPr>
        <w:t xml:space="preserve"> s </w:t>
      </w:r>
      <w:r w:rsidRPr="001C4527">
        <w:rPr>
          <w:noProof/>
          <w:spacing w:val="-6"/>
        </w:rPr>
        <w:t>expozíciami voči subjektom verejného sektora, regionálnym vládam</w:t>
      </w:r>
      <w:r w:rsidR="004F01E9" w:rsidRPr="001C4527">
        <w:rPr>
          <w:noProof/>
          <w:spacing w:val="-6"/>
        </w:rPr>
        <w:t xml:space="preserve"> a </w:t>
      </w:r>
      <w:r w:rsidRPr="001C4527">
        <w:rPr>
          <w:noProof/>
          <w:spacing w:val="-6"/>
        </w:rPr>
        <w:t>miestnym orgánom</w:t>
      </w:r>
      <w:r w:rsidR="004F01E9" w:rsidRPr="001C4527">
        <w:rPr>
          <w:noProof/>
          <w:spacing w:val="-6"/>
        </w:rPr>
        <w:t xml:space="preserve"> a </w:t>
      </w:r>
      <w:r w:rsidRPr="001C4527">
        <w:rPr>
          <w:noProof/>
          <w:spacing w:val="-6"/>
        </w:rPr>
        <w:t>na zabránenie neplánovanej variabilite súvisiacich požiadaviek na vlastné zdroje sa</w:t>
      </w:r>
      <w:r w:rsidR="004F01E9" w:rsidRPr="001C4527">
        <w:rPr>
          <w:noProof/>
          <w:spacing w:val="-6"/>
        </w:rPr>
        <w:t xml:space="preserve"> v </w:t>
      </w:r>
      <w:r w:rsidRPr="001C4527">
        <w:rPr>
          <w:noProof/>
          <w:spacing w:val="-6"/>
        </w:rPr>
        <w:t>článku 147 ods. 2 navrhuje vytvoriť novú triedu expozícií voči subjektom verejného sektora, regionálnym vládam</w:t>
      </w:r>
      <w:r w:rsidR="004F01E9" w:rsidRPr="001C4527">
        <w:rPr>
          <w:noProof/>
          <w:spacing w:val="-6"/>
        </w:rPr>
        <w:t xml:space="preserve"> a </w:t>
      </w:r>
      <w:r w:rsidRPr="001C4527">
        <w:rPr>
          <w:noProof/>
          <w:spacing w:val="-6"/>
        </w:rPr>
        <w:t>miestnym orgánom, do ktorej sa zaradia všetky expozície voči týmto subjektom (bez ohľadu na to, či sa</w:t>
      </w:r>
      <w:r w:rsidR="004F01E9" w:rsidRPr="001C4527">
        <w:rPr>
          <w:noProof/>
          <w:spacing w:val="-6"/>
        </w:rPr>
        <w:t xml:space="preserve"> s </w:t>
      </w:r>
      <w:r w:rsidRPr="001C4527">
        <w:rPr>
          <w:noProof/>
          <w:spacing w:val="-6"/>
        </w:rPr>
        <w:t>nimi</w:t>
      </w:r>
      <w:r w:rsidR="004F01E9" w:rsidRPr="001C4527">
        <w:rPr>
          <w:noProof/>
          <w:spacing w:val="-6"/>
        </w:rPr>
        <w:t xml:space="preserve"> v </w:t>
      </w:r>
      <w:r w:rsidRPr="001C4527">
        <w:rPr>
          <w:noProof/>
          <w:spacing w:val="-6"/>
        </w:rPr>
        <w:t>súčasnosti zaobchádza ako</w:t>
      </w:r>
      <w:r w:rsidR="004F01E9" w:rsidRPr="001C4527">
        <w:rPr>
          <w:noProof/>
          <w:spacing w:val="-6"/>
        </w:rPr>
        <w:t xml:space="preserve"> s </w:t>
      </w:r>
      <w:r w:rsidRPr="001C4527">
        <w:rPr>
          <w:noProof/>
          <w:spacing w:val="-6"/>
        </w:rPr>
        <w:t>vystavením voči štátnym dlhopisom alebo inštitúciám)</w:t>
      </w:r>
      <w:r w:rsidR="004F01E9" w:rsidRPr="001C4527">
        <w:rPr>
          <w:noProof/>
          <w:spacing w:val="-6"/>
        </w:rPr>
        <w:t xml:space="preserve"> a </w:t>
      </w:r>
      <w:r w:rsidRPr="001C4527">
        <w:rPr>
          <w:noProof/>
          <w:spacing w:val="-6"/>
        </w:rPr>
        <w:t>uplatňovať na túto novú triedu expozícií tie isté pravidlá, ktoré sa uplatňujú na všeobecnú triedu expozícií voči podnikateľským subjektom, ako sa uvádza</w:t>
      </w:r>
      <w:r w:rsidR="004F01E9" w:rsidRPr="001C4527">
        <w:rPr>
          <w:noProof/>
          <w:spacing w:val="-6"/>
        </w:rPr>
        <w:t xml:space="preserve"> v </w:t>
      </w:r>
      <w:r w:rsidRPr="001C4527">
        <w:rPr>
          <w:noProof/>
          <w:spacing w:val="-6"/>
        </w:rPr>
        <w:t>novom článku 151 ods. 11. Spodné hranice pre vstupné hodnoty uplatniteľné na expozície voči podnikateľským subjektom sa budú uplatňovať rovnakým spôsobom najmä na expozície zaradené do triedy expozícií voči subjektom verejného sektora, regionálnym vládam</w:t>
      </w:r>
      <w:r w:rsidR="004F01E9" w:rsidRPr="001C4527">
        <w:rPr>
          <w:noProof/>
          <w:spacing w:val="-6"/>
        </w:rPr>
        <w:t xml:space="preserve"> a </w:t>
      </w:r>
      <w:r w:rsidRPr="001C4527">
        <w:rPr>
          <w:noProof/>
          <w:spacing w:val="-6"/>
        </w:rPr>
        <w:t>miestnym orgánom podľa štandardov Bazilej III.</w:t>
      </w:r>
    </w:p>
    <w:p w14:paraId="4A2CEE2B" w14:textId="24DB5DEF" w:rsidR="00E74DDF" w:rsidRPr="004F01E9" w:rsidRDefault="00E74DDF" w:rsidP="00E74DDF">
      <w:pPr>
        <w:pBdr>
          <w:top w:val="nil"/>
          <w:left w:val="nil"/>
          <w:bottom w:val="nil"/>
          <w:right w:val="nil"/>
          <w:between w:val="nil"/>
          <w:bar w:val="nil"/>
        </w:pBdr>
        <w:rPr>
          <w:i/>
          <w:noProof/>
        </w:rPr>
      </w:pPr>
      <w:r w:rsidRPr="004F01E9">
        <w:rPr>
          <w:i/>
          <w:noProof/>
        </w:rPr>
        <w:t>Spodné hranice pre vstupné hodnoty</w:t>
      </w:r>
      <w:r w:rsidR="004F01E9">
        <w:rPr>
          <w:i/>
          <w:noProof/>
        </w:rPr>
        <w:t xml:space="preserve"> v </w:t>
      </w:r>
      <w:r w:rsidRPr="004F01E9">
        <w:rPr>
          <w:i/>
          <w:noProof/>
        </w:rPr>
        <w:t>rámci prístupu A-IRB</w:t>
      </w:r>
    </w:p>
    <w:p w14:paraId="62165E13" w14:textId="6770D91F" w:rsidR="00806B81" w:rsidRPr="004F01E9" w:rsidRDefault="00E74DDF" w:rsidP="00E74DDF">
      <w:pPr>
        <w:pBdr>
          <w:top w:val="nil"/>
          <w:left w:val="nil"/>
          <w:bottom w:val="nil"/>
          <w:right w:val="nil"/>
          <w:between w:val="nil"/>
          <w:bar w:val="nil"/>
        </w:pBdr>
        <w:rPr>
          <w:noProof/>
        </w:rPr>
      </w:pPr>
      <w:r w:rsidRPr="004F01E9">
        <w:rPr>
          <w:noProof/>
        </w:rPr>
        <w:t>Ustanovenia článku 160 ods. 1, článku 161 ods. 4, článku 164 ods. 4</w:t>
      </w:r>
      <w:r w:rsidR="004F01E9">
        <w:rPr>
          <w:noProof/>
        </w:rPr>
        <w:t xml:space="preserve"> a </w:t>
      </w:r>
      <w:r w:rsidRPr="004F01E9">
        <w:rPr>
          <w:noProof/>
        </w:rPr>
        <w:t>článku 166 ods. 8c sa menia</w:t>
      </w:r>
      <w:r w:rsidR="004F01E9">
        <w:rPr>
          <w:noProof/>
        </w:rPr>
        <w:t xml:space="preserve"> s </w:t>
      </w:r>
      <w:r w:rsidRPr="004F01E9">
        <w:rPr>
          <w:noProof/>
        </w:rPr>
        <w:t>cieľom zaviesť minimálne hodnoty vlastných odhadov parametrov IRB, ktoré inštitúcie použijú ako vstupy na výpočet rizikovo vážených aktív („spodné hranice pre vstupné hodnoty“). Tieto spodné hranice pre vstupné hodnoty fungujú ako záruky na zabezpečenie, aby požiadavky na vlastné zdroje neklesli pod dostatočne obozretné úrovne, aby zmierňovali riziko modelu, chybu merania, obmedzenia údajov</w:t>
      </w:r>
      <w:r w:rsidR="004F01E9">
        <w:rPr>
          <w:noProof/>
        </w:rPr>
        <w:t xml:space="preserve"> a </w:t>
      </w:r>
      <w:r w:rsidRPr="004F01E9">
        <w:rPr>
          <w:noProof/>
        </w:rPr>
        <w:t>zlepšovali porovnateľnosť kapitálových ukazovateľov vo všetkých inštitúciách.</w:t>
      </w:r>
    </w:p>
    <w:p w14:paraId="4865275E" w14:textId="5072A30F" w:rsidR="00E74DDF" w:rsidRPr="004F01E9" w:rsidRDefault="00E74DDF" w:rsidP="00E74DDF">
      <w:pPr>
        <w:pBdr>
          <w:top w:val="nil"/>
          <w:left w:val="nil"/>
          <w:bottom w:val="nil"/>
          <w:right w:val="nil"/>
          <w:between w:val="nil"/>
          <w:bar w:val="nil"/>
        </w:pBdr>
        <w:rPr>
          <w:noProof/>
        </w:rPr>
      </w:pPr>
      <w:r w:rsidRPr="004F01E9">
        <w:rPr>
          <w:noProof/>
        </w:rPr>
        <w:t>Pokiaľ ide</w:t>
      </w:r>
      <w:r w:rsidR="004F01E9">
        <w:rPr>
          <w:noProof/>
        </w:rPr>
        <w:t xml:space="preserve"> o </w:t>
      </w:r>
      <w:r w:rsidRPr="004F01E9">
        <w:rPr>
          <w:noProof/>
        </w:rPr>
        <w:t>parameter rizika pravdepodobnosti zlyhania, existujúce spodné hranice pre vstupné hodnoty sú mierne zvýšené (od 0,03</w:t>
      </w:r>
      <w:r w:rsidR="004F01E9">
        <w:rPr>
          <w:noProof/>
        </w:rPr>
        <w:t> % v </w:t>
      </w:r>
      <w:r w:rsidRPr="004F01E9">
        <w:rPr>
          <w:noProof/>
        </w:rPr>
        <w:t>rámci Bazilej II do 0,05</w:t>
      </w:r>
      <w:r w:rsidR="004F01E9">
        <w:rPr>
          <w:noProof/>
        </w:rPr>
        <w:t> %</w:t>
      </w:r>
      <w:r w:rsidRPr="004F01E9">
        <w:rPr>
          <w:noProof/>
        </w:rPr>
        <w:t xml:space="preserve"> podľa Bazilej III). Na druhej strane pri parametroch rizika straty</w:t>
      </w:r>
      <w:r w:rsidR="004F01E9">
        <w:rPr>
          <w:noProof/>
        </w:rPr>
        <w:t xml:space="preserve"> v </w:t>
      </w:r>
      <w:r w:rsidRPr="004F01E9">
        <w:rPr>
          <w:noProof/>
        </w:rPr>
        <w:t>prípade zlyhania (LGD)</w:t>
      </w:r>
      <w:r w:rsidR="004F01E9">
        <w:rPr>
          <w:noProof/>
        </w:rPr>
        <w:t xml:space="preserve"> a </w:t>
      </w:r>
      <w:r w:rsidRPr="004F01E9">
        <w:rPr>
          <w:noProof/>
        </w:rPr>
        <w:t>konverzného faktora úverov spodné hranice pre vstupné hodnoty predstavujú nové, obozretne kalibrované požiadavky. Spodná hranica pre vstupné hodnoty LGD</w:t>
      </w:r>
      <w:r w:rsidR="004F01E9">
        <w:rPr>
          <w:noProof/>
        </w:rPr>
        <w:t xml:space="preserve"> v </w:t>
      </w:r>
      <w:r w:rsidRPr="004F01E9">
        <w:rPr>
          <w:noProof/>
        </w:rPr>
        <w:t>prípade nezabezpečených expozícií voči podnikateľským subjektom je 25</w:t>
      </w:r>
      <w:r w:rsidR="004F01E9">
        <w:rPr>
          <w:noProof/>
        </w:rPr>
        <w:t> % a v </w:t>
      </w:r>
      <w:r w:rsidRPr="004F01E9">
        <w:rPr>
          <w:noProof/>
        </w:rPr>
        <w:t>prípade nezabezpečených všeobecných retailových expozícií 30</w:t>
      </w:r>
      <w:r w:rsidR="004F01E9">
        <w:rPr>
          <w:noProof/>
        </w:rPr>
        <w:t> %</w:t>
      </w:r>
      <w:r w:rsidRPr="004F01E9">
        <w:rPr>
          <w:noProof/>
        </w:rPr>
        <w:t>. Vzorec obsahujúci konzervatívne haircuty podľa druhu kolaterálu je uvedený pre zabezpečené expozície, kým spodná hranica pre vstupné hodnoty IRB konverzného faktora úverov je stanovená podľa 50</w:t>
      </w:r>
      <w:r w:rsidR="004F01E9">
        <w:rPr>
          <w:noProof/>
        </w:rPr>
        <w:t> %</w:t>
      </w:r>
      <w:r w:rsidRPr="004F01E9">
        <w:rPr>
          <w:noProof/>
        </w:rPr>
        <w:t xml:space="preserve"> uplatniteľného štandardizovaného prístupu pre konverzný faktor úverov.</w:t>
      </w:r>
    </w:p>
    <w:p w14:paraId="6BA420D4" w14:textId="0FD59102" w:rsidR="00E74DDF" w:rsidRPr="004F01E9" w:rsidRDefault="00E74DDF" w:rsidP="00E74DDF">
      <w:pPr>
        <w:pBdr>
          <w:top w:val="nil"/>
          <w:left w:val="nil"/>
          <w:bottom w:val="nil"/>
          <w:right w:val="nil"/>
          <w:between w:val="nil"/>
          <w:bar w:val="nil"/>
        </w:pBdr>
        <w:rPr>
          <w:i/>
          <w:noProof/>
        </w:rPr>
      </w:pPr>
      <w:r w:rsidRPr="004F01E9">
        <w:rPr>
          <w:i/>
          <w:noProof/>
        </w:rPr>
        <w:t>Zaobchádzanie</w:t>
      </w:r>
      <w:r w:rsidR="004F01E9">
        <w:rPr>
          <w:i/>
          <w:noProof/>
        </w:rPr>
        <w:t xml:space="preserve"> s </w:t>
      </w:r>
      <w:r w:rsidRPr="004F01E9">
        <w:rPr>
          <w:i/>
          <w:noProof/>
        </w:rPr>
        <w:t>expozíciami voči štátnym dlhopisom</w:t>
      </w:r>
    </w:p>
    <w:p w14:paraId="0B87753C" w14:textId="6D82D3D1" w:rsidR="00806B81" w:rsidRPr="004F01E9" w:rsidRDefault="00E74DDF" w:rsidP="00E74DDF">
      <w:pPr>
        <w:pBdr>
          <w:top w:val="nil"/>
          <w:left w:val="nil"/>
          <w:bottom w:val="nil"/>
          <w:right w:val="nil"/>
          <w:between w:val="nil"/>
          <w:bar w:val="nil"/>
        </w:pBdr>
        <w:rPr>
          <w:noProof/>
        </w:rPr>
      </w:pPr>
      <w:r w:rsidRPr="004F01E9">
        <w:rPr>
          <w:noProof/>
        </w:rPr>
        <w:t>Nový článok 159a bol doplnený</w:t>
      </w:r>
      <w:r w:rsidR="004F01E9">
        <w:rPr>
          <w:noProof/>
        </w:rPr>
        <w:t xml:space="preserve"> s </w:t>
      </w:r>
      <w:r w:rsidRPr="004F01E9">
        <w:rPr>
          <w:noProof/>
        </w:rPr>
        <w:t>cieľom stanoviť</w:t>
      </w:r>
      <w:r w:rsidR="004F01E9">
        <w:rPr>
          <w:noProof/>
        </w:rPr>
        <w:t xml:space="preserve"> v </w:t>
      </w:r>
      <w:r w:rsidRPr="004F01E9">
        <w:rPr>
          <w:noProof/>
        </w:rPr>
        <w:t>súlade so štandardmi Bazilej III, že nové spodné hranice pre vstupné hodnoty (opísané</w:t>
      </w:r>
      <w:r w:rsidR="004F01E9">
        <w:rPr>
          <w:noProof/>
        </w:rPr>
        <w:t xml:space="preserve"> v </w:t>
      </w:r>
      <w:r w:rsidRPr="004F01E9">
        <w:rPr>
          <w:noProof/>
        </w:rPr>
        <w:t>predchádzajúcom oddiele) uplatniteľné na odhady pravdepodobnosti zlyhania, straty</w:t>
      </w:r>
      <w:r w:rsidR="004F01E9">
        <w:rPr>
          <w:noProof/>
        </w:rPr>
        <w:t xml:space="preserve"> v </w:t>
      </w:r>
      <w:r w:rsidRPr="004F01E9">
        <w:rPr>
          <w:noProof/>
        </w:rPr>
        <w:t>prípade zlyhania</w:t>
      </w:r>
      <w:r w:rsidR="004F01E9">
        <w:rPr>
          <w:noProof/>
        </w:rPr>
        <w:t xml:space="preserve"> a </w:t>
      </w:r>
      <w:r w:rsidRPr="004F01E9">
        <w:rPr>
          <w:noProof/>
        </w:rPr>
        <w:t>konverzného faktora úverov inštitúcie sa nevzťahujú na expozície voči štátnym dlhopisom.</w:t>
      </w:r>
    </w:p>
    <w:p w14:paraId="2ED1C9FE" w14:textId="5EB97341" w:rsidR="00E74DDF" w:rsidRPr="004F01E9" w:rsidRDefault="00E74DDF" w:rsidP="00E74DDF">
      <w:pPr>
        <w:pBdr>
          <w:top w:val="nil"/>
          <w:left w:val="nil"/>
          <w:bottom w:val="nil"/>
          <w:right w:val="nil"/>
          <w:between w:val="nil"/>
          <w:bar w:val="nil"/>
        </w:pBdr>
        <w:rPr>
          <w:b/>
          <w:noProof/>
        </w:rPr>
      </w:pPr>
      <w:r w:rsidRPr="004F01E9">
        <w:rPr>
          <w:i/>
          <w:noProof/>
        </w:rPr>
        <w:t>Vypustenie „koeficientu 1,06“ zo vzorca rizikovej váhy</w:t>
      </w:r>
    </w:p>
    <w:p w14:paraId="413EDA5C" w14:textId="19381AD0" w:rsidR="00E74DDF" w:rsidRPr="004F01E9" w:rsidRDefault="00E74DDF" w:rsidP="00E74DDF">
      <w:pPr>
        <w:pBdr>
          <w:top w:val="nil"/>
          <w:left w:val="nil"/>
          <w:bottom w:val="nil"/>
          <w:right w:val="nil"/>
          <w:between w:val="nil"/>
          <w:bar w:val="nil"/>
        </w:pBdr>
        <w:rPr>
          <w:noProof/>
        </w:rPr>
      </w:pPr>
      <w:r w:rsidRPr="004F01E9">
        <w:rPr>
          <w:noProof/>
        </w:rPr>
        <w:t>V súlade so štandardmi Bazilej III sa</w:t>
      </w:r>
      <w:r w:rsidR="004F01E9">
        <w:rPr>
          <w:noProof/>
        </w:rPr>
        <w:t xml:space="preserve"> z </w:t>
      </w:r>
      <w:r w:rsidRPr="004F01E9">
        <w:rPr>
          <w:noProof/>
        </w:rPr>
        <w:t>článku 153 ods. 1</w:t>
      </w:r>
      <w:r w:rsidR="004F01E9">
        <w:rPr>
          <w:noProof/>
        </w:rPr>
        <w:t xml:space="preserve"> a </w:t>
      </w:r>
      <w:r w:rsidRPr="004F01E9">
        <w:rPr>
          <w:noProof/>
        </w:rPr>
        <w:t>článku 154 ods. 1 vypúšťa „koeficient veľkosti 1,06“, ktorý sa uplatňuje na hodnoty rizikovo váženej expozície kreditného rizika</w:t>
      </w:r>
      <w:r w:rsidR="004F01E9">
        <w:rPr>
          <w:noProof/>
        </w:rPr>
        <w:t xml:space="preserve"> v </w:t>
      </w:r>
      <w:r w:rsidRPr="004F01E9">
        <w:rPr>
          <w:noProof/>
        </w:rPr>
        <w:t>rámci prístupov IRB, čím sa zjednodušuje výpočet</w:t>
      </w:r>
      <w:r w:rsidR="004F01E9">
        <w:rPr>
          <w:noProof/>
        </w:rPr>
        <w:t xml:space="preserve"> a </w:t>
      </w:r>
      <w:r w:rsidRPr="004F01E9">
        <w:rPr>
          <w:noProof/>
        </w:rPr>
        <w:t>zrušuje 6</w:t>
      </w:r>
      <w:r w:rsidR="004F01E9">
        <w:rPr>
          <w:noProof/>
        </w:rPr>
        <w:t> %</w:t>
      </w:r>
      <w:r w:rsidRPr="004F01E9">
        <w:rPr>
          <w:noProof/>
        </w:rPr>
        <w:t xml:space="preserve"> kalibračné zvýšenie</w:t>
      </w:r>
      <w:r w:rsidR="004F01E9">
        <w:rPr>
          <w:noProof/>
        </w:rPr>
        <w:t xml:space="preserve"> v </w:t>
      </w:r>
      <w:r w:rsidRPr="004F01E9">
        <w:rPr>
          <w:noProof/>
        </w:rPr>
        <w:t>rizikových váhach IRB, ktoré sa uplatňujú podľa súčasného rámca.</w:t>
      </w:r>
    </w:p>
    <w:p w14:paraId="4858D793" w14:textId="77777777" w:rsidR="00806B81" w:rsidRPr="004F01E9" w:rsidRDefault="00E74DDF" w:rsidP="00E74DDF">
      <w:pPr>
        <w:pBdr>
          <w:top w:val="nil"/>
          <w:left w:val="nil"/>
          <w:bottom w:val="nil"/>
          <w:right w:val="nil"/>
          <w:between w:val="nil"/>
          <w:bar w:val="nil"/>
        </w:pBdr>
        <w:rPr>
          <w:i/>
          <w:noProof/>
        </w:rPr>
      </w:pPr>
      <w:r w:rsidRPr="004F01E9">
        <w:rPr>
          <w:i/>
          <w:noProof/>
        </w:rPr>
        <w:t>Odstránenie prístupu „dvojnásobného zlyhania“</w:t>
      </w:r>
    </w:p>
    <w:p w14:paraId="2C391FEE" w14:textId="7ADC62EC" w:rsidR="00E74DDF" w:rsidRPr="004F01E9" w:rsidRDefault="00E74DDF" w:rsidP="00E74DDF">
      <w:pPr>
        <w:pBdr>
          <w:top w:val="nil"/>
          <w:left w:val="nil"/>
          <w:bottom w:val="nil"/>
          <w:right w:val="nil"/>
          <w:between w:val="nil"/>
          <w:bar w:val="nil"/>
        </w:pBdr>
        <w:rPr>
          <w:noProof/>
        </w:rPr>
      </w:pPr>
      <w:r w:rsidRPr="004F01E9">
        <w:rPr>
          <w:noProof/>
        </w:rPr>
        <w:t>Menia sa ustanovenia článku 153 ods. 3, článku 154 ods. 2</w:t>
      </w:r>
      <w:r w:rsidR="004F01E9">
        <w:rPr>
          <w:noProof/>
        </w:rPr>
        <w:t xml:space="preserve"> a </w:t>
      </w:r>
      <w:r w:rsidRPr="004F01E9">
        <w:rPr>
          <w:noProof/>
        </w:rPr>
        <w:t>článkov 202</w:t>
      </w:r>
      <w:r w:rsidR="004F01E9">
        <w:rPr>
          <w:noProof/>
        </w:rPr>
        <w:t xml:space="preserve"> a </w:t>
      </w:r>
      <w:r w:rsidRPr="004F01E9">
        <w:rPr>
          <w:noProof/>
        </w:rPr>
        <w:t>217, pričom sa odstraňuje metóda dvojnásobného zlyhania uplatniteľná na niektoré zaručené expozície, pričom sa ponecháva iba jeden všeobecný vzorec na výpočet rizikových váh</w:t>
      </w:r>
      <w:r w:rsidR="004F01E9">
        <w:rPr>
          <w:noProof/>
        </w:rPr>
        <w:t xml:space="preserve"> a </w:t>
      </w:r>
      <w:r w:rsidRPr="004F01E9">
        <w:rPr>
          <w:noProof/>
        </w:rPr>
        <w:t>zjednodušuje sa rámec stanovený štandardmi Bazilej III. Revidovaným výpočtom sa</w:t>
      </w:r>
      <w:r w:rsidR="004F01E9">
        <w:rPr>
          <w:noProof/>
        </w:rPr>
        <w:t xml:space="preserve"> s </w:t>
      </w:r>
      <w:r w:rsidRPr="004F01E9">
        <w:rPr>
          <w:noProof/>
        </w:rPr>
        <w:t>menším počtom vložených opcií zabezpečuje väčšia porovnateľnosť rizikovo vážených aktív medzi inštitúciami</w:t>
      </w:r>
      <w:r w:rsidR="004F01E9">
        <w:rPr>
          <w:noProof/>
        </w:rPr>
        <w:t xml:space="preserve"> a </w:t>
      </w:r>
      <w:r w:rsidRPr="004F01E9">
        <w:rPr>
          <w:noProof/>
        </w:rPr>
        <w:t>zníženie neprimeranej variability.</w:t>
      </w:r>
    </w:p>
    <w:p w14:paraId="268AC701" w14:textId="732D0158" w:rsidR="00E74DDF" w:rsidRPr="004F01E9" w:rsidRDefault="00E74DDF" w:rsidP="00E74DDF">
      <w:pPr>
        <w:keepNext/>
        <w:pBdr>
          <w:top w:val="nil"/>
          <w:left w:val="nil"/>
          <w:bottom w:val="nil"/>
          <w:right w:val="nil"/>
          <w:between w:val="nil"/>
          <w:bar w:val="nil"/>
        </w:pBdr>
        <w:rPr>
          <w:b/>
          <w:noProof/>
        </w:rPr>
      </w:pPr>
      <w:r w:rsidRPr="004F01E9">
        <w:rPr>
          <w:i/>
          <w:noProof/>
        </w:rPr>
        <w:t>Zavádzanie prístupov IRB</w:t>
      </w:r>
      <w:r w:rsidR="004F01E9">
        <w:rPr>
          <w:i/>
          <w:noProof/>
        </w:rPr>
        <w:t xml:space="preserve"> a </w:t>
      </w:r>
      <w:r w:rsidRPr="004F01E9">
        <w:rPr>
          <w:i/>
          <w:noProof/>
        </w:rPr>
        <w:t>stáleho čiastočného používania</w:t>
      </w:r>
    </w:p>
    <w:p w14:paraId="3501272A" w14:textId="709589C8" w:rsidR="00E74DDF" w:rsidRPr="001C4527" w:rsidRDefault="00E74DDF" w:rsidP="00E74DDF">
      <w:pPr>
        <w:pBdr>
          <w:top w:val="nil"/>
          <w:left w:val="nil"/>
          <w:bottom w:val="nil"/>
          <w:right w:val="nil"/>
          <w:between w:val="nil"/>
          <w:bar w:val="nil"/>
        </w:pBdr>
        <w:rPr>
          <w:noProof/>
          <w:spacing w:val="-8"/>
        </w:rPr>
      </w:pPr>
      <w:r w:rsidRPr="001C4527">
        <w:rPr>
          <w:noProof/>
          <w:spacing w:val="-8"/>
        </w:rPr>
        <w:t>Podľa konečného znenia štandardov Bazilej III prijatie prístupov IRB inštitúciou pre jednu triedu expozícií už nie je podmienené skutočnosťou, že všetky triedy expozícií jej bankovej knihy by sa napokon mali riešiť podľa prístupu IRB (zavedenie IRB), okrem expozícií, pri ktorých sa</w:t>
      </w:r>
      <w:r w:rsidR="004F01E9" w:rsidRPr="001C4527">
        <w:rPr>
          <w:noProof/>
          <w:spacing w:val="-8"/>
        </w:rPr>
        <w:t xml:space="preserve"> v </w:t>
      </w:r>
      <w:r w:rsidRPr="001C4527">
        <w:rPr>
          <w:noProof/>
          <w:spacing w:val="-8"/>
        </w:rPr>
        <w:t>pravidlách povoľuje stále čiastočné používanie prístupu SA-CR</w:t>
      </w:r>
      <w:r w:rsidR="004F01E9" w:rsidRPr="001C4527">
        <w:rPr>
          <w:noProof/>
          <w:spacing w:val="-8"/>
        </w:rPr>
        <w:t xml:space="preserve"> a </w:t>
      </w:r>
      <w:r w:rsidRPr="001C4527">
        <w:rPr>
          <w:noProof/>
          <w:spacing w:val="-8"/>
        </w:rPr>
        <w:t>schválil ho príslušný orgán. Táto zásada zavedená</w:t>
      </w:r>
      <w:r w:rsidR="004F01E9" w:rsidRPr="001C4527">
        <w:rPr>
          <w:noProof/>
          <w:spacing w:val="-8"/>
        </w:rPr>
        <w:t xml:space="preserve"> v </w:t>
      </w:r>
      <w:r w:rsidRPr="001C4527">
        <w:rPr>
          <w:noProof/>
          <w:spacing w:val="-8"/>
        </w:rPr>
        <w:t>článkoch 148</w:t>
      </w:r>
      <w:r w:rsidR="004F01E9" w:rsidRPr="001C4527">
        <w:rPr>
          <w:noProof/>
          <w:spacing w:val="-8"/>
        </w:rPr>
        <w:t xml:space="preserve"> a </w:t>
      </w:r>
      <w:r w:rsidRPr="001C4527">
        <w:rPr>
          <w:noProof/>
          <w:spacing w:val="-8"/>
        </w:rPr>
        <w:t>150 umožňuje inštitúciám selektívne uplatňovanie prístupov IRB.</w:t>
      </w:r>
    </w:p>
    <w:p w14:paraId="084839C6" w14:textId="17778280" w:rsidR="00E74DDF" w:rsidRPr="001C4527" w:rsidRDefault="00E74DDF" w:rsidP="00E74DDF">
      <w:pPr>
        <w:pBdr>
          <w:top w:val="nil"/>
          <w:left w:val="nil"/>
          <w:bottom w:val="nil"/>
          <w:right w:val="nil"/>
          <w:between w:val="nil"/>
          <w:bar w:val="nil"/>
        </w:pBdr>
        <w:rPr>
          <w:noProof/>
          <w:spacing w:val="-8"/>
        </w:rPr>
      </w:pPr>
      <w:r w:rsidRPr="001C4527">
        <w:rPr>
          <w:noProof/>
          <w:spacing w:val="-8"/>
        </w:rPr>
        <w:t>Na zabezpečenie rovnakých podmienok pre inštitúcie, ktoré</w:t>
      </w:r>
      <w:r w:rsidR="004F01E9" w:rsidRPr="001C4527">
        <w:rPr>
          <w:noProof/>
          <w:spacing w:val="-8"/>
        </w:rPr>
        <w:t xml:space="preserve"> v </w:t>
      </w:r>
      <w:r w:rsidRPr="001C4527">
        <w:rPr>
          <w:noProof/>
          <w:spacing w:val="-8"/>
        </w:rPr>
        <w:t>súčasnosti uplatňujú na svoje expozície prístupy IRB, ako aj pre tie inštitúcie, ktoré ich neuplatňujú, sa</w:t>
      </w:r>
      <w:r w:rsidR="004F01E9" w:rsidRPr="001C4527">
        <w:rPr>
          <w:noProof/>
          <w:spacing w:val="-8"/>
        </w:rPr>
        <w:t xml:space="preserve"> v </w:t>
      </w:r>
      <w:r w:rsidRPr="001C4527">
        <w:rPr>
          <w:noProof/>
          <w:spacing w:val="-8"/>
        </w:rPr>
        <w:t>novom článku 494d stanovujú prechodné úpravy, podľa ktorých inštitúcie môžu prejsť na prístup SA-CR počas trojročného obdobia pod podmienkou súhlasu príslušných orgánov</w:t>
      </w:r>
      <w:r w:rsidR="004F01E9" w:rsidRPr="001C4527">
        <w:rPr>
          <w:noProof/>
          <w:spacing w:val="-8"/>
        </w:rPr>
        <w:t xml:space="preserve"> v </w:t>
      </w:r>
      <w:r w:rsidRPr="001C4527">
        <w:rPr>
          <w:noProof/>
          <w:spacing w:val="-8"/>
        </w:rPr>
        <w:t>rámci zjednodušeného postupu.</w:t>
      </w:r>
    </w:p>
    <w:p w14:paraId="55DD074B" w14:textId="5B06E8EF" w:rsidR="00E74DDF" w:rsidRPr="004F01E9" w:rsidRDefault="00E74DDF" w:rsidP="00E74DDF">
      <w:pPr>
        <w:keepNext/>
        <w:pBdr>
          <w:top w:val="nil"/>
          <w:left w:val="nil"/>
          <w:bottom w:val="nil"/>
          <w:right w:val="nil"/>
          <w:between w:val="nil"/>
          <w:bar w:val="nil"/>
        </w:pBdr>
        <w:rPr>
          <w:i/>
          <w:noProof/>
        </w:rPr>
      </w:pPr>
      <w:r w:rsidRPr="004F01E9">
        <w:rPr>
          <w:i/>
          <w:noProof/>
        </w:rPr>
        <w:t>Revidovaný parameter rizika</w:t>
      </w:r>
      <w:r w:rsidR="004F01E9">
        <w:rPr>
          <w:i/>
          <w:noProof/>
        </w:rPr>
        <w:t xml:space="preserve"> v </w:t>
      </w:r>
      <w:r w:rsidRPr="004F01E9">
        <w:rPr>
          <w:i/>
          <w:noProof/>
        </w:rPr>
        <w:t>rámci základných prístupov interných ratingov</w:t>
      </w:r>
    </w:p>
    <w:p w14:paraId="1B6DA216" w14:textId="35B6BDFF" w:rsidR="00E74DDF" w:rsidRPr="001C4527" w:rsidRDefault="00E74DDF" w:rsidP="00E74DDF">
      <w:pPr>
        <w:pBdr>
          <w:top w:val="nil"/>
          <w:left w:val="nil"/>
          <w:bottom w:val="nil"/>
          <w:right w:val="nil"/>
          <w:between w:val="nil"/>
          <w:bar w:val="nil"/>
        </w:pBdr>
        <w:rPr>
          <w:noProof/>
          <w:spacing w:val="-4"/>
        </w:rPr>
      </w:pPr>
      <w:r w:rsidRPr="001C4527">
        <w:rPr>
          <w:noProof/>
          <w:spacing w:val="-4"/>
        </w:rPr>
        <w:t>Článok 161 ods. 1 sa mení</w:t>
      </w:r>
      <w:r w:rsidR="004F01E9" w:rsidRPr="001C4527">
        <w:rPr>
          <w:noProof/>
          <w:spacing w:val="-4"/>
        </w:rPr>
        <w:t xml:space="preserve"> s </w:t>
      </w:r>
      <w:r w:rsidRPr="001C4527">
        <w:rPr>
          <w:noProof/>
          <w:spacing w:val="-4"/>
        </w:rPr>
        <w:t>cieľom zaviesť rekalibračné hodnoty straty</w:t>
      </w:r>
      <w:r w:rsidR="004F01E9" w:rsidRPr="001C4527">
        <w:rPr>
          <w:noProof/>
          <w:spacing w:val="-4"/>
        </w:rPr>
        <w:t xml:space="preserve"> v </w:t>
      </w:r>
      <w:r w:rsidRPr="001C4527">
        <w:rPr>
          <w:noProof/>
          <w:spacing w:val="-4"/>
        </w:rPr>
        <w:t>prípade zlyhania pre nadriadené nezabezpečené expozície voči podnikateľským subjektom (LGD 40</w:t>
      </w:r>
      <w:r w:rsidR="004F01E9" w:rsidRPr="001C4527">
        <w:rPr>
          <w:noProof/>
          <w:spacing w:val="-4"/>
        </w:rPr>
        <w:t> %</w:t>
      </w:r>
      <w:r w:rsidRPr="001C4527">
        <w:rPr>
          <w:noProof/>
          <w:spacing w:val="-4"/>
        </w:rPr>
        <w:t xml:space="preserve"> namiesto 45</w:t>
      </w:r>
      <w:r w:rsidR="004F01E9" w:rsidRPr="001C4527">
        <w:rPr>
          <w:noProof/>
          <w:spacing w:val="-4"/>
        </w:rPr>
        <w:t> %</w:t>
      </w:r>
      <w:r w:rsidRPr="001C4527">
        <w:rPr>
          <w:noProof/>
          <w:spacing w:val="-4"/>
        </w:rPr>
        <w:t>). Hodnota LGD</w:t>
      </w:r>
      <w:r w:rsidR="004F01E9" w:rsidRPr="001C4527">
        <w:rPr>
          <w:noProof/>
          <w:spacing w:val="-4"/>
        </w:rPr>
        <w:t xml:space="preserve"> v </w:t>
      </w:r>
      <w:r w:rsidRPr="001C4527">
        <w:rPr>
          <w:noProof/>
          <w:spacing w:val="-4"/>
        </w:rPr>
        <w:t>prípade rizika zníženia kvality odkúpených podnikových pohľadávok</w:t>
      </w:r>
      <w:r w:rsidR="004F01E9" w:rsidRPr="001C4527">
        <w:rPr>
          <w:noProof/>
          <w:spacing w:val="-4"/>
        </w:rPr>
        <w:t xml:space="preserve"> z </w:t>
      </w:r>
      <w:r w:rsidRPr="001C4527">
        <w:rPr>
          <w:noProof/>
          <w:spacing w:val="-4"/>
        </w:rPr>
        <w:t>iných ako kreditných dôvodov sa takisto mení, aby bola</w:t>
      </w:r>
      <w:r w:rsidR="004F01E9" w:rsidRPr="001C4527">
        <w:rPr>
          <w:noProof/>
          <w:spacing w:val="-4"/>
        </w:rPr>
        <w:t xml:space="preserve"> v </w:t>
      </w:r>
      <w:r w:rsidRPr="001C4527">
        <w:rPr>
          <w:noProof/>
          <w:spacing w:val="-4"/>
        </w:rPr>
        <w:t>súlade</w:t>
      </w:r>
      <w:r w:rsidR="004F01E9" w:rsidRPr="001C4527">
        <w:rPr>
          <w:noProof/>
          <w:spacing w:val="-4"/>
        </w:rPr>
        <w:t xml:space="preserve"> s </w:t>
      </w:r>
      <w:r w:rsidRPr="001C4527">
        <w:rPr>
          <w:noProof/>
          <w:spacing w:val="-4"/>
        </w:rPr>
        <w:t>bazilejským zaobchádzaním.</w:t>
      </w:r>
    </w:p>
    <w:p w14:paraId="3683EDEB" w14:textId="5A83F0FC" w:rsidR="00806B81" w:rsidRPr="001C4527" w:rsidRDefault="00E74DDF" w:rsidP="00E74DDF">
      <w:pPr>
        <w:pBdr>
          <w:top w:val="nil"/>
          <w:left w:val="nil"/>
          <w:bottom w:val="nil"/>
          <w:right w:val="nil"/>
          <w:between w:val="nil"/>
          <w:bar w:val="nil"/>
        </w:pBdr>
        <w:rPr>
          <w:i/>
          <w:noProof/>
          <w:spacing w:val="-4"/>
        </w:rPr>
      </w:pPr>
      <w:r w:rsidRPr="001C4527">
        <w:rPr>
          <w:i/>
          <w:noProof/>
          <w:spacing w:val="-4"/>
        </w:rPr>
        <w:t>Revidovaný rozsah pôsobnosti</w:t>
      </w:r>
      <w:r w:rsidR="004F01E9" w:rsidRPr="001C4527">
        <w:rPr>
          <w:i/>
          <w:noProof/>
          <w:spacing w:val="-4"/>
        </w:rPr>
        <w:t xml:space="preserve"> a </w:t>
      </w:r>
      <w:r w:rsidRPr="001C4527">
        <w:rPr>
          <w:i/>
          <w:noProof/>
          <w:spacing w:val="-4"/>
        </w:rPr>
        <w:t>metódy výpočtu vlastných odhadov konverzných faktorov úverov</w:t>
      </w:r>
    </w:p>
    <w:p w14:paraId="2BFD0E26" w14:textId="26B0F5CB" w:rsidR="00E74DDF" w:rsidRPr="004F01E9" w:rsidRDefault="00E74DDF" w:rsidP="00E74DDF">
      <w:pPr>
        <w:pBdr>
          <w:top w:val="nil"/>
          <w:left w:val="nil"/>
          <w:bottom w:val="nil"/>
          <w:right w:val="nil"/>
          <w:between w:val="nil"/>
          <w:bar w:val="nil"/>
        </w:pBdr>
        <w:rPr>
          <w:noProof/>
        </w:rPr>
      </w:pPr>
      <w:r w:rsidRPr="004F01E9">
        <w:rPr>
          <w:noProof/>
        </w:rPr>
        <w:t>Článok 166 ods. 8, 8a, 8b</w:t>
      </w:r>
      <w:r w:rsidR="004F01E9">
        <w:rPr>
          <w:noProof/>
        </w:rPr>
        <w:t xml:space="preserve"> a </w:t>
      </w:r>
      <w:r w:rsidRPr="004F01E9">
        <w:rPr>
          <w:noProof/>
        </w:rPr>
        <w:t>8d</w:t>
      </w:r>
      <w:r w:rsidR="004F01E9">
        <w:rPr>
          <w:noProof/>
        </w:rPr>
        <w:t xml:space="preserve"> a </w:t>
      </w:r>
      <w:r w:rsidRPr="004F01E9">
        <w:rPr>
          <w:noProof/>
        </w:rPr>
        <w:t>článok 182 sa menia</w:t>
      </w:r>
      <w:r w:rsidR="004F01E9">
        <w:rPr>
          <w:noProof/>
        </w:rPr>
        <w:t xml:space="preserve"> s </w:t>
      </w:r>
      <w:r w:rsidRPr="004F01E9">
        <w:rPr>
          <w:noProof/>
        </w:rPr>
        <w:t>cieľom revidovať rozsah pôsobnosti</w:t>
      </w:r>
      <w:r w:rsidR="004F01E9">
        <w:rPr>
          <w:noProof/>
        </w:rPr>
        <w:t xml:space="preserve"> a </w:t>
      </w:r>
      <w:r w:rsidRPr="004F01E9">
        <w:rPr>
          <w:noProof/>
        </w:rPr>
        <w:t>metódy výpočtu vlastných odhadov konverzných faktorov úverov, ktoré sa používajú na určenie hodnoty expozície podsúvahových položiek iných ako zmluvy</w:t>
      </w:r>
      <w:r w:rsidR="004F01E9">
        <w:rPr>
          <w:noProof/>
        </w:rPr>
        <w:t xml:space="preserve"> o </w:t>
      </w:r>
      <w:r w:rsidRPr="004F01E9">
        <w:rPr>
          <w:noProof/>
        </w:rPr>
        <w:t>derivátoch.</w:t>
      </w:r>
      <w:r w:rsidR="004F01E9">
        <w:rPr>
          <w:noProof/>
        </w:rPr>
        <w:t xml:space="preserve"> V </w:t>
      </w:r>
      <w:r w:rsidRPr="004F01E9">
        <w:rPr>
          <w:noProof/>
        </w:rPr>
        <w:t>nových ustanoveniach sa vyžaduje najmä používanie pevne stanoveného obdobia 12 mesiacov pred zlyhaním na určenie vlastných odhadov konverzných faktorov úverov</w:t>
      </w:r>
      <w:r w:rsidR="004F01E9">
        <w:rPr>
          <w:noProof/>
        </w:rPr>
        <w:t xml:space="preserve"> a </w:t>
      </w:r>
      <w:r w:rsidRPr="004F01E9">
        <w:rPr>
          <w:noProof/>
        </w:rPr>
        <w:t>umožňuje sa použitie vlastných odhadov len na konkrétne prísľuby, pri ktorých je príslušný štandardizovaný konverzný faktor úverov nižší ako 100</w:t>
      </w:r>
      <w:r w:rsidR="004F01E9">
        <w:rPr>
          <w:noProof/>
        </w:rPr>
        <w:t> %</w:t>
      </w:r>
      <w:r w:rsidRPr="004F01E9">
        <w:rPr>
          <w:noProof/>
        </w:rPr>
        <w:t>.</w:t>
      </w:r>
    </w:p>
    <w:p w14:paraId="26149608" w14:textId="77777777" w:rsidR="00E74DDF" w:rsidRPr="004F01E9" w:rsidRDefault="00E74DDF" w:rsidP="00E74DDF">
      <w:pPr>
        <w:pBdr>
          <w:top w:val="nil"/>
          <w:left w:val="nil"/>
          <w:bottom w:val="nil"/>
          <w:right w:val="nil"/>
          <w:between w:val="nil"/>
          <w:bar w:val="nil"/>
        </w:pBdr>
        <w:rPr>
          <w:i/>
          <w:noProof/>
        </w:rPr>
      </w:pPr>
      <w:r w:rsidRPr="004F01E9">
        <w:rPr>
          <w:i/>
          <w:noProof/>
        </w:rPr>
        <w:t>Záruky poskytované poskytovateľmi zabezpečenia na základe menej sofistikovaného prístupu</w:t>
      </w:r>
    </w:p>
    <w:p w14:paraId="7ECC7CA8" w14:textId="63E55275" w:rsidR="00E74DDF" w:rsidRPr="004F01E9" w:rsidRDefault="00E74DDF" w:rsidP="00E74DDF">
      <w:pPr>
        <w:pBdr>
          <w:top w:val="nil"/>
          <w:left w:val="nil"/>
          <w:bottom w:val="nil"/>
          <w:right w:val="nil"/>
          <w:between w:val="nil"/>
          <w:bar w:val="nil"/>
        </w:pBdr>
        <w:rPr>
          <w:noProof/>
        </w:rPr>
      </w:pPr>
      <w:r w:rsidRPr="004F01E9">
        <w:rPr>
          <w:noProof/>
        </w:rPr>
        <w:t>Podľa štandardov Bazilej III sa výrazne revidovali metodiky, ktoré umožňujú inštitúciám rozoznávať účinky oprávnených záruk zmierňujúce riziká, okrem iného vzhľadom na obmedzenie radu prístupov,</w:t>
      </w:r>
      <w:r w:rsidR="004F01E9">
        <w:rPr>
          <w:noProof/>
        </w:rPr>
        <w:t xml:space="preserve"> a </w:t>
      </w:r>
      <w:r w:rsidRPr="004F01E9">
        <w:rPr>
          <w:noProof/>
        </w:rPr>
        <w:t>teda na zníženie variability požiadaviek na vlastné zdroje. Preto sa</w:t>
      </w:r>
      <w:r w:rsidR="004F01E9">
        <w:rPr>
          <w:noProof/>
        </w:rPr>
        <w:t xml:space="preserve"> v </w:t>
      </w:r>
      <w:r w:rsidRPr="004F01E9">
        <w:rPr>
          <w:noProof/>
        </w:rPr>
        <w:t>štandardoch Bazilej III vo všeobecnosti stanovuje riziková váha, ktorá sa má uplatniť na zabezpečenú časť nastávajúcej expozície, ktorá by sa mala vypočítať podľa prístupu uplatňovaného na porovnateľné priame expozície voči poskytovateľovi zabezpečenia. Keď expozícia,</w:t>
      </w:r>
      <w:r w:rsidR="004F01E9">
        <w:rPr>
          <w:noProof/>
        </w:rPr>
        <w:t xml:space="preserve"> s </w:t>
      </w:r>
      <w:r w:rsidRPr="004F01E9">
        <w:rPr>
          <w:noProof/>
        </w:rPr>
        <w:t>ktorou sa zaobchádza podľa prístupu A-IRB, je zaručená ručiteľom,</w:t>
      </w:r>
      <w:r w:rsidR="004F01E9">
        <w:rPr>
          <w:noProof/>
        </w:rPr>
        <w:t xml:space="preserve"> s </w:t>
      </w:r>
      <w:r w:rsidRPr="004F01E9">
        <w:rPr>
          <w:noProof/>
        </w:rPr>
        <w:t>ktorým sa zaobchádza podľa prístupu F-IRB alebo SA-CR, uznanie uvedenej záruky má za následok zaručenú expozíciu,</w:t>
      </w:r>
      <w:r w:rsidR="004F01E9">
        <w:rPr>
          <w:noProof/>
        </w:rPr>
        <w:t xml:space="preserve"> s </w:t>
      </w:r>
      <w:r w:rsidRPr="004F01E9">
        <w:rPr>
          <w:noProof/>
        </w:rPr>
        <w:t>ktorou sa zaobchádza buď podľa prístupu F-IRB, alebo SA-CR. Na uznanie záruk podľa prístupu A-IRB bude potrebné konať podľa jedného</w:t>
      </w:r>
      <w:r w:rsidR="004F01E9">
        <w:rPr>
          <w:noProof/>
        </w:rPr>
        <w:t xml:space="preserve"> z </w:t>
      </w:r>
      <w:r w:rsidRPr="004F01E9">
        <w:rPr>
          <w:noProof/>
        </w:rPr>
        <w:t>týchto prístupov:</w:t>
      </w:r>
    </w:p>
    <w:p w14:paraId="7F3B99DA" w14:textId="510F5CF8" w:rsidR="00806B81" w:rsidRPr="004F01E9" w:rsidRDefault="00E74DDF" w:rsidP="002E122C">
      <w:pPr>
        <w:pStyle w:val="Bullet0"/>
        <w:rPr>
          <w:noProof/>
        </w:rPr>
      </w:pPr>
      <w:r w:rsidRPr="004F01E9">
        <w:rPr>
          <w:noProof/>
        </w:rPr>
        <w:t>náhrada prístupu založeného na rizikovej váhe, pričom sa riziková váha dlžníka nahrádza rizikovou váhou ručiteľa, pokiaľ sa</w:t>
      </w:r>
      <w:r w:rsidR="004F01E9">
        <w:rPr>
          <w:noProof/>
        </w:rPr>
        <w:t xml:space="preserve"> s </w:t>
      </w:r>
      <w:r w:rsidRPr="004F01E9">
        <w:rPr>
          <w:noProof/>
        </w:rPr>
        <w:t>porovnateľnými priamymi expozíciami voči ručiteľovi zaobchádza podľa prístupu SA-CR (článok 235a);</w:t>
      </w:r>
    </w:p>
    <w:p w14:paraId="4BAE5D16" w14:textId="3AD89B28" w:rsidR="00806B81" w:rsidRPr="004F01E9" w:rsidRDefault="00E74DDF" w:rsidP="002E122C">
      <w:pPr>
        <w:pStyle w:val="Bullet0"/>
        <w:rPr>
          <w:noProof/>
        </w:rPr>
      </w:pPr>
      <w:r w:rsidRPr="004F01E9">
        <w:rPr>
          <w:noProof/>
        </w:rPr>
        <w:t>náhrada prístupu na základe parametrov rizika, pričom sa parametre rizika dlžníka nahrádzajú parametrami rizika súvisiacimi</w:t>
      </w:r>
      <w:r w:rsidR="004F01E9">
        <w:rPr>
          <w:noProof/>
        </w:rPr>
        <w:t xml:space="preserve"> s </w:t>
      </w:r>
      <w:r w:rsidRPr="004F01E9">
        <w:rPr>
          <w:noProof/>
        </w:rPr>
        <w:t>porovnateľnými priamymi expozíciami voči ručiteľovi, pokiaľ sa</w:t>
      </w:r>
      <w:r w:rsidR="004F01E9">
        <w:rPr>
          <w:noProof/>
        </w:rPr>
        <w:t xml:space="preserve"> s </w:t>
      </w:r>
      <w:r w:rsidRPr="004F01E9">
        <w:rPr>
          <w:noProof/>
        </w:rPr>
        <w:t>porovnateľnými priamymi expozíciami voči ručiteľovi zaobchádza podľa prístupu IRB (článok 236a); alebo</w:t>
      </w:r>
    </w:p>
    <w:p w14:paraId="3D9C05F2" w14:textId="59484AAA" w:rsidR="00806B81" w:rsidRPr="004F01E9" w:rsidRDefault="00E74DDF" w:rsidP="002E122C">
      <w:pPr>
        <w:pStyle w:val="Bullet0"/>
        <w:rPr>
          <w:noProof/>
        </w:rPr>
      </w:pPr>
      <w:r w:rsidRPr="004F01E9">
        <w:rPr>
          <w:noProof/>
        </w:rPr>
        <w:t>prispôsobenie straty</w:t>
      </w:r>
      <w:r w:rsidR="004F01E9">
        <w:rPr>
          <w:noProof/>
        </w:rPr>
        <w:t xml:space="preserve"> v </w:t>
      </w:r>
      <w:r w:rsidRPr="004F01E9">
        <w:rPr>
          <w:noProof/>
        </w:rPr>
        <w:t>prípade zlyhania alebo pravdepodobnosti zlyhania, ako aj straty</w:t>
      </w:r>
      <w:r w:rsidR="004F01E9">
        <w:rPr>
          <w:noProof/>
        </w:rPr>
        <w:t xml:space="preserve"> v </w:t>
      </w:r>
      <w:r w:rsidRPr="004F01E9">
        <w:rPr>
          <w:noProof/>
        </w:rPr>
        <w:t>prípade zlyhania (článok 183); podľa tohto prístupu sa</w:t>
      </w:r>
      <w:r w:rsidR="004F01E9">
        <w:rPr>
          <w:noProof/>
        </w:rPr>
        <w:t xml:space="preserve"> v </w:t>
      </w:r>
      <w:r w:rsidRPr="004F01E9">
        <w:rPr>
          <w:noProof/>
        </w:rPr>
        <w:t>návrhu objasňuje, že uznanie záruky by nemalo viesť</w:t>
      </w:r>
      <w:r w:rsidR="004F01E9">
        <w:rPr>
          <w:noProof/>
        </w:rPr>
        <w:t xml:space="preserve"> k </w:t>
      </w:r>
      <w:r w:rsidRPr="004F01E9">
        <w:rPr>
          <w:noProof/>
        </w:rPr>
        <w:t>rizikovej váhe uplatniteľnej na zaručenú expozíciu, ktorá je nižšia ako riziková váha podľa prístupu porovnateľného</w:t>
      </w:r>
      <w:r w:rsidR="004F01E9">
        <w:rPr>
          <w:noProof/>
        </w:rPr>
        <w:t xml:space="preserve"> s </w:t>
      </w:r>
      <w:r w:rsidRPr="004F01E9">
        <w:rPr>
          <w:noProof/>
        </w:rPr>
        <w:t>priamou expozíciou voči ručiteľovi. Toto je určené ako záruka konzistentnosti rámca</w:t>
      </w:r>
      <w:r w:rsidR="004F01E9">
        <w:rPr>
          <w:noProof/>
        </w:rPr>
        <w:t xml:space="preserve"> z </w:t>
      </w:r>
      <w:r w:rsidRPr="004F01E9">
        <w:rPr>
          <w:noProof/>
        </w:rPr>
        <w:t>hľadiska posudzovania rizík, pričom sa zabraňuje situácii, keď by sa pri nepriamej expozícii voči určitému poskytovateľovi zabezpečenia mohla uplatniť nižšia riziková váha ako</w:t>
      </w:r>
      <w:r w:rsidR="004F01E9">
        <w:rPr>
          <w:noProof/>
        </w:rPr>
        <w:t xml:space="preserve"> v </w:t>
      </w:r>
      <w:r w:rsidRPr="004F01E9">
        <w:rPr>
          <w:noProof/>
        </w:rPr>
        <w:t>prípade porovnateľnej priamej expozície, pri ktorej je dlžníkom ten istý poskytovateľ zabezpečenia.</w:t>
      </w:r>
    </w:p>
    <w:p w14:paraId="0EF3180B" w14:textId="67B248B4" w:rsidR="00E74DDF" w:rsidRPr="004F01E9" w:rsidRDefault="00E74DDF" w:rsidP="00E74DDF">
      <w:pPr>
        <w:pBdr>
          <w:top w:val="nil"/>
          <w:left w:val="nil"/>
          <w:bottom w:val="nil"/>
          <w:right w:val="nil"/>
          <w:between w:val="nil"/>
          <w:bar w:val="nil"/>
        </w:pBdr>
        <w:rPr>
          <w:i/>
          <w:noProof/>
        </w:rPr>
      </w:pPr>
      <w:r w:rsidRPr="004F01E9">
        <w:rPr>
          <w:i/>
          <w:noProof/>
        </w:rPr>
        <w:t>Expozície vo forme špecializovaného financovania podľa prístupu A-IRB</w:t>
      </w:r>
    </w:p>
    <w:p w14:paraId="1EEE29E7" w14:textId="09B0A6D2" w:rsidR="00E74DDF" w:rsidRPr="001C4527" w:rsidRDefault="00E74DDF" w:rsidP="00E74DDF">
      <w:pPr>
        <w:pBdr>
          <w:top w:val="nil"/>
          <w:left w:val="nil"/>
          <w:bottom w:val="nil"/>
          <w:right w:val="nil"/>
          <w:between w:val="nil"/>
          <w:bar w:val="nil"/>
        </w:pBdr>
        <w:rPr>
          <w:noProof/>
          <w:spacing w:val="-4"/>
        </w:rPr>
      </w:pPr>
      <w:r w:rsidRPr="001C4527">
        <w:rPr>
          <w:noProof/>
          <w:spacing w:val="-4"/>
        </w:rPr>
        <w:t>Nové obmedzenia modelovania podľa štandardov Bazilej III sú relatívne obmedzené, pokiaľ ide</w:t>
      </w:r>
      <w:r w:rsidR="004F01E9" w:rsidRPr="001C4527">
        <w:rPr>
          <w:noProof/>
          <w:spacing w:val="-4"/>
        </w:rPr>
        <w:t xml:space="preserve"> o </w:t>
      </w:r>
      <w:r w:rsidRPr="001C4527">
        <w:rPr>
          <w:noProof/>
          <w:spacing w:val="-4"/>
        </w:rPr>
        <w:t>zaobchádzanie</w:t>
      </w:r>
      <w:r w:rsidR="004F01E9" w:rsidRPr="001C4527">
        <w:rPr>
          <w:noProof/>
          <w:spacing w:val="-4"/>
        </w:rPr>
        <w:t xml:space="preserve"> s </w:t>
      </w:r>
      <w:r w:rsidRPr="001C4527">
        <w:rPr>
          <w:noProof/>
          <w:spacing w:val="-4"/>
        </w:rPr>
        <w:t>expozíciami vo forme špecializovaného financovania</w:t>
      </w:r>
      <w:r w:rsidR="004F01E9" w:rsidRPr="001C4527">
        <w:rPr>
          <w:noProof/>
          <w:spacing w:val="-4"/>
        </w:rPr>
        <w:t xml:space="preserve"> v </w:t>
      </w:r>
      <w:r w:rsidRPr="001C4527">
        <w:rPr>
          <w:noProof/>
          <w:spacing w:val="-4"/>
        </w:rPr>
        <w:t>rámci prístupov IRB. Hoci sa uplatňujú minimálne parametre, prístup A-IRB zostáva</w:t>
      </w:r>
      <w:r w:rsidR="004F01E9" w:rsidRPr="001C4527">
        <w:rPr>
          <w:noProof/>
          <w:spacing w:val="-4"/>
        </w:rPr>
        <w:t xml:space="preserve"> k </w:t>
      </w:r>
      <w:r w:rsidRPr="001C4527">
        <w:rPr>
          <w:noProof/>
          <w:spacing w:val="-4"/>
        </w:rPr>
        <w:t>dispozícii nezávisle od veľkosti dlžníka na rozdiel od zaobchádzania</w:t>
      </w:r>
      <w:r w:rsidR="004F01E9" w:rsidRPr="001C4527">
        <w:rPr>
          <w:noProof/>
          <w:spacing w:val="-4"/>
        </w:rPr>
        <w:t xml:space="preserve"> s </w:t>
      </w:r>
      <w:r w:rsidRPr="001C4527">
        <w:rPr>
          <w:noProof/>
          <w:spacing w:val="-4"/>
        </w:rPr>
        <w:t>inými expozíciami voči podnikateľským subjektom. Nové minimálne parametre uplatniteľné na expozície voči podnikateľským subjektom sa uplatňujú aj na expozície vo forme špecializovaného financovania bez uznania konkrétnych postupov poskytovania úverov, ktoré zahŕňajú zabezpečovacie opatrenia na zmiernenie kreditného rizika.</w:t>
      </w:r>
    </w:p>
    <w:p w14:paraId="31CA3678" w14:textId="4A39DB04" w:rsidR="00E74DDF" w:rsidRPr="001C4527" w:rsidRDefault="00E74DDF" w:rsidP="00E74DDF">
      <w:pPr>
        <w:pBdr>
          <w:top w:val="nil"/>
          <w:left w:val="nil"/>
          <w:bottom w:val="nil"/>
          <w:right w:val="nil"/>
          <w:between w:val="nil"/>
          <w:bar w:val="nil"/>
        </w:pBdr>
        <w:rPr>
          <w:noProof/>
          <w:spacing w:val="-4"/>
        </w:rPr>
      </w:pPr>
      <w:r w:rsidRPr="001C4527">
        <w:rPr>
          <w:noProof/>
          <w:spacing w:val="-4"/>
        </w:rPr>
        <w:t>Preto bol vložený nový článok 495b</w:t>
      </w:r>
      <w:r w:rsidR="004F01E9" w:rsidRPr="001C4527">
        <w:rPr>
          <w:noProof/>
          <w:spacing w:val="-4"/>
        </w:rPr>
        <w:t xml:space="preserve"> s </w:t>
      </w:r>
      <w:r w:rsidRPr="001C4527">
        <w:rPr>
          <w:noProof/>
          <w:spacing w:val="-4"/>
        </w:rPr>
        <w:t>cieľom zaviesť nové minimálne parametre, ktoré sa začínajú diskontným koeficientom 50</w:t>
      </w:r>
      <w:r w:rsidR="004F01E9" w:rsidRPr="001C4527">
        <w:rPr>
          <w:noProof/>
          <w:spacing w:val="-4"/>
        </w:rPr>
        <w:t> %</w:t>
      </w:r>
      <w:r w:rsidRPr="001C4527">
        <w:rPr>
          <w:noProof/>
          <w:spacing w:val="-4"/>
        </w:rPr>
        <w:t>, ktorý sa počas 5-ročného obdobia postupne zvyšuje na 100</w:t>
      </w:r>
      <w:r w:rsidR="004F01E9" w:rsidRPr="001C4527">
        <w:rPr>
          <w:noProof/>
          <w:spacing w:val="-4"/>
        </w:rPr>
        <w:t> %</w:t>
      </w:r>
      <w:r w:rsidRPr="001C4527">
        <w:rPr>
          <w:noProof/>
          <w:spacing w:val="-4"/>
        </w:rPr>
        <w:t>. Týmto článkom sa navyše orgán EBA poveruje posúdením vhodnosti spodných hraníc pre vstupné hodnoty PD</w:t>
      </w:r>
      <w:r w:rsidR="004F01E9" w:rsidRPr="001C4527">
        <w:rPr>
          <w:noProof/>
          <w:spacing w:val="-4"/>
        </w:rPr>
        <w:t xml:space="preserve"> a </w:t>
      </w:r>
      <w:r w:rsidRPr="001C4527">
        <w:rPr>
          <w:noProof/>
          <w:spacing w:val="-4"/>
        </w:rPr>
        <w:t>spodných hraníc pre vstupné hodnoty LGD uplatniteľných na expozície vo forme špecializovaného financovania</w:t>
      </w:r>
      <w:r w:rsidR="004F01E9" w:rsidRPr="001C4527">
        <w:rPr>
          <w:noProof/>
          <w:spacing w:val="-4"/>
        </w:rPr>
        <w:t xml:space="preserve"> a </w:t>
      </w:r>
      <w:r w:rsidRPr="001C4527">
        <w:rPr>
          <w:noProof/>
          <w:spacing w:val="-4"/>
        </w:rPr>
        <w:t>Komisia sa splnomocňuje na preskúmanie týchto parametrov prostredníctvom delegovaného aktu na základe posúdenia orgánu EBA.</w:t>
      </w:r>
    </w:p>
    <w:p w14:paraId="3598723C" w14:textId="1A5789DC" w:rsidR="00E74DDF" w:rsidRPr="004F01E9" w:rsidRDefault="00E74DDF" w:rsidP="00E74DDF">
      <w:pPr>
        <w:pBdr>
          <w:top w:val="nil"/>
          <w:left w:val="nil"/>
          <w:bottom w:val="nil"/>
          <w:right w:val="nil"/>
          <w:between w:val="nil"/>
          <w:bar w:val="nil"/>
        </w:pBdr>
        <w:rPr>
          <w:i/>
          <w:noProof/>
        </w:rPr>
      </w:pPr>
      <w:r w:rsidRPr="004F01E9">
        <w:rPr>
          <w:i/>
          <w:noProof/>
        </w:rPr>
        <w:t>Ustanovenia povoľujúce expozície lízingu</w:t>
      </w:r>
      <w:r w:rsidR="004F01E9">
        <w:rPr>
          <w:i/>
          <w:noProof/>
        </w:rPr>
        <w:t xml:space="preserve"> a </w:t>
      </w:r>
      <w:r w:rsidRPr="004F01E9">
        <w:rPr>
          <w:i/>
          <w:noProof/>
        </w:rPr>
        <w:t>poistenie úveru</w:t>
      </w:r>
    </w:p>
    <w:p w14:paraId="34633D11" w14:textId="656FDCC8" w:rsidR="00E74DDF" w:rsidRPr="001C4527" w:rsidRDefault="00E74DDF" w:rsidP="00E74DDF">
      <w:pPr>
        <w:pBdr>
          <w:top w:val="nil"/>
          <w:left w:val="nil"/>
          <w:bottom w:val="nil"/>
          <w:right w:val="nil"/>
          <w:between w:val="nil"/>
          <w:bar w:val="nil"/>
        </w:pBdr>
        <w:rPr>
          <w:noProof/>
          <w:spacing w:val="-6"/>
        </w:rPr>
      </w:pPr>
      <w:r w:rsidRPr="001C4527">
        <w:rPr>
          <w:noProof/>
          <w:spacing w:val="-6"/>
        </w:rPr>
        <w:t>Inštitúcie</w:t>
      </w:r>
      <w:r w:rsidR="004F01E9" w:rsidRPr="001C4527">
        <w:rPr>
          <w:noProof/>
          <w:spacing w:val="-6"/>
        </w:rPr>
        <w:t xml:space="preserve"> v </w:t>
      </w:r>
      <w:r w:rsidRPr="001C4527">
        <w:rPr>
          <w:noProof/>
          <w:spacing w:val="-6"/>
        </w:rPr>
        <w:t>EÚ sa dopracovali na vysokú úroveň odborných znalostí</w:t>
      </w:r>
      <w:r w:rsidR="004F01E9" w:rsidRPr="001C4527">
        <w:rPr>
          <w:noProof/>
          <w:spacing w:val="-6"/>
        </w:rPr>
        <w:t xml:space="preserve"> a </w:t>
      </w:r>
      <w:r w:rsidRPr="001C4527">
        <w:rPr>
          <w:noProof/>
          <w:spacing w:val="-6"/>
        </w:rPr>
        <w:t>riadenia rizík</w:t>
      </w:r>
      <w:r w:rsidR="004F01E9" w:rsidRPr="001C4527">
        <w:rPr>
          <w:noProof/>
          <w:spacing w:val="-6"/>
        </w:rPr>
        <w:t xml:space="preserve"> v </w:t>
      </w:r>
      <w:r w:rsidRPr="001C4527">
        <w:rPr>
          <w:noProof/>
          <w:spacing w:val="-6"/>
        </w:rPr>
        <w:t>oblasti lízingu, ako aj</w:t>
      </w:r>
      <w:r w:rsidR="004F01E9" w:rsidRPr="001C4527">
        <w:rPr>
          <w:noProof/>
          <w:spacing w:val="-6"/>
        </w:rPr>
        <w:t xml:space="preserve"> v </w:t>
      </w:r>
      <w:r w:rsidRPr="001C4527">
        <w:rPr>
          <w:noProof/>
          <w:spacing w:val="-6"/>
        </w:rPr>
        <w:t>oblasti využívania poistenia úverov, najmä na účely obchodného financovania. Pri nedostatku postačujúcich údajov zostáva nejasné, či nové parametre rizika sú kalibrované vhodne na to, aby odrážali zmierňujúci účinok kolaterálu lízingu na riziko,</w:t>
      </w:r>
      <w:r w:rsidR="004F01E9" w:rsidRPr="001C4527">
        <w:rPr>
          <w:noProof/>
          <w:spacing w:val="-6"/>
        </w:rPr>
        <w:t xml:space="preserve"> a </w:t>
      </w:r>
      <w:r w:rsidRPr="001C4527">
        <w:rPr>
          <w:noProof/>
          <w:spacing w:val="-6"/>
        </w:rPr>
        <w:t>prípadne aké vlastnosti musí mať zmluva</w:t>
      </w:r>
      <w:r w:rsidR="004F01E9" w:rsidRPr="001C4527">
        <w:rPr>
          <w:noProof/>
          <w:spacing w:val="-6"/>
        </w:rPr>
        <w:t xml:space="preserve"> o </w:t>
      </w:r>
      <w:r w:rsidRPr="001C4527">
        <w:rPr>
          <w:noProof/>
          <w:spacing w:val="-6"/>
        </w:rPr>
        <w:t>poistení úveru, aby ju bolo možné uznať za oprávnené kreditné zabezpečenie.</w:t>
      </w:r>
    </w:p>
    <w:p w14:paraId="5E2A83C6" w14:textId="3319DFCF" w:rsidR="00E74DDF" w:rsidRPr="001C4527" w:rsidRDefault="00E74DDF" w:rsidP="00E74DDF">
      <w:pPr>
        <w:pBdr>
          <w:top w:val="nil"/>
          <w:left w:val="nil"/>
          <w:bottom w:val="nil"/>
          <w:right w:val="nil"/>
          <w:between w:val="nil"/>
          <w:bar w:val="nil"/>
        </w:pBdr>
        <w:rPr>
          <w:noProof/>
          <w:spacing w:val="-4"/>
        </w:rPr>
      </w:pPr>
      <w:r w:rsidRPr="001C4527">
        <w:rPr>
          <w:noProof/>
          <w:spacing w:val="-4"/>
        </w:rPr>
        <w:t>Preto bol vložený nový článok 495c, ktorým sa poveruje orgán EBA, aby posúdil vhodnosť kalibrácie rizika podľa štandardov Bazilej III, pokiaľ ide</w:t>
      </w:r>
      <w:r w:rsidR="004F01E9" w:rsidRPr="001C4527">
        <w:rPr>
          <w:noProof/>
          <w:spacing w:val="-4"/>
        </w:rPr>
        <w:t xml:space="preserve"> o </w:t>
      </w:r>
      <w:r w:rsidRPr="001C4527">
        <w:rPr>
          <w:noProof/>
          <w:spacing w:val="-4"/>
        </w:rPr>
        <w:t>parametre uplatniteľné na expozície lízingu, najmä nových haircutov</w:t>
      </w:r>
      <w:r w:rsidR="004F01E9" w:rsidRPr="001C4527">
        <w:rPr>
          <w:noProof/>
          <w:spacing w:val="-4"/>
        </w:rPr>
        <w:t xml:space="preserve"> z </w:t>
      </w:r>
      <w:r w:rsidRPr="001C4527">
        <w:rPr>
          <w:noProof/>
          <w:spacing w:val="-4"/>
        </w:rPr>
        <w:t>kolaterálu („úprav</w:t>
      </w:r>
      <w:r w:rsidR="004F01E9" w:rsidRPr="001C4527">
        <w:rPr>
          <w:noProof/>
          <w:spacing w:val="-4"/>
        </w:rPr>
        <w:t xml:space="preserve"> z </w:t>
      </w:r>
      <w:r w:rsidRPr="001C4527">
        <w:rPr>
          <w:noProof/>
          <w:spacing w:val="-4"/>
        </w:rPr>
        <w:t>dôvodu volatility“)</w:t>
      </w:r>
      <w:r w:rsidR="004F01E9" w:rsidRPr="001C4527">
        <w:rPr>
          <w:noProof/>
          <w:spacing w:val="-4"/>
        </w:rPr>
        <w:t xml:space="preserve"> a </w:t>
      </w:r>
      <w:r w:rsidRPr="001C4527">
        <w:rPr>
          <w:noProof/>
          <w:spacing w:val="-4"/>
        </w:rPr>
        <w:t>regulačných hodnôt pre zabezpečené straty</w:t>
      </w:r>
      <w:r w:rsidR="004F01E9" w:rsidRPr="001C4527">
        <w:rPr>
          <w:noProof/>
          <w:spacing w:val="-4"/>
        </w:rPr>
        <w:t xml:space="preserve"> v </w:t>
      </w:r>
      <w:r w:rsidRPr="001C4527">
        <w:rPr>
          <w:noProof/>
          <w:spacing w:val="-4"/>
        </w:rPr>
        <w:t>prípade zlyhania. Komisia sa splnomocňuje preskúmať kalibráciu prostredníctvom delegovaného aktu, ak je to vhodné,</w:t>
      </w:r>
      <w:r w:rsidR="004F01E9" w:rsidRPr="001C4527">
        <w:rPr>
          <w:noProof/>
          <w:spacing w:val="-4"/>
        </w:rPr>
        <w:t xml:space="preserve"> s </w:t>
      </w:r>
      <w:r w:rsidRPr="001C4527">
        <w:rPr>
          <w:noProof/>
          <w:spacing w:val="-4"/>
        </w:rPr>
        <w:t>prihliadnutím na správu orgánu EBA. Medzitým sa na nové parametre rizika uplatňuje 5-ročná zavádzacia fáza podľa prístupu A-IRB.</w:t>
      </w:r>
    </w:p>
    <w:p w14:paraId="6F7974A1" w14:textId="4952FB42" w:rsidR="00806B81" w:rsidRPr="001C4527" w:rsidRDefault="00E74DDF" w:rsidP="00C67562">
      <w:pPr>
        <w:pBdr>
          <w:top w:val="nil"/>
          <w:left w:val="nil"/>
          <w:bottom w:val="nil"/>
          <w:right w:val="nil"/>
          <w:between w:val="nil"/>
          <w:bar w:val="nil"/>
        </w:pBdr>
        <w:spacing w:after="240"/>
        <w:rPr>
          <w:noProof/>
          <w:spacing w:val="-4"/>
        </w:rPr>
      </w:pPr>
      <w:r w:rsidRPr="001C4527">
        <w:rPr>
          <w:noProof/>
          <w:spacing w:val="-4"/>
        </w:rPr>
        <w:t>Ďalej bol vložený nový článok 495d, ktorým sa orgán EBA poveruje informovať Komisiu</w:t>
      </w:r>
      <w:r w:rsidR="004F01E9" w:rsidRPr="001C4527">
        <w:rPr>
          <w:noProof/>
          <w:spacing w:val="-4"/>
        </w:rPr>
        <w:t xml:space="preserve"> o </w:t>
      </w:r>
      <w:r w:rsidRPr="001C4527">
        <w:rPr>
          <w:noProof/>
          <w:spacing w:val="-4"/>
        </w:rPr>
        <w:t>vhodnosti</w:t>
      </w:r>
      <w:r w:rsidR="004F01E9" w:rsidRPr="001C4527">
        <w:rPr>
          <w:noProof/>
          <w:spacing w:val="-4"/>
        </w:rPr>
        <w:t xml:space="preserve"> a </w:t>
      </w:r>
      <w:r w:rsidRPr="001C4527">
        <w:rPr>
          <w:noProof/>
          <w:spacing w:val="-4"/>
        </w:rPr>
        <w:t>využití poistenia úverov ako techniky zmierňovania kreditného rizika</w:t>
      </w:r>
      <w:r w:rsidR="004F01E9" w:rsidRPr="001C4527">
        <w:rPr>
          <w:noProof/>
          <w:spacing w:val="-4"/>
        </w:rPr>
        <w:t xml:space="preserve"> a o </w:t>
      </w:r>
      <w:r w:rsidRPr="001C4527">
        <w:rPr>
          <w:noProof/>
          <w:spacing w:val="-4"/>
        </w:rPr>
        <w:t>vhodných parametroch rizika,</w:t>
      </w:r>
      <w:r w:rsidR="004F01E9" w:rsidRPr="001C4527">
        <w:rPr>
          <w:noProof/>
          <w:spacing w:val="-4"/>
        </w:rPr>
        <w:t xml:space="preserve"> s </w:t>
      </w:r>
      <w:r w:rsidRPr="001C4527">
        <w:rPr>
          <w:noProof/>
          <w:spacing w:val="-4"/>
        </w:rPr>
        <w:t>ktorými by mali súvisieť,</w:t>
      </w:r>
      <w:r w:rsidR="004F01E9" w:rsidRPr="001C4527">
        <w:rPr>
          <w:noProof/>
          <w:spacing w:val="-4"/>
        </w:rPr>
        <w:t xml:space="preserve"> v </w:t>
      </w:r>
      <w:r w:rsidRPr="001C4527">
        <w:rPr>
          <w:noProof/>
          <w:spacing w:val="-4"/>
        </w:rPr>
        <w:t>rámci prístupu SA-CR</w:t>
      </w:r>
      <w:r w:rsidR="004F01E9" w:rsidRPr="001C4527">
        <w:rPr>
          <w:noProof/>
          <w:spacing w:val="-4"/>
        </w:rPr>
        <w:t xml:space="preserve"> a </w:t>
      </w:r>
      <w:r w:rsidRPr="001C4527">
        <w:rPr>
          <w:noProof/>
          <w:spacing w:val="-4"/>
        </w:rPr>
        <w:t>základného prístupu interných ratingov. Na základe uvedenej správy je Komisia povinná, ak je to vhodné, predložiť legislatívny návrh</w:t>
      </w:r>
      <w:r w:rsidR="004F01E9" w:rsidRPr="001C4527">
        <w:rPr>
          <w:noProof/>
          <w:spacing w:val="-4"/>
        </w:rPr>
        <w:t xml:space="preserve"> o </w:t>
      </w:r>
      <w:r w:rsidRPr="001C4527">
        <w:rPr>
          <w:noProof/>
          <w:spacing w:val="-4"/>
        </w:rPr>
        <w:t>využívaní poistenia úveru ako techniky zmierňovania kreditného rizika.</w:t>
      </w:r>
    </w:p>
    <w:p w14:paraId="4FCB5382" w14:textId="77777777" w:rsidR="00806B81" w:rsidRPr="004F01E9" w:rsidRDefault="00E74DDF" w:rsidP="00E74DDF">
      <w:pPr>
        <w:pBdr>
          <w:top w:val="nil"/>
          <w:left w:val="nil"/>
          <w:bottom w:val="nil"/>
          <w:right w:val="nil"/>
          <w:between w:val="nil"/>
          <w:bar w:val="nil"/>
        </w:pBdr>
        <w:rPr>
          <w:b/>
          <w:noProof/>
        </w:rPr>
      </w:pPr>
      <w:r w:rsidRPr="004F01E9">
        <w:rPr>
          <w:b/>
          <w:noProof/>
        </w:rPr>
        <w:t>Rámec kreditného rizika – techniky zmierňovania kreditného rizika</w:t>
      </w:r>
    </w:p>
    <w:p w14:paraId="0E522844" w14:textId="1722C8D4" w:rsidR="00E74DDF" w:rsidRPr="001C4527" w:rsidRDefault="00E74DDF" w:rsidP="00E74DDF">
      <w:pPr>
        <w:pBdr>
          <w:top w:val="nil"/>
          <w:left w:val="nil"/>
          <w:bottom w:val="nil"/>
          <w:right w:val="nil"/>
          <w:between w:val="nil"/>
          <w:bar w:val="nil"/>
        </w:pBdr>
        <w:rPr>
          <w:noProof/>
          <w:spacing w:val="-8"/>
        </w:rPr>
      </w:pPr>
      <w:r w:rsidRPr="001C4527">
        <w:rPr>
          <w:rStyle w:val="normaltextrun"/>
          <w:noProof/>
          <w:color w:val="000000"/>
          <w:spacing w:val="-8"/>
          <w:shd w:val="clear" w:color="auto" w:fill="FFFFFF"/>
        </w:rPr>
        <w:t>Články 224 až 230 sa menia</w:t>
      </w:r>
      <w:r w:rsidR="004F01E9" w:rsidRPr="001C4527">
        <w:rPr>
          <w:rStyle w:val="normaltextrun"/>
          <w:noProof/>
          <w:color w:val="000000"/>
          <w:spacing w:val="-8"/>
          <w:shd w:val="clear" w:color="auto" w:fill="FFFFFF"/>
        </w:rPr>
        <w:t xml:space="preserve"> s </w:t>
      </w:r>
      <w:r w:rsidRPr="001C4527">
        <w:rPr>
          <w:rStyle w:val="normaltextrun"/>
          <w:noProof/>
          <w:color w:val="000000"/>
          <w:spacing w:val="-8"/>
          <w:shd w:val="clear" w:color="auto" w:fill="FFFFFF"/>
        </w:rPr>
        <w:t>cieľom vykonávať pravidlá</w:t>
      </w:r>
      <w:r w:rsidR="004F01E9" w:rsidRPr="001C4527">
        <w:rPr>
          <w:rStyle w:val="normaltextrun"/>
          <w:noProof/>
          <w:color w:val="000000"/>
          <w:spacing w:val="-8"/>
          <w:shd w:val="clear" w:color="auto" w:fill="FFFFFF"/>
        </w:rPr>
        <w:t xml:space="preserve"> a </w:t>
      </w:r>
      <w:r w:rsidRPr="001C4527">
        <w:rPr>
          <w:rStyle w:val="normaltextrun"/>
          <w:noProof/>
          <w:color w:val="000000"/>
          <w:spacing w:val="-8"/>
          <w:shd w:val="clear" w:color="auto" w:fill="FFFFFF"/>
        </w:rPr>
        <w:t>metódy Bazilej III na účely zohľadnenia kolaterálu</w:t>
      </w:r>
      <w:r w:rsidR="004F01E9" w:rsidRPr="001C4527">
        <w:rPr>
          <w:rStyle w:val="normaltextrun"/>
          <w:noProof/>
          <w:color w:val="000000"/>
          <w:spacing w:val="-8"/>
          <w:shd w:val="clear" w:color="auto" w:fill="FFFFFF"/>
        </w:rPr>
        <w:t xml:space="preserve"> a </w:t>
      </w:r>
      <w:r w:rsidRPr="001C4527">
        <w:rPr>
          <w:rStyle w:val="normaltextrun"/>
          <w:noProof/>
          <w:color w:val="000000"/>
          <w:spacing w:val="-8"/>
          <w:shd w:val="clear" w:color="auto" w:fill="FFFFFF"/>
        </w:rPr>
        <w:t>záruk</w:t>
      </w:r>
      <w:r w:rsidR="004F01E9" w:rsidRPr="001C4527">
        <w:rPr>
          <w:rStyle w:val="normaltextrun"/>
          <w:noProof/>
          <w:color w:val="000000"/>
          <w:spacing w:val="-8"/>
          <w:shd w:val="clear" w:color="auto" w:fill="FFFFFF"/>
        </w:rPr>
        <w:t xml:space="preserve"> v </w:t>
      </w:r>
      <w:r w:rsidRPr="001C4527">
        <w:rPr>
          <w:rStyle w:val="normaltextrun"/>
          <w:noProof/>
          <w:color w:val="000000"/>
          <w:spacing w:val="-8"/>
          <w:shd w:val="clear" w:color="auto" w:fill="FFFFFF"/>
        </w:rPr>
        <w:t>rámci prístupu SA-CR aj F-IRB. Revidovali sa najmä haircuty dohľadu platné pre finančný kolaterál</w:t>
      </w:r>
      <w:r w:rsidR="004F01E9" w:rsidRPr="001C4527">
        <w:rPr>
          <w:rStyle w:val="normaltextrun"/>
          <w:noProof/>
          <w:color w:val="000000"/>
          <w:spacing w:val="-8"/>
          <w:shd w:val="clear" w:color="auto" w:fill="FFFFFF"/>
        </w:rPr>
        <w:t xml:space="preserve"> v </w:t>
      </w:r>
      <w:r w:rsidRPr="001C4527">
        <w:rPr>
          <w:rStyle w:val="normaltextrun"/>
          <w:noProof/>
          <w:color w:val="000000"/>
          <w:spacing w:val="-8"/>
          <w:shd w:val="clear" w:color="auto" w:fill="FFFFFF"/>
        </w:rPr>
        <w:t>rámci komplexnej metódy finančného kolaterálu, ako aj hodnoty zabezpečených LGD</w:t>
      </w:r>
      <w:r w:rsidR="004F01E9" w:rsidRPr="001C4527">
        <w:rPr>
          <w:rStyle w:val="normaltextrun"/>
          <w:noProof/>
          <w:color w:val="000000"/>
          <w:spacing w:val="-8"/>
          <w:shd w:val="clear" w:color="auto" w:fill="FFFFFF"/>
        </w:rPr>
        <w:t xml:space="preserve"> a </w:t>
      </w:r>
      <w:r w:rsidRPr="001C4527">
        <w:rPr>
          <w:rStyle w:val="normaltextrun"/>
          <w:noProof/>
          <w:color w:val="000000"/>
          <w:spacing w:val="-8"/>
          <w:shd w:val="clear" w:color="auto" w:fill="FFFFFF"/>
        </w:rPr>
        <w:t>haircuty</w:t>
      </w:r>
      <w:r w:rsidR="004F01E9" w:rsidRPr="001C4527">
        <w:rPr>
          <w:rStyle w:val="normaltextrun"/>
          <w:noProof/>
          <w:color w:val="000000"/>
          <w:spacing w:val="-8"/>
          <w:shd w:val="clear" w:color="auto" w:fill="FFFFFF"/>
        </w:rPr>
        <w:t xml:space="preserve"> z </w:t>
      </w:r>
      <w:r w:rsidRPr="001C4527">
        <w:rPr>
          <w:rStyle w:val="normaltextrun"/>
          <w:noProof/>
          <w:color w:val="000000"/>
          <w:spacing w:val="-8"/>
          <w:shd w:val="clear" w:color="auto" w:fill="FFFFFF"/>
        </w:rPr>
        <w:t>kolaterálu platné pre expozície, na ktoré sa vzťahuje F-IRB</w:t>
      </w:r>
      <w:r w:rsidRPr="001C4527">
        <w:rPr>
          <w:noProof/>
          <w:spacing w:val="-8"/>
        </w:rPr>
        <w:t>.</w:t>
      </w:r>
    </w:p>
    <w:p w14:paraId="00DF7B9E" w14:textId="265B98EF" w:rsidR="00E74DDF" w:rsidRPr="004F01E9" w:rsidRDefault="00E74DDF" w:rsidP="00C67562">
      <w:pPr>
        <w:pBdr>
          <w:top w:val="nil"/>
          <w:left w:val="nil"/>
          <w:bottom w:val="nil"/>
          <w:right w:val="nil"/>
          <w:between w:val="nil"/>
          <w:bar w:val="nil"/>
        </w:pBdr>
        <w:spacing w:after="240"/>
        <w:rPr>
          <w:noProof/>
        </w:rPr>
      </w:pPr>
      <w:r w:rsidRPr="004F01E9">
        <w:rPr>
          <w:noProof/>
        </w:rPr>
        <w:t>Článok 213 ods. 1 písm. c) bod iii)</w:t>
      </w:r>
      <w:r w:rsidR="004F01E9">
        <w:rPr>
          <w:noProof/>
        </w:rPr>
        <w:t xml:space="preserve"> a </w:t>
      </w:r>
      <w:r w:rsidRPr="004F01E9">
        <w:rPr>
          <w:noProof/>
        </w:rPr>
        <w:t>článok 215 ods. 2 sa menia</w:t>
      </w:r>
      <w:r w:rsidR="004F01E9">
        <w:rPr>
          <w:noProof/>
        </w:rPr>
        <w:t xml:space="preserve"> s </w:t>
      </w:r>
      <w:r w:rsidRPr="004F01E9">
        <w:rPr>
          <w:noProof/>
        </w:rPr>
        <w:t>cieľom objasniť kritériá prípustnosti pre záruky, resp. záruky poskytnuté</w:t>
      </w:r>
      <w:r w:rsidR="004F01E9">
        <w:rPr>
          <w:noProof/>
        </w:rPr>
        <w:t xml:space="preserve"> v </w:t>
      </w:r>
      <w:r w:rsidRPr="004F01E9">
        <w:rPr>
          <w:noProof/>
        </w:rPr>
        <w:t>rámci schém vzájomného ručenia alebo poskytnuté subjektmi.</w:t>
      </w:r>
      <w:r w:rsidR="004F01E9">
        <w:rPr>
          <w:noProof/>
        </w:rPr>
        <w:t xml:space="preserve"> V </w:t>
      </w:r>
      <w:r w:rsidRPr="004F01E9">
        <w:rPr>
          <w:noProof/>
        </w:rPr>
        <w:t>rámci týchto objasnení by sa malo predovšetkým poskytnúť ďalšie objasnenie, pokiaľ ide</w:t>
      </w:r>
      <w:r w:rsidR="004F01E9">
        <w:rPr>
          <w:noProof/>
        </w:rPr>
        <w:t xml:space="preserve"> o </w:t>
      </w:r>
      <w:r w:rsidRPr="004F01E9">
        <w:rPr>
          <w:noProof/>
        </w:rPr>
        <w:t>techniky zmierňovania kreditného rizika systémov verejných záruk zriadených</w:t>
      </w:r>
      <w:r w:rsidR="004F01E9">
        <w:rPr>
          <w:noProof/>
        </w:rPr>
        <w:t xml:space="preserve"> v </w:t>
      </w:r>
      <w:r w:rsidRPr="004F01E9">
        <w:rPr>
          <w:noProof/>
        </w:rPr>
        <w:t>súvislosti</w:t>
      </w:r>
      <w:r w:rsidR="004F01E9">
        <w:rPr>
          <w:noProof/>
        </w:rPr>
        <w:t xml:space="preserve"> s </w:t>
      </w:r>
      <w:r w:rsidRPr="004F01E9">
        <w:rPr>
          <w:noProof/>
        </w:rPr>
        <w:t>krízou spôsobenou ochorením COVID-19.</w:t>
      </w:r>
    </w:p>
    <w:p w14:paraId="189617BF" w14:textId="77777777" w:rsidR="00E74DDF" w:rsidRPr="004F01E9" w:rsidRDefault="00E74DDF" w:rsidP="00E22C97">
      <w:pPr>
        <w:rPr>
          <w:b/>
          <w:noProof/>
        </w:rPr>
      </w:pPr>
      <w:r w:rsidRPr="004F01E9">
        <w:rPr>
          <w:b/>
          <w:noProof/>
        </w:rPr>
        <w:t>Rámec trhového rizika</w:t>
      </w:r>
    </w:p>
    <w:p w14:paraId="5119A878" w14:textId="5A0187A0" w:rsidR="00E74DDF" w:rsidRPr="001C4527" w:rsidRDefault="00E74DDF" w:rsidP="00E22C97">
      <w:pPr>
        <w:rPr>
          <w:noProof/>
          <w:spacing w:val="-4"/>
        </w:rPr>
      </w:pPr>
      <w:r w:rsidRPr="001C4527">
        <w:rPr>
          <w:noProof/>
          <w:spacing w:val="-4"/>
        </w:rPr>
        <w:t>V roku 2016 výbor BCBC zverejnil prvý súbor revidovaných štandardov trhového rizika, známych ako hĺbkové preskúmanie obchodnej knihy (FRTB),</w:t>
      </w:r>
      <w:r w:rsidR="004F01E9" w:rsidRPr="001C4527">
        <w:rPr>
          <w:noProof/>
          <w:spacing w:val="-4"/>
        </w:rPr>
        <w:t xml:space="preserve"> s </w:t>
      </w:r>
      <w:r w:rsidRPr="001C4527">
        <w:rPr>
          <w:noProof/>
          <w:spacing w:val="-4"/>
        </w:rPr>
        <w:t>cieľom riešiť zistené nedostatky rámca kapitálových požiadaviek pre trhové riziká pre pozície</w:t>
      </w:r>
      <w:r w:rsidR="004F01E9" w:rsidRPr="001C4527">
        <w:rPr>
          <w:noProof/>
          <w:spacing w:val="-4"/>
        </w:rPr>
        <w:t xml:space="preserve"> v </w:t>
      </w:r>
      <w:r w:rsidRPr="001C4527">
        <w:rPr>
          <w:noProof/>
          <w:spacing w:val="-4"/>
        </w:rPr>
        <w:t>obchodnej knihe.</w:t>
      </w:r>
      <w:r w:rsidR="004F01E9" w:rsidRPr="001C4527">
        <w:rPr>
          <w:noProof/>
          <w:spacing w:val="-4"/>
        </w:rPr>
        <w:t xml:space="preserve"> V </w:t>
      </w:r>
      <w:r w:rsidRPr="001C4527">
        <w:rPr>
          <w:noProof/>
          <w:spacing w:val="-4"/>
        </w:rPr>
        <w:t>priebehu monitorovania vplyvu štandardov výbor BCBS zistil niekoľko problémov týkajúcich sa týchto štandardov</w:t>
      </w:r>
      <w:r w:rsidR="004F01E9" w:rsidRPr="001C4527">
        <w:rPr>
          <w:noProof/>
          <w:spacing w:val="-4"/>
        </w:rPr>
        <w:t xml:space="preserve"> a v </w:t>
      </w:r>
      <w:r w:rsidRPr="001C4527">
        <w:rPr>
          <w:noProof/>
          <w:spacing w:val="-4"/>
        </w:rPr>
        <w:t>dôsledku toho</w:t>
      </w:r>
      <w:r w:rsidR="004F01E9" w:rsidRPr="001C4527">
        <w:rPr>
          <w:noProof/>
          <w:spacing w:val="-4"/>
        </w:rPr>
        <w:t xml:space="preserve"> v </w:t>
      </w:r>
      <w:r w:rsidRPr="001C4527">
        <w:rPr>
          <w:noProof/>
          <w:spacing w:val="-4"/>
        </w:rPr>
        <w:t>januári 2019 zverejnil revidované štandardy FRTB.</w:t>
      </w:r>
    </w:p>
    <w:p w14:paraId="6060DDC5" w14:textId="43F23321" w:rsidR="00E74DDF" w:rsidRPr="001C4527" w:rsidRDefault="00E74DDF" w:rsidP="00E22C97">
      <w:pPr>
        <w:rPr>
          <w:noProof/>
          <w:spacing w:val="-4"/>
        </w:rPr>
      </w:pPr>
      <w:r w:rsidRPr="001C4527">
        <w:rPr>
          <w:noProof/>
          <w:spacing w:val="-4"/>
        </w:rPr>
        <w:t>V novembri 2016 Komisia pôvodne navrhla zaviesť záväzné požiadavky na vlastné zdroje založené na štandardoch FRTB</w:t>
      </w:r>
      <w:r w:rsidR="004F01E9" w:rsidRPr="001C4527">
        <w:rPr>
          <w:noProof/>
          <w:spacing w:val="-4"/>
        </w:rPr>
        <w:t xml:space="preserve"> v </w:t>
      </w:r>
      <w:r w:rsidRPr="001C4527">
        <w:rPr>
          <w:noProof/>
          <w:spacing w:val="-4"/>
        </w:rPr>
        <w:t>rámci nariadenia CRR II</w:t>
      </w:r>
      <w:r w:rsidR="004F01E9" w:rsidRPr="001C4527">
        <w:rPr>
          <w:noProof/>
          <w:spacing w:val="-4"/>
        </w:rPr>
        <w:t xml:space="preserve"> s </w:t>
      </w:r>
      <w:r w:rsidRPr="001C4527">
        <w:rPr>
          <w:noProof/>
          <w:spacing w:val="-4"/>
        </w:rPr>
        <w:t>cieľom riešiť nedostatky rámca trhového rizika. Vzhľadom na následné rozhodnutie výboru BCBS</w:t>
      </w:r>
      <w:r w:rsidR="004F01E9" w:rsidRPr="001C4527">
        <w:rPr>
          <w:noProof/>
          <w:spacing w:val="-4"/>
        </w:rPr>
        <w:t xml:space="preserve"> o </w:t>
      </w:r>
      <w:r w:rsidRPr="001C4527">
        <w:rPr>
          <w:noProof/>
          <w:spacing w:val="-4"/>
        </w:rPr>
        <w:t>revízii týchto štandardov</w:t>
      </w:r>
      <w:r w:rsidR="004F01E9" w:rsidRPr="001C4527">
        <w:rPr>
          <w:noProof/>
          <w:spacing w:val="-4"/>
        </w:rPr>
        <w:t xml:space="preserve"> s </w:t>
      </w:r>
      <w:r w:rsidRPr="001C4527">
        <w:rPr>
          <w:noProof/>
          <w:spacing w:val="-4"/>
        </w:rPr>
        <w:t>časovým harmonogramom nezlučiteľným</w:t>
      </w:r>
      <w:r w:rsidR="004F01E9" w:rsidRPr="001C4527">
        <w:rPr>
          <w:noProof/>
          <w:spacing w:val="-4"/>
        </w:rPr>
        <w:t xml:space="preserve"> s </w:t>
      </w:r>
      <w:r w:rsidRPr="001C4527">
        <w:rPr>
          <w:noProof/>
          <w:spacing w:val="-4"/>
        </w:rPr>
        <w:t>míľnikmi</w:t>
      </w:r>
      <w:r w:rsidR="004F01E9" w:rsidRPr="001C4527">
        <w:rPr>
          <w:noProof/>
          <w:spacing w:val="-4"/>
        </w:rPr>
        <w:t xml:space="preserve"> v </w:t>
      </w:r>
      <w:r w:rsidRPr="001C4527">
        <w:rPr>
          <w:noProof/>
          <w:spacing w:val="-4"/>
        </w:rPr>
        <w:t>procese rokovaní</w:t>
      </w:r>
      <w:r w:rsidR="004F01E9" w:rsidRPr="001C4527">
        <w:rPr>
          <w:noProof/>
          <w:spacing w:val="-4"/>
        </w:rPr>
        <w:t xml:space="preserve"> o </w:t>
      </w:r>
      <w:r w:rsidRPr="001C4527">
        <w:rPr>
          <w:noProof/>
          <w:spacing w:val="-4"/>
        </w:rPr>
        <w:t>nariadení CRR II sa však Európsky parlament</w:t>
      </w:r>
      <w:r w:rsidR="004F01E9" w:rsidRPr="001C4527">
        <w:rPr>
          <w:noProof/>
          <w:spacing w:val="-4"/>
        </w:rPr>
        <w:t xml:space="preserve"> a </w:t>
      </w:r>
      <w:r w:rsidRPr="001C4527">
        <w:rPr>
          <w:noProof/>
          <w:spacing w:val="-4"/>
        </w:rPr>
        <w:t>Rada dohodli na tom, že do nariadenia CRR II sa zavedú štandardy FRTB len na účely podávania správ. Zavedenie požiadaviek na vlastné zdroje na základe štandardov FRTB sa ponechalo na neskôr,</w:t>
      </w:r>
      <w:r w:rsidR="004F01E9" w:rsidRPr="001C4527">
        <w:rPr>
          <w:noProof/>
          <w:spacing w:val="-4"/>
        </w:rPr>
        <w:t xml:space="preserve"> a </w:t>
      </w:r>
      <w:r w:rsidRPr="001C4527">
        <w:rPr>
          <w:noProof/>
          <w:spacing w:val="-4"/>
        </w:rPr>
        <w:t>to prijatím samostatného legislatívneho návrhu.</w:t>
      </w:r>
    </w:p>
    <w:p w14:paraId="67A517B1" w14:textId="46FBF6E6" w:rsidR="00806B81" w:rsidRPr="004F01E9" w:rsidRDefault="00E74DDF" w:rsidP="00E22C97">
      <w:pPr>
        <w:rPr>
          <w:noProof/>
        </w:rPr>
      </w:pPr>
      <w:r w:rsidRPr="004F01E9">
        <w:rPr>
          <w:noProof/>
        </w:rPr>
        <w:t>V záujme zavedenia záväzných požiadaviek na vlastné zdroje pre trhové riziko</w:t>
      </w:r>
      <w:r w:rsidR="004F01E9">
        <w:rPr>
          <w:noProof/>
        </w:rPr>
        <w:t xml:space="preserve"> v </w:t>
      </w:r>
      <w:r w:rsidRPr="004F01E9">
        <w:rPr>
          <w:noProof/>
        </w:rPr>
        <w:t>súlade</w:t>
      </w:r>
      <w:r w:rsidR="004F01E9">
        <w:rPr>
          <w:noProof/>
        </w:rPr>
        <w:t xml:space="preserve"> s </w:t>
      </w:r>
      <w:r w:rsidRPr="004F01E9">
        <w:rPr>
          <w:noProof/>
        </w:rPr>
        <w:t>revidovanými štandardmi FRTB sa</w:t>
      </w:r>
      <w:r w:rsidR="004F01E9">
        <w:rPr>
          <w:noProof/>
        </w:rPr>
        <w:t xml:space="preserve"> v </w:t>
      </w:r>
      <w:r w:rsidRPr="004F01E9">
        <w:rPr>
          <w:noProof/>
        </w:rPr>
        <w:t>nariadení CRR vykonalo niekoľko zmien.</w:t>
      </w:r>
    </w:p>
    <w:p w14:paraId="09155BA8" w14:textId="48F59371" w:rsidR="00806B81" w:rsidRPr="004F01E9" w:rsidRDefault="00E74DDF" w:rsidP="00E22C97">
      <w:pPr>
        <w:rPr>
          <w:i/>
          <w:noProof/>
        </w:rPr>
      </w:pPr>
      <w:r w:rsidRPr="004F01E9">
        <w:rPr>
          <w:i/>
          <w:noProof/>
        </w:rPr>
        <w:t>Predmet úpravy, rozsah pôsobnosti</w:t>
      </w:r>
      <w:r w:rsidR="004F01E9">
        <w:rPr>
          <w:i/>
          <w:noProof/>
        </w:rPr>
        <w:t xml:space="preserve"> a </w:t>
      </w:r>
      <w:r w:rsidRPr="004F01E9">
        <w:rPr>
          <w:i/>
          <w:noProof/>
        </w:rPr>
        <w:t>vymedzenie pojmov</w:t>
      </w:r>
    </w:p>
    <w:p w14:paraId="63410F0E" w14:textId="0C4171CC" w:rsidR="00806B81" w:rsidRPr="004F01E9" w:rsidRDefault="00E74DDF" w:rsidP="00E22C97">
      <w:pPr>
        <w:rPr>
          <w:noProof/>
        </w:rPr>
      </w:pPr>
      <w:r w:rsidRPr="004F01E9">
        <w:rPr>
          <w:noProof/>
        </w:rPr>
        <w:t>Článok 4 sa mení</w:t>
      </w:r>
      <w:r w:rsidR="004F01E9">
        <w:rPr>
          <w:noProof/>
        </w:rPr>
        <w:t xml:space="preserve"> s </w:t>
      </w:r>
      <w:r w:rsidRPr="004F01E9">
        <w:rPr>
          <w:noProof/>
        </w:rPr>
        <w:t>cieľom objasniť vymedzenie pojmu trading desk.</w:t>
      </w:r>
    </w:p>
    <w:p w14:paraId="7211403F" w14:textId="1341ED80" w:rsidR="00E74DDF" w:rsidRPr="004F01E9" w:rsidRDefault="00E74DDF" w:rsidP="00E22C97">
      <w:pPr>
        <w:rPr>
          <w:i/>
          <w:noProof/>
        </w:rPr>
      </w:pPr>
      <w:r w:rsidRPr="004F01E9">
        <w:rPr>
          <w:i/>
          <w:noProof/>
        </w:rPr>
        <w:t>Prvky vlastných zdrojov</w:t>
      </w:r>
    </w:p>
    <w:p w14:paraId="09FD41B2" w14:textId="7FB59DA6" w:rsidR="00806B81" w:rsidRPr="004F01E9" w:rsidRDefault="00E74DDF" w:rsidP="00E22C97">
      <w:pPr>
        <w:rPr>
          <w:noProof/>
        </w:rPr>
      </w:pPr>
      <w:r w:rsidRPr="004F01E9">
        <w:rPr>
          <w:noProof/>
        </w:rPr>
        <w:t>Článok 34 sa mení tak, aby obsahoval výnimku umožňujúcu inštitúciám znížiť celkové dodatočné úpravy ocenenia za mimoriadnych okolností na základe stanoviska, ktoré poskytol orgán EBA,</w:t>
      </w:r>
      <w:r w:rsidR="004F01E9">
        <w:rPr>
          <w:noProof/>
        </w:rPr>
        <w:t xml:space="preserve"> s </w:t>
      </w:r>
      <w:r w:rsidRPr="004F01E9">
        <w:rPr>
          <w:noProof/>
        </w:rPr>
        <w:t>cieľom riešiť procyklickosť zakotvenú</w:t>
      </w:r>
      <w:r w:rsidR="004F01E9">
        <w:rPr>
          <w:noProof/>
        </w:rPr>
        <w:t xml:space="preserve"> v </w:t>
      </w:r>
      <w:r w:rsidRPr="004F01E9">
        <w:rPr>
          <w:noProof/>
        </w:rPr>
        <w:t>dodatočných úpravách ocenenia odpočítaných</w:t>
      </w:r>
      <w:r w:rsidR="004F01E9">
        <w:rPr>
          <w:noProof/>
        </w:rPr>
        <w:t xml:space="preserve"> z </w:t>
      </w:r>
      <w:r w:rsidRPr="004F01E9">
        <w:rPr>
          <w:noProof/>
        </w:rPr>
        <w:t>vlastného kapitálu Tier 1.</w:t>
      </w:r>
    </w:p>
    <w:p w14:paraId="50D4679B" w14:textId="21870C58" w:rsidR="00E74DDF" w:rsidRPr="004F01E9" w:rsidRDefault="00E74DDF" w:rsidP="00E22C97">
      <w:pPr>
        <w:rPr>
          <w:i/>
          <w:noProof/>
        </w:rPr>
      </w:pPr>
      <w:r w:rsidRPr="004F01E9">
        <w:rPr>
          <w:i/>
          <w:noProof/>
        </w:rPr>
        <w:t>Všeobecné požiadavky, oceňovanie</w:t>
      </w:r>
      <w:r w:rsidR="004F01E9">
        <w:rPr>
          <w:i/>
          <w:noProof/>
        </w:rPr>
        <w:t xml:space="preserve"> a </w:t>
      </w:r>
      <w:r w:rsidRPr="004F01E9">
        <w:rPr>
          <w:i/>
          <w:noProof/>
        </w:rPr>
        <w:t>podávanie správ</w:t>
      </w:r>
    </w:p>
    <w:p w14:paraId="7F9779D3" w14:textId="3BC572F2" w:rsidR="00E74DDF" w:rsidRPr="004F01E9" w:rsidRDefault="00E74DDF" w:rsidP="00E22C97">
      <w:pPr>
        <w:rPr>
          <w:noProof/>
        </w:rPr>
      </w:pPr>
      <w:r w:rsidRPr="004F01E9">
        <w:rPr>
          <w:noProof/>
        </w:rPr>
        <w:t>Článok 102 sa mení</w:t>
      </w:r>
      <w:r w:rsidR="004F01E9">
        <w:rPr>
          <w:noProof/>
        </w:rPr>
        <w:t xml:space="preserve"> s </w:t>
      </w:r>
      <w:r w:rsidRPr="004F01E9">
        <w:rPr>
          <w:noProof/>
        </w:rPr>
        <w:t>cieľom zaviesť prístupy FRTB na účely výpočtu požiadaviek na vlastné zdroje. Článok 104 sa nahrádza</w:t>
      </w:r>
      <w:r w:rsidR="004F01E9">
        <w:rPr>
          <w:noProof/>
        </w:rPr>
        <w:t xml:space="preserve"> s </w:t>
      </w:r>
      <w:r w:rsidRPr="004F01E9">
        <w:rPr>
          <w:noProof/>
        </w:rPr>
        <w:t>cieľom revidovať kritériá používané na priraďovanie pozícií do obchodnej knihy alebo do neobchodnej knihy (t. j. bankovej knihy); zároveň sa ním zavádza výnimka, ktorá inštitúcii umožňuje priradiť do neobchodnej knihy osobitné nástroje, ktoré by inak boli priradené do obchodnej knihy; výnimka podlieha veľmi prísnym podmienkam</w:t>
      </w:r>
      <w:r w:rsidR="004F01E9">
        <w:rPr>
          <w:noProof/>
        </w:rPr>
        <w:t xml:space="preserve"> a </w:t>
      </w:r>
      <w:r w:rsidRPr="004F01E9">
        <w:rPr>
          <w:noProof/>
        </w:rPr>
        <w:t>schváleniu príslušným orgánom inštitúcie. Článok 104a sa mení</w:t>
      </w:r>
      <w:r w:rsidR="004F01E9">
        <w:rPr>
          <w:noProof/>
        </w:rPr>
        <w:t xml:space="preserve"> s </w:t>
      </w:r>
      <w:r w:rsidRPr="004F01E9">
        <w:rPr>
          <w:noProof/>
        </w:rPr>
        <w:t>cieľom bližšie špecifikovať podmienky, ktoré je potrebné použiť na preklasifikovanie nástroja medzi týmito dvomi knihami. Článok 104b sa mení</w:t>
      </w:r>
      <w:r w:rsidR="004F01E9">
        <w:rPr>
          <w:noProof/>
        </w:rPr>
        <w:t xml:space="preserve"> s </w:t>
      </w:r>
      <w:r w:rsidRPr="004F01E9">
        <w:rPr>
          <w:noProof/>
        </w:rPr>
        <w:t>cieľom zaviesť výnimku, ktorá inštitúciám umožňuje vytvárať špecializované trading desky, ktorým môžu inštitúcie prideľovať výlučne pozície</w:t>
      </w:r>
      <w:r w:rsidR="004F01E9">
        <w:rPr>
          <w:noProof/>
        </w:rPr>
        <w:t xml:space="preserve"> v </w:t>
      </w:r>
      <w:r w:rsidRPr="004F01E9">
        <w:rPr>
          <w:noProof/>
        </w:rPr>
        <w:t>neobchodnej knihe podliehajúce devízovému riziku</w:t>
      </w:r>
      <w:r w:rsidR="004F01E9">
        <w:rPr>
          <w:noProof/>
        </w:rPr>
        <w:t xml:space="preserve"> a </w:t>
      </w:r>
      <w:r w:rsidRPr="004F01E9">
        <w:rPr>
          <w:noProof/>
        </w:rPr>
        <w:t>komoditnému riziku. Zavádza sa článok 104c</w:t>
      </w:r>
      <w:r w:rsidR="004F01E9">
        <w:rPr>
          <w:noProof/>
        </w:rPr>
        <w:t xml:space="preserve"> s </w:t>
      </w:r>
      <w:r w:rsidRPr="004F01E9">
        <w:rPr>
          <w:noProof/>
        </w:rPr>
        <w:t>cieľom špecifikovať zaobchádzanie</w:t>
      </w:r>
      <w:r w:rsidR="004F01E9">
        <w:rPr>
          <w:noProof/>
        </w:rPr>
        <w:t xml:space="preserve"> s </w:t>
      </w:r>
      <w:r w:rsidRPr="004F01E9">
        <w:rPr>
          <w:noProof/>
        </w:rPr>
        <w:t>hedžingmi devízového rizika</w:t>
      </w:r>
      <w:r w:rsidR="004F01E9">
        <w:rPr>
          <w:noProof/>
        </w:rPr>
        <w:t xml:space="preserve"> v </w:t>
      </w:r>
      <w:r w:rsidRPr="004F01E9">
        <w:rPr>
          <w:noProof/>
        </w:rPr>
        <w:t>kapitálových ukazovateľoch, čo inštitúciám umožňuje za určitých podmienok vylúčiť niektoré pozície</w:t>
      </w:r>
      <w:r w:rsidR="004F01E9">
        <w:rPr>
          <w:noProof/>
        </w:rPr>
        <w:t xml:space="preserve"> z </w:t>
      </w:r>
      <w:r w:rsidRPr="004F01E9">
        <w:rPr>
          <w:noProof/>
        </w:rPr>
        <w:t>výpočtu požiadaviek na vlastné zdroje pre devízové riziko. Článok 106 sa mení</w:t>
      </w:r>
      <w:r w:rsidR="004F01E9">
        <w:rPr>
          <w:noProof/>
        </w:rPr>
        <w:t xml:space="preserve"> s </w:t>
      </w:r>
      <w:r w:rsidRPr="004F01E9">
        <w:rPr>
          <w:noProof/>
        </w:rPr>
        <w:t>cieľom objasniť existujúce ustanovenia</w:t>
      </w:r>
      <w:r w:rsidR="004F01E9">
        <w:rPr>
          <w:noProof/>
        </w:rPr>
        <w:t xml:space="preserve"> o </w:t>
      </w:r>
      <w:r w:rsidRPr="004F01E9">
        <w:rPr>
          <w:noProof/>
        </w:rPr>
        <w:t>interných presunoch rizika.</w:t>
      </w:r>
    </w:p>
    <w:p w14:paraId="71298FA8" w14:textId="77777777" w:rsidR="00E74DDF" w:rsidRPr="004F01E9" w:rsidRDefault="00E74DDF" w:rsidP="00E22C97">
      <w:pPr>
        <w:rPr>
          <w:i/>
          <w:noProof/>
        </w:rPr>
      </w:pPr>
      <w:r w:rsidRPr="004F01E9">
        <w:rPr>
          <w:i/>
          <w:noProof/>
        </w:rPr>
        <w:t>Všeobecné ustanovenia</w:t>
      </w:r>
    </w:p>
    <w:p w14:paraId="35D61D78" w14:textId="3E87F8FD" w:rsidR="00806B81" w:rsidRPr="004F01E9" w:rsidRDefault="00E74DDF" w:rsidP="00E74DDF">
      <w:pPr>
        <w:rPr>
          <w:rFonts w:eastAsia="Times New Roman"/>
          <w:noProof/>
          <w:color w:val="000000"/>
        </w:rPr>
      </w:pPr>
      <w:r w:rsidRPr="004F01E9">
        <w:rPr>
          <w:noProof/>
          <w:color w:val="000000"/>
        </w:rPr>
        <w:t>Článok 325 sa mení</w:t>
      </w:r>
      <w:r w:rsidR="004F01E9">
        <w:rPr>
          <w:noProof/>
          <w:color w:val="000000"/>
        </w:rPr>
        <w:t xml:space="preserve"> s </w:t>
      </w:r>
      <w:r w:rsidRPr="004F01E9">
        <w:rPr>
          <w:noProof/>
          <w:color w:val="000000"/>
        </w:rPr>
        <w:t>cieľom zaviesť záväzné požiadavky na vlastné zdroje pre trhové riziko založené</w:t>
      </w:r>
      <w:r w:rsidRPr="004F01E9">
        <w:rPr>
          <w:noProof/>
        </w:rPr>
        <w:t xml:space="preserve"> </w:t>
      </w:r>
      <w:r w:rsidRPr="004F01E9">
        <w:rPr>
          <w:noProof/>
          <w:color w:val="000000"/>
        </w:rPr>
        <w:t>na prístupoch FRTB stanovených</w:t>
      </w:r>
      <w:r w:rsidR="004F01E9">
        <w:rPr>
          <w:noProof/>
          <w:color w:val="000000"/>
        </w:rPr>
        <w:t xml:space="preserve"> v </w:t>
      </w:r>
      <w:r w:rsidRPr="004F01E9">
        <w:rPr>
          <w:noProof/>
          <w:color w:val="000000"/>
        </w:rPr>
        <w:t>kapitolách 1a (alternatívny štandardizovaný prístup alebo A-SA), 1b (alternatívny prístup interného modelu alebo A-IMA)</w:t>
      </w:r>
      <w:r w:rsidR="004F01E9">
        <w:rPr>
          <w:noProof/>
          <w:color w:val="000000"/>
        </w:rPr>
        <w:t xml:space="preserve"> a </w:t>
      </w:r>
      <w:r w:rsidRPr="004F01E9">
        <w:rPr>
          <w:noProof/>
          <w:color w:val="000000"/>
        </w:rPr>
        <w:t>kapitolách 2 až 4 (zjednodušený štandardizovaný prístup alebo SSA), ako aj podmienky ich použitia</w:t>
      </w:r>
      <w:r w:rsidR="004F01E9">
        <w:rPr>
          <w:noProof/>
          <w:color w:val="000000"/>
        </w:rPr>
        <w:t xml:space="preserve"> a </w:t>
      </w:r>
      <w:r w:rsidRPr="004F01E9">
        <w:rPr>
          <w:noProof/>
          <w:color w:val="000000"/>
        </w:rPr>
        <w:t>frekvenciu výpočtu požiadaviek na vlastné zdroje. Zavádza sa aj výnimka pre inštitúcie</w:t>
      </w:r>
      <w:r w:rsidR="004F01E9">
        <w:rPr>
          <w:noProof/>
          <w:color w:val="000000"/>
        </w:rPr>
        <w:t xml:space="preserve"> z </w:t>
      </w:r>
      <w:r w:rsidRPr="004F01E9">
        <w:rPr>
          <w:noProof/>
          <w:color w:val="000000"/>
        </w:rPr>
        <w:t>výpočtu požiadaviek na vlastné zdroje pre pozície podliehajúce devízovému riziku, ktoré sa odpočítavajú od ich vlastných zdrojov.</w:t>
      </w:r>
    </w:p>
    <w:p w14:paraId="59A308E4" w14:textId="72E3DB3A" w:rsidR="00E74DDF" w:rsidRPr="004F01E9" w:rsidRDefault="00E74DDF" w:rsidP="00E74DDF">
      <w:pPr>
        <w:rPr>
          <w:rFonts w:eastAsia="Times New Roman"/>
          <w:noProof/>
          <w:color w:val="000000"/>
        </w:rPr>
      </w:pPr>
      <w:r w:rsidRPr="004F01E9">
        <w:rPr>
          <w:noProof/>
          <w:color w:val="000000"/>
        </w:rPr>
        <w:t>Článok 325a sa mení</w:t>
      </w:r>
      <w:r w:rsidR="004F01E9">
        <w:rPr>
          <w:noProof/>
          <w:color w:val="000000"/>
        </w:rPr>
        <w:t xml:space="preserve"> s </w:t>
      </w:r>
      <w:r w:rsidRPr="004F01E9">
        <w:rPr>
          <w:noProof/>
          <w:color w:val="000000"/>
        </w:rPr>
        <w:t>cieľom zaviesť kritériá prípustnosti na používanie SSA.</w:t>
      </w:r>
    </w:p>
    <w:p w14:paraId="5E98F548" w14:textId="77777777" w:rsidR="00E74DDF" w:rsidRPr="004F01E9" w:rsidRDefault="00E74DDF" w:rsidP="00E74DDF">
      <w:pPr>
        <w:rPr>
          <w:rFonts w:eastAsia="Times New Roman"/>
          <w:noProof/>
          <w:color w:val="000000"/>
        </w:rPr>
      </w:pPr>
      <w:r w:rsidRPr="004F01E9">
        <w:rPr>
          <w:noProof/>
          <w:color w:val="000000"/>
        </w:rPr>
        <w:t>V článku 325b sa objasňuje výpočet požiadaviek na vlastné zdroje pre trhové riziko na konsolidovanom základe.</w:t>
      </w:r>
    </w:p>
    <w:p w14:paraId="1859E04E" w14:textId="77777777" w:rsidR="00806B81" w:rsidRPr="004F01E9" w:rsidRDefault="00E74DDF" w:rsidP="00E22C97">
      <w:pPr>
        <w:rPr>
          <w:i/>
          <w:noProof/>
        </w:rPr>
      </w:pPr>
      <w:r w:rsidRPr="004F01E9">
        <w:rPr>
          <w:i/>
          <w:noProof/>
        </w:rPr>
        <w:t>Alternatívny štandardizovaný prístup</w:t>
      </w:r>
    </w:p>
    <w:p w14:paraId="76D72F8F" w14:textId="1E41EA21" w:rsidR="00E74DDF" w:rsidRPr="004F01E9" w:rsidRDefault="00E74DDF" w:rsidP="00E74DDF">
      <w:pPr>
        <w:rPr>
          <w:rFonts w:eastAsia="Times New Roman"/>
          <w:noProof/>
          <w:color w:val="000000"/>
        </w:rPr>
      </w:pPr>
      <w:r w:rsidRPr="004F01E9">
        <w:rPr>
          <w:noProof/>
          <w:color w:val="000000"/>
        </w:rPr>
        <w:t>Článok 325c sa mení</w:t>
      </w:r>
      <w:r w:rsidR="004F01E9">
        <w:rPr>
          <w:noProof/>
          <w:color w:val="000000"/>
        </w:rPr>
        <w:t xml:space="preserve"> s </w:t>
      </w:r>
      <w:r w:rsidRPr="004F01E9">
        <w:rPr>
          <w:noProof/>
          <w:color w:val="000000"/>
        </w:rPr>
        <w:t>cieľom zaviesť dodatočné kvalitatívne požiadavky súvisiace</w:t>
      </w:r>
      <w:r w:rsidR="004F01E9">
        <w:rPr>
          <w:noProof/>
          <w:color w:val="000000"/>
        </w:rPr>
        <w:t xml:space="preserve"> s </w:t>
      </w:r>
      <w:r w:rsidRPr="004F01E9">
        <w:rPr>
          <w:noProof/>
          <w:color w:val="000000"/>
        </w:rPr>
        <w:t>validáciou, dokumentáciou</w:t>
      </w:r>
      <w:r w:rsidR="004F01E9">
        <w:rPr>
          <w:noProof/>
          <w:color w:val="000000"/>
        </w:rPr>
        <w:t xml:space="preserve"> a </w:t>
      </w:r>
      <w:r w:rsidRPr="004F01E9">
        <w:rPr>
          <w:noProof/>
          <w:color w:val="000000"/>
        </w:rPr>
        <w:t>správou</w:t>
      </w:r>
      <w:r w:rsidR="004F01E9">
        <w:rPr>
          <w:noProof/>
          <w:color w:val="000000"/>
        </w:rPr>
        <w:t xml:space="preserve"> a </w:t>
      </w:r>
      <w:r w:rsidRPr="004F01E9">
        <w:rPr>
          <w:noProof/>
          <w:color w:val="000000"/>
        </w:rPr>
        <w:t>riadením A-SA.</w:t>
      </w:r>
    </w:p>
    <w:p w14:paraId="35C3F9A6" w14:textId="5FA4C9DF" w:rsidR="00806B81" w:rsidRPr="004F01E9" w:rsidRDefault="00E74DDF" w:rsidP="00E74DDF">
      <w:pPr>
        <w:rPr>
          <w:rFonts w:eastAsia="Times New Roman"/>
          <w:noProof/>
          <w:color w:val="000000"/>
        </w:rPr>
      </w:pPr>
      <w:r w:rsidRPr="004F01E9">
        <w:rPr>
          <w:noProof/>
          <w:color w:val="000000"/>
        </w:rPr>
        <w:t>Článok 325j sa mení</w:t>
      </w:r>
      <w:r w:rsidR="004F01E9">
        <w:rPr>
          <w:noProof/>
          <w:color w:val="000000"/>
        </w:rPr>
        <w:t xml:space="preserve"> s </w:t>
      </w:r>
      <w:r w:rsidRPr="004F01E9">
        <w:rPr>
          <w:noProof/>
          <w:color w:val="000000"/>
        </w:rPr>
        <w:t>cieľom objasniť určité prvky konečných štandardov FRTB, pokiaľ ide</w:t>
      </w:r>
      <w:r w:rsidR="004F01E9">
        <w:rPr>
          <w:noProof/>
          <w:color w:val="000000"/>
        </w:rPr>
        <w:t xml:space="preserve"> o </w:t>
      </w:r>
      <w:r w:rsidRPr="004F01E9">
        <w:rPr>
          <w:noProof/>
          <w:color w:val="000000"/>
        </w:rPr>
        <w:t>zaobchádzanie</w:t>
      </w:r>
      <w:r w:rsidR="004F01E9">
        <w:rPr>
          <w:noProof/>
          <w:color w:val="000000"/>
        </w:rPr>
        <w:t xml:space="preserve"> s </w:t>
      </w:r>
      <w:r w:rsidRPr="004F01E9">
        <w:rPr>
          <w:noProof/>
          <w:color w:val="000000"/>
        </w:rPr>
        <w:t>investíciami do fondov (t. j podniky kolektívneho investovania alebo PKI)</w:t>
      </w:r>
      <w:r w:rsidR="004F01E9">
        <w:rPr>
          <w:noProof/>
          <w:color w:val="000000"/>
        </w:rPr>
        <w:t xml:space="preserve"> a </w:t>
      </w:r>
      <w:r w:rsidRPr="004F01E9">
        <w:rPr>
          <w:noProof/>
          <w:color w:val="000000"/>
        </w:rPr>
        <w:t>zaviesť určité cielené úpravy do výpočtu požiadaviek na vlastné zdroje pre tieto pozície, aby sa zabezpečilo, že zaobchádzanie</w:t>
      </w:r>
      <w:r w:rsidR="004F01E9">
        <w:rPr>
          <w:noProof/>
          <w:color w:val="000000"/>
        </w:rPr>
        <w:t xml:space="preserve"> s </w:t>
      </w:r>
      <w:r w:rsidRPr="004F01E9">
        <w:rPr>
          <w:noProof/>
          <w:color w:val="000000"/>
        </w:rPr>
        <w:t>PKI podľa štandardizovaného prístupu nebude neúmerne zvyšovať zložitosť výpočtu</w:t>
      </w:r>
      <w:r w:rsidR="004F01E9">
        <w:rPr>
          <w:noProof/>
          <w:color w:val="000000"/>
        </w:rPr>
        <w:t xml:space="preserve"> a </w:t>
      </w:r>
      <w:r w:rsidRPr="004F01E9">
        <w:rPr>
          <w:noProof/>
          <w:color w:val="000000"/>
        </w:rPr>
        <w:t>bude menej penalizujúce vzhľadom na to, že PKI zohrávajú kľúčovú úlohu pri uľahčovaní akumulácie osobných úspor, či už na zásadné investície alebo na dôchodok. Tieto ciele sa riešia špecifikovaním toho, že inštitúcie by mali uplatňovať prístup založený na prezretí podkladových expozícií</w:t>
      </w:r>
      <w:r w:rsidR="004F01E9">
        <w:rPr>
          <w:noProof/>
          <w:color w:val="000000"/>
        </w:rPr>
        <w:t xml:space="preserve"> s </w:t>
      </w:r>
      <w:r w:rsidRPr="004F01E9">
        <w:rPr>
          <w:noProof/>
          <w:color w:val="000000"/>
        </w:rPr>
        <w:t>mesačnou frekvenciou pre tie pozície</w:t>
      </w:r>
      <w:r w:rsidR="004F01E9">
        <w:rPr>
          <w:noProof/>
          <w:color w:val="000000"/>
        </w:rPr>
        <w:t xml:space="preserve"> v </w:t>
      </w:r>
      <w:r w:rsidRPr="004F01E9">
        <w:rPr>
          <w:noProof/>
          <w:color w:val="000000"/>
        </w:rPr>
        <w:t>PKI, ktorých sa tento prístup týka,</w:t>
      </w:r>
      <w:r w:rsidR="004F01E9">
        <w:rPr>
          <w:noProof/>
          <w:color w:val="000000"/>
        </w:rPr>
        <w:t xml:space="preserve"> a </w:t>
      </w:r>
      <w:r w:rsidRPr="004F01E9">
        <w:rPr>
          <w:noProof/>
          <w:color w:val="000000"/>
        </w:rPr>
        <w:t>tým, že inštitúciám sa za špecifických podmienok umožní používať údaje, ktoré poskytli príslušné tretie strany, pri výpočte požiadaviek na vlastné zdroje</w:t>
      </w:r>
      <w:r w:rsidR="004F01E9">
        <w:rPr>
          <w:noProof/>
          <w:color w:val="000000"/>
        </w:rPr>
        <w:t xml:space="preserve"> v </w:t>
      </w:r>
      <w:r w:rsidRPr="004F01E9">
        <w:rPr>
          <w:noProof/>
          <w:color w:val="000000"/>
        </w:rPr>
        <w:t>rámci prístupu založeného na prezretí podkladových expozícií. Okrem toho sa</w:t>
      </w:r>
      <w:r w:rsidR="004F01E9">
        <w:rPr>
          <w:noProof/>
          <w:color w:val="000000"/>
        </w:rPr>
        <w:t xml:space="preserve"> v </w:t>
      </w:r>
      <w:r w:rsidRPr="004F01E9">
        <w:rPr>
          <w:noProof/>
          <w:color w:val="000000"/>
        </w:rPr>
        <w:t>rámci prístupu založeného na mandáte článkom 325j zavádza mandát pre orgán EBA na ďalšie špecifikovanie technických prvkov, ktoré musia inštitúcie použiť na vytvorenie hypotetického portfólia používaného pri výpočte požiadaviek na vlastné zdroje.</w:t>
      </w:r>
    </w:p>
    <w:p w14:paraId="4F8712D0" w14:textId="6BD8705A" w:rsidR="00E74DDF" w:rsidRPr="004F01E9" w:rsidRDefault="00E74DDF" w:rsidP="00E74DDF">
      <w:pPr>
        <w:rPr>
          <w:rFonts w:eastAsia="Times New Roman"/>
          <w:noProof/>
          <w:color w:val="000000"/>
        </w:rPr>
      </w:pPr>
      <w:r w:rsidRPr="004F01E9">
        <w:rPr>
          <w:noProof/>
          <w:color w:val="000000"/>
        </w:rPr>
        <w:t>Článok 325q sa mení</w:t>
      </w:r>
      <w:r w:rsidR="004F01E9">
        <w:rPr>
          <w:noProof/>
          <w:color w:val="000000"/>
        </w:rPr>
        <w:t xml:space="preserve"> s </w:t>
      </w:r>
      <w:r w:rsidRPr="004F01E9">
        <w:rPr>
          <w:noProof/>
          <w:color w:val="000000"/>
        </w:rPr>
        <w:t>cieľom objasniť zaobchádzanie</w:t>
      </w:r>
      <w:r w:rsidR="004F01E9">
        <w:rPr>
          <w:noProof/>
          <w:color w:val="000000"/>
        </w:rPr>
        <w:t xml:space="preserve"> s </w:t>
      </w:r>
      <w:r w:rsidRPr="004F01E9">
        <w:rPr>
          <w:noProof/>
          <w:color w:val="000000"/>
        </w:rPr>
        <w:t>faktormi devízového rizika vega.</w:t>
      </w:r>
    </w:p>
    <w:p w14:paraId="0BE9916E" w14:textId="69D92518" w:rsidR="00E74DDF" w:rsidRPr="004F01E9" w:rsidRDefault="00E74DDF" w:rsidP="00E74DDF">
      <w:pPr>
        <w:rPr>
          <w:rFonts w:eastAsia="Times New Roman"/>
          <w:noProof/>
          <w:color w:val="000000"/>
        </w:rPr>
      </w:pPr>
      <w:r w:rsidRPr="004F01E9">
        <w:rPr>
          <w:noProof/>
          <w:color w:val="000000"/>
        </w:rPr>
        <w:t>Článok 325s sa mení</w:t>
      </w:r>
      <w:r w:rsidR="004F01E9">
        <w:rPr>
          <w:noProof/>
          <w:color w:val="000000"/>
        </w:rPr>
        <w:t xml:space="preserve"> s </w:t>
      </w:r>
      <w:r w:rsidRPr="004F01E9">
        <w:rPr>
          <w:noProof/>
          <w:color w:val="000000"/>
        </w:rPr>
        <w:t>cieľom upraviť vzorec citlivosti na riziko vega.</w:t>
      </w:r>
    </w:p>
    <w:p w14:paraId="1A7CD09A" w14:textId="6CE71C4B" w:rsidR="00E74DDF" w:rsidRPr="004F01E9" w:rsidRDefault="00E74DDF" w:rsidP="00E74DDF">
      <w:pPr>
        <w:rPr>
          <w:rFonts w:eastAsia="Times New Roman"/>
          <w:noProof/>
          <w:color w:val="000000"/>
        </w:rPr>
      </w:pPr>
      <w:r w:rsidRPr="004F01E9">
        <w:rPr>
          <w:noProof/>
          <w:color w:val="000000"/>
        </w:rPr>
        <w:t>Článok 325t sa mení tak, aby sa ďalej zosúladili citlivosti používané na výpočet požiadaviek na vlastné zdroje</w:t>
      </w:r>
      <w:r w:rsidR="004F01E9">
        <w:rPr>
          <w:noProof/>
          <w:color w:val="000000"/>
        </w:rPr>
        <w:t xml:space="preserve"> s </w:t>
      </w:r>
      <w:r w:rsidRPr="004F01E9">
        <w:rPr>
          <w:noProof/>
          <w:color w:val="000000"/>
        </w:rPr>
        <w:t>citlivosťami, ktoré sa používajú na riadenie rizík inštitúcie.</w:t>
      </w:r>
    </w:p>
    <w:p w14:paraId="415B5ACB" w14:textId="1198B956" w:rsidR="00E74DDF" w:rsidRPr="004F01E9" w:rsidRDefault="00E74DDF" w:rsidP="00E74DDF">
      <w:pPr>
        <w:rPr>
          <w:rFonts w:eastAsia="Times New Roman"/>
          <w:noProof/>
          <w:color w:val="000000"/>
        </w:rPr>
      </w:pPr>
      <w:r w:rsidRPr="004F01E9">
        <w:rPr>
          <w:noProof/>
          <w:color w:val="000000"/>
        </w:rPr>
        <w:t>Ustanovenie týkajúce sa obchodovaných nesekuritizačných kreditných</w:t>
      </w:r>
      <w:r w:rsidR="004F01E9">
        <w:rPr>
          <w:noProof/>
          <w:color w:val="000000"/>
        </w:rPr>
        <w:t xml:space="preserve"> a </w:t>
      </w:r>
      <w:r w:rsidRPr="004F01E9">
        <w:rPr>
          <w:noProof/>
          <w:color w:val="000000"/>
        </w:rPr>
        <w:t>akciových derivátov sa presúva</w:t>
      </w:r>
      <w:r w:rsidR="004F01E9">
        <w:rPr>
          <w:noProof/>
          <w:color w:val="000000"/>
        </w:rPr>
        <w:t xml:space="preserve"> z </w:t>
      </w:r>
      <w:r w:rsidRPr="004F01E9">
        <w:rPr>
          <w:noProof/>
          <w:color w:val="000000"/>
        </w:rPr>
        <w:t>článku 325ab do relevantnejšieho článku 325v.</w:t>
      </w:r>
    </w:p>
    <w:p w14:paraId="68B6F616" w14:textId="57A0AA3D" w:rsidR="00E74DDF" w:rsidRPr="004F01E9" w:rsidRDefault="00E74DDF" w:rsidP="00E74DDF">
      <w:pPr>
        <w:rPr>
          <w:rFonts w:eastAsia="Times New Roman"/>
          <w:noProof/>
          <w:color w:val="000000"/>
        </w:rPr>
      </w:pPr>
      <w:r w:rsidRPr="004F01E9">
        <w:rPr>
          <w:noProof/>
          <w:color w:val="000000"/>
        </w:rPr>
        <w:t>Články 325y, 325am, 325ah</w:t>
      </w:r>
      <w:r w:rsidR="004F01E9">
        <w:rPr>
          <w:noProof/>
          <w:color w:val="000000"/>
        </w:rPr>
        <w:t xml:space="preserve"> a </w:t>
      </w:r>
      <w:r w:rsidRPr="004F01E9">
        <w:rPr>
          <w:noProof/>
          <w:color w:val="000000"/>
        </w:rPr>
        <w:t>325ak sa menia</w:t>
      </w:r>
      <w:r w:rsidR="004F01E9">
        <w:rPr>
          <w:noProof/>
          <w:color w:val="000000"/>
        </w:rPr>
        <w:t xml:space="preserve"> s </w:t>
      </w:r>
      <w:r w:rsidRPr="004F01E9">
        <w:rPr>
          <w:noProof/>
          <w:color w:val="000000"/>
        </w:rPr>
        <w:t>cieľom objasniť priradenie kategórií kreditnej kvality podľa A-SA.</w:t>
      </w:r>
    </w:p>
    <w:p w14:paraId="4E0B89C0" w14:textId="79B2ABA6" w:rsidR="00E74DDF" w:rsidRPr="004F01E9" w:rsidRDefault="00E74DDF" w:rsidP="00E74DDF">
      <w:pPr>
        <w:rPr>
          <w:rFonts w:eastAsia="Times New Roman"/>
          <w:noProof/>
          <w:color w:val="000000"/>
        </w:rPr>
      </w:pPr>
      <w:r w:rsidRPr="004F01E9">
        <w:rPr>
          <w:noProof/>
          <w:color w:val="000000"/>
        </w:rPr>
        <w:t>Článok 325ae sa upravuje</w:t>
      </w:r>
      <w:r w:rsidR="004F01E9">
        <w:rPr>
          <w:noProof/>
          <w:color w:val="000000"/>
        </w:rPr>
        <w:t xml:space="preserve"> s </w:t>
      </w:r>
      <w:r w:rsidRPr="004F01E9">
        <w:rPr>
          <w:noProof/>
          <w:color w:val="000000"/>
        </w:rPr>
        <w:t>cieľom objasniť zaobchádzanie</w:t>
      </w:r>
      <w:r w:rsidR="004F01E9">
        <w:rPr>
          <w:noProof/>
          <w:color w:val="000000"/>
        </w:rPr>
        <w:t xml:space="preserve"> s </w:t>
      </w:r>
      <w:r w:rsidRPr="004F01E9">
        <w:rPr>
          <w:noProof/>
          <w:color w:val="000000"/>
        </w:rPr>
        <w:t>rizikovým faktorom inflácie</w:t>
      </w:r>
      <w:r w:rsidR="004F01E9">
        <w:rPr>
          <w:noProof/>
          <w:color w:val="000000"/>
        </w:rPr>
        <w:t xml:space="preserve"> a s </w:t>
      </w:r>
      <w:r w:rsidRPr="004F01E9">
        <w:rPr>
          <w:noProof/>
          <w:color w:val="000000"/>
        </w:rPr>
        <w:t>krížovými menovými bázickými rizikovými faktormi.</w:t>
      </w:r>
    </w:p>
    <w:p w14:paraId="2BB069D6" w14:textId="1E40174A" w:rsidR="00E74DDF" w:rsidRPr="004F01E9" w:rsidRDefault="00E74DDF" w:rsidP="00E74DDF">
      <w:pPr>
        <w:rPr>
          <w:rFonts w:eastAsia="Times New Roman"/>
          <w:noProof/>
          <w:color w:val="000000"/>
        </w:rPr>
      </w:pPr>
      <w:r w:rsidRPr="004F01E9">
        <w:rPr>
          <w:noProof/>
          <w:color w:val="000000"/>
        </w:rPr>
        <w:t>Články 325ah</w:t>
      </w:r>
      <w:r w:rsidR="004F01E9">
        <w:rPr>
          <w:noProof/>
          <w:color w:val="000000"/>
        </w:rPr>
        <w:t xml:space="preserve"> a </w:t>
      </w:r>
      <w:r w:rsidRPr="004F01E9">
        <w:rPr>
          <w:noProof/>
          <w:color w:val="000000"/>
        </w:rPr>
        <w:t>325ak sa menia</w:t>
      </w:r>
      <w:r w:rsidR="004F01E9">
        <w:rPr>
          <w:noProof/>
          <w:color w:val="000000"/>
        </w:rPr>
        <w:t xml:space="preserve"> s </w:t>
      </w:r>
      <w:r w:rsidRPr="004F01E9">
        <w:rPr>
          <w:noProof/>
          <w:color w:val="000000"/>
        </w:rPr>
        <w:t>cieľom objasniť rizikové váhy krytých dlhopisov (s externým ratingom aj bez ratingu).</w:t>
      </w:r>
    </w:p>
    <w:p w14:paraId="29D8FD7A" w14:textId="39C7F564" w:rsidR="00E74DDF" w:rsidRPr="004F01E9" w:rsidRDefault="00E74DDF" w:rsidP="00E74DDF">
      <w:pPr>
        <w:rPr>
          <w:rFonts w:eastAsia="Times New Roman"/>
          <w:noProof/>
          <w:color w:val="000000"/>
        </w:rPr>
      </w:pPr>
      <w:r w:rsidRPr="004F01E9">
        <w:rPr>
          <w:noProof/>
          <w:color w:val="000000"/>
        </w:rPr>
        <w:t>Články 325ai</w:t>
      </w:r>
      <w:r w:rsidR="004F01E9">
        <w:rPr>
          <w:noProof/>
          <w:color w:val="000000"/>
        </w:rPr>
        <w:t xml:space="preserve"> a </w:t>
      </w:r>
      <w:r w:rsidRPr="004F01E9">
        <w:rPr>
          <w:noProof/>
          <w:color w:val="000000"/>
        </w:rPr>
        <w:t>325aj sa menia</w:t>
      </w:r>
      <w:r w:rsidR="004F01E9">
        <w:rPr>
          <w:noProof/>
          <w:color w:val="000000"/>
        </w:rPr>
        <w:t xml:space="preserve"> s </w:t>
      </w:r>
      <w:r w:rsidRPr="004F01E9">
        <w:rPr>
          <w:noProof/>
          <w:color w:val="000000"/>
        </w:rPr>
        <w:t>cieľom objasniť hodnotu korelačných parametrov.</w:t>
      </w:r>
    </w:p>
    <w:p w14:paraId="0480F6C8" w14:textId="543C657B" w:rsidR="00E74DDF" w:rsidRPr="004F01E9" w:rsidRDefault="00E74DDF" w:rsidP="00E74DDF">
      <w:pPr>
        <w:rPr>
          <w:rFonts w:eastAsia="Times New Roman"/>
          <w:noProof/>
          <w:color w:val="000000"/>
        </w:rPr>
      </w:pPr>
      <w:r w:rsidRPr="004F01E9">
        <w:rPr>
          <w:noProof/>
          <w:color w:val="000000"/>
        </w:rPr>
        <w:t>Článok 325as sa upravuje tak, aby sa zaviedla nižšia riziková váha pre faktor komoditného rizika delta súvisiaci</w:t>
      </w:r>
      <w:r w:rsidR="004F01E9">
        <w:rPr>
          <w:noProof/>
          <w:color w:val="000000"/>
        </w:rPr>
        <w:t xml:space="preserve"> s </w:t>
      </w:r>
      <w:r w:rsidRPr="004F01E9">
        <w:rPr>
          <w:noProof/>
          <w:color w:val="000000"/>
        </w:rPr>
        <w:t>obchodovaním</w:t>
      </w:r>
      <w:r w:rsidR="004F01E9">
        <w:rPr>
          <w:noProof/>
          <w:color w:val="000000"/>
        </w:rPr>
        <w:t xml:space="preserve"> s </w:t>
      </w:r>
      <w:r w:rsidRPr="004F01E9">
        <w:rPr>
          <w:noProof/>
          <w:color w:val="000000"/>
        </w:rPr>
        <w:t>emisiami uhlíka. Podľa konečných štandardov Bazilej III sa emisné kvóty prispôsobujú zmluvám</w:t>
      </w:r>
      <w:r w:rsidR="004F01E9">
        <w:rPr>
          <w:noProof/>
          <w:color w:val="000000"/>
        </w:rPr>
        <w:t xml:space="preserve"> o </w:t>
      </w:r>
      <w:r w:rsidRPr="004F01E9">
        <w:rPr>
          <w:noProof/>
          <w:color w:val="000000"/>
        </w:rPr>
        <w:t>elektrickej energii, čo by sa mohlo považovať za príliš konzervatívne vzhľadom na historické údaje relevantné pre trh EÚ</w:t>
      </w:r>
      <w:r w:rsidR="004F01E9">
        <w:rPr>
          <w:noProof/>
          <w:color w:val="000000"/>
        </w:rPr>
        <w:t xml:space="preserve"> s </w:t>
      </w:r>
      <w:r w:rsidRPr="004F01E9">
        <w:rPr>
          <w:noProof/>
          <w:color w:val="000000"/>
        </w:rPr>
        <w:t>emisnými kvótami. Volatilita cien systému obchodovania</w:t>
      </w:r>
      <w:r w:rsidR="004F01E9">
        <w:rPr>
          <w:noProof/>
          <w:color w:val="000000"/>
        </w:rPr>
        <w:t xml:space="preserve"> s </w:t>
      </w:r>
      <w:r w:rsidRPr="004F01E9">
        <w:rPr>
          <w:noProof/>
          <w:color w:val="000000"/>
        </w:rPr>
        <w:t>emisnými kvótami (ETS) sa vytvorením trhovej stabilizačnej rezervy Komisiou</w:t>
      </w:r>
      <w:r w:rsidR="004F01E9">
        <w:rPr>
          <w:noProof/>
          <w:color w:val="000000"/>
        </w:rPr>
        <w:t xml:space="preserve"> v </w:t>
      </w:r>
      <w:r w:rsidRPr="004F01E9">
        <w:rPr>
          <w:noProof/>
          <w:color w:val="000000"/>
        </w:rPr>
        <w:t>roku 2015 skutočne stabilizovala. Odôvodňuje sa tým vytvorenie konkrétnej rizikovej kategórie pre kvóty systému ETS</w:t>
      </w:r>
      <w:r w:rsidR="004F01E9">
        <w:rPr>
          <w:noProof/>
          <w:color w:val="000000"/>
        </w:rPr>
        <w:t xml:space="preserve"> v </w:t>
      </w:r>
      <w:r w:rsidRPr="004F01E9">
        <w:rPr>
          <w:noProof/>
          <w:color w:val="000000"/>
        </w:rPr>
        <w:t>rámci A-SA, odlišnej od elektrickej energie,</w:t>
      </w:r>
      <w:r w:rsidR="004F01E9">
        <w:rPr>
          <w:noProof/>
          <w:color w:val="000000"/>
        </w:rPr>
        <w:t xml:space="preserve"> s </w:t>
      </w:r>
      <w:r w:rsidRPr="004F01E9">
        <w:rPr>
          <w:noProof/>
          <w:color w:val="000000"/>
        </w:rPr>
        <w:t>nižšou rizikovou váhou rovnajúcou sa 40</w:t>
      </w:r>
      <w:r w:rsidR="004F01E9">
        <w:rPr>
          <w:noProof/>
          <w:color w:val="000000"/>
        </w:rPr>
        <w:t> %</w:t>
      </w:r>
      <w:r w:rsidRPr="004F01E9">
        <w:rPr>
          <w:noProof/>
          <w:color w:val="000000"/>
        </w:rPr>
        <w:t>, aby sa lepšie zohľadňovala skutočná volatilita cien tejto komodity špecifickej pre EÚ.</w:t>
      </w:r>
    </w:p>
    <w:p w14:paraId="628818BE" w14:textId="25781AA6" w:rsidR="00E74DDF" w:rsidRPr="004F01E9" w:rsidRDefault="00E74DDF" w:rsidP="00E74DDF">
      <w:pPr>
        <w:rPr>
          <w:rFonts w:eastAsia="Times New Roman"/>
          <w:noProof/>
          <w:color w:val="000000"/>
        </w:rPr>
      </w:pPr>
      <w:r w:rsidRPr="004F01E9">
        <w:rPr>
          <w:noProof/>
          <w:color w:val="000000"/>
        </w:rPr>
        <w:t>Článok 325ax sa mení</w:t>
      </w:r>
      <w:r w:rsidR="004F01E9">
        <w:rPr>
          <w:noProof/>
          <w:color w:val="000000"/>
        </w:rPr>
        <w:t xml:space="preserve"> s </w:t>
      </w:r>
      <w:r w:rsidRPr="004F01E9">
        <w:rPr>
          <w:noProof/>
          <w:color w:val="000000"/>
        </w:rPr>
        <w:t>cieľom objasniť rizikové váhy pre citlivosti na faktory rizika vega.</w:t>
      </w:r>
    </w:p>
    <w:p w14:paraId="003EA12C" w14:textId="77777777" w:rsidR="00806B81" w:rsidRPr="004F01E9" w:rsidRDefault="00E74DDF" w:rsidP="00E22C97">
      <w:pPr>
        <w:rPr>
          <w:i/>
          <w:noProof/>
        </w:rPr>
      </w:pPr>
      <w:r w:rsidRPr="004F01E9">
        <w:rPr>
          <w:i/>
          <w:noProof/>
        </w:rPr>
        <w:t>Alternatívny prístup interného modelu</w:t>
      </w:r>
    </w:p>
    <w:p w14:paraId="5B20443F" w14:textId="099A2A64" w:rsidR="00E74DDF" w:rsidRPr="004F01E9" w:rsidRDefault="00E74DDF" w:rsidP="00E74DDF">
      <w:pPr>
        <w:rPr>
          <w:rFonts w:eastAsia="Times New Roman"/>
          <w:noProof/>
          <w:color w:val="000000"/>
        </w:rPr>
      </w:pPr>
      <w:r w:rsidRPr="004F01E9">
        <w:rPr>
          <w:noProof/>
          <w:color w:val="000000"/>
        </w:rPr>
        <w:t>Článok 325az sa mení</w:t>
      </w:r>
      <w:r w:rsidR="004F01E9">
        <w:rPr>
          <w:noProof/>
          <w:color w:val="000000"/>
        </w:rPr>
        <w:t xml:space="preserve"> s </w:t>
      </w:r>
      <w:r w:rsidRPr="004F01E9">
        <w:rPr>
          <w:noProof/>
          <w:color w:val="000000"/>
        </w:rPr>
        <w:t>cieľom objasniť podmienky, ktoré musia inštitúcie splniť, aby im bolo udelené povolenie používať prístup A-IMA na výpočet požiadaviek na vlastné zdroje pre trhové riziko.</w:t>
      </w:r>
    </w:p>
    <w:p w14:paraId="7FE715CD" w14:textId="40C5A312" w:rsidR="00E74DDF" w:rsidRPr="004F01E9" w:rsidRDefault="00E74DDF" w:rsidP="00E74DDF">
      <w:pPr>
        <w:rPr>
          <w:rFonts w:eastAsia="Times New Roman"/>
          <w:noProof/>
          <w:color w:val="000000"/>
        </w:rPr>
      </w:pPr>
      <w:r w:rsidRPr="004F01E9">
        <w:rPr>
          <w:noProof/>
          <w:color w:val="000000"/>
        </w:rPr>
        <w:t>Článok 325ba sa mení</w:t>
      </w:r>
      <w:r w:rsidR="004F01E9">
        <w:rPr>
          <w:noProof/>
          <w:color w:val="000000"/>
        </w:rPr>
        <w:t xml:space="preserve"> s </w:t>
      </w:r>
      <w:r w:rsidRPr="004F01E9">
        <w:rPr>
          <w:noProof/>
          <w:color w:val="000000"/>
        </w:rPr>
        <w:t>cieľom zaviesť vzorec na agregáciu požiadaviek na vlastné zdroje vypočítaných podľa prístupu A-IMA.</w:t>
      </w:r>
    </w:p>
    <w:p w14:paraId="5F3C4F69" w14:textId="6209722B" w:rsidR="00E74DDF" w:rsidRPr="004F01E9" w:rsidRDefault="00E74DDF" w:rsidP="00E74DDF">
      <w:pPr>
        <w:rPr>
          <w:rFonts w:eastAsia="Times New Roman"/>
          <w:noProof/>
          <w:color w:val="000000"/>
        </w:rPr>
      </w:pPr>
      <w:r w:rsidRPr="004F01E9">
        <w:rPr>
          <w:noProof/>
          <w:color w:val="000000"/>
        </w:rPr>
        <w:t>Článok 325bc sa mení</w:t>
      </w:r>
      <w:r w:rsidR="004F01E9">
        <w:rPr>
          <w:noProof/>
          <w:color w:val="000000"/>
        </w:rPr>
        <w:t xml:space="preserve"> s </w:t>
      </w:r>
      <w:r w:rsidRPr="004F01E9">
        <w:rPr>
          <w:noProof/>
          <w:color w:val="000000"/>
        </w:rPr>
        <w:t>cieľom zaviesť mandátna vypracovanie regulačných technických predpisov pre orgán EBA, aby mohol stanoviť kritériá na použitie vstupných údajov</w:t>
      </w:r>
      <w:r w:rsidR="004F01E9">
        <w:rPr>
          <w:noProof/>
          <w:color w:val="000000"/>
        </w:rPr>
        <w:t xml:space="preserve"> v </w:t>
      </w:r>
      <w:r w:rsidRPr="004F01E9">
        <w:rPr>
          <w:noProof/>
          <w:color w:val="000000"/>
        </w:rPr>
        <w:t>modeli merania rizika.</w:t>
      </w:r>
    </w:p>
    <w:p w14:paraId="27BF4564" w14:textId="756FEBAE" w:rsidR="00E74DDF" w:rsidRPr="004F01E9" w:rsidRDefault="00E74DDF" w:rsidP="00E74DDF">
      <w:pPr>
        <w:rPr>
          <w:rFonts w:eastAsia="Times New Roman"/>
          <w:noProof/>
          <w:color w:val="000000"/>
        </w:rPr>
      </w:pPr>
      <w:r w:rsidRPr="004F01E9">
        <w:rPr>
          <w:noProof/>
          <w:color w:val="000000"/>
        </w:rPr>
        <w:t>Článok 325be sa mení</w:t>
      </w:r>
      <w:r w:rsidR="004F01E9">
        <w:rPr>
          <w:noProof/>
          <w:color w:val="000000"/>
        </w:rPr>
        <w:t xml:space="preserve"> s </w:t>
      </w:r>
      <w:r w:rsidRPr="004F01E9">
        <w:rPr>
          <w:noProof/>
          <w:color w:val="000000"/>
        </w:rPr>
        <w:t>cieľom špecifikovať nové právomoci pre príslušné orgány, pokiaľ ide</w:t>
      </w:r>
      <w:r w:rsidR="004F01E9">
        <w:rPr>
          <w:noProof/>
          <w:color w:val="000000"/>
        </w:rPr>
        <w:t xml:space="preserve"> o </w:t>
      </w:r>
      <w:r w:rsidRPr="004F01E9">
        <w:rPr>
          <w:noProof/>
          <w:color w:val="000000"/>
        </w:rPr>
        <w:t>hodnotenie modelovateľnosti rizikových faktorov, ktoré vykonávajú inštitúcie používajúce prístup A-IMA.</w:t>
      </w:r>
    </w:p>
    <w:p w14:paraId="6FD5C36C" w14:textId="5C3C5C2A" w:rsidR="00E74DDF" w:rsidRPr="004F01E9" w:rsidRDefault="00E74DDF" w:rsidP="00E74DDF">
      <w:pPr>
        <w:rPr>
          <w:rFonts w:eastAsia="Times New Roman"/>
          <w:noProof/>
          <w:color w:val="000000"/>
        </w:rPr>
      </w:pPr>
      <w:r w:rsidRPr="004F01E9">
        <w:rPr>
          <w:noProof/>
          <w:color w:val="000000"/>
        </w:rPr>
        <w:t>Článok 325bf sa mení</w:t>
      </w:r>
      <w:r w:rsidR="004F01E9">
        <w:rPr>
          <w:noProof/>
          <w:color w:val="000000"/>
        </w:rPr>
        <w:t xml:space="preserve"> s </w:t>
      </w:r>
      <w:r w:rsidRPr="004F01E9">
        <w:rPr>
          <w:noProof/>
          <w:color w:val="000000"/>
        </w:rPr>
        <w:t>cieľom zaviesť nové právomoci pre príslušné orgány na riešenie nedostatkov modelu</w:t>
      </w:r>
      <w:r w:rsidR="004F01E9">
        <w:rPr>
          <w:noProof/>
          <w:color w:val="000000"/>
        </w:rPr>
        <w:t xml:space="preserve"> a </w:t>
      </w:r>
      <w:r w:rsidRPr="004F01E9">
        <w:rPr>
          <w:noProof/>
          <w:color w:val="000000"/>
        </w:rPr>
        <w:t>vzhľadom na požiadavky na spätné testovanie, ktoré vykonávajú inštitúcie používajúce prístup A-IMA.</w:t>
      </w:r>
    </w:p>
    <w:p w14:paraId="42DCCED8" w14:textId="6C70A899" w:rsidR="00806B81" w:rsidRPr="004F01E9" w:rsidRDefault="00E74DDF" w:rsidP="00E74DDF">
      <w:pPr>
        <w:rPr>
          <w:rFonts w:eastAsia="Times New Roman"/>
          <w:noProof/>
          <w:color w:val="000000"/>
        </w:rPr>
      </w:pPr>
      <w:r w:rsidRPr="004F01E9">
        <w:rPr>
          <w:noProof/>
          <w:color w:val="000000"/>
        </w:rPr>
        <w:t>Článok 325bg sa mení</w:t>
      </w:r>
      <w:r w:rsidR="004F01E9">
        <w:rPr>
          <w:noProof/>
          <w:color w:val="000000"/>
        </w:rPr>
        <w:t xml:space="preserve"> s </w:t>
      </w:r>
      <w:r w:rsidRPr="004F01E9">
        <w:rPr>
          <w:noProof/>
          <w:color w:val="000000"/>
        </w:rPr>
        <w:t>cieľom zaviesť záväzné požiadavky na pridelenie ziskov</w:t>
      </w:r>
      <w:r w:rsidR="004F01E9">
        <w:rPr>
          <w:noProof/>
          <w:color w:val="000000"/>
        </w:rPr>
        <w:t xml:space="preserve"> a </w:t>
      </w:r>
      <w:r w:rsidRPr="004F01E9">
        <w:rPr>
          <w:noProof/>
          <w:color w:val="000000"/>
        </w:rPr>
        <w:t>strát, ktoré vykonávajú inštitúcie používajúce prístup A-IMA.</w:t>
      </w:r>
    </w:p>
    <w:p w14:paraId="67537EDD" w14:textId="73F35C6C" w:rsidR="00E74DDF" w:rsidRPr="004F01E9" w:rsidRDefault="00E74DDF" w:rsidP="00E74DDF">
      <w:pPr>
        <w:rPr>
          <w:rFonts w:eastAsia="Times New Roman"/>
          <w:noProof/>
          <w:color w:val="000000"/>
        </w:rPr>
      </w:pPr>
      <w:r w:rsidRPr="004F01E9">
        <w:rPr>
          <w:noProof/>
          <w:color w:val="000000"/>
        </w:rPr>
        <w:t>Článok 325bh sa mení</w:t>
      </w:r>
      <w:r w:rsidR="004F01E9">
        <w:rPr>
          <w:noProof/>
          <w:color w:val="000000"/>
        </w:rPr>
        <w:t xml:space="preserve"> s </w:t>
      </w:r>
      <w:r w:rsidRPr="004F01E9">
        <w:rPr>
          <w:noProof/>
          <w:color w:val="000000"/>
        </w:rPr>
        <w:t>cieľom zaviesť úpravy na výpočet požiadaviek na vlastné zdroje pre trhové riziko pre pozície PKI podľa prístupu A-IMA, najmä</w:t>
      </w:r>
      <w:r w:rsidR="004F01E9">
        <w:rPr>
          <w:noProof/>
          <w:color w:val="000000"/>
        </w:rPr>
        <w:t xml:space="preserve"> s </w:t>
      </w:r>
      <w:r w:rsidRPr="004F01E9">
        <w:rPr>
          <w:noProof/>
          <w:color w:val="000000"/>
        </w:rPr>
        <w:t>cieľom zabezpečiť, aby</w:t>
      </w:r>
      <w:r w:rsidR="004F01E9">
        <w:rPr>
          <w:noProof/>
          <w:color w:val="000000"/>
        </w:rPr>
        <w:t xml:space="preserve"> v </w:t>
      </w:r>
      <w:r w:rsidRPr="004F01E9">
        <w:rPr>
          <w:noProof/>
          <w:color w:val="000000"/>
        </w:rPr>
        <w:t>rámci tohto prístupu mohlo byť oprávnených viac PKI. Podobne ako</w:t>
      </w:r>
      <w:r w:rsidR="004F01E9">
        <w:rPr>
          <w:noProof/>
          <w:color w:val="000000"/>
        </w:rPr>
        <w:t xml:space="preserve"> v </w:t>
      </w:r>
      <w:r w:rsidRPr="004F01E9">
        <w:rPr>
          <w:noProof/>
          <w:color w:val="000000"/>
        </w:rPr>
        <w:t>prípade zmien vykonaných pri zaobchádzaní</w:t>
      </w:r>
      <w:r w:rsidR="004F01E9">
        <w:rPr>
          <w:noProof/>
          <w:color w:val="000000"/>
        </w:rPr>
        <w:t xml:space="preserve"> s </w:t>
      </w:r>
      <w:r w:rsidRPr="004F01E9">
        <w:rPr>
          <w:noProof/>
          <w:color w:val="000000"/>
        </w:rPr>
        <w:t>PKI podľa A-SA môžu inštitúcie za špecifických podmienok používať údaje, ktoré poskytli príslušné tretie strany pri výpočte požiadaviek na vlastné zdroje</w:t>
      </w:r>
      <w:r w:rsidR="004F01E9">
        <w:rPr>
          <w:noProof/>
          <w:color w:val="000000"/>
        </w:rPr>
        <w:t xml:space="preserve"> v </w:t>
      </w:r>
      <w:r w:rsidRPr="004F01E9">
        <w:rPr>
          <w:noProof/>
          <w:color w:val="000000"/>
        </w:rPr>
        <w:t>rámci prístupu založeného na prezretí podkladových expozícií</w:t>
      </w:r>
      <w:r w:rsidR="004F01E9">
        <w:rPr>
          <w:noProof/>
          <w:color w:val="000000"/>
        </w:rPr>
        <w:t xml:space="preserve"> a </w:t>
      </w:r>
      <w:r w:rsidRPr="004F01E9">
        <w:rPr>
          <w:noProof/>
          <w:color w:val="000000"/>
        </w:rPr>
        <w:t>vyžadujú sa na uplatňovanie prístupu založeného na prezretí podkladových expozícií</w:t>
      </w:r>
      <w:r w:rsidR="004F01E9">
        <w:rPr>
          <w:noProof/>
          <w:color w:val="000000"/>
        </w:rPr>
        <w:t xml:space="preserve"> s </w:t>
      </w:r>
      <w:r w:rsidRPr="004F01E9">
        <w:rPr>
          <w:noProof/>
          <w:color w:val="000000"/>
        </w:rPr>
        <w:t>minimálnou týždennou frekvenciou.</w:t>
      </w:r>
    </w:p>
    <w:p w14:paraId="0936C6AB" w14:textId="22240FD9" w:rsidR="00E74DDF" w:rsidRPr="004F01E9" w:rsidRDefault="00E74DDF" w:rsidP="00E74DDF">
      <w:pPr>
        <w:rPr>
          <w:rFonts w:eastAsia="Times New Roman"/>
          <w:noProof/>
          <w:color w:val="000000"/>
        </w:rPr>
      </w:pPr>
      <w:r w:rsidRPr="004F01E9">
        <w:rPr>
          <w:noProof/>
          <w:color w:val="000000"/>
        </w:rPr>
        <w:t>Článok 325bi sa mení</w:t>
      </w:r>
      <w:r w:rsidR="004F01E9">
        <w:rPr>
          <w:noProof/>
          <w:color w:val="000000"/>
        </w:rPr>
        <w:t xml:space="preserve"> s </w:t>
      </w:r>
      <w:r w:rsidRPr="004F01E9">
        <w:rPr>
          <w:noProof/>
          <w:color w:val="000000"/>
        </w:rPr>
        <w:t>cieľom objasniť povinnosti útvaru kontroly rizika</w:t>
      </w:r>
      <w:r w:rsidR="004F01E9">
        <w:rPr>
          <w:noProof/>
          <w:color w:val="000000"/>
        </w:rPr>
        <w:t xml:space="preserve"> a </w:t>
      </w:r>
      <w:r w:rsidRPr="004F01E9">
        <w:rPr>
          <w:noProof/>
          <w:color w:val="000000"/>
        </w:rPr>
        <w:t>útvaru pre validáciu</w:t>
      </w:r>
      <w:r w:rsidR="004F01E9">
        <w:rPr>
          <w:noProof/>
          <w:color w:val="000000"/>
        </w:rPr>
        <w:t xml:space="preserve"> v </w:t>
      </w:r>
      <w:r w:rsidRPr="004F01E9">
        <w:rPr>
          <w:noProof/>
          <w:color w:val="000000"/>
        </w:rPr>
        <w:t>súvislosti so systémom riadenia rizík.</w:t>
      </w:r>
    </w:p>
    <w:p w14:paraId="1570548E" w14:textId="52C23EA2" w:rsidR="00E74DDF" w:rsidRPr="004F01E9" w:rsidDel="00AA4173" w:rsidRDefault="00E74DDF" w:rsidP="00E74DDF">
      <w:pPr>
        <w:rPr>
          <w:rFonts w:eastAsia="Times New Roman"/>
          <w:noProof/>
          <w:color w:val="000000"/>
        </w:rPr>
      </w:pPr>
      <w:r w:rsidRPr="004F01E9">
        <w:rPr>
          <w:noProof/>
          <w:color w:val="000000"/>
        </w:rPr>
        <w:t>Článok 325bp sa mení</w:t>
      </w:r>
      <w:r w:rsidR="004F01E9">
        <w:rPr>
          <w:noProof/>
          <w:color w:val="000000"/>
        </w:rPr>
        <w:t xml:space="preserve"> s </w:t>
      </w:r>
      <w:r w:rsidRPr="004F01E9">
        <w:rPr>
          <w:noProof/>
          <w:color w:val="000000"/>
        </w:rPr>
        <w:t>cieľom bližšie objasniť situácie,</w:t>
      </w:r>
      <w:r w:rsidR="004F01E9">
        <w:rPr>
          <w:noProof/>
          <w:color w:val="000000"/>
        </w:rPr>
        <w:t xml:space="preserve"> v </w:t>
      </w:r>
      <w:r w:rsidRPr="004F01E9">
        <w:rPr>
          <w:noProof/>
          <w:color w:val="000000"/>
        </w:rPr>
        <w:t>ktorých môžu inštitúcie používať model IRB na odhad pravdepodobnosti zlyhania</w:t>
      </w:r>
      <w:r w:rsidR="004F01E9">
        <w:rPr>
          <w:noProof/>
          <w:color w:val="000000"/>
        </w:rPr>
        <w:t xml:space="preserve"> a </w:t>
      </w:r>
      <w:r w:rsidRPr="004F01E9">
        <w:rPr>
          <w:noProof/>
          <w:color w:val="000000"/>
        </w:rPr>
        <w:t>straty</w:t>
      </w:r>
      <w:r w:rsidR="004F01E9">
        <w:rPr>
          <w:noProof/>
          <w:color w:val="000000"/>
        </w:rPr>
        <w:t xml:space="preserve"> v </w:t>
      </w:r>
      <w:r w:rsidRPr="004F01E9">
        <w:rPr>
          <w:noProof/>
          <w:color w:val="000000"/>
        </w:rPr>
        <w:t>prípade zlyhania na výpočet požiadavky na vlastné zdroje pre riziko zlyhania.</w:t>
      </w:r>
    </w:p>
    <w:p w14:paraId="11689B8A" w14:textId="1F89FC04" w:rsidR="00E74DDF" w:rsidRPr="004F01E9" w:rsidRDefault="00E74DDF" w:rsidP="00E22C97">
      <w:pPr>
        <w:rPr>
          <w:noProof/>
        </w:rPr>
      </w:pPr>
      <w:r w:rsidRPr="004F01E9">
        <w:rPr>
          <w:noProof/>
        </w:rPr>
        <w:t>Články 337, 338, 352</w:t>
      </w:r>
      <w:r w:rsidR="004F01E9">
        <w:rPr>
          <w:noProof/>
        </w:rPr>
        <w:t xml:space="preserve"> a </w:t>
      </w:r>
      <w:r w:rsidRPr="004F01E9">
        <w:rPr>
          <w:noProof/>
        </w:rPr>
        <w:t>361 sa menia</w:t>
      </w:r>
      <w:r w:rsidR="004F01E9">
        <w:rPr>
          <w:noProof/>
        </w:rPr>
        <w:t xml:space="preserve"> s </w:t>
      </w:r>
      <w:r w:rsidRPr="004F01E9">
        <w:rPr>
          <w:noProof/>
        </w:rPr>
        <w:t>cieľom nahradiť alebo vypustiť ustanovenia, ktoré už nie sú relevantné pre používanie SSA.</w:t>
      </w:r>
    </w:p>
    <w:p w14:paraId="7523A956" w14:textId="77777777" w:rsidR="00E74DDF" w:rsidRPr="004F01E9" w:rsidRDefault="00E74DDF" w:rsidP="00E22C97">
      <w:pPr>
        <w:rPr>
          <w:i/>
          <w:noProof/>
        </w:rPr>
      </w:pPr>
      <w:r w:rsidRPr="004F01E9">
        <w:rPr>
          <w:i/>
          <w:noProof/>
        </w:rPr>
        <w:t>Použitie interných modelov na výpočet požiadaviek na vlastné zdroje</w:t>
      </w:r>
    </w:p>
    <w:p w14:paraId="74244EE3" w14:textId="40939175" w:rsidR="00E74DDF" w:rsidRPr="004F01E9" w:rsidRDefault="00E74DDF" w:rsidP="00E74DDF">
      <w:pPr>
        <w:rPr>
          <w:rFonts w:eastAsia="Times New Roman"/>
          <w:noProof/>
          <w:color w:val="000000"/>
        </w:rPr>
      </w:pPr>
      <w:r w:rsidRPr="004F01E9">
        <w:rPr>
          <w:noProof/>
          <w:color w:val="000000"/>
        </w:rPr>
        <w:t>Kapitola 5 sa vypúšťa, pretože súčasný prístup interného modelu (IMA) používaný na výpočet požiadaviek na vlastné zdroje pre trhové riziko sa nahrádza prístupom A-IMA uvedeným</w:t>
      </w:r>
      <w:r w:rsidR="004F01E9">
        <w:rPr>
          <w:noProof/>
          <w:color w:val="000000"/>
        </w:rPr>
        <w:t xml:space="preserve"> v </w:t>
      </w:r>
      <w:r w:rsidRPr="004F01E9">
        <w:rPr>
          <w:noProof/>
          <w:color w:val="000000"/>
        </w:rPr>
        <w:t>kapitole 1b.</w:t>
      </w:r>
    </w:p>
    <w:p w14:paraId="2FF3440A" w14:textId="12CEF02D" w:rsidR="00E74DDF" w:rsidRPr="004F01E9" w:rsidRDefault="00E74DDF" w:rsidP="00E74DDF">
      <w:pPr>
        <w:rPr>
          <w:rFonts w:eastAsia="Times New Roman"/>
          <w:i/>
          <w:noProof/>
          <w:color w:val="000000"/>
        </w:rPr>
      </w:pPr>
      <w:r w:rsidRPr="004F01E9">
        <w:rPr>
          <w:i/>
          <w:noProof/>
          <w:color w:val="000000"/>
        </w:rPr>
        <w:t>Delegované</w:t>
      </w:r>
      <w:r w:rsidR="004F01E9">
        <w:rPr>
          <w:i/>
          <w:noProof/>
          <w:color w:val="000000"/>
        </w:rPr>
        <w:t xml:space="preserve"> a </w:t>
      </w:r>
      <w:r w:rsidRPr="004F01E9">
        <w:rPr>
          <w:i/>
          <w:noProof/>
          <w:color w:val="000000"/>
        </w:rPr>
        <w:t>vykonávacie akty</w:t>
      </w:r>
    </w:p>
    <w:p w14:paraId="22860AED" w14:textId="3FBC9E3C" w:rsidR="00E74DDF" w:rsidRPr="004F01E9" w:rsidRDefault="00E74DDF" w:rsidP="00C67562">
      <w:pPr>
        <w:spacing w:after="240"/>
        <w:rPr>
          <w:noProof/>
        </w:rPr>
      </w:pPr>
      <w:r w:rsidRPr="004F01E9">
        <w:rPr>
          <w:noProof/>
          <w:color w:val="000000"/>
        </w:rPr>
        <w:t>Vzhľadom na neistotu, či sa hlavné jurisdikcie pri vykonávaní FRTB odchýlia od konečných štandardov Bazilej III,</w:t>
      </w:r>
      <w:r w:rsidR="004F01E9">
        <w:rPr>
          <w:noProof/>
          <w:color w:val="000000"/>
        </w:rPr>
        <w:t xml:space="preserve"> a </w:t>
      </w:r>
      <w:r w:rsidRPr="004F01E9">
        <w:rPr>
          <w:noProof/>
          <w:color w:val="000000"/>
        </w:rPr>
        <w:t>vzhľadom na význam zabezpečenia rovnakých podmienok</w:t>
      </w:r>
      <w:r w:rsidR="004F01E9">
        <w:rPr>
          <w:noProof/>
          <w:color w:val="000000"/>
        </w:rPr>
        <w:t xml:space="preserve"> v </w:t>
      </w:r>
      <w:r w:rsidRPr="004F01E9">
        <w:rPr>
          <w:noProof/>
          <w:color w:val="000000"/>
        </w:rPr>
        <w:t>praxi medzi inštitúciami so sídlom</w:t>
      </w:r>
      <w:r w:rsidR="004F01E9">
        <w:rPr>
          <w:noProof/>
          <w:color w:val="000000"/>
        </w:rPr>
        <w:t xml:space="preserve"> v </w:t>
      </w:r>
      <w:r w:rsidRPr="004F01E9">
        <w:rPr>
          <w:noProof/>
          <w:color w:val="000000"/>
        </w:rPr>
        <w:t>Únii</w:t>
      </w:r>
      <w:r w:rsidR="004F01E9">
        <w:rPr>
          <w:noProof/>
          <w:color w:val="000000"/>
        </w:rPr>
        <w:t xml:space="preserve"> a </w:t>
      </w:r>
      <w:r w:rsidRPr="004F01E9">
        <w:rPr>
          <w:noProof/>
          <w:color w:val="000000"/>
        </w:rPr>
        <w:t>ich medzinárodnými partnermi sa Komisia článkom 461a splnomocňuje na prijatie delegovaných aktov, ktorými sa zmenia prístupy</w:t>
      </w:r>
      <w:r w:rsidR="004F01E9">
        <w:rPr>
          <w:noProof/>
          <w:color w:val="000000"/>
        </w:rPr>
        <w:t xml:space="preserve"> k </w:t>
      </w:r>
      <w:r w:rsidRPr="004F01E9">
        <w:rPr>
          <w:noProof/>
          <w:color w:val="000000"/>
        </w:rPr>
        <w:t>výpočtu požiadaviek na vlastné zdroje pre trhové riziko</w:t>
      </w:r>
      <w:r w:rsidR="004F01E9">
        <w:rPr>
          <w:noProof/>
          <w:color w:val="000000"/>
        </w:rPr>
        <w:t xml:space="preserve"> a </w:t>
      </w:r>
      <w:r w:rsidRPr="004F01E9">
        <w:rPr>
          <w:noProof/>
          <w:color w:val="000000"/>
        </w:rPr>
        <w:t>zmení sa dátum začiatku uplatňovania týchto prístupov</w:t>
      </w:r>
      <w:r w:rsidR="004F01E9">
        <w:rPr>
          <w:noProof/>
          <w:color w:val="000000"/>
        </w:rPr>
        <w:t xml:space="preserve"> s </w:t>
      </w:r>
      <w:r w:rsidRPr="004F01E9">
        <w:rPr>
          <w:noProof/>
          <w:color w:val="000000"/>
        </w:rPr>
        <w:t>cieľom zosúladiť ich</w:t>
      </w:r>
      <w:r w:rsidR="004F01E9">
        <w:rPr>
          <w:noProof/>
          <w:color w:val="000000"/>
        </w:rPr>
        <w:t xml:space="preserve"> s </w:t>
      </w:r>
      <w:r w:rsidRPr="004F01E9">
        <w:rPr>
          <w:noProof/>
          <w:color w:val="000000"/>
        </w:rPr>
        <w:t>medzinárodným vývojom.</w:t>
      </w:r>
    </w:p>
    <w:p w14:paraId="0B5DF108" w14:textId="77777777" w:rsidR="00E74DDF" w:rsidRPr="004F01E9" w:rsidRDefault="00E74DDF" w:rsidP="00E22C97">
      <w:pPr>
        <w:rPr>
          <w:b/>
          <w:noProof/>
        </w:rPr>
      </w:pPr>
      <w:r w:rsidRPr="004F01E9">
        <w:rPr>
          <w:b/>
          <w:noProof/>
        </w:rPr>
        <w:t>Rámec rizika úpravy ocenenia pohľadávok</w:t>
      </w:r>
    </w:p>
    <w:p w14:paraId="12C634A8" w14:textId="2DD189D1" w:rsidR="00806B81" w:rsidRPr="004F01E9" w:rsidRDefault="00E74DDF" w:rsidP="001528B7">
      <w:pPr>
        <w:rPr>
          <w:rStyle w:val="normaltextrun"/>
          <w:noProof/>
        </w:rPr>
      </w:pPr>
      <w:r w:rsidRPr="004F01E9">
        <w:rPr>
          <w:rStyle w:val="normaltextrun"/>
          <w:noProof/>
        </w:rPr>
        <w:t>Úprava ocenenia pohľadávok (CVA) je účtovná úprava ceny derivátovej transakcie na základe reálnej hodnoty, ktorej cieľom je vytvoriť rezervu na potenciálne straty</w:t>
      </w:r>
      <w:r w:rsidR="004F01E9">
        <w:rPr>
          <w:rStyle w:val="normaltextrun"/>
          <w:noProof/>
        </w:rPr>
        <w:t xml:space="preserve"> v </w:t>
      </w:r>
      <w:r w:rsidRPr="004F01E9">
        <w:rPr>
          <w:rStyle w:val="normaltextrun"/>
          <w:noProof/>
        </w:rPr>
        <w:t>dôsledku zhoršenia úverovej bonity protistrany tejto transakcie. Počas veľkej finančnej krízy niekoľko systémovo dôležitých bánk utrpelo naraz značné straty</w:t>
      </w:r>
      <w:r w:rsidR="004F01E9">
        <w:rPr>
          <w:rStyle w:val="normaltextrun"/>
          <w:noProof/>
        </w:rPr>
        <w:t xml:space="preserve"> z </w:t>
      </w:r>
      <w:r w:rsidRPr="004F01E9">
        <w:rPr>
          <w:rStyle w:val="normaltextrun"/>
          <w:noProof/>
        </w:rPr>
        <w:t>úpravy ocenenia pohľadávok na svojich portfóliách derivátov</w:t>
      </w:r>
      <w:r w:rsidR="004F01E9">
        <w:rPr>
          <w:rStyle w:val="normaltextrun"/>
          <w:noProof/>
        </w:rPr>
        <w:t xml:space="preserve"> v </w:t>
      </w:r>
      <w:r w:rsidRPr="004F01E9">
        <w:rPr>
          <w:rStyle w:val="normaltextrun"/>
          <w:noProof/>
        </w:rPr>
        <w:t>dôsledku zhoršenia úverovej bonity mnohých ich protistrán. Výbor BCBS</w:t>
      </w:r>
      <w:r w:rsidR="004F01E9">
        <w:rPr>
          <w:rStyle w:val="normaltextrun"/>
          <w:noProof/>
        </w:rPr>
        <w:t xml:space="preserve"> v </w:t>
      </w:r>
      <w:r w:rsidRPr="004F01E9">
        <w:rPr>
          <w:rStyle w:val="normaltextrun"/>
          <w:noProof/>
        </w:rPr>
        <w:t>dôsledku toho</w:t>
      </w:r>
      <w:r w:rsidR="004F01E9">
        <w:rPr>
          <w:rStyle w:val="normaltextrun"/>
          <w:noProof/>
        </w:rPr>
        <w:t xml:space="preserve"> v </w:t>
      </w:r>
      <w:r w:rsidRPr="004F01E9">
        <w:rPr>
          <w:rStyle w:val="normaltextrun"/>
          <w:noProof/>
        </w:rPr>
        <w:t>roku 2011 ako súčasť prvého súboru reforiem Bazilej III zaviedol nové štandardy na výpočet kapitálových požiadaviek pre riziko úpravy ocenenia pohľadávok, aby sa zabezpečilo, že toto riziko bánk bude</w:t>
      </w:r>
      <w:r w:rsidR="004F01E9">
        <w:rPr>
          <w:rStyle w:val="normaltextrun"/>
          <w:noProof/>
        </w:rPr>
        <w:t xml:space="preserve"> v </w:t>
      </w:r>
      <w:r w:rsidRPr="004F01E9">
        <w:rPr>
          <w:rStyle w:val="normaltextrun"/>
          <w:noProof/>
        </w:rPr>
        <w:t>budúcnosti kryté dostatočným kapitálom. Tieto štandardy pre rámec Bazilej boli transponované do práva Únie</w:t>
      </w:r>
      <w:r w:rsidR="004F01E9">
        <w:rPr>
          <w:rStyle w:val="normaltextrun"/>
          <w:noProof/>
        </w:rPr>
        <w:t xml:space="preserve"> v </w:t>
      </w:r>
      <w:r w:rsidRPr="004F01E9">
        <w:rPr>
          <w:rStyle w:val="normaltextrun"/>
          <w:noProof/>
        </w:rPr>
        <w:t>roku 2013 prostredníctvom nariadenia CRR.</w:t>
      </w:r>
    </w:p>
    <w:p w14:paraId="6E3E1D6B" w14:textId="18FEB372" w:rsidR="00806B81" w:rsidRPr="004F01E9" w:rsidRDefault="00E74DDF" w:rsidP="00E74DDF">
      <w:pPr>
        <w:rPr>
          <w:noProof/>
        </w:rPr>
      </w:pPr>
      <w:r w:rsidRPr="004F01E9">
        <w:rPr>
          <w:rStyle w:val="normaltextrun"/>
          <w:noProof/>
        </w:rPr>
        <w:t>Banky</w:t>
      </w:r>
      <w:r w:rsidR="004F01E9">
        <w:rPr>
          <w:rStyle w:val="normaltextrun"/>
          <w:noProof/>
        </w:rPr>
        <w:t xml:space="preserve"> a </w:t>
      </w:r>
      <w:r w:rsidRPr="004F01E9">
        <w:rPr>
          <w:rStyle w:val="normaltextrun"/>
          <w:noProof/>
        </w:rPr>
        <w:t>orgány dohľadu však vyjadrili obavy, že</w:t>
      </w:r>
      <w:r w:rsidR="004F01E9">
        <w:rPr>
          <w:rStyle w:val="normaltextrun"/>
          <w:noProof/>
        </w:rPr>
        <w:t xml:space="preserve"> v </w:t>
      </w:r>
      <w:r w:rsidRPr="004F01E9">
        <w:rPr>
          <w:rStyle w:val="normaltextrun"/>
          <w:noProof/>
        </w:rPr>
        <w:t>štandardoch</w:t>
      </w:r>
      <w:r w:rsidR="004F01E9">
        <w:rPr>
          <w:rStyle w:val="normaltextrun"/>
          <w:noProof/>
        </w:rPr>
        <w:t xml:space="preserve"> z </w:t>
      </w:r>
      <w:r w:rsidRPr="004F01E9">
        <w:rPr>
          <w:rStyle w:val="normaltextrun"/>
          <w:noProof/>
        </w:rPr>
        <w:t>roku 2011 sa primerane nezachytilo skutočné riziko úpravy ocenenia pohľadávok, ktorému boli banky vystavené.</w:t>
      </w:r>
      <w:r w:rsidR="004F01E9">
        <w:rPr>
          <w:rStyle w:val="normaltextrun"/>
          <w:noProof/>
        </w:rPr>
        <w:t xml:space="preserve"> V </w:t>
      </w:r>
      <w:r w:rsidRPr="004F01E9">
        <w:rPr>
          <w:rStyle w:val="normaltextrun"/>
          <w:noProof/>
        </w:rPr>
        <w:t>súvislosti</w:t>
      </w:r>
      <w:r w:rsidR="004F01E9">
        <w:rPr>
          <w:rStyle w:val="normaltextrun"/>
          <w:noProof/>
        </w:rPr>
        <w:t xml:space="preserve"> s </w:t>
      </w:r>
      <w:r w:rsidRPr="004F01E9">
        <w:rPr>
          <w:rStyle w:val="normaltextrun"/>
          <w:noProof/>
        </w:rPr>
        <w:t>týmito štandardmi boli vznesené najmä tri konkrétne kritiky: i) že prístupy stanovené</w:t>
      </w:r>
      <w:r w:rsidR="004F01E9">
        <w:rPr>
          <w:rStyle w:val="normaltextrun"/>
          <w:noProof/>
        </w:rPr>
        <w:t xml:space="preserve"> v </w:t>
      </w:r>
      <w:r w:rsidRPr="004F01E9">
        <w:rPr>
          <w:rStyle w:val="normaltextrun"/>
          <w:noProof/>
        </w:rPr>
        <w:t>týchto štandardoch nie sú citlivé na riziko, ii) že neuznávajú modely úprav ocenenia pohľadávok, ktoré vyvinuli banky na účtovné účely,</w:t>
      </w:r>
      <w:r w:rsidR="004F01E9">
        <w:rPr>
          <w:rStyle w:val="normaltextrun"/>
          <w:noProof/>
        </w:rPr>
        <w:t xml:space="preserve"> a </w:t>
      </w:r>
      <w:r w:rsidRPr="004F01E9">
        <w:rPr>
          <w:rStyle w:val="normaltextrun"/>
          <w:noProof/>
        </w:rPr>
        <w:t>iii) že prístupmi stanovenými</w:t>
      </w:r>
      <w:r w:rsidR="004F01E9">
        <w:rPr>
          <w:rStyle w:val="normaltextrun"/>
          <w:noProof/>
        </w:rPr>
        <w:t xml:space="preserve"> v </w:t>
      </w:r>
      <w:r w:rsidRPr="004F01E9">
        <w:rPr>
          <w:rStyle w:val="normaltextrun"/>
          <w:noProof/>
        </w:rPr>
        <w:t>týchto štandardoch sa nezachytáva trhové riziko, ktoré je súčasťou derivátových transakcií</w:t>
      </w:r>
      <w:r w:rsidR="004F01E9">
        <w:rPr>
          <w:rStyle w:val="normaltextrun"/>
          <w:noProof/>
        </w:rPr>
        <w:t xml:space="preserve"> s </w:t>
      </w:r>
      <w:r w:rsidRPr="004F01E9">
        <w:rPr>
          <w:rStyle w:val="normaltextrun"/>
          <w:noProof/>
        </w:rPr>
        <w:t>protistranou.</w:t>
      </w:r>
      <w:r w:rsidR="004F01E9">
        <w:rPr>
          <w:rStyle w:val="normaltextrun"/>
          <w:noProof/>
        </w:rPr>
        <w:t xml:space="preserve"> S </w:t>
      </w:r>
      <w:r w:rsidRPr="004F01E9">
        <w:rPr>
          <w:rStyle w:val="normaltextrun"/>
          <w:noProof/>
        </w:rPr>
        <w:t>cieľom vyriešiť tieto obavy výbor BCBS</w:t>
      </w:r>
      <w:r w:rsidR="004F01E9">
        <w:rPr>
          <w:rStyle w:val="normaltextrun"/>
          <w:noProof/>
        </w:rPr>
        <w:t xml:space="preserve"> v </w:t>
      </w:r>
      <w:r w:rsidRPr="004F01E9">
        <w:rPr>
          <w:rStyle w:val="normaltextrun"/>
          <w:noProof/>
        </w:rPr>
        <w:t>decembri 2017 zverejnil revidované štandardy ako súčasť konečných reforiem Bazilej III</w:t>
      </w:r>
      <w:r w:rsidR="004F01E9">
        <w:rPr>
          <w:rStyle w:val="normaltextrun"/>
          <w:noProof/>
        </w:rPr>
        <w:t xml:space="preserve"> a </w:t>
      </w:r>
      <w:r w:rsidRPr="004F01E9">
        <w:rPr>
          <w:rStyle w:val="normaltextrun"/>
          <w:noProof/>
        </w:rPr>
        <w:t>ďalej upravil ich nastavenie</w:t>
      </w:r>
      <w:r w:rsidR="004F01E9">
        <w:rPr>
          <w:rStyle w:val="normaltextrun"/>
          <w:noProof/>
        </w:rPr>
        <w:t xml:space="preserve"> v </w:t>
      </w:r>
      <w:r w:rsidRPr="004F01E9">
        <w:rPr>
          <w:rStyle w:val="normaltextrun"/>
          <w:noProof/>
        </w:rPr>
        <w:t>revidovanej publikácii</w:t>
      </w:r>
      <w:r w:rsidR="004F01E9">
        <w:rPr>
          <w:rStyle w:val="normaltextrun"/>
          <w:noProof/>
        </w:rPr>
        <w:t xml:space="preserve"> v </w:t>
      </w:r>
      <w:r w:rsidRPr="004F01E9">
        <w:rPr>
          <w:rStyle w:val="normaltextrun"/>
          <w:noProof/>
        </w:rPr>
        <w:t>júli 2020.</w:t>
      </w:r>
      <w:r w:rsidR="004F01E9">
        <w:rPr>
          <w:rStyle w:val="normaltextrun"/>
          <w:noProof/>
        </w:rPr>
        <w:t xml:space="preserve"> V </w:t>
      </w:r>
      <w:r w:rsidRPr="004F01E9">
        <w:rPr>
          <w:noProof/>
        </w:rPr>
        <w:t>záujme zosúladenia so štandardmi výboru BCBS</w:t>
      </w:r>
      <w:r w:rsidR="004F01E9">
        <w:rPr>
          <w:noProof/>
        </w:rPr>
        <w:t xml:space="preserve"> z </w:t>
      </w:r>
      <w:r w:rsidRPr="004F01E9">
        <w:rPr>
          <w:noProof/>
        </w:rPr>
        <w:t>roku 2020 sa</w:t>
      </w:r>
      <w:r w:rsidR="004F01E9">
        <w:rPr>
          <w:noProof/>
        </w:rPr>
        <w:t xml:space="preserve"> v </w:t>
      </w:r>
      <w:r w:rsidRPr="004F01E9">
        <w:rPr>
          <w:noProof/>
        </w:rPr>
        <w:t>nariadení CRR vykonalo niekoľko zmien.</w:t>
      </w:r>
    </w:p>
    <w:p w14:paraId="217462F0" w14:textId="3506977F" w:rsidR="00E74DDF" w:rsidRPr="004F01E9" w:rsidRDefault="00E74DDF" w:rsidP="00E74DDF">
      <w:pPr>
        <w:rPr>
          <w:noProof/>
        </w:rPr>
      </w:pPr>
      <w:r w:rsidRPr="004F01E9">
        <w:rPr>
          <w:noProof/>
        </w:rPr>
        <w:t>V článku 381 sa zavádza definícia významu rizika úprav ocenenia pohľadávok, aby sa zachytilo riziko kreditného rozpätia protistrany inštitúcie, ako aj trhové riziko portfólia transakcií,</w:t>
      </w:r>
      <w:r w:rsidR="004F01E9">
        <w:rPr>
          <w:noProof/>
        </w:rPr>
        <w:t xml:space="preserve"> s </w:t>
      </w:r>
      <w:r w:rsidRPr="004F01E9">
        <w:rPr>
          <w:noProof/>
        </w:rPr>
        <w:t>ktorými daná inštitúcia obchoduje</w:t>
      </w:r>
      <w:r w:rsidR="004F01E9">
        <w:rPr>
          <w:noProof/>
        </w:rPr>
        <w:t xml:space="preserve"> s </w:t>
      </w:r>
      <w:r w:rsidRPr="004F01E9">
        <w:rPr>
          <w:noProof/>
        </w:rPr>
        <w:t>touto protistranou.</w:t>
      </w:r>
    </w:p>
    <w:p w14:paraId="09046735" w14:textId="1B810515" w:rsidR="00E74DDF" w:rsidRPr="006C666F" w:rsidRDefault="00E74DDF" w:rsidP="00E74DDF">
      <w:pPr>
        <w:rPr>
          <w:noProof/>
          <w:spacing w:val="-10"/>
        </w:rPr>
      </w:pPr>
      <w:r w:rsidRPr="006C666F">
        <w:rPr>
          <w:noProof/>
          <w:spacing w:val="-10"/>
        </w:rPr>
        <w:t>Článok 382 sa mení</w:t>
      </w:r>
      <w:r w:rsidR="004F01E9" w:rsidRPr="006C666F">
        <w:rPr>
          <w:noProof/>
          <w:spacing w:val="-10"/>
        </w:rPr>
        <w:t xml:space="preserve"> s </w:t>
      </w:r>
      <w:r w:rsidRPr="006C666F">
        <w:rPr>
          <w:noProof/>
          <w:spacing w:val="-10"/>
        </w:rPr>
        <w:t>cieľom objasniť, ktoré transakcie financovania prostredníctvom cenných papierov podliehajú požiadavkám na vlastné zdroje pre riziko úprav ocenenia pohľadávok. Okrem toho sa zavádza nové ustanovenie,</w:t>
      </w:r>
      <w:r w:rsidR="004F01E9" w:rsidRPr="006C666F">
        <w:rPr>
          <w:noProof/>
          <w:spacing w:val="-10"/>
        </w:rPr>
        <w:t xml:space="preserve"> v </w:t>
      </w:r>
      <w:r w:rsidRPr="006C666F">
        <w:rPr>
          <w:noProof/>
          <w:spacing w:val="-10"/>
        </w:rPr>
        <w:t>ktorom sa vyžaduje, aby inštitúcie oznamovali výsledky výpočtu požiadaviek na vlastné zdroje pre riziko úprav ocenenia pohľadávok pre transakcie, na ktoré sa vzťahuje výnimka,</w:t>
      </w:r>
      <w:r w:rsidR="004F01E9" w:rsidRPr="006C666F">
        <w:rPr>
          <w:noProof/>
          <w:spacing w:val="-10"/>
        </w:rPr>
        <w:t xml:space="preserve"> v </w:t>
      </w:r>
      <w:r w:rsidRPr="006C666F">
        <w:rPr>
          <w:noProof/>
          <w:spacing w:val="-10"/>
        </w:rPr>
        <w:t>súlade</w:t>
      </w:r>
      <w:r w:rsidR="004F01E9" w:rsidRPr="006C666F">
        <w:rPr>
          <w:noProof/>
          <w:spacing w:val="-10"/>
        </w:rPr>
        <w:t xml:space="preserve"> s </w:t>
      </w:r>
      <w:r w:rsidRPr="006C666F">
        <w:rPr>
          <w:noProof/>
          <w:spacing w:val="-10"/>
        </w:rPr>
        <w:t>uvedeným článkom. Ďalej sa stanovuje, že inštitúcie, ktoré sa zaisťujú proti riziku úprav ocenenia pohľadávok pri týchto transakciách, na ktoré sa vzťahuje výnimka, môžu podľa vlastného uváženia vypočítať požiadavku na vlastné zdroje pre riziko úprav ocenenia pohľadávok pre tieto transakcie, pričom zohľadnia príslušné prípustné hedžingy. Napokon sa zavádzajú nové mandáty pre orgán EBA na vypracovanie usmernení, ktoré orgánom dohľadu pomôžu identifikovať nadmerné riziko úprav ocenenia pohľadávok,</w:t>
      </w:r>
      <w:r w:rsidR="004F01E9" w:rsidRPr="006C666F">
        <w:rPr>
          <w:noProof/>
          <w:spacing w:val="-10"/>
        </w:rPr>
        <w:t xml:space="preserve"> a </w:t>
      </w:r>
      <w:r w:rsidRPr="006C666F">
        <w:rPr>
          <w:noProof/>
          <w:spacing w:val="-10"/>
        </w:rPr>
        <w:t>na vypracovanie regulačných technických predpisov,</w:t>
      </w:r>
      <w:r w:rsidR="004F01E9" w:rsidRPr="006C666F">
        <w:rPr>
          <w:noProof/>
          <w:spacing w:val="-10"/>
        </w:rPr>
        <w:t xml:space="preserve"> v </w:t>
      </w:r>
      <w:r w:rsidRPr="006C666F">
        <w:rPr>
          <w:noProof/>
          <w:spacing w:val="-10"/>
        </w:rPr>
        <w:t>ktorých sa stanovia podmienky na posudzovanie významnosti expozícií voči riziku úpravy ocenenia pohľadávok vyplývajúcich</w:t>
      </w:r>
      <w:r w:rsidR="004F01E9" w:rsidRPr="006C666F">
        <w:rPr>
          <w:noProof/>
          <w:spacing w:val="-10"/>
        </w:rPr>
        <w:t xml:space="preserve"> z </w:t>
      </w:r>
      <w:r w:rsidRPr="006C666F">
        <w:rPr>
          <w:noProof/>
          <w:spacing w:val="-10"/>
        </w:rPr>
        <w:t>transakcií financovania prostredníctvom reálne ocenených cenných papierov.</w:t>
      </w:r>
    </w:p>
    <w:p w14:paraId="08F823D0" w14:textId="12396BD1" w:rsidR="00E74DDF" w:rsidRPr="004F01E9" w:rsidRDefault="00E74DDF" w:rsidP="00E74DDF">
      <w:pPr>
        <w:rPr>
          <w:noProof/>
        </w:rPr>
      </w:pPr>
      <w:r w:rsidRPr="004F01E9">
        <w:rPr>
          <w:noProof/>
        </w:rPr>
        <w:t>Vkladá sa článok 382a</w:t>
      </w:r>
      <w:r w:rsidR="004F01E9">
        <w:rPr>
          <w:noProof/>
        </w:rPr>
        <w:t xml:space="preserve"> s </w:t>
      </w:r>
      <w:r w:rsidRPr="004F01E9">
        <w:rPr>
          <w:noProof/>
        </w:rPr>
        <w:t>cieľom stanoviť nové prístupy, ktoré by mali inštitúcie používať na výpočet svojich požiadaviek na vlastné zdroje pre riziko úpravy ocenenia pohľadávok, ako aj podmienky používania kombinácie týchto prístupov.</w:t>
      </w:r>
    </w:p>
    <w:p w14:paraId="3282A7F2" w14:textId="65D0D837" w:rsidR="00E74DDF" w:rsidRPr="008402C3" w:rsidRDefault="00E74DDF" w:rsidP="00E74DDF">
      <w:pPr>
        <w:rPr>
          <w:noProof/>
          <w:spacing w:val="-4"/>
        </w:rPr>
      </w:pPr>
      <w:r w:rsidRPr="008402C3">
        <w:rPr>
          <w:noProof/>
          <w:spacing w:val="-4"/>
        </w:rPr>
        <w:t>Článok 383 sa nahrádza</w:t>
      </w:r>
      <w:r w:rsidR="004F01E9" w:rsidRPr="008402C3">
        <w:rPr>
          <w:noProof/>
          <w:spacing w:val="-4"/>
        </w:rPr>
        <w:t xml:space="preserve"> s </w:t>
      </w:r>
      <w:r w:rsidRPr="008402C3">
        <w:rPr>
          <w:noProof/>
          <w:spacing w:val="-4"/>
        </w:rPr>
        <w:t>cieľom zaviesť všeobecné požiadavky na používanie štandardizovaného prístupu na výpočet požiadaviek na vlastné zdroje pre riziko úpravy ocenenia pohľadávok, ako aj definíciu regulačnej CVA na tento účel. Vkladajú sa články 383a až 383x</w:t>
      </w:r>
      <w:r w:rsidR="004F01E9" w:rsidRPr="008402C3">
        <w:rPr>
          <w:noProof/>
          <w:spacing w:val="-4"/>
        </w:rPr>
        <w:t xml:space="preserve"> s </w:t>
      </w:r>
      <w:r w:rsidRPr="008402C3">
        <w:rPr>
          <w:noProof/>
          <w:spacing w:val="-4"/>
        </w:rPr>
        <w:t>cieľom bližšie špecifikovať technické prvky štandardizovaného prístupu.</w:t>
      </w:r>
    </w:p>
    <w:p w14:paraId="5971D065" w14:textId="1FB38AC5" w:rsidR="00E74DDF" w:rsidRPr="004F01E9" w:rsidRDefault="00E74DDF" w:rsidP="00E74DDF">
      <w:pPr>
        <w:rPr>
          <w:noProof/>
        </w:rPr>
      </w:pPr>
      <w:r w:rsidRPr="004F01E9">
        <w:rPr>
          <w:noProof/>
        </w:rPr>
        <w:t>Článok 384 sa nahrádza</w:t>
      </w:r>
      <w:r w:rsidR="004F01E9">
        <w:rPr>
          <w:noProof/>
        </w:rPr>
        <w:t xml:space="preserve"> s </w:t>
      </w:r>
      <w:r w:rsidRPr="004F01E9">
        <w:rPr>
          <w:noProof/>
        </w:rPr>
        <w:t>cieľom zaviesť základný prístup na výpočet požiadaviek na vlastné zdroje pre riziko úpravy ocenenia pohľadávok</w:t>
      </w:r>
      <w:r w:rsidR="004F01E9">
        <w:rPr>
          <w:noProof/>
        </w:rPr>
        <w:t xml:space="preserve"> v </w:t>
      </w:r>
      <w:r w:rsidRPr="004F01E9">
        <w:rPr>
          <w:noProof/>
        </w:rPr>
        <w:t>súlade so štandardmi Bazilej III.</w:t>
      </w:r>
    </w:p>
    <w:p w14:paraId="7E549897" w14:textId="70ACD1D0" w:rsidR="00E74DDF" w:rsidRPr="004F01E9" w:rsidRDefault="00E74DDF" w:rsidP="00E74DDF">
      <w:pPr>
        <w:rPr>
          <w:noProof/>
        </w:rPr>
      </w:pPr>
      <w:r w:rsidRPr="004F01E9">
        <w:rPr>
          <w:noProof/>
        </w:rPr>
        <w:t>Článok 385 sa nahrádza</w:t>
      </w:r>
      <w:r w:rsidR="004F01E9">
        <w:rPr>
          <w:noProof/>
        </w:rPr>
        <w:t xml:space="preserve"> s </w:t>
      </w:r>
      <w:r w:rsidRPr="004F01E9">
        <w:rPr>
          <w:noProof/>
        </w:rPr>
        <w:t>cieľom zaviesť zjednodušený prístup na výpočet požiadaviek na vlastné zdroje pre riziko úpravy ocenenia pohľadávok, ako aj kritériá prípustnosti na používanie zjednodušeného prístupu.</w:t>
      </w:r>
    </w:p>
    <w:p w14:paraId="0E6EDA43" w14:textId="28663C1F" w:rsidR="00E74DDF" w:rsidRPr="008402C3" w:rsidRDefault="00E74DDF" w:rsidP="00C67562">
      <w:pPr>
        <w:spacing w:after="240"/>
        <w:rPr>
          <w:noProof/>
          <w:spacing w:val="-6"/>
        </w:rPr>
      </w:pPr>
      <w:r w:rsidRPr="008402C3">
        <w:rPr>
          <w:noProof/>
          <w:spacing w:val="-6"/>
        </w:rPr>
        <w:t>Nakoniec sa mení článok 386 tak, aby sa</w:t>
      </w:r>
      <w:r w:rsidR="004F01E9" w:rsidRPr="008402C3">
        <w:rPr>
          <w:noProof/>
          <w:spacing w:val="-6"/>
        </w:rPr>
        <w:t xml:space="preserve"> v </w:t>
      </w:r>
      <w:r w:rsidRPr="008402C3">
        <w:rPr>
          <w:noProof/>
          <w:spacing w:val="-6"/>
        </w:rPr>
        <w:t>ňom zohľadňovali nové požiadavky uplatniteľné na prípustné hedžingy na účely požiadaviek na vlastné zdroje pre riziko úpravy ocenenia pohľadávok.</w:t>
      </w:r>
    </w:p>
    <w:p w14:paraId="4DB7E420" w14:textId="77777777" w:rsidR="00E74DDF" w:rsidRPr="004F01E9" w:rsidRDefault="00E74DDF" w:rsidP="00E22C97">
      <w:pPr>
        <w:rPr>
          <w:b/>
          <w:noProof/>
        </w:rPr>
      </w:pPr>
      <w:r w:rsidRPr="004F01E9">
        <w:rPr>
          <w:b/>
          <w:noProof/>
        </w:rPr>
        <w:t>Rámec minimálnych spodných hraníc haircutov pre transakcie financovania prostredníctvom cenných papierov</w:t>
      </w:r>
    </w:p>
    <w:p w14:paraId="4713E54F" w14:textId="6E23D68B" w:rsidR="00806B81" w:rsidRPr="006C666F" w:rsidRDefault="00E74DDF" w:rsidP="0070627E">
      <w:pPr>
        <w:rPr>
          <w:noProof/>
          <w:spacing w:val="-4"/>
        </w:rPr>
      </w:pPr>
      <w:r w:rsidRPr="006C666F">
        <w:rPr>
          <w:noProof/>
          <w:spacing w:val="-4"/>
        </w:rPr>
        <w:t>Transakcie financovania prostredníctvom cenných papierov zohrávajú zásadnú úlohu vo finančnom systéme Únie tým, že umožňujú finančným inštitúciám riadiť svoju vlastnú pozíciu likvidity</w:t>
      </w:r>
      <w:r w:rsidR="004F01E9" w:rsidRPr="006C666F">
        <w:rPr>
          <w:noProof/>
          <w:spacing w:val="-4"/>
        </w:rPr>
        <w:t xml:space="preserve"> a </w:t>
      </w:r>
      <w:r w:rsidRPr="006C666F">
        <w:rPr>
          <w:noProof/>
          <w:spacing w:val="-4"/>
        </w:rPr>
        <w:t>podporovať svoje činnosti súvisiace</w:t>
      </w:r>
      <w:r w:rsidR="004F01E9" w:rsidRPr="006C666F">
        <w:rPr>
          <w:noProof/>
          <w:spacing w:val="-4"/>
        </w:rPr>
        <w:t xml:space="preserve"> s </w:t>
      </w:r>
      <w:r w:rsidRPr="006C666F">
        <w:rPr>
          <w:noProof/>
          <w:spacing w:val="-4"/>
        </w:rPr>
        <w:t>tvorbou trhu</w:t>
      </w:r>
      <w:r w:rsidR="004F01E9" w:rsidRPr="006C666F">
        <w:rPr>
          <w:noProof/>
          <w:spacing w:val="-4"/>
        </w:rPr>
        <w:t xml:space="preserve"> s </w:t>
      </w:r>
      <w:r w:rsidRPr="006C666F">
        <w:rPr>
          <w:noProof/>
          <w:spacing w:val="-4"/>
        </w:rPr>
        <w:t>cennými papiermi. Transakcie financovania prostredníctvom cenných papierov sú dôležité aj pre centrálne banky, pretože tieto transakcie im umožňujú prostredníctvom finančných inštitúcií prenášať svoje plány menovej politiky do reálnej ekonomiky. Transakcie financovania prostredníctvom cenných papierov však môžu takisto umožniť účastníkom trhu rekurzívne využívať svoje pozície reinvestovaním hotovostného kolaterálu</w:t>
      </w:r>
      <w:r w:rsidR="004F01E9" w:rsidRPr="006C666F">
        <w:rPr>
          <w:noProof/>
          <w:spacing w:val="-4"/>
        </w:rPr>
        <w:t xml:space="preserve"> a </w:t>
      </w:r>
      <w:r w:rsidRPr="006C666F">
        <w:rPr>
          <w:noProof/>
          <w:spacing w:val="-4"/>
        </w:rPr>
        <w:t>opätovným použitím bezhotovostného kolaterálu. Na riešenie rizika nahromadenia nadmerného využívania finančnej páky mimo bankového sektora zverejnila Rada pre finančnú stabilitu (FSB)</w:t>
      </w:r>
      <w:r w:rsidR="004F01E9" w:rsidRPr="006C666F">
        <w:rPr>
          <w:noProof/>
          <w:spacing w:val="-4"/>
        </w:rPr>
        <w:t xml:space="preserve"> v </w:t>
      </w:r>
      <w:r w:rsidRPr="006C666F">
        <w:rPr>
          <w:noProof/>
          <w:spacing w:val="-4"/>
        </w:rPr>
        <w:t>roku 2013 odporúčanie</w:t>
      </w:r>
      <w:r w:rsidRPr="006C666F">
        <w:rPr>
          <w:rStyle w:val="FootnoteReference0"/>
          <w:rFonts w:eastAsia="Times New Roman"/>
          <w:noProof/>
          <w:spacing w:val="-4"/>
          <w:lang w:eastAsia="en-GB"/>
        </w:rPr>
        <w:footnoteReference w:id="40"/>
      </w:r>
      <w:r w:rsidRPr="006C666F">
        <w:rPr>
          <w:noProof/>
          <w:spacing w:val="-4"/>
        </w:rPr>
        <w:t xml:space="preserve"> svojim členom, ktorí patria do jej jurisdikcie, aby zaviedli minimálne haircuty</w:t>
      </w:r>
      <w:r w:rsidR="004F01E9" w:rsidRPr="006C666F">
        <w:rPr>
          <w:noProof/>
          <w:spacing w:val="-4"/>
        </w:rPr>
        <w:t xml:space="preserve"> z </w:t>
      </w:r>
      <w:r w:rsidRPr="006C666F">
        <w:rPr>
          <w:noProof/>
          <w:spacing w:val="-4"/>
        </w:rPr>
        <w:t>kolaterálu pre niektoré transakcie financovania prostredníctvom cenných papierov, ktoré sa nezúčtovávajú centrálne, obchodované medzi bankami</w:t>
      </w:r>
      <w:r w:rsidR="004F01E9" w:rsidRPr="006C666F">
        <w:rPr>
          <w:noProof/>
          <w:spacing w:val="-4"/>
        </w:rPr>
        <w:t xml:space="preserve"> a </w:t>
      </w:r>
      <w:r w:rsidRPr="006C666F">
        <w:rPr>
          <w:noProof/>
          <w:spacing w:val="-4"/>
        </w:rPr>
        <w:t>nebankovými subjektmi. Podľa tohto odporúčania by sa takéto minimálne haircuty</w:t>
      </w:r>
      <w:r w:rsidR="004F01E9" w:rsidRPr="006C666F">
        <w:rPr>
          <w:noProof/>
          <w:spacing w:val="-4"/>
        </w:rPr>
        <w:t xml:space="preserve"> z </w:t>
      </w:r>
      <w:r w:rsidRPr="006C666F">
        <w:rPr>
          <w:noProof/>
          <w:spacing w:val="-4"/>
        </w:rPr>
        <w:t>kolaterálu mali zaviesť podľa uváženia každej jurisdikcie,</w:t>
      </w:r>
      <w:r w:rsidR="004F01E9" w:rsidRPr="006C666F">
        <w:rPr>
          <w:noProof/>
          <w:spacing w:val="-4"/>
        </w:rPr>
        <w:t xml:space="preserve"> a </w:t>
      </w:r>
      <w:r w:rsidRPr="006C666F">
        <w:rPr>
          <w:noProof/>
          <w:spacing w:val="-4"/>
        </w:rPr>
        <w:t>to buď priamo prostredníctvom regulácie trhu, alebo nepriamo prostredníctvom represívnejšej kapitálovej požiadavky; tento druhý prístup vypracoval výbor BCBS</w:t>
      </w:r>
      <w:r w:rsidR="004F01E9" w:rsidRPr="006C666F">
        <w:rPr>
          <w:noProof/>
          <w:spacing w:val="-4"/>
        </w:rPr>
        <w:t xml:space="preserve"> v </w:t>
      </w:r>
      <w:r w:rsidRPr="006C666F">
        <w:rPr>
          <w:noProof/>
          <w:spacing w:val="-4"/>
        </w:rPr>
        <w:t>roku 2017 ako súčasť konečných reforiem Bazilej III.</w:t>
      </w:r>
    </w:p>
    <w:p w14:paraId="7FB8E66D" w14:textId="33C8462D" w:rsidR="00806B81" w:rsidRPr="006C666F" w:rsidRDefault="00E74DDF" w:rsidP="0070627E">
      <w:pPr>
        <w:rPr>
          <w:noProof/>
          <w:spacing w:val="-10"/>
        </w:rPr>
      </w:pPr>
      <w:r w:rsidRPr="006C666F">
        <w:rPr>
          <w:noProof/>
          <w:spacing w:val="-10"/>
        </w:rPr>
        <w:t>V odporúčaniach orgánu EBA</w:t>
      </w:r>
      <w:r w:rsidR="004F01E9" w:rsidRPr="006C666F">
        <w:rPr>
          <w:noProof/>
          <w:spacing w:val="-10"/>
        </w:rPr>
        <w:t xml:space="preserve"> v </w:t>
      </w:r>
      <w:r w:rsidRPr="006C666F">
        <w:rPr>
          <w:noProof/>
          <w:spacing w:val="-10"/>
        </w:rPr>
        <w:t>jeho špecializovanej správe</w:t>
      </w:r>
      <w:r w:rsidRPr="006C666F">
        <w:rPr>
          <w:rStyle w:val="FootnoteReference0"/>
          <w:rFonts w:eastAsia="Times New Roman"/>
          <w:noProof/>
          <w:spacing w:val="-10"/>
          <w:lang w:eastAsia="en-GB"/>
        </w:rPr>
        <w:footnoteReference w:id="41"/>
      </w:r>
      <w:r w:rsidR="004F01E9" w:rsidRPr="006C666F">
        <w:rPr>
          <w:noProof/>
          <w:spacing w:val="-10"/>
        </w:rPr>
        <w:t xml:space="preserve"> o </w:t>
      </w:r>
      <w:r w:rsidRPr="006C666F">
        <w:rPr>
          <w:noProof/>
          <w:spacing w:val="-10"/>
        </w:rPr>
        <w:t>vykonávaní rámca minimálnych spodných hraníc haircutov pre transakcie financovania prostredníctvom cenných papierov</w:t>
      </w:r>
      <w:r w:rsidR="004F01E9" w:rsidRPr="006C666F">
        <w:rPr>
          <w:noProof/>
          <w:spacing w:val="-10"/>
        </w:rPr>
        <w:t xml:space="preserve"> v </w:t>
      </w:r>
      <w:r w:rsidRPr="006C666F">
        <w:rPr>
          <w:noProof/>
          <w:spacing w:val="-10"/>
        </w:rPr>
        <w:t>práve Únie</w:t>
      </w:r>
      <w:r w:rsidR="004F01E9" w:rsidRPr="006C666F">
        <w:rPr>
          <w:noProof/>
          <w:spacing w:val="-10"/>
        </w:rPr>
        <w:t xml:space="preserve"> a v </w:t>
      </w:r>
      <w:r w:rsidRPr="006C666F">
        <w:rPr>
          <w:noProof/>
          <w:spacing w:val="-10"/>
        </w:rPr>
        <w:t>odporúčaniach orgánu ESMA</w:t>
      </w:r>
      <w:r w:rsidR="004F01E9" w:rsidRPr="006C666F">
        <w:rPr>
          <w:noProof/>
          <w:spacing w:val="-10"/>
        </w:rPr>
        <w:t xml:space="preserve"> v </w:t>
      </w:r>
      <w:r w:rsidRPr="006C666F">
        <w:rPr>
          <w:noProof/>
          <w:spacing w:val="-10"/>
        </w:rPr>
        <w:t>jeho správe</w:t>
      </w:r>
      <w:r w:rsidRPr="006C666F">
        <w:rPr>
          <w:rStyle w:val="FootnoteReference0"/>
          <w:rFonts w:eastAsia="Times New Roman"/>
          <w:noProof/>
          <w:spacing w:val="-10"/>
          <w:lang w:eastAsia="en-GB"/>
        </w:rPr>
        <w:footnoteReference w:id="42"/>
      </w:r>
      <w:r w:rsidR="004F01E9" w:rsidRPr="006C666F">
        <w:rPr>
          <w:noProof/>
          <w:spacing w:val="-10"/>
        </w:rPr>
        <w:t xml:space="preserve"> o </w:t>
      </w:r>
      <w:r w:rsidRPr="006C666F">
        <w:rPr>
          <w:noProof/>
          <w:spacing w:val="-10"/>
        </w:rPr>
        <w:t>transakciách financovania prostredníctvom cenných papierov</w:t>
      </w:r>
      <w:r w:rsidR="004F01E9" w:rsidRPr="006C666F">
        <w:rPr>
          <w:noProof/>
          <w:spacing w:val="-10"/>
        </w:rPr>
        <w:t xml:space="preserve"> a </w:t>
      </w:r>
      <w:r w:rsidRPr="006C666F">
        <w:rPr>
          <w:noProof/>
          <w:spacing w:val="-10"/>
        </w:rPr>
        <w:t>finančnej páke</w:t>
      </w:r>
      <w:r w:rsidR="004F01E9" w:rsidRPr="006C666F">
        <w:rPr>
          <w:noProof/>
          <w:spacing w:val="-10"/>
        </w:rPr>
        <w:t xml:space="preserve"> v </w:t>
      </w:r>
      <w:r w:rsidRPr="006C666F">
        <w:rPr>
          <w:noProof/>
          <w:spacing w:val="-10"/>
        </w:rPr>
        <w:t>EÚ sa však poukázalo na to, že nie je jasné, aký vplyv bude mať uplatňovanie tohto rámca na inštitúcie.</w:t>
      </w:r>
      <w:r w:rsidR="004F01E9" w:rsidRPr="006C666F">
        <w:rPr>
          <w:noProof/>
          <w:spacing w:val="-10"/>
        </w:rPr>
        <w:t xml:space="preserve"> V </w:t>
      </w:r>
      <w:r w:rsidRPr="006C666F">
        <w:rPr>
          <w:noProof/>
          <w:spacing w:val="-10"/>
        </w:rPr>
        <w:t>týchto odporúčaniach sa takisto vyjadrili obavy, že uplatňovanie tohto rámca na určité typy transakcií financovania prostredníctvom cenných papierov by mohlo mať nežiaduce dôsledky na tieto finančné činnosti. Okrem toho ešte nie je jasné, či by bolo vhodnejšie uplatniť rámec na inštitúcie ako represívnejšiu požiadavku na vlastné zdroje, alebo skôr ako reguláciu trhu. Uplatňovanie rámca na inštitúcie ako represívnejšej požiadavky na vlastné zdroje by umožnilo inštitúciám, ktoré by nedodržiavali tieto minimálne spodné hranice haircutov, aby vykonávali tieto finančné činnosti, pričom by podliehali sankciám. Eventuálne, uplatňovaním rámca ako regulácie trhu by sa zabezpečili rovnaké podmienky pre všetkých účastníkov trhu, ak by sa Únia rozhodla zaviesť podobnú reguláciu trhu pre príslušné transakcie financovania prostredníctvom cenných papierov medzi nebankovými subjektmi, ako to odporúča aj FSB</w:t>
      </w:r>
      <w:r w:rsidR="004F01E9" w:rsidRPr="006C666F">
        <w:rPr>
          <w:noProof/>
          <w:spacing w:val="-10"/>
        </w:rPr>
        <w:t xml:space="preserve"> v </w:t>
      </w:r>
      <w:r w:rsidRPr="006C666F">
        <w:rPr>
          <w:noProof/>
          <w:spacing w:val="-10"/>
        </w:rPr>
        <w:t>uvedenej správe</w:t>
      </w:r>
      <w:r w:rsidR="004F01E9" w:rsidRPr="006C666F">
        <w:rPr>
          <w:noProof/>
          <w:spacing w:val="-10"/>
        </w:rPr>
        <w:t xml:space="preserve"> z </w:t>
      </w:r>
      <w:r w:rsidRPr="006C666F">
        <w:rPr>
          <w:noProof/>
          <w:spacing w:val="-10"/>
        </w:rPr>
        <w:t>roku 2013.</w:t>
      </w:r>
    </w:p>
    <w:p w14:paraId="00E2530E" w14:textId="1719B7D6" w:rsidR="00E74DDF" w:rsidRPr="004F01E9" w:rsidRDefault="00E74DDF" w:rsidP="00C67562">
      <w:pPr>
        <w:spacing w:after="240"/>
        <w:rPr>
          <w:noProof/>
        </w:rPr>
      </w:pPr>
      <w:r w:rsidRPr="004F01E9">
        <w:rPr>
          <w:noProof/>
        </w:rPr>
        <w:t>V tejto súvislosti sa článkom 519c zavádza mandát pre orgán EBA, aby</w:t>
      </w:r>
      <w:r w:rsidR="004F01E9">
        <w:rPr>
          <w:noProof/>
        </w:rPr>
        <w:t xml:space="preserve"> v </w:t>
      </w:r>
      <w:r w:rsidRPr="004F01E9">
        <w:rPr>
          <w:noProof/>
        </w:rPr>
        <w:t>úzkej spolupráci</w:t>
      </w:r>
      <w:r w:rsidR="004F01E9">
        <w:rPr>
          <w:noProof/>
        </w:rPr>
        <w:t xml:space="preserve"> s </w:t>
      </w:r>
      <w:r w:rsidRPr="004F01E9">
        <w:rPr>
          <w:noProof/>
        </w:rPr>
        <w:t>orgánom ESMA podával Komisii správy</w:t>
      </w:r>
      <w:r w:rsidR="004F01E9">
        <w:rPr>
          <w:noProof/>
        </w:rPr>
        <w:t xml:space="preserve"> o </w:t>
      </w:r>
      <w:r w:rsidRPr="004F01E9">
        <w:rPr>
          <w:noProof/>
        </w:rPr>
        <w:t>primeranosti vykonávania rámca minimálnych spodných hraníc haircutov uplatniteľného na transakcie financovania prostredníctvom cenných papierov</w:t>
      </w:r>
      <w:r w:rsidR="004F01E9">
        <w:rPr>
          <w:noProof/>
        </w:rPr>
        <w:t xml:space="preserve"> v </w:t>
      </w:r>
      <w:r w:rsidRPr="004F01E9">
        <w:rPr>
          <w:noProof/>
        </w:rPr>
        <w:t>Únii. Na základe tejto správy Komisia</w:t>
      </w:r>
      <w:r w:rsidR="004F01E9">
        <w:rPr>
          <w:noProof/>
        </w:rPr>
        <w:t xml:space="preserve"> v </w:t>
      </w:r>
      <w:r w:rsidRPr="004F01E9">
        <w:rPr>
          <w:noProof/>
        </w:rPr>
        <w:t>prípade potreby predloží Európskemu parlamentu</w:t>
      </w:r>
      <w:r w:rsidR="004F01E9">
        <w:rPr>
          <w:noProof/>
        </w:rPr>
        <w:t xml:space="preserve"> a </w:t>
      </w:r>
      <w:r w:rsidRPr="004F01E9">
        <w:rPr>
          <w:noProof/>
        </w:rPr>
        <w:t>Rade legislatívny návrh.</w:t>
      </w:r>
    </w:p>
    <w:p w14:paraId="0598F1C4" w14:textId="77777777" w:rsidR="00E74DDF" w:rsidRPr="004F01E9" w:rsidRDefault="00E74DDF" w:rsidP="00E22C97">
      <w:pPr>
        <w:rPr>
          <w:b/>
          <w:noProof/>
        </w:rPr>
      </w:pPr>
      <w:r w:rsidRPr="004F01E9">
        <w:rPr>
          <w:b/>
          <w:noProof/>
        </w:rPr>
        <w:t>Operačné riziko</w:t>
      </w:r>
    </w:p>
    <w:p w14:paraId="577FB017" w14:textId="65AAA233" w:rsidR="00E74DDF" w:rsidRPr="004F01E9" w:rsidRDefault="00E74DDF" w:rsidP="00E74DDF">
      <w:pPr>
        <w:keepNext/>
        <w:rPr>
          <w:i/>
          <w:noProof/>
        </w:rPr>
      </w:pPr>
      <w:r w:rsidRPr="004F01E9">
        <w:rPr>
          <w:i/>
          <w:noProof/>
        </w:rPr>
        <w:t>Nový štandardizovaný prístup, ktorý nahradí všetky existujúce prístupy</w:t>
      </w:r>
      <w:r w:rsidR="004F01E9">
        <w:rPr>
          <w:i/>
          <w:noProof/>
        </w:rPr>
        <w:t xml:space="preserve"> k </w:t>
      </w:r>
      <w:r w:rsidRPr="004F01E9">
        <w:rPr>
          <w:i/>
          <w:noProof/>
        </w:rPr>
        <w:t>operačnému riziku</w:t>
      </w:r>
    </w:p>
    <w:p w14:paraId="1D1E4D85" w14:textId="638C584E" w:rsidR="00806B81" w:rsidRPr="008402C3" w:rsidRDefault="00E74DDF" w:rsidP="00E74DDF">
      <w:pPr>
        <w:rPr>
          <w:noProof/>
          <w:spacing w:val="-6"/>
        </w:rPr>
      </w:pPr>
      <w:r w:rsidRPr="008402C3">
        <w:rPr>
          <w:noProof/>
          <w:spacing w:val="-6"/>
        </w:rPr>
        <w:t>Výbor BCBS zrevidoval medzinárodné štandardy pre operačné riziko</w:t>
      </w:r>
      <w:r w:rsidR="004F01E9" w:rsidRPr="008402C3">
        <w:rPr>
          <w:noProof/>
          <w:spacing w:val="-6"/>
        </w:rPr>
        <w:t xml:space="preserve"> s </w:t>
      </w:r>
      <w:r w:rsidRPr="008402C3">
        <w:rPr>
          <w:noProof/>
          <w:spacing w:val="-6"/>
        </w:rPr>
        <w:t>cieľom riešiť slabé stránky, ktoré sa objavili</w:t>
      </w:r>
      <w:r w:rsidR="004F01E9" w:rsidRPr="008402C3">
        <w:rPr>
          <w:noProof/>
          <w:spacing w:val="-6"/>
        </w:rPr>
        <w:t xml:space="preserve"> v </w:t>
      </w:r>
      <w:r w:rsidRPr="008402C3">
        <w:rPr>
          <w:noProof/>
          <w:spacing w:val="-6"/>
        </w:rPr>
        <w:t>dôsledku finančnej krízy</w:t>
      </w:r>
      <w:r w:rsidR="004F01E9" w:rsidRPr="008402C3">
        <w:rPr>
          <w:noProof/>
          <w:spacing w:val="-6"/>
        </w:rPr>
        <w:t xml:space="preserve"> v </w:t>
      </w:r>
      <w:r w:rsidRPr="008402C3">
        <w:rPr>
          <w:noProof/>
          <w:spacing w:val="-6"/>
        </w:rPr>
        <w:t>rokoch 2008 – 2009. Okrem nedostatočnej citlivosti na riziko</w:t>
      </w:r>
      <w:r w:rsidR="004F01E9" w:rsidRPr="008402C3">
        <w:rPr>
          <w:noProof/>
          <w:spacing w:val="-6"/>
        </w:rPr>
        <w:t xml:space="preserve"> v </w:t>
      </w:r>
      <w:r w:rsidRPr="008402C3">
        <w:rPr>
          <w:noProof/>
          <w:spacing w:val="-6"/>
        </w:rPr>
        <w:t>štandardizovaných prístupoch bola zistená nedostatočná porovnateľnosť vyplývajúca zo širokej škály postupov interného modelovania</w:t>
      </w:r>
      <w:r w:rsidR="004F01E9" w:rsidRPr="008402C3">
        <w:rPr>
          <w:noProof/>
          <w:spacing w:val="-6"/>
        </w:rPr>
        <w:t xml:space="preserve"> v </w:t>
      </w:r>
      <w:r w:rsidRPr="008402C3">
        <w:rPr>
          <w:noProof/>
          <w:spacing w:val="-6"/>
        </w:rPr>
        <w:t>rámci pokročilých prístupov merania (AMA).</w:t>
      </w:r>
      <w:r w:rsidR="004F01E9" w:rsidRPr="008402C3">
        <w:rPr>
          <w:noProof/>
          <w:spacing w:val="-6"/>
        </w:rPr>
        <w:t xml:space="preserve"> V </w:t>
      </w:r>
      <w:r w:rsidRPr="008402C3">
        <w:rPr>
          <w:noProof/>
          <w:spacing w:val="-6"/>
        </w:rPr>
        <w:t>tejto súvislosti</w:t>
      </w:r>
      <w:r w:rsidR="004F01E9" w:rsidRPr="008402C3">
        <w:rPr>
          <w:noProof/>
          <w:spacing w:val="-6"/>
        </w:rPr>
        <w:t xml:space="preserve"> a s </w:t>
      </w:r>
      <w:r w:rsidRPr="008402C3">
        <w:rPr>
          <w:noProof/>
          <w:spacing w:val="-6"/>
        </w:rPr>
        <w:t>cieľom zlepšiť jednoduchosť rámca boli všetky existujúce prístupy na výpočet požiadaviek na vlastné zdroje pre operačné riziko nahradené jediným prístupom, ktorý nie je založený na modeli</w:t>
      </w:r>
      <w:r w:rsidR="004F01E9" w:rsidRPr="008402C3">
        <w:rPr>
          <w:noProof/>
          <w:spacing w:val="-6"/>
        </w:rPr>
        <w:t xml:space="preserve"> a </w:t>
      </w:r>
      <w:r w:rsidRPr="008402C3">
        <w:rPr>
          <w:noProof/>
          <w:spacing w:val="-6"/>
        </w:rPr>
        <w:t>ktorý majú používať všetky inštitúcie. Hoci používanie modelov, ako sú modely vyvinuté</w:t>
      </w:r>
      <w:r w:rsidR="004F01E9" w:rsidRPr="008402C3">
        <w:rPr>
          <w:noProof/>
          <w:spacing w:val="-6"/>
        </w:rPr>
        <w:t xml:space="preserve"> v </w:t>
      </w:r>
      <w:r w:rsidRPr="008402C3">
        <w:rPr>
          <w:noProof/>
          <w:spacing w:val="-6"/>
        </w:rPr>
        <w:t>rámci AMA, už podľa tohto nového rámca nie je možné na určenie požiadaviek na vlastné zdroje pre operačné riziko, inštitúcie budú mať stále možnosť použiť tieto modely na účely postupu hodnotenia primeranosti interného kapitálu (ICAAP).</w:t>
      </w:r>
    </w:p>
    <w:p w14:paraId="22B406BA" w14:textId="2CF6499B" w:rsidR="00E74DDF" w:rsidRPr="004F01E9" w:rsidRDefault="00E74DDF" w:rsidP="00E74DDF">
      <w:pPr>
        <w:rPr>
          <w:noProof/>
          <w:szCs w:val="24"/>
        </w:rPr>
      </w:pPr>
      <w:r w:rsidRPr="004F01E9">
        <w:rPr>
          <w:noProof/>
        </w:rPr>
        <w:t>Nový štandardizovaný prístup sa</w:t>
      </w:r>
      <w:r w:rsidR="004F01E9">
        <w:rPr>
          <w:noProof/>
        </w:rPr>
        <w:t xml:space="preserve"> v </w:t>
      </w:r>
      <w:r w:rsidRPr="004F01E9">
        <w:rPr>
          <w:noProof/>
        </w:rPr>
        <w:t>Únii vykonáva nahradením tretej časti hlavy III nariadenia CRR. Okrem toho sa vykonali ďalšie úpravy niekoľkých ďalších článkov</w:t>
      </w:r>
      <w:r w:rsidR="004F01E9">
        <w:rPr>
          <w:noProof/>
        </w:rPr>
        <w:t xml:space="preserve"> v </w:t>
      </w:r>
      <w:r w:rsidRPr="004F01E9">
        <w:rPr>
          <w:noProof/>
        </w:rPr>
        <w:t>nariadení CRR, najmä</w:t>
      </w:r>
      <w:r w:rsidR="004F01E9">
        <w:rPr>
          <w:noProof/>
        </w:rPr>
        <w:t xml:space="preserve"> s </w:t>
      </w:r>
      <w:r w:rsidRPr="004F01E9">
        <w:rPr>
          <w:noProof/>
        </w:rPr>
        <w:t>cieľom i) zaviesť jasné</w:t>
      </w:r>
      <w:r w:rsidR="004F01E9">
        <w:rPr>
          <w:noProof/>
        </w:rPr>
        <w:t xml:space="preserve"> a </w:t>
      </w:r>
      <w:r w:rsidRPr="004F01E9">
        <w:rPr>
          <w:noProof/>
        </w:rPr>
        <w:t>harmonizované vymedzenie pojmov súvisiace</w:t>
      </w:r>
      <w:r w:rsidR="004F01E9">
        <w:rPr>
          <w:noProof/>
        </w:rPr>
        <w:t xml:space="preserve"> s </w:t>
      </w:r>
      <w:r w:rsidRPr="004F01E9">
        <w:rPr>
          <w:noProof/>
        </w:rPr>
        <w:t>operačným rizikom (článok 4 ods. 1 body 52a, 52b</w:t>
      </w:r>
      <w:r w:rsidR="004F01E9">
        <w:rPr>
          <w:noProof/>
        </w:rPr>
        <w:t xml:space="preserve"> a </w:t>
      </w:r>
      <w:r w:rsidRPr="004F01E9">
        <w:rPr>
          <w:noProof/>
        </w:rPr>
        <w:t>52c), ako odporúča orgán EBA vo svojej odpovedi</w:t>
      </w:r>
      <w:r w:rsidRPr="004F01E9">
        <w:rPr>
          <w:rStyle w:val="FootnoteReference0"/>
          <w:noProof/>
        </w:rPr>
        <w:footnoteReference w:id="43"/>
      </w:r>
      <w:r w:rsidRPr="004F01E9">
        <w:rPr>
          <w:noProof/>
        </w:rPr>
        <w:t xml:space="preserve"> na výzvu Komisie</w:t>
      </w:r>
      <w:r w:rsidR="004F01E9">
        <w:rPr>
          <w:noProof/>
        </w:rPr>
        <w:t xml:space="preserve"> o </w:t>
      </w:r>
      <w:r w:rsidRPr="004F01E9">
        <w:rPr>
          <w:noProof/>
        </w:rPr>
        <w:t>poskytnutie odporúčaní</w:t>
      </w:r>
      <w:r w:rsidR="004F01E9">
        <w:rPr>
          <w:noProof/>
        </w:rPr>
        <w:t xml:space="preserve"> z </w:t>
      </w:r>
      <w:r w:rsidRPr="004F01E9">
        <w:rPr>
          <w:noProof/>
        </w:rPr>
        <w:t>roku 2019,</w:t>
      </w:r>
      <w:r w:rsidR="004F01E9">
        <w:rPr>
          <w:noProof/>
        </w:rPr>
        <w:t xml:space="preserve"> a </w:t>
      </w:r>
      <w:r w:rsidRPr="004F01E9">
        <w:rPr>
          <w:noProof/>
        </w:rPr>
        <w:t>ii) zohľadniť nahradenie hlavy III</w:t>
      </w:r>
      <w:r w:rsidR="004F01E9">
        <w:rPr>
          <w:noProof/>
        </w:rPr>
        <w:t xml:space="preserve"> v </w:t>
      </w:r>
      <w:r w:rsidRPr="004F01E9">
        <w:rPr>
          <w:noProof/>
        </w:rPr>
        <w:t>celom nariadení CRR (napríklad predchádzajúce odkazy na hlavu III</w:t>
      </w:r>
      <w:r w:rsidR="004F01E9">
        <w:rPr>
          <w:noProof/>
        </w:rPr>
        <w:t xml:space="preserve"> v </w:t>
      </w:r>
      <w:r w:rsidRPr="004F01E9">
        <w:rPr>
          <w:noProof/>
        </w:rPr>
        <w:t>článku 20 sa vypúšťajú). Napokon má orgán EBA príkaz podávať Komisii správy</w:t>
      </w:r>
      <w:r w:rsidR="004F01E9">
        <w:rPr>
          <w:noProof/>
        </w:rPr>
        <w:t xml:space="preserve"> o </w:t>
      </w:r>
      <w:r w:rsidRPr="004F01E9">
        <w:rPr>
          <w:noProof/>
        </w:rPr>
        <w:t>využívaní poistenia</w:t>
      </w:r>
      <w:r w:rsidR="004F01E9">
        <w:rPr>
          <w:noProof/>
        </w:rPr>
        <w:t xml:space="preserve"> v </w:t>
      </w:r>
      <w:r w:rsidRPr="004F01E9">
        <w:rPr>
          <w:noProof/>
        </w:rPr>
        <w:t>súvislosti</w:t>
      </w:r>
      <w:r w:rsidR="004F01E9">
        <w:rPr>
          <w:noProof/>
        </w:rPr>
        <w:t xml:space="preserve"> s </w:t>
      </w:r>
      <w:r w:rsidRPr="004F01E9">
        <w:rPr>
          <w:noProof/>
        </w:rPr>
        <w:t>revidovaným rámcom operačného rizika (článok 519d). Táto správa je potrebná, pretože</w:t>
      </w:r>
      <w:r w:rsidR="004F01E9">
        <w:rPr>
          <w:noProof/>
        </w:rPr>
        <w:t xml:space="preserve"> v </w:t>
      </w:r>
      <w:r w:rsidRPr="004F01E9">
        <w:rPr>
          <w:noProof/>
        </w:rPr>
        <w:t>skupine orgánov dohľadu sa objavili určité obavy, či nový štandardizovaný prístup</w:t>
      </w:r>
      <w:r w:rsidR="004F01E9">
        <w:rPr>
          <w:noProof/>
        </w:rPr>
        <w:t xml:space="preserve"> k </w:t>
      </w:r>
      <w:r w:rsidRPr="004F01E9">
        <w:rPr>
          <w:noProof/>
        </w:rPr>
        <w:t>operačnému riziku môže umožniť regulačnú arbitráž prostredníctvom využitia poistenia.</w:t>
      </w:r>
    </w:p>
    <w:p w14:paraId="410C0F22" w14:textId="77777777" w:rsidR="00806B81" w:rsidRPr="004F01E9" w:rsidRDefault="00E74DDF" w:rsidP="00E74DDF">
      <w:pPr>
        <w:rPr>
          <w:i/>
          <w:noProof/>
        </w:rPr>
      </w:pPr>
      <w:r w:rsidRPr="004F01E9">
        <w:rPr>
          <w:i/>
          <w:noProof/>
        </w:rPr>
        <w:t>Výpočet požiadaviek na vlastné zdroje pre operačné riziko</w:t>
      </w:r>
    </w:p>
    <w:p w14:paraId="25A03EC4" w14:textId="66EF0091" w:rsidR="00E74DDF" w:rsidRPr="008402C3" w:rsidRDefault="00E74DDF" w:rsidP="00E74DDF">
      <w:pPr>
        <w:rPr>
          <w:noProof/>
          <w:spacing w:val="-4"/>
          <w:szCs w:val="24"/>
        </w:rPr>
      </w:pPr>
      <w:r w:rsidRPr="008402C3">
        <w:rPr>
          <w:noProof/>
          <w:spacing w:val="-4"/>
        </w:rPr>
        <w:t>Podľa konečných štandardov Bazilej III sa</w:t>
      </w:r>
      <w:r w:rsidR="004F01E9" w:rsidRPr="008402C3">
        <w:rPr>
          <w:noProof/>
          <w:spacing w:val="-4"/>
        </w:rPr>
        <w:t xml:space="preserve"> v </w:t>
      </w:r>
      <w:r w:rsidRPr="008402C3">
        <w:rPr>
          <w:noProof/>
          <w:spacing w:val="-4"/>
        </w:rPr>
        <w:t>novom štandardizovanom prístupe kombinuje ukazovateľ, ktorý sa opiera</w:t>
      </w:r>
      <w:r w:rsidR="004F01E9" w:rsidRPr="008402C3">
        <w:rPr>
          <w:noProof/>
          <w:spacing w:val="-4"/>
        </w:rPr>
        <w:t xml:space="preserve"> o </w:t>
      </w:r>
      <w:r w:rsidRPr="008402C3">
        <w:rPr>
          <w:noProof/>
          <w:spacing w:val="-4"/>
        </w:rPr>
        <w:t>veľkosť obchodov inštitúcie (komponent ukazovateľa obchodovania alebo BIC),</w:t>
      </w:r>
      <w:r w:rsidR="004F01E9" w:rsidRPr="008402C3">
        <w:rPr>
          <w:noProof/>
          <w:spacing w:val="-4"/>
        </w:rPr>
        <w:t xml:space="preserve"> s </w:t>
      </w:r>
      <w:r w:rsidRPr="008402C3">
        <w:rPr>
          <w:noProof/>
          <w:spacing w:val="-4"/>
        </w:rPr>
        <w:t>ukazovateľom,</w:t>
      </w:r>
      <w:r w:rsidR="004F01E9" w:rsidRPr="008402C3">
        <w:rPr>
          <w:noProof/>
          <w:spacing w:val="-4"/>
        </w:rPr>
        <w:t xml:space="preserve"> v </w:t>
      </w:r>
      <w:r w:rsidRPr="008402C3">
        <w:rPr>
          <w:noProof/>
          <w:spacing w:val="-4"/>
        </w:rPr>
        <w:t>ktorom sa zohľadňuje história strát danej inštitúcie. Pri revidovanom bazilejskom štandarde sa počíta</w:t>
      </w:r>
      <w:r w:rsidR="004F01E9" w:rsidRPr="008402C3">
        <w:rPr>
          <w:noProof/>
          <w:spacing w:val="-4"/>
        </w:rPr>
        <w:t xml:space="preserve"> s </w:t>
      </w:r>
      <w:r w:rsidRPr="008402C3">
        <w:rPr>
          <w:noProof/>
          <w:spacing w:val="-4"/>
        </w:rPr>
        <w:t>niekoľkými diskrečnými právomocami, ako možno tento druhý ukazovateľ vykonávať. Jurisdikcie nemusia zohľadňovať historické straty pri výpočte kapitálovej požiadavky pre operačné riziko pre všetky relevantné inštitúcie, alebo môžu údaje</w:t>
      </w:r>
      <w:r w:rsidR="004F01E9" w:rsidRPr="008402C3">
        <w:rPr>
          <w:noProof/>
          <w:spacing w:val="-4"/>
        </w:rPr>
        <w:t xml:space="preserve"> o </w:t>
      </w:r>
      <w:r w:rsidRPr="008402C3">
        <w:rPr>
          <w:noProof/>
          <w:spacing w:val="-4"/>
        </w:rPr>
        <w:t>historických stratách dodatočne zohľadňovať pre inštitúcie, ktoré nedosahujú určitú veľkosť obchodov.</w:t>
      </w:r>
      <w:r w:rsidR="004F01E9" w:rsidRPr="008402C3">
        <w:rPr>
          <w:noProof/>
          <w:spacing w:val="-4"/>
        </w:rPr>
        <w:t xml:space="preserve"> V </w:t>
      </w:r>
      <w:r w:rsidRPr="008402C3">
        <w:rPr>
          <w:noProof/>
          <w:spacing w:val="-4"/>
        </w:rPr>
        <w:t>prípade výpočtu minimálnych požiadaviek na vlastné zdroje sa</w:t>
      </w:r>
      <w:r w:rsidR="004F01E9" w:rsidRPr="008402C3">
        <w:rPr>
          <w:noProof/>
          <w:spacing w:val="-4"/>
        </w:rPr>
        <w:t xml:space="preserve"> s </w:t>
      </w:r>
      <w:r w:rsidRPr="008402C3">
        <w:rPr>
          <w:noProof/>
          <w:spacing w:val="-4"/>
        </w:rPr>
        <w:t>cieľom zabezpečiť rovnaké podmienky</w:t>
      </w:r>
      <w:r w:rsidR="004F01E9" w:rsidRPr="008402C3">
        <w:rPr>
          <w:noProof/>
          <w:spacing w:val="-4"/>
        </w:rPr>
        <w:t xml:space="preserve"> v </w:t>
      </w:r>
      <w:r w:rsidRPr="008402C3">
        <w:rPr>
          <w:noProof/>
          <w:spacing w:val="-4"/>
        </w:rPr>
        <w:t>rámci Únie</w:t>
      </w:r>
      <w:r w:rsidR="004F01E9" w:rsidRPr="008402C3">
        <w:rPr>
          <w:noProof/>
          <w:spacing w:val="-4"/>
        </w:rPr>
        <w:t xml:space="preserve"> a </w:t>
      </w:r>
      <w:r w:rsidRPr="008402C3">
        <w:rPr>
          <w:noProof/>
          <w:spacing w:val="-4"/>
        </w:rPr>
        <w:t>zjednodušiť výpočet kapitálovej požiadavky pre operačné riziko tieto právomoci uplatňujú harmonizovaným spôsobom, pričom sa nezohľadňujú historické údaje</w:t>
      </w:r>
      <w:r w:rsidR="004F01E9" w:rsidRPr="008402C3">
        <w:rPr>
          <w:noProof/>
          <w:spacing w:val="-4"/>
        </w:rPr>
        <w:t xml:space="preserve"> o </w:t>
      </w:r>
      <w:r w:rsidRPr="008402C3">
        <w:rPr>
          <w:noProof/>
          <w:spacing w:val="-4"/>
        </w:rPr>
        <w:t>prevádzkových stratách pre všetky inštitúcie.</w:t>
      </w:r>
    </w:p>
    <w:p w14:paraId="688481A1" w14:textId="7636B1C3" w:rsidR="00806B81" w:rsidRPr="008402C3" w:rsidRDefault="00E74DDF" w:rsidP="00E74DDF">
      <w:pPr>
        <w:rPr>
          <w:noProof/>
          <w:spacing w:val="-8"/>
        </w:rPr>
      </w:pPr>
      <w:r w:rsidRPr="008402C3">
        <w:rPr>
          <w:noProof/>
          <w:spacing w:val="-8"/>
        </w:rPr>
        <w:t>Výpočet komponentu ukazovateľa obchodov je stanovený</w:t>
      </w:r>
      <w:r w:rsidR="004F01E9" w:rsidRPr="008402C3">
        <w:rPr>
          <w:noProof/>
          <w:spacing w:val="-8"/>
        </w:rPr>
        <w:t xml:space="preserve"> v </w:t>
      </w:r>
      <w:r w:rsidRPr="008402C3">
        <w:rPr>
          <w:noProof/>
          <w:spacing w:val="-8"/>
        </w:rPr>
        <w:t>novej kapitole 1 hlavy III (nové články 312 až 315).</w:t>
      </w:r>
      <w:r w:rsidR="004F01E9" w:rsidRPr="008402C3">
        <w:rPr>
          <w:noProof/>
          <w:spacing w:val="-8"/>
        </w:rPr>
        <w:t xml:space="preserve"> V </w:t>
      </w:r>
      <w:r w:rsidRPr="008402C3">
        <w:rPr>
          <w:noProof/>
          <w:spacing w:val="-8"/>
        </w:rPr>
        <w:t>Únii budú minimálne požiadavky na vlastné zdroje pre operačné riziko založené výlučne na komponentoch ukazovateľa obchodov (článok 312). Výpočet komponentu ukazovateľa obchodovania, pri ktorom sa vychádza</w:t>
      </w:r>
      <w:r w:rsidR="004F01E9" w:rsidRPr="008402C3">
        <w:rPr>
          <w:noProof/>
          <w:spacing w:val="-8"/>
        </w:rPr>
        <w:t xml:space="preserve"> z </w:t>
      </w:r>
      <w:r w:rsidRPr="008402C3">
        <w:rPr>
          <w:noProof/>
          <w:spacing w:val="-8"/>
        </w:rPr>
        <w:t>takzvaného ukazovateľa obchodovania, je stanovený</w:t>
      </w:r>
      <w:r w:rsidR="004F01E9" w:rsidRPr="008402C3">
        <w:rPr>
          <w:noProof/>
          <w:spacing w:val="-8"/>
        </w:rPr>
        <w:t xml:space="preserve"> v </w:t>
      </w:r>
      <w:r w:rsidRPr="008402C3">
        <w:rPr>
          <w:noProof/>
          <w:spacing w:val="-8"/>
        </w:rPr>
        <w:t>článku 313</w:t>
      </w:r>
      <w:r w:rsidR="004F01E9" w:rsidRPr="008402C3">
        <w:rPr>
          <w:noProof/>
          <w:spacing w:val="-8"/>
        </w:rPr>
        <w:t xml:space="preserve"> a </w:t>
      </w:r>
      <w:r w:rsidRPr="008402C3">
        <w:rPr>
          <w:noProof/>
          <w:spacing w:val="-8"/>
        </w:rPr>
        <w:t>určenie ukazovateľa obchodovania vrátane jeho komponentov</w:t>
      </w:r>
      <w:r w:rsidR="004F01E9" w:rsidRPr="008402C3">
        <w:rPr>
          <w:noProof/>
          <w:spacing w:val="-8"/>
        </w:rPr>
        <w:t xml:space="preserve"> a </w:t>
      </w:r>
      <w:r w:rsidRPr="008402C3">
        <w:rPr>
          <w:noProof/>
          <w:spacing w:val="-8"/>
        </w:rPr>
        <w:t>prípadných úprav</w:t>
      </w:r>
      <w:r w:rsidR="004F01E9" w:rsidRPr="008402C3">
        <w:rPr>
          <w:noProof/>
          <w:spacing w:val="-8"/>
        </w:rPr>
        <w:t xml:space="preserve"> z </w:t>
      </w:r>
      <w:r w:rsidRPr="008402C3">
        <w:rPr>
          <w:noProof/>
          <w:spacing w:val="-8"/>
        </w:rPr>
        <w:t>dôvodu zlúčení, nadobudnutí alebo odpredajov sa uvádza</w:t>
      </w:r>
      <w:r w:rsidR="004F01E9" w:rsidRPr="008402C3">
        <w:rPr>
          <w:noProof/>
          <w:spacing w:val="-8"/>
        </w:rPr>
        <w:t xml:space="preserve"> v </w:t>
      </w:r>
      <w:r w:rsidRPr="008402C3">
        <w:rPr>
          <w:noProof/>
          <w:spacing w:val="-8"/>
        </w:rPr>
        <w:t>článkoch 314</w:t>
      </w:r>
      <w:r w:rsidR="004F01E9" w:rsidRPr="008402C3">
        <w:rPr>
          <w:noProof/>
          <w:spacing w:val="-8"/>
        </w:rPr>
        <w:t xml:space="preserve"> a </w:t>
      </w:r>
      <w:r w:rsidRPr="008402C3">
        <w:rPr>
          <w:noProof/>
          <w:spacing w:val="-8"/>
        </w:rPr>
        <w:t>315.</w:t>
      </w:r>
    </w:p>
    <w:p w14:paraId="580A5F53" w14:textId="735A3360" w:rsidR="00E74DDF" w:rsidRPr="004F01E9" w:rsidRDefault="00E74DDF" w:rsidP="00E74DDF">
      <w:pPr>
        <w:rPr>
          <w:i/>
          <w:noProof/>
        </w:rPr>
      </w:pPr>
      <w:r w:rsidRPr="004F01E9">
        <w:rPr>
          <w:i/>
          <w:noProof/>
        </w:rPr>
        <w:t>Zber údajov</w:t>
      </w:r>
      <w:r w:rsidR="004F01E9">
        <w:rPr>
          <w:i/>
          <w:noProof/>
        </w:rPr>
        <w:t xml:space="preserve"> a </w:t>
      </w:r>
      <w:r w:rsidRPr="004F01E9">
        <w:rPr>
          <w:i/>
          <w:noProof/>
        </w:rPr>
        <w:t>správa</w:t>
      </w:r>
      <w:r w:rsidR="004F01E9">
        <w:rPr>
          <w:i/>
          <w:noProof/>
        </w:rPr>
        <w:t xml:space="preserve"> a </w:t>
      </w:r>
      <w:r w:rsidRPr="004F01E9">
        <w:rPr>
          <w:i/>
          <w:noProof/>
        </w:rPr>
        <w:t>riadenie</w:t>
      </w:r>
    </w:p>
    <w:p w14:paraId="20F7C773" w14:textId="578AC8AD" w:rsidR="00E74DDF" w:rsidRPr="008402C3" w:rsidRDefault="00E74DDF" w:rsidP="00E74DDF">
      <w:pPr>
        <w:rPr>
          <w:noProof/>
          <w:spacing w:val="-4"/>
          <w:szCs w:val="24"/>
        </w:rPr>
      </w:pPr>
      <w:r w:rsidRPr="008402C3">
        <w:rPr>
          <w:noProof/>
          <w:spacing w:val="-4"/>
        </w:rPr>
        <w:t>V novej kapitole 2 (nové články 316 až 323) sa stanovujú pravidlá zberu údajov</w:t>
      </w:r>
      <w:r w:rsidR="004F01E9" w:rsidRPr="008402C3">
        <w:rPr>
          <w:noProof/>
          <w:spacing w:val="-4"/>
        </w:rPr>
        <w:t xml:space="preserve"> a </w:t>
      </w:r>
      <w:r w:rsidRPr="008402C3">
        <w:rPr>
          <w:noProof/>
          <w:spacing w:val="-4"/>
        </w:rPr>
        <w:t>správy</w:t>
      </w:r>
      <w:r w:rsidR="004F01E9" w:rsidRPr="008402C3">
        <w:rPr>
          <w:noProof/>
          <w:spacing w:val="-4"/>
        </w:rPr>
        <w:t xml:space="preserve"> a </w:t>
      </w:r>
      <w:r w:rsidRPr="008402C3">
        <w:rPr>
          <w:noProof/>
          <w:spacing w:val="-4"/>
        </w:rPr>
        <w:t>riadenia.</w:t>
      </w:r>
      <w:r w:rsidR="004F01E9" w:rsidRPr="008402C3">
        <w:rPr>
          <w:noProof/>
          <w:spacing w:val="-4"/>
        </w:rPr>
        <w:t xml:space="preserve"> Z </w:t>
      </w:r>
      <w:r w:rsidRPr="008402C3">
        <w:rPr>
          <w:noProof/>
          <w:spacing w:val="-4"/>
        </w:rPr>
        <w:t>dôvodu proporcionality sú tieto požiadavky rozdelené na pravidlá, ktoré platia pre všetky inštitúcie, ako sú ustanovenia</w:t>
      </w:r>
      <w:r w:rsidR="004F01E9" w:rsidRPr="008402C3">
        <w:rPr>
          <w:noProof/>
          <w:spacing w:val="-4"/>
        </w:rPr>
        <w:t xml:space="preserve"> o </w:t>
      </w:r>
      <w:r w:rsidRPr="008402C3">
        <w:rPr>
          <w:noProof/>
          <w:spacing w:val="-4"/>
        </w:rPr>
        <w:t>rámci riadenia operačného rizika (článok 323),</w:t>
      </w:r>
      <w:r w:rsidR="004F01E9" w:rsidRPr="008402C3">
        <w:rPr>
          <w:noProof/>
          <w:spacing w:val="-4"/>
        </w:rPr>
        <w:t xml:space="preserve"> a </w:t>
      </w:r>
      <w:r w:rsidRPr="008402C3">
        <w:rPr>
          <w:noProof/>
          <w:spacing w:val="-4"/>
        </w:rPr>
        <w:t>pravidlá, ktoré sú relevantné len pre inštitúcie, ktoré musia zverejňovať aj údaje</w:t>
      </w:r>
      <w:r w:rsidR="004F01E9" w:rsidRPr="008402C3">
        <w:rPr>
          <w:noProof/>
          <w:spacing w:val="-4"/>
        </w:rPr>
        <w:t xml:space="preserve"> o </w:t>
      </w:r>
      <w:r w:rsidRPr="008402C3">
        <w:rPr>
          <w:noProof/>
          <w:spacing w:val="-4"/>
        </w:rPr>
        <w:t>historických stratách (článok 446 ods. 2),</w:t>
      </w:r>
      <w:r w:rsidR="004F01E9" w:rsidRPr="008402C3">
        <w:rPr>
          <w:noProof/>
          <w:spacing w:val="-4"/>
        </w:rPr>
        <w:t xml:space="preserve"> a </w:t>
      </w:r>
      <w:r w:rsidRPr="008402C3">
        <w:rPr>
          <w:noProof/>
          <w:spacing w:val="-4"/>
        </w:rPr>
        <w:t>teda musia viesť súbor údajov</w:t>
      </w:r>
      <w:r w:rsidR="004F01E9" w:rsidRPr="008402C3">
        <w:rPr>
          <w:noProof/>
          <w:spacing w:val="-4"/>
        </w:rPr>
        <w:t xml:space="preserve"> o </w:t>
      </w:r>
      <w:r w:rsidRPr="008402C3">
        <w:rPr>
          <w:noProof/>
          <w:spacing w:val="-4"/>
        </w:rPr>
        <w:t>stratách (článok 317).</w:t>
      </w:r>
      <w:r w:rsidR="004F01E9" w:rsidRPr="008402C3">
        <w:rPr>
          <w:noProof/>
          <w:spacing w:val="-4"/>
        </w:rPr>
        <w:t xml:space="preserve"> V </w:t>
      </w:r>
      <w:r w:rsidRPr="008402C3">
        <w:rPr>
          <w:noProof/>
          <w:spacing w:val="-4"/>
        </w:rPr>
        <w:t>Únii sa</w:t>
      </w:r>
      <w:r w:rsidR="004F01E9" w:rsidRPr="008402C3">
        <w:rPr>
          <w:noProof/>
          <w:spacing w:val="-4"/>
        </w:rPr>
        <w:t xml:space="preserve"> v </w:t>
      </w:r>
      <w:r w:rsidRPr="008402C3">
        <w:rPr>
          <w:noProof/>
          <w:spacing w:val="-4"/>
        </w:rPr>
        <w:t>súlade</w:t>
      </w:r>
      <w:r w:rsidR="004F01E9" w:rsidRPr="008402C3">
        <w:rPr>
          <w:noProof/>
          <w:spacing w:val="-4"/>
        </w:rPr>
        <w:t xml:space="preserve"> s </w:t>
      </w:r>
      <w:r w:rsidRPr="008402C3">
        <w:rPr>
          <w:noProof/>
          <w:spacing w:val="-4"/>
        </w:rPr>
        <w:t>odpoveďou orgánu EBA na výzvu Komisie</w:t>
      </w:r>
      <w:r w:rsidR="004F01E9" w:rsidRPr="008402C3">
        <w:rPr>
          <w:noProof/>
          <w:spacing w:val="-4"/>
        </w:rPr>
        <w:t xml:space="preserve"> o </w:t>
      </w:r>
      <w:r w:rsidRPr="008402C3">
        <w:rPr>
          <w:noProof/>
          <w:spacing w:val="-4"/>
        </w:rPr>
        <w:t>poskytnutie odporúčaní</w:t>
      </w:r>
      <w:r w:rsidR="004F01E9" w:rsidRPr="008402C3">
        <w:rPr>
          <w:noProof/>
          <w:spacing w:val="-4"/>
        </w:rPr>
        <w:t xml:space="preserve"> z </w:t>
      </w:r>
      <w:r w:rsidRPr="008402C3">
        <w:rPr>
          <w:noProof/>
          <w:spacing w:val="-4"/>
        </w:rPr>
        <w:t>roku 2019 od všetkých inštitúcií</w:t>
      </w:r>
      <w:r w:rsidR="004F01E9" w:rsidRPr="008402C3">
        <w:rPr>
          <w:noProof/>
          <w:spacing w:val="-4"/>
        </w:rPr>
        <w:t xml:space="preserve"> s </w:t>
      </w:r>
      <w:r w:rsidRPr="008402C3">
        <w:rPr>
          <w:noProof/>
          <w:spacing w:val="-4"/>
        </w:rPr>
        <w:t>ukazovateľom obchodovania rovným alebo vyšším ako 750 miliónov EUR bude vyžadovať, aby uchovávali súbor údajov</w:t>
      </w:r>
      <w:r w:rsidR="004F01E9" w:rsidRPr="008402C3">
        <w:rPr>
          <w:noProof/>
          <w:spacing w:val="-4"/>
        </w:rPr>
        <w:t xml:space="preserve"> o </w:t>
      </w:r>
      <w:r w:rsidRPr="008402C3">
        <w:rPr>
          <w:noProof/>
          <w:spacing w:val="-4"/>
        </w:rPr>
        <w:t>stratách</w:t>
      </w:r>
      <w:r w:rsidR="004F01E9" w:rsidRPr="008402C3">
        <w:rPr>
          <w:noProof/>
          <w:spacing w:val="-4"/>
        </w:rPr>
        <w:t xml:space="preserve"> a </w:t>
      </w:r>
      <w:r w:rsidRPr="008402C3">
        <w:rPr>
          <w:noProof/>
          <w:spacing w:val="-4"/>
        </w:rPr>
        <w:t>vypočítavali svoje ročné straty</w:t>
      </w:r>
      <w:r w:rsidR="004F01E9" w:rsidRPr="008402C3">
        <w:rPr>
          <w:noProof/>
          <w:spacing w:val="-4"/>
        </w:rPr>
        <w:t xml:space="preserve"> z </w:t>
      </w:r>
      <w:r w:rsidRPr="008402C3">
        <w:rPr>
          <w:noProof/>
          <w:spacing w:val="-4"/>
        </w:rPr>
        <w:t>operačného rizika na účely zverejnenia. Aby sa zabezpečilo, že nový rámec zostane primeraný, príslušné orgány budú môcť udeliť výnimku</w:t>
      </w:r>
      <w:r w:rsidR="004F01E9" w:rsidRPr="008402C3">
        <w:rPr>
          <w:noProof/>
          <w:spacing w:val="-4"/>
        </w:rPr>
        <w:t xml:space="preserve"> z </w:t>
      </w:r>
      <w:r w:rsidRPr="008402C3">
        <w:rPr>
          <w:noProof/>
          <w:spacing w:val="-4"/>
        </w:rPr>
        <w:t>tejto požiadavky, pokiaľ ukazovateľ obchodovania inštitúcie nepresiahne 1 miliardu EUR (článok 316).</w:t>
      </w:r>
      <w:r w:rsidR="004F01E9" w:rsidRPr="008402C3">
        <w:rPr>
          <w:noProof/>
          <w:spacing w:val="-4"/>
        </w:rPr>
        <w:t xml:space="preserve"> S </w:t>
      </w:r>
      <w:r w:rsidRPr="008402C3">
        <w:rPr>
          <w:noProof/>
          <w:spacing w:val="-4"/>
        </w:rPr>
        <w:t>cieľom zabezpečiť určitú stabilitu</w:t>
      </w:r>
      <w:r w:rsidR="004F01E9" w:rsidRPr="008402C3">
        <w:rPr>
          <w:noProof/>
          <w:spacing w:val="-4"/>
        </w:rPr>
        <w:t xml:space="preserve"> v </w:t>
      </w:r>
      <w:r w:rsidRPr="008402C3">
        <w:rPr>
          <w:noProof/>
          <w:spacing w:val="-4"/>
        </w:rPr>
        <w:t>priebehu času, najmä predísť tomu, aby dočasné poklesy veľkosti ukazovateľa obchodovania neprimerane ovplyvňovali toto posudzovanie, bude príslušný ukazovateľ obchodovania najvyšším ukazovateľom obchodovania, ktorý sa vykáže za posledné dva roky.</w:t>
      </w:r>
    </w:p>
    <w:p w14:paraId="60F378D0" w14:textId="58BCC784" w:rsidR="00806B81" w:rsidRPr="004F01E9" w:rsidRDefault="00E74DDF" w:rsidP="00E74DDF">
      <w:pPr>
        <w:rPr>
          <w:noProof/>
        </w:rPr>
      </w:pPr>
      <w:r w:rsidRPr="004F01E9">
        <w:rPr>
          <w:noProof/>
        </w:rPr>
        <w:t>Prvky, ktoré sú relevantné pre výpočet ročnej straty</w:t>
      </w:r>
      <w:r w:rsidR="004F01E9">
        <w:rPr>
          <w:noProof/>
        </w:rPr>
        <w:t xml:space="preserve"> z </w:t>
      </w:r>
      <w:r w:rsidRPr="004F01E9">
        <w:rPr>
          <w:noProof/>
        </w:rPr>
        <w:t>operačného rizika, sú bližšie uvedené</w:t>
      </w:r>
      <w:r w:rsidR="004F01E9">
        <w:rPr>
          <w:noProof/>
        </w:rPr>
        <w:t xml:space="preserve"> v </w:t>
      </w:r>
      <w:r w:rsidRPr="004F01E9">
        <w:rPr>
          <w:noProof/>
        </w:rPr>
        <w:t>článkoch 318 až 321.</w:t>
      </w:r>
      <w:r w:rsidR="004F01E9">
        <w:rPr>
          <w:noProof/>
        </w:rPr>
        <w:t xml:space="preserve"> V </w:t>
      </w:r>
      <w:r w:rsidRPr="004F01E9">
        <w:rPr>
          <w:noProof/>
        </w:rPr>
        <w:t>článku 318 sa stanovuje určenie „hrubej straty“</w:t>
      </w:r>
      <w:r w:rsidR="004F01E9">
        <w:rPr>
          <w:noProof/>
        </w:rPr>
        <w:t xml:space="preserve"> a </w:t>
      </w:r>
      <w:r w:rsidRPr="004F01E9">
        <w:rPr>
          <w:noProof/>
        </w:rPr>
        <w:t>„čistej straty“</w:t>
      </w:r>
      <w:r w:rsidR="004F01E9">
        <w:rPr>
          <w:noProof/>
        </w:rPr>
        <w:t xml:space="preserve"> a </w:t>
      </w:r>
      <w:r w:rsidRPr="004F01E9">
        <w:rPr>
          <w:noProof/>
        </w:rPr>
        <w:t>článok 319 obsahuje príslušné prahové hodnoty údajov</w:t>
      </w:r>
      <w:r w:rsidR="004F01E9">
        <w:rPr>
          <w:noProof/>
        </w:rPr>
        <w:t xml:space="preserve"> o </w:t>
      </w:r>
      <w:r w:rsidRPr="004F01E9">
        <w:rPr>
          <w:noProof/>
        </w:rPr>
        <w:t>strate vo výške 20 000 EUR</w:t>
      </w:r>
      <w:r w:rsidR="004F01E9">
        <w:rPr>
          <w:noProof/>
        </w:rPr>
        <w:t xml:space="preserve"> a </w:t>
      </w:r>
      <w:r w:rsidRPr="004F01E9">
        <w:rPr>
          <w:noProof/>
        </w:rPr>
        <w:t>100 000 EUR. Niektoré mimoriadne udalosti operačného rizika, ktoré už nie sú relevantné pre rizikový profil inštitúcie, sa nemusia zohľadniť za predpokladu, že budú splnené všetky súvisiace podmienky</w:t>
      </w:r>
      <w:r w:rsidR="004F01E9">
        <w:rPr>
          <w:noProof/>
        </w:rPr>
        <w:t xml:space="preserve"> a </w:t>
      </w:r>
      <w:r w:rsidRPr="004F01E9">
        <w:rPr>
          <w:noProof/>
        </w:rPr>
        <w:t>orgán dohľadu inštitúcie udelil na tento účel povolenie (článok 320). Podľa rovnakého princípu by mohla inštitúcia zahrnúť dodatočné straty, napríklad súvisiace</w:t>
      </w:r>
      <w:r w:rsidR="004F01E9">
        <w:rPr>
          <w:noProof/>
        </w:rPr>
        <w:t xml:space="preserve"> s </w:t>
      </w:r>
      <w:r w:rsidRPr="004F01E9">
        <w:rPr>
          <w:noProof/>
        </w:rPr>
        <w:t>nadobudnutými alebo zlúčenými subjektmi (článok 321).</w:t>
      </w:r>
    </w:p>
    <w:p w14:paraId="4DCD48C9" w14:textId="56254A58" w:rsidR="00806B81" w:rsidRPr="004F01E9" w:rsidRDefault="00E74DDF" w:rsidP="00C67562">
      <w:pPr>
        <w:spacing w:after="240"/>
        <w:rPr>
          <w:noProof/>
        </w:rPr>
      </w:pPr>
      <w:r w:rsidRPr="004F01E9">
        <w:rPr>
          <w:noProof/>
        </w:rPr>
        <w:t>Presnosť</w:t>
      </w:r>
      <w:r w:rsidR="004F01E9">
        <w:rPr>
          <w:noProof/>
        </w:rPr>
        <w:t xml:space="preserve"> a </w:t>
      </w:r>
      <w:r w:rsidRPr="004F01E9">
        <w:rPr>
          <w:noProof/>
        </w:rPr>
        <w:t>úplnosť údajov</w:t>
      </w:r>
      <w:r w:rsidR="004F01E9">
        <w:rPr>
          <w:noProof/>
        </w:rPr>
        <w:t xml:space="preserve"> o </w:t>
      </w:r>
      <w:r w:rsidRPr="004F01E9">
        <w:rPr>
          <w:noProof/>
        </w:rPr>
        <w:t>stratách inštitúcií sú nevyhnutné. Orgány dohľadu budú preto musieť pravidelne kontrolovať kvalitu údajov</w:t>
      </w:r>
      <w:r w:rsidR="004F01E9">
        <w:rPr>
          <w:noProof/>
        </w:rPr>
        <w:t xml:space="preserve"> o </w:t>
      </w:r>
      <w:r w:rsidRPr="004F01E9">
        <w:rPr>
          <w:noProof/>
        </w:rPr>
        <w:t>stratách (článok 322).</w:t>
      </w:r>
    </w:p>
    <w:p w14:paraId="7C757D8E" w14:textId="64092495" w:rsidR="00E74DDF" w:rsidRPr="004F01E9" w:rsidRDefault="00E74DDF" w:rsidP="00E22C97">
      <w:pPr>
        <w:rPr>
          <w:b/>
          <w:noProof/>
        </w:rPr>
      </w:pPr>
      <w:r w:rsidRPr="004F01E9">
        <w:rPr>
          <w:b/>
          <w:noProof/>
        </w:rPr>
        <w:t>Ukazovateľ finančnej páky</w:t>
      </w:r>
    </w:p>
    <w:p w14:paraId="425E9AC2" w14:textId="77777777" w:rsidR="00E74DDF" w:rsidRPr="004F01E9" w:rsidRDefault="00E74DDF" w:rsidP="00E22C97">
      <w:pPr>
        <w:rPr>
          <w:i/>
          <w:noProof/>
        </w:rPr>
      </w:pPr>
      <w:r w:rsidRPr="004F01E9">
        <w:rPr>
          <w:i/>
          <w:noProof/>
        </w:rPr>
        <w:t>Výpočet hodnoty expozície derivátov</w:t>
      </w:r>
    </w:p>
    <w:p w14:paraId="4263ED27" w14:textId="50753481" w:rsidR="00E74DDF" w:rsidRPr="004F01E9" w:rsidRDefault="00E74DDF" w:rsidP="00E22C97">
      <w:pPr>
        <w:rPr>
          <w:noProof/>
        </w:rPr>
      </w:pPr>
      <w:r w:rsidRPr="004F01E9">
        <w:rPr>
          <w:noProof/>
        </w:rPr>
        <w:t>Výbor BCBC zrevidoval od prijatia nariadenia (EÚ) 2019/876 ešte jeden osobitný aspekt svojho rámca ukazovateľa finančnej páky.</w:t>
      </w:r>
      <w:r w:rsidR="004F01E9">
        <w:rPr>
          <w:noProof/>
        </w:rPr>
        <w:t xml:space="preserve"> S </w:t>
      </w:r>
      <w:r w:rsidRPr="004F01E9">
        <w:rPr>
          <w:noProof/>
        </w:rPr>
        <w:t>cieľom uľahčiť poskytovanie klientskych zúčtovacích služieb bolo</w:t>
      </w:r>
      <w:r w:rsidR="004F01E9">
        <w:rPr>
          <w:noProof/>
        </w:rPr>
        <w:t xml:space="preserve"> v </w:t>
      </w:r>
      <w:r w:rsidRPr="004F01E9">
        <w:rPr>
          <w:noProof/>
        </w:rPr>
        <w:t>júni 2019 zmenené zaobchádzanie</w:t>
      </w:r>
      <w:r w:rsidR="004F01E9">
        <w:rPr>
          <w:noProof/>
        </w:rPr>
        <w:t xml:space="preserve"> s </w:t>
      </w:r>
      <w:r w:rsidRPr="004F01E9">
        <w:rPr>
          <w:noProof/>
        </w:rPr>
        <w:t>derivátmi zúčtovanými klientom na účely ukazovateľa finančnej páky</w:t>
      </w:r>
      <w:r w:rsidRPr="004F01E9">
        <w:rPr>
          <w:rStyle w:val="FootnoteReference0"/>
          <w:noProof/>
        </w:rPr>
        <w:footnoteReference w:id="44"/>
      </w:r>
      <w:r w:rsidRPr="004F01E9">
        <w:rPr>
          <w:noProof/>
        </w:rPr>
        <w:t>. Podľa revidovaných pravidiel je zaobchádzanie</w:t>
      </w:r>
      <w:r w:rsidR="004F01E9">
        <w:rPr>
          <w:noProof/>
        </w:rPr>
        <w:t xml:space="preserve"> s </w:t>
      </w:r>
      <w:r w:rsidRPr="004F01E9">
        <w:rPr>
          <w:noProof/>
        </w:rPr>
        <w:t>týmito derivátmi vo všeobecnosti</w:t>
      </w:r>
      <w:r w:rsidR="004F01E9">
        <w:rPr>
          <w:noProof/>
        </w:rPr>
        <w:t xml:space="preserve"> v </w:t>
      </w:r>
      <w:r w:rsidRPr="004F01E9">
        <w:rPr>
          <w:noProof/>
        </w:rPr>
        <w:t>súlade so zaobchádzaním stanoveným podľa štandardizovaného prístupu ku kreditnému riziku protistrany (SA-CCR)</w:t>
      </w:r>
      <w:r w:rsidR="004F01E9">
        <w:rPr>
          <w:noProof/>
        </w:rPr>
        <w:t xml:space="preserve"> v </w:t>
      </w:r>
      <w:r w:rsidRPr="004F01E9">
        <w:rPr>
          <w:noProof/>
        </w:rPr>
        <w:t>rámci založenom na riziku. Vo svojej správe</w:t>
      </w:r>
      <w:r w:rsidR="004F01E9">
        <w:rPr>
          <w:noProof/>
        </w:rPr>
        <w:t xml:space="preserve"> z </w:t>
      </w:r>
      <w:r w:rsidRPr="004F01E9">
        <w:rPr>
          <w:noProof/>
        </w:rPr>
        <w:t>februára 2021</w:t>
      </w:r>
      <w:r w:rsidR="004F01E9">
        <w:rPr>
          <w:noProof/>
        </w:rPr>
        <w:t xml:space="preserve"> o </w:t>
      </w:r>
      <w:r w:rsidRPr="004F01E9">
        <w:rPr>
          <w:noProof/>
        </w:rPr>
        <w:t>ukazovateľovi finančnej páky</w:t>
      </w:r>
      <w:r w:rsidRPr="004F01E9">
        <w:rPr>
          <w:rStyle w:val="FootnoteReference0"/>
          <w:noProof/>
        </w:rPr>
        <w:footnoteReference w:id="45"/>
      </w:r>
      <w:r w:rsidRPr="004F01E9">
        <w:rPr>
          <w:noProof/>
        </w:rPr>
        <w:t xml:space="preserve"> Komisia dospela</w:t>
      </w:r>
      <w:r w:rsidR="004F01E9">
        <w:rPr>
          <w:noProof/>
        </w:rPr>
        <w:t xml:space="preserve"> k </w:t>
      </w:r>
      <w:r w:rsidRPr="004F01E9">
        <w:rPr>
          <w:noProof/>
        </w:rPr>
        <w:t>záveru, že je vhodné upraviť výpočet veľkosti celkovej expozície tak, aby sa zaobchádzanie</w:t>
      </w:r>
      <w:r w:rsidR="004F01E9">
        <w:rPr>
          <w:noProof/>
        </w:rPr>
        <w:t xml:space="preserve"> s </w:t>
      </w:r>
      <w:r w:rsidRPr="004F01E9">
        <w:rPr>
          <w:noProof/>
        </w:rPr>
        <w:t>derivátmi zúčtovanými klientom zosúladilo</w:t>
      </w:r>
      <w:r w:rsidR="004F01E9">
        <w:rPr>
          <w:noProof/>
        </w:rPr>
        <w:t xml:space="preserve"> s </w:t>
      </w:r>
      <w:r w:rsidRPr="004F01E9">
        <w:rPr>
          <w:noProof/>
        </w:rPr>
        <w:t>medzinárodne dohodnutými normami. Článok 429c sa preto zodpovedajúcim spôsobom mení.</w:t>
      </w:r>
    </w:p>
    <w:p w14:paraId="0E8DC17F" w14:textId="77777777" w:rsidR="00E74DDF" w:rsidRPr="004F01E9" w:rsidRDefault="00E74DDF" w:rsidP="00E22C97">
      <w:pPr>
        <w:rPr>
          <w:i/>
          <w:noProof/>
        </w:rPr>
      </w:pPr>
      <w:r w:rsidRPr="004F01E9">
        <w:rPr>
          <w:i/>
          <w:noProof/>
        </w:rPr>
        <w:t>Výpočet hodnoty expozície podsúvahových položiek</w:t>
      </w:r>
    </w:p>
    <w:p w14:paraId="6F44CDD2" w14:textId="325AB6A0" w:rsidR="00E74DDF" w:rsidRPr="006C666F" w:rsidRDefault="00E74DDF" w:rsidP="00E22C97">
      <w:pPr>
        <w:rPr>
          <w:noProof/>
          <w:spacing w:val="-4"/>
        </w:rPr>
      </w:pPr>
      <w:r w:rsidRPr="006C666F">
        <w:rPr>
          <w:noProof/>
          <w:spacing w:val="-4"/>
        </w:rPr>
        <w:t>Vzhľadom na navrhované zmeny článku 4</w:t>
      </w:r>
      <w:r w:rsidR="004F01E9" w:rsidRPr="006C666F">
        <w:rPr>
          <w:noProof/>
          <w:spacing w:val="-4"/>
        </w:rPr>
        <w:t xml:space="preserve"> a </w:t>
      </w:r>
      <w:r w:rsidRPr="006C666F">
        <w:rPr>
          <w:noProof/>
          <w:spacing w:val="-4"/>
        </w:rPr>
        <w:t>článku 111 ods. 1 nariadenia CRR už nie je potrebné stanovovať minimálny konverzný faktor 10</w:t>
      </w:r>
      <w:r w:rsidR="004F01E9" w:rsidRPr="006C666F">
        <w:rPr>
          <w:noProof/>
          <w:spacing w:val="-4"/>
        </w:rPr>
        <w:t> %</w:t>
      </w:r>
      <w:r w:rsidRPr="006C666F">
        <w:rPr>
          <w:noProof/>
          <w:spacing w:val="-4"/>
        </w:rPr>
        <w:t xml:space="preserve"> pre určité podsúvahové položky</w:t>
      </w:r>
      <w:r w:rsidR="004F01E9" w:rsidRPr="006C666F">
        <w:rPr>
          <w:noProof/>
          <w:spacing w:val="-4"/>
        </w:rPr>
        <w:t xml:space="preserve"> v </w:t>
      </w:r>
      <w:r w:rsidRPr="006C666F">
        <w:rPr>
          <w:noProof/>
          <w:spacing w:val="-4"/>
        </w:rPr>
        <w:t>rámci ukazovateľa finančnej páky. Výnimka stanovená</w:t>
      </w:r>
      <w:r w:rsidR="004F01E9" w:rsidRPr="006C666F">
        <w:rPr>
          <w:noProof/>
          <w:spacing w:val="-4"/>
        </w:rPr>
        <w:t xml:space="preserve"> v </w:t>
      </w:r>
      <w:r w:rsidRPr="006C666F">
        <w:rPr>
          <w:noProof/>
          <w:spacing w:val="-4"/>
        </w:rPr>
        <w:t>článku 429f ods. 3 sa preto vypúšťa.</w:t>
      </w:r>
    </w:p>
    <w:p w14:paraId="3D98E355" w14:textId="54E362E2" w:rsidR="00E74DDF" w:rsidRPr="004F01E9" w:rsidRDefault="00E74DDF" w:rsidP="00E22C97">
      <w:pPr>
        <w:rPr>
          <w:i/>
          <w:noProof/>
        </w:rPr>
      </w:pPr>
      <w:r w:rsidRPr="004F01E9">
        <w:rPr>
          <w:i/>
          <w:noProof/>
        </w:rPr>
        <w:t>Bežné nákupy</w:t>
      </w:r>
      <w:r w:rsidR="004F01E9">
        <w:rPr>
          <w:i/>
          <w:noProof/>
        </w:rPr>
        <w:t xml:space="preserve"> a </w:t>
      </w:r>
      <w:r w:rsidRPr="004F01E9">
        <w:rPr>
          <w:i/>
          <w:noProof/>
        </w:rPr>
        <w:t>predaje čakajúce na vyrovnanie</w:t>
      </w:r>
    </w:p>
    <w:p w14:paraId="2D55F90A" w14:textId="6D6068DD" w:rsidR="00E74DDF" w:rsidRPr="004F01E9" w:rsidRDefault="00E74DDF" w:rsidP="00C67562">
      <w:pPr>
        <w:spacing w:after="240"/>
        <w:rPr>
          <w:noProof/>
        </w:rPr>
      </w:pPr>
      <w:r w:rsidRPr="004F01E9">
        <w:rPr>
          <w:noProof/>
        </w:rPr>
        <w:t>Ustanovenia týkajúce sa nákupov</w:t>
      </w:r>
      <w:r w:rsidR="004F01E9">
        <w:rPr>
          <w:noProof/>
        </w:rPr>
        <w:t xml:space="preserve"> a </w:t>
      </w:r>
      <w:r w:rsidRPr="004F01E9">
        <w:rPr>
          <w:noProof/>
        </w:rPr>
        <w:t>predajov čakajúcich na vyrovnanie sa menia tak, aby sa tieto pravidlá lepšie zosúladili so štandardmi Bazilej III,</w:t>
      </w:r>
      <w:r w:rsidR="004F01E9">
        <w:rPr>
          <w:noProof/>
        </w:rPr>
        <w:t xml:space="preserve"> a </w:t>
      </w:r>
      <w:r w:rsidRPr="004F01E9">
        <w:rPr>
          <w:noProof/>
        </w:rPr>
        <w:t>to najmä objasnením, že tieto ustanovenia sa vzťahujú na finančné aktíva</w:t>
      </w:r>
      <w:r w:rsidR="004F01E9">
        <w:rPr>
          <w:noProof/>
        </w:rPr>
        <w:t xml:space="preserve"> a </w:t>
      </w:r>
      <w:r w:rsidRPr="004F01E9">
        <w:rPr>
          <w:noProof/>
        </w:rPr>
        <w:t>nie len na cenné papiere. Článok 429 ods. 6</w:t>
      </w:r>
      <w:r w:rsidR="004F01E9">
        <w:rPr>
          <w:noProof/>
        </w:rPr>
        <w:t xml:space="preserve"> a </w:t>
      </w:r>
      <w:r w:rsidRPr="004F01E9">
        <w:rPr>
          <w:noProof/>
        </w:rPr>
        <w:t>článok 429g ods. 1 nariadenia CRR sa menia zodpovedajúcim spôsobom.</w:t>
      </w:r>
    </w:p>
    <w:p w14:paraId="563FC135" w14:textId="64B4AB00" w:rsidR="00E74DDF" w:rsidRPr="004F01E9" w:rsidRDefault="00E74DDF" w:rsidP="00E74DDF">
      <w:pPr>
        <w:pBdr>
          <w:top w:val="nil"/>
          <w:left w:val="nil"/>
          <w:bottom w:val="nil"/>
          <w:right w:val="nil"/>
          <w:between w:val="nil"/>
          <w:bar w:val="nil"/>
        </w:pBdr>
        <w:rPr>
          <w:b/>
          <w:noProof/>
        </w:rPr>
      </w:pPr>
      <w:r w:rsidRPr="004F01E9">
        <w:rPr>
          <w:b/>
          <w:noProof/>
        </w:rPr>
        <w:t>Environmentálne</w:t>
      </w:r>
      <w:r w:rsidR="004F01E9">
        <w:rPr>
          <w:b/>
          <w:noProof/>
        </w:rPr>
        <w:t xml:space="preserve"> a </w:t>
      </w:r>
      <w:r w:rsidRPr="004F01E9">
        <w:rPr>
          <w:b/>
          <w:noProof/>
        </w:rPr>
        <w:t>sociálne riziká</w:t>
      </w:r>
      <w:r w:rsidR="004F01E9">
        <w:rPr>
          <w:b/>
          <w:noProof/>
        </w:rPr>
        <w:t xml:space="preserve"> a </w:t>
      </w:r>
      <w:r w:rsidRPr="004F01E9">
        <w:rPr>
          <w:b/>
          <w:noProof/>
        </w:rPr>
        <w:t>riziká</w:t>
      </w:r>
      <w:r w:rsidR="004F01E9">
        <w:rPr>
          <w:b/>
          <w:noProof/>
        </w:rPr>
        <w:t xml:space="preserve"> v </w:t>
      </w:r>
      <w:r w:rsidRPr="004F01E9">
        <w:rPr>
          <w:b/>
          <w:noProof/>
        </w:rPr>
        <w:t>oblasti správy</w:t>
      </w:r>
      <w:r w:rsidR="004F01E9">
        <w:rPr>
          <w:b/>
          <w:noProof/>
        </w:rPr>
        <w:t xml:space="preserve"> a </w:t>
      </w:r>
      <w:r w:rsidRPr="004F01E9">
        <w:rPr>
          <w:b/>
          <w:noProof/>
        </w:rPr>
        <w:t>riadenia (riziká ESG)</w:t>
      </w:r>
    </w:p>
    <w:p w14:paraId="66E40084" w14:textId="5757FF1D" w:rsidR="00E74DDF" w:rsidRPr="004F01E9" w:rsidRDefault="00E74DDF" w:rsidP="00E74DDF">
      <w:pPr>
        <w:rPr>
          <w:noProof/>
        </w:rPr>
      </w:pPr>
      <w:r w:rsidRPr="004F01E9">
        <w:rPr>
          <w:noProof/>
        </w:rPr>
        <w:t>Inštitúcie zohrávajú kľúčovú úlohu</w:t>
      </w:r>
      <w:r w:rsidR="004F01E9">
        <w:rPr>
          <w:noProof/>
        </w:rPr>
        <w:t xml:space="preserve"> v </w:t>
      </w:r>
      <w:r w:rsidRPr="004F01E9">
        <w:rPr>
          <w:noProof/>
        </w:rPr>
        <w:t>ambícii Únie podporovať dlhodobý prechod</w:t>
      </w:r>
      <w:r w:rsidR="004F01E9">
        <w:rPr>
          <w:noProof/>
        </w:rPr>
        <w:t xml:space="preserve"> k </w:t>
      </w:r>
      <w:r w:rsidRPr="004F01E9">
        <w:rPr>
          <w:noProof/>
        </w:rPr>
        <w:t>udržateľnému rozvoju vo všeobecnosti,</w:t>
      </w:r>
      <w:r w:rsidR="004F01E9">
        <w:rPr>
          <w:noProof/>
        </w:rPr>
        <w:t xml:space="preserve"> a </w:t>
      </w:r>
      <w:r w:rsidRPr="004F01E9">
        <w:rPr>
          <w:noProof/>
        </w:rPr>
        <w:t>najmä podporovať spravodlivý prechod</w:t>
      </w:r>
      <w:r w:rsidR="004F01E9">
        <w:rPr>
          <w:noProof/>
        </w:rPr>
        <w:t xml:space="preserve"> k </w:t>
      </w:r>
      <w:r w:rsidRPr="004F01E9">
        <w:rPr>
          <w:noProof/>
        </w:rPr>
        <w:t>nulovej bilancii skleníkových plynov</w:t>
      </w:r>
      <w:r w:rsidR="004F01E9">
        <w:rPr>
          <w:noProof/>
        </w:rPr>
        <w:t xml:space="preserve"> v </w:t>
      </w:r>
      <w:r w:rsidRPr="004F01E9">
        <w:rPr>
          <w:noProof/>
        </w:rPr>
        <w:t>hospodárstve Únie do roku 2050. Tento prechod so sebou prináša nové riziká, ktoré je potrebné pochopiť</w:t>
      </w:r>
      <w:r w:rsidR="004F01E9">
        <w:rPr>
          <w:noProof/>
        </w:rPr>
        <w:t xml:space="preserve"> a </w:t>
      </w:r>
      <w:r w:rsidRPr="004F01E9">
        <w:rPr>
          <w:noProof/>
        </w:rPr>
        <w:t>primerane riadiť na všetkých úrovniach.</w:t>
      </w:r>
    </w:p>
    <w:p w14:paraId="109E80C0" w14:textId="43DE43F8" w:rsidR="00806B81" w:rsidRPr="004F01E9" w:rsidRDefault="00E74DDF" w:rsidP="00E74DDF">
      <w:pPr>
        <w:rPr>
          <w:noProof/>
        </w:rPr>
      </w:pPr>
      <w:r w:rsidRPr="004F01E9">
        <w:rPr>
          <w:noProof/>
        </w:rPr>
        <w:t>Zrýchlený prechod</w:t>
      </w:r>
      <w:r w:rsidR="004F01E9">
        <w:rPr>
          <w:noProof/>
        </w:rPr>
        <w:t xml:space="preserve"> k </w:t>
      </w:r>
      <w:r w:rsidRPr="004F01E9">
        <w:rPr>
          <w:noProof/>
        </w:rPr>
        <w:t>udržateľnejšiemu hospodárstvu môže mať značný vplyv na spoločnosti, pretože zvyšuje riziká pre jednotlivé inštitúcie</w:t>
      </w:r>
      <w:r w:rsidR="004F01E9">
        <w:rPr>
          <w:noProof/>
        </w:rPr>
        <w:t xml:space="preserve"> a </w:t>
      </w:r>
      <w:r w:rsidRPr="004F01E9">
        <w:rPr>
          <w:noProof/>
        </w:rPr>
        <w:t>pre celkovú finančnú stabilitu. Vplyvy ľudského správania na klímu, ako sú emisie skleníkových plynov alebo pokračovanie neudržateľných hospodárskych postupov, sú hlavnými faktormi fyzických rizík, ktoré potenciálne zvyšujú pravdepodobnosť environmentálnych rizík</w:t>
      </w:r>
      <w:r w:rsidR="004F01E9">
        <w:rPr>
          <w:noProof/>
        </w:rPr>
        <w:t xml:space="preserve"> a </w:t>
      </w:r>
      <w:r w:rsidRPr="004F01E9">
        <w:rPr>
          <w:noProof/>
        </w:rPr>
        <w:t>ich sociálno-ekonomické vplyvy. Inštitúcie sú zároveň vystavené tým fyzickým rizikám, ktoré majú kompromisný vzťah</w:t>
      </w:r>
      <w:r w:rsidR="004F01E9">
        <w:rPr>
          <w:noProof/>
        </w:rPr>
        <w:t xml:space="preserve"> s </w:t>
      </w:r>
      <w:r w:rsidRPr="004F01E9">
        <w:rPr>
          <w:noProof/>
        </w:rPr>
        <w:t>rizikami prechodu, pretože pri zachovaní všetkých ostatných vecí sa očakáva, že fyzické riziká sa pri vykonávaní politík</w:t>
      </w:r>
      <w:r w:rsidR="004F01E9">
        <w:rPr>
          <w:noProof/>
        </w:rPr>
        <w:t xml:space="preserve"> v </w:t>
      </w:r>
      <w:r w:rsidRPr="004F01E9">
        <w:rPr>
          <w:noProof/>
        </w:rPr>
        <w:t>oblasti prechodu znížia. Opak však môže nastať vtedy, keď sa nepodniknú žiadne kroky, čo znamená, že keď je riziko prechodu nízke</w:t>
      </w:r>
      <w:r w:rsidR="004F01E9">
        <w:rPr>
          <w:noProof/>
        </w:rPr>
        <w:t xml:space="preserve"> a </w:t>
      </w:r>
      <w:r w:rsidRPr="004F01E9">
        <w:rPr>
          <w:noProof/>
        </w:rPr>
        <w:t>vykonávanie politík súvisiacich</w:t>
      </w:r>
      <w:r w:rsidR="004F01E9">
        <w:rPr>
          <w:noProof/>
        </w:rPr>
        <w:t xml:space="preserve"> s </w:t>
      </w:r>
      <w:r w:rsidRPr="004F01E9">
        <w:rPr>
          <w:noProof/>
        </w:rPr>
        <w:t>prechodom trvá dlhšie,</w:t>
      </w:r>
      <w:r w:rsidR="004F01E9">
        <w:rPr>
          <w:noProof/>
        </w:rPr>
        <w:t xml:space="preserve"> o </w:t>
      </w:r>
      <w:r w:rsidRPr="004F01E9">
        <w:rPr>
          <w:noProof/>
        </w:rPr>
        <w:t>to viac sa zvýšia fyzické riziká.</w:t>
      </w:r>
    </w:p>
    <w:p w14:paraId="2C0830FF" w14:textId="41741EA9" w:rsidR="00806B81" w:rsidRPr="004F01E9" w:rsidRDefault="00E74DDF" w:rsidP="00E74DDF">
      <w:pPr>
        <w:rPr>
          <w:noProof/>
        </w:rPr>
      </w:pPr>
      <w:r w:rsidRPr="004F01E9">
        <w:rPr>
          <w:noProof/>
        </w:rPr>
        <w:t>Na podporu primeraného pochopenia</w:t>
      </w:r>
      <w:r w:rsidR="004F01E9">
        <w:rPr>
          <w:noProof/>
        </w:rPr>
        <w:t xml:space="preserve"> a </w:t>
      </w:r>
      <w:r w:rsidRPr="004F01E9">
        <w:rPr>
          <w:noProof/>
        </w:rPr>
        <w:t>riadenia rizík udržateľnosti, ktoré sa bežne označujú ako environmentálne</w:t>
      </w:r>
      <w:r w:rsidR="004F01E9">
        <w:rPr>
          <w:noProof/>
        </w:rPr>
        <w:t xml:space="preserve"> a </w:t>
      </w:r>
      <w:r w:rsidRPr="004F01E9">
        <w:rPr>
          <w:noProof/>
        </w:rPr>
        <w:t>sociálne riziká</w:t>
      </w:r>
      <w:r w:rsidR="004F01E9">
        <w:rPr>
          <w:noProof/>
        </w:rPr>
        <w:t xml:space="preserve"> a </w:t>
      </w:r>
      <w:r w:rsidRPr="004F01E9">
        <w:rPr>
          <w:noProof/>
        </w:rPr>
        <w:t>riziká</w:t>
      </w:r>
      <w:r w:rsidR="004F01E9">
        <w:rPr>
          <w:noProof/>
        </w:rPr>
        <w:t xml:space="preserve"> v </w:t>
      </w:r>
      <w:r w:rsidRPr="004F01E9">
        <w:rPr>
          <w:noProof/>
        </w:rPr>
        <w:t>oblasti správy</w:t>
      </w:r>
      <w:r w:rsidR="004F01E9">
        <w:rPr>
          <w:noProof/>
        </w:rPr>
        <w:t xml:space="preserve"> a </w:t>
      </w:r>
      <w:r w:rsidRPr="004F01E9">
        <w:rPr>
          <w:noProof/>
        </w:rPr>
        <w:t>riadenia (riziká ESG), musia inštitúcie so sídlom</w:t>
      </w:r>
      <w:r w:rsidR="004F01E9">
        <w:rPr>
          <w:noProof/>
        </w:rPr>
        <w:t xml:space="preserve"> v </w:t>
      </w:r>
      <w:r w:rsidRPr="004F01E9">
        <w:rPr>
          <w:noProof/>
        </w:rPr>
        <w:t>Únii tieto riziká systematicky identifikovať, zverejňovať</w:t>
      </w:r>
      <w:r w:rsidR="004F01E9">
        <w:rPr>
          <w:noProof/>
        </w:rPr>
        <w:t xml:space="preserve"> a </w:t>
      </w:r>
      <w:r w:rsidRPr="004F01E9">
        <w:rPr>
          <w:noProof/>
        </w:rPr>
        <w:t>riadiť na svojej individuálnej úrovni. Relatívna novosť rizík ESG</w:t>
      </w:r>
      <w:r w:rsidR="004F01E9">
        <w:rPr>
          <w:noProof/>
        </w:rPr>
        <w:t xml:space="preserve"> a </w:t>
      </w:r>
      <w:r w:rsidRPr="004F01E9">
        <w:rPr>
          <w:noProof/>
        </w:rPr>
        <w:t>ich špecifiká znamenajú, že chápanie týchto rizík sa môže medzi inštitúciami výrazne líšiť.</w:t>
      </w:r>
    </w:p>
    <w:p w14:paraId="04E9A62D" w14:textId="462AE910" w:rsidR="00E74DDF" w:rsidRPr="006C666F" w:rsidRDefault="00E74DDF" w:rsidP="00E74DDF">
      <w:pPr>
        <w:rPr>
          <w:noProof/>
          <w:spacing w:val="-8"/>
        </w:rPr>
      </w:pPr>
      <w:r w:rsidRPr="006C666F">
        <w:rPr>
          <w:noProof/>
          <w:spacing w:val="-8"/>
        </w:rPr>
        <w:t>Preto sa článok 4 mení tak, aby sa zaviedlo nové harmonizované vymedzenie pojmov rôznych typov rizík</w:t>
      </w:r>
      <w:r w:rsidR="004F01E9" w:rsidRPr="006C666F">
        <w:rPr>
          <w:noProof/>
          <w:spacing w:val="-8"/>
        </w:rPr>
        <w:t xml:space="preserve"> v </w:t>
      </w:r>
      <w:r w:rsidRPr="006C666F">
        <w:rPr>
          <w:noProof/>
          <w:spacing w:val="-8"/>
        </w:rPr>
        <w:t>rámci rizík ESG (článok 4 ods. 1 body 52d až 52i). Toto vymedzenie pojmov je</w:t>
      </w:r>
      <w:r w:rsidR="004F01E9" w:rsidRPr="006C666F">
        <w:rPr>
          <w:noProof/>
          <w:spacing w:val="-8"/>
        </w:rPr>
        <w:t xml:space="preserve"> v </w:t>
      </w:r>
      <w:r w:rsidRPr="006C666F">
        <w:rPr>
          <w:noProof/>
          <w:spacing w:val="-8"/>
        </w:rPr>
        <w:t>súlade</w:t>
      </w:r>
      <w:r w:rsidR="004F01E9" w:rsidRPr="006C666F">
        <w:rPr>
          <w:noProof/>
          <w:spacing w:val="-8"/>
        </w:rPr>
        <w:t xml:space="preserve"> s </w:t>
      </w:r>
      <w:r w:rsidRPr="006C666F">
        <w:rPr>
          <w:noProof/>
          <w:spacing w:val="-8"/>
        </w:rPr>
        <w:t>vymedzením pojmov, ktoré navrhuje orgán EBA vo svojej správe venovanej rizikám ESG.</w:t>
      </w:r>
    </w:p>
    <w:p w14:paraId="1298B4BD" w14:textId="51C23531" w:rsidR="00E74DDF" w:rsidRPr="006C666F" w:rsidRDefault="00E74DDF" w:rsidP="00E74DDF">
      <w:pPr>
        <w:rPr>
          <w:noProof/>
          <w:spacing w:val="-4"/>
        </w:rPr>
      </w:pPr>
      <w:r w:rsidRPr="006C666F">
        <w:rPr>
          <w:noProof/>
          <w:spacing w:val="-4"/>
        </w:rPr>
        <w:t>S cieľom umožniť lepší dohľad nad rizikami ESG sa článok 430 mení tak, že sa</w:t>
      </w:r>
      <w:r w:rsidR="004F01E9" w:rsidRPr="006C666F">
        <w:rPr>
          <w:noProof/>
          <w:spacing w:val="-4"/>
        </w:rPr>
        <w:t xml:space="preserve"> v </w:t>
      </w:r>
      <w:r w:rsidRPr="006C666F">
        <w:rPr>
          <w:noProof/>
          <w:spacing w:val="-4"/>
        </w:rPr>
        <w:t>ňom vyžaduje, aby inštitúcie nahlasovali svoje expozície voči rizikám ESG svojim príslušným orgánom.</w:t>
      </w:r>
    </w:p>
    <w:p w14:paraId="075A6678" w14:textId="49B1D0FF" w:rsidR="00E74DDF" w:rsidRPr="006C666F" w:rsidRDefault="00E74DDF" w:rsidP="00C67562">
      <w:pPr>
        <w:spacing w:after="240"/>
        <w:rPr>
          <w:noProof/>
          <w:spacing w:val="-4"/>
          <w:sz w:val="22"/>
        </w:rPr>
      </w:pPr>
      <w:r w:rsidRPr="006C666F">
        <w:rPr>
          <w:noProof/>
          <w:spacing w:val="-4"/>
        </w:rPr>
        <w:t>A napokon, aby sa lepšie zosúladili časové harmonogramy akýchkoľvek zmien</w:t>
      </w:r>
      <w:r w:rsidR="004F01E9" w:rsidRPr="006C666F">
        <w:rPr>
          <w:noProof/>
          <w:spacing w:val="-4"/>
        </w:rPr>
        <w:t xml:space="preserve"> v </w:t>
      </w:r>
      <w:r w:rsidRPr="006C666F">
        <w:rPr>
          <w:noProof/>
          <w:spacing w:val="-4"/>
        </w:rPr>
        <w:t>prudenciálnych pravidlách, ktoré môžu byť potrebné, článok 501c sa mení tak, aby sa posunul termín, do ktorého má orgán EBA predložiť správu</w:t>
      </w:r>
      <w:r w:rsidR="004F01E9" w:rsidRPr="006C666F">
        <w:rPr>
          <w:noProof/>
          <w:spacing w:val="-4"/>
        </w:rPr>
        <w:t xml:space="preserve"> o </w:t>
      </w:r>
      <w:r w:rsidRPr="006C666F">
        <w:rPr>
          <w:noProof/>
          <w:spacing w:val="-4"/>
        </w:rPr>
        <w:t>prudenciálnom zaobchádzaní</w:t>
      </w:r>
      <w:r w:rsidR="004F01E9" w:rsidRPr="006C666F">
        <w:rPr>
          <w:noProof/>
          <w:spacing w:val="-4"/>
        </w:rPr>
        <w:t xml:space="preserve"> s </w:t>
      </w:r>
      <w:r w:rsidRPr="006C666F">
        <w:rPr>
          <w:noProof/>
          <w:spacing w:val="-4"/>
        </w:rPr>
        <w:t>týmito expozíciami,</w:t>
      </w:r>
      <w:r w:rsidR="004F01E9" w:rsidRPr="006C666F">
        <w:rPr>
          <w:noProof/>
          <w:spacing w:val="-4"/>
        </w:rPr>
        <w:t xml:space="preserve"> z </w:t>
      </w:r>
      <w:r w:rsidRPr="006C666F">
        <w:rPr>
          <w:noProof/>
          <w:spacing w:val="-4"/>
        </w:rPr>
        <w:t>roku 2025 na rok 2023.</w:t>
      </w:r>
      <w:r w:rsidR="004F01E9" w:rsidRPr="006C666F">
        <w:rPr>
          <w:noProof/>
          <w:spacing w:val="-4"/>
        </w:rPr>
        <w:t xml:space="preserve"> V </w:t>
      </w:r>
      <w:r w:rsidRPr="006C666F">
        <w:rPr>
          <w:noProof/>
          <w:spacing w:val="-4"/>
        </w:rPr>
        <w:t>rámci mandátu</w:t>
      </w:r>
      <w:r w:rsidR="004F01E9" w:rsidRPr="006C666F">
        <w:rPr>
          <w:noProof/>
          <w:spacing w:val="-4"/>
        </w:rPr>
        <w:t xml:space="preserve"> v </w:t>
      </w:r>
      <w:r w:rsidRPr="006C666F">
        <w:rPr>
          <w:noProof/>
          <w:spacing w:val="-4"/>
        </w:rPr>
        <w:t>článku 501c by mal orgán EBA posudzovať expozície voči aktívam</w:t>
      </w:r>
      <w:r w:rsidR="004F01E9" w:rsidRPr="006C666F">
        <w:rPr>
          <w:noProof/>
          <w:spacing w:val="-4"/>
        </w:rPr>
        <w:t xml:space="preserve"> a </w:t>
      </w:r>
      <w:r w:rsidRPr="006C666F">
        <w:rPr>
          <w:noProof/>
          <w:spacing w:val="-4"/>
        </w:rPr>
        <w:t>činnostiam</w:t>
      </w:r>
      <w:r w:rsidR="004F01E9" w:rsidRPr="006C666F">
        <w:rPr>
          <w:noProof/>
          <w:spacing w:val="-4"/>
        </w:rPr>
        <w:t xml:space="preserve"> v </w:t>
      </w:r>
      <w:r w:rsidRPr="006C666F">
        <w:rPr>
          <w:noProof/>
          <w:spacing w:val="-4"/>
        </w:rPr>
        <w:t>odvetviach energetickej účinnosti</w:t>
      </w:r>
      <w:r w:rsidR="004F01E9" w:rsidRPr="006C666F">
        <w:rPr>
          <w:noProof/>
          <w:spacing w:val="-4"/>
        </w:rPr>
        <w:t xml:space="preserve"> a </w:t>
      </w:r>
      <w:r w:rsidRPr="006C666F">
        <w:rPr>
          <w:noProof/>
          <w:spacing w:val="-4"/>
        </w:rPr>
        <w:t>efektívnosti využívania zdrojov, ako aj</w:t>
      </w:r>
      <w:r w:rsidR="004F01E9" w:rsidRPr="006C666F">
        <w:rPr>
          <w:noProof/>
          <w:spacing w:val="-4"/>
        </w:rPr>
        <w:t xml:space="preserve"> v </w:t>
      </w:r>
      <w:r w:rsidRPr="006C666F">
        <w:rPr>
          <w:noProof/>
          <w:spacing w:val="-4"/>
        </w:rPr>
        <w:t>odvetviach infraštruktúry</w:t>
      </w:r>
      <w:r w:rsidR="004F01E9" w:rsidRPr="006C666F">
        <w:rPr>
          <w:noProof/>
          <w:spacing w:val="-4"/>
        </w:rPr>
        <w:t xml:space="preserve"> a </w:t>
      </w:r>
      <w:r w:rsidRPr="006C666F">
        <w:rPr>
          <w:noProof/>
          <w:spacing w:val="-4"/>
        </w:rPr>
        <w:t>vozových parkov. Posudzovanie by malo zahŕňať aj možnosť cieleného nastavenia rizikových váh pre položky spojené</w:t>
      </w:r>
      <w:r w:rsidR="004F01E9" w:rsidRPr="006C666F">
        <w:rPr>
          <w:noProof/>
          <w:spacing w:val="-4"/>
        </w:rPr>
        <w:t xml:space="preserve"> s </w:t>
      </w:r>
      <w:r w:rsidRPr="006C666F">
        <w:rPr>
          <w:noProof/>
          <w:spacing w:val="-4"/>
        </w:rPr>
        <w:t>obzvlášť vysokou expozíciou voči klimatickým rizikám vrátane aktív alebo činností</w:t>
      </w:r>
      <w:r w:rsidR="004F01E9" w:rsidRPr="006C666F">
        <w:rPr>
          <w:noProof/>
          <w:spacing w:val="-4"/>
        </w:rPr>
        <w:t xml:space="preserve"> v </w:t>
      </w:r>
      <w:r w:rsidRPr="006C666F">
        <w:rPr>
          <w:noProof/>
          <w:spacing w:val="-4"/>
        </w:rPr>
        <w:t>odvetví fosílnych palív</w:t>
      </w:r>
      <w:r w:rsidR="004F01E9" w:rsidRPr="006C666F">
        <w:rPr>
          <w:noProof/>
          <w:spacing w:val="-4"/>
        </w:rPr>
        <w:t xml:space="preserve"> a v </w:t>
      </w:r>
      <w:r w:rsidRPr="006C666F">
        <w:rPr>
          <w:noProof/>
          <w:spacing w:val="-4"/>
        </w:rPr>
        <w:t>odvetviach</w:t>
      </w:r>
      <w:r w:rsidR="004F01E9" w:rsidRPr="006C666F">
        <w:rPr>
          <w:noProof/>
          <w:spacing w:val="-4"/>
        </w:rPr>
        <w:t xml:space="preserve"> s </w:t>
      </w:r>
      <w:r w:rsidRPr="006C666F">
        <w:rPr>
          <w:noProof/>
          <w:spacing w:val="-4"/>
        </w:rPr>
        <w:t>vysokým vplyvom na klímu. Ak sa zistí, že je to opodstatnené,</w:t>
      </w:r>
      <w:r w:rsidR="004F01E9" w:rsidRPr="006C666F">
        <w:rPr>
          <w:noProof/>
          <w:spacing w:val="-4"/>
        </w:rPr>
        <w:t xml:space="preserve"> v </w:t>
      </w:r>
      <w:r w:rsidRPr="006C666F">
        <w:rPr>
          <w:noProof/>
          <w:spacing w:val="-4"/>
        </w:rPr>
        <w:t>správe orgánu EBA by sa mal opísať celý rad možností uplatňovania osobitného prudenciálneho zaobchádzania</w:t>
      </w:r>
      <w:r w:rsidR="004F01E9" w:rsidRPr="006C666F">
        <w:rPr>
          <w:noProof/>
          <w:spacing w:val="-4"/>
        </w:rPr>
        <w:t xml:space="preserve"> s </w:t>
      </w:r>
      <w:r w:rsidRPr="006C666F">
        <w:rPr>
          <w:noProof/>
          <w:spacing w:val="-4"/>
        </w:rPr>
        <w:t>expozíciami, ktoré podliehajú vplyvom environmentálnych</w:t>
      </w:r>
      <w:r w:rsidR="004F01E9" w:rsidRPr="006C666F">
        <w:rPr>
          <w:noProof/>
          <w:spacing w:val="-4"/>
        </w:rPr>
        <w:t xml:space="preserve"> a </w:t>
      </w:r>
      <w:r w:rsidRPr="006C666F">
        <w:rPr>
          <w:noProof/>
          <w:spacing w:val="-4"/>
        </w:rPr>
        <w:t>sociálnych faktorov.</w:t>
      </w:r>
    </w:p>
    <w:p w14:paraId="388EBD07" w14:textId="66464253" w:rsidR="00806B81" w:rsidRPr="004F01E9" w:rsidRDefault="00E74DDF" w:rsidP="00E74DDF">
      <w:pPr>
        <w:keepNext/>
        <w:rPr>
          <w:b/>
          <w:noProof/>
        </w:rPr>
      </w:pPr>
      <w:r w:rsidRPr="004F01E9">
        <w:rPr>
          <w:b/>
          <w:noProof/>
        </w:rPr>
        <w:t>Integrovaný systém podávania správ na účely dohľadu</w:t>
      </w:r>
      <w:r w:rsidR="004F01E9">
        <w:rPr>
          <w:b/>
          <w:noProof/>
        </w:rPr>
        <w:t xml:space="preserve"> a </w:t>
      </w:r>
      <w:r w:rsidRPr="004F01E9">
        <w:rPr>
          <w:b/>
          <w:noProof/>
        </w:rPr>
        <w:t>spoločné využívanie údajov</w:t>
      </w:r>
    </w:p>
    <w:p w14:paraId="1FD074B7" w14:textId="7EC444EC" w:rsidR="00E74DDF" w:rsidRPr="006C666F" w:rsidRDefault="00E74DDF" w:rsidP="00C67562">
      <w:pPr>
        <w:spacing w:after="240"/>
        <w:rPr>
          <w:noProof/>
          <w:spacing w:val="-4"/>
        </w:rPr>
      </w:pPr>
      <w:r w:rsidRPr="006C666F">
        <w:rPr>
          <w:noProof/>
          <w:spacing w:val="-4"/>
        </w:rPr>
        <w:t>Orgán EBA</w:t>
      </w:r>
      <w:r w:rsidR="004F01E9" w:rsidRPr="006C666F">
        <w:rPr>
          <w:noProof/>
          <w:spacing w:val="-4"/>
        </w:rPr>
        <w:t xml:space="preserve"> v </w:t>
      </w:r>
      <w:r w:rsidRPr="006C666F">
        <w:rPr>
          <w:noProof/>
          <w:spacing w:val="-4"/>
        </w:rPr>
        <w:t>spolupráci</w:t>
      </w:r>
      <w:r w:rsidR="004F01E9" w:rsidRPr="006C666F">
        <w:rPr>
          <w:noProof/>
          <w:spacing w:val="-4"/>
        </w:rPr>
        <w:t xml:space="preserve"> s </w:t>
      </w:r>
      <w:r w:rsidRPr="006C666F">
        <w:rPr>
          <w:noProof/>
          <w:spacing w:val="-4"/>
        </w:rPr>
        <w:t>ECB</w:t>
      </w:r>
      <w:r w:rsidR="004F01E9" w:rsidRPr="006C666F">
        <w:rPr>
          <w:noProof/>
          <w:spacing w:val="-4"/>
        </w:rPr>
        <w:t xml:space="preserve"> a </w:t>
      </w:r>
      <w:r w:rsidRPr="006C666F">
        <w:rPr>
          <w:noProof/>
          <w:spacing w:val="-4"/>
        </w:rPr>
        <w:t>príslušnými vnútroštátnymi orgánmi pracuje od roku 2018 na vytvorení Európskej centralizovanej infraštruktúry pre údaje</w:t>
      </w:r>
      <w:r w:rsidR="004F01E9" w:rsidRPr="006C666F">
        <w:rPr>
          <w:noProof/>
          <w:spacing w:val="-4"/>
        </w:rPr>
        <w:t xml:space="preserve"> v </w:t>
      </w:r>
      <w:r w:rsidRPr="006C666F">
        <w:rPr>
          <w:noProof/>
          <w:spacing w:val="-4"/>
        </w:rPr>
        <w:t>oblasti dohľadu (EUCLID)</w:t>
      </w:r>
      <w:r w:rsidR="004F01E9" w:rsidRPr="006C666F">
        <w:rPr>
          <w:noProof/>
          <w:spacing w:val="-4"/>
        </w:rPr>
        <w:t xml:space="preserve"> s </w:t>
      </w:r>
      <w:r w:rsidRPr="006C666F">
        <w:rPr>
          <w:noProof/>
          <w:spacing w:val="-4"/>
        </w:rPr>
        <w:t>cieľom zhromažďovať</w:t>
      </w:r>
      <w:r w:rsidR="004F01E9" w:rsidRPr="006C666F">
        <w:rPr>
          <w:noProof/>
          <w:spacing w:val="-4"/>
        </w:rPr>
        <w:t xml:space="preserve"> v </w:t>
      </w:r>
      <w:r w:rsidRPr="006C666F">
        <w:rPr>
          <w:noProof/>
          <w:spacing w:val="-4"/>
        </w:rPr>
        <w:t>centralizovanom integrovanom systéme informácie</w:t>
      </w:r>
      <w:r w:rsidR="004F01E9" w:rsidRPr="006C666F">
        <w:rPr>
          <w:noProof/>
          <w:spacing w:val="-4"/>
        </w:rPr>
        <w:t xml:space="preserve"> o </w:t>
      </w:r>
      <w:r w:rsidRPr="006C666F">
        <w:rPr>
          <w:noProof/>
          <w:spacing w:val="-4"/>
        </w:rPr>
        <w:t>najväčších inštitúciách so sídlom</w:t>
      </w:r>
      <w:r w:rsidR="004F01E9" w:rsidRPr="006C666F">
        <w:rPr>
          <w:noProof/>
          <w:spacing w:val="-4"/>
        </w:rPr>
        <w:t xml:space="preserve"> v </w:t>
      </w:r>
      <w:r w:rsidRPr="006C666F">
        <w:rPr>
          <w:noProof/>
          <w:spacing w:val="-4"/>
        </w:rPr>
        <w:t>Únii, ktoré orgány dohľadu spoločne využívajú. Tento systém bude obzvlášť užitočný pre dopĺňanie verejných správ</w:t>
      </w:r>
      <w:r w:rsidR="004F01E9" w:rsidRPr="006C666F">
        <w:rPr>
          <w:noProof/>
          <w:spacing w:val="-4"/>
        </w:rPr>
        <w:t xml:space="preserve"> a </w:t>
      </w:r>
      <w:r w:rsidRPr="006C666F">
        <w:rPr>
          <w:noProof/>
          <w:spacing w:val="-4"/>
        </w:rPr>
        <w:t>analýz súhrnnými údajmi</w:t>
      </w:r>
      <w:r w:rsidR="004F01E9" w:rsidRPr="006C666F">
        <w:rPr>
          <w:noProof/>
          <w:spacing w:val="-4"/>
        </w:rPr>
        <w:t xml:space="preserve"> a </w:t>
      </w:r>
      <w:r w:rsidRPr="006C666F">
        <w:rPr>
          <w:noProof/>
          <w:spacing w:val="-4"/>
        </w:rPr>
        <w:t>ukazovateľmi rizika</w:t>
      </w:r>
      <w:r w:rsidR="004F01E9" w:rsidRPr="006C666F">
        <w:rPr>
          <w:noProof/>
          <w:spacing w:val="-4"/>
        </w:rPr>
        <w:t xml:space="preserve"> o </w:t>
      </w:r>
      <w:r w:rsidRPr="006C666F">
        <w:rPr>
          <w:noProof/>
          <w:spacing w:val="-4"/>
        </w:rPr>
        <w:t>celkovom bankovom sektore EÚ.</w:t>
      </w:r>
      <w:r w:rsidR="004F01E9" w:rsidRPr="006C666F">
        <w:rPr>
          <w:noProof/>
          <w:spacing w:val="-4"/>
        </w:rPr>
        <w:t xml:space="preserve"> V </w:t>
      </w:r>
      <w:r w:rsidRPr="006C666F">
        <w:rPr>
          <w:noProof/>
          <w:spacing w:val="-4"/>
        </w:rPr>
        <w:t>článku 430c sa orgán EBA</w:t>
      </w:r>
      <w:r w:rsidR="004F01E9" w:rsidRPr="006C666F">
        <w:rPr>
          <w:noProof/>
          <w:spacing w:val="-4"/>
        </w:rPr>
        <w:t xml:space="preserve"> v </w:t>
      </w:r>
      <w:r w:rsidRPr="006C666F">
        <w:rPr>
          <w:noProof/>
          <w:spacing w:val="-4"/>
        </w:rPr>
        <w:t>súčasnosti poveruje, aby vypracoval štúdiu uskutočniteľnosti na účely rozvoja konzistentného</w:t>
      </w:r>
      <w:r w:rsidR="004F01E9" w:rsidRPr="006C666F">
        <w:rPr>
          <w:noProof/>
          <w:spacing w:val="-4"/>
        </w:rPr>
        <w:t xml:space="preserve"> a </w:t>
      </w:r>
      <w:r w:rsidRPr="006C666F">
        <w:rPr>
          <w:noProof/>
          <w:spacing w:val="-4"/>
        </w:rPr>
        <w:t>integrovaného systému zberu štatistických údajov, údajov</w:t>
      </w:r>
      <w:r w:rsidR="004F01E9" w:rsidRPr="006C666F">
        <w:rPr>
          <w:noProof/>
          <w:spacing w:val="-4"/>
        </w:rPr>
        <w:t xml:space="preserve"> o </w:t>
      </w:r>
      <w:r w:rsidRPr="006C666F">
        <w:rPr>
          <w:noProof/>
          <w:spacing w:val="-4"/>
        </w:rPr>
        <w:t>riešení krízových situácií</w:t>
      </w:r>
      <w:r w:rsidR="004F01E9" w:rsidRPr="006C666F">
        <w:rPr>
          <w:noProof/>
          <w:spacing w:val="-4"/>
        </w:rPr>
        <w:t xml:space="preserve"> a </w:t>
      </w:r>
      <w:r w:rsidRPr="006C666F">
        <w:rPr>
          <w:noProof/>
          <w:spacing w:val="-4"/>
        </w:rPr>
        <w:t>prudenciálnych údajov</w:t>
      </w:r>
      <w:r w:rsidR="004F01E9" w:rsidRPr="006C666F">
        <w:rPr>
          <w:noProof/>
          <w:spacing w:val="-4"/>
        </w:rPr>
        <w:t xml:space="preserve"> a </w:t>
      </w:r>
      <w:r w:rsidRPr="006C666F">
        <w:rPr>
          <w:noProof/>
          <w:spacing w:val="-4"/>
        </w:rPr>
        <w:t>aby do prípravy štúdie takisto zapojil príslušné orgány.</w:t>
      </w:r>
      <w:r w:rsidR="004F01E9" w:rsidRPr="006C666F">
        <w:rPr>
          <w:noProof/>
          <w:spacing w:val="-4"/>
        </w:rPr>
        <w:t xml:space="preserve"> V </w:t>
      </w:r>
      <w:r w:rsidRPr="006C666F">
        <w:rPr>
          <w:noProof/>
          <w:spacing w:val="-4"/>
        </w:rPr>
        <w:t>marci 2021 orgán EBA publikoval diskusný dokument</w:t>
      </w:r>
      <w:r w:rsidR="004F01E9" w:rsidRPr="006C666F">
        <w:rPr>
          <w:noProof/>
          <w:spacing w:val="-4"/>
        </w:rPr>
        <w:t xml:space="preserve"> o </w:t>
      </w:r>
      <w:r w:rsidRPr="006C666F">
        <w:rPr>
          <w:noProof/>
          <w:spacing w:val="-4"/>
        </w:rPr>
        <w:t>tejto štúdii uskutočniteľnosti</w:t>
      </w:r>
      <w:r w:rsidR="004F01E9" w:rsidRPr="006C666F">
        <w:rPr>
          <w:noProof/>
          <w:spacing w:val="-4"/>
        </w:rPr>
        <w:t xml:space="preserve"> a </w:t>
      </w:r>
      <w:r w:rsidRPr="006C666F">
        <w:rPr>
          <w:noProof/>
          <w:spacing w:val="-4"/>
        </w:rPr>
        <w:t>požiadal zainteresované strany</w:t>
      </w:r>
      <w:r w:rsidR="004F01E9" w:rsidRPr="006C666F">
        <w:rPr>
          <w:noProof/>
          <w:spacing w:val="-4"/>
        </w:rPr>
        <w:t xml:space="preserve"> o </w:t>
      </w:r>
      <w:r w:rsidRPr="006C666F">
        <w:rPr>
          <w:noProof/>
          <w:spacing w:val="-4"/>
        </w:rPr>
        <w:t>poskytnutie údajov do 11</w:t>
      </w:r>
      <w:r w:rsidR="004F01E9" w:rsidRPr="006C666F">
        <w:rPr>
          <w:noProof/>
          <w:spacing w:val="-4"/>
        </w:rPr>
        <w:t>. júna</w:t>
      </w:r>
      <w:r w:rsidRPr="006C666F">
        <w:rPr>
          <w:noProof/>
          <w:spacing w:val="-4"/>
        </w:rPr>
        <w:t> 2021.</w:t>
      </w:r>
      <w:r w:rsidR="004F01E9" w:rsidRPr="006C666F">
        <w:rPr>
          <w:noProof/>
          <w:spacing w:val="-4"/>
        </w:rPr>
        <w:t xml:space="preserve"> V </w:t>
      </w:r>
      <w:r w:rsidRPr="006C666F">
        <w:rPr>
          <w:noProof/>
          <w:spacing w:val="-4"/>
        </w:rPr>
        <w:t>súlade</w:t>
      </w:r>
      <w:r w:rsidR="004F01E9" w:rsidRPr="006C666F">
        <w:rPr>
          <w:noProof/>
          <w:spacing w:val="-4"/>
        </w:rPr>
        <w:t xml:space="preserve"> s </w:t>
      </w:r>
      <w:r w:rsidRPr="006C666F">
        <w:rPr>
          <w:noProof/>
          <w:spacing w:val="-4"/>
        </w:rPr>
        <w:t>článkom 430c ods. 3, keď orgán EBA dokončí štúdiu uskutočniteľnosti, Komisia posúdi, či</w:t>
      </w:r>
      <w:r w:rsidR="004F01E9" w:rsidRPr="006C666F">
        <w:rPr>
          <w:noProof/>
          <w:spacing w:val="-4"/>
        </w:rPr>
        <w:t xml:space="preserve"> v </w:t>
      </w:r>
      <w:r w:rsidRPr="006C666F">
        <w:rPr>
          <w:noProof/>
          <w:spacing w:val="-4"/>
        </w:rPr>
        <w:t>neskoršej fáze zavedie potenciálne zmeny požiadaviek na podávanie správ, ktoré sú nariadené</w:t>
      </w:r>
      <w:r w:rsidR="004F01E9" w:rsidRPr="006C666F">
        <w:rPr>
          <w:noProof/>
          <w:spacing w:val="-4"/>
        </w:rPr>
        <w:t xml:space="preserve"> v </w:t>
      </w:r>
      <w:r w:rsidRPr="006C666F">
        <w:rPr>
          <w:noProof/>
          <w:spacing w:val="-4"/>
        </w:rPr>
        <w:t>siedmej A časti nariadenia CRR.</w:t>
      </w:r>
    </w:p>
    <w:p w14:paraId="1B1A4C5A" w14:textId="77777777" w:rsidR="00E74DDF" w:rsidRPr="004F01E9" w:rsidRDefault="00E74DDF" w:rsidP="00E22C97">
      <w:pPr>
        <w:rPr>
          <w:b/>
          <w:noProof/>
        </w:rPr>
      </w:pPr>
      <w:r w:rsidRPr="004F01E9">
        <w:rPr>
          <w:b/>
          <w:noProof/>
        </w:rPr>
        <w:t>Zverejňovanie informácií</w:t>
      </w:r>
    </w:p>
    <w:p w14:paraId="5AEFD131" w14:textId="0F3F0DA2" w:rsidR="00E74DDF" w:rsidRPr="004F01E9" w:rsidRDefault="00E74DDF" w:rsidP="00E22C97">
      <w:pPr>
        <w:rPr>
          <w:i/>
          <w:noProof/>
        </w:rPr>
      </w:pPr>
      <w:r w:rsidRPr="004F01E9">
        <w:rPr>
          <w:i/>
          <w:noProof/>
        </w:rPr>
        <w:t>Zvýšená transparentnosť</w:t>
      </w:r>
      <w:r w:rsidR="004F01E9">
        <w:rPr>
          <w:i/>
          <w:noProof/>
        </w:rPr>
        <w:t xml:space="preserve"> a </w:t>
      </w:r>
      <w:r w:rsidRPr="004F01E9">
        <w:rPr>
          <w:i/>
          <w:noProof/>
        </w:rPr>
        <w:t>proporcionalita</w:t>
      </w:r>
      <w:r w:rsidR="004F01E9">
        <w:rPr>
          <w:i/>
          <w:noProof/>
        </w:rPr>
        <w:t xml:space="preserve"> v </w:t>
      </w:r>
      <w:r w:rsidRPr="004F01E9">
        <w:rPr>
          <w:i/>
          <w:noProof/>
        </w:rPr>
        <w:t>požiadavkách na zverejňovanie informácií</w:t>
      </w:r>
    </w:p>
    <w:p w14:paraId="3D391CFE" w14:textId="2DCF82E7" w:rsidR="00E74DDF" w:rsidRPr="004F01E9" w:rsidRDefault="00E74DDF" w:rsidP="00E74DDF">
      <w:pPr>
        <w:rPr>
          <w:rFonts w:eastAsia="Times New Roman"/>
          <w:noProof/>
          <w:color w:val="000000"/>
        </w:rPr>
      </w:pPr>
      <w:r w:rsidRPr="004F01E9">
        <w:rPr>
          <w:noProof/>
          <w:color w:val="000000"/>
        </w:rPr>
        <w:t>Vzhľadom na zmeny vykonané</w:t>
      </w:r>
      <w:r w:rsidR="004F01E9">
        <w:rPr>
          <w:noProof/>
          <w:color w:val="000000"/>
        </w:rPr>
        <w:t xml:space="preserve"> v </w:t>
      </w:r>
      <w:r w:rsidRPr="004F01E9">
        <w:rPr>
          <w:noProof/>
          <w:color w:val="000000"/>
        </w:rPr>
        <w:t>nariadení</w:t>
      </w:r>
      <w:r w:rsidR="004F01E9">
        <w:rPr>
          <w:noProof/>
          <w:color w:val="000000"/>
        </w:rPr>
        <w:t xml:space="preserve"> o </w:t>
      </w:r>
      <w:r w:rsidRPr="004F01E9">
        <w:rPr>
          <w:noProof/>
          <w:color w:val="000000"/>
        </w:rPr>
        <w:t>kapitálových požiadavkách</w:t>
      </w:r>
      <w:r w:rsidR="004F01E9">
        <w:rPr>
          <w:noProof/>
          <w:color w:val="000000"/>
        </w:rPr>
        <w:t xml:space="preserve"> s </w:t>
      </w:r>
      <w:r w:rsidRPr="004F01E9">
        <w:rPr>
          <w:noProof/>
          <w:color w:val="000000"/>
        </w:rPr>
        <w:t>cieľom vykonávať konečné štandardy Bazilej III, ako aj na potrebu ďalšieho znižovania administratívnych nákladov súvisiacich so zverejňovaním</w:t>
      </w:r>
      <w:r w:rsidR="004F01E9">
        <w:rPr>
          <w:noProof/>
          <w:color w:val="000000"/>
        </w:rPr>
        <w:t xml:space="preserve"> a </w:t>
      </w:r>
      <w:r w:rsidRPr="004F01E9">
        <w:rPr>
          <w:noProof/>
          <w:color w:val="000000"/>
        </w:rPr>
        <w:t>na uľahčenie prístupu</w:t>
      </w:r>
      <w:r w:rsidR="004F01E9">
        <w:rPr>
          <w:noProof/>
          <w:color w:val="000000"/>
        </w:rPr>
        <w:t xml:space="preserve"> k </w:t>
      </w:r>
      <w:r w:rsidRPr="004F01E9">
        <w:rPr>
          <w:noProof/>
          <w:color w:val="000000"/>
        </w:rPr>
        <w:t>informáciám, ktoré zverejňujú inštitúcie, sa</w:t>
      </w:r>
      <w:r w:rsidR="004F01E9">
        <w:rPr>
          <w:noProof/>
          <w:color w:val="000000"/>
        </w:rPr>
        <w:t xml:space="preserve"> v </w:t>
      </w:r>
      <w:r w:rsidRPr="004F01E9">
        <w:rPr>
          <w:noProof/>
          <w:color w:val="000000"/>
        </w:rPr>
        <w:t>ôsmej časti nariadenia CRR vykonáva niekoľko zmien.</w:t>
      </w:r>
    </w:p>
    <w:p w14:paraId="531A0E18" w14:textId="47C8E589" w:rsidR="00E74DDF" w:rsidRPr="004F01E9" w:rsidRDefault="00E74DDF" w:rsidP="00E74DDF">
      <w:pPr>
        <w:rPr>
          <w:rFonts w:eastAsia="Times New Roman"/>
          <w:noProof/>
          <w:color w:val="000000"/>
        </w:rPr>
      </w:pPr>
      <w:r w:rsidRPr="004F01E9">
        <w:rPr>
          <w:noProof/>
          <w:color w:val="000000"/>
        </w:rPr>
        <w:t>Článok 433 sa mení</w:t>
      </w:r>
      <w:r w:rsidR="004F01E9">
        <w:rPr>
          <w:noProof/>
          <w:color w:val="000000"/>
        </w:rPr>
        <w:t xml:space="preserve"> s </w:t>
      </w:r>
      <w:r w:rsidRPr="004F01E9">
        <w:rPr>
          <w:noProof/>
          <w:color w:val="000000"/>
        </w:rPr>
        <w:t>cieľom splnomocniť orgán EBA na centralizáciu zverejňovania ročných, polročných</w:t>
      </w:r>
      <w:r w:rsidR="004F01E9">
        <w:rPr>
          <w:noProof/>
          <w:color w:val="000000"/>
        </w:rPr>
        <w:t xml:space="preserve"> a </w:t>
      </w:r>
      <w:r w:rsidRPr="004F01E9">
        <w:rPr>
          <w:noProof/>
          <w:color w:val="000000"/>
        </w:rPr>
        <w:t>štvrťročných prudenciálnych zverejnení inštitúcií. Cieľom tohto návrhu je sprístupniť prudenciálne informácie prostredníctvom jednotného elektronického prístupového miesta, čím sa rieši súčasná fragmentácia</w:t>
      </w:r>
      <w:r w:rsidR="004F01E9">
        <w:rPr>
          <w:noProof/>
          <w:color w:val="000000"/>
        </w:rPr>
        <w:t xml:space="preserve"> s </w:t>
      </w:r>
      <w:r w:rsidRPr="004F01E9">
        <w:rPr>
          <w:noProof/>
          <w:color w:val="000000"/>
        </w:rPr>
        <w:t>cieľom zvýšiť transparentnosť</w:t>
      </w:r>
      <w:r w:rsidR="004F01E9">
        <w:rPr>
          <w:noProof/>
          <w:color w:val="000000"/>
        </w:rPr>
        <w:t xml:space="preserve"> a </w:t>
      </w:r>
      <w:r w:rsidRPr="004F01E9">
        <w:rPr>
          <w:noProof/>
          <w:color w:val="000000"/>
        </w:rPr>
        <w:t>porovnateľnosť zverejňovania informácií</w:t>
      </w:r>
      <w:r w:rsidR="004F01E9">
        <w:rPr>
          <w:noProof/>
          <w:color w:val="000000"/>
        </w:rPr>
        <w:t xml:space="preserve"> v </w:t>
      </w:r>
      <w:r w:rsidRPr="004F01E9">
        <w:rPr>
          <w:noProof/>
          <w:color w:val="000000"/>
        </w:rPr>
        <w:t>prospech všetkých účastníkov trhu. Centralizované zverejnenie orgánom EBA by sa uskutočnilo</w:t>
      </w:r>
      <w:r w:rsidR="004F01E9">
        <w:rPr>
          <w:noProof/>
          <w:color w:val="000000"/>
        </w:rPr>
        <w:t xml:space="preserve"> v </w:t>
      </w:r>
      <w:r w:rsidRPr="004F01E9">
        <w:rPr>
          <w:noProof/>
          <w:color w:val="000000"/>
        </w:rPr>
        <w:t>rovnakom čase, keď inštitúcie zverejňujú svoje účtovné závierky alebo správy, alebo čo najskôr po tom. Tento návrh je plne</w:t>
      </w:r>
      <w:r w:rsidR="004F01E9">
        <w:rPr>
          <w:noProof/>
          <w:color w:val="000000"/>
        </w:rPr>
        <w:t xml:space="preserve"> v </w:t>
      </w:r>
      <w:r w:rsidRPr="004F01E9">
        <w:rPr>
          <w:noProof/>
          <w:color w:val="000000"/>
        </w:rPr>
        <w:t>súlade</w:t>
      </w:r>
      <w:r w:rsidR="004F01E9">
        <w:rPr>
          <w:noProof/>
          <w:color w:val="000000"/>
        </w:rPr>
        <w:t xml:space="preserve"> s </w:t>
      </w:r>
      <w:r w:rsidRPr="004F01E9">
        <w:rPr>
          <w:noProof/>
        </w:rPr>
        <w:t>akčným plánom únie kapitálových trhov</w:t>
      </w:r>
      <w:r w:rsidR="004F01E9">
        <w:rPr>
          <w:noProof/>
          <w:color w:val="000000"/>
        </w:rPr>
        <w:t xml:space="preserve"> a </w:t>
      </w:r>
      <w:r w:rsidRPr="004F01E9">
        <w:rPr>
          <w:noProof/>
          <w:color w:val="000000"/>
        </w:rPr>
        <w:t>je prechodným krokom</w:t>
      </w:r>
      <w:r w:rsidR="004F01E9">
        <w:rPr>
          <w:noProof/>
          <w:color w:val="000000"/>
        </w:rPr>
        <w:t xml:space="preserve"> k </w:t>
      </w:r>
      <w:r w:rsidRPr="004F01E9">
        <w:rPr>
          <w:noProof/>
          <w:color w:val="000000"/>
        </w:rPr>
        <w:t>budúcemu rozvoju jednotného prístupového miesta</w:t>
      </w:r>
      <w:r w:rsidR="004F01E9">
        <w:rPr>
          <w:noProof/>
          <w:color w:val="000000"/>
        </w:rPr>
        <w:t xml:space="preserve"> v </w:t>
      </w:r>
      <w:r w:rsidRPr="004F01E9">
        <w:rPr>
          <w:noProof/>
          <w:color w:val="000000"/>
        </w:rPr>
        <w:t>celej EÚ</w:t>
      </w:r>
      <w:r w:rsidR="004F01E9">
        <w:rPr>
          <w:noProof/>
          <w:color w:val="000000"/>
        </w:rPr>
        <w:t xml:space="preserve"> k </w:t>
      </w:r>
      <w:r w:rsidRPr="004F01E9">
        <w:rPr>
          <w:noProof/>
          <w:color w:val="000000"/>
        </w:rPr>
        <w:t>informáciám</w:t>
      </w:r>
      <w:r w:rsidR="004F01E9">
        <w:rPr>
          <w:noProof/>
          <w:color w:val="000000"/>
        </w:rPr>
        <w:t xml:space="preserve"> o </w:t>
      </w:r>
      <w:r w:rsidRPr="004F01E9">
        <w:rPr>
          <w:noProof/>
          <w:color w:val="000000"/>
        </w:rPr>
        <w:t>finančných</w:t>
      </w:r>
      <w:r w:rsidR="004F01E9">
        <w:rPr>
          <w:noProof/>
          <w:color w:val="000000"/>
        </w:rPr>
        <w:t xml:space="preserve"> a </w:t>
      </w:r>
      <w:r w:rsidRPr="004F01E9">
        <w:rPr>
          <w:noProof/>
          <w:color w:val="000000"/>
        </w:rPr>
        <w:t>udržateľných investíciách spoločností.</w:t>
      </w:r>
    </w:p>
    <w:p w14:paraId="4D58773E" w14:textId="170F204B" w:rsidR="00806B81" w:rsidRPr="004F01E9" w:rsidRDefault="00E74DDF" w:rsidP="00E74DDF">
      <w:pPr>
        <w:rPr>
          <w:rFonts w:eastAsia="Times New Roman"/>
          <w:noProof/>
          <w:color w:val="000000"/>
        </w:rPr>
      </w:pPr>
      <w:r w:rsidRPr="004F01E9">
        <w:rPr>
          <w:noProof/>
          <w:color w:val="000000"/>
        </w:rPr>
        <w:t>Článok 434 sa mení</w:t>
      </w:r>
      <w:r w:rsidR="004F01E9">
        <w:rPr>
          <w:noProof/>
          <w:color w:val="000000"/>
        </w:rPr>
        <w:t xml:space="preserve"> s </w:t>
      </w:r>
      <w:r w:rsidRPr="004F01E9">
        <w:rPr>
          <w:noProof/>
          <w:color w:val="000000"/>
        </w:rPr>
        <w:t>cieľom znížiť administratívnu záťaž súvisiacu so zverejňovaním informácií, najmä pre malé</w:t>
      </w:r>
      <w:r w:rsidR="004F01E9">
        <w:rPr>
          <w:noProof/>
          <w:color w:val="000000"/>
        </w:rPr>
        <w:t xml:space="preserve"> a </w:t>
      </w:r>
      <w:r w:rsidRPr="004F01E9">
        <w:rPr>
          <w:noProof/>
          <w:color w:val="000000"/>
        </w:rPr>
        <w:t>menej zložité inštitúcie. Zdôvodnenie tohto ustanovenia sa opiera</w:t>
      </w:r>
      <w:r w:rsidR="004F01E9">
        <w:rPr>
          <w:noProof/>
          <w:color w:val="000000"/>
        </w:rPr>
        <w:t xml:space="preserve"> o </w:t>
      </w:r>
      <w:r w:rsidRPr="004F01E9">
        <w:rPr>
          <w:noProof/>
          <w:color w:val="000000"/>
        </w:rPr>
        <w:t>pokrok, ktorý orgán EBA</w:t>
      </w:r>
      <w:r w:rsidR="004F01E9">
        <w:rPr>
          <w:noProof/>
          <w:color w:val="000000"/>
        </w:rPr>
        <w:t xml:space="preserve"> a </w:t>
      </w:r>
      <w:r w:rsidRPr="004F01E9">
        <w:rPr>
          <w:noProof/>
          <w:color w:val="000000"/>
        </w:rPr>
        <w:t>príslušné orgány dosiahli pri vytváraní infraštruktúry, ktorá zhromažďuje podávanie správ na účely dohľadu (EUCLID). Návrhom sa posilňuje proporcionalita tým, že sa orgán EBA poveruje zverejňovaním informácií malých</w:t>
      </w:r>
      <w:r w:rsidR="004F01E9">
        <w:rPr>
          <w:noProof/>
          <w:color w:val="000000"/>
        </w:rPr>
        <w:t xml:space="preserve"> a </w:t>
      </w:r>
      <w:r w:rsidRPr="004F01E9">
        <w:rPr>
          <w:noProof/>
          <w:color w:val="000000"/>
        </w:rPr>
        <w:t>menej zložitých inštitúcií na základe informácií</w:t>
      </w:r>
      <w:r w:rsidR="004F01E9">
        <w:rPr>
          <w:noProof/>
          <w:color w:val="000000"/>
        </w:rPr>
        <w:t xml:space="preserve"> z </w:t>
      </w:r>
      <w:r w:rsidRPr="004F01E9">
        <w:rPr>
          <w:noProof/>
          <w:color w:val="000000"/>
        </w:rPr>
        <w:t>podávania správ na účely dohľadu. Týmto spôsobom sa od malých</w:t>
      </w:r>
      <w:r w:rsidR="004F01E9">
        <w:rPr>
          <w:noProof/>
          <w:color w:val="000000"/>
        </w:rPr>
        <w:t xml:space="preserve"> a </w:t>
      </w:r>
      <w:r w:rsidRPr="004F01E9">
        <w:rPr>
          <w:noProof/>
          <w:color w:val="000000"/>
        </w:rPr>
        <w:t>menej zložitých inštitúcií vyžaduje, aby podávali správy svojim orgánom dohľadu</w:t>
      </w:r>
      <w:r w:rsidR="004F01E9">
        <w:rPr>
          <w:noProof/>
          <w:color w:val="000000"/>
        </w:rPr>
        <w:t xml:space="preserve"> a </w:t>
      </w:r>
      <w:r w:rsidRPr="004F01E9">
        <w:rPr>
          <w:noProof/>
          <w:color w:val="000000"/>
        </w:rPr>
        <w:t>neuverejňovali príslušné zverejnenia informácií.</w:t>
      </w:r>
    </w:p>
    <w:p w14:paraId="50D81057" w14:textId="6503D84A" w:rsidR="00E74DDF" w:rsidRPr="004F01E9" w:rsidRDefault="00E74DDF" w:rsidP="00E74DDF">
      <w:pPr>
        <w:rPr>
          <w:noProof/>
        </w:rPr>
      </w:pPr>
      <w:r w:rsidRPr="004F01E9">
        <w:rPr>
          <w:noProof/>
        </w:rPr>
        <w:t>Články 438</w:t>
      </w:r>
      <w:r w:rsidR="004F01E9">
        <w:rPr>
          <w:noProof/>
        </w:rPr>
        <w:t xml:space="preserve"> a </w:t>
      </w:r>
      <w:r w:rsidRPr="004F01E9">
        <w:rPr>
          <w:noProof/>
        </w:rPr>
        <w:t>447 sa menia tak, aby obsahovali povinnosti zverejnenia, pokiaľ ide</w:t>
      </w:r>
      <w:r w:rsidR="004F01E9">
        <w:rPr>
          <w:noProof/>
        </w:rPr>
        <w:t xml:space="preserve"> o </w:t>
      </w:r>
      <w:r w:rsidRPr="004F01E9">
        <w:rPr>
          <w:noProof/>
        </w:rPr>
        <w:t>inštitúcie, ktoré používajú interný model,</w:t>
      </w:r>
      <w:r w:rsidR="004F01E9">
        <w:rPr>
          <w:noProof/>
        </w:rPr>
        <w:t xml:space="preserve"> a </w:t>
      </w:r>
      <w:r w:rsidRPr="004F01E9">
        <w:rPr>
          <w:noProof/>
        </w:rPr>
        <w:t>preto musia zverejňovať celkové hodnoty rizikovej expozície vypočítané podľa úplného štandardizovaného prístupu</w:t>
      </w:r>
      <w:r w:rsidR="004F01E9">
        <w:rPr>
          <w:noProof/>
        </w:rPr>
        <w:t xml:space="preserve"> v </w:t>
      </w:r>
      <w:r w:rsidRPr="004F01E9">
        <w:rPr>
          <w:noProof/>
        </w:rPr>
        <w:t>porovnaní so skutočnými rizikovo váženými aktívami na úrovni rizika,</w:t>
      </w:r>
      <w:r w:rsidR="004F01E9">
        <w:rPr>
          <w:noProof/>
        </w:rPr>
        <w:t xml:space="preserve"> a o </w:t>
      </w:r>
      <w:r w:rsidRPr="004F01E9">
        <w:rPr>
          <w:noProof/>
        </w:rPr>
        <w:t>kreditné riziko na úrovni triedy aktív</w:t>
      </w:r>
      <w:r w:rsidR="004F01E9">
        <w:rPr>
          <w:noProof/>
        </w:rPr>
        <w:t xml:space="preserve"> a </w:t>
      </w:r>
      <w:r w:rsidRPr="004F01E9">
        <w:rPr>
          <w:noProof/>
        </w:rPr>
        <w:t>podtriedy aktív. Tým sa uplatňuje príslušný štandard Bazilej III, ktorým sa vyžaduje, aby banky porovnávali modelované</w:t>
      </w:r>
      <w:r w:rsidR="004F01E9">
        <w:rPr>
          <w:noProof/>
        </w:rPr>
        <w:t xml:space="preserve"> a </w:t>
      </w:r>
      <w:r w:rsidRPr="004F01E9">
        <w:rPr>
          <w:noProof/>
        </w:rPr>
        <w:t>štandardizované rizikovo vážené aktíva na úrovni rizika. Podľa toho sa menia články 433a, 433b</w:t>
      </w:r>
      <w:r w:rsidR="004F01E9">
        <w:rPr>
          <w:noProof/>
        </w:rPr>
        <w:t xml:space="preserve"> a </w:t>
      </w:r>
      <w:r w:rsidRPr="004F01E9">
        <w:rPr>
          <w:noProof/>
        </w:rPr>
        <w:t>433c týkajúce sa frekvencie zverejňovania informácií.</w:t>
      </w:r>
    </w:p>
    <w:p w14:paraId="35880A22" w14:textId="658C2774" w:rsidR="00806B81" w:rsidRPr="004F01E9" w:rsidRDefault="00E74DDF" w:rsidP="00E74DDF">
      <w:pPr>
        <w:rPr>
          <w:noProof/>
        </w:rPr>
      </w:pPr>
      <w:r w:rsidRPr="004F01E9">
        <w:rPr>
          <w:noProof/>
          <w:color w:val="000000"/>
        </w:rPr>
        <w:t>Články 433b</w:t>
      </w:r>
      <w:r w:rsidR="004F01E9">
        <w:rPr>
          <w:noProof/>
          <w:color w:val="000000"/>
        </w:rPr>
        <w:t xml:space="preserve"> a </w:t>
      </w:r>
      <w:r w:rsidRPr="004F01E9">
        <w:rPr>
          <w:noProof/>
          <w:color w:val="000000"/>
        </w:rPr>
        <w:t>433c sa menia tak, aby obsahovali povinnosť pre malé</w:t>
      </w:r>
      <w:r w:rsidR="004F01E9">
        <w:rPr>
          <w:noProof/>
          <w:color w:val="000000"/>
        </w:rPr>
        <w:t xml:space="preserve"> a </w:t>
      </w:r>
      <w:r w:rsidRPr="004F01E9">
        <w:rPr>
          <w:noProof/>
          <w:color w:val="000000"/>
        </w:rPr>
        <w:t>menej zložité inštitúcie, ako aj pre ostatné nekótované inštitúcie, každoročne zverejňovať informácie</w:t>
      </w:r>
      <w:r w:rsidR="004F01E9">
        <w:rPr>
          <w:noProof/>
          <w:color w:val="000000"/>
        </w:rPr>
        <w:t xml:space="preserve"> o </w:t>
      </w:r>
      <w:r w:rsidRPr="004F01E9">
        <w:rPr>
          <w:noProof/>
          <w:color w:val="000000"/>
        </w:rPr>
        <w:t>výške</w:t>
      </w:r>
      <w:r w:rsidR="004F01E9">
        <w:rPr>
          <w:noProof/>
          <w:color w:val="000000"/>
        </w:rPr>
        <w:t xml:space="preserve"> a </w:t>
      </w:r>
      <w:r w:rsidRPr="004F01E9">
        <w:rPr>
          <w:noProof/>
          <w:color w:val="000000"/>
        </w:rPr>
        <w:t>kvalite splácaných expozícií, nesplácaných expozícií</w:t>
      </w:r>
      <w:r w:rsidR="004F01E9">
        <w:rPr>
          <w:noProof/>
          <w:color w:val="000000"/>
        </w:rPr>
        <w:t xml:space="preserve"> a </w:t>
      </w:r>
      <w:r w:rsidRPr="004F01E9">
        <w:rPr>
          <w:noProof/>
          <w:color w:val="000000"/>
        </w:rPr>
        <w:t>expozícií</w:t>
      </w:r>
      <w:r w:rsidR="004F01E9">
        <w:rPr>
          <w:noProof/>
          <w:color w:val="000000"/>
        </w:rPr>
        <w:t xml:space="preserve"> s </w:t>
      </w:r>
      <w:r w:rsidRPr="004F01E9">
        <w:rPr>
          <w:noProof/>
          <w:color w:val="000000"/>
        </w:rPr>
        <w:t>pozmenenou splatnosťou pre úvery, dlhové cenné papiere</w:t>
      </w:r>
      <w:r w:rsidR="004F01E9">
        <w:rPr>
          <w:noProof/>
          <w:color w:val="000000"/>
        </w:rPr>
        <w:t xml:space="preserve"> a </w:t>
      </w:r>
      <w:r w:rsidRPr="004F01E9">
        <w:rPr>
          <w:noProof/>
          <w:color w:val="000000"/>
        </w:rPr>
        <w:t>podsúvahové expozície</w:t>
      </w:r>
      <w:r w:rsidR="004F01E9">
        <w:rPr>
          <w:noProof/>
          <w:color w:val="000000"/>
        </w:rPr>
        <w:t xml:space="preserve"> a </w:t>
      </w:r>
      <w:r w:rsidRPr="004F01E9">
        <w:rPr>
          <w:noProof/>
          <w:color w:val="000000"/>
        </w:rPr>
        <w:t>informácie</w:t>
      </w:r>
      <w:r w:rsidR="004F01E9">
        <w:rPr>
          <w:noProof/>
          <w:color w:val="000000"/>
        </w:rPr>
        <w:t xml:space="preserve"> o </w:t>
      </w:r>
      <w:r w:rsidRPr="004F01E9">
        <w:rPr>
          <w:noProof/>
          <w:color w:val="000000"/>
        </w:rPr>
        <w:t>expozíciách po splatnosti.</w:t>
      </w:r>
      <w:r w:rsidRPr="004F01E9">
        <w:rPr>
          <w:noProof/>
          <w:color w:val="1F497D"/>
        </w:rPr>
        <w:t xml:space="preserve"> </w:t>
      </w:r>
      <w:r w:rsidRPr="004F01E9">
        <w:rPr>
          <w:noProof/>
        </w:rPr>
        <w:t>Navrhované zmeny sú</w:t>
      </w:r>
      <w:r w:rsidR="004F01E9">
        <w:rPr>
          <w:noProof/>
        </w:rPr>
        <w:t xml:space="preserve"> v </w:t>
      </w:r>
      <w:r w:rsidRPr="004F01E9">
        <w:rPr>
          <w:noProof/>
        </w:rPr>
        <w:t>súlade</w:t>
      </w:r>
      <w:r w:rsidR="004F01E9">
        <w:rPr>
          <w:noProof/>
        </w:rPr>
        <w:t xml:space="preserve"> s </w:t>
      </w:r>
      <w:r w:rsidRPr="004F01E9">
        <w:rPr>
          <w:noProof/>
        </w:rPr>
        <w:t>akčným plánom Rady</w:t>
      </w:r>
      <w:r w:rsidR="004F01E9">
        <w:rPr>
          <w:noProof/>
        </w:rPr>
        <w:t xml:space="preserve"> z </w:t>
      </w:r>
      <w:r w:rsidRPr="004F01E9">
        <w:rPr>
          <w:noProof/>
        </w:rPr>
        <w:t>roku 2017</w:t>
      </w:r>
      <w:r w:rsidR="004F01E9">
        <w:rPr>
          <w:noProof/>
        </w:rPr>
        <w:t xml:space="preserve"> o </w:t>
      </w:r>
      <w:r w:rsidRPr="004F01E9">
        <w:rPr>
          <w:noProof/>
        </w:rPr>
        <w:t>riešení nesplácaných úverov</w:t>
      </w:r>
      <w:r w:rsidRPr="004F01E9">
        <w:rPr>
          <w:rStyle w:val="FootnoteReference0"/>
          <w:noProof/>
        </w:rPr>
        <w:footnoteReference w:id="46"/>
      </w:r>
      <w:r w:rsidRPr="004F01E9">
        <w:rPr>
          <w:noProof/>
        </w:rPr>
        <w:t>,</w:t>
      </w:r>
      <w:r w:rsidR="004F01E9">
        <w:rPr>
          <w:noProof/>
        </w:rPr>
        <w:t xml:space="preserve"> v </w:t>
      </w:r>
      <w:r w:rsidRPr="004F01E9">
        <w:rPr>
          <w:noProof/>
        </w:rPr>
        <w:t>ktorom bol orgán EBA vyzvaný, aby do konca roku 2018 zaviedol rozšírené požiadavky na zverejnenie týkajúce sa kvality aktív</w:t>
      </w:r>
      <w:r w:rsidR="004F01E9">
        <w:rPr>
          <w:noProof/>
        </w:rPr>
        <w:t xml:space="preserve"> a </w:t>
      </w:r>
      <w:r w:rsidRPr="004F01E9">
        <w:rPr>
          <w:noProof/>
        </w:rPr>
        <w:t>nesplácaných úverov pre všetky inštitúcie. Okrem toho by zmeny zabezpečili úplný súlad</w:t>
      </w:r>
      <w:r w:rsidR="004F01E9">
        <w:rPr>
          <w:noProof/>
        </w:rPr>
        <w:t xml:space="preserve"> s </w:t>
      </w:r>
      <w:r w:rsidRPr="004F01E9">
        <w:rPr>
          <w:noProof/>
        </w:rPr>
        <w:t>oznámením</w:t>
      </w:r>
      <w:r w:rsidR="004F01E9">
        <w:rPr>
          <w:noProof/>
        </w:rPr>
        <w:t xml:space="preserve"> o </w:t>
      </w:r>
      <w:r w:rsidRPr="004F01E9">
        <w:rPr>
          <w:noProof/>
        </w:rPr>
        <w:t>„riešení nesplácaných úverov</w:t>
      </w:r>
      <w:r w:rsidR="004F01E9">
        <w:rPr>
          <w:noProof/>
        </w:rPr>
        <w:t xml:space="preserve"> v </w:t>
      </w:r>
      <w:r w:rsidRPr="004F01E9">
        <w:rPr>
          <w:noProof/>
        </w:rPr>
        <w:t>dôsledku pandémie ochorenia COVID-19“</w:t>
      </w:r>
      <w:r w:rsidRPr="004F01E9">
        <w:rPr>
          <w:rStyle w:val="FootnoteReference0"/>
          <w:noProof/>
        </w:rPr>
        <w:footnoteReference w:id="47"/>
      </w:r>
      <w:r w:rsidRPr="004F01E9">
        <w:rPr>
          <w:noProof/>
        </w:rPr>
        <w:t>. Rozšírenie požiadaviek na zverejnenie</w:t>
      </w:r>
      <w:r w:rsidR="004F01E9">
        <w:rPr>
          <w:noProof/>
        </w:rPr>
        <w:t xml:space="preserve"> v </w:t>
      </w:r>
      <w:r w:rsidRPr="004F01E9">
        <w:rPr>
          <w:noProof/>
        </w:rPr>
        <w:t>článku 442 písm. c)</w:t>
      </w:r>
      <w:r w:rsidR="004F01E9">
        <w:rPr>
          <w:noProof/>
        </w:rPr>
        <w:t xml:space="preserve"> a </w:t>
      </w:r>
      <w:r w:rsidRPr="004F01E9">
        <w:rPr>
          <w:noProof/>
        </w:rPr>
        <w:t>d) na malé</w:t>
      </w:r>
      <w:r w:rsidR="004F01E9">
        <w:rPr>
          <w:noProof/>
        </w:rPr>
        <w:t xml:space="preserve"> a </w:t>
      </w:r>
      <w:r w:rsidRPr="004F01E9">
        <w:rPr>
          <w:noProof/>
        </w:rPr>
        <w:t>menej zložité inštitúcie</w:t>
      </w:r>
      <w:r w:rsidR="004F01E9">
        <w:rPr>
          <w:noProof/>
        </w:rPr>
        <w:t xml:space="preserve"> a </w:t>
      </w:r>
      <w:r w:rsidRPr="004F01E9">
        <w:rPr>
          <w:noProof/>
        </w:rPr>
        <w:t>na iné nekótované inštitúcie nevytvára žiadnu dodatočnú záťaž pre tieto inštitúcie</w:t>
      </w:r>
      <w:r w:rsidR="004F01E9">
        <w:rPr>
          <w:noProof/>
        </w:rPr>
        <w:t xml:space="preserve"> z </w:t>
      </w:r>
      <w:r w:rsidRPr="004F01E9">
        <w:rPr>
          <w:noProof/>
        </w:rPr>
        <w:t>dvoch dôvodov. Po prvé, tieto inštitúcie už zverejňujú nesplácané úvery na základe usmernení orgánu EBA</w:t>
      </w:r>
      <w:r w:rsidR="004F01E9">
        <w:rPr>
          <w:noProof/>
        </w:rPr>
        <w:t xml:space="preserve"> o </w:t>
      </w:r>
      <w:r w:rsidRPr="004F01E9">
        <w:rPr>
          <w:noProof/>
        </w:rPr>
        <w:t>zverejňovaní nesplácaných úverov</w:t>
      </w:r>
      <w:r w:rsidRPr="004F01E9">
        <w:rPr>
          <w:rStyle w:val="FootnoteReference0"/>
          <w:noProof/>
        </w:rPr>
        <w:footnoteReference w:id="48"/>
      </w:r>
      <w:r w:rsidRPr="004F01E9">
        <w:rPr>
          <w:noProof/>
        </w:rPr>
        <w:t>, ktoré sa riadili akčným plánom Rady</w:t>
      </w:r>
      <w:r w:rsidR="004F01E9">
        <w:rPr>
          <w:noProof/>
        </w:rPr>
        <w:t xml:space="preserve"> z </w:t>
      </w:r>
      <w:r w:rsidRPr="004F01E9">
        <w:rPr>
          <w:noProof/>
        </w:rPr>
        <w:t>roku 2017</w:t>
      </w:r>
      <w:r w:rsidR="004F01E9">
        <w:rPr>
          <w:noProof/>
        </w:rPr>
        <w:t xml:space="preserve"> a v </w:t>
      </w:r>
      <w:r w:rsidRPr="004F01E9">
        <w:rPr>
          <w:noProof/>
        </w:rPr>
        <w:t>súčasnosti sú zohľadnené vo vykonávacom nariadení Komisie (EÚ) 2021/637</w:t>
      </w:r>
      <w:r w:rsidR="004F01E9">
        <w:rPr>
          <w:noProof/>
        </w:rPr>
        <w:t xml:space="preserve"> z </w:t>
      </w:r>
      <w:r w:rsidRPr="004F01E9">
        <w:rPr>
          <w:noProof/>
        </w:rPr>
        <w:t>15</w:t>
      </w:r>
      <w:r w:rsidR="004F01E9">
        <w:rPr>
          <w:noProof/>
        </w:rPr>
        <w:t>. marca</w:t>
      </w:r>
      <w:r w:rsidRPr="004F01E9">
        <w:rPr>
          <w:noProof/>
        </w:rPr>
        <w:t> 2021</w:t>
      </w:r>
      <w:r w:rsidRPr="004F01E9">
        <w:rPr>
          <w:rStyle w:val="FootnoteReference0"/>
          <w:noProof/>
        </w:rPr>
        <w:footnoteReference w:id="49"/>
      </w:r>
      <w:r w:rsidRPr="004F01E9">
        <w:rPr>
          <w:noProof/>
        </w:rPr>
        <w:t>. Po druhé, po zavedení centralizácie zverejňovania prostredníctvom webovej platformy orgánu EBA by sa informácie</w:t>
      </w:r>
      <w:r w:rsidR="004F01E9">
        <w:rPr>
          <w:noProof/>
        </w:rPr>
        <w:t xml:space="preserve"> o </w:t>
      </w:r>
      <w:r w:rsidRPr="004F01E9">
        <w:rPr>
          <w:noProof/>
        </w:rPr>
        <w:t>nesplácaných úveroch mohli získať</w:t>
      </w:r>
      <w:r w:rsidR="004F01E9">
        <w:rPr>
          <w:noProof/>
        </w:rPr>
        <w:t xml:space="preserve"> z </w:t>
      </w:r>
      <w:r w:rsidRPr="004F01E9">
        <w:rPr>
          <w:noProof/>
        </w:rPr>
        <w:t>podávania správ na účely dohľadu, čím by sa znížila záťaž pre všetky inštitúcie</w:t>
      </w:r>
      <w:r w:rsidR="004F01E9">
        <w:rPr>
          <w:noProof/>
        </w:rPr>
        <w:t xml:space="preserve"> a </w:t>
      </w:r>
      <w:r w:rsidRPr="004F01E9">
        <w:rPr>
          <w:noProof/>
        </w:rPr>
        <w:t>odstránila sa akákoľvek záťaž pre malé</w:t>
      </w:r>
      <w:r w:rsidR="004F01E9">
        <w:rPr>
          <w:noProof/>
        </w:rPr>
        <w:t xml:space="preserve"> a </w:t>
      </w:r>
      <w:r w:rsidRPr="004F01E9">
        <w:rPr>
          <w:noProof/>
        </w:rPr>
        <w:t>menej zložité inštitúcie.</w:t>
      </w:r>
    </w:p>
    <w:p w14:paraId="3C6C02E4" w14:textId="3BE73B94" w:rsidR="00E74DDF" w:rsidRPr="004F01E9" w:rsidRDefault="00E74DDF" w:rsidP="00E74DDF">
      <w:pPr>
        <w:rPr>
          <w:rFonts w:eastAsia="Times New Roman"/>
          <w:noProof/>
          <w:color w:val="000000"/>
        </w:rPr>
      </w:pPr>
      <w:r w:rsidRPr="004F01E9">
        <w:rPr>
          <w:noProof/>
          <w:color w:val="000000"/>
        </w:rPr>
        <w:t>Článkami 445</w:t>
      </w:r>
      <w:r w:rsidR="004F01E9">
        <w:rPr>
          <w:noProof/>
          <w:color w:val="000000"/>
        </w:rPr>
        <w:t xml:space="preserve"> a </w:t>
      </w:r>
      <w:r w:rsidRPr="004F01E9">
        <w:rPr>
          <w:noProof/>
          <w:color w:val="000000"/>
        </w:rPr>
        <w:t>455 sa zavádzajú nové požiadavky na zverejňovanie informácií, ktoré musia dodržiavať inštitúcie počítajúce svoje požiadavky na vlastné zdroje pre trhové riziko pomocou jedného zo štandardizovaných prístupov, respektíve prístupu A-IMA.</w:t>
      </w:r>
    </w:p>
    <w:p w14:paraId="16B7C2DE" w14:textId="600A7AB4" w:rsidR="00E74DDF" w:rsidRPr="004F01E9" w:rsidRDefault="00E74DDF" w:rsidP="00E74DDF">
      <w:pPr>
        <w:rPr>
          <w:rFonts w:eastAsia="Times New Roman"/>
          <w:noProof/>
          <w:color w:val="000000"/>
        </w:rPr>
      </w:pPr>
      <w:r w:rsidRPr="004F01E9">
        <w:rPr>
          <w:noProof/>
        </w:rPr>
        <w:t xml:space="preserve">Vkladá sa </w:t>
      </w:r>
      <w:r w:rsidRPr="004F01E9">
        <w:rPr>
          <w:noProof/>
          <w:color w:val="000000"/>
        </w:rPr>
        <w:t>článok </w:t>
      </w:r>
      <w:r w:rsidRPr="004F01E9">
        <w:rPr>
          <w:noProof/>
        </w:rPr>
        <w:t>445a</w:t>
      </w:r>
      <w:r w:rsidR="004F01E9">
        <w:rPr>
          <w:noProof/>
        </w:rPr>
        <w:t xml:space="preserve"> s </w:t>
      </w:r>
      <w:r w:rsidRPr="004F01E9">
        <w:rPr>
          <w:noProof/>
        </w:rPr>
        <w:t>cieľom zaviesť nové požiadavky na zverejňovanie informácií</w:t>
      </w:r>
      <w:r w:rsidR="004F01E9">
        <w:rPr>
          <w:noProof/>
        </w:rPr>
        <w:t xml:space="preserve"> o </w:t>
      </w:r>
      <w:r w:rsidRPr="004F01E9">
        <w:rPr>
          <w:noProof/>
        </w:rPr>
        <w:t>požiadavkách na vlastné zdroje pre riziko úpravy ocenenia pohľadávok.</w:t>
      </w:r>
    </w:p>
    <w:p w14:paraId="22BB708E" w14:textId="0C8715F8" w:rsidR="00E74DDF" w:rsidRPr="006C666F" w:rsidRDefault="00E74DDF" w:rsidP="00E74DDF">
      <w:pPr>
        <w:rPr>
          <w:rFonts w:eastAsia="Times New Roman"/>
          <w:noProof/>
          <w:color w:val="000000"/>
          <w:spacing w:val="-4"/>
        </w:rPr>
      </w:pPr>
      <w:r w:rsidRPr="006C666F">
        <w:rPr>
          <w:noProof/>
          <w:spacing w:val="-4"/>
        </w:rPr>
        <w:t>Článok 446 sa mení</w:t>
      </w:r>
      <w:r w:rsidR="004F01E9" w:rsidRPr="006C666F">
        <w:rPr>
          <w:noProof/>
          <w:spacing w:val="-4"/>
        </w:rPr>
        <w:t xml:space="preserve"> s </w:t>
      </w:r>
      <w:r w:rsidRPr="006C666F">
        <w:rPr>
          <w:noProof/>
          <w:spacing w:val="-4"/>
        </w:rPr>
        <w:t>cieľom zaviesť revidované požiadavky na zverejnenie pre operačné riziko.</w:t>
      </w:r>
    </w:p>
    <w:p w14:paraId="0BD9AA04" w14:textId="1DCAFB8A" w:rsidR="00E74DDF" w:rsidRPr="004F01E9" w:rsidRDefault="00E74DDF" w:rsidP="00E74DDF">
      <w:pPr>
        <w:rPr>
          <w:rFonts w:eastAsia="Times New Roman"/>
          <w:noProof/>
          <w:color w:val="000000"/>
        </w:rPr>
      </w:pPr>
      <w:r w:rsidRPr="004F01E9">
        <w:rPr>
          <w:noProof/>
        </w:rPr>
        <w:t>V oblasti zverejňovania sa už</w:t>
      </w:r>
      <w:r w:rsidR="004F01E9">
        <w:rPr>
          <w:noProof/>
        </w:rPr>
        <w:t xml:space="preserve"> v </w:t>
      </w:r>
      <w:r w:rsidRPr="004F01E9">
        <w:rPr>
          <w:noProof/>
        </w:rPr>
        <w:t>nariadení CRR II zaviedli ustanovenia zamerané na zlepšenie zachytávania rizík ESG.</w:t>
      </w:r>
      <w:r w:rsidR="004F01E9">
        <w:rPr>
          <w:noProof/>
        </w:rPr>
        <w:t xml:space="preserve"> V </w:t>
      </w:r>
      <w:r w:rsidRPr="004F01E9">
        <w:rPr>
          <w:noProof/>
        </w:rPr>
        <w:t>tejto súvislosti začnú veľké inštitúcie</w:t>
      </w:r>
      <w:r w:rsidR="004F01E9">
        <w:rPr>
          <w:noProof/>
        </w:rPr>
        <w:t xml:space="preserve"> s </w:t>
      </w:r>
      <w:r w:rsidRPr="004F01E9">
        <w:rPr>
          <w:noProof/>
        </w:rPr>
        <w:t>verejne kótovanými emisiami zverejňovať informácie</w:t>
      </w:r>
      <w:r w:rsidR="004F01E9">
        <w:rPr>
          <w:noProof/>
        </w:rPr>
        <w:t xml:space="preserve"> o </w:t>
      </w:r>
      <w:r w:rsidRPr="004F01E9">
        <w:rPr>
          <w:noProof/>
        </w:rPr>
        <w:t>rizikách ESG od júna 2022. Okamžitá účinnosť týchto ustanovení je však obmedzená, keďže veľký počet inštitúcií zostáva mimo rozsahu pôsobnosti pravidiel zverejňovania informácií</w:t>
      </w:r>
      <w:r w:rsidR="004F01E9">
        <w:rPr>
          <w:noProof/>
        </w:rPr>
        <w:t xml:space="preserve"> v </w:t>
      </w:r>
      <w:r w:rsidRPr="004F01E9">
        <w:rPr>
          <w:noProof/>
        </w:rPr>
        <w:t>nariadení CRR. Článok 449a sa preto mení tak, aby sa požiadavky súvisiace so zverejňovaním rizík ESG rozšírili na všetky inštitúcie pri rešpektovaní zásady proporcionality.</w:t>
      </w:r>
    </w:p>
    <w:p w14:paraId="385C184C" w14:textId="77777777" w:rsidR="00E74DDF" w:rsidRPr="004F01E9" w:rsidRDefault="00E74DDF" w:rsidP="00E74DDF">
      <w:pPr>
        <w:rPr>
          <w:i/>
          <w:noProof/>
          <w:color w:val="000000"/>
        </w:rPr>
      </w:pPr>
      <w:r w:rsidRPr="004F01E9">
        <w:rPr>
          <w:i/>
          <w:noProof/>
          <w:color w:val="000000"/>
        </w:rPr>
        <w:t>Splnomocnenia pre orgán EBA</w:t>
      </w:r>
    </w:p>
    <w:p w14:paraId="0C9EC26C" w14:textId="1512A4B5" w:rsidR="00806B81" w:rsidRPr="004F01E9" w:rsidRDefault="00E74DDF" w:rsidP="003E3AD9">
      <w:pPr>
        <w:spacing w:after="240"/>
        <w:rPr>
          <w:rFonts w:eastAsia="Times New Roman"/>
          <w:noProof/>
          <w:color w:val="000000"/>
        </w:rPr>
      </w:pPr>
      <w:r w:rsidRPr="004F01E9">
        <w:rPr>
          <w:noProof/>
          <w:color w:val="000000"/>
        </w:rPr>
        <w:t>Návrhom sa rozširuje rozsah súčasného mandátu orgánu EBA podľa článku 434a. Navrhovanými zmenami článku 434a sa vyžaduje, aby okrem zavedenia</w:t>
      </w:r>
      <w:r w:rsidR="004F01E9">
        <w:rPr>
          <w:noProof/>
          <w:color w:val="000000"/>
        </w:rPr>
        <w:t xml:space="preserve"> a </w:t>
      </w:r>
      <w:r w:rsidRPr="004F01E9">
        <w:rPr>
          <w:noProof/>
          <w:color w:val="000000"/>
        </w:rPr>
        <w:t>vývoja jednotných formátov zverejňovania informácií orgán EBA zaviedol politiku týkajúcu sa opätovného zverejňovania informácií</w:t>
      </w:r>
      <w:r w:rsidR="004F01E9">
        <w:rPr>
          <w:noProof/>
          <w:color w:val="000000"/>
        </w:rPr>
        <w:t xml:space="preserve"> a </w:t>
      </w:r>
      <w:r w:rsidRPr="004F01E9">
        <w:rPr>
          <w:noProof/>
          <w:color w:val="000000"/>
        </w:rPr>
        <w:t>potrebných IT riešení na centralizáciu zverejnení.</w:t>
      </w:r>
    </w:p>
    <w:p w14:paraId="0BEE606E" w14:textId="0B850065" w:rsidR="005C5A3C" w:rsidRPr="004F01E9" w:rsidRDefault="005C5A3C" w:rsidP="005C5A3C">
      <w:pPr>
        <w:rPr>
          <w:rFonts w:eastAsia="Times New Roman"/>
          <w:b/>
          <w:noProof/>
          <w:color w:val="000000"/>
        </w:rPr>
      </w:pPr>
      <w:r w:rsidRPr="004F01E9">
        <w:rPr>
          <w:b/>
          <w:noProof/>
          <w:color w:val="000000"/>
        </w:rPr>
        <w:t>Vymedzenie pojmu „malá</w:t>
      </w:r>
      <w:r w:rsidR="004F01E9">
        <w:rPr>
          <w:b/>
          <w:noProof/>
          <w:color w:val="000000"/>
        </w:rPr>
        <w:t xml:space="preserve"> a </w:t>
      </w:r>
      <w:r w:rsidRPr="004F01E9">
        <w:rPr>
          <w:b/>
          <w:noProof/>
          <w:color w:val="000000"/>
        </w:rPr>
        <w:t>menej zložitá inštitúcia“</w:t>
      </w:r>
    </w:p>
    <w:p w14:paraId="7D93294F" w14:textId="57930683" w:rsidR="005C5A3C" w:rsidRPr="006C666F" w:rsidRDefault="005C5A3C" w:rsidP="00C67562">
      <w:pPr>
        <w:spacing w:after="240"/>
        <w:rPr>
          <w:rFonts w:eastAsia="Times New Roman"/>
          <w:noProof/>
          <w:color w:val="000000"/>
          <w:spacing w:val="-4"/>
        </w:rPr>
      </w:pPr>
      <w:r w:rsidRPr="006C666F">
        <w:rPr>
          <w:noProof/>
          <w:color w:val="000000"/>
          <w:spacing w:val="-4"/>
        </w:rPr>
        <w:t>Návrhom sa mení vymedzenie pojmu „malá</w:t>
      </w:r>
      <w:r w:rsidR="004F01E9" w:rsidRPr="006C666F">
        <w:rPr>
          <w:noProof/>
          <w:color w:val="000000"/>
          <w:spacing w:val="-4"/>
        </w:rPr>
        <w:t xml:space="preserve"> a </w:t>
      </w:r>
      <w:r w:rsidRPr="006C666F">
        <w:rPr>
          <w:noProof/>
          <w:color w:val="000000"/>
          <w:spacing w:val="-4"/>
        </w:rPr>
        <w:t>menej zložitá inštitúcia“ uvedená</w:t>
      </w:r>
      <w:r w:rsidR="004F01E9" w:rsidRPr="006C666F">
        <w:rPr>
          <w:noProof/>
          <w:color w:val="000000"/>
          <w:spacing w:val="-4"/>
        </w:rPr>
        <w:t xml:space="preserve"> v </w:t>
      </w:r>
      <w:r w:rsidRPr="006C666F">
        <w:rPr>
          <w:noProof/>
          <w:color w:val="000000"/>
          <w:spacing w:val="-4"/>
        </w:rPr>
        <w:t>článku 4 ods. 1 bode 145 tým, že inštitúciám sa umožní vylúčiť derivátové transakcie uzatvorené</w:t>
      </w:r>
      <w:r w:rsidR="004F01E9" w:rsidRPr="006C666F">
        <w:rPr>
          <w:noProof/>
          <w:color w:val="000000"/>
          <w:spacing w:val="-4"/>
        </w:rPr>
        <w:t xml:space="preserve"> s </w:t>
      </w:r>
      <w:r w:rsidRPr="006C666F">
        <w:rPr>
          <w:noProof/>
          <w:color w:val="000000"/>
          <w:spacing w:val="-4"/>
        </w:rPr>
        <w:t>nefinančnými klientmi</w:t>
      </w:r>
      <w:r w:rsidR="004F01E9" w:rsidRPr="006C666F">
        <w:rPr>
          <w:noProof/>
          <w:color w:val="000000"/>
          <w:spacing w:val="-4"/>
        </w:rPr>
        <w:t xml:space="preserve"> a </w:t>
      </w:r>
      <w:r w:rsidRPr="006C666F">
        <w:rPr>
          <w:noProof/>
          <w:color w:val="000000"/>
          <w:spacing w:val="-4"/>
        </w:rPr>
        <w:t>derivátové transakcie používané na hedžing týchto transakcií</w:t>
      </w:r>
      <w:r w:rsidR="004F01E9" w:rsidRPr="006C666F">
        <w:rPr>
          <w:noProof/>
          <w:color w:val="000000"/>
          <w:spacing w:val="-4"/>
        </w:rPr>
        <w:t xml:space="preserve"> v </w:t>
      </w:r>
      <w:r w:rsidRPr="006C666F">
        <w:rPr>
          <w:noProof/>
          <w:color w:val="000000"/>
          <w:spacing w:val="-4"/>
        </w:rPr>
        <w:t>rámci limitu.</w:t>
      </w:r>
    </w:p>
    <w:p w14:paraId="2F15B013" w14:textId="78600DC8" w:rsidR="00E74DDF" w:rsidRPr="004F01E9" w:rsidRDefault="00E74DDF" w:rsidP="00E74DDF">
      <w:pPr>
        <w:rPr>
          <w:rFonts w:eastAsia="Times New Roman"/>
          <w:b/>
          <w:noProof/>
          <w:color w:val="000000"/>
        </w:rPr>
      </w:pPr>
      <w:r w:rsidRPr="004F01E9">
        <w:rPr>
          <w:b/>
          <w:noProof/>
          <w:color w:val="000000"/>
        </w:rPr>
        <w:t>PKI</w:t>
      </w:r>
      <w:r w:rsidR="004F01E9">
        <w:rPr>
          <w:b/>
          <w:noProof/>
          <w:color w:val="000000"/>
        </w:rPr>
        <w:t xml:space="preserve"> s </w:t>
      </w:r>
      <w:r w:rsidRPr="004F01E9">
        <w:rPr>
          <w:b/>
          <w:noProof/>
          <w:color w:val="000000"/>
        </w:rPr>
        <w:t>podkladovým portfóliom štátnych dlhopisov eurozóny</w:t>
      </w:r>
    </w:p>
    <w:p w14:paraId="6E109F98" w14:textId="2505B017" w:rsidR="00E74DDF" w:rsidRPr="006C666F" w:rsidRDefault="00E74DDF" w:rsidP="00E74DDF">
      <w:pPr>
        <w:rPr>
          <w:rFonts w:eastAsia="Times New Roman"/>
          <w:noProof/>
          <w:color w:val="000000"/>
          <w:spacing w:val="-4"/>
        </w:rPr>
      </w:pPr>
      <w:r w:rsidRPr="006C666F">
        <w:rPr>
          <w:noProof/>
          <w:color w:val="000000"/>
          <w:spacing w:val="-4"/>
        </w:rPr>
        <w:t>V článku 506a nariadenia (EÚ) 2021/558 bola Komisia poverená, aby do 31</w:t>
      </w:r>
      <w:r w:rsidR="004F01E9" w:rsidRPr="006C666F">
        <w:rPr>
          <w:noProof/>
          <w:color w:val="000000"/>
          <w:spacing w:val="-4"/>
        </w:rPr>
        <w:t>. decembra</w:t>
      </w:r>
      <w:r w:rsidRPr="006C666F">
        <w:rPr>
          <w:noProof/>
          <w:color w:val="000000"/>
          <w:spacing w:val="-4"/>
        </w:rPr>
        <w:t> 2021 zverejnila správu,</w:t>
      </w:r>
      <w:r w:rsidR="004F01E9" w:rsidRPr="006C666F">
        <w:rPr>
          <w:noProof/>
          <w:color w:val="000000"/>
          <w:spacing w:val="-4"/>
        </w:rPr>
        <w:t xml:space="preserve"> v </w:t>
      </w:r>
      <w:r w:rsidRPr="006C666F">
        <w:rPr>
          <w:noProof/>
          <w:color w:val="000000"/>
          <w:spacing w:val="-4"/>
        </w:rPr>
        <w:t>ktorej posúdi, či je potrebné vykonať zmeny</w:t>
      </w:r>
      <w:r w:rsidR="004F01E9" w:rsidRPr="006C666F">
        <w:rPr>
          <w:noProof/>
          <w:color w:val="000000"/>
          <w:spacing w:val="-4"/>
        </w:rPr>
        <w:t xml:space="preserve"> v </w:t>
      </w:r>
      <w:r w:rsidRPr="006C666F">
        <w:rPr>
          <w:noProof/>
          <w:color w:val="000000"/>
          <w:spacing w:val="-4"/>
        </w:rPr>
        <w:t>regulačnom rámci „s cieľom podporiť trh</w:t>
      </w:r>
      <w:r w:rsidR="004F01E9" w:rsidRPr="006C666F">
        <w:rPr>
          <w:noProof/>
          <w:color w:val="000000"/>
          <w:spacing w:val="-4"/>
        </w:rPr>
        <w:t xml:space="preserve"> s </w:t>
      </w:r>
      <w:r w:rsidRPr="006C666F">
        <w:rPr>
          <w:noProof/>
          <w:color w:val="000000"/>
          <w:spacing w:val="-4"/>
        </w:rPr>
        <w:t>expozíciami</w:t>
      </w:r>
      <w:r w:rsidR="004F01E9" w:rsidRPr="006C666F">
        <w:rPr>
          <w:noProof/>
          <w:color w:val="000000"/>
          <w:spacing w:val="-4"/>
        </w:rPr>
        <w:t xml:space="preserve"> a </w:t>
      </w:r>
      <w:r w:rsidRPr="006C666F">
        <w:rPr>
          <w:noProof/>
          <w:color w:val="000000"/>
          <w:spacing w:val="-4"/>
        </w:rPr>
        <w:t>ich nákup bankami vo forme podielov alebo akcií</w:t>
      </w:r>
      <w:r w:rsidR="004F01E9" w:rsidRPr="006C666F">
        <w:rPr>
          <w:noProof/>
          <w:color w:val="000000"/>
          <w:spacing w:val="-4"/>
        </w:rPr>
        <w:t xml:space="preserve"> v </w:t>
      </w:r>
      <w:r w:rsidRPr="006C666F">
        <w:rPr>
          <w:noProof/>
          <w:color w:val="000000"/>
          <w:spacing w:val="-4"/>
        </w:rPr>
        <w:t>PKI</w:t>
      </w:r>
      <w:r w:rsidR="004F01E9" w:rsidRPr="006C666F">
        <w:rPr>
          <w:noProof/>
          <w:color w:val="000000"/>
          <w:spacing w:val="-4"/>
        </w:rPr>
        <w:t xml:space="preserve"> s </w:t>
      </w:r>
      <w:r w:rsidRPr="006C666F">
        <w:rPr>
          <w:noProof/>
          <w:color w:val="000000"/>
          <w:spacing w:val="-4"/>
        </w:rPr>
        <w:t>podkladovým portfóliom pozostávajúcim výlučne zo štátnych dlhopisov členských štátov, ktorých menou je euro,</w:t>
      </w:r>
      <w:r w:rsidR="004F01E9" w:rsidRPr="006C666F">
        <w:rPr>
          <w:noProof/>
          <w:color w:val="000000"/>
          <w:spacing w:val="-4"/>
        </w:rPr>
        <w:t xml:space="preserve"> v </w:t>
      </w:r>
      <w:r w:rsidRPr="006C666F">
        <w:rPr>
          <w:noProof/>
          <w:color w:val="000000"/>
          <w:spacing w:val="-4"/>
        </w:rPr>
        <w:t>ktorom sa relatívna váha dlhopisov každého členského štátu</w:t>
      </w:r>
      <w:r w:rsidR="004F01E9" w:rsidRPr="006C666F">
        <w:rPr>
          <w:noProof/>
          <w:color w:val="000000"/>
          <w:spacing w:val="-4"/>
        </w:rPr>
        <w:t xml:space="preserve"> v </w:t>
      </w:r>
      <w:r w:rsidRPr="006C666F">
        <w:rPr>
          <w:noProof/>
          <w:color w:val="000000"/>
          <w:spacing w:val="-4"/>
        </w:rPr>
        <w:t>celkovom portfóliu PKI rovná relatívnej váhe príspevku každého členského štátu ku kapitálu ECB“.</w:t>
      </w:r>
    </w:p>
    <w:p w14:paraId="0EC76A21" w14:textId="1E46A903" w:rsidR="00E74DDF" w:rsidRPr="004F01E9" w:rsidRDefault="00E74DDF" w:rsidP="00E74DDF">
      <w:pPr>
        <w:rPr>
          <w:rFonts w:eastAsia="Times New Roman"/>
          <w:noProof/>
          <w:color w:val="000000"/>
        </w:rPr>
      </w:pPr>
      <w:r w:rsidRPr="004F01E9">
        <w:rPr>
          <w:noProof/>
          <w:color w:val="000000"/>
        </w:rPr>
        <w:t>V článku 132 ods. 4 nariadenia CRR sa ustanovuje „prístup založený na prezretí podkladových expozícií“,</w:t>
      </w:r>
      <w:r w:rsidR="004F01E9">
        <w:rPr>
          <w:noProof/>
          <w:color w:val="000000"/>
        </w:rPr>
        <w:t xml:space="preserve"> v </w:t>
      </w:r>
      <w:r w:rsidRPr="004F01E9">
        <w:rPr>
          <w:noProof/>
          <w:color w:val="000000"/>
        </w:rPr>
        <w:t>rámci ktorého môže investorská inštitúcia „preskúmať podkladové expozície [PKI]</w:t>
      </w:r>
      <w:r w:rsidR="004F01E9">
        <w:rPr>
          <w:noProof/>
          <w:color w:val="000000"/>
        </w:rPr>
        <w:t xml:space="preserve"> s </w:t>
      </w:r>
      <w:r w:rsidRPr="004F01E9">
        <w:rPr>
          <w:noProof/>
          <w:color w:val="000000"/>
        </w:rPr>
        <w:t>cieľom vypočítať priemernú rizikovú váhu pre svoje expozície podielov na majetku</w:t>
      </w:r>
      <w:r w:rsidR="004F01E9">
        <w:rPr>
          <w:noProof/>
          <w:color w:val="000000"/>
        </w:rPr>
        <w:t xml:space="preserve"> v </w:t>
      </w:r>
      <w:r w:rsidRPr="004F01E9">
        <w:rPr>
          <w:noProof/>
          <w:color w:val="000000"/>
        </w:rPr>
        <w:t>PKI“</w:t>
      </w:r>
      <w:r w:rsidR="004F01E9">
        <w:rPr>
          <w:noProof/>
          <w:color w:val="000000"/>
        </w:rPr>
        <w:t xml:space="preserve"> v </w:t>
      </w:r>
      <w:r w:rsidRPr="004F01E9">
        <w:rPr>
          <w:noProof/>
          <w:color w:val="000000"/>
        </w:rPr>
        <w:t>súlade</w:t>
      </w:r>
      <w:r w:rsidR="004F01E9">
        <w:rPr>
          <w:noProof/>
          <w:color w:val="000000"/>
        </w:rPr>
        <w:t xml:space="preserve"> s </w:t>
      </w:r>
      <w:r w:rsidRPr="004F01E9">
        <w:rPr>
          <w:noProof/>
          <w:color w:val="000000"/>
        </w:rPr>
        <w:t>metódami stanovenými</w:t>
      </w:r>
      <w:r w:rsidR="004F01E9">
        <w:rPr>
          <w:noProof/>
          <w:color w:val="000000"/>
        </w:rPr>
        <w:t xml:space="preserve"> v </w:t>
      </w:r>
      <w:r w:rsidRPr="004F01E9">
        <w:rPr>
          <w:noProof/>
          <w:color w:val="000000"/>
        </w:rPr>
        <w:t>nariadení CRR. Toto je podmienené tým, že investorská inštitúcia si je „vedomá“ podkladových expozícií PKI.</w:t>
      </w:r>
    </w:p>
    <w:p w14:paraId="133F3AA6" w14:textId="40E4F4C5" w:rsidR="00E74DDF" w:rsidRPr="006C666F" w:rsidRDefault="00E74DDF" w:rsidP="00E74DDF">
      <w:pPr>
        <w:rPr>
          <w:rFonts w:eastAsia="Times New Roman"/>
          <w:noProof/>
          <w:color w:val="000000"/>
          <w:spacing w:val="-4"/>
        </w:rPr>
      </w:pPr>
      <w:r w:rsidRPr="006C666F">
        <w:rPr>
          <w:noProof/>
          <w:color w:val="000000"/>
          <w:spacing w:val="-4"/>
        </w:rPr>
        <w:t>Súčasný regulačný režim teda umožňuje investorským inštitúciám uplatňovať na podiely na majetku</w:t>
      </w:r>
      <w:r w:rsidR="004F01E9" w:rsidRPr="006C666F">
        <w:rPr>
          <w:noProof/>
          <w:color w:val="000000"/>
          <w:spacing w:val="-4"/>
        </w:rPr>
        <w:t xml:space="preserve"> v </w:t>
      </w:r>
      <w:r w:rsidRPr="006C666F">
        <w:rPr>
          <w:noProof/>
          <w:color w:val="000000"/>
          <w:spacing w:val="-4"/>
        </w:rPr>
        <w:t>PKI rovnaké rizikové váhy, aké by sa uplatňovali na priame investície do štátnych dlhopisov členských štátov. Keďže takéto vystavenia voči štátnym dlhopisom už priťahujú zaobchádzanie</w:t>
      </w:r>
      <w:r w:rsidR="004F01E9" w:rsidRPr="006C666F">
        <w:rPr>
          <w:noProof/>
          <w:color w:val="000000"/>
          <w:spacing w:val="-4"/>
        </w:rPr>
        <w:t xml:space="preserve"> s </w:t>
      </w:r>
      <w:r w:rsidRPr="006C666F">
        <w:rPr>
          <w:noProof/>
          <w:color w:val="000000"/>
          <w:spacing w:val="-4"/>
        </w:rPr>
        <w:t>výhodným regulatórnym kapitálom, nezdá sa potrebné vykonávať zmeny</w:t>
      </w:r>
      <w:r w:rsidR="004F01E9" w:rsidRPr="006C666F">
        <w:rPr>
          <w:noProof/>
          <w:color w:val="000000"/>
          <w:spacing w:val="-4"/>
        </w:rPr>
        <w:t xml:space="preserve"> v </w:t>
      </w:r>
      <w:r w:rsidRPr="006C666F">
        <w:rPr>
          <w:noProof/>
          <w:color w:val="000000"/>
          <w:spacing w:val="-4"/>
        </w:rPr>
        <w:t>prudenciálnom rámci na podporu trhu pre PKI</w:t>
      </w:r>
      <w:r w:rsidR="004F01E9" w:rsidRPr="006C666F">
        <w:rPr>
          <w:noProof/>
          <w:color w:val="000000"/>
          <w:spacing w:val="-4"/>
        </w:rPr>
        <w:t xml:space="preserve"> s </w:t>
      </w:r>
      <w:r w:rsidRPr="006C666F">
        <w:rPr>
          <w:noProof/>
          <w:color w:val="000000"/>
          <w:spacing w:val="-4"/>
        </w:rPr>
        <w:t>týmto typom podkladových expozícií, alebo najmä na prispôsobenie osobitnej štruktúry uvedenej</w:t>
      </w:r>
      <w:r w:rsidR="004F01E9" w:rsidRPr="006C666F">
        <w:rPr>
          <w:noProof/>
          <w:color w:val="000000"/>
          <w:spacing w:val="-4"/>
        </w:rPr>
        <w:t xml:space="preserve"> v </w:t>
      </w:r>
      <w:r w:rsidRPr="006C666F">
        <w:rPr>
          <w:noProof/>
          <w:color w:val="000000"/>
          <w:spacing w:val="-4"/>
        </w:rPr>
        <w:t>článku 506a nariadenia (EÚ) 2021/558.</w:t>
      </w:r>
    </w:p>
    <w:p w14:paraId="7BB9B0CB" w14:textId="2084E353" w:rsidR="00E74DDF" w:rsidRPr="004F01E9" w:rsidRDefault="00E74DDF" w:rsidP="00C67562">
      <w:pPr>
        <w:spacing w:after="240"/>
        <w:rPr>
          <w:rFonts w:eastAsia="Times New Roman"/>
          <w:noProof/>
          <w:color w:val="000000"/>
        </w:rPr>
      </w:pPr>
      <w:r w:rsidRPr="004F01E9">
        <w:rPr>
          <w:noProof/>
          <w:color w:val="000000"/>
        </w:rPr>
        <w:t>Okrem toho sa popri nedávnej</w:t>
      </w:r>
      <w:r w:rsidR="004F01E9">
        <w:rPr>
          <w:noProof/>
          <w:color w:val="000000"/>
        </w:rPr>
        <w:t xml:space="preserve"> a </w:t>
      </w:r>
      <w:r w:rsidRPr="004F01E9">
        <w:rPr>
          <w:noProof/>
          <w:color w:val="000000"/>
        </w:rPr>
        <w:t>plánovanej emisii dlhopisov</w:t>
      </w:r>
      <w:r w:rsidR="004F01E9">
        <w:rPr>
          <w:noProof/>
          <w:color w:val="000000"/>
        </w:rPr>
        <w:t xml:space="preserve"> v </w:t>
      </w:r>
      <w:r w:rsidRPr="004F01E9">
        <w:rPr>
          <w:noProof/>
          <w:color w:val="000000"/>
        </w:rPr>
        <w:t>rámci programu NextGenerationEU zdá, že už neexistuje bezprostredná potreba vytvorenia uvedenej štruktúry.</w:t>
      </w:r>
    </w:p>
    <w:p w14:paraId="1DC04852" w14:textId="69047AC0" w:rsidR="00E74DDF" w:rsidRPr="004F01E9" w:rsidRDefault="00E74DDF" w:rsidP="00E74DDF">
      <w:pPr>
        <w:rPr>
          <w:rFonts w:eastAsia="Times New Roman"/>
          <w:b/>
          <w:noProof/>
          <w:color w:val="000000"/>
        </w:rPr>
      </w:pPr>
      <w:r w:rsidRPr="004F01E9">
        <w:rPr>
          <w:b/>
          <w:noProof/>
          <w:color w:val="000000"/>
        </w:rPr>
        <w:t>Dodatočné právomoci</w:t>
      </w:r>
      <w:r w:rsidR="004F01E9">
        <w:rPr>
          <w:b/>
          <w:noProof/>
          <w:color w:val="000000"/>
        </w:rPr>
        <w:t xml:space="preserve"> v </w:t>
      </w:r>
      <w:r w:rsidRPr="004F01E9">
        <w:rPr>
          <w:b/>
          <w:noProof/>
          <w:color w:val="000000"/>
        </w:rPr>
        <w:t>oblasti dohľadu na zavedenie obmedzení rozdeľovania výnosov zo strany inštitúcií</w:t>
      </w:r>
    </w:p>
    <w:p w14:paraId="74A32CE8" w14:textId="6D229931" w:rsidR="00E74DDF" w:rsidRPr="004F01E9" w:rsidRDefault="00E74DDF" w:rsidP="00E74DDF">
      <w:pPr>
        <w:pBdr>
          <w:top w:val="nil"/>
          <w:left w:val="nil"/>
          <w:bottom w:val="nil"/>
          <w:right w:val="nil"/>
          <w:between w:val="nil"/>
          <w:bar w:val="nil"/>
        </w:pBdr>
        <w:rPr>
          <w:rFonts w:eastAsia="Times New Roman"/>
          <w:noProof/>
          <w:color w:val="000000"/>
        </w:rPr>
      </w:pPr>
      <w:r w:rsidRPr="004F01E9">
        <w:rPr>
          <w:noProof/>
          <w:color w:val="000000"/>
        </w:rPr>
        <w:t>Podľa článku 518b sa od Komisie vyžaduje, aby do 31</w:t>
      </w:r>
      <w:r w:rsidR="004F01E9">
        <w:rPr>
          <w:noProof/>
          <w:color w:val="000000"/>
        </w:rPr>
        <w:t>. decembra</w:t>
      </w:r>
      <w:r w:rsidRPr="004F01E9">
        <w:rPr>
          <w:noProof/>
          <w:color w:val="000000"/>
        </w:rPr>
        <w:t> 2021 podala Európskemu parlamentu</w:t>
      </w:r>
      <w:r w:rsidR="004F01E9">
        <w:rPr>
          <w:noProof/>
          <w:color w:val="000000"/>
        </w:rPr>
        <w:t xml:space="preserve"> a </w:t>
      </w:r>
      <w:r w:rsidRPr="004F01E9">
        <w:rPr>
          <w:noProof/>
          <w:color w:val="000000"/>
        </w:rPr>
        <w:t>Rade správu</w:t>
      </w:r>
      <w:r w:rsidR="004F01E9">
        <w:rPr>
          <w:noProof/>
          <w:color w:val="000000"/>
        </w:rPr>
        <w:t xml:space="preserve"> o </w:t>
      </w:r>
      <w:r w:rsidRPr="004F01E9">
        <w:rPr>
          <w:noProof/>
          <w:color w:val="000000"/>
        </w:rPr>
        <w:t>tom, či výnimočné okolnosti, ktoré vyvolávajú vážne hospodárske narušenie riadneho fungovania</w:t>
      </w:r>
      <w:r w:rsidR="004F01E9">
        <w:rPr>
          <w:noProof/>
          <w:color w:val="000000"/>
        </w:rPr>
        <w:t xml:space="preserve"> a </w:t>
      </w:r>
      <w:r w:rsidRPr="004F01E9">
        <w:rPr>
          <w:noProof/>
          <w:color w:val="000000"/>
        </w:rPr>
        <w:t>integrity finančných trhov, oprávňujú počas takýchto období udeľovanie dodatočných záväzných právomocí príslušným orgánom zaviesť obmedzenia rozdeľovania výnosov zo strany inštitúcií.</w:t>
      </w:r>
    </w:p>
    <w:p w14:paraId="32FEA62F" w14:textId="19C77828" w:rsidR="00E74DDF" w:rsidRPr="004F01E9" w:rsidRDefault="00E74DDF" w:rsidP="00E74DDF">
      <w:pPr>
        <w:pBdr>
          <w:top w:val="nil"/>
          <w:left w:val="nil"/>
          <w:bottom w:val="nil"/>
          <w:right w:val="nil"/>
          <w:between w:val="nil"/>
          <w:bar w:val="nil"/>
        </w:pBdr>
        <w:rPr>
          <w:rFonts w:eastAsia="Times New Roman"/>
          <w:noProof/>
          <w:color w:val="000000"/>
        </w:rPr>
      </w:pPr>
      <w:r w:rsidRPr="004F01E9">
        <w:rPr>
          <w:noProof/>
          <w:color w:val="000000"/>
        </w:rPr>
        <w:t>V reakcii na ekonomické</w:t>
      </w:r>
      <w:r w:rsidR="004F01E9">
        <w:rPr>
          <w:noProof/>
          <w:color w:val="000000"/>
        </w:rPr>
        <w:t xml:space="preserve"> a </w:t>
      </w:r>
      <w:r w:rsidRPr="004F01E9">
        <w:rPr>
          <w:noProof/>
          <w:color w:val="000000"/>
        </w:rPr>
        <w:t>finančné problémy spôsobené pandémiou ochorenia COVID-19 Komisia, orgán EBA, ECB, výbor ESRB</w:t>
      </w:r>
      <w:r w:rsidR="004F01E9">
        <w:rPr>
          <w:noProof/>
          <w:color w:val="000000"/>
        </w:rPr>
        <w:t xml:space="preserve"> a </w:t>
      </w:r>
      <w:r w:rsidRPr="004F01E9">
        <w:rPr>
          <w:noProof/>
          <w:color w:val="000000"/>
        </w:rPr>
        <w:t>väčšina príslušných vnútroštátnych orgánov naliehali na inštitúcie, aby sa zdržali rozdeľovania dividend alebo spätného odkupovania akcií</w:t>
      </w:r>
      <w:r w:rsidR="004F01E9">
        <w:rPr>
          <w:noProof/>
          <w:color w:val="000000"/>
        </w:rPr>
        <w:t xml:space="preserve"> a </w:t>
      </w:r>
      <w:r w:rsidRPr="004F01E9">
        <w:rPr>
          <w:noProof/>
          <w:color w:val="000000"/>
        </w:rPr>
        <w:t>aby prijali konzervatívny prístup</w:t>
      </w:r>
      <w:r w:rsidR="004F01E9">
        <w:rPr>
          <w:noProof/>
          <w:color w:val="000000"/>
        </w:rPr>
        <w:t xml:space="preserve"> k </w:t>
      </w:r>
      <w:r w:rsidRPr="004F01E9">
        <w:rPr>
          <w:noProof/>
          <w:color w:val="000000"/>
        </w:rPr>
        <w:t>pohyblivým odmenám. Zachovanie kapitálových zdrojov na podporu reálnej ekonomiky</w:t>
      </w:r>
      <w:r w:rsidR="004F01E9">
        <w:rPr>
          <w:noProof/>
          <w:color w:val="000000"/>
        </w:rPr>
        <w:t xml:space="preserve"> a </w:t>
      </w:r>
      <w:r w:rsidRPr="004F01E9">
        <w:rPr>
          <w:noProof/>
          <w:color w:val="000000"/>
        </w:rPr>
        <w:t>absorbovanie strát bolo spoločným cieľom počas výnimočných okolností</w:t>
      </w:r>
      <w:r w:rsidR="004F01E9">
        <w:rPr>
          <w:noProof/>
          <w:color w:val="000000"/>
        </w:rPr>
        <w:t xml:space="preserve"> v </w:t>
      </w:r>
      <w:r w:rsidRPr="004F01E9">
        <w:rPr>
          <w:noProof/>
          <w:color w:val="000000"/>
        </w:rPr>
        <w:t>rokoch 2020</w:t>
      </w:r>
      <w:r w:rsidR="004F01E9">
        <w:rPr>
          <w:noProof/>
          <w:color w:val="000000"/>
        </w:rPr>
        <w:t xml:space="preserve"> a </w:t>
      </w:r>
      <w:r w:rsidRPr="004F01E9">
        <w:rPr>
          <w:noProof/>
          <w:color w:val="000000"/>
        </w:rPr>
        <w:t>2021.</w:t>
      </w:r>
    </w:p>
    <w:p w14:paraId="314B19F5" w14:textId="2E2EDE1F" w:rsidR="00806B81" w:rsidRPr="004F01E9" w:rsidRDefault="00E74DDF" w:rsidP="00E74DDF">
      <w:pPr>
        <w:pBdr>
          <w:top w:val="nil"/>
          <w:left w:val="nil"/>
          <w:bottom w:val="nil"/>
          <w:right w:val="nil"/>
          <w:between w:val="nil"/>
          <w:bar w:val="nil"/>
        </w:pBdr>
        <w:rPr>
          <w:rFonts w:eastAsia="Times New Roman"/>
          <w:noProof/>
          <w:color w:val="000000"/>
        </w:rPr>
      </w:pPr>
      <w:r w:rsidRPr="004F01E9">
        <w:rPr>
          <w:noProof/>
          <w:color w:val="000000"/>
        </w:rPr>
        <w:t>Výsledkom odporúčaní vydaných orgánmi vo všetkých členských štátoch</w:t>
      </w:r>
      <w:r w:rsidR="004F01E9">
        <w:rPr>
          <w:noProof/>
          <w:color w:val="000000"/>
        </w:rPr>
        <w:t xml:space="preserve"> v </w:t>
      </w:r>
      <w:r w:rsidRPr="004F01E9">
        <w:rPr>
          <w:noProof/>
          <w:color w:val="000000"/>
        </w:rPr>
        <w:t>súlade</w:t>
      </w:r>
      <w:r w:rsidR="004F01E9">
        <w:rPr>
          <w:noProof/>
          <w:color w:val="000000"/>
        </w:rPr>
        <w:t xml:space="preserve"> s </w:t>
      </w:r>
      <w:r w:rsidRPr="004F01E9">
        <w:rPr>
          <w:noProof/>
          <w:color w:val="000000"/>
        </w:rPr>
        <w:t>dohodnutými postojmi EÚ boli požadované účinky</w:t>
      </w:r>
      <w:r w:rsidR="004F01E9">
        <w:rPr>
          <w:noProof/>
          <w:color w:val="000000"/>
        </w:rPr>
        <w:t xml:space="preserve"> a </w:t>
      </w:r>
      <w:r w:rsidRPr="004F01E9">
        <w:rPr>
          <w:noProof/>
          <w:color w:val="000000"/>
        </w:rPr>
        <w:t>nasmerovanie kapitálových zdrojov spôsobmi, ktoré bankovému systému pomáhajú podporovať reálnu ekonomiku, ako sa uvádza</w:t>
      </w:r>
      <w:r w:rsidR="004F01E9">
        <w:rPr>
          <w:noProof/>
          <w:color w:val="000000"/>
        </w:rPr>
        <w:t xml:space="preserve"> v </w:t>
      </w:r>
      <w:r w:rsidRPr="004F01E9">
        <w:rPr>
          <w:noProof/>
          <w:color w:val="000000"/>
        </w:rPr>
        <w:t>nedávnej analýze ECB</w:t>
      </w:r>
      <w:r w:rsidR="004F01E9">
        <w:rPr>
          <w:noProof/>
          <w:color w:val="000000"/>
        </w:rPr>
        <w:t xml:space="preserve"> a </w:t>
      </w:r>
      <w:r w:rsidRPr="004F01E9">
        <w:rPr>
          <w:noProof/>
          <w:color w:val="000000"/>
        </w:rPr>
        <w:t>inventarizácii EBA.</w:t>
      </w:r>
      <w:r w:rsidR="004F01E9">
        <w:rPr>
          <w:noProof/>
          <w:color w:val="000000"/>
        </w:rPr>
        <w:t xml:space="preserve"> V </w:t>
      </w:r>
      <w:r w:rsidRPr="004F01E9">
        <w:rPr>
          <w:noProof/>
          <w:color w:val="000000"/>
        </w:rPr>
        <w:t>dôsledku toho na otázku, či sa domnievajú, že budú potrebovať dodatočné právomoci</w:t>
      </w:r>
      <w:r w:rsidR="004F01E9">
        <w:rPr>
          <w:noProof/>
          <w:color w:val="000000"/>
        </w:rPr>
        <w:t xml:space="preserve"> v </w:t>
      </w:r>
      <w:r w:rsidRPr="004F01E9">
        <w:rPr>
          <w:noProof/>
          <w:color w:val="000000"/>
        </w:rPr>
        <w:t>oblasti obmedzení rozdeľovania výnosov, príslušné orgány zastávali názor, že právomoci, ktoré majú</w:t>
      </w:r>
      <w:r w:rsidR="004F01E9">
        <w:rPr>
          <w:noProof/>
          <w:color w:val="000000"/>
        </w:rPr>
        <w:t xml:space="preserve"> v </w:t>
      </w:r>
      <w:r w:rsidRPr="004F01E9">
        <w:rPr>
          <w:noProof/>
          <w:color w:val="000000"/>
        </w:rPr>
        <w:t>súčasnosti</w:t>
      </w:r>
      <w:r w:rsidR="004F01E9">
        <w:rPr>
          <w:noProof/>
          <w:color w:val="000000"/>
        </w:rPr>
        <w:t xml:space="preserve"> k </w:t>
      </w:r>
      <w:r w:rsidRPr="004F01E9">
        <w:rPr>
          <w:noProof/>
          <w:color w:val="000000"/>
        </w:rPr>
        <w:t>dispozícii, sú dostatočné.</w:t>
      </w:r>
    </w:p>
    <w:p w14:paraId="49EE0A9C" w14:textId="04C7CCDA" w:rsidR="00E74DDF" w:rsidRPr="004F01E9" w:rsidRDefault="00E74DDF" w:rsidP="00C67562">
      <w:pPr>
        <w:pBdr>
          <w:top w:val="nil"/>
          <w:left w:val="nil"/>
          <w:bottom w:val="nil"/>
          <w:right w:val="nil"/>
          <w:between w:val="nil"/>
          <w:bar w:val="nil"/>
        </w:pBdr>
        <w:spacing w:after="240"/>
        <w:rPr>
          <w:rFonts w:eastAsia="Times New Roman"/>
          <w:noProof/>
          <w:color w:val="000000"/>
        </w:rPr>
      </w:pPr>
      <w:r w:rsidRPr="004F01E9">
        <w:rPr>
          <w:noProof/>
          <w:color w:val="000000"/>
        </w:rPr>
        <w:t>V súčasnej situácii preto Komisia nevidí potrebu udeliť príslušným orgánom dodatočné právomoci</w:t>
      </w:r>
      <w:r w:rsidR="004F01E9">
        <w:rPr>
          <w:noProof/>
          <w:color w:val="000000"/>
        </w:rPr>
        <w:t xml:space="preserve"> v </w:t>
      </w:r>
      <w:r w:rsidRPr="004F01E9">
        <w:rPr>
          <w:noProof/>
          <w:color w:val="000000"/>
        </w:rPr>
        <w:t>oblasti dohľadu, aby za výnimočných okolností uložili obmedzenia rozdeľovania výnosov zo strany inštitúcií. Otázka makroprudenciálneho dohľadu</w:t>
      </w:r>
      <w:r w:rsidR="004F01E9">
        <w:rPr>
          <w:noProof/>
          <w:color w:val="000000"/>
        </w:rPr>
        <w:t xml:space="preserve"> a </w:t>
      </w:r>
      <w:r w:rsidRPr="004F01E9">
        <w:rPr>
          <w:noProof/>
          <w:color w:val="000000"/>
        </w:rPr>
        <w:t>koordinácie takýchto obmedzení za výnimočných okolností</w:t>
      </w:r>
      <w:r w:rsidR="004F01E9">
        <w:rPr>
          <w:noProof/>
          <w:color w:val="000000"/>
        </w:rPr>
        <w:t xml:space="preserve"> v </w:t>
      </w:r>
      <w:r w:rsidRPr="004F01E9">
        <w:rPr>
          <w:noProof/>
          <w:color w:val="000000"/>
        </w:rPr>
        <w:t>budúcnosti sa bude posudzovať</w:t>
      </w:r>
      <w:r w:rsidR="004F01E9">
        <w:rPr>
          <w:noProof/>
          <w:color w:val="000000"/>
        </w:rPr>
        <w:t xml:space="preserve"> v </w:t>
      </w:r>
      <w:r w:rsidRPr="004F01E9">
        <w:rPr>
          <w:noProof/>
          <w:color w:val="000000"/>
        </w:rPr>
        <w:t>nadchádzajúcom preskúmaní makroprudenciálneho rámca.</w:t>
      </w:r>
    </w:p>
    <w:p w14:paraId="4C19E700" w14:textId="22BAA3CC" w:rsidR="00544C54" w:rsidRPr="004F01E9" w:rsidRDefault="00544C54" w:rsidP="00544C54">
      <w:pPr>
        <w:rPr>
          <w:rFonts w:eastAsia="Times New Roman"/>
          <w:b/>
          <w:noProof/>
          <w:color w:val="000000"/>
        </w:rPr>
      </w:pPr>
      <w:r w:rsidRPr="004F01E9">
        <w:rPr>
          <w:b/>
          <w:noProof/>
          <w:color w:val="000000"/>
        </w:rPr>
        <w:t>Prudenciálne zaobchádzanie</w:t>
      </w:r>
      <w:r w:rsidR="004F01E9">
        <w:rPr>
          <w:b/>
          <w:noProof/>
          <w:color w:val="000000"/>
        </w:rPr>
        <w:t xml:space="preserve"> s </w:t>
      </w:r>
      <w:r w:rsidRPr="004F01E9">
        <w:rPr>
          <w:b/>
          <w:noProof/>
          <w:color w:val="000000"/>
        </w:rPr>
        <w:t>kryptoaktívami</w:t>
      </w:r>
    </w:p>
    <w:p w14:paraId="18BFCD29" w14:textId="150DB07B" w:rsidR="00544C54" w:rsidRPr="004F01E9" w:rsidRDefault="00D0213F" w:rsidP="00544C54">
      <w:pPr>
        <w:pBdr>
          <w:top w:val="nil"/>
          <w:left w:val="nil"/>
          <w:bottom w:val="nil"/>
          <w:right w:val="nil"/>
          <w:between w:val="nil"/>
          <w:bar w:val="nil"/>
        </w:pBdr>
        <w:rPr>
          <w:noProof/>
        </w:rPr>
      </w:pPr>
      <w:r w:rsidRPr="004F01E9">
        <w:rPr>
          <w:noProof/>
          <w:color w:val="000000"/>
        </w:rPr>
        <w:t>Finančné trhy boli</w:t>
      </w:r>
      <w:r w:rsidR="004F01E9">
        <w:rPr>
          <w:noProof/>
          <w:color w:val="000000"/>
        </w:rPr>
        <w:t xml:space="preserve"> v </w:t>
      </w:r>
      <w:r w:rsidRPr="004F01E9">
        <w:rPr>
          <w:noProof/>
          <w:color w:val="000000"/>
        </w:rPr>
        <w:t>posledných rokoch svedkami rýchleho nárastu aktivity súvisiacej</w:t>
      </w:r>
      <w:r w:rsidR="004F01E9">
        <w:rPr>
          <w:noProof/>
          <w:color w:val="000000"/>
        </w:rPr>
        <w:t xml:space="preserve"> s </w:t>
      </w:r>
      <w:r w:rsidRPr="004F01E9">
        <w:rPr>
          <w:noProof/>
          <w:color w:val="000000"/>
        </w:rPr>
        <w:t>takzvanými kryptoaktívami</w:t>
      </w:r>
      <w:r w:rsidR="004F01E9">
        <w:rPr>
          <w:noProof/>
          <w:color w:val="000000"/>
        </w:rPr>
        <w:t xml:space="preserve"> a </w:t>
      </w:r>
      <w:r w:rsidRPr="004F01E9">
        <w:rPr>
          <w:noProof/>
          <w:color w:val="000000"/>
        </w:rPr>
        <w:t>progresívne rastúceho zapojenia inštitúcií do tejto aktivity. Hoci kryptoaktíva majú určité vlastnosti spoločné</w:t>
      </w:r>
      <w:r w:rsidR="004F01E9">
        <w:rPr>
          <w:noProof/>
          <w:color w:val="000000"/>
        </w:rPr>
        <w:t xml:space="preserve"> s </w:t>
      </w:r>
      <w:r w:rsidRPr="004F01E9">
        <w:rPr>
          <w:noProof/>
          <w:color w:val="000000"/>
        </w:rPr>
        <w:t>tradičnejšími finančnými aktívami, niektoré</w:t>
      </w:r>
      <w:r w:rsidR="004F01E9">
        <w:rPr>
          <w:noProof/>
          <w:color w:val="000000"/>
        </w:rPr>
        <w:t xml:space="preserve"> z </w:t>
      </w:r>
      <w:r w:rsidRPr="004F01E9">
        <w:rPr>
          <w:noProof/>
          <w:color w:val="000000"/>
        </w:rPr>
        <w:t>ich vlastností sú výrazne odlišné.</w:t>
      </w:r>
      <w:r w:rsidR="004F01E9">
        <w:rPr>
          <w:noProof/>
          <w:color w:val="000000"/>
        </w:rPr>
        <w:t xml:space="preserve"> V </w:t>
      </w:r>
      <w:r w:rsidRPr="004F01E9">
        <w:rPr>
          <w:noProof/>
          <w:color w:val="000000"/>
        </w:rPr>
        <w:t>dôsledku toho nie je jasné, či by existujúce prudenciálne pravidlá primerane zachytávali riziká spojené</w:t>
      </w:r>
      <w:r w:rsidR="004F01E9">
        <w:rPr>
          <w:noProof/>
          <w:color w:val="000000"/>
        </w:rPr>
        <w:t xml:space="preserve"> s </w:t>
      </w:r>
      <w:r w:rsidRPr="004F01E9">
        <w:rPr>
          <w:noProof/>
          <w:color w:val="000000"/>
        </w:rPr>
        <w:t>týmito aktívami. Keďže výbor BCBS len nedávno začal skúmať otázku, či by sa pre tieto aktíva malo vyvinúť osobitné zaobchádzanie,</w:t>
      </w:r>
      <w:r w:rsidR="004F01E9">
        <w:rPr>
          <w:noProof/>
          <w:color w:val="000000"/>
        </w:rPr>
        <w:t xml:space="preserve"> a </w:t>
      </w:r>
      <w:r w:rsidRPr="004F01E9">
        <w:rPr>
          <w:noProof/>
          <w:color w:val="000000"/>
        </w:rPr>
        <w:t>ak áno,</w:t>
      </w:r>
      <w:r w:rsidR="004F01E9">
        <w:rPr>
          <w:noProof/>
          <w:color w:val="000000"/>
        </w:rPr>
        <w:t xml:space="preserve"> o </w:t>
      </w:r>
      <w:r w:rsidRPr="004F01E9">
        <w:rPr>
          <w:noProof/>
          <w:color w:val="000000"/>
        </w:rPr>
        <w:t>aké zaobchádzanie by malo ísť, do tohto návrhu nebolo možné zahrnúť konkrétne opatrenia na túto tému. Namiesto toho sa od Komisie žiada, aby preskúmala, či bude potrebné osobitné prudenciálne zaobchádzanie</w:t>
      </w:r>
      <w:r w:rsidR="004F01E9">
        <w:rPr>
          <w:noProof/>
          <w:color w:val="000000"/>
        </w:rPr>
        <w:t xml:space="preserve"> s </w:t>
      </w:r>
      <w:r w:rsidRPr="004F01E9">
        <w:rPr>
          <w:noProof/>
          <w:color w:val="000000"/>
        </w:rPr>
        <w:t>kryptoaktívami,</w:t>
      </w:r>
      <w:r w:rsidR="004F01E9">
        <w:rPr>
          <w:noProof/>
          <w:color w:val="000000"/>
        </w:rPr>
        <w:t xml:space="preserve"> a </w:t>
      </w:r>
      <w:r w:rsidRPr="004F01E9">
        <w:rPr>
          <w:noProof/>
          <w:color w:val="000000"/>
        </w:rPr>
        <w:t>aby</w:t>
      </w:r>
      <w:r w:rsidR="004F01E9">
        <w:rPr>
          <w:noProof/>
          <w:color w:val="000000"/>
        </w:rPr>
        <w:t xml:space="preserve"> v </w:t>
      </w:r>
      <w:r w:rsidRPr="004F01E9">
        <w:rPr>
          <w:noProof/>
          <w:color w:val="000000"/>
        </w:rPr>
        <w:t>prípade potreby prijala legislatívny návrh na tento účel,</w:t>
      </w:r>
      <w:r w:rsidR="004F01E9">
        <w:rPr>
          <w:noProof/>
          <w:color w:val="000000"/>
        </w:rPr>
        <w:t xml:space="preserve"> s </w:t>
      </w:r>
      <w:r w:rsidRPr="004F01E9">
        <w:rPr>
          <w:noProof/>
          <w:color w:val="000000"/>
        </w:rPr>
        <w:t>prihliadnutím na prácu, ktorú vykonal výbor BCBS.</w:t>
      </w:r>
    </w:p>
    <w:p w14:paraId="112E4F6D" w14:textId="77777777" w:rsidR="00845AE8" w:rsidRPr="004F01E9" w:rsidRDefault="00845AE8" w:rsidP="008A4012">
      <w:pPr>
        <w:rPr>
          <w:noProof/>
        </w:rPr>
        <w:sectPr w:rsidR="00845AE8" w:rsidRPr="004F01E9" w:rsidSect="00132299">
          <w:footerReference w:type="default" r:id="rId9"/>
          <w:footerReference w:type="first" r:id="rId10"/>
          <w:pgSz w:w="11907" w:h="16839"/>
          <w:pgMar w:top="1134" w:right="1417" w:bottom="1134" w:left="1417" w:header="709" w:footer="709" w:gutter="0"/>
          <w:cols w:space="708"/>
          <w:docGrid w:linePitch="360"/>
        </w:sectPr>
      </w:pPr>
    </w:p>
    <w:p w14:paraId="6DF4636F" w14:textId="250690FF" w:rsidR="00205CA2" w:rsidRPr="004F01E9" w:rsidRDefault="0099724B" w:rsidP="0099724B">
      <w:pPr>
        <w:pStyle w:val="Rfrenceinterinstitutionnelle"/>
        <w:rPr>
          <w:noProof/>
        </w:rPr>
      </w:pPr>
      <w:r w:rsidRPr="0099724B">
        <w:t>2021/0342 (COD)</w:t>
      </w:r>
    </w:p>
    <w:p w14:paraId="38A9BE8C" w14:textId="17FFE61D" w:rsidR="00845AE8" w:rsidRPr="004F01E9" w:rsidRDefault="0074420B" w:rsidP="0074420B">
      <w:pPr>
        <w:pStyle w:val="Statut"/>
        <w:rPr>
          <w:noProof/>
        </w:rPr>
      </w:pPr>
      <w:r w:rsidRPr="0074420B">
        <w:rPr>
          <w:noProof/>
        </w:rPr>
        <w:t>Návrh</w:t>
      </w:r>
    </w:p>
    <w:p w14:paraId="62FFD24E" w14:textId="5BE6E93A" w:rsidR="00845AE8" w:rsidRPr="004F01E9" w:rsidRDefault="0074420B" w:rsidP="0074420B">
      <w:pPr>
        <w:pStyle w:val="Typedudocument"/>
        <w:rPr>
          <w:noProof/>
        </w:rPr>
      </w:pPr>
      <w:r w:rsidRPr="0074420B">
        <w:rPr>
          <w:noProof/>
        </w:rPr>
        <w:t>NARIADENIE EURÓPSKEHO PARLAMENTU A RADY,</w:t>
      </w:r>
    </w:p>
    <w:p w14:paraId="0B33E530" w14:textId="6580FA1B" w:rsidR="00845AE8" w:rsidRPr="004F01E9" w:rsidRDefault="0074420B" w:rsidP="0074420B">
      <w:pPr>
        <w:pStyle w:val="Titreobjet"/>
        <w:rPr>
          <w:noProof/>
        </w:rPr>
      </w:pPr>
      <w:r w:rsidRPr="0074420B">
        <w:rPr>
          <w:noProof/>
        </w:rPr>
        <w:t>ktorým sa mení nariadenie (EÚ) č. 575/2013, pokiaľ ide o požiadavky na kreditné riziko, riziko úpravy ocenenia pohľadávky, operačné riziko, trhové riziko a spodnú hranicu pre výstupné hodnoty</w:t>
      </w:r>
    </w:p>
    <w:p w14:paraId="60EC16A9" w14:textId="7C3BC490" w:rsidR="00845AE8" w:rsidRPr="004F01E9" w:rsidRDefault="0074420B" w:rsidP="0074420B">
      <w:pPr>
        <w:pStyle w:val="IntrtEEE"/>
        <w:rPr>
          <w:noProof/>
        </w:rPr>
      </w:pPr>
      <w:r w:rsidRPr="0074420B">
        <w:rPr>
          <w:noProof/>
        </w:rPr>
        <w:t>(Text s významom pre EHP)</w:t>
      </w:r>
    </w:p>
    <w:p w14:paraId="5C2E4263" w14:textId="77777777" w:rsidR="00845AE8" w:rsidRPr="004F01E9" w:rsidRDefault="00845AE8" w:rsidP="008A4012">
      <w:pPr>
        <w:pStyle w:val="Institutionquiagit"/>
        <w:rPr>
          <w:noProof/>
        </w:rPr>
      </w:pPr>
      <w:r w:rsidRPr="004F01E9">
        <w:rPr>
          <w:noProof/>
        </w:rPr>
        <w:t>EURÓPSKY PARLAMENT A RADA EURÓPSKEJ ÚNIE,</w:t>
      </w:r>
    </w:p>
    <w:p w14:paraId="75B5A681" w14:textId="624B8485" w:rsidR="00845AE8" w:rsidRPr="004F01E9" w:rsidRDefault="00845AE8" w:rsidP="008A4012">
      <w:pPr>
        <w:rPr>
          <w:noProof/>
        </w:rPr>
      </w:pPr>
      <w:r w:rsidRPr="004F01E9">
        <w:rPr>
          <w:noProof/>
        </w:rPr>
        <w:t>so zreteľom na Zmluvu</w:t>
      </w:r>
      <w:r w:rsidR="004F01E9">
        <w:rPr>
          <w:noProof/>
        </w:rPr>
        <w:t xml:space="preserve"> o </w:t>
      </w:r>
      <w:r w:rsidRPr="004F01E9">
        <w:rPr>
          <w:noProof/>
        </w:rPr>
        <w:t>fungovaní Európskej únie,</w:t>
      </w:r>
      <w:r w:rsidR="004F01E9">
        <w:rPr>
          <w:noProof/>
        </w:rPr>
        <w:t xml:space="preserve"> a </w:t>
      </w:r>
      <w:r w:rsidRPr="004F01E9">
        <w:rPr>
          <w:noProof/>
        </w:rPr>
        <w:t>najmä na jej článok 114,</w:t>
      </w:r>
    </w:p>
    <w:p w14:paraId="54C19B32" w14:textId="77777777" w:rsidR="00845AE8" w:rsidRPr="004F01E9" w:rsidRDefault="00845AE8" w:rsidP="008A4012">
      <w:pPr>
        <w:rPr>
          <w:noProof/>
        </w:rPr>
      </w:pPr>
      <w:r w:rsidRPr="004F01E9">
        <w:rPr>
          <w:noProof/>
        </w:rPr>
        <w:t>so zreteľom na návrh Európskej komisie,</w:t>
      </w:r>
    </w:p>
    <w:p w14:paraId="226BC294" w14:textId="77777777" w:rsidR="00845AE8" w:rsidRPr="004F01E9" w:rsidRDefault="00845AE8" w:rsidP="008A4012">
      <w:pPr>
        <w:rPr>
          <w:noProof/>
        </w:rPr>
      </w:pPr>
      <w:r w:rsidRPr="004F01E9">
        <w:rPr>
          <w:noProof/>
        </w:rPr>
        <w:t>so zreteľom na návrh Európskej komisie, po postúpení návrhu legislatívneho aktu národným parlamentom,</w:t>
      </w:r>
    </w:p>
    <w:p w14:paraId="3B4541B9" w14:textId="3F92035F" w:rsidR="00806B81" w:rsidRPr="004F01E9" w:rsidRDefault="00845AE8" w:rsidP="008A4012">
      <w:pPr>
        <w:rPr>
          <w:noProof/>
        </w:rPr>
      </w:pPr>
      <w:r w:rsidRPr="004F01E9">
        <w:rPr>
          <w:noProof/>
        </w:rPr>
        <w:t>so zreteľom na stanovisko Európskeho hospodárskeho</w:t>
      </w:r>
      <w:r w:rsidR="004F01E9">
        <w:rPr>
          <w:noProof/>
        </w:rPr>
        <w:t xml:space="preserve"> a </w:t>
      </w:r>
      <w:r w:rsidRPr="004F01E9">
        <w:rPr>
          <w:noProof/>
        </w:rPr>
        <w:t>sociálneho výboru</w:t>
      </w:r>
      <w:r w:rsidRPr="004F01E9">
        <w:rPr>
          <w:rStyle w:val="FootnoteReference0"/>
          <w:noProof/>
        </w:rPr>
        <w:footnoteReference w:id="50"/>
      </w:r>
      <w:r w:rsidRPr="004F01E9">
        <w:rPr>
          <w:noProof/>
        </w:rPr>
        <w:t>,</w:t>
      </w:r>
    </w:p>
    <w:p w14:paraId="7A9DA16B" w14:textId="1E4120E2" w:rsidR="00845AE8" w:rsidRPr="004F01E9" w:rsidRDefault="00845AE8" w:rsidP="008A4012">
      <w:pPr>
        <w:rPr>
          <w:noProof/>
        </w:rPr>
      </w:pPr>
      <w:r w:rsidRPr="004F01E9">
        <w:rPr>
          <w:noProof/>
        </w:rPr>
        <w:t>konajúc</w:t>
      </w:r>
      <w:r w:rsidR="004F01E9">
        <w:rPr>
          <w:noProof/>
        </w:rPr>
        <w:t xml:space="preserve"> v </w:t>
      </w:r>
      <w:r w:rsidRPr="004F01E9">
        <w:rPr>
          <w:noProof/>
        </w:rPr>
        <w:t>súlade</w:t>
      </w:r>
      <w:r w:rsidR="004F01E9">
        <w:rPr>
          <w:noProof/>
        </w:rPr>
        <w:t xml:space="preserve"> s </w:t>
      </w:r>
      <w:r w:rsidRPr="004F01E9">
        <w:rPr>
          <w:noProof/>
        </w:rPr>
        <w:t>riadnym legislatívnym postupom,</w:t>
      </w:r>
    </w:p>
    <w:p w14:paraId="0C46913E" w14:textId="77777777" w:rsidR="00845AE8" w:rsidRPr="004F01E9" w:rsidRDefault="00845AE8" w:rsidP="008A4012">
      <w:pPr>
        <w:rPr>
          <w:noProof/>
        </w:rPr>
      </w:pPr>
      <w:r w:rsidRPr="004F01E9">
        <w:rPr>
          <w:noProof/>
        </w:rPr>
        <w:t>keďže:</w:t>
      </w:r>
    </w:p>
    <w:p w14:paraId="2FE4ABB0" w14:textId="11B0A9E6" w:rsidR="00806B81" w:rsidRPr="004F01E9" w:rsidRDefault="007130D9" w:rsidP="007130D9">
      <w:pPr>
        <w:pStyle w:val="ManualConsidrant"/>
        <w:rPr>
          <w:noProof/>
        </w:rPr>
      </w:pPr>
      <w:r w:rsidRPr="007130D9">
        <w:t>(1)</w:t>
      </w:r>
      <w:r w:rsidRPr="007130D9">
        <w:tab/>
      </w:r>
      <w:r w:rsidR="008A4012" w:rsidRPr="004F01E9">
        <w:rPr>
          <w:noProof/>
        </w:rPr>
        <w:t>V reakcii na celosvetovú finančnú krízu začala Únia rozsiahlu reformu prudenciálneho rámca pre inštitúcie zameranú na zvýšenie odolnosti bankového sektora EÚ. Jedným</w:t>
      </w:r>
      <w:r w:rsidR="004F01E9">
        <w:rPr>
          <w:noProof/>
        </w:rPr>
        <w:t xml:space="preserve"> z </w:t>
      </w:r>
      <w:r w:rsidR="008A4012" w:rsidRPr="004F01E9">
        <w:rPr>
          <w:noProof/>
        </w:rPr>
        <w:t>hlavných prvkov reformy bolo vykonávanie medzinárodných štandardov dohodnutých Bazilejským výborom pre bankový dohľad (ďalej len „BCBS“), konkrétne tzv. reformy Bazilej III. Vďaka tejto reforme bankový sektor EÚ vstúpil do krízy spôsobenej ochorením COVID-19 na odolnom základe. Hoci je</w:t>
      </w:r>
      <w:r w:rsidR="004F01E9">
        <w:rPr>
          <w:noProof/>
        </w:rPr>
        <w:t xml:space="preserve"> v </w:t>
      </w:r>
      <w:r w:rsidR="008A4012" w:rsidRPr="004F01E9">
        <w:rPr>
          <w:noProof/>
        </w:rPr>
        <w:t>súčasnosti celková úroveň kapitálu</w:t>
      </w:r>
      <w:r w:rsidR="004F01E9">
        <w:rPr>
          <w:noProof/>
        </w:rPr>
        <w:t xml:space="preserve"> v </w:t>
      </w:r>
      <w:r w:rsidR="008A4012" w:rsidRPr="004F01E9">
        <w:rPr>
          <w:noProof/>
        </w:rPr>
        <w:t>inštitúciách</w:t>
      </w:r>
      <w:r w:rsidR="004F01E9">
        <w:rPr>
          <w:noProof/>
        </w:rPr>
        <w:t xml:space="preserve"> v </w:t>
      </w:r>
      <w:r w:rsidR="008A4012" w:rsidRPr="004F01E9">
        <w:rPr>
          <w:noProof/>
        </w:rPr>
        <w:t>EÚ</w:t>
      </w:r>
      <w:r w:rsidR="004F01E9">
        <w:rPr>
          <w:noProof/>
        </w:rPr>
        <w:t xml:space="preserve"> v </w:t>
      </w:r>
      <w:r w:rsidR="008A4012" w:rsidRPr="004F01E9">
        <w:rPr>
          <w:noProof/>
        </w:rPr>
        <w:t>priemere uspokojivá, niektoré problémy, ktoré boli zistené</w:t>
      </w:r>
      <w:r w:rsidR="004F01E9">
        <w:rPr>
          <w:noProof/>
        </w:rPr>
        <w:t xml:space="preserve"> v </w:t>
      </w:r>
      <w:r w:rsidR="008A4012" w:rsidRPr="004F01E9">
        <w:rPr>
          <w:noProof/>
        </w:rPr>
        <w:t>dôsledku celosvetovej finančnej krízy, sa ešte neriešili.</w:t>
      </w:r>
    </w:p>
    <w:p w14:paraId="20587A81" w14:textId="1F36BB00" w:rsidR="008A4012" w:rsidRPr="004F01E9" w:rsidRDefault="007130D9" w:rsidP="007130D9">
      <w:pPr>
        <w:pStyle w:val="ManualConsidrant"/>
        <w:rPr>
          <w:noProof/>
        </w:rPr>
      </w:pPr>
      <w:r w:rsidRPr="007130D9">
        <w:t>(2)</w:t>
      </w:r>
      <w:r w:rsidRPr="007130D9">
        <w:tab/>
      </w:r>
      <w:r w:rsidR="008A4012" w:rsidRPr="004F01E9">
        <w:rPr>
          <w:noProof/>
        </w:rPr>
        <w:t>Na vyriešenie týchto problémov, poskytnutie právnej istoty</w:t>
      </w:r>
      <w:r w:rsidR="004F01E9">
        <w:rPr>
          <w:noProof/>
        </w:rPr>
        <w:t xml:space="preserve"> a </w:t>
      </w:r>
      <w:r w:rsidR="008A4012" w:rsidRPr="004F01E9">
        <w:rPr>
          <w:noProof/>
        </w:rPr>
        <w:t>vyjadrenie nášho záväzku našim medzinárodným partnerom</w:t>
      </w:r>
      <w:r w:rsidR="004F01E9">
        <w:rPr>
          <w:noProof/>
        </w:rPr>
        <w:t xml:space="preserve"> v </w:t>
      </w:r>
      <w:r w:rsidR="008A4012" w:rsidRPr="004F01E9">
        <w:rPr>
          <w:noProof/>
        </w:rPr>
        <w:t>G20 je mimoriadne dôležité poctivo vykonávať zostávajúce prvky reformy Bazilej III. Vykonávaním by sa zároveň malo zabrániť výraznému zvýšeniu celkových kapitálových požiadaviek pre bankový systém EÚ ako celok</w:t>
      </w:r>
      <w:r w:rsidR="004F01E9">
        <w:rPr>
          <w:noProof/>
        </w:rPr>
        <w:t xml:space="preserve"> a </w:t>
      </w:r>
      <w:r w:rsidR="008A4012" w:rsidRPr="004F01E9">
        <w:rPr>
          <w:noProof/>
        </w:rPr>
        <w:t>mali by sa zohľadniť špecifiká hospodárstva EÚ. Ak je to možné, úpravy medzinárodných štandardov by sa mali uplatňovať na prechodnom základe. Vykonávanie by malo pomôcť vyhnúť sa znevýhodneniam</w:t>
      </w:r>
      <w:r w:rsidR="004F01E9">
        <w:rPr>
          <w:noProof/>
        </w:rPr>
        <w:t xml:space="preserve"> v </w:t>
      </w:r>
      <w:r w:rsidR="008A4012" w:rsidRPr="004F01E9">
        <w:rPr>
          <w:noProof/>
        </w:rPr>
        <w:t>rámci hospodárskej súťaže pre inštitúcie</w:t>
      </w:r>
      <w:r w:rsidR="004F01E9">
        <w:rPr>
          <w:noProof/>
        </w:rPr>
        <w:t xml:space="preserve"> v </w:t>
      </w:r>
      <w:r w:rsidR="008A4012" w:rsidRPr="004F01E9">
        <w:rPr>
          <w:noProof/>
        </w:rPr>
        <w:t>EÚ, najmä</w:t>
      </w:r>
      <w:r w:rsidR="004F01E9">
        <w:rPr>
          <w:noProof/>
        </w:rPr>
        <w:t xml:space="preserve"> v </w:t>
      </w:r>
      <w:r w:rsidR="008A4012" w:rsidRPr="004F01E9">
        <w:rPr>
          <w:noProof/>
        </w:rPr>
        <w:t>oblasti obchodných aktivít, kde inštitúcie</w:t>
      </w:r>
      <w:r w:rsidR="004F01E9">
        <w:rPr>
          <w:noProof/>
        </w:rPr>
        <w:t xml:space="preserve"> v </w:t>
      </w:r>
      <w:r w:rsidR="008A4012" w:rsidRPr="004F01E9">
        <w:rPr>
          <w:noProof/>
        </w:rPr>
        <w:t>EÚ priamo súťažia so svojimi medzinárodnými partnermi. Navrhovaný prístup by okrem toho mal byť</w:t>
      </w:r>
      <w:r w:rsidR="004F01E9">
        <w:rPr>
          <w:noProof/>
        </w:rPr>
        <w:t xml:space="preserve"> v </w:t>
      </w:r>
      <w:r w:rsidR="008A4012" w:rsidRPr="004F01E9">
        <w:rPr>
          <w:noProof/>
        </w:rPr>
        <w:t>súlade</w:t>
      </w:r>
      <w:r w:rsidR="004F01E9">
        <w:rPr>
          <w:noProof/>
        </w:rPr>
        <w:t xml:space="preserve"> s </w:t>
      </w:r>
      <w:r w:rsidR="008A4012" w:rsidRPr="004F01E9">
        <w:rPr>
          <w:noProof/>
        </w:rPr>
        <w:t>logikou bankovej únie</w:t>
      </w:r>
      <w:r w:rsidR="004F01E9">
        <w:rPr>
          <w:noProof/>
        </w:rPr>
        <w:t xml:space="preserve"> a </w:t>
      </w:r>
      <w:r w:rsidR="008A4012" w:rsidRPr="004F01E9">
        <w:rPr>
          <w:noProof/>
        </w:rPr>
        <w:t>mal by zabrániť ďalšej fragmentácii jednotného trhu bankovníctva. A napokon by mal zabezpečiť proporcionalitu pravidiel</w:t>
      </w:r>
      <w:r w:rsidR="004F01E9">
        <w:rPr>
          <w:noProof/>
        </w:rPr>
        <w:t xml:space="preserve"> a </w:t>
      </w:r>
      <w:r w:rsidR="008A4012" w:rsidRPr="004F01E9">
        <w:rPr>
          <w:noProof/>
        </w:rPr>
        <w:t>zamerať sa na ďalšie znižovanie nákladov na dodržiavanie predpisov, najmä pre menšie inštitúcie, bez uvoľnenia prudenciálnych štandardov.</w:t>
      </w:r>
    </w:p>
    <w:p w14:paraId="789AB85E" w14:textId="11AFC574" w:rsidR="00806B81" w:rsidRPr="006C666F" w:rsidRDefault="007130D9" w:rsidP="007130D9">
      <w:pPr>
        <w:pStyle w:val="ManualConsidrant"/>
        <w:rPr>
          <w:noProof/>
        </w:rPr>
      </w:pPr>
      <w:r w:rsidRPr="007130D9">
        <w:t>(3)</w:t>
      </w:r>
      <w:r w:rsidRPr="007130D9">
        <w:tab/>
      </w:r>
      <w:r w:rsidR="008A4012" w:rsidRPr="006C666F">
        <w:rPr>
          <w:noProof/>
        </w:rPr>
        <w:t xml:space="preserve">Nariadenie (EÚ) </w:t>
      </w:r>
      <w:r w:rsidR="004F01E9" w:rsidRPr="006C666F">
        <w:rPr>
          <w:noProof/>
        </w:rPr>
        <w:t>č. </w:t>
      </w:r>
      <w:r w:rsidR="008A4012" w:rsidRPr="006C666F">
        <w:rPr>
          <w:noProof/>
        </w:rPr>
        <w:t>575/2013 umožňuje inštitúciám vypočítať si svoje kapitálové požiadavky buď pomocou štandardizovaných prístupov, alebo pomocou prístupov interného modelu. Prístupy interného modelu umožňujú inštitúciám odhadnúť väčšinu alebo všetky parametre požadované na výpočet kapitálových požiadaviek samostatne, kým pri štandardizovaných prístupoch sa vyžaduje, aby inštitúcie vypočítali kapitálové požiadavky pomocou pevne stanovených parametrov, ktoré sú založené na relatívne konzervatívnych predpokladoch</w:t>
      </w:r>
      <w:r w:rsidR="004F01E9" w:rsidRPr="006C666F">
        <w:rPr>
          <w:noProof/>
        </w:rPr>
        <w:t xml:space="preserve"> a </w:t>
      </w:r>
      <w:r w:rsidR="008A4012" w:rsidRPr="006C666F">
        <w:rPr>
          <w:noProof/>
        </w:rPr>
        <w:t>sú stanovené</w:t>
      </w:r>
      <w:r w:rsidR="004F01E9" w:rsidRPr="006C666F">
        <w:rPr>
          <w:noProof/>
        </w:rPr>
        <w:t xml:space="preserve"> v </w:t>
      </w:r>
      <w:r w:rsidR="008A4012" w:rsidRPr="006C666F">
        <w:rPr>
          <w:noProof/>
        </w:rPr>
        <w:t xml:space="preserve">nariadení (EÚ) </w:t>
      </w:r>
      <w:r w:rsidR="004F01E9" w:rsidRPr="006C666F">
        <w:rPr>
          <w:noProof/>
        </w:rPr>
        <w:t>č. </w:t>
      </w:r>
      <w:r w:rsidR="008A4012" w:rsidRPr="006C666F">
        <w:rPr>
          <w:noProof/>
        </w:rPr>
        <w:t>575/2013. Bazilejský výbor pre bankový dohľad sa</w:t>
      </w:r>
      <w:r w:rsidR="004F01E9" w:rsidRPr="006C666F">
        <w:rPr>
          <w:noProof/>
        </w:rPr>
        <w:t xml:space="preserve"> v </w:t>
      </w:r>
      <w:r w:rsidR="008A4012" w:rsidRPr="006C666F">
        <w:rPr>
          <w:noProof/>
        </w:rPr>
        <w:t>decembri 2017 rozhodol zaviesť súhrnnú spodnú hranicu pre výstupné hodnoty. Toto rozhodnutie sa zakladalo na analýze realizovanej po finančnej kríze</w:t>
      </w:r>
      <w:r w:rsidR="004F01E9" w:rsidRPr="006C666F">
        <w:rPr>
          <w:noProof/>
        </w:rPr>
        <w:t xml:space="preserve"> v </w:t>
      </w:r>
      <w:r w:rsidR="008A4012" w:rsidRPr="006C666F">
        <w:rPr>
          <w:noProof/>
        </w:rPr>
        <w:t>rokoch 2008 – 2009, pri ktorej sa zistilo, že interné modely majú tendenciu podceňovať riziká, ktorým sú inštitúcie vystavené, najmä pri určitých druhoch expozícií</w:t>
      </w:r>
      <w:r w:rsidR="004F01E9" w:rsidRPr="006C666F">
        <w:rPr>
          <w:noProof/>
        </w:rPr>
        <w:t xml:space="preserve"> a </w:t>
      </w:r>
      <w:r w:rsidR="008A4012" w:rsidRPr="006C666F">
        <w:rPr>
          <w:noProof/>
        </w:rPr>
        <w:t>rizík,</w:t>
      </w:r>
      <w:r w:rsidR="004F01E9" w:rsidRPr="006C666F">
        <w:rPr>
          <w:noProof/>
        </w:rPr>
        <w:t xml:space="preserve"> a </w:t>
      </w:r>
      <w:r w:rsidR="008A4012" w:rsidRPr="006C666F">
        <w:rPr>
          <w:noProof/>
        </w:rPr>
        <w:t>preto sú ich výsledkom zvyčajne nedostatočné kapitálové požiadavky.</w:t>
      </w:r>
      <w:r w:rsidR="004F01E9" w:rsidRPr="006C666F">
        <w:rPr>
          <w:noProof/>
        </w:rPr>
        <w:t xml:space="preserve"> V </w:t>
      </w:r>
      <w:r w:rsidR="008A4012" w:rsidRPr="006C666F">
        <w:rPr>
          <w:noProof/>
        </w:rPr>
        <w:t>porovnaní</w:t>
      </w:r>
      <w:r w:rsidR="004F01E9" w:rsidRPr="006C666F">
        <w:rPr>
          <w:noProof/>
        </w:rPr>
        <w:t xml:space="preserve"> s </w:t>
      </w:r>
      <w:r w:rsidR="008A4012" w:rsidRPr="006C666F">
        <w:rPr>
          <w:noProof/>
        </w:rPr>
        <w:t>kapitálovými požiadavkami vypočítanými pomocou štandardizovaných prístupov vytvárajú interné modely</w:t>
      </w:r>
      <w:r w:rsidR="004F01E9" w:rsidRPr="006C666F">
        <w:rPr>
          <w:noProof/>
        </w:rPr>
        <w:t xml:space="preserve"> v </w:t>
      </w:r>
      <w:r w:rsidR="008A4012" w:rsidRPr="006C666F">
        <w:rPr>
          <w:noProof/>
        </w:rPr>
        <w:t>priemere nižšie kapitálové požiadavky pre rovnaké expozície.</w:t>
      </w:r>
    </w:p>
    <w:p w14:paraId="7556C330" w14:textId="7819D290" w:rsidR="008A4012" w:rsidRPr="006C666F" w:rsidRDefault="007130D9" w:rsidP="007130D9">
      <w:pPr>
        <w:pStyle w:val="ManualConsidrant"/>
        <w:rPr>
          <w:noProof/>
        </w:rPr>
      </w:pPr>
      <w:r w:rsidRPr="007130D9">
        <w:t>(4)</w:t>
      </w:r>
      <w:r w:rsidRPr="007130D9">
        <w:tab/>
      </w:r>
      <w:r w:rsidR="008A4012" w:rsidRPr="006C666F">
        <w:rPr>
          <w:noProof/>
        </w:rPr>
        <w:t>Spodná hranica pre výstupné hodnoty predstavuje jedno</w:t>
      </w:r>
      <w:r w:rsidR="004F01E9" w:rsidRPr="006C666F">
        <w:rPr>
          <w:noProof/>
        </w:rPr>
        <w:t xml:space="preserve"> z </w:t>
      </w:r>
      <w:r w:rsidR="008A4012" w:rsidRPr="006C666F">
        <w:rPr>
          <w:noProof/>
        </w:rPr>
        <w:t>kľúčových opatrení reforiem Bazilej III. Ich cieľom je obmedziť neopodstatnenú variabilitu regulatórnych kapitálových požiadaviek vytvorených internými modelmi</w:t>
      </w:r>
      <w:r w:rsidR="004F01E9" w:rsidRPr="006C666F">
        <w:rPr>
          <w:noProof/>
        </w:rPr>
        <w:t xml:space="preserve"> a </w:t>
      </w:r>
      <w:r w:rsidR="008A4012" w:rsidRPr="006C666F">
        <w:rPr>
          <w:noProof/>
        </w:rPr>
        <w:t>nadmerné zníženie kapitálu, ktoré môže inštitúcia využívajúca interné modely odvodiť</w:t>
      </w:r>
      <w:r w:rsidR="004F01E9" w:rsidRPr="006C666F">
        <w:rPr>
          <w:noProof/>
        </w:rPr>
        <w:t xml:space="preserve"> v </w:t>
      </w:r>
      <w:r w:rsidR="008A4012" w:rsidRPr="006C666F">
        <w:rPr>
          <w:noProof/>
        </w:rPr>
        <w:t>porovnaní</w:t>
      </w:r>
      <w:r w:rsidR="004F01E9" w:rsidRPr="006C666F">
        <w:rPr>
          <w:noProof/>
        </w:rPr>
        <w:t xml:space="preserve"> s </w:t>
      </w:r>
      <w:r w:rsidR="008A4012" w:rsidRPr="006C666F">
        <w:rPr>
          <w:noProof/>
        </w:rPr>
        <w:t>inštitúciou využívajúcou revidované štandardizované prístupy. Tieto inštitúcie to môžu urobiť tak, že stanovia spodnú hranicu kapitálových požiadaviek, ktoré vytvárajú interné modely inštitúcií, na 72,5</w:t>
      </w:r>
      <w:r w:rsidR="004F01E9" w:rsidRPr="006C666F">
        <w:rPr>
          <w:noProof/>
        </w:rPr>
        <w:t> %</w:t>
      </w:r>
      <w:r w:rsidR="008A4012" w:rsidRPr="006C666F">
        <w:rPr>
          <w:noProof/>
        </w:rPr>
        <w:t xml:space="preserve"> kapitálových požiadaviek, ktoré by sa uplatňovali, ak by tieto inštitúcie používali štandardizované prístupy. Vykonávaním spodnej hranice pre výstupné hodnoty by sa mala zvýšiť porovnateľnosť ukazovateľov kapitálu inštitúcií, obnoviť dôveryhodnosť interných modelov</w:t>
      </w:r>
      <w:r w:rsidR="004F01E9" w:rsidRPr="006C666F">
        <w:rPr>
          <w:noProof/>
        </w:rPr>
        <w:t xml:space="preserve"> a </w:t>
      </w:r>
      <w:r w:rsidR="008A4012" w:rsidRPr="006C666F">
        <w:rPr>
          <w:noProof/>
        </w:rPr>
        <w:t>zabezpečiť rovnaké podmienky medzi inštitúciami, ktoré na výpočet kapitálových požiadaviek používajú rôzne prístupy.</w:t>
      </w:r>
    </w:p>
    <w:p w14:paraId="1C8AF9A8" w14:textId="1A84EA36" w:rsidR="008A4012" w:rsidRPr="004F01E9" w:rsidRDefault="007130D9" w:rsidP="007130D9">
      <w:pPr>
        <w:pStyle w:val="ManualConsidrant"/>
        <w:rPr>
          <w:noProof/>
        </w:rPr>
      </w:pPr>
      <w:r w:rsidRPr="007130D9">
        <w:t>(5)</w:t>
      </w:r>
      <w:r w:rsidRPr="007130D9">
        <w:tab/>
      </w:r>
      <w:r w:rsidR="008A4012" w:rsidRPr="004F01E9">
        <w:rPr>
          <w:noProof/>
        </w:rPr>
        <w:t>Aby sa predišlo fragmentácii vnútorného trhu</w:t>
      </w:r>
      <w:r w:rsidR="004F01E9">
        <w:rPr>
          <w:noProof/>
        </w:rPr>
        <w:t xml:space="preserve"> s </w:t>
      </w:r>
      <w:r w:rsidR="008A4012" w:rsidRPr="004F01E9">
        <w:rPr>
          <w:noProof/>
        </w:rPr>
        <w:t>bankovníctvom, prístup</w:t>
      </w:r>
      <w:r w:rsidR="004F01E9">
        <w:rPr>
          <w:noProof/>
        </w:rPr>
        <w:t xml:space="preserve"> k </w:t>
      </w:r>
      <w:r w:rsidR="008A4012" w:rsidRPr="004F01E9">
        <w:rPr>
          <w:noProof/>
        </w:rPr>
        <w:t>spodnej hranici pre výstupné hodnoty by mal byť</w:t>
      </w:r>
      <w:r w:rsidR="004F01E9">
        <w:rPr>
          <w:noProof/>
        </w:rPr>
        <w:t xml:space="preserve"> v </w:t>
      </w:r>
      <w:r w:rsidR="008A4012" w:rsidRPr="004F01E9">
        <w:rPr>
          <w:noProof/>
        </w:rPr>
        <w:t>súlade so zásadou agregácie rizika medzi jednotlivými subjektmi</w:t>
      </w:r>
      <w:r w:rsidR="004F01E9">
        <w:rPr>
          <w:noProof/>
        </w:rPr>
        <w:t xml:space="preserve"> v </w:t>
      </w:r>
      <w:r w:rsidR="008A4012" w:rsidRPr="004F01E9">
        <w:rPr>
          <w:noProof/>
        </w:rPr>
        <w:t>rámci tej istej bankovej skupiny</w:t>
      </w:r>
      <w:r w:rsidR="004F01E9">
        <w:rPr>
          <w:noProof/>
        </w:rPr>
        <w:t xml:space="preserve"> a s </w:t>
      </w:r>
      <w:r w:rsidR="008A4012" w:rsidRPr="004F01E9">
        <w:rPr>
          <w:noProof/>
        </w:rPr>
        <w:t>logikou konsolidovaného dohľadu.</w:t>
      </w:r>
      <w:r w:rsidR="004F01E9">
        <w:rPr>
          <w:noProof/>
        </w:rPr>
        <w:t xml:space="preserve"> V </w:t>
      </w:r>
      <w:r w:rsidR="008A4012" w:rsidRPr="004F01E9">
        <w:rPr>
          <w:noProof/>
        </w:rPr>
        <w:t>rámci spodnej hranice pre výstupné hodnoty by sa zároveň mali riešiť riziká vyplývajúce</w:t>
      </w:r>
      <w:r w:rsidR="004F01E9">
        <w:rPr>
          <w:noProof/>
        </w:rPr>
        <w:t xml:space="preserve"> z </w:t>
      </w:r>
      <w:r w:rsidR="008A4012" w:rsidRPr="004F01E9">
        <w:rPr>
          <w:noProof/>
        </w:rPr>
        <w:t>interných modelov</w:t>
      </w:r>
      <w:r w:rsidR="004F01E9">
        <w:rPr>
          <w:noProof/>
        </w:rPr>
        <w:t xml:space="preserve"> v </w:t>
      </w:r>
      <w:r w:rsidR="008A4012" w:rsidRPr="004F01E9">
        <w:rPr>
          <w:noProof/>
        </w:rPr>
        <w:t>domovských aj hostiteľských členských štátoch. Spodná hranica pre výstupné hodnoty by sa preto mala vypočítať na najvyššej úrovni konsolidácie</w:t>
      </w:r>
      <w:r w:rsidR="004F01E9">
        <w:rPr>
          <w:noProof/>
        </w:rPr>
        <w:t xml:space="preserve"> v </w:t>
      </w:r>
      <w:r w:rsidR="008A4012" w:rsidRPr="004F01E9">
        <w:rPr>
          <w:noProof/>
        </w:rPr>
        <w:t>Únii, kým dcérske spoločnosti nachádzajúce sa</w:t>
      </w:r>
      <w:r w:rsidR="004F01E9">
        <w:rPr>
          <w:noProof/>
        </w:rPr>
        <w:t xml:space="preserve"> v </w:t>
      </w:r>
      <w:r w:rsidR="008A4012" w:rsidRPr="004F01E9">
        <w:rPr>
          <w:noProof/>
        </w:rPr>
        <w:t>iných členských štátoch ako materská spoločnosť</w:t>
      </w:r>
      <w:r w:rsidR="004F01E9">
        <w:rPr>
          <w:noProof/>
        </w:rPr>
        <w:t xml:space="preserve"> v </w:t>
      </w:r>
      <w:r w:rsidR="008A4012" w:rsidRPr="004F01E9">
        <w:rPr>
          <w:noProof/>
        </w:rPr>
        <w:t>EÚ by mali vypočítať svoj príspevok</w:t>
      </w:r>
      <w:r w:rsidR="004F01E9">
        <w:rPr>
          <w:noProof/>
        </w:rPr>
        <w:t xml:space="preserve"> k </w:t>
      </w:r>
      <w:r w:rsidR="008A4012" w:rsidRPr="004F01E9">
        <w:rPr>
          <w:noProof/>
        </w:rPr>
        <w:t>požiadavke na spodnú hranicu pre výstupné hodnoty celej bankovej skupiny na subkonsolidovanom základe. Týmto prístupom by sa malo zabrániť neúmyselným vplyvom</w:t>
      </w:r>
      <w:r w:rsidR="004F01E9">
        <w:rPr>
          <w:noProof/>
        </w:rPr>
        <w:t xml:space="preserve"> a </w:t>
      </w:r>
      <w:r w:rsidR="008A4012" w:rsidRPr="004F01E9">
        <w:rPr>
          <w:noProof/>
        </w:rPr>
        <w:t>malo by sa zabezpečiť spravodlivé rozdelenie dodatočného kapitálu požadovaného uplatnením spodnej hranice pre výstupné hodnoty medzi subjekty skupiny</w:t>
      </w:r>
      <w:r w:rsidR="004F01E9">
        <w:rPr>
          <w:noProof/>
        </w:rPr>
        <w:t xml:space="preserve"> v </w:t>
      </w:r>
      <w:r w:rsidR="008A4012" w:rsidRPr="004F01E9">
        <w:rPr>
          <w:noProof/>
        </w:rPr>
        <w:t>domovských</w:t>
      </w:r>
      <w:r w:rsidR="004F01E9">
        <w:rPr>
          <w:noProof/>
        </w:rPr>
        <w:t xml:space="preserve"> a </w:t>
      </w:r>
      <w:r w:rsidR="008A4012" w:rsidRPr="004F01E9">
        <w:rPr>
          <w:noProof/>
        </w:rPr>
        <w:t>hostiteľských členských štátoch podľa ich rizikového profilu.</w:t>
      </w:r>
    </w:p>
    <w:p w14:paraId="1A986731" w14:textId="007819DD" w:rsidR="008A4012" w:rsidRPr="004F01E9" w:rsidRDefault="007130D9" w:rsidP="007130D9">
      <w:pPr>
        <w:pStyle w:val="ManualConsidrant"/>
        <w:rPr>
          <w:noProof/>
        </w:rPr>
      </w:pPr>
      <w:r w:rsidRPr="007130D9">
        <w:t>(6)</w:t>
      </w:r>
      <w:r w:rsidRPr="007130D9">
        <w:tab/>
      </w:r>
      <w:r w:rsidR="008A4012" w:rsidRPr="004F01E9">
        <w:rPr>
          <w:noProof/>
        </w:rPr>
        <w:t>Bazilejský výbor pre bankový dohľad zistil, že súčasný štandardizovaný prístup pre kreditné riziko (SA-CR) nie je dostatočne citlivý na riziko</w:t>
      </w:r>
      <w:r w:rsidR="004F01E9">
        <w:rPr>
          <w:noProof/>
        </w:rPr>
        <w:t xml:space="preserve"> v </w:t>
      </w:r>
      <w:r w:rsidR="008A4012" w:rsidRPr="004F01E9">
        <w:rPr>
          <w:noProof/>
        </w:rPr>
        <w:t>mnohých oblastiach, čo vedie</w:t>
      </w:r>
      <w:r w:rsidR="004F01E9">
        <w:rPr>
          <w:noProof/>
        </w:rPr>
        <w:t xml:space="preserve"> k </w:t>
      </w:r>
      <w:r w:rsidR="008A4012" w:rsidRPr="004F01E9">
        <w:rPr>
          <w:noProof/>
        </w:rPr>
        <w:t>nepresnému alebo neprimeranému – buď príliš vysokému alebo príliš nízkemu – hodnoteniu kreditného rizika,</w:t>
      </w:r>
      <w:r w:rsidR="004F01E9">
        <w:rPr>
          <w:noProof/>
        </w:rPr>
        <w:t xml:space="preserve"> a </w:t>
      </w:r>
      <w:r w:rsidR="008A4012" w:rsidRPr="004F01E9">
        <w:rPr>
          <w:noProof/>
        </w:rPr>
        <w:t>teda aj kapitálových požiadaviek. Ustanovenia týkajúce sa prístupu SA-CR by sa preto mali revidovať, aby sa zvýšila citlivosť tohto prístupu na riziko vo vzťahu</w:t>
      </w:r>
      <w:r w:rsidR="004F01E9">
        <w:rPr>
          <w:noProof/>
        </w:rPr>
        <w:t xml:space="preserve"> k </w:t>
      </w:r>
      <w:r w:rsidR="008A4012" w:rsidRPr="004F01E9">
        <w:rPr>
          <w:noProof/>
        </w:rPr>
        <w:t>niekoľkým kľúčovým aspektom.</w:t>
      </w:r>
    </w:p>
    <w:p w14:paraId="63BB8F60" w14:textId="53B2767A" w:rsidR="008A4012" w:rsidRPr="004F01E9" w:rsidRDefault="007130D9" w:rsidP="007130D9">
      <w:pPr>
        <w:pStyle w:val="ManualConsidrant"/>
        <w:rPr>
          <w:noProof/>
        </w:rPr>
      </w:pPr>
      <w:r w:rsidRPr="007130D9">
        <w:t>(7)</w:t>
      </w:r>
      <w:r w:rsidRPr="007130D9">
        <w:tab/>
      </w:r>
      <w:r w:rsidR="008A4012" w:rsidRPr="004F01E9">
        <w:rPr>
          <w:noProof/>
        </w:rPr>
        <w:t>Pre expozície</w:t>
      </w:r>
      <w:r w:rsidR="004F01E9">
        <w:rPr>
          <w:noProof/>
        </w:rPr>
        <w:t xml:space="preserve"> s </w:t>
      </w:r>
      <w:r w:rsidR="008A4012" w:rsidRPr="004F01E9">
        <w:rPr>
          <w:noProof/>
        </w:rPr>
        <w:t>ratingom voči iným inštitúciám by sa niektoré rizikové váhy mali prepracovať</w:t>
      </w:r>
      <w:r w:rsidR="004F01E9">
        <w:rPr>
          <w:noProof/>
        </w:rPr>
        <w:t xml:space="preserve"> v </w:t>
      </w:r>
      <w:r w:rsidR="008A4012" w:rsidRPr="004F01E9">
        <w:rPr>
          <w:noProof/>
        </w:rPr>
        <w:t>súlade so štandardmi Bazilej III. Okrem toho by sa zaobchádzanie</w:t>
      </w:r>
      <w:r w:rsidR="004F01E9">
        <w:rPr>
          <w:noProof/>
        </w:rPr>
        <w:t xml:space="preserve"> s </w:t>
      </w:r>
      <w:r w:rsidR="008A4012" w:rsidRPr="004F01E9">
        <w:rPr>
          <w:noProof/>
        </w:rPr>
        <w:t>expozíciami voči inštitúciám bez ratingu na základe rizikovej váhy malo spresniť</w:t>
      </w:r>
      <w:r w:rsidR="004F01E9">
        <w:rPr>
          <w:noProof/>
        </w:rPr>
        <w:t xml:space="preserve"> a </w:t>
      </w:r>
      <w:r w:rsidR="008A4012" w:rsidRPr="004F01E9">
        <w:rPr>
          <w:noProof/>
        </w:rPr>
        <w:t>oddeliť od rizikovej váhy platnej pre ústrednú vládu členského štátu,</w:t>
      </w:r>
      <w:r w:rsidR="004F01E9">
        <w:rPr>
          <w:noProof/>
        </w:rPr>
        <w:t xml:space="preserve"> v </w:t>
      </w:r>
      <w:r w:rsidR="008A4012" w:rsidRPr="004F01E9">
        <w:rPr>
          <w:noProof/>
        </w:rPr>
        <w:t>ktorom má banka sídlo, keďže sa nepredpokladá žiadna implicitná vládna podpora pre inštitúcie.</w:t>
      </w:r>
    </w:p>
    <w:p w14:paraId="2D784824" w14:textId="490804F1" w:rsidR="008A4012" w:rsidRPr="006C666F" w:rsidRDefault="007130D9" w:rsidP="007130D9">
      <w:pPr>
        <w:pStyle w:val="ManualConsidrant"/>
        <w:rPr>
          <w:noProof/>
        </w:rPr>
      </w:pPr>
      <w:r w:rsidRPr="007130D9">
        <w:t>(8)</w:t>
      </w:r>
      <w:r w:rsidRPr="007130D9">
        <w:tab/>
      </w:r>
      <w:r w:rsidR="008A4012" w:rsidRPr="006C666F">
        <w:rPr>
          <w:noProof/>
        </w:rPr>
        <w:t>Pre podriadené dlhové</w:t>
      </w:r>
      <w:r w:rsidR="004F01E9" w:rsidRPr="006C666F">
        <w:rPr>
          <w:noProof/>
        </w:rPr>
        <w:t xml:space="preserve"> a </w:t>
      </w:r>
      <w:r w:rsidR="008A4012" w:rsidRPr="006C666F">
        <w:rPr>
          <w:noProof/>
        </w:rPr>
        <w:t>kapitálové expozície je potrebné podrobnejšie</w:t>
      </w:r>
      <w:r w:rsidR="004F01E9" w:rsidRPr="006C666F">
        <w:rPr>
          <w:noProof/>
        </w:rPr>
        <w:t xml:space="preserve"> a </w:t>
      </w:r>
      <w:r w:rsidR="008A4012" w:rsidRPr="006C666F">
        <w:rPr>
          <w:noProof/>
        </w:rPr>
        <w:t>prísnejšie zaobchádzanie na základe rizikovej váhy, aby sa zohľadnilo vyššie riziko straty podriadených dlhových</w:t>
      </w:r>
      <w:r w:rsidR="004F01E9" w:rsidRPr="006C666F">
        <w:rPr>
          <w:noProof/>
        </w:rPr>
        <w:t xml:space="preserve"> a </w:t>
      </w:r>
      <w:r w:rsidR="008A4012" w:rsidRPr="006C666F">
        <w:rPr>
          <w:noProof/>
        </w:rPr>
        <w:t>kapitálových expozícií</w:t>
      </w:r>
      <w:r w:rsidR="004F01E9" w:rsidRPr="006C666F">
        <w:rPr>
          <w:noProof/>
        </w:rPr>
        <w:t xml:space="preserve"> v </w:t>
      </w:r>
      <w:r w:rsidR="008A4012" w:rsidRPr="006C666F">
        <w:rPr>
          <w:noProof/>
        </w:rPr>
        <w:t>porovnaní</w:t>
      </w:r>
      <w:r w:rsidR="004F01E9" w:rsidRPr="006C666F">
        <w:rPr>
          <w:noProof/>
        </w:rPr>
        <w:t xml:space="preserve"> s </w:t>
      </w:r>
      <w:r w:rsidR="008A4012" w:rsidRPr="006C666F">
        <w:rPr>
          <w:noProof/>
        </w:rPr>
        <w:t>dlhovými expozíciami</w:t>
      </w:r>
      <w:r w:rsidR="004F01E9" w:rsidRPr="006C666F">
        <w:rPr>
          <w:noProof/>
        </w:rPr>
        <w:t xml:space="preserve"> a </w:t>
      </w:r>
      <w:r w:rsidR="008A4012" w:rsidRPr="006C666F">
        <w:rPr>
          <w:noProof/>
        </w:rPr>
        <w:t>aby sa predišlo regulačnej arbitráži medzi bankovou knihou</w:t>
      </w:r>
      <w:r w:rsidR="004F01E9" w:rsidRPr="006C666F">
        <w:rPr>
          <w:noProof/>
        </w:rPr>
        <w:t xml:space="preserve"> a </w:t>
      </w:r>
      <w:r w:rsidR="008A4012" w:rsidRPr="006C666F">
        <w:rPr>
          <w:noProof/>
        </w:rPr>
        <w:t>obchodnou knihou. Inštitúcie Únie majú dlhodobé strategické kapitálové investície do finančných</w:t>
      </w:r>
      <w:r w:rsidR="004F01E9" w:rsidRPr="006C666F">
        <w:rPr>
          <w:noProof/>
        </w:rPr>
        <w:t xml:space="preserve"> a </w:t>
      </w:r>
      <w:r w:rsidR="008A4012" w:rsidRPr="006C666F">
        <w:rPr>
          <w:noProof/>
        </w:rPr>
        <w:t>nefinančných podnikateľských subjektov. Keďže štandardná riziková váha pre kapitálové expozície sa počas 5-ročného prechodného obdobia zvyšuje, existujúce strategické kapitálové podiely</w:t>
      </w:r>
      <w:r w:rsidR="004F01E9" w:rsidRPr="006C666F">
        <w:rPr>
          <w:noProof/>
        </w:rPr>
        <w:t xml:space="preserve"> v </w:t>
      </w:r>
      <w:r w:rsidR="008A4012" w:rsidRPr="006C666F">
        <w:rPr>
          <w:noProof/>
        </w:rPr>
        <w:t>podnikateľských subjektoch</w:t>
      </w:r>
      <w:r w:rsidR="004F01E9" w:rsidRPr="006C666F">
        <w:rPr>
          <w:noProof/>
        </w:rPr>
        <w:t xml:space="preserve"> a </w:t>
      </w:r>
      <w:r w:rsidR="008A4012" w:rsidRPr="006C666F">
        <w:rPr>
          <w:noProof/>
        </w:rPr>
        <w:t>poisťovniach pod významným vplyvom inštitúcie by sa mali zachovať, aby sa predišlo rušivým účinkom</w:t>
      </w:r>
      <w:r w:rsidR="004F01E9" w:rsidRPr="006C666F">
        <w:rPr>
          <w:noProof/>
        </w:rPr>
        <w:t xml:space="preserve"> a </w:t>
      </w:r>
      <w:r w:rsidR="008A4012" w:rsidRPr="006C666F">
        <w:rPr>
          <w:noProof/>
        </w:rPr>
        <w:t>aby sa zachovala úloha inštitúcií Únie ako dlhodobých stálych, strategických kapitálových investorov. Vzhľadom na prudenciálne záruky</w:t>
      </w:r>
      <w:r w:rsidR="004F01E9" w:rsidRPr="006C666F">
        <w:rPr>
          <w:noProof/>
        </w:rPr>
        <w:t xml:space="preserve"> a </w:t>
      </w:r>
      <w:r w:rsidR="008A4012" w:rsidRPr="006C666F">
        <w:rPr>
          <w:noProof/>
        </w:rPr>
        <w:t>dohľad na podporu finančnej integrácie finančného sektora by sa však pre kapitálové podiely</w:t>
      </w:r>
      <w:r w:rsidR="004F01E9" w:rsidRPr="006C666F">
        <w:rPr>
          <w:noProof/>
        </w:rPr>
        <w:t xml:space="preserve"> v </w:t>
      </w:r>
      <w:r w:rsidR="008A4012" w:rsidRPr="006C666F">
        <w:rPr>
          <w:noProof/>
        </w:rPr>
        <w:t>iných inštitúciách</w:t>
      </w:r>
      <w:r w:rsidR="004F01E9" w:rsidRPr="006C666F">
        <w:rPr>
          <w:noProof/>
        </w:rPr>
        <w:t xml:space="preserve"> v </w:t>
      </w:r>
      <w:r w:rsidR="008A4012" w:rsidRPr="006C666F">
        <w:rPr>
          <w:noProof/>
        </w:rPr>
        <w:t>rámci tej istej skupiny alebo kryté rovnakým systémom inštitucionálnej ochrany mal zachovať súčasný režim. Navyše</w:t>
      </w:r>
      <w:r w:rsidR="004F01E9" w:rsidRPr="006C666F">
        <w:rPr>
          <w:noProof/>
        </w:rPr>
        <w:t xml:space="preserve"> s </w:t>
      </w:r>
      <w:r w:rsidR="008A4012" w:rsidRPr="006C666F">
        <w:rPr>
          <w:noProof/>
        </w:rPr>
        <w:t>cieľom posilniť súkromné</w:t>
      </w:r>
      <w:r w:rsidR="004F01E9" w:rsidRPr="006C666F">
        <w:rPr>
          <w:noProof/>
        </w:rPr>
        <w:t xml:space="preserve"> a </w:t>
      </w:r>
      <w:r w:rsidR="008A4012" w:rsidRPr="006C666F">
        <w:rPr>
          <w:noProof/>
        </w:rPr>
        <w:t>verejné iniciatívy na poskytovanie dlhodobého kapitálu podnikateľským subjektom</w:t>
      </w:r>
      <w:r w:rsidR="004F01E9" w:rsidRPr="006C666F">
        <w:rPr>
          <w:noProof/>
        </w:rPr>
        <w:t xml:space="preserve"> v </w:t>
      </w:r>
      <w:r w:rsidR="008A4012" w:rsidRPr="006C666F">
        <w:rPr>
          <w:noProof/>
        </w:rPr>
        <w:t>EÚ, či už kótovaným alebo nekótovaným, by sa investície nemali považovať za špekulatívne, ak sa uskutočňujú</w:t>
      </w:r>
      <w:r w:rsidR="004F01E9" w:rsidRPr="006C666F">
        <w:rPr>
          <w:noProof/>
        </w:rPr>
        <w:t xml:space="preserve"> s </w:t>
      </w:r>
      <w:r w:rsidR="008A4012" w:rsidRPr="006C666F">
        <w:rPr>
          <w:noProof/>
        </w:rPr>
        <w:t>pevným úmyslom vrcholového manažmentu inštitúcie držať ho tri alebo viac rokov.</w:t>
      </w:r>
    </w:p>
    <w:p w14:paraId="74DF4762" w14:textId="728A91CB" w:rsidR="00806B81" w:rsidRPr="006C666F" w:rsidRDefault="007130D9" w:rsidP="007130D9">
      <w:pPr>
        <w:pStyle w:val="ManualConsidrant"/>
        <w:rPr>
          <w:noProof/>
        </w:rPr>
      </w:pPr>
      <w:r w:rsidRPr="007130D9">
        <w:t>(9)</w:t>
      </w:r>
      <w:r w:rsidRPr="007130D9">
        <w:tab/>
      </w:r>
      <w:r w:rsidR="008A4012" w:rsidRPr="006C666F">
        <w:rPr>
          <w:noProof/>
        </w:rPr>
        <w:t>Na podporu určitých sektorov hospodárstva sa</w:t>
      </w:r>
      <w:r w:rsidR="004F01E9" w:rsidRPr="006C666F">
        <w:rPr>
          <w:noProof/>
        </w:rPr>
        <w:t xml:space="preserve"> v </w:t>
      </w:r>
      <w:r w:rsidR="008A4012" w:rsidRPr="006C666F">
        <w:rPr>
          <w:noProof/>
        </w:rPr>
        <w:t>štandardoch Bazilej III ustanovuje diskrečná právomoc orgánov dohľadu, ktorá inštitúciám umožňuje</w:t>
      </w:r>
      <w:r w:rsidR="004F01E9" w:rsidRPr="006C666F">
        <w:rPr>
          <w:noProof/>
        </w:rPr>
        <w:t xml:space="preserve"> v </w:t>
      </w:r>
      <w:r w:rsidR="008A4012" w:rsidRPr="006C666F">
        <w:rPr>
          <w:noProof/>
        </w:rPr>
        <w:t>rámci určitých limitov prideliť preferenčné zaobchádzanie kapitálovým podielom uskutočneným podľa „legislatívnych programov“, ktoré so sebou prinášajú významné dotácie na investície</w:t>
      </w:r>
      <w:r w:rsidR="004F01E9" w:rsidRPr="006C666F">
        <w:rPr>
          <w:noProof/>
        </w:rPr>
        <w:t xml:space="preserve"> a </w:t>
      </w:r>
      <w:r w:rsidR="008A4012" w:rsidRPr="006C666F">
        <w:rPr>
          <w:noProof/>
        </w:rPr>
        <w:t>zahŕňajú vládny dohľad</w:t>
      </w:r>
      <w:r w:rsidR="004F01E9" w:rsidRPr="006C666F">
        <w:rPr>
          <w:noProof/>
        </w:rPr>
        <w:t xml:space="preserve"> a </w:t>
      </w:r>
      <w:r w:rsidR="008A4012" w:rsidRPr="006C666F">
        <w:rPr>
          <w:noProof/>
        </w:rPr>
        <w:t>obmedzenia kapitálových investícií. Uplatňovanie tejto diskrečnej právomoci</w:t>
      </w:r>
      <w:r w:rsidR="004F01E9" w:rsidRPr="006C666F">
        <w:rPr>
          <w:noProof/>
        </w:rPr>
        <w:t xml:space="preserve"> v </w:t>
      </w:r>
      <w:r w:rsidR="008A4012" w:rsidRPr="006C666F">
        <w:rPr>
          <w:noProof/>
        </w:rPr>
        <w:t>Únii by takisto malo pomôcť pri podpore dlhodobých kapitálových investícií.</w:t>
      </w:r>
    </w:p>
    <w:p w14:paraId="7853C130" w14:textId="2C91DAFB" w:rsidR="00806B81" w:rsidRPr="004F01E9" w:rsidRDefault="007130D9" w:rsidP="007130D9">
      <w:pPr>
        <w:pStyle w:val="ManualConsidrant"/>
        <w:rPr>
          <w:noProof/>
        </w:rPr>
      </w:pPr>
      <w:r w:rsidRPr="007130D9">
        <w:t>(10)</w:t>
      </w:r>
      <w:r w:rsidRPr="007130D9">
        <w:tab/>
      </w:r>
      <w:r w:rsidR="008A4012" w:rsidRPr="004F01E9">
        <w:rPr>
          <w:noProof/>
        </w:rPr>
        <w:t>Úvery podnikom</w:t>
      </w:r>
      <w:r w:rsidR="004F01E9">
        <w:rPr>
          <w:noProof/>
        </w:rPr>
        <w:t xml:space="preserve"> v </w:t>
      </w:r>
      <w:r w:rsidR="008A4012" w:rsidRPr="004F01E9">
        <w:rPr>
          <w:noProof/>
        </w:rPr>
        <w:t>Únii poskytujú predovšetkým inštitúcie, ktoré na výpočet svojich kapitálových požiadaviek používajú pre kreditné riziko prístupy na základe na interných ratingov (IRB). Pri vykonávaní spodnej hranice pre výstupné hodnoty budú tieto inštitúcie musieť použiť aj prístup SA-CR, ktorý sa pri určovaní kreditnej kvality podnikového dlžníka opiera</w:t>
      </w:r>
      <w:r w:rsidR="004F01E9">
        <w:rPr>
          <w:noProof/>
        </w:rPr>
        <w:t xml:space="preserve"> o </w:t>
      </w:r>
      <w:r w:rsidR="008A4012" w:rsidRPr="004F01E9">
        <w:rPr>
          <w:noProof/>
        </w:rPr>
        <w:t>ratingové hodnotenia od externých ratingových agentúr (ďalej len „ECAI“). Priradenie medzi externými ratingmi</w:t>
      </w:r>
      <w:r w:rsidR="004F01E9">
        <w:rPr>
          <w:noProof/>
        </w:rPr>
        <w:t xml:space="preserve"> a </w:t>
      </w:r>
      <w:r w:rsidR="008A4012" w:rsidRPr="004F01E9">
        <w:rPr>
          <w:noProof/>
        </w:rPr>
        <w:t>rizikovými váhami platnými pre hodnotené podnikateľské subjekty by malo byť podrobnejšie</w:t>
      </w:r>
      <w:r w:rsidR="004F01E9">
        <w:rPr>
          <w:noProof/>
        </w:rPr>
        <w:t xml:space="preserve"> s </w:t>
      </w:r>
      <w:r w:rsidR="008A4012" w:rsidRPr="004F01E9">
        <w:rPr>
          <w:noProof/>
        </w:rPr>
        <w:t>cieľom uviesť takéto priradenie do súladu</w:t>
      </w:r>
      <w:r w:rsidR="004F01E9">
        <w:rPr>
          <w:noProof/>
        </w:rPr>
        <w:t xml:space="preserve"> s </w:t>
      </w:r>
      <w:r w:rsidR="008A4012" w:rsidRPr="004F01E9">
        <w:rPr>
          <w:noProof/>
        </w:rPr>
        <w:t>medzinárodnými normami</w:t>
      </w:r>
      <w:r w:rsidR="004F01E9">
        <w:rPr>
          <w:noProof/>
        </w:rPr>
        <w:t xml:space="preserve"> v </w:t>
      </w:r>
      <w:r w:rsidR="008A4012" w:rsidRPr="004F01E9">
        <w:rPr>
          <w:noProof/>
        </w:rPr>
        <w:t>tejto veci.</w:t>
      </w:r>
    </w:p>
    <w:p w14:paraId="39D0445A" w14:textId="26FBFFD2" w:rsidR="008A4012" w:rsidRPr="006C666F" w:rsidRDefault="007130D9" w:rsidP="007130D9">
      <w:pPr>
        <w:pStyle w:val="ManualConsidrant"/>
        <w:rPr>
          <w:noProof/>
        </w:rPr>
      </w:pPr>
      <w:r w:rsidRPr="007130D9">
        <w:t>(11)</w:t>
      </w:r>
      <w:r w:rsidRPr="007130D9">
        <w:tab/>
      </w:r>
      <w:r w:rsidR="008A4012" w:rsidRPr="006C666F">
        <w:rPr>
          <w:noProof/>
        </w:rPr>
        <w:t>Väčšina podnikateľských subjektov</w:t>
      </w:r>
      <w:r w:rsidR="004F01E9" w:rsidRPr="006C666F">
        <w:rPr>
          <w:noProof/>
        </w:rPr>
        <w:t xml:space="preserve"> v </w:t>
      </w:r>
      <w:r w:rsidR="008A4012" w:rsidRPr="006C666F">
        <w:rPr>
          <w:noProof/>
        </w:rPr>
        <w:t>EÚ však nevyhľadáva externé úverové ratingy, najmä</w:t>
      </w:r>
      <w:r w:rsidR="004F01E9" w:rsidRPr="006C666F">
        <w:rPr>
          <w:noProof/>
        </w:rPr>
        <w:t xml:space="preserve"> z </w:t>
      </w:r>
      <w:r w:rsidR="008A4012" w:rsidRPr="006C666F">
        <w:rPr>
          <w:noProof/>
        </w:rPr>
        <w:t>dôvodu nákladov. Aby sa predišlo rušivým vplyvom na bankové úvery podnikateľským subjektom bez ratingu</w:t>
      </w:r>
      <w:r w:rsidR="004F01E9" w:rsidRPr="006C666F">
        <w:rPr>
          <w:noProof/>
        </w:rPr>
        <w:t xml:space="preserve"> a </w:t>
      </w:r>
      <w:r w:rsidR="008A4012" w:rsidRPr="006C666F">
        <w:rPr>
          <w:noProof/>
        </w:rPr>
        <w:t>aby sa poskytol dostatok času na vytvorenie verejných alebo súkromných iniciatív zameraných na zvýšenie krytia externými úverovými ratingmi, na takéto zvýšenie krytia treba stanoviť prechodné obdobie. Počas tohto prechodného obdobia by inštitúcie využívajúce prístupy IRB mali mať možnosť uplatniť priaznivé zaobchádzanie pri výpočte svojej spodnej hranice pre výstupné hodnoty pre expozície investičného stupňa voči podnikateľským subjektom bez ratingu, pričom by sa mali zaviesť iniciatívy na podporu širokého používania úverových ratingov. Táto prechodná úprava by sa mala doplniť</w:t>
      </w:r>
      <w:r w:rsidR="004F01E9" w:rsidRPr="006C666F">
        <w:rPr>
          <w:noProof/>
        </w:rPr>
        <w:t xml:space="preserve"> o </w:t>
      </w:r>
      <w:r w:rsidR="008A4012" w:rsidRPr="006C666F">
        <w:rPr>
          <w:noProof/>
        </w:rPr>
        <w:t>správu, ktorú vypracuje Európsky orgán pre bankovníctvo (ďalej len „EBA“). Po prechodnom období by inštitúcie mali mať možnosť použiť pri výpočte kapitálových požiadaviek pre väčšinu svojich expozícií voči podnikateľským subjektom ratingové hodnotenia od ECAI.</w:t>
      </w:r>
      <w:r w:rsidR="004F01E9" w:rsidRPr="006C666F">
        <w:rPr>
          <w:noProof/>
        </w:rPr>
        <w:t xml:space="preserve"> S </w:t>
      </w:r>
      <w:r w:rsidR="008A4012" w:rsidRPr="006C666F">
        <w:rPr>
          <w:noProof/>
        </w:rPr>
        <w:t>cieľom informovať</w:t>
      </w:r>
      <w:r w:rsidR="004F01E9" w:rsidRPr="006C666F">
        <w:rPr>
          <w:noProof/>
        </w:rPr>
        <w:t xml:space="preserve"> o </w:t>
      </w:r>
      <w:r w:rsidR="008A4012" w:rsidRPr="006C666F">
        <w:rPr>
          <w:noProof/>
        </w:rPr>
        <w:t>akejkoľvek budúcej iniciatíve týkajúcej sa vytvárania verejných alebo súkromných ratingových systémov by sa od európskych orgánov dohľadu (ďalej len „ESA“) malo požadovať, aby vypracovali správu</w:t>
      </w:r>
      <w:r w:rsidR="004F01E9" w:rsidRPr="006C666F">
        <w:rPr>
          <w:noProof/>
        </w:rPr>
        <w:t xml:space="preserve"> o </w:t>
      </w:r>
      <w:r w:rsidR="008A4012" w:rsidRPr="006C666F">
        <w:rPr>
          <w:noProof/>
        </w:rPr>
        <w:t>prekážkach dostupnosti externých úverových ratingov od ECAI, najmä pre podnikateľské subjekty,</w:t>
      </w:r>
      <w:r w:rsidR="004F01E9" w:rsidRPr="006C666F">
        <w:rPr>
          <w:noProof/>
        </w:rPr>
        <w:t xml:space="preserve"> a o </w:t>
      </w:r>
      <w:r w:rsidR="008A4012" w:rsidRPr="006C666F">
        <w:rPr>
          <w:noProof/>
        </w:rPr>
        <w:t>možných opatreniach na riešenie týchto prekážok. Počas tohto obdobia je Európska komisia pripravená poskytnúť technickú podporu členským štátom prostredníctvom svojho nástroja technickej podpory</w:t>
      </w:r>
      <w:r w:rsidR="004F01E9" w:rsidRPr="006C666F">
        <w:rPr>
          <w:noProof/>
        </w:rPr>
        <w:t xml:space="preserve"> v </w:t>
      </w:r>
      <w:r w:rsidR="008A4012" w:rsidRPr="006C666F">
        <w:rPr>
          <w:noProof/>
        </w:rPr>
        <w:t>tejto oblasti, napr. formulovať stratégie na zvýšenie prenikania ratingov do ich nekótovaných podnikateľských subjektov alebo preskúmať najlepšie postupy pri zakladaní subjektov schopných poskytovať ratingy alebo poskytovať súvisiace poradenstvo podnikateľským subjektom.</w:t>
      </w:r>
    </w:p>
    <w:p w14:paraId="05DB0644" w14:textId="2AF2282D" w:rsidR="008A4012" w:rsidRPr="004F01E9" w:rsidRDefault="007130D9" w:rsidP="007130D9">
      <w:pPr>
        <w:pStyle w:val="ManualConsidrant"/>
        <w:rPr>
          <w:noProof/>
        </w:rPr>
      </w:pPr>
      <w:r w:rsidRPr="007130D9">
        <w:t>(12)</w:t>
      </w:r>
      <w:r w:rsidRPr="007130D9">
        <w:tab/>
      </w:r>
      <w:r w:rsidR="008A4012" w:rsidRPr="004F01E9">
        <w:rPr>
          <w:noProof/>
        </w:rPr>
        <w:t>Pre expozície</w:t>
      </w:r>
      <w:r w:rsidR="004F01E9">
        <w:rPr>
          <w:noProof/>
        </w:rPr>
        <w:t xml:space="preserve"> v </w:t>
      </w:r>
      <w:r w:rsidR="008A4012" w:rsidRPr="004F01E9">
        <w:rPr>
          <w:noProof/>
        </w:rPr>
        <w:t>oblasti nehnuteľností určených na bývanie</w:t>
      </w:r>
      <w:r w:rsidR="004F01E9">
        <w:rPr>
          <w:noProof/>
        </w:rPr>
        <w:t xml:space="preserve"> a </w:t>
      </w:r>
      <w:r w:rsidR="008A4012" w:rsidRPr="004F01E9">
        <w:rPr>
          <w:noProof/>
        </w:rPr>
        <w:t>podnikanie Bazilejský výbor pre bankový dohľad vyvinul prístupy citlivejšie na riziká, aby lepšie odrážali rôzne modely financovania</w:t>
      </w:r>
      <w:r w:rsidR="004F01E9">
        <w:rPr>
          <w:noProof/>
        </w:rPr>
        <w:t xml:space="preserve"> a </w:t>
      </w:r>
      <w:r w:rsidR="008A4012" w:rsidRPr="004F01E9">
        <w:rPr>
          <w:noProof/>
        </w:rPr>
        <w:t>fázy procesu výstavby.</w:t>
      </w:r>
    </w:p>
    <w:p w14:paraId="3E8C22D0" w14:textId="08BF38C9" w:rsidR="008A4012" w:rsidRPr="004F01E9" w:rsidRDefault="007130D9" w:rsidP="007130D9">
      <w:pPr>
        <w:pStyle w:val="ManualConsidrant"/>
        <w:rPr>
          <w:noProof/>
        </w:rPr>
      </w:pPr>
      <w:r w:rsidRPr="007130D9">
        <w:t>(13)</w:t>
      </w:r>
      <w:r w:rsidRPr="007130D9">
        <w:tab/>
      </w:r>
      <w:r w:rsidR="008A4012" w:rsidRPr="004F01E9">
        <w:rPr>
          <w:noProof/>
        </w:rPr>
        <w:t>Finančná kríza</w:t>
      </w:r>
      <w:r w:rsidR="004F01E9">
        <w:rPr>
          <w:noProof/>
        </w:rPr>
        <w:t xml:space="preserve"> v </w:t>
      </w:r>
      <w:r w:rsidR="008A4012" w:rsidRPr="004F01E9">
        <w:rPr>
          <w:noProof/>
        </w:rPr>
        <w:t>rokoch 2008 – 2009 odhalila množstvo nedostatkov súčasného štandardizovaného zaobchádzania</w:t>
      </w:r>
      <w:r w:rsidR="004F01E9">
        <w:rPr>
          <w:noProof/>
        </w:rPr>
        <w:t xml:space="preserve"> s </w:t>
      </w:r>
      <w:r w:rsidR="008A4012" w:rsidRPr="004F01E9">
        <w:rPr>
          <w:noProof/>
        </w:rPr>
        <w:t>expozíciami</w:t>
      </w:r>
      <w:r w:rsidR="004F01E9">
        <w:rPr>
          <w:noProof/>
        </w:rPr>
        <w:t xml:space="preserve"> v </w:t>
      </w:r>
      <w:r w:rsidR="008A4012" w:rsidRPr="004F01E9">
        <w:rPr>
          <w:noProof/>
        </w:rPr>
        <w:t>oblasti nehnuteľností. Tieto nedostatky sa riešili</w:t>
      </w:r>
      <w:r w:rsidR="004F01E9">
        <w:rPr>
          <w:noProof/>
        </w:rPr>
        <w:t xml:space="preserve"> v </w:t>
      </w:r>
      <w:r w:rsidR="008A4012" w:rsidRPr="004F01E9">
        <w:rPr>
          <w:noProof/>
        </w:rPr>
        <w:t>štandardoch Bazilej III.</w:t>
      </w:r>
      <w:r w:rsidR="004F01E9">
        <w:rPr>
          <w:noProof/>
        </w:rPr>
        <w:t xml:space="preserve"> V </w:t>
      </w:r>
      <w:r w:rsidR="008A4012" w:rsidRPr="004F01E9">
        <w:rPr>
          <w:noProof/>
        </w:rPr>
        <w:t>skutočnosti sa</w:t>
      </w:r>
      <w:r w:rsidR="004F01E9">
        <w:rPr>
          <w:noProof/>
        </w:rPr>
        <w:t xml:space="preserve"> v </w:t>
      </w:r>
      <w:r w:rsidR="008A4012" w:rsidRPr="004F01E9">
        <w:rPr>
          <w:noProof/>
        </w:rPr>
        <w:t>štandardoch Bazilej III zaviedli expozície voči nehnuteľnostiam generujúcim príjem (ďalej len „IPRE“) ako nová podkategória triedy expozícií voči podnikateľským subjektom, ktorá podlieha osobitnému zaobchádzaniu na základe rizikovej váhy</w:t>
      </w:r>
      <w:r w:rsidR="004F01E9">
        <w:rPr>
          <w:noProof/>
        </w:rPr>
        <w:t xml:space="preserve"> s </w:t>
      </w:r>
      <w:r w:rsidR="008A4012" w:rsidRPr="004F01E9">
        <w:rPr>
          <w:noProof/>
        </w:rPr>
        <w:t>cieľom presnejšie zohľadňovať riziko spojené</w:t>
      </w:r>
      <w:r w:rsidR="004F01E9">
        <w:rPr>
          <w:noProof/>
        </w:rPr>
        <w:t xml:space="preserve"> s </w:t>
      </w:r>
      <w:r w:rsidR="008A4012" w:rsidRPr="004F01E9">
        <w:rPr>
          <w:noProof/>
        </w:rPr>
        <w:t>týmito expozíciami, ale aj</w:t>
      </w:r>
      <w:r w:rsidR="004F01E9">
        <w:rPr>
          <w:noProof/>
        </w:rPr>
        <w:t xml:space="preserve"> s </w:t>
      </w:r>
      <w:r w:rsidR="008A4012" w:rsidRPr="004F01E9">
        <w:rPr>
          <w:noProof/>
        </w:rPr>
        <w:t>cieľom zlepšiť súlad so zaobchádzaním</w:t>
      </w:r>
      <w:r w:rsidR="004F01E9">
        <w:rPr>
          <w:noProof/>
        </w:rPr>
        <w:t xml:space="preserve"> s </w:t>
      </w:r>
      <w:r w:rsidR="008A4012" w:rsidRPr="004F01E9">
        <w:rPr>
          <w:noProof/>
        </w:rPr>
        <w:t>IPRE</w:t>
      </w:r>
      <w:r w:rsidR="004F01E9">
        <w:rPr>
          <w:noProof/>
        </w:rPr>
        <w:t xml:space="preserve"> v </w:t>
      </w:r>
      <w:r w:rsidR="008A4012" w:rsidRPr="004F01E9">
        <w:rPr>
          <w:noProof/>
        </w:rPr>
        <w:t>rámci prístupu na základe interných ratingov (ďalej len „IRBA“) uvedeného</w:t>
      </w:r>
      <w:r w:rsidR="004F01E9">
        <w:rPr>
          <w:noProof/>
        </w:rPr>
        <w:t xml:space="preserve"> v </w:t>
      </w:r>
      <w:r w:rsidR="008A4012" w:rsidRPr="004F01E9">
        <w:rPr>
          <w:noProof/>
        </w:rPr>
        <w:t xml:space="preserve">časti III hlave II kapitole 3 nariadenia (EÚ) </w:t>
      </w:r>
      <w:r w:rsidR="004F01E9">
        <w:rPr>
          <w:noProof/>
        </w:rPr>
        <w:t>č. </w:t>
      </w:r>
      <w:r w:rsidR="008A4012" w:rsidRPr="004F01E9">
        <w:rPr>
          <w:noProof/>
        </w:rPr>
        <w:t>575/2013.</w:t>
      </w:r>
    </w:p>
    <w:p w14:paraId="4DDBE619" w14:textId="43435275" w:rsidR="00806B81" w:rsidRPr="006C666F" w:rsidRDefault="007130D9" w:rsidP="007130D9">
      <w:pPr>
        <w:pStyle w:val="ManualConsidrant"/>
        <w:rPr>
          <w:noProof/>
        </w:rPr>
      </w:pPr>
      <w:r w:rsidRPr="007130D9">
        <w:t>(14)</w:t>
      </w:r>
      <w:r w:rsidRPr="007130D9">
        <w:tab/>
      </w:r>
      <w:r w:rsidR="008A4012" w:rsidRPr="006C666F">
        <w:rPr>
          <w:noProof/>
        </w:rPr>
        <w:t>V prípade všeobecných expozícií</w:t>
      </w:r>
      <w:r w:rsidR="004F01E9" w:rsidRPr="006C666F">
        <w:rPr>
          <w:noProof/>
        </w:rPr>
        <w:t xml:space="preserve"> v </w:t>
      </w:r>
      <w:r w:rsidR="008A4012" w:rsidRPr="006C666F">
        <w:rPr>
          <w:noProof/>
        </w:rPr>
        <w:t>oblasti nehnuteľností určených na bývanie</w:t>
      </w:r>
      <w:r w:rsidR="004F01E9" w:rsidRPr="006C666F">
        <w:rPr>
          <w:noProof/>
        </w:rPr>
        <w:t xml:space="preserve"> a </w:t>
      </w:r>
      <w:r w:rsidR="008A4012" w:rsidRPr="006C666F">
        <w:rPr>
          <w:noProof/>
        </w:rPr>
        <w:t>podnikanie by sa mal zachovať prístup rozdelenia úverov</w:t>
      </w:r>
      <w:r w:rsidR="004F01E9" w:rsidRPr="006C666F">
        <w:rPr>
          <w:noProof/>
        </w:rPr>
        <w:t xml:space="preserve"> v </w:t>
      </w:r>
      <w:r w:rsidR="008A4012" w:rsidRPr="006C666F">
        <w:rPr>
          <w:noProof/>
        </w:rPr>
        <w:t>článkoch 124 až 126 nariadenia, keďže tento prístup je citlivý na typ dlžníka</w:t>
      </w:r>
      <w:r w:rsidR="004F01E9" w:rsidRPr="006C666F">
        <w:rPr>
          <w:noProof/>
        </w:rPr>
        <w:t xml:space="preserve"> a </w:t>
      </w:r>
      <w:r w:rsidR="008A4012" w:rsidRPr="006C666F">
        <w:rPr>
          <w:noProof/>
        </w:rPr>
        <w:t>zohľadňujú sa</w:t>
      </w:r>
      <w:r w:rsidR="004F01E9" w:rsidRPr="006C666F">
        <w:rPr>
          <w:noProof/>
        </w:rPr>
        <w:t xml:space="preserve"> v </w:t>
      </w:r>
      <w:r w:rsidR="008A4012" w:rsidRPr="006C666F">
        <w:rPr>
          <w:noProof/>
        </w:rPr>
        <w:t>ňom účinky kolaterálu vo forme nehnuteľnosti na zmiernenie rizika</w:t>
      </w:r>
      <w:r w:rsidR="004F01E9" w:rsidRPr="006C666F">
        <w:rPr>
          <w:noProof/>
        </w:rPr>
        <w:t xml:space="preserve"> v </w:t>
      </w:r>
      <w:r w:rsidR="008A4012" w:rsidRPr="006C666F">
        <w:rPr>
          <w:noProof/>
        </w:rPr>
        <w:t>príslušných rizikových váhach,</w:t>
      </w:r>
      <w:r w:rsidR="004F01E9" w:rsidRPr="006C666F">
        <w:rPr>
          <w:noProof/>
        </w:rPr>
        <w:t xml:space="preserve"> a </w:t>
      </w:r>
      <w:r w:rsidR="008A4012" w:rsidRPr="006C666F">
        <w:rPr>
          <w:noProof/>
        </w:rPr>
        <w:t>to aj</w:t>
      </w:r>
      <w:r w:rsidR="004F01E9" w:rsidRPr="006C666F">
        <w:rPr>
          <w:noProof/>
        </w:rPr>
        <w:t xml:space="preserve"> v </w:t>
      </w:r>
      <w:r w:rsidR="008A4012" w:rsidRPr="006C666F">
        <w:rPr>
          <w:noProof/>
        </w:rPr>
        <w:t>prípade vysokých pomerov výšky úveru</w:t>
      </w:r>
      <w:r w:rsidR="004F01E9" w:rsidRPr="006C666F">
        <w:rPr>
          <w:noProof/>
        </w:rPr>
        <w:t xml:space="preserve"> k </w:t>
      </w:r>
      <w:r w:rsidR="008A4012" w:rsidRPr="006C666F">
        <w:rPr>
          <w:noProof/>
        </w:rPr>
        <w:t>hodnote zabezpečenia (ďalej len „LTV“). Jeho nastavenie by sa však malo upraviť</w:t>
      </w:r>
      <w:r w:rsidR="004F01E9" w:rsidRPr="006C666F">
        <w:rPr>
          <w:noProof/>
        </w:rPr>
        <w:t xml:space="preserve"> v </w:t>
      </w:r>
      <w:r w:rsidR="008A4012" w:rsidRPr="006C666F">
        <w:rPr>
          <w:noProof/>
        </w:rPr>
        <w:t>súlade so štandardmi Bazilej III, keďže sa zistilo, že je príliš konzervatívny pre hypotéky</w:t>
      </w:r>
      <w:r w:rsidR="004F01E9" w:rsidRPr="006C666F">
        <w:rPr>
          <w:noProof/>
        </w:rPr>
        <w:t xml:space="preserve"> s </w:t>
      </w:r>
      <w:r w:rsidR="008A4012" w:rsidRPr="006C666F">
        <w:rPr>
          <w:noProof/>
        </w:rPr>
        <w:t>veľmi nízkymi pomermi LTV.</w:t>
      </w:r>
    </w:p>
    <w:p w14:paraId="729C9CB7" w14:textId="052DA5EE" w:rsidR="008A4012" w:rsidRPr="006C666F" w:rsidRDefault="007130D9" w:rsidP="007130D9">
      <w:pPr>
        <w:pStyle w:val="ManualConsidrant"/>
        <w:rPr>
          <w:noProof/>
        </w:rPr>
      </w:pPr>
      <w:r w:rsidRPr="007130D9">
        <w:t>(15)</w:t>
      </w:r>
      <w:r w:rsidRPr="007130D9">
        <w:tab/>
      </w:r>
      <w:r w:rsidR="008A4012" w:rsidRPr="006C666F">
        <w:rPr>
          <w:noProof/>
        </w:rPr>
        <w:t>Aby sa zabezpečilo, že vplyvy spodnej hranice pre výstupné hodnoty na hypotekárne úvery</w:t>
      </w:r>
      <w:r w:rsidR="004F01E9" w:rsidRPr="006C666F">
        <w:rPr>
          <w:noProof/>
        </w:rPr>
        <w:t xml:space="preserve"> s </w:t>
      </w:r>
      <w:r w:rsidR="008A4012" w:rsidRPr="006C666F">
        <w:rPr>
          <w:noProof/>
        </w:rPr>
        <w:t>nízkym rizikom na kúpu nehnuteľností na bývanie poskytovaných inštitúciami, ktoré využívajú prístupy IRB, budú rozložené na dostatočne dlhé obdobie,</w:t>
      </w:r>
      <w:r w:rsidR="004F01E9" w:rsidRPr="006C666F">
        <w:rPr>
          <w:noProof/>
        </w:rPr>
        <w:t xml:space="preserve"> a </w:t>
      </w:r>
      <w:r w:rsidR="008A4012" w:rsidRPr="006C666F">
        <w:rPr>
          <w:noProof/>
        </w:rPr>
        <w:t>tak sa predíde narušeniam tohto typu úverov, ktoré by mohlo spôsobiť náhle zvýšenie požiadaviek na vlastné zdroje, je potrebné stanoviť osobitnú prechodnú úpravu. Počas trvania opatrenia by mali mať inštitúcie IRB možnosť použiť pri výpočte spodnej hranice pre výstupné hodnoty nižšiu rizikovú váhu na tú časť svojich expozícií</w:t>
      </w:r>
      <w:r w:rsidR="004F01E9" w:rsidRPr="006C666F">
        <w:rPr>
          <w:noProof/>
        </w:rPr>
        <w:t xml:space="preserve"> v </w:t>
      </w:r>
      <w:r w:rsidR="008A4012" w:rsidRPr="006C666F">
        <w:rPr>
          <w:noProof/>
        </w:rPr>
        <w:t>prípade hypoték na obytné nehnuteľnosti, ktorá sa považuje za zabezpečenú nehnuteľným majetkom určeným na bývanie podľa revidovaného prístupu SA-CR. Aby sa zabezpečilo, že prechodná úprava bude dostupná len pre nízkorizikové expozície</w:t>
      </w:r>
      <w:r w:rsidR="004F01E9" w:rsidRPr="006C666F">
        <w:rPr>
          <w:noProof/>
        </w:rPr>
        <w:t xml:space="preserve"> v </w:t>
      </w:r>
      <w:r w:rsidR="008A4012" w:rsidRPr="006C666F">
        <w:rPr>
          <w:noProof/>
        </w:rPr>
        <w:t>prípade hypoték na obytné nehnuteľnosti, mali by sa stanoviť vhodné kritériá prípustnosti založené na zavedených koncepciách, ktoré sa používajú</w:t>
      </w:r>
      <w:r w:rsidR="004F01E9" w:rsidRPr="006C666F">
        <w:rPr>
          <w:noProof/>
        </w:rPr>
        <w:t xml:space="preserve"> v </w:t>
      </w:r>
      <w:r w:rsidR="008A4012" w:rsidRPr="006C666F">
        <w:rPr>
          <w:noProof/>
        </w:rPr>
        <w:t>rámci prístupu SA-CR. Súlad</w:t>
      </w:r>
      <w:r w:rsidR="004F01E9" w:rsidRPr="006C666F">
        <w:rPr>
          <w:noProof/>
        </w:rPr>
        <w:t xml:space="preserve"> s </w:t>
      </w:r>
      <w:r w:rsidR="008A4012" w:rsidRPr="006C666F">
        <w:rPr>
          <w:noProof/>
        </w:rPr>
        <w:t>týmito kritériami by mali overovať príslušné orgány. Keďže trhy</w:t>
      </w:r>
      <w:r w:rsidR="004F01E9" w:rsidRPr="006C666F">
        <w:rPr>
          <w:noProof/>
        </w:rPr>
        <w:t xml:space="preserve"> s </w:t>
      </w:r>
      <w:r w:rsidR="008A4012" w:rsidRPr="006C666F">
        <w:rPr>
          <w:noProof/>
        </w:rPr>
        <w:t>nehnuteľnosťami určenými na bývanie sa môžu</w:t>
      </w:r>
      <w:r w:rsidR="004F01E9" w:rsidRPr="006C666F">
        <w:rPr>
          <w:noProof/>
        </w:rPr>
        <w:t xml:space="preserve"> v </w:t>
      </w:r>
      <w:r w:rsidR="008A4012" w:rsidRPr="006C666F">
        <w:rPr>
          <w:noProof/>
        </w:rPr>
        <w:t>jednotlivých členských štátoch líšiť, rozhodnutie</w:t>
      </w:r>
      <w:r w:rsidR="004F01E9" w:rsidRPr="006C666F">
        <w:rPr>
          <w:noProof/>
        </w:rPr>
        <w:t xml:space="preserve"> o </w:t>
      </w:r>
      <w:r w:rsidR="008A4012" w:rsidRPr="006C666F">
        <w:rPr>
          <w:noProof/>
        </w:rPr>
        <w:t>tom, či aktivovať prechodnú úpravu, by sa malo ponechať na jednotlivé členské štáty. Používanie prechodnej úpravy by mal monitorovať orgán EBA.</w:t>
      </w:r>
    </w:p>
    <w:p w14:paraId="7D351382" w14:textId="620C1926" w:rsidR="008A4012" w:rsidRPr="006C666F" w:rsidRDefault="007130D9" w:rsidP="007130D9">
      <w:pPr>
        <w:pStyle w:val="ManualConsidrant"/>
        <w:rPr>
          <w:noProof/>
        </w:rPr>
      </w:pPr>
      <w:r w:rsidRPr="007130D9">
        <w:t>(16)</w:t>
      </w:r>
      <w:r w:rsidRPr="007130D9">
        <w:tab/>
      </w:r>
      <w:r w:rsidR="008A4012" w:rsidRPr="006C666F">
        <w:rPr>
          <w:noProof/>
        </w:rPr>
        <w:t>V dôsledku nedostatočnej jasnosti</w:t>
      </w:r>
      <w:r w:rsidR="004F01E9" w:rsidRPr="006C666F">
        <w:rPr>
          <w:noProof/>
        </w:rPr>
        <w:t xml:space="preserve"> a </w:t>
      </w:r>
      <w:r w:rsidR="008A4012" w:rsidRPr="006C666F">
        <w:rPr>
          <w:noProof/>
        </w:rPr>
        <w:t>citlivosti súčasného zaobchádzania so špekulatívnym financovaním nehnuteľného majetku na riziko sa kapitálové požiadavky na tieto expozície</w:t>
      </w:r>
      <w:r w:rsidR="004F01E9" w:rsidRPr="006C666F">
        <w:rPr>
          <w:noProof/>
        </w:rPr>
        <w:t xml:space="preserve"> v </w:t>
      </w:r>
      <w:r w:rsidR="008A4012" w:rsidRPr="006C666F">
        <w:rPr>
          <w:noProof/>
        </w:rPr>
        <w:t>súčasnosti často považujú za príliš vysoké alebo príliš nízke. Toto zaobchádzanie by sa preto malo nahradiť osobitným zaobchádzaním</w:t>
      </w:r>
      <w:r w:rsidR="004F01E9" w:rsidRPr="006C666F">
        <w:rPr>
          <w:noProof/>
        </w:rPr>
        <w:t xml:space="preserve"> s </w:t>
      </w:r>
      <w:r w:rsidR="008A4012" w:rsidRPr="006C666F">
        <w:rPr>
          <w:noProof/>
        </w:rPr>
        <w:t>expozíciami ADC, ktoré zahŕňa úvery podnikom alebo účelovo vytvoreným subjektom financujúcim nadobudnutie pozemkov na účely rozvoja</w:t>
      </w:r>
      <w:r w:rsidR="004F01E9" w:rsidRPr="006C666F">
        <w:rPr>
          <w:noProof/>
        </w:rPr>
        <w:t xml:space="preserve"> a </w:t>
      </w:r>
      <w:r w:rsidR="008A4012" w:rsidRPr="006C666F">
        <w:rPr>
          <w:noProof/>
        </w:rPr>
        <w:t>výstavby alebo na rozvoj</w:t>
      </w:r>
      <w:r w:rsidR="004F01E9" w:rsidRPr="006C666F">
        <w:rPr>
          <w:noProof/>
        </w:rPr>
        <w:t xml:space="preserve"> a </w:t>
      </w:r>
      <w:r w:rsidR="008A4012" w:rsidRPr="006C666F">
        <w:rPr>
          <w:noProof/>
        </w:rPr>
        <w:t>výstavbu akéhokoľvek nehnuteľného majetku určeného na bývanie alebo podnikanie.</w:t>
      </w:r>
    </w:p>
    <w:p w14:paraId="51E2387D" w14:textId="1FA041E1" w:rsidR="004F01E9" w:rsidRPr="006C666F" w:rsidRDefault="007130D9" w:rsidP="007130D9">
      <w:pPr>
        <w:pStyle w:val="ManualConsidrant"/>
        <w:rPr>
          <w:noProof/>
        </w:rPr>
      </w:pPr>
      <w:r w:rsidRPr="007130D9">
        <w:t>(17)</w:t>
      </w:r>
      <w:r w:rsidRPr="007130D9">
        <w:tab/>
      </w:r>
      <w:r w:rsidR="008A4012" w:rsidRPr="006C666F">
        <w:rPr>
          <w:noProof/>
        </w:rPr>
        <w:t>Dôležité je znížiť vplyv cyklických účinkov na ocenenie majetku zabezpečujúceho úver</w:t>
      </w:r>
      <w:r w:rsidR="004F01E9" w:rsidRPr="006C666F">
        <w:rPr>
          <w:noProof/>
        </w:rPr>
        <w:t xml:space="preserve"> a </w:t>
      </w:r>
      <w:r w:rsidR="008A4012" w:rsidRPr="006C666F">
        <w:rPr>
          <w:noProof/>
        </w:rPr>
        <w:t>udržať stabilnejšie kapitálové požiadavky na hypotéky. Hodnota majetku uznaná na prudenciálne účely by preto nemala presiahnuť priemernú hodnotu porovnateľného majetku nameranú počas dostatočne dlhého monitorovacieho obdobia, pokiaľ úpravy tohto majetku jednoznačne nezvýšia jeho hodnotu. Aby sa predišlo neželaným dôsledkom na fungovanie trhov</w:t>
      </w:r>
      <w:r w:rsidR="004F01E9" w:rsidRPr="006C666F">
        <w:rPr>
          <w:noProof/>
        </w:rPr>
        <w:t xml:space="preserve"> s </w:t>
      </w:r>
      <w:r w:rsidR="008A4012" w:rsidRPr="006C666F">
        <w:rPr>
          <w:noProof/>
        </w:rPr>
        <w:t>krytými dlhopismi, príslušné orgány môžu inštitúciám povoliť pravidelné preceňovanie nehnuteľného majetku bez uplatňovania týchto obmedzení na zvýšenie hodnoty. Úpravy, ktoré zvyšujú energetickú účinnosť budov</w:t>
      </w:r>
      <w:r w:rsidR="004F01E9" w:rsidRPr="006C666F">
        <w:rPr>
          <w:noProof/>
        </w:rPr>
        <w:t xml:space="preserve"> a </w:t>
      </w:r>
      <w:r w:rsidR="008A4012" w:rsidRPr="006C666F">
        <w:rPr>
          <w:noProof/>
        </w:rPr>
        <w:t>bytových jednotiek, by sa mali považovať za zvyšovanie hodnoty</w:t>
      </w:r>
      <w:r w:rsidR="004F01E9" w:rsidRPr="006C666F">
        <w:rPr>
          <w:noProof/>
        </w:rPr>
        <w:t>.</w:t>
      </w:r>
    </w:p>
    <w:p w14:paraId="1FF64D50" w14:textId="00AD9E58" w:rsidR="00806B81" w:rsidRPr="006C666F" w:rsidRDefault="007130D9" w:rsidP="007130D9">
      <w:pPr>
        <w:pStyle w:val="ManualConsidrant"/>
        <w:rPr>
          <w:noProof/>
        </w:rPr>
      </w:pPr>
      <w:r w:rsidRPr="007130D9">
        <w:t>(18)</w:t>
      </w:r>
      <w:r w:rsidRPr="007130D9">
        <w:tab/>
      </w:r>
      <w:r w:rsidR="008A4012" w:rsidRPr="006C666F">
        <w:rPr>
          <w:noProof/>
        </w:rPr>
        <w:t>Špecializované financovanie sa vykonáva pomocou účelovo vytvorených subjektov, ktoré zvyčajne slúžia ako požičiavajúce subjekty, pre ktoré je návratnosť investícií primárnym zdrojom splácania získaných financií. Zmluvné dojednania</w:t>
      </w:r>
      <w:r w:rsidR="004F01E9" w:rsidRPr="006C666F">
        <w:rPr>
          <w:noProof/>
        </w:rPr>
        <w:t xml:space="preserve"> v </w:t>
      </w:r>
      <w:r w:rsidR="008A4012" w:rsidRPr="006C666F">
        <w:rPr>
          <w:noProof/>
        </w:rPr>
        <w:t>rámci modelu špecializovaného financovania poskytujú veriteľovi podstatnú mieru kontroly nad aktívami</w:t>
      </w:r>
      <w:r w:rsidR="004F01E9" w:rsidRPr="006C666F">
        <w:rPr>
          <w:noProof/>
        </w:rPr>
        <w:t xml:space="preserve"> a </w:t>
      </w:r>
      <w:r w:rsidR="008A4012" w:rsidRPr="006C666F">
        <w:rPr>
          <w:noProof/>
        </w:rPr>
        <w:t>primárnym zdrojom splatenia záväzku je príjem generovaný financovanými aktívami. Na presnejšie vyjadrenie súvisiaceho rizika by preto tieto zmluvné dojednania mali podliehať osobitným kapitálovým požiadavkám na kreditné riziko.</w:t>
      </w:r>
      <w:r w:rsidR="004F01E9" w:rsidRPr="006C666F">
        <w:rPr>
          <w:noProof/>
        </w:rPr>
        <w:t xml:space="preserve"> V </w:t>
      </w:r>
      <w:r w:rsidR="008A4012" w:rsidRPr="006C666F">
        <w:rPr>
          <w:noProof/>
        </w:rPr>
        <w:t>súlade</w:t>
      </w:r>
      <w:r w:rsidR="004F01E9" w:rsidRPr="006C666F">
        <w:rPr>
          <w:noProof/>
        </w:rPr>
        <w:t xml:space="preserve"> s </w:t>
      </w:r>
      <w:r w:rsidR="008A4012" w:rsidRPr="006C666F">
        <w:rPr>
          <w:noProof/>
        </w:rPr>
        <w:t>medzinárodne dohodnutými štandardmi Bazilej III</w:t>
      </w:r>
      <w:r w:rsidR="004F01E9" w:rsidRPr="006C666F">
        <w:rPr>
          <w:noProof/>
        </w:rPr>
        <w:t xml:space="preserve"> o </w:t>
      </w:r>
      <w:r w:rsidR="008A4012" w:rsidRPr="006C666F">
        <w:rPr>
          <w:noProof/>
        </w:rPr>
        <w:t>priraďovaní rizikových váh expozíciám vo forme špecializovaného financovania by sa</w:t>
      </w:r>
      <w:r w:rsidR="004F01E9" w:rsidRPr="006C666F">
        <w:rPr>
          <w:noProof/>
        </w:rPr>
        <w:t xml:space="preserve"> v </w:t>
      </w:r>
      <w:r w:rsidR="008A4012" w:rsidRPr="006C666F">
        <w:rPr>
          <w:noProof/>
        </w:rPr>
        <w:t>rámci prístupu SA-CR mala zaviesť osobitná trieda špecializovaných expozícií, čím sa zlepší súlad</w:t>
      </w:r>
      <w:r w:rsidR="004F01E9" w:rsidRPr="006C666F">
        <w:rPr>
          <w:noProof/>
        </w:rPr>
        <w:t xml:space="preserve"> s </w:t>
      </w:r>
      <w:r w:rsidR="008A4012" w:rsidRPr="006C666F">
        <w:rPr>
          <w:noProof/>
        </w:rPr>
        <w:t>existujúcim osobitným zaobchádzaním so špecializovaným financovaním podľa prístupov IRB. Malo by sa zaviesť osobitné zaobchádzanie</w:t>
      </w:r>
      <w:r w:rsidR="004F01E9" w:rsidRPr="006C666F">
        <w:rPr>
          <w:noProof/>
        </w:rPr>
        <w:t xml:space="preserve"> s </w:t>
      </w:r>
      <w:r w:rsidR="008A4012" w:rsidRPr="006C666F">
        <w:rPr>
          <w:noProof/>
        </w:rPr>
        <w:t>expozíciami vo forme špecializovaného financovania, pričom by sa malo rozlišovať medzi „financovaním projektov“, „financovaním predmetov“</w:t>
      </w:r>
      <w:r w:rsidR="004F01E9" w:rsidRPr="006C666F">
        <w:rPr>
          <w:noProof/>
        </w:rPr>
        <w:t xml:space="preserve"> a </w:t>
      </w:r>
      <w:r w:rsidR="008A4012" w:rsidRPr="006C666F">
        <w:rPr>
          <w:noProof/>
        </w:rPr>
        <w:t>„financovaním komodít“,</w:t>
      </w:r>
      <w:r w:rsidR="004F01E9" w:rsidRPr="006C666F">
        <w:rPr>
          <w:noProof/>
        </w:rPr>
        <w:t xml:space="preserve"> s </w:t>
      </w:r>
      <w:r w:rsidR="008A4012" w:rsidRPr="006C666F">
        <w:rPr>
          <w:noProof/>
        </w:rPr>
        <w:t>cieľom lepšie zohľadniť inherentné riziká týchto podtried triedy špecializovaných expozícií. Podobne ako</w:t>
      </w:r>
      <w:r w:rsidR="004F01E9" w:rsidRPr="006C666F">
        <w:rPr>
          <w:noProof/>
        </w:rPr>
        <w:t xml:space="preserve"> v </w:t>
      </w:r>
      <w:r w:rsidR="008A4012" w:rsidRPr="006C666F">
        <w:rPr>
          <w:noProof/>
        </w:rPr>
        <w:t>prípade expozícií voči podnikateľským subjektom by sa mali zaviesť dva prístupy na priraďovanie rizikových váh, jeden pre jurisdikcie umožňujúce použitie externých ratingov na regulačné účely</w:t>
      </w:r>
      <w:r w:rsidR="004F01E9" w:rsidRPr="006C666F">
        <w:rPr>
          <w:noProof/>
        </w:rPr>
        <w:t xml:space="preserve"> a </w:t>
      </w:r>
      <w:r w:rsidR="008A4012" w:rsidRPr="006C666F">
        <w:rPr>
          <w:noProof/>
        </w:rPr>
        <w:t>jeden pre jurisdikcie, ktoré to neumožňujú.</w:t>
      </w:r>
    </w:p>
    <w:p w14:paraId="48BA84C1" w14:textId="5A4E15F8" w:rsidR="008A4012" w:rsidRPr="006C666F" w:rsidRDefault="007130D9" w:rsidP="007130D9">
      <w:pPr>
        <w:pStyle w:val="ManualConsidrant"/>
        <w:rPr>
          <w:noProof/>
        </w:rPr>
      </w:pPr>
      <w:r w:rsidRPr="007130D9">
        <w:t>(19)</w:t>
      </w:r>
      <w:r w:rsidRPr="007130D9">
        <w:tab/>
      </w:r>
      <w:r w:rsidR="008A4012" w:rsidRPr="006C666F">
        <w:rPr>
          <w:noProof/>
        </w:rPr>
        <w:t>Zatiaľ čo nové štandardizované zaobchádzanie</w:t>
      </w:r>
      <w:r w:rsidR="004F01E9" w:rsidRPr="006C666F">
        <w:rPr>
          <w:noProof/>
        </w:rPr>
        <w:t xml:space="preserve"> s </w:t>
      </w:r>
      <w:r w:rsidR="008A4012" w:rsidRPr="006C666F">
        <w:rPr>
          <w:noProof/>
        </w:rPr>
        <w:t>expozíciami vo forme špecializovaného financovania bez ratingu stanovené</w:t>
      </w:r>
      <w:r w:rsidR="004F01E9" w:rsidRPr="006C666F">
        <w:rPr>
          <w:noProof/>
        </w:rPr>
        <w:t xml:space="preserve"> v </w:t>
      </w:r>
      <w:r w:rsidR="008A4012" w:rsidRPr="006C666F">
        <w:rPr>
          <w:noProof/>
        </w:rPr>
        <w:t>štandardoch Bazilej III je podrobnejšie ako súčasné štandardizované zaobchádzanie</w:t>
      </w:r>
      <w:r w:rsidR="004F01E9" w:rsidRPr="006C666F">
        <w:rPr>
          <w:noProof/>
        </w:rPr>
        <w:t xml:space="preserve"> s </w:t>
      </w:r>
      <w:r w:rsidR="008A4012" w:rsidRPr="006C666F">
        <w:rPr>
          <w:noProof/>
        </w:rPr>
        <w:t>expozíciami voči podnikateľským subjektom podľa tohto nariadenia, nové štandardizované zaobchádzanie</w:t>
      </w:r>
      <w:r w:rsidR="004F01E9" w:rsidRPr="006C666F">
        <w:rPr>
          <w:noProof/>
        </w:rPr>
        <w:t xml:space="preserve"> s </w:t>
      </w:r>
      <w:r w:rsidR="008A4012" w:rsidRPr="006C666F">
        <w:rPr>
          <w:noProof/>
        </w:rPr>
        <w:t>expozíciami vo forme špecializovaného financovania bez ratingu nie je dostatočne citlivé na riziko, aby sa</w:t>
      </w:r>
      <w:r w:rsidR="004F01E9" w:rsidRPr="006C666F">
        <w:rPr>
          <w:noProof/>
        </w:rPr>
        <w:t xml:space="preserve"> v </w:t>
      </w:r>
      <w:r w:rsidR="008A4012" w:rsidRPr="006C666F">
        <w:rPr>
          <w:noProof/>
        </w:rPr>
        <w:t>ňom zohľadnili účinky komplexných bezpečnostných balíkov</w:t>
      </w:r>
      <w:r w:rsidR="004F01E9" w:rsidRPr="006C666F">
        <w:rPr>
          <w:noProof/>
        </w:rPr>
        <w:t xml:space="preserve"> a </w:t>
      </w:r>
      <w:r w:rsidR="008A4012" w:rsidRPr="006C666F">
        <w:rPr>
          <w:noProof/>
        </w:rPr>
        <w:t>prísľubov zvyčajne spojených</w:t>
      </w:r>
      <w:r w:rsidR="004F01E9" w:rsidRPr="006C666F">
        <w:rPr>
          <w:noProof/>
        </w:rPr>
        <w:t xml:space="preserve"> s </w:t>
      </w:r>
      <w:r w:rsidR="008A4012" w:rsidRPr="006C666F">
        <w:rPr>
          <w:noProof/>
        </w:rPr>
        <w:t>týmito expozíciami</w:t>
      </w:r>
      <w:r w:rsidR="004F01E9" w:rsidRPr="006C666F">
        <w:rPr>
          <w:noProof/>
        </w:rPr>
        <w:t xml:space="preserve"> v </w:t>
      </w:r>
      <w:r w:rsidR="008A4012" w:rsidRPr="006C666F">
        <w:rPr>
          <w:noProof/>
        </w:rPr>
        <w:t>Únii, ktoré umožňujú veriteľom kontrolovať budúce peňažné toky, ktoré sa majú generovať počas životnosti projektu alebo aktíva.</w:t>
      </w:r>
      <w:r w:rsidR="004F01E9" w:rsidRPr="006C666F">
        <w:rPr>
          <w:noProof/>
        </w:rPr>
        <w:t xml:space="preserve"> V </w:t>
      </w:r>
      <w:r w:rsidR="008A4012" w:rsidRPr="006C666F">
        <w:rPr>
          <w:noProof/>
        </w:rPr>
        <w:t>dôsledku nedostatočného externého ratingového krytia expozícií vo forme špecializovaného financovania</w:t>
      </w:r>
      <w:r w:rsidR="004F01E9" w:rsidRPr="006C666F">
        <w:rPr>
          <w:noProof/>
        </w:rPr>
        <w:t xml:space="preserve"> v </w:t>
      </w:r>
      <w:r w:rsidR="008A4012" w:rsidRPr="006C666F">
        <w:rPr>
          <w:noProof/>
        </w:rPr>
        <w:t>Únii môže zaobchádzanie</w:t>
      </w:r>
      <w:r w:rsidR="004F01E9" w:rsidRPr="006C666F">
        <w:rPr>
          <w:noProof/>
        </w:rPr>
        <w:t xml:space="preserve"> s </w:t>
      </w:r>
      <w:r w:rsidR="008A4012" w:rsidRPr="006C666F">
        <w:rPr>
          <w:noProof/>
        </w:rPr>
        <w:t>expozíciami vo forme špecializovaného financovania bez ratingu stanovené</w:t>
      </w:r>
      <w:r w:rsidR="004F01E9" w:rsidRPr="006C666F">
        <w:rPr>
          <w:noProof/>
        </w:rPr>
        <w:t xml:space="preserve"> v </w:t>
      </w:r>
      <w:r w:rsidR="008A4012" w:rsidRPr="006C666F">
        <w:rPr>
          <w:noProof/>
        </w:rPr>
        <w:t>štandardoch Bazilej III vytvárať stimuly pre inštitúcie, aby prestali financovať určité projekty alebo aby prevzali vyššie riziko</w:t>
      </w:r>
      <w:r w:rsidR="004F01E9" w:rsidRPr="006C666F">
        <w:rPr>
          <w:noProof/>
        </w:rPr>
        <w:t xml:space="preserve"> v </w:t>
      </w:r>
      <w:r w:rsidR="008A4012" w:rsidRPr="006C666F">
        <w:rPr>
          <w:noProof/>
        </w:rPr>
        <w:t>prípade expozícií,</w:t>
      </w:r>
      <w:r w:rsidR="004F01E9" w:rsidRPr="006C666F">
        <w:rPr>
          <w:noProof/>
        </w:rPr>
        <w:t xml:space="preserve"> s </w:t>
      </w:r>
      <w:r w:rsidR="008A4012" w:rsidRPr="006C666F">
        <w:rPr>
          <w:noProof/>
        </w:rPr>
        <w:t>ktorými sa inak zaobchádza podobne</w:t>
      </w:r>
      <w:r w:rsidR="004F01E9" w:rsidRPr="006C666F">
        <w:rPr>
          <w:noProof/>
        </w:rPr>
        <w:t xml:space="preserve"> a </w:t>
      </w:r>
      <w:r w:rsidR="008A4012" w:rsidRPr="006C666F">
        <w:rPr>
          <w:noProof/>
        </w:rPr>
        <w:t>ktoré majú rôzne rizikové profily. Zatiaľ čo expozície vo forme špecializovaného financovania väčšinou financujú inštitúcie používajúce prístup IRB, ktoré majú pre tieto expozície zavedené interné modely, vplyv môže byť obzvlášť významný</w:t>
      </w:r>
      <w:r w:rsidR="004F01E9" w:rsidRPr="006C666F">
        <w:rPr>
          <w:noProof/>
        </w:rPr>
        <w:t xml:space="preserve"> v </w:t>
      </w:r>
      <w:r w:rsidR="008A4012" w:rsidRPr="006C666F">
        <w:rPr>
          <w:noProof/>
        </w:rPr>
        <w:t>prípade expozícií „financovania predmetov“, pri ktorých by</w:t>
      </w:r>
      <w:r w:rsidR="004F01E9" w:rsidRPr="006C666F">
        <w:rPr>
          <w:noProof/>
        </w:rPr>
        <w:t xml:space="preserve"> v </w:t>
      </w:r>
      <w:r w:rsidR="008A4012" w:rsidRPr="006C666F">
        <w:rPr>
          <w:noProof/>
        </w:rPr>
        <w:t>konkrétnom kontexte uplatňovania spodnej hranice pre výstupné hodnoty mohlo hroziť prerušenie činností. Aby sa predišlo neúmyselným dôsledkom nedostatočnej citlivosti na riziko bazilejského zaobchádzania</w:t>
      </w:r>
      <w:r w:rsidR="004F01E9" w:rsidRPr="006C666F">
        <w:rPr>
          <w:noProof/>
        </w:rPr>
        <w:t xml:space="preserve"> s </w:t>
      </w:r>
      <w:r w:rsidR="008A4012" w:rsidRPr="006C666F">
        <w:rPr>
          <w:noProof/>
        </w:rPr>
        <w:t>expozíciami</w:t>
      </w:r>
      <w:r w:rsidR="004F01E9" w:rsidRPr="006C666F">
        <w:rPr>
          <w:noProof/>
        </w:rPr>
        <w:t xml:space="preserve"> v </w:t>
      </w:r>
      <w:r w:rsidR="008A4012" w:rsidRPr="006C666F">
        <w:rPr>
          <w:noProof/>
        </w:rPr>
        <w:t>oblasti financovania predmetov bez ratingu, na expozície</w:t>
      </w:r>
      <w:r w:rsidR="004F01E9" w:rsidRPr="006C666F">
        <w:rPr>
          <w:noProof/>
        </w:rPr>
        <w:t xml:space="preserve"> v </w:t>
      </w:r>
      <w:r w:rsidR="008A4012" w:rsidRPr="006C666F">
        <w:rPr>
          <w:noProof/>
        </w:rPr>
        <w:t>oblasti financovania predmetov, ktoré spĺňajú súbor kritérií schopných znížiť ich rizikový profil na „vysokokvalitné“ normy kompatibilné</w:t>
      </w:r>
      <w:r w:rsidR="004F01E9" w:rsidRPr="006C666F">
        <w:rPr>
          <w:noProof/>
        </w:rPr>
        <w:t xml:space="preserve"> s </w:t>
      </w:r>
      <w:r w:rsidR="008A4012" w:rsidRPr="006C666F">
        <w:rPr>
          <w:noProof/>
        </w:rPr>
        <w:t>obozretným</w:t>
      </w:r>
      <w:r w:rsidR="004F01E9" w:rsidRPr="006C666F">
        <w:rPr>
          <w:noProof/>
        </w:rPr>
        <w:t xml:space="preserve"> a </w:t>
      </w:r>
      <w:r w:rsidR="008A4012" w:rsidRPr="006C666F">
        <w:rPr>
          <w:noProof/>
        </w:rPr>
        <w:t>konzervatívnym riadením finančných rizík, by sa mala uplatňovať znížená riziková váha. Orgán EBA je poverený vypracovaním návrhov regulačných technických predpisov,</w:t>
      </w:r>
      <w:r w:rsidR="004F01E9" w:rsidRPr="006C666F">
        <w:rPr>
          <w:noProof/>
        </w:rPr>
        <w:t xml:space="preserve"> v </w:t>
      </w:r>
      <w:r w:rsidR="008A4012" w:rsidRPr="006C666F">
        <w:rPr>
          <w:noProof/>
        </w:rPr>
        <w:t>ktorých sa stanovia podmienky, za ktorých môžu inštitúcie zaradiť expozíciu vo forme špecializovaného financovania predmetov do kategórie „vysokej kvality“</w:t>
      </w:r>
      <w:r w:rsidR="004F01E9" w:rsidRPr="006C666F">
        <w:rPr>
          <w:noProof/>
        </w:rPr>
        <w:t xml:space="preserve"> s </w:t>
      </w:r>
      <w:r w:rsidR="008A4012" w:rsidRPr="006C666F">
        <w:rPr>
          <w:noProof/>
        </w:rPr>
        <w:t>rizikovou váhou podobnou expozíciám</w:t>
      </w:r>
      <w:r w:rsidR="004F01E9" w:rsidRPr="006C666F">
        <w:rPr>
          <w:noProof/>
        </w:rPr>
        <w:t xml:space="preserve"> v </w:t>
      </w:r>
      <w:r w:rsidR="008A4012" w:rsidRPr="006C666F">
        <w:rPr>
          <w:noProof/>
        </w:rPr>
        <w:t>oblasti financovania projektov „vysokej kvality“ podľa prístupu SA-CR. Inštitúcie so sídlom</w:t>
      </w:r>
      <w:r w:rsidR="004F01E9" w:rsidRPr="006C666F">
        <w:rPr>
          <w:noProof/>
        </w:rPr>
        <w:t xml:space="preserve"> v </w:t>
      </w:r>
      <w:r w:rsidR="008A4012" w:rsidRPr="006C666F">
        <w:rPr>
          <w:noProof/>
        </w:rPr>
        <w:t>jurisdikciách, ktoré umožňujú používanie externých ratingov, by mali svojim expozíciám vo forme špecializovaného financovania priradiť rizikové váhy určené len externými ratingmi špecifickými pre danú emisiu, ako sa to stanovuje</w:t>
      </w:r>
      <w:r w:rsidR="004F01E9" w:rsidRPr="006C666F">
        <w:rPr>
          <w:noProof/>
        </w:rPr>
        <w:t xml:space="preserve"> v </w:t>
      </w:r>
      <w:r w:rsidR="008A4012" w:rsidRPr="006C666F">
        <w:rPr>
          <w:noProof/>
        </w:rPr>
        <w:t>rámci Bazilej III.</w:t>
      </w:r>
    </w:p>
    <w:p w14:paraId="3683BC5A" w14:textId="48C8CC2F" w:rsidR="008A4012" w:rsidRPr="004F01E9" w:rsidRDefault="007130D9" w:rsidP="007130D9">
      <w:pPr>
        <w:pStyle w:val="ManualConsidrant"/>
        <w:rPr>
          <w:noProof/>
        </w:rPr>
      </w:pPr>
      <w:r w:rsidRPr="007130D9">
        <w:t>(20)</w:t>
      </w:r>
      <w:r w:rsidRPr="007130D9">
        <w:tab/>
      </w:r>
      <w:r w:rsidR="008A4012" w:rsidRPr="004F01E9">
        <w:rPr>
          <w:noProof/>
        </w:rPr>
        <w:t>Klasifikácia retailových expozícií podľa prístupov SA-CR</w:t>
      </w:r>
      <w:r w:rsidR="004F01E9">
        <w:rPr>
          <w:noProof/>
        </w:rPr>
        <w:t xml:space="preserve"> a </w:t>
      </w:r>
      <w:r w:rsidR="008A4012" w:rsidRPr="004F01E9">
        <w:rPr>
          <w:noProof/>
        </w:rPr>
        <w:t>IRB by sa mala ďalej zosúladiť, aby sa zabezpečilo konzistentné uplatňovanie zodpovedajúcich rizikových váh na rovnaký súbor expozícií.</w:t>
      </w:r>
      <w:r w:rsidR="004F01E9">
        <w:rPr>
          <w:noProof/>
        </w:rPr>
        <w:t xml:space="preserve"> V </w:t>
      </w:r>
      <w:r w:rsidR="008A4012" w:rsidRPr="004F01E9">
        <w:rPr>
          <w:noProof/>
        </w:rPr>
        <w:t>súlade so štandardmi Bazilej III by sa mali ustanoviť pravidlá pre diferencované zaobchádzanie</w:t>
      </w:r>
      <w:r w:rsidR="004F01E9">
        <w:rPr>
          <w:noProof/>
        </w:rPr>
        <w:t xml:space="preserve"> s </w:t>
      </w:r>
      <w:r w:rsidR="008A4012" w:rsidRPr="004F01E9">
        <w:rPr>
          <w:noProof/>
        </w:rPr>
        <w:t>revolvingovými retailovými expozíciami, ktoré spĺňajú súbor podmienok splatenia alebo použitia schopných znížiť ich rizikový profil. Tieto expozície sa vymedzujú ako expozície voči „transakčným partnerom“. Expozíciám voči jednej alebo viacerým fyzickým osobám, ktoré nespĺňajú všetky podmienky na to, aby sa mohli považovať za retailové expozície, by sa podľa prístupu SA-CR mala priradiť riziková váha 100</w:t>
      </w:r>
      <w:r w:rsidR="004F01E9">
        <w:rPr>
          <w:noProof/>
        </w:rPr>
        <w:t> %</w:t>
      </w:r>
      <w:r w:rsidR="008A4012" w:rsidRPr="004F01E9">
        <w:rPr>
          <w:noProof/>
        </w:rPr>
        <w:t>.</w:t>
      </w:r>
    </w:p>
    <w:p w14:paraId="5F377D85" w14:textId="1E51F24A" w:rsidR="00B95292" w:rsidRPr="006C666F" w:rsidRDefault="007130D9" w:rsidP="007130D9">
      <w:pPr>
        <w:pStyle w:val="ManualConsidrant"/>
        <w:rPr>
          <w:noProof/>
        </w:rPr>
      </w:pPr>
      <w:r w:rsidRPr="007130D9">
        <w:t>(21)</w:t>
      </w:r>
      <w:r w:rsidRPr="007130D9">
        <w:tab/>
      </w:r>
      <w:r w:rsidR="00B95292" w:rsidRPr="006C666F">
        <w:rPr>
          <w:noProof/>
        </w:rPr>
        <w:t>Štandardmi Bazilej III sa zavádza konverzný faktor úverov 10</w:t>
      </w:r>
      <w:r w:rsidR="004F01E9" w:rsidRPr="006C666F">
        <w:rPr>
          <w:noProof/>
        </w:rPr>
        <w:t> %</w:t>
      </w:r>
      <w:r w:rsidR="00B95292" w:rsidRPr="006C666F">
        <w:rPr>
          <w:noProof/>
        </w:rPr>
        <w:t xml:space="preserve"> na bezpodmienečne zrušiteľné prísľuby</w:t>
      </w:r>
      <w:r w:rsidR="004F01E9" w:rsidRPr="006C666F">
        <w:rPr>
          <w:noProof/>
        </w:rPr>
        <w:t xml:space="preserve"> v </w:t>
      </w:r>
      <w:r w:rsidR="00B95292" w:rsidRPr="006C666F">
        <w:rPr>
          <w:noProof/>
        </w:rPr>
        <w:t>rámci prístupu SA-CR. To bude mať pravdepodobne významný vplyv na dlžníkov, ktorí sa spoliehajú na flexibilnú povahu bezpodmienečne zrušiteľných prísľubov pri financovaní svojich činnosti pri riešení sezónnych výkyvov vo svojich podnikoch alebo pri riadení neočakávaných krátkodobých zmien potrieb pracovného kapitálu, najmä počas zotavovania sa</w:t>
      </w:r>
      <w:r w:rsidR="004F01E9" w:rsidRPr="006C666F">
        <w:rPr>
          <w:noProof/>
        </w:rPr>
        <w:t xml:space="preserve"> z </w:t>
      </w:r>
      <w:r w:rsidR="00B95292" w:rsidRPr="006C666F">
        <w:rPr>
          <w:noProof/>
        </w:rPr>
        <w:t>pandémie ochorenia COVID-19. Je teda vhodné ustanoviť prechodné obdobie, počas ktorého budú inštitúcie naďalej uplatňovať nulový konverzný faktor úverov na svoje bezpodmienečne zrušiteľné prísľuby,</w:t>
      </w:r>
      <w:r w:rsidR="004F01E9" w:rsidRPr="006C666F">
        <w:rPr>
          <w:noProof/>
        </w:rPr>
        <w:t xml:space="preserve"> a </w:t>
      </w:r>
      <w:r w:rsidR="00B95292" w:rsidRPr="006C666F">
        <w:rPr>
          <w:noProof/>
        </w:rPr>
        <w:t>následne posúdiť, či je zaručené potenciálne postupné zvyšovanie príslušných konverzných faktorov úverov, aby sa inštitúciám umožnilo prispôsobiť ich prevádzkové postupy</w:t>
      </w:r>
      <w:r w:rsidR="004F01E9" w:rsidRPr="006C666F">
        <w:rPr>
          <w:noProof/>
        </w:rPr>
        <w:t xml:space="preserve"> a </w:t>
      </w:r>
      <w:r w:rsidR="00B95292" w:rsidRPr="006C666F">
        <w:rPr>
          <w:noProof/>
        </w:rPr>
        <w:t>produkty bez toho, aby sa obmedzila dostupnosť úverov pre dlžníkov inštitúcií. Táto prechodná úprava by sa mala doplniť</w:t>
      </w:r>
      <w:r w:rsidR="004F01E9" w:rsidRPr="006C666F">
        <w:rPr>
          <w:noProof/>
        </w:rPr>
        <w:t xml:space="preserve"> o </w:t>
      </w:r>
      <w:r w:rsidR="00B95292" w:rsidRPr="006C666F">
        <w:rPr>
          <w:noProof/>
        </w:rPr>
        <w:t>správu, ktorú vypracuje orgán EBA.</w:t>
      </w:r>
    </w:p>
    <w:p w14:paraId="76DD932C" w14:textId="6061ADB5" w:rsidR="008A4012" w:rsidRPr="004F01E9" w:rsidRDefault="007130D9" w:rsidP="007130D9">
      <w:pPr>
        <w:pStyle w:val="ManualConsidrant"/>
        <w:rPr>
          <w:noProof/>
        </w:rPr>
      </w:pPr>
      <w:r w:rsidRPr="007130D9">
        <w:t>(22)</w:t>
      </w:r>
      <w:r w:rsidRPr="007130D9">
        <w:tab/>
      </w:r>
      <w:r w:rsidR="008A4012" w:rsidRPr="004F01E9">
        <w:rPr>
          <w:noProof/>
        </w:rPr>
        <w:t>Finančná kríza</w:t>
      </w:r>
      <w:r w:rsidR="004F01E9">
        <w:rPr>
          <w:noProof/>
        </w:rPr>
        <w:t xml:space="preserve"> v </w:t>
      </w:r>
      <w:r w:rsidR="008A4012" w:rsidRPr="004F01E9">
        <w:rPr>
          <w:noProof/>
        </w:rPr>
        <w:t>rokoch 2008 – 2009 odhalila, že</w:t>
      </w:r>
      <w:r w:rsidR="004F01E9">
        <w:rPr>
          <w:noProof/>
        </w:rPr>
        <w:t xml:space="preserve"> v </w:t>
      </w:r>
      <w:r w:rsidR="008A4012" w:rsidRPr="004F01E9">
        <w:rPr>
          <w:noProof/>
        </w:rPr>
        <w:t>niektorých prípadoch úverové inštitúcie použili prístupy IRB aj na portfóliá nevhodné na modelovanie</w:t>
      </w:r>
      <w:r w:rsidR="004F01E9">
        <w:rPr>
          <w:noProof/>
        </w:rPr>
        <w:t xml:space="preserve"> z </w:t>
      </w:r>
      <w:r w:rsidR="008A4012" w:rsidRPr="004F01E9">
        <w:rPr>
          <w:noProof/>
        </w:rPr>
        <w:t>dôvodu nedostatočných údajov, čo malo nepriaznivé dôsledky na spoľahlivosť výsledkov,</w:t>
      </w:r>
      <w:r w:rsidR="004F01E9">
        <w:rPr>
          <w:noProof/>
        </w:rPr>
        <w:t xml:space="preserve"> a </w:t>
      </w:r>
      <w:r w:rsidR="008A4012" w:rsidRPr="004F01E9">
        <w:rPr>
          <w:noProof/>
        </w:rPr>
        <w:t>tým aj na finančnú stabilitu. Je preto vhodné neukladať inštitúciám povinnosť používať prístupy IRB pre všetky svoje expozície</w:t>
      </w:r>
      <w:r w:rsidR="004F01E9">
        <w:rPr>
          <w:noProof/>
        </w:rPr>
        <w:t xml:space="preserve"> a </w:t>
      </w:r>
      <w:r w:rsidR="008A4012" w:rsidRPr="004F01E9">
        <w:rPr>
          <w:noProof/>
        </w:rPr>
        <w:t>uplatňovať požiadavku na zavedenie na úrovni tried expozícií. Zároveň je vhodné obmedziť používanie prístupov IRB pre triedy expozícií, kde je spoľahlivé modelovanie zložitejšie na zvýšenie porovnateľnosti</w:t>
      </w:r>
      <w:r w:rsidR="004F01E9">
        <w:rPr>
          <w:noProof/>
        </w:rPr>
        <w:t xml:space="preserve"> a </w:t>
      </w:r>
      <w:r w:rsidR="008A4012" w:rsidRPr="004F01E9">
        <w:rPr>
          <w:noProof/>
        </w:rPr>
        <w:t>spoľahlivosti kapitálových požiadaviek na kreditné riziko</w:t>
      </w:r>
      <w:r w:rsidR="004F01E9">
        <w:rPr>
          <w:noProof/>
        </w:rPr>
        <w:t xml:space="preserve"> v </w:t>
      </w:r>
      <w:r w:rsidR="008A4012" w:rsidRPr="004F01E9">
        <w:rPr>
          <w:noProof/>
        </w:rPr>
        <w:t>rámci prístupov IRB.</w:t>
      </w:r>
    </w:p>
    <w:p w14:paraId="2D1FC70A" w14:textId="585C1A16" w:rsidR="00806B81" w:rsidRPr="004F01E9" w:rsidRDefault="007130D9" w:rsidP="007130D9">
      <w:pPr>
        <w:pStyle w:val="ManualConsidrant"/>
        <w:rPr>
          <w:noProof/>
        </w:rPr>
      </w:pPr>
      <w:r w:rsidRPr="007130D9">
        <w:t>(23)</w:t>
      </w:r>
      <w:r w:rsidRPr="007130D9">
        <w:tab/>
      </w:r>
      <w:r w:rsidR="008A4012" w:rsidRPr="004F01E9">
        <w:rPr>
          <w:noProof/>
        </w:rPr>
        <w:t>Expozície inštitúcií voči iným inštitúciám, iným subjektom finančného sektora</w:t>
      </w:r>
      <w:r w:rsidR="004F01E9">
        <w:rPr>
          <w:noProof/>
        </w:rPr>
        <w:t xml:space="preserve"> a </w:t>
      </w:r>
      <w:r w:rsidR="008A4012" w:rsidRPr="004F01E9">
        <w:rPr>
          <w:noProof/>
        </w:rPr>
        <w:t>veľkým podnikateľským subjektom zvyčajne vykazujú nízku mieru zlyhania.</w:t>
      </w:r>
      <w:r w:rsidR="004F01E9">
        <w:rPr>
          <w:noProof/>
        </w:rPr>
        <w:t xml:space="preserve"> V </w:t>
      </w:r>
      <w:r w:rsidR="008A4012" w:rsidRPr="004F01E9">
        <w:rPr>
          <w:noProof/>
        </w:rPr>
        <w:t>prípade takýchto portfólií expozícií</w:t>
      </w:r>
      <w:r w:rsidR="004F01E9">
        <w:rPr>
          <w:noProof/>
        </w:rPr>
        <w:t xml:space="preserve"> s </w:t>
      </w:r>
      <w:r w:rsidR="008A4012" w:rsidRPr="004F01E9">
        <w:rPr>
          <w:noProof/>
        </w:rPr>
        <w:t>nízkym rizikom zlyhania sa ukázalo, že pre inštitúcie je náročné získať spoľahlivé odhady kľúčového parametra rizika prístupu IRB, straty</w:t>
      </w:r>
      <w:r w:rsidR="004F01E9">
        <w:rPr>
          <w:noProof/>
        </w:rPr>
        <w:t xml:space="preserve"> v </w:t>
      </w:r>
      <w:r w:rsidR="008A4012" w:rsidRPr="004F01E9">
        <w:rPr>
          <w:noProof/>
        </w:rPr>
        <w:t>prípade zlyhania (ďalej len „LGD“),</w:t>
      </w:r>
      <w:r w:rsidR="004F01E9">
        <w:rPr>
          <w:noProof/>
        </w:rPr>
        <w:t xml:space="preserve"> a </w:t>
      </w:r>
      <w:r w:rsidR="008A4012" w:rsidRPr="004F01E9">
        <w:rPr>
          <w:noProof/>
        </w:rPr>
        <w:t>to</w:t>
      </w:r>
      <w:r w:rsidR="004F01E9">
        <w:rPr>
          <w:noProof/>
        </w:rPr>
        <w:t xml:space="preserve"> v </w:t>
      </w:r>
      <w:r w:rsidR="008A4012" w:rsidRPr="004F01E9">
        <w:rPr>
          <w:noProof/>
        </w:rPr>
        <w:t>dôsledku nedostatočného počtu pozorovaných zlyhaní pri týchto portfóliách. Tento problém má za následok nežiaducu úroveň rozptylu medzi úverovými inštitúciami</w:t>
      </w:r>
      <w:r w:rsidR="004F01E9">
        <w:rPr>
          <w:noProof/>
        </w:rPr>
        <w:t xml:space="preserve"> v </w:t>
      </w:r>
      <w:r w:rsidR="008A4012" w:rsidRPr="004F01E9">
        <w:rPr>
          <w:noProof/>
        </w:rPr>
        <w:t>úrovni odhadovaného rizika. Inštitúcie by preto mali pre tieto portfóliá expozícií</w:t>
      </w:r>
      <w:r w:rsidR="004F01E9">
        <w:rPr>
          <w:noProof/>
        </w:rPr>
        <w:t xml:space="preserve"> s </w:t>
      </w:r>
      <w:r w:rsidR="008A4012" w:rsidRPr="004F01E9">
        <w:rPr>
          <w:noProof/>
        </w:rPr>
        <w:t>nízkym rizikom zlyhania používať skôr regulačné hodnoty LGD ako interné odhady LGD.</w:t>
      </w:r>
    </w:p>
    <w:p w14:paraId="6DAC83ED" w14:textId="6D3654B2" w:rsidR="008A4012" w:rsidRPr="004F01E9" w:rsidRDefault="007130D9" w:rsidP="007130D9">
      <w:pPr>
        <w:pStyle w:val="ManualConsidrant"/>
        <w:rPr>
          <w:noProof/>
        </w:rPr>
      </w:pPr>
      <w:r w:rsidRPr="007130D9">
        <w:t>(24)</w:t>
      </w:r>
      <w:r w:rsidRPr="007130D9">
        <w:tab/>
      </w:r>
      <w:r w:rsidR="008A4012" w:rsidRPr="004F01E9">
        <w:rPr>
          <w:noProof/>
        </w:rPr>
        <w:t>Inštitúcie, ktoré používajú interné modely na odhadovanie požiadaviek na vlastné zdroje pre kreditné riziko pre kapitálové expozície, zvyčajne zakladajú svoje posudzovanie rizika na verejne dostupných údajoch, pri ktorých možno predpokladať, že</w:t>
      </w:r>
      <w:r w:rsidR="004F01E9">
        <w:rPr>
          <w:noProof/>
        </w:rPr>
        <w:t xml:space="preserve"> k </w:t>
      </w:r>
      <w:r w:rsidR="008A4012" w:rsidRPr="004F01E9">
        <w:rPr>
          <w:noProof/>
        </w:rPr>
        <w:t>nim majú všetky inštitúcie rovnaký prístup. Za týchto okolností nemožno odôvodniť rozdiely</w:t>
      </w:r>
      <w:r w:rsidR="004F01E9">
        <w:rPr>
          <w:noProof/>
        </w:rPr>
        <w:t xml:space="preserve"> v </w:t>
      </w:r>
      <w:r w:rsidR="008A4012" w:rsidRPr="004F01E9">
        <w:rPr>
          <w:noProof/>
        </w:rPr>
        <w:t>požiadavkách na vlastné zdroje. Kapitálové expozície držané</w:t>
      </w:r>
      <w:r w:rsidR="004F01E9">
        <w:rPr>
          <w:noProof/>
        </w:rPr>
        <w:t xml:space="preserve"> v </w:t>
      </w:r>
      <w:r w:rsidR="008A4012" w:rsidRPr="004F01E9">
        <w:rPr>
          <w:noProof/>
        </w:rPr>
        <w:t>bankovej knihe tvoria okrem toho veľmi malú zložku súvah inštitúcií. Na zvýšenie porovnateľnosti požiadaviek na vlastné zdroje inštitúcií</w:t>
      </w:r>
      <w:r w:rsidR="004F01E9">
        <w:rPr>
          <w:noProof/>
        </w:rPr>
        <w:t xml:space="preserve"> a </w:t>
      </w:r>
      <w:r w:rsidR="008A4012" w:rsidRPr="004F01E9">
        <w:rPr>
          <w:noProof/>
        </w:rPr>
        <w:t>na zjednodušenie regulačného rámca by preto inštitúcie mali vypočítať svoje požiadavky na vlastné zdroje pre kreditné riziko pre kapitálové expozície pomocou prístupu SA-CR</w:t>
      </w:r>
      <w:r w:rsidR="004F01E9">
        <w:rPr>
          <w:noProof/>
        </w:rPr>
        <w:t xml:space="preserve"> a </w:t>
      </w:r>
      <w:r w:rsidR="008A4012" w:rsidRPr="004F01E9">
        <w:rPr>
          <w:noProof/>
        </w:rPr>
        <w:t>na tento účel by sa mal prístup IRB zamietnuť.</w:t>
      </w:r>
    </w:p>
    <w:p w14:paraId="0E4E1695" w14:textId="772BFA82" w:rsidR="008A4012" w:rsidRPr="004F01E9" w:rsidRDefault="007130D9" w:rsidP="007130D9">
      <w:pPr>
        <w:pStyle w:val="ManualConsidrant"/>
        <w:rPr>
          <w:noProof/>
        </w:rPr>
      </w:pPr>
      <w:r w:rsidRPr="007130D9">
        <w:t>(25)</w:t>
      </w:r>
      <w:r w:rsidRPr="007130D9">
        <w:tab/>
      </w:r>
      <w:r w:rsidR="008A4012" w:rsidRPr="004F01E9">
        <w:rPr>
          <w:noProof/>
        </w:rPr>
        <w:t>Malo by sa zabezpečiť, aby odhady pravdepodobnosti zlyhania (ďalej len „PD“), LGD</w:t>
      </w:r>
      <w:r w:rsidR="004F01E9">
        <w:rPr>
          <w:noProof/>
        </w:rPr>
        <w:t xml:space="preserve"> a </w:t>
      </w:r>
      <w:r w:rsidR="008A4012" w:rsidRPr="004F01E9">
        <w:rPr>
          <w:noProof/>
        </w:rPr>
        <w:t>konverzné faktory úverov jednotlivých expozícií inštitúcií, ktoré môžu používať interné modely na výpočet kapitálových požiadaviek na kreditné riziko, nedosiahli neadekvátne nízke úrovne. Je preto vhodné zaviesť minimálne hodnoty pre vlastné odhady</w:t>
      </w:r>
      <w:r w:rsidR="004F01E9">
        <w:rPr>
          <w:noProof/>
        </w:rPr>
        <w:t xml:space="preserve"> a </w:t>
      </w:r>
      <w:r w:rsidR="008A4012" w:rsidRPr="004F01E9">
        <w:rPr>
          <w:noProof/>
        </w:rPr>
        <w:t>inštitúciám uložiť povinnosť, aby používali vyššie odhady spomedzi vlastných odhadov parametrov rizika</w:t>
      </w:r>
      <w:r w:rsidR="004F01E9">
        <w:rPr>
          <w:noProof/>
        </w:rPr>
        <w:t xml:space="preserve"> a </w:t>
      </w:r>
      <w:r w:rsidR="008A4012" w:rsidRPr="004F01E9">
        <w:rPr>
          <w:noProof/>
        </w:rPr>
        <w:t>tieto minimálne hodnoty. Tieto parametre rizika „spodné hranice pre vstupné hodnoty“ by mali predstavovať záruku, ktorou sa zabezpečí, že kapitálové požiadavky neklesnú pod obozretnú úroveň. Okrem toho by mali zmierniť riziko modelu spôsobené takými faktormi, ako je nesprávna špecifikácia modelu, chyba merania</w:t>
      </w:r>
      <w:r w:rsidR="004F01E9">
        <w:rPr>
          <w:noProof/>
        </w:rPr>
        <w:t xml:space="preserve"> a </w:t>
      </w:r>
      <w:r w:rsidR="008A4012" w:rsidRPr="004F01E9">
        <w:rPr>
          <w:noProof/>
        </w:rPr>
        <w:t>obmedzenia údajov. Zlepšili by takisto porovnateľnosť kapitálových pomerov medzi inštitúciami. Aby sa tieto výsledky mohli dosiahnuť, spodné hranice pre vstupné hodnoty by mali byť nastavené dostatočne konzervatívnym spôsobom.</w:t>
      </w:r>
    </w:p>
    <w:p w14:paraId="18067C58" w14:textId="4FEAA0E9" w:rsidR="00806B81" w:rsidRPr="004F01E9" w:rsidRDefault="007130D9" w:rsidP="007130D9">
      <w:pPr>
        <w:pStyle w:val="ManualConsidrant"/>
        <w:rPr>
          <w:noProof/>
        </w:rPr>
      </w:pPr>
      <w:r w:rsidRPr="007130D9">
        <w:t>(26)</w:t>
      </w:r>
      <w:r w:rsidRPr="007130D9">
        <w:tab/>
      </w:r>
      <w:r w:rsidR="008A4012" w:rsidRPr="004F01E9">
        <w:rPr>
          <w:noProof/>
        </w:rPr>
        <w:t>Minimálne hodnoty parametrov rizika, ktoré sú nastavené príliš konzervatívne, môžu skutočne odradiť inštitúcie od prijatia prístupov IRB</w:t>
      </w:r>
      <w:r w:rsidR="004F01E9">
        <w:rPr>
          <w:noProof/>
        </w:rPr>
        <w:t xml:space="preserve"> a </w:t>
      </w:r>
      <w:r w:rsidR="008A4012" w:rsidRPr="004F01E9">
        <w:rPr>
          <w:noProof/>
        </w:rPr>
        <w:t>noriem</w:t>
      </w:r>
      <w:r w:rsidR="004F01E9">
        <w:rPr>
          <w:noProof/>
        </w:rPr>
        <w:t xml:space="preserve"> v </w:t>
      </w:r>
      <w:r w:rsidR="008A4012" w:rsidRPr="004F01E9">
        <w:rPr>
          <w:noProof/>
        </w:rPr>
        <w:t>oblasti riadenia rizík. Inštitúcie môžu byť takisto motivované</w:t>
      </w:r>
      <w:r w:rsidR="004F01E9">
        <w:rPr>
          <w:noProof/>
        </w:rPr>
        <w:t xml:space="preserve"> k </w:t>
      </w:r>
      <w:r w:rsidR="008A4012" w:rsidRPr="004F01E9">
        <w:rPr>
          <w:noProof/>
        </w:rPr>
        <w:t>tomu, aby presunuli svoje portfóliá do vyšších rizikových expozícií, aby sa vyhli obmedzeniam vyplývajúcim</w:t>
      </w:r>
      <w:r w:rsidR="004F01E9">
        <w:rPr>
          <w:noProof/>
        </w:rPr>
        <w:t xml:space="preserve"> z </w:t>
      </w:r>
      <w:r w:rsidR="008A4012" w:rsidRPr="004F01E9">
        <w:rPr>
          <w:noProof/>
        </w:rPr>
        <w:t>minimálnych hodnôt parametrov rizika. Aby sa predišlo takýmto neúmyselným následkom, minimálne hodnoty parametrov rizika by mali primerane odrážať určité rizikové charakteristiky podkladových expozícií,</w:t>
      </w:r>
      <w:r w:rsidR="004F01E9">
        <w:rPr>
          <w:noProof/>
        </w:rPr>
        <w:t xml:space="preserve"> a </w:t>
      </w:r>
      <w:r w:rsidR="008A4012" w:rsidRPr="004F01E9">
        <w:rPr>
          <w:noProof/>
        </w:rPr>
        <w:t>to najmä tým, že</w:t>
      </w:r>
      <w:r w:rsidR="004F01E9">
        <w:rPr>
          <w:noProof/>
        </w:rPr>
        <w:t xml:space="preserve"> v </w:t>
      </w:r>
      <w:r w:rsidR="008A4012" w:rsidRPr="004F01E9">
        <w:rPr>
          <w:noProof/>
        </w:rPr>
        <w:t>prípade potreby sa prijmú rôzne hodnoty pre rôzne typy expozícií.</w:t>
      </w:r>
    </w:p>
    <w:p w14:paraId="776EC637" w14:textId="34F2566F" w:rsidR="008A4012" w:rsidRPr="006C666F" w:rsidRDefault="007130D9" w:rsidP="007130D9">
      <w:pPr>
        <w:pStyle w:val="ManualConsidrant"/>
        <w:rPr>
          <w:noProof/>
        </w:rPr>
      </w:pPr>
      <w:r w:rsidRPr="007130D9">
        <w:t>(27)</w:t>
      </w:r>
      <w:r w:rsidRPr="007130D9">
        <w:tab/>
      </w:r>
      <w:r w:rsidR="008A4012" w:rsidRPr="006C666F">
        <w:rPr>
          <w:noProof/>
        </w:rPr>
        <w:t>Expozície vo forme špecializovaného financovania majú rizikové charakteristiky, ktoré sa líšia od všeobecných expozícií voči podnikateľským subjektom. Je preto vhodné stanoviť prechodné obdobie, počas ktorého sa znížia spodné hranice pre vstupné hodnoty LGD uplatniteľné na expozície vo forme špecializovaného financovania.</w:t>
      </w:r>
    </w:p>
    <w:p w14:paraId="045706A3" w14:textId="5D6CE0A1" w:rsidR="00806B81" w:rsidRPr="006C666F" w:rsidRDefault="007130D9" w:rsidP="007130D9">
      <w:pPr>
        <w:pStyle w:val="ManualConsidrant"/>
        <w:rPr>
          <w:noProof/>
        </w:rPr>
      </w:pPr>
      <w:r w:rsidRPr="007130D9">
        <w:t>(28)</w:t>
      </w:r>
      <w:r w:rsidRPr="007130D9">
        <w:tab/>
      </w:r>
      <w:r w:rsidR="008A4012" w:rsidRPr="006C666F">
        <w:rPr>
          <w:noProof/>
        </w:rPr>
        <w:t>V súlade so štandardmi Bazilej III by malo zaobchádzanie</w:t>
      </w:r>
      <w:r w:rsidR="004F01E9" w:rsidRPr="006C666F">
        <w:rPr>
          <w:noProof/>
        </w:rPr>
        <w:t xml:space="preserve"> v </w:t>
      </w:r>
      <w:r w:rsidR="008A4012" w:rsidRPr="006C666F">
        <w:rPr>
          <w:noProof/>
        </w:rPr>
        <w:t>rámci IRB</w:t>
      </w:r>
      <w:r w:rsidR="004F01E9" w:rsidRPr="006C666F">
        <w:rPr>
          <w:noProof/>
        </w:rPr>
        <w:t xml:space="preserve"> s </w:t>
      </w:r>
      <w:r w:rsidR="008A4012" w:rsidRPr="006C666F">
        <w:rPr>
          <w:noProof/>
        </w:rPr>
        <w:t>triedou expozícií voči štátnym dlhopisom zostať do značnej miery nedotknuté</w:t>
      </w:r>
      <w:r w:rsidR="004F01E9" w:rsidRPr="006C666F">
        <w:rPr>
          <w:noProof/>
        </w:rPr>
        <w:t xml:space="preserve"> z </w:t>
      </w:r>
      <w:r w:rsidR="008A4012" w:rsidRPr="006C666F">
        <w:rPr>
          <w:noProof/>
        </w:rPr>
        <w:t>dôvodu osobitnej povahy</w:t>
      </w:r>
      <w:r w:rsidR="004F01E9" w:rsidRPr="006C666F">
        <w:rPr>
          <w:noProof/>
        </w:rPr>
        <w:t xml:space="preserve"> a </w:t>
      </w:r>
      <w:r w:rsidR="008A4012" w:rsidRPr="006C666F">
        <w:rPr>
          <w:noProof/>
        </w:rPr>
        <w:t>rizík súvisiacich</w:t>
      </w:r>
      <w:r w:rsidR="004F01E9" w:rsidRPr="006C666F">
        <w:rPr>
          <w:noProof/>
        </w:rPr>
        <w:t xml:space="preserve"> s </w:t>
      </w:r>
      <w:r w:rsidR="008A4012" w:rsidRPr="006C666F">
        <w:rPr>
          <w:noProof/>
        </w:rPr>
        <w:t>podkladovými dlžníkmi. Expozície voči štátnym dlhopisom by predovšetkým nemali podliehať parametrom rizika „spodné hranice pre vstupné hodnoty“.</w:t>
      </w:r>
    </w:p>
    <w:p w14:paraId="619F9363" w14:textId="6F4FA4A9" w:rsidR="008A4012" w:rsidRPr="006C666F" w:rsidRDefault="007130D9" w:rsidP="007130D9">
      <w:pPr>
        <w:pStyle w:val="ManualConsidrant"/>
        <w:rPr>
          <w:noProof/>
        </w:rPr>
      </w:pPr>
      <w:r w:rsidRPr="007130D9">
        <w:t>(29)</w:t>
      </w:r>
      <w:r w:rsidRPr="007130D9">
        <w:tab/>
      </w:r>
      <w:r w:rsidR="008A4012" w:rsidRPr="006C666F">
        <w:rPr>
          <w:noProof/>
        </w:rPr>
        <w:t>Aby sa zabezpečil konzistentný prístup pre všetky expozície voči subjektom verejného sektora, regionálnym vládam</w:t>
      </w:r>
      <w:r w:rsidR="004F01E9" w:rsidRPr="006C666F">
        <w:rPr>
          <w:noProof/>
        </w:rPr>
        <w:t xml:space="preserve"> a </w:t>
      </w:r>
      <w:r w:rsidR="008A4012" w:rsidRPr="006C666F">
        <w:rPr>
          <w:noProof/>
        </w:rPr>
        <w:t>miestnym orgánom, mala by sa vytvoriť nová trieda expozícií voči subjektom verejného sektora, regionálnym vládam</w:t>
      </w:r>
      <w:r w:rsidR="004F01E9" w:rsidRPr="006C666F">
        <w:rPr>
          <w:noProof/>
        </w:rPr>
        <w:t xml:space="preserve"> a </w:t>
      </w:r>
      <w:r w:rsidR="008A4012" w:rsidRPr="006C666F">
        <w:rPr>
          <w:noProof/>
        </w:rPr>
        <w:t>miestnym orgánom, ktorá by bola nezávislá od tried expozícií voči štátu</w:t>
      </w:r>
      <w:r w:rsidR="004F01E9" w:rsidRPr="006C666F">
        <w:rPr>
          <w:noProof/>
        </w:rPr>
        <w:t xml:space="preserve"> a </w:t>
      </w:r>
      <w:r w:rsidR="008A4012" w:rsidRPr="006C666F">
        <w:rPr>
          <w:noProof/>
        </w:rPr>
        <w:t>inštitúciám</w:t>
      </w:r>
      <w:r w:rsidR="004F01E9" w:rsidRPr="006C666F">
        <w:rPr>
          <w:noProof/>
        </w:rPr>
        <w:t xml:space="preserve"> a </w:t>
      </w:r>
      <w:r w:rsidR="008A4012" w:rsidRPr="006C666F">
        <w:rPr>
          <w:noProof/>
        </w:rPr>
        <w:t>ktorá by mala podliehať spodným hraniciam pre vstupné hodnoty stanoveným</w:t>
      </w:r>
      <w:r w:rsidR="004F01E9" w:rsidRPr="006C666F">
        <w:rPr>
          <w:noProof/>
        </w:rPr>
        <w:t xml:space="preserve"> v </w:t>
      </w:r>
      <w:r w:rsidR="008A4012" w:rsidRPr="006C666F">
        <w:rPr>
          <w:noProof/>
        </w:rPr>
        <w:t>nových pravidlách.</w:t>
      </w:r>
    </w:p>
    <w:p w14:paraId="41E63021" w14:textId="2C1651DF" w:rsidR="008A4012" w:rsidRPr="004F01E9" w:rsidRDefault="007130D9" w:rsidP="007130D9">
      <w:pPr>
        <w:pStyle w:val="ManualConsidrant"/>
        <w:rPr>
          <w:rStyle w:val="normaltextrun"/>
          <w:noProof/>
        </w:rPr>
      </w:pPr>
      <w:r w:rsidRPr="007130D9">
        <w:rPr>
          <w:rStyle w:val="normaltextrun"/>
        </w:rPr>
        <w:t>(30)</w:t>
      </w:r>
      <w:r w:rsidRPr="007130D9">
        <w:rPr>
          <w:rStyle w:val="normaltextrun"/>
        </w:rPr>
        <w:tab/>
      </w:r>
      <w:r w:rsidR="008A4012" w:rsidRPr="004F01E9">
        <w:rPr>
          <w:noProof/>
        </w:rPr>
        <w:t>Malo by sa objasniť, ako by sa mohol rozpoznať účinok záruky pre zaručenú expozíciu, ak sa</w:t>
      </w:r>
      <w:r w:rsidR="004F01E9">
        <w:rPr>
          <w:noProof/>
        </w:rPr>
        <w:t xml:space="preserve"> s </w:t>
      </w:r>
      <w:r w:rsidR="008A4012" w:rsidRPr="004F01E9">
        <w:rPr>
          <w:noProof/>
        </w:rPr>
        <w:t>podkladovou expozíciou zaobchádza podľa prístupu IRB, podľa ktorého je povolené modelovanie pre PD</w:t>
      </w:r>
      <w:r w:rsidR="004F01E9">
        <w:rPr>
          <w:noProof/>
        </w:rPr>
        <w:t xml:space="preserve"> a </w:t>
      </w:r>
      <w:r w:rsidR="008A4012" w:rsidRPr="004F01E9">
        <w:rPr>
          <w:noProof/>
        </w:rPr>
        <w:t>LGD, ale kde ručiteľ patrí</w:t>
      </w:r>
      <w:r w:rsidR="004F01E9">
        <w:rPr>
          <w:noProof/>
        </w:rPr>
        <w:t xml:space="preserve"> k </w:t>
      </w:r>
      <w:r w:rsidR="008A4012" w:rsidRPr="004F01E9">
        <w:rPr>
          <w:noProof/>
        </w:rPr>
        <w:t>druhu expozícií, pre ktoré modelovanie LGD alebo prístup IRB nie sú povolené. Predovšetkým použitie substitučného prístupu, pri ktorom sa parametre rizika podkladových expozícií nahrádzajú parametrami rizika ručiteľa, alebo metódy, pri ktorej sa PD alebo LGD podkladového dlžníka upravia pomocou špecifického prístupu modelovania, aby sa zohľadnil vplyv záruky, by nemal viesť</w:t>
      </w:r>
      <w:r w:rsidR="004F01E9">
        <w:rPr>
          <w:noProof/>
        </w:rPr>
        <w:t xml:space="preserve"> k </w:t>
      </w:r>
      <w:r w:rsidR="008A4012" w:rsidRPr="004F01E9">
        <w:rPr>
          <w:noProof/>
        </w:rPr>
        <w:t>upravenej rizikovej váhe, ktorá je nižšia ako riziková váha uplatniteľná na priamu porovnateľnú expozíciu voči ručiteľovi.</w:t>
      </w:r>
      <w:r w:rsidR="004F01E9">
        <w:rPr>
          <w:noProof/>
        </w:rPr>
        <w:t xml:space="preserve"> V </w:t>
      </w:r>
      <w:r w:rsidR="008A4012" w:rsidRPr="004F01E9">
        <w:rPr>
          <w:noProof/>
        </w:rPr>
        <w:t>dôsledku toho, ak sa</w:t>
      </w:r>
      <w:r w:rsidR="004F01E9">
        <w:rPr>
          <w:noProof/>
        </w:rPr>
        <w:t xml:space="preserve"> s </w:t>
      </w:r>
      <w:r w:rsidR="008A4012" w:rsidRPr="004F01E9">
        <w:rPr>
          <w:noProof/>
        </w:rPr>
        <w:t>ručiteľom zaobchádza podľa prístupu SA-CR, uznanie záruky podľa prístupu IRB by malo viesť</w:t>
      </w:r>
      <w:r w:rsidR="004F01E9">
        <w:rPr>
          <w:noProof/>
        </w:rPr>
        <w:t xml:space="preserve"> k </w:t>
      </w:r>
      <w:r w:rsidR="008A4012" w:rsidRPr="004F01E9">
        <w:rPr>
          <w:noProof/>
        </w:rPr>
        <w:t>priradeniu rizikovej váhy prístupu SA-CR ručiteľa</w:t>
      </w:r>
      <w:r w:rsidR="004F01E9">
        <w:rPr>
          <w:noProof/>
        </w:rPr>
        <w:t xml:space="preserve"> k </w:t>
      </w:r>
      <w:r w:rsidR="008A4012" w:rsidRPr="004F01E9">
        <w:rPr>
          <w:noProof/>
        </w:rPr>
        <w:t>zaručenej expozícii.</w:t>
      </w:r>
    </w:p>
    <w:p w14:paraId="55F44B74" w14:textId="5DBCB91C" w:rsidR="00806B81" w:rsidRPr="004F01E9" w:rsidRDefault="007130D9" w:rsidP="007130D9">
      <w:pPr>
        <w:pStyle w:val="ManualConsidrant"/>
        <w:rPr>
          <w:noProof/>
        </w:rPr>
      </w:pPr>
      <w:r w:rsidRPr="007130D9">
        <w:t>(31)</w:t>
      </w:r>
      <w:r w:rsidRPr="007130D9">
        <w:tab/>
      </w:r>
      <w:r w:rsidR="008A4012" w:rsidRPr="004F01E9">
        <w:rPr>
          <w:noProof/>
        </w:rPr>
        <w:t>Nariadením Európskeho parlamentu</w:t>
      </w:r>
      <w:r w:rsidR="004F01E9">
        <w:rPr>
          <w:noProof/>
        </w:rPr>
        <w:t xml:space="preserve"> a </w:t>
      </w:r>
      <w:r w:rsidR="008A4012" w:rsidRPr="004F01E9">
        <w:rPr>
          <w:noProof/>
        </w:rPr>
        <w:t>Rady (EÚ) 2019/876</w:t>
      </w:r>
      <w:r w:rsidR="008A4012" w:rsidRPr="004F01E9">
        <w:rPr>
          <w:rStyle w:val="FootnoteReference0"/>
          <w:noProof/>
        </w:rPr>
        <w:footnoteReference w:id="51"/>
      </w:r>
      <w:r w:rsidR="008A4012" w:rsidRPr="004F01E9">
        <w:rPr>
          <w:noProof/>
        </w:rPr>
        <w:t xml:space="preserve"> sa zmenilo nariadenie (EÚ) </w:t>
      </w:r>
      <w:r w:rsidR="004F01E9">
        <w:rPr>
          <w:noProof/>
        </w:rPr>
        <w:t>č. </w:t>
      </w:r>
      <w:r w:rsidR="008A4012" w:rsidRPr="004F01E9">
        <w:rPr>
          <w:noProof/>
        </w:rPr>
        <w:t>575/2013</w:t>
      </w:r>
      <w:r w:rsidR="004F01E9">
        <w:rPr>
          <w:noProof/>
        </w:rPr>
        <w:t xml:space="preserve"> s </w:t>
      </w:r>
      <w:r w:rsidR="008A4012" w:rsidRPr="004F01E9">
        <w:rPr>
          <w:noProof/>
        </w:rPr>
        <w:t>cieľom zaviesť konečné štandardy FRTB len na účely podávania správ. Zavedenie záväzných kapitálových požiadaviek na základe týchto štandardov bolo po posúdení ich vplyvu na banky Únie ponechané na samostatnú riadnu legislatívnu iniciatívu.</w:t>
      </w:r>
    </w:p>
    <w:p w14:paraId="14FC59AA" w14:textId="216C95D4" w:rsidR="008A4012" w:rsidRPr="004F01E9" w:rsidRDefault="007130D9" w:rsidP="007130D9">
      <w:pPr>
        <w:pStyle w:val="ManualConsidrant"/>
        <w:rPr>
          <w:noProof/>
        </w:rPr>
      </w:pPr>
      <w:r w:rsidRPr="007130D9">
        <w:t>(32)</w:t>
      </w:r>
      <w:r w:rsidRPr="007130D9">
        <w:tab/>
      </w:r>
      <w:r w:rsidR="008A4012" w:rsidRPr="004F01E9">
        <w:rPr>
          <w:noProof/>
        </w:rPr>
        <w:t>S cieľom dokončiť reformný program zavedený po finančnej kríze</w:t>
      </w:r>
      <w:r w:rsidR="004F01E9">
        <w:rPr>
          <w:noProof/>
        </w:rPr>
        <w:t xml:space="preserve"> v </w:t>
      </w:r>
      <w:r w:rsidR="008A4012" w:rsidRPr="004F01E9">
        <w:rPr>
          <w:noProof/>
        </w:rPr>
        <w:t>rokoch 2008 – 2009</w:t>
      </w:r>
      <w:r w:rsidR="004F01E9">
        <w:rPr>
          <w:noProof/>
        </w:rPr>
        <w:t xml:space="preserve"> a </w:t>
      </w:r>
      <w:r w:rsidR="008A4012" w:rsidRPr="004F01E9">
        <w:rPr>
          <w:noProof/>
        </w:rPr>
        <w:t>vyriešiť nedostatky súčasného rámca trhového rizika by sa do práva Únie mali zaviesť záväzné kapitálové požiadavky pre trhové riziko založené na konečných normách hĺbkového preskúmania obchodnej knihy.</w:t>
      </w:r>
      <w:r w:rsidR="004F01E9">
        <w:rPr>
          <w:noProof/>
        </w:rPr>
        <w:t xml:space="preserve"> Z </w:t>
      </w:r>
      <w:r w:rsidR="008A4012" w:rsidRPr="004F01E9">
        <w:rPr>
          <w:noProof/>
        </w:rPr>
        <w:t>nedávnych odhadov vplyvu konečných štandardov FRTB na banky</w:t>
      </w:r>
      <w:r w:rsidR="004F01E9">
        <w:rPr>
          <w:noProof/>
        </w:rPr>
        <w:t xml:space="preserve"> v </w:t>
      </w:r>
      <w:r w:rsidR="008A4012" w:rsidRPr="004F01E9">
        <w:rPr>
          <w:noProof/>
        </w:rPr>
        <w:t>Únii vyplynulo, že zavedenie týchto štandardov</w:t>
      </w:r>
      <w:r w:rsidR="004F01E9">
        <w:rPr>
          <w:noProof/>
        </w:rPr>
        <w:t xml:space="preserve"> v </w:t>
      </w:r>
      <w:r w:rsidR="008A4012" w:rsidRPr="004F01E9">
        <w:rPr>
          <w:noProof/>
        </w:rPr>
        <w:t>Únii povedie</w:t>
      </w:r>
      <w:r w:rsidR="004F01E9">
        <w:rPr>
          <w:noProof/>
        </w:rPr>
        <w:t xml:space="preserve"> k </w:t>
      </w:r>
      <w:r w:rsidR="008A4012" w:rsidRPr="004F01E9">
        <w:rPr>
          <w:noProof/>
        </w:rPr>
        <w:t>veľkému zvýšeniu požiadaviek na vlastné zdroje pre trhové riziko pre určité obchodné činnosti</w:t>
      </w:r>
      <w:r w:rsidR="004F01E9">
        <w:rPr>
          <w:noProof/>
        </w:rPr>
        <w:t xml:space="preserve"> a </w:t>
      </w:r>
      <w:r w:rsidR="008A4012" w:rsidRPr="004F01E9">
        <w:rPr>
          <w:noProof/>
        </w:rPr>
        <w:t>činnosti súvisiace</w:t>
      </w:r>
      <w:r w:rsidR="004F01E9">
        <w:rPr>
          <w:noProof/>
        </w:rPr>
        <w:t xml:space="preserve"> s </w:t>
      </w:r>
      <w:r w:rsidR="008A4012" w:rsidRPr="004F01E9">
        <w:rPr>
          <w:noProof/>
        </w:rPr>
        <w:t>tvorbou trhu, ktoré sú dôležité pre hospodárstvo EÚ.</w:t>
      </w:r>
      <w:r w:rsidR="004F01E9">
        <w:rPr>
          <w:noProof/>
        </w:rPr>
        <w:t xml:space="preserve"> S </w:t>
      </w:r>
      <w:r w:rsidR="008A4012" w:rsidRPr="004F01E9">
        <w:rPr>
          <w:noProof/>
        </w:rPr>
        <w:t>cieľom zmierniť tento vplyv</w:t>
      </w:r>
      <w:r w:rsidR="004F01E9">
        <w:rPr>
          <w:noProof/>
        </w:rPr>
        <w:t xml:space="preserve"> a </w:t>
      </w:r>
      <w:r w:rsidR="008A4012" w:rsidRPr="004F01E9">
        <w:rPr>
          <w:noProof/>
        </w:rPr>
        <w:t>zachovať dobré fungovanie finančných trhov</w:t>
      </w:r>
      <w:r w:rsidR="004F01E9">
        <w:rPr>
          <w:noProof/>
        </w:rPr>
        <w:t xml:space="preserve"> v </w:t>
      </w:r>
      <w:r w:rsidR="008A4012" w:rsidRPr="004F01E9">
        <w:rPr>
          <w:noProof/>
        </w:rPr>
        <w:t>Únii by sa do transpozície konečných štandardov FRTB do práva Únie mali zaviesť cielené úpravy.</w:t>
      </w:r>
    </w:p>
    <w:p w14:paraId="30088229" w14:textId="1B6233DE" w:rsidR="008A4012" w:rsidRPr="004F01E9" w:rsidRDefault="007130D9" w:rsidP="007130D9">
      <w:pPr>
        <w:pStyle w:val="ManualConsidrant"/>
        <w:rPr>
          <w:noProof/>
        </w:rPr>
      </w:pPr>
      <w:r w:rsidRPr="007130D9">
        <w:t>(33)</w:t>
      </w:r>
      <w:r w:rsidRPr="007130D9">
        <w:tab/>
      </w:r>
      <w:r w:rsidR="008A4012" w:rsidRPr="004F01E9">
        <w:rPr>
          <w:noProof/>
        </w:rPr>
        <w:t>Ako sa vyžaduje podľa nariadenia (EÚ) 2019/876, Komisia by mala pri výpočte kapitálových požiadaviek na trhové riziko pre inštitúcie so stredne veľkým rozsahom činnosti</w:t>
      </w:r>
      <w:r w:rsidR="004F01E9">
        <w:rPr>
          <w:noProof/>
        </w:rPr>
        <w:t xml:space="preserve"> v </w:t>
      </w:r>
      <w:r w:rsidR="008A4012" w:rsidRPr="004F01E9">
        <w:rPr>
          <w:noProof/>
        </w:rPr>
        <w:t>obchodnej knihe zohľadniť zásadu proporcionality</w:t>
      </w:r>
      <w:r w:rsidR="004F01E9">
        <w:rPr>
          <w:noProof/>
        </w:rPr>
        <w:t xml:space="preserve"> a </w:t>
      </w:r>
      <w:r w:rsidR="008A4012" w:rsidRPr="004F01E9">
        <w:rPr>
          <w:noProof/>
        </w:rPr>
        <w:t>tieto požiadavky podľa toho nastaviť. Inštitúcie so stredne veľkým rozsahom činnosti</w:t>
      </w:r>
      <w:r w:rsidR="004F01E9">
        <w:rPr>
          <w:noProof/>
        </w:rPr>
        <w:t xml:space="preserve"> v </w:t>
      </w:r>
      <w:r w:rsidR="008A4012" w:rsidRPr="004F01E9">
        <w:rPr>
          <w:noProof/>
        </w:rPr>
        <w:t>obchodnej knihe by preto mali mať možnosť používať zjednodušený štandardizovaný prístup na výpočet požiadaviek na vlastné zdroje pre trhové riziko</w:t>
      </w:r>
      <w:r w:rsidR="004F01E9">
        <w:rPr>
          <w:noProof/>
        </w:rPr>
        <w:t xml:space="preserve"> v </w:t>
      </w:r>
      <w:r w:rsidR="008A4012" w:rsidRPr="004F01E9">
        <w:rPr>
          <w:noProof/>
        </w:rPr>
        <w:t>súlade</w:t>
      </w:r>
      <w:r w:rsidR="004F01E9">
        <w:rPr>
          <w:noProof/>
        </w:rPr>
        <w:t xml:space="preserve"> s </w:t>
      </w:r>
      <w:r w:rsidR="008A4012" w:rsidRPr="004F01E9">
        <w:rPr>
          <w:noProof/>
        </w:rPr>
        <w:t>medzinárodne dohodnutými normami. Okrem toho by kritériá prípustnosti na identifikáciu inštitúcií so stredne veľkým rozsahom činnosti</w:t>
      </w:r>
      <w:r w:rsidR="004F01E9">
        <w:rPr>
          <w:noProof/>
        </w:rPr>
        <w:t xml:space="preserve"> v </w:t>
      </w:r>
      <w:r w:rsidR="008A4012" w:rsidRPr="004F01E9">
        <w:rPr>
          <w:noProof/>
        </w:rPr>
        <w:t>obchodnej knihe mali zostať</w:t>
      </w:r>
      <w:r w:rsidR="004F01E9">
        <w:rPr>
          <w:noProof/>
        </w:rPr>
        <w:t xml:space="preserve"> v </w:t>
      </w:r>
      <w:r w:rsidR="008A4012" w:rsidRPr="004F01E9">
        <w:rPr>
          <w:noProof/>
        </w:rPr>
        <w:t>súlade</w:t>
      </w:r>
      <w:r w:rsidR="004F01E9">
        <w:rPr>
          <w:noProof/>
        </w:rPr>
        <w:t xml:space="preserve"> s </w:t>
      </w:r>
      <w:r w:rsidR="008A4012" w:rsidRPr="004F01E9">
        <w:rPr>
          <w:noProof/>
        </w:rPr>
        <w:t>kritériami stanovenými</w:t>
      </w:r>
      <w:r w:rsidR="004F01E9">
        <w:rPr>
          <w:noProof/>
        </w:rPr>
        <w:t xml:space="preserve"> v </w:t>
      </w:r>
      <w:r w:rsidR="008A4012" w:rsidRPr="004F01E9">
        <w:rPr>
          <w:noProof/>
        </w:rPr>
        <w:t>nariadení (EÚ) 2019/876 na oslobodenie takýchto inštitúcií od požiadaviek na podávanie správ</w:t>
      </w:r>
      <w:r w:rsidR="004F01E9">
        <w:rPr>
          <w:noProof/>
        </w:rPr>
        <w:t xml:space="preserve"> o </w:t>
      </w:r>
      <w:r w:rsidR="008A4012" w:rsidRPr="004F01E9">
        <w:rPr>
          <w:noProof/>
        </w:rPr>
        <w:t>FRTB stanovených</w:t>
      </w:r>
      <w:r w:rsidR="004F01E9">
        <w:rPr>
          <w:noProof/>
        </w:rPr>
        <w:t xml:space="preserve"> v </w:t>
      </w:r>
      <w:r w:rsidR="008A4012" w:rsidRPr="004F01E9">
        <w:rPr>
          <w:noProof/>
        </w:rPr>
        <w:t>uvedenom nariadení.</w:t>
      </w:r>
    </w:p>
    <w:p w14:paraId="51762999" w14:textId="292C165A" w:rsidR="008A4012" w:rsidRPr="006C666F" w:rsidRDefault="007130D9" w:rsidP="007130D9">
      <w:pPr>
        <w:pStyle w:val="ManualConsidrant"/>
        <w:rPr>
          <w:noProof/>
        </w:rPr>
      </w:pPr>
      <w:r w:rsidRPr="007130D9">
        <w:t>(34)</w:t>
      </w:r>
      <w:r w:rsidRPr="007130D9">
        <w:tab/>
      </w:r>
      <w:r w:rsidR="008A4012" w:rsidRPr="006C666F">
        <w:rPr>
          <w:noProof/>
        </w:rPr>
        <w:t>Obchodné činnosti inštitúcií na veľkoobchodných trhoch možno ľahko realizovať cez hranice,</w:t>
      </w:r>
      <w:r w:rsidR="004F01E9" w:rsidRPr="006C666F">
        <w:rPr>
          <w:noProof/>
        </w:rPr>
        <w:t xml:space="preserve"> a </w:t>
      </w:r>
      <w:r w:rsidR="008A4012" w:rsidRPr="006C666F">
        <w:rPr>
          <w:noProof/>
        </w:rPr>
        <w:t>to aj medzi členskými štátmi</w:t>
      </w:r>
      <w:r w:rsidR="004F01E9" w:rsidRPr="006C666F">
        <w:rPr>
          <w:noProof/>
        </w:rPr>
        <w:t xml:space="preserve"> a </w:t>
      </w:r>
      <w:r w:rsidR="008A4012" w:rsidRPr="006C666F">
        <w:rPr>
          <w:noProof/>
        </w:rPr>
        <w:t>tretími krajinami. Vykonávanie konečných štandardov FRTB by sa preto malo</w:t>
      </w:r>
      <w:r w:rsidR="004F01E9" w:rsidRPr="006C666F">
        <w:rPr>
          <w:noProof/>
        </w:rPr>
        <w:t xml:space="preserve"> v </w:t>
      </w:r>
      <w:r w:rsidR="008A4012" w:rsidRPr="006C666F">
        <w:rPr>
          <w:noProof/>
        </w:rPr>
        <w:t>rámci jurisdikcií čo najviac zbližovať,</w:t>
      </w:r>
      <w:r w:rsidR="004F01E9" w:rsidRPr="006C666F">
        <w:rPr>
          <w:noProof/>
        </w:rPr>
        <w:t xml:space="preserve"> a </w:t>
      </w:r>
      <w:r w:rsidR="008A4012" w:rsidRPr="006C666F">
        <w:rPr>
          <w:noProof/>
        </w:rPr>
        <w:t>to</w:t>
      </w:r>
      <w:r w:rsidR="004F01E9" w:rsidRPr="006C666F">
        <w:rPr>
          <w:noProof/>
        </w:rPr>
        <w:t xml:space="preserve"> z </w:t>
      </w:r>
      <w:r w:rsidR="008A4012" w:rsidRPr="006C666F">
        <w:rPr>
          <w:noProof/>
        </w:rPr>
        <w:t>hľadiska podstaty aj načasovania.</w:t>
      </w:r>
      <w:r w:rsidR="004F01E9" w:rsidRPr="006C666F">
        <w:rPr>
          <w:noProof/>
        </w:rPr>
        <w:t xml:space="preserve"> V </w:t>
      </w:r>
      <w:r w:rsidR="008A4012" w:rsidRPr="006C666F">
        <w:rPr>
          <w:noProof/>
        </w:rPr>
        <w:t>opačnom prípade nebude možné zabezpečiť pre tieto činnosti rovnaké podmienky na medzinárodnej úrovni. Komisia by preto mala monitorovať vykonávanie týchto štandardov</w:t>
      </w:r>
      <w:r w:rsidR="004F01E9" w:rsidRPr="006C666F">
        <w:rPr>
          <w:noProof/>
        </w:rPr>
        <w:t xml:space="preserve"> v </w:t>
      </w:r>
      <w:r w:rsidR="008A4012" w:rsidRPr="006C666F">
        <w:rPr>
          <w:noProof/>
        </w:rPr>
        <w:t>iných jurisdikciách členov výboru BCBS,</w:t>
      </w:r>
      <w:r w:rsidR="004F01E9" w:rsidRPr="006C666F">
        <w:rPr>
          <w:noProof/>
        </w:rPr>
        <w:t xml:space="preserve"> a v </w:t>
      </w:r>
      <w:r w:rsidR="008A4012" w:rsidRPr="006C666F">
        <w:rPr>
          <w:noProof/>
        </w:rPr>
        <w:t>prípade potreby by mala podniknúť kroky na riešenie možného narušenia týchto pravidiel.</w:t>
      </w:r>
    </w:p>
    <w:p w14:paraId="082732E7" w14:textId="38B23F1D" w:rsidR="00806B81" w:rsidRPr="004F01E9" w:rsidRDefault="007130D9" w:rsidP="007130D9">
      <w:pPr>
        <w:pStyle w:val="ManualConsidrant"/>
        <w:rPr>
          <w:noProof/>
        </w:rPr>
      </w:pPr>
      <w:r w:rsidRPr="007130D9">
        <w:t>(35)</w:t>
      </w:r>
      <w:r w:rsidRPr="007130D9">
        <w:tab/>
      </w:r>
      <w:r w:rsidR="008A4012" w:rsidRPr="004F01E9">
        <w:rPr>
          <w:noProof/>
        </w:rPr>
        <w:t>Výbor BCBS zrevidoval medzinárodnú normu pre operačné riziko</w:t>
      </w:r>
      <w:r w:rsidR="004F01E9">
        <w:rPr>
          <w:noProof/>
        </w:rPr>
        <w:t xml:space="preserve"> s </w:t>
      </w:r>
      <w:r w:rsidR="008A4012" w:rsidRPr="004F01E9">
        <w:rPr>
          <w:noProof/>
        </w:rPr>
        <w:t>cieľom riešiť nedostatky, ktoré sa objavili</w:t>
      </w:r>
      <w:r w:rsidR="004F01E9">
        <w:rPr>
          <w:noProof/>
        </w:rPr>
        <w:t xml:space="preserve"> v </w:t>
      </w:r>
      <w:r w:rsidR="008A4012" w:rsidRPr="004F01E9">
        <w:rPr>
          <w:noProof/>
        </w:rPr>
        <w:t>dôsledku finančnej krízy</w:t>
      </w:r>
      <w:r w:rsidR="004F01E9">
        <w:rPr>
          <w:noProof/>
        </w:rPr>
        <w:t xml:space="preserve"> v </w:t>
      </w:r>
      <w:r w:rsidR="008A4012" w:rsidRPr="004F01E9">
        <w:rPr>
          <w:noProof/>
        </w:rPr>
        <w:t>rokoch 2008 – 2009. Okrem nedostatočnej citlivosti na riziko</w:t>
      </w:r>
      <w:r w:rsidR="004F01E9">
        <w:rPr>
          <w:noProof/>
        </w:rPr>
        <w:t xml:space="preserve"> v </w:t>
      </w:r>
      <w:r w:rsidR="008A4012" w:rsidRPr="004F01E9">
        <w:rPr>
          <w:noProof/>
        </w:rPr>
        <w:t>štandardizovaných prístupoch bola zistená nedostatočná porovnateľnosť vyplývajúca zo širokej škály postupov interného modelovania</w:t>
      </w:r>
      <w:r w:rsidR="004F01E9">
        <w:rPr>
          <w:noProof/>
        </w:rPr>
        <w:t xml:space="preserve"> v </w:t>
      </w:r>
      <w:r w:rsidR="008A4012" w:rsidRPr="004F01E9">
        <w:rPr>
          <w:noProof/>
        </w:rPr>
        <w:t>rámci pokročilého prístupu merania (AMA).</w:t>
      </w:r>
      <w:r w:rsidR="004F01E9">
        <w:rPr>
          <w:noProof/>
        </w:rPr>
        <w:t xml:space="preserve"> V </w:t>
      </w:r>
      <w:r w:rsidR="008A4012" w:rsidRPr="004F01E9">
        <w:rPr>
          <w:noProof/>
        </w:rPr>
        <w:t>záujme zjednodušenia rámca operačného rizika sa preto všetky existujúce prístupy</w:t>
      </w:r>
      <w:r w:rsidR="004F01E9">
        <w:rPr>
          <w:noProof/>
        </w:rPr>
        <w:t xml:space="preserve"> k </w:t>
      </w:r>
      <w:r w:rsidR="008A4012" w:rsidRPr="004F01E9">
        <w:rPr>
          <w:noProof/>
        </w:rPr>
        <w:t xml:space="preserve">odhadu kapitálových požiadaviek na operačné riziko nahradili jednou metódou, ktorá nie je založená na modeli. Nariadenie (EÚ) </w:t>
      </w:r>
      <w:r w:rsidR="004F01E9">
        <w:rPr>
          <w:noProof/>
        </w:rPr>
        <w:t>č. </w:t>
      </w:r>
      <w:r w:rsidR="008A4012" w:rsidRPr="004F01E9">
        <w:rPr>
          <w:noProof/>
        </w:rPr>
        <w:t>575/2013 by sa malo zosúladiť</w:t>
      </w:r>
      <w:r w:rsidR="004F01E9">
        <w:rPr>
          <w:noProof/>
        </w:rPr>
        <w:t xml:space="preserve"> s </w:t>
      </w:r>
      <w:r w:rsidR="008A4012" w:rsidRPr="004F01E9">
        <w:rPr>
          <w:noProof/>
        </w:rPr>
        <w:t>revidovanými bazilejskými štandardmi tak, aby sa zabezpečili rovnaké podmienky na medzinárodnej úrovni pre inštitúcie so sídlom</w:t>
      </w:r>
      <w:r w:rsidR="004F01E9">
        <w:rPr>
          <w:noProof/>
        </w:rPr>
        <w:t xml:space="preserve"> v </w:t>
      </w:r>
      <w:r w:rsidR="008A4012" w:rsidRPr="004F01E9">
        <w:rPr>
          <w:noProof/>
        </w:rPr>
        <w:t>Únii, ktoré však pôsobia aj mimo Únie,</w:t>
      </w:r>
      <w:r w:rsidR="004F01E9">
        <w:rPr>
          <w:noProof/>
        </w:rPr>
        <w:t xml:space="preserve"> a </w:t>
      </w:r>
      <w:r w:rsidR="008A4012" w:rsidRPr="004F01E9">
        <w:rPr>
          <w:noProof/>
        </w:rPr>
        <w:t>aby sa zabezpečilo, že rámec operačného rizika na úrovni Únie zostane účinný.</w:t>
      </w:r>
    </w:p>
    <w:p w14:paraId="103E5693" w14:textId="1E3A2BE2" w:rsidR="008A4012" w:rsidRPr="006C666F" w:rsidRDefault="007130D9" w:rsidP="007130D9">
      <w:pPr>
        <w:pStyle w:val="ManualConsidrant"/>
        <w:rPr>
          <w:noProof/>
        </w:rPr>
      </w:pPr>
      <w:r w:rsidRPr="007130D9">
        <w:t>(36)</w:t>
      </w:r>
      <w:r w:rsidRPr="007130D9">
        <w:tab/>
      </w:r>
      <w:r w:rsidR="008A4012" w:rsidRPr="006C666F">
        <w:rPr>
          <w:noProof/>
        </w:rPr>
        <w:t>V novom štandardizovanom prístupe</w:t>
      </w:r>
      <w:r w:rsidR="004F01E9" w:rsidRPr="006C666F">
        <w:rPr>
          <w:noProof/>
        </w:rPr>
        <w:t xml:space="preserve"> k </w:t>
      </w:r>
      <w:r w:rsidR="008A4012" w:rsidRPr="006C666F">
        <w:rPr>
          <w:noProof/>
        </w:rPr>
        <w:t>operačnému riziku, ktorý zaviedol výbor BCBS, sa kombinuje ukazovateľ, ktorý sa opiera</w:t>
      </w:r>
      <w:r w:rsidR="004F01E9" w:rsidRPr="006C666F">
        <w:rPr>
          <w:noProof/>
        </w:rPr>
        <w:t xml:space="preserve"> o </w:t>
      </w:r>
      <w:r w:rsidR="008A4012" w:rsidRPr="006C666F">
        <w:rPr>
          <w:noProof/>
        </w:rPr>
        <w:t>veľkosť obchodov inštitúcie,</w:t>
      </w:r>
      <w:r w:rsidR="004F01E9" w:rsidRPr="006C666F">
        <w:rPr>
          <w:noProof/>
        </w:rPr>
        <w:t xml:space="preserve"> s </w:t>
      </w:r>
      <w:r w:rsidR="008A4012" w:rsidRPr="006C666F">
        <w:rPr>
          <w:noProof/>
        </w:rPr>
        <w:t>ukazovateľom,</w:t>
      </w:r>
      <w:r w:rsidR="004F01E9" w:rsidRPr="006C666F">
        <w:rPr>
          <w:noProof/>
        </w:rPr>
        <w:t xml:space="preserve"> v </w:t>
      </w:r>
      <w:r w:rsidR="008A4012" w:rsidRPr="006C666F">
        <w:rPr>
          <w:noProof/>
        </w:rPr>
        <w:t>ktorom sa zohľadňuje história strát danej inštitúcie.</w:t>
      </w:r>
      <w:r w:rsidR="004F01E9" w:rsidRPr="006C666F">
        <w:rPr>
          <w:noProof/>
        </w:rPr>
        <w:t xml:space="preserve"> V </w:t>
      </w:r>
      <w:r w:rsidR="008A4012" w:rsidRPr="006C666F">
        <w:rPr>
          <w:noProof/>
        </w:rPr>
        <w:t>revidovaných bazilejských štandardoch sa stanovuje niekoľko právomocí týkajúcich sa toho, ako možno zaviesť ukazovateľ, ktorým sa zohľadňuje história strát inštitúcie. Jurisdikcie nemusia zohľadňovať historické straty pri výpočte kapitálovej požiadavky pre operačné riziko pre všetky relevantné inštitúcie, alebo môžu údaje</w:t>
      </w:r>
      <w:r w:rsidR="004F01E9" w:rsidRPr="006C666F">
        <w:rPr>
          <w:noProof/>
        </w:rPr>
        <w:t xml:space="preserve"> o </w:t>
      </w:r>
      <w:r w:rsidR="008A4012" w:rsidRPr="006C666F">
        <w:rPr>
          <w:noProof/>
        </w:rPr>
        <w:t>historických stratách zohľadňovať aj</w:t>
      </w:r>
      <w:r w:rsidR="004F01E9" w:rsidRPr="006C666F">
        <w:rPr>
          <w:noProof/>
        </w:rPr>
        <w:t xml:space="preserve"> v </w:t>
      </w:r>
      <w:r w:rsidR="008A4012" w:rsidRPr="006C666F">
        <w:rPr>
          <w:noProof/>
        </w:rPr>
        <w:t>prípade inštitúcií, ktoré nedosahujú určitú veľkosť obchodov.</w:t>
      </w:r>
      <w:r w:rsidR="004F01E9" w:rsidRPr="006C666F">
        <w:rPr>
          <w:noProof/>
        </w:rPr>
        <w:t xml:space="preserve"> S </w:t>
      </w:r>
      <w:r w:rsidR="008A4012" w:rsidRPr="006C666F">
        <w:rPr>
          <w:noProof/>
        </w:rPr>
        <w:t>cieľom zabezpečiť rovnaké podmienky</w:t>
      </w:r>
      <w:r w:rsidR="004F01E9" w:rsidRPr="006C666F">
        <w:rPr>
          <w:noProof/>
        </w:rPr>
        <w:t xml:space="preserve"> v </w:t>
      </w:r>
      <w:r w:rsidR="008A4012" w:rsidRPr="006C666F">
        <w:rPr>
          <w:noProof/>
        </w:rPr>
        <w:t>rámci Únie</w:t>
      </w:r>
      <w:r w:rsidR="004F01E9" w:rsidRPr="006C666F">
        <w:rPr>
          <w:noProof/>
        </w:rPr>
        <w:t xml:space="preserve"> a </w:t>
      </w:r>
      <w:r w:rsidR="008A4012" w:rsidRPr="006C666F">
        <w:rPr>
          <w:noProof/>
        </w:rPr>
        <w:t>zjednodušiť výpočet kapitálovej požiadavky pre operačné riziko by sa tieto diskrečné právomoci mali uplatňovať harmonizovaným spôsobom</w:t>
      </w:r>
      <w:r w:rsidR="004F01E9" w:rsidRPr="006C666F">
        <w:rPr>
          <w:noProof/>
        </w:rPr>
        <w:t xml:space="preserve"> v </w:t>
      </w:r>
      <w:r w:rsidR="008A4012" w:rsidRPr="006C666F">
        <w:rPr>
          <w:noProof/>
        </w:rPr>
        <w:t>prípade minimálnych požiadaviek na vlastné zdroje,</w:t>
      </w:r>
      <w:r w:rsidR="004F01E9" w:rsidRPr="006C666F">
        <w:rPr>
          <w:noProof/>
        </w:rPr>
        <w:t xml:space="preserve"> a </w:t>
      </w:r>
      <w:r w:rsidR="008A4012" w:rsidRPr="006C666F">
        <w:rPr>
          <w:noProof/>
        </w:rPr>
        <w:t>to tak, že sa nebudú zohľadňovať historické údaje</w:t>
      </w:r>
      <w:r w:rsidR="004F01E9" w:rsidRPr="006C666F">
        <w:rPr>
          <w:noProof/>
        </w:rPr>
        <w:t xml:space="preserve"> o </w:t>
      </w:r>
      <w:r w:rsidR="008A4012" w:rsidRPr="006C666F">
        <w:rPr>
          <w:noProof/>
        </w:rPr>
        <w:t>prevádzkových stratách pre všetky inštitúcie.</w:t>
      </w:r>
    </w:p>
    <w:p w14:paraId="3FD802E1" w14:textId="21A0506D" w:rsidR="00806B81" w:rsidRPr="004F01E9" w:rsidRDefault="007130D9" w:rsidP="007130D9">
      <w:pPr>
        <w:pStyle w:val="ManualConsidrant"/>
        <w:rPr>
          <w:noProof/>
        </w:rPr>
      </w:pPr>
      <w:r w:rsidRPr="007130D9">
        <w:t>(37)</w:t>
      </w:r>
      <w:r w:rsidRPr="007130D9">
        <w:tab/>
      </w:r>
      <w:r w:rsidR="008A4012" w:rsidRPr="004F01E9">
        <w:rPr>
          <w:noProof/>
        </w:rPr>
        <w:t>Informácie</w:t>
      </w:r>
      <w:r w:rsidR="004F01E9">
        <w:rPr>
          <w:noProof/>
        </w:rPr>
        <w:t xml:space="preserve"> o </w:t>
      </w:r>
      <w:r w:rsidR="008A4012" w:rsidRPr="004F01E9">
        <w:rPr>
          <w:noProof/>
        </w:rPr>
        <w:t>množstve</w:t>
      </w:r>
      <w:r w:rsidR="004F01E9">
        <w:rPr>
          <w:noProof/>
        </w:rPr>
        <w:t xml:space="preserve"> a </w:t>
      </w:r>
      <w:r w:rsidR="008A4012" w:rsidRPr="004F01E9">
        <w:rPr>
          <w:noProof/>
        </w:rPr>
        <w:t>kvalite splácaných expozícií, nesplácaných expozícií</w:t>
      </w:r>
      <w:r w:rsidR="004F01E9">
        <w:rPr>
          <w:noProof/>
        </w:rPr>
        <w:t xml:space="preserve"> a </w:t>
      </w:r>
      <w:r w:rsidR="008A4012" w:rsidRPr="004F01E9">
        <w:rPr>
          <w:noProof/>
        </w:rPr>
        <w:t>expozícií</w:t>
      </w:r>
      <w:r w:rsidR="004F01E9">
        <w:rPr>
          <w:noProof/>
        </w:rPr>
        <w:t xml:space="preserve"> s </w:t>
      </w:r>
      <w:r w:rsidR="008A4012" w:rsidRPr="004F01E9">
        <w:rPr>
          <w:noProof/>
        </w:rPr>
        <w:t>pozmenenou splatnosťou, ako aj analýzu starnutia účtovníctva expozícií po splatnosti by mali zverejňovať aj malé</w:t>
      </w:r>
      <w:r w:rsidR="004F01E9">
        <w:rPr>
          <w:noProof/>
        </w:rPr>
        <w:t xml:space="preserve"> a </w:t>
      </w:r>
      <w:r w:rsidR="008A4012" w:rsidRPr="004F01E9">
        <w:rPr>
          <w:noProof/>
        </w:rPr>
        <w:t>menej zložité inštitúcie</w:t>
      </w:r>
      <w:r w:rsidR="004F01E9">
        <w:rPr>
          <w:noProof/>
        </w:rPr>
        <w:t xml:space="preserve"> a </w:t>
      </w:r>
      <w:r w:rsidR="008A4012" w:rsidRPr="004F01E9">
        <w:rPr>
          <w:noProof/>
        </w:rPr>
        <w:t>iné nekótované úverové inštitúcie. Táto povinnosť zverejňovania informácií nepredstavuje pre tieto úverové inštitúcie dodatočnú záťaž, keďže zverejnenie takéhoto obmedzeného súboru informácií už orgán EBA zaviedol na základe akčného plánu Rady</w:t>
      </w:r>
      <w:r w:rsidR="004F01E9">
        <w:rPr>
          <w:noProof/>
        </w:rPr>
        <w:t xml:space="preserve"> z </w:t>
      </w:r>
      <w:r w:rsidR="008A4012" w:rsidRPr="004F01E9">
        <w:rPr>
          <w:noProof/>
        </w:rPr>
        <w:t>roku 2017 na riešenie nesplácaných úverov</w:t>
      </w:r>
      <w:r w:rsidR="008A4012" w:rsidRPr="004F01E9">
        <w:rPr>
          <w:rStyle w:val="FootnoteReference0"/>
          <w:noProof/>
        </w:rPr>
        <w:footnoteReference w:id="52"/>
      </w:r>
      <w:r w:rsidR="008A4012" w:rsidRPr="004F01E9">
        <w:rPr>
          <w:noProof/>
        </w:rPr>
        <w:t>,</w:t>
      </w:r>
      <w:r w:rsidR="004F01E9">
        <w:rPr>
          <w:noProof/>
        </w:rPr>
        <w:t xml:space="preserve"> v </w:t>
      </w:r>
      <w:r w:rsidR="008A4012" w:rsidRPr="004F01E9">
        <w:rPr>
          <w:noProof/>
        </w:rPr>
        <w:t>ktorom sa orgán EBA vyzval, aby zlepšil požiadavky na zverejňovanie informácií</w:t>
      </w:r>
      <w:r w:rsidR="004F01E9">
        <w:rPr>
          <w:noProof/>
        </w:rPr>
        <w:t xml:space="preserve"> o </w:t>
      </w:r>
      <w:r w:rsidR="008A4012" w:rsidRPr="004F01E9">
        <w:rPr>
          <w:noProof/>
        </w:rPr>
        <w:t>kvalite aktív</w:t>
      </w:r>
      <w:r w:rsidR="004F01E9">
        <w:rPr>
          <w:noProof/>
        </w:rPr>
        <w:t xml:space="preserve"> a </w:t>
      </w:r>
      <w:r w:rsidR="008A4012" w:rsidRPr="004F01E9">
        <w:rPr>
          <w:noProof/>
        </w:rPr>
        <w:t>nesplácaných úverov pre všetky úverové inštitúcie. Je to aj plne</w:t>
      </w:r>
      <w:r w:rsidR="004F01E9">
        <w:rPr>
          <w:noProof/>
        </w:rPr>
        <w:t xml:space="preserve"> v </w:t>
      </w:r>
      <w:r w:rsidR="008A4012" w:rsidRPr="004F01E9">
        <w:rPr>
          <w:noProof/>
        </w:rPr>
        <w:t>súlade</w:t>
      </w:r>
      <w:r w:rsidR="004F01E9">
        <w:rPr>
          <w:noProof/>
        </w:rPr>
        <w:t xml:space="preserve"> s </w:t>
      </w:r>
      <w:r w:rsidR="008A4012" w:rsidRPr="004F01E9">
        <w:rPr>
          <w:noProof/>
        </w:rPr>
        <w:t>oznámením</w:t>
      </w:r>
      <w:r w:rsidR="004F01E9">
        <w:rPr>
          <w:noProof/>
        </w:rPr>
        <w:t xml:space="preserve"> o </w:t>
      </w:r>
      <w:r w:rsidR="008A4012" w:rsidRPr="004F01E9">
        <w:rPr>
          <w:noProof/>
        </w:rPr>
        <w:t>riešení nesplácaných úverov</w:t>
      </w:r>
      <w:r w:rsidR="004F01E9">
        <w:rPr>
          <w:noProof/>
        </w:rPr>
        <w:t xml:space="preserve"> v </w:t>
      </w:r>
      <w:r w:rsidR="008A4012" w:rsidRPr="004F01E9">
        <w:rPr>
          <w:noProof/>
        </w:rPr>
        <w:t>období po pandémii COVID-19</w:t>
      </w:r>
      <w:r w:rsidR="008A4012" w:rsidRPr="004F01E9">
        <w:rPr>
          <w:rStyle w:val="FootnoteReference0"/>
          <w:noProof/>
        </w:rPr>
        <w:footnoteReference w:id="53"/>
      </w:r>
      <w:r w:rsidR="008A4012" w:rsidRPr="004F01E9">
        <w:rPr>
          <w:noProof/>
        </w:rPr>
        <w:t>.</w:t>
      </w:r>
    </w:p>
    <w:p w14:paraId="0D4253A6" w14:textId="136EEDAA" w:rsidR="008A4012" w:rsidRPr="004F01E9" w:rsidRDefault="007130D9" w:rsidP="007130D9">
      <w:pPr>
        <w:pStyle w:val="ManualConsidrant"/>
        <w:rPr>
          <w:rStyle w:val="normaltextrun"/>
          <w:noProof/>
        </w:rPr>
      </w:pPr>
      <w:r w:rsidRPr="007130D9">
        <w:rPr>
          <w:rStyle w:val="normaltextrun"/>
        </w:rPr>
        <w:t>(38)</w:t>
      </w:r>
      <w:r w:rsidRPr="007130D9">
        <w:rPr>
          <w:rStyle w:val="normaltextrun"/>
        </w:rPr>
        <w:tab/>
      </w:r>
      <w:r w:rsidR="008A4012" w:rsidRPr="004F01E9">
        <w:rPr>
          <w:rStyle w:val="normaltextrun"/>
          <w:noProof/>
        </w:rPr>
        <w:t>Je potrebné znížiť zaťaženie vyplývajúce</w:t>
      </w:r>
      <w:r w:rsidR="004F01E9">
        <w:rPr>
          <w:rStyle w:val="normaltextrun"/>
          <w:noProof/>
        </w:rPr>
        <w:t xml:space="preserve"> z </w:t>
      </w:r>
      <w:r w:rsidR="008A4012" w:rsidRPr="004F01E9">
        <w:rPr>
          <w:rStyle w:val="normaltextrun"/>
          <w:noProof/>
        </w:rPr>
        <w:t>dodržiavania predpisov na účely zverejňovania informácií</w:t>
      </w:r>
      <w:r w:rsidR="004F01E9">
        <w:rPr>
          <w:rStyle w:val="normaltextrun"/>
          <w:noProof/>
        </w:rPr>
        <w:t xml:space="preserve"> a </w:t>
      </w:r>
      <w:r w:rsidR="008A4012" w:rsidRPr="004F01E9">
        <w:rPr>
          <w:rStyle w:val="normaltextrun"/>
          <w:noProof/>
        </w:rPr>
        <w:t>zlepšiť porovnateľnosť týchto informácií. Orgán EBA by preto mal zriadiť centralizovanú webovú platformu, ktorá umožní zverejnenie informácií</w:t>
      </w:r>
      <w:r w:rsidR="004F01E9">
        <w:rPr>
          <w:rStyle w:val="normaltextrun"/>
          <w:noProof/>
        </w:rPr>
        <w:t xml:space="preserve"> a </w:t>
      </w:r>
      <w:r w:rsidR="008A4012" w:rsidRPr="004F01E9">
        <w:rPr>
          <w:rStyle w:val="normaltextrun"/>
          <w:noProof/>
        </w:rPr>
        <w:t>údajov predložených inštitúciami. Táto centralizovaná webová platforma by mala slúžiť ako jednotné prístupové miesto</w:t>
      </w:r>
      <w:r w:rsidR="004F01E9">
        <w:rPr>
          <w:rStyle w:val="normaltextrun"/>
          <w:noProof/>
        </w:rPr>
        <w:t xml:space="preserve"> k </w:t>
      </w:r>
      <w:r w:rsidR="008A4012" w:rsidRPr="004F01E9">
        <w:rPr>
          <w:rStyle w:val="normaltextrun"/>
          <w:noProof/>
        </w:rPr>
        <w:t>zverejneniam inštitúcií, pričom vlastníctvo informácií</w:t>
      </w:r>
      <w:r w:rsidR="004F01E9">
        <w:rPr>
          <w:rStyle w:val="normaltextrun"/>
          <w:noProof/>
        </w:rPr>
        <w:t xml:space="preserve"> a </w:t>
      </w:r>
      <w:r w:rsidR="008A4012" w:rsidRPr="004F01E9">
        <w:rPr>
          <w:rStyle w:val="normaltextrun"/>
          <w:noProof/>
        </w:rPr>
        <w:t>údajov</w:t>
      </w:r>
      <w:r w:rsidR="004F01E9">
        <w:rPr>
          <w:rStyle w:val="normaltextrun"/>
          <w:noProof/>
        </w:rPr>
        <w:t xml:space="preserve"> a </w:t>
      </w:r>
      <w:r w:rsidR="008A4012" w:rsidRPr="004F01E9">
        <w:rPr>
          <w:rStyle w:val="normaltextrun"/>
          <w:noProof/>
        </w:rPr>
        <w:t xml:space="preserve">zodpovednosť za ich presnosť by mali zostať na inštitúciách, ktoré ich vytvárajú. </w:t>
      </w:r>
      <w:r w:rsidR="008A4012" w:rsidRPr="004F01E9">
        <w:rPr>
          <w:noProof/>
          <w:color w:val="000000"/>
        </w:rPr>
        <w:t>Centralizácia uverejňovania zverejnených informácií by mala byť plne</w:t>
      </w:r>
      <w:r w:rsidR="004F01E9">
        <w:rPr>
          <w:noProof/>
          <w:color w:val="000000"/>
        </w:rPr>
        <w:t xml:space="preserve"> v </w:t>
      </w:r>
      <w:r w:rsidR="008A4012" w:rsidRPr="004F01E9">
        <w:rPr>
          <w:noProof/>
          <w:color w:val="000000"/>
        </w:rPr>
        <w:t xml:space="preserve">súlade </w:t>
      </w:r>
      <w:r w:rsidR="008A4012" w:rsidRPr="004F01E9">
        <w:rPr>
          <w:noProof/>
        </w:rPr>
        <w:t>akčným plánom únie kapitálových trhov</w:t>
      </w:r>
      <w:r w:rsidR="004F01E9">
        <w:rPr>
          <w:noProof/>
          <w:color w:val="000000"/>
        </w:rPr>
        <w:t xml:space="preserve"> a </w:t>
      </w:r>
      <w:r w:rsidR="008A4012" w:rsidRPr="004F01E9">
        <w:rPr>
          <w:noProof/>
          <w:color w:val="000000"/>
        </w:rPr>
        <w:t>predstavuje ďalší krok smerom</w:t>
      </w:r>
      <w:r w:rsidR="004F01E9">
        <w:rPr>
          <w:noProof/>
          <w:color w:val="000000"/>
        </w:rPr>
        <w:t xml:space="preserve"> k </w:t>
      </w:r>
      <w:r w:rsidR="008A4012" w:rsidRPr="004F01E9">
        <w:rPr>
          <w:noProof/>
          <w:color w:val="000000"/>
        </w:rPr>
        <w:t>vytvoreniu jednotného prístupového miesta</w:t>
      </w:r>
      <w:r w:rsidR="004F01E9">
        <w:rPr>
          <w:noProof/>
          <w:color w:val="000000"/>
        </w:rPr>
        <w:t xml:space="preserve"> v </w:t>
      </w:r>
      <w:r w:rsidR="008A4012" w:rsidRPr="004F01E9">
        <w:rPr>
          <w:noProof/>
          <w:color w:val="000000"/>
        </w:rPr>
        <w:t>celej EÚ pre informácie</w:t>
      </w:r>
      <w:r w:rsidR="004F01E9">
        <w:rPr>
          <w:noProof/>
          <w:color w:val="000000"/>
        </w:rPr>
        <w:t xml:space="preserve"> o </w:t>
      </w:r>
      <w:r w:rsidR="008A4012" w:rsidRPr="004F01E9">
        <w:rPr>
          <w:noProof/>
          <w:color w:val="000000"/>
        </w:rPr>
        <w:t>finančných</w:t>
      </w:r>
      <w:r w:rsidR="004F01E9">
        <w:rPr>
          <w:noProof/>
          <w:color w:val="000000"/>
        </w:rPr>
        <w:t xml:space="preserve"> a </w:t>
      </w:r>
      <w:r w:rsidR="008A4012" w:rsidRPr="004F01E9">
        <w:rPr>
          <w:noProof/>
          <w:color w:val="000000"/>
        </w:rPr>
        <w:t>udržateľných investíciách spoločností.</w:t>
      </w:r>
    </w:p>
    <w:p w14:paraId="6402C54E" w14:textId="09AED6B1" w:rsidR="00806B81" w:rsidRPr="004F01E9" w:rsidRDefault="007130D9" w:rsidP="007130D9">
      <w:pPr>
        <w:pStyle w:val="ManualConsidrant"/>
        <w:rPr>
          <w:noProof/>
        </w:rPr>
      </w:pPr>
      <w:r w:rsidRPr="007130D9">
        <w:t>(39)</w:t>
      </w:r>
      <w:r w:rsidRPr="007130D9">
        <w:tab/>
      </w:r>
      <w:r w:rsidR="008A4012" w:rsidRPr="004F01E9">
        <w:rPr>
          <w:rStyle w:val="normaltextrun"/>
          <w:noProof/>
        </w:rPr>
        <w:t>Aby sa umožnila väčšia integrácia podávania správ na účely dohľadu</w:t>
      </w:r>
      <w:r w:rsidR="004F01E9">
        <w:rPr>
          <w:rStyle w:val="normaltextrun"/>
          <w:noProof/>
        </w:rPr>
        <w:t xml:space="preserve"> a </w:t>
      </w:r>
      <w:r w:rsidR="008A4012" w:rsidRPr="004F01E9">
        <w:rPr>
          <w:rStyle w:val="normaltextrun"/>
          <w:noProof/>
        </w:rPr>
        <w:t>zverejnení, orgán EBA by mal uverejňovať informácie inštitúcií centralizovaným spôsobom, pričom by sa malo rešpektovať právo všetkých inštitúcií, aby samy zverejňovali údaje</w:t>
      </w:r>
      <w:r w:rsidR="004F01E9">
        <w:rPr>
          <w:rStyle w:val="normaltextrun"/>
          <w:noProof/>
        </w:rPr>
        <w:t xml:space="preserve"> a </w:t>
      </w:r>
      <w:r w:rsidR="008A4012" w:rsidRPr="004F01E9">
        <w:rPr>
          <w:rStyle w:val="normaltextrun"/>
          <w:noProof/>
        </w:rPr>
        <w:t>informácie. Takéto centralizované zverejnenia by mali orgánu EBA umožniť zverejňovať informácie malých</w:t>
      </w:r>
      <w:r w:rsidR="004F01E9">
        <w:rPr>
          <w:rStyle w:val="normaltextrun"/>
          <w:noProof/>
        </w:rPr>
        <w:t xml:space="preserve"> a </w:t>
      </w:r>
      <w:r w:rsidR="008A4012" w:rsidRPr="004F01E9">
        <w:rPr>
          <w:rStyle w:val="normaltextrun"/>
          <w:noProof/>
        </w:rPr>
        <w:t>menej zložitých inštitúcií na základe informácií, ktoré tieto inštitúcie oznamujú príslušným orgánom,</w:t>
      </w:r>
      <w:r w:rsidR="004F01E9">
        <w:rPr>
          <w:rStyle w:val="normaltextrun"/>
          <w:noProof/>
        </w:rPr>
        <w:t xml:space="preserve"> a </w:t>
      </w:r>
      <w:r w:rsidR="008A4012" w:rsidRPr="004F01E9">
        <w:rPr>
          <w:rStyle w:val="normaltextrun"/>
          <w:noProof/>
        </w:rPr>
        <w:t>tým by sa mala výrazne znížiť administratívna záťaž, ktorej tieto malé</w:t>
      </w:r>
      <w:r w:rsidR="004F01E9">
        <w:rPr>
          <w:rStyle w:val="normaltextrun"/>
          <w:noProof/>
        </w:rPr>
        <w:t xml:space="preserve"> a </w:t>
      </w:r>
      <w:r w:rsidR="008A4012" w:rsidRPr="004F01E9">
        <w:rPr>
          <w:rStyle w:val="normaltextrun"/>
          <w:noProof/>
        </w:rPr>
        <w:t>menej zložité inštitúcie podliehajú. Centralizácia zverejnení by zároveň nemala mať žiadny vplyv na náklady pre iné inštitúcie</w:t>
      </w:r>
      <w:r w:rsidR="004F01E9">
        <w:rPr>
          <w:rStyle w:val="normaltextrun"/>
          <w:noProof/>
        </w:rPr>
        <w:t xml:space="preserve"> a </w:t>
      </w:r>
      <w:r w:rsidR="008A4012" w:rsidRPr="004F01E9">
        <w:rPr>
          <w:rStyle w:val="normaltextrun"/>
          <w:noProof/>
        </w:rPr>
        <w:t>mala by sa ňou zvýšiť transparentnosť</w:t>
      </w:r>
      <w:r w:rsidR="004F01E9">
        <w:rPr>
          <w:rStyle w:val="normaltextrun"/>
          <w:noProof/>
        </w:rPr>
        <w:t xml:space="preserve"> a </w:t>
      </w:r>
      <w:r w:rsidR="008A4012" w:rsidRPr="004F01E9">
        <w:rPr>
          <w:rStyle w:val="normaltextrun"/>
          <w:noProof/>
        </w:rPr>
        <w:t>znížiť náklady účastníkov trhu na prístup</w:t>
      </w:r>
      <w:r w:rsidR="004F01E9">
        <w:rPr>
          <w:rStyle w:val="normaltextrun"/>
          <w:noProof/>
        </w:rPr>
        <w:t xml:space="preserve"> k </w:t>
      </w:r>
      <w:r w:rsidR="008A4012" w:rsidRPr="004F01E9">
        <w:rPr>
          <w:rStyle w:val="normaltextrun"/>
          <w:noProof/>
        </w:rPr>
        <w:t>prudenciálnym informáciám. Takáto zvýšená transparentnosť by mala uľahčiť porovnateľnosť údajov medzi inštitúciami</w:t>
      </w:r>
      <w:r w:rsidR="004F01E9">
        <w:rPr>
          <w:rStyle w:val="normaltextrun"/>
          <w:noProof/>
        </w:rPr>
        <w:t xml:space="preserve"> a </w:t>
      </w:r>
      <w:r w:rsidR="008A4012" w:rsidRPr="004F01E9">
        <w:rPr>
          <w:rStyle w:val="normaltextrun"/>
          <w:noProof/>
        </w:rPr>
        <w:t>podporiť trhovú disciplínu.</w:t>
      </w:r>
    </w:p>
    <w:p w14:paraId="59C3B367" w14:textId="3BC4D868" w:rsidR="008A4012" w:rsidRPr="004F01E9" w:rsidRDefault="007130D9" w:rsidP="007130D9">
      <w:pPr>
        <w:pStyle w:val="ManualConsidrant"/>
        <w:rPr>
          <w:noProof/>
        </w:rPr>
      </w:pPr>
      <w:r w:rsidRPr="007130D9">
        <w:t>(40)</w:t>
      </w:r>
      <w:r w:rsidRPr="007130D9">
        <w:tab/>
      </w:r>
      <w:r w:rsidR="008A4012" w:rsidRPr="004F01E9">
        <w:rPr>
          <w:noProof/>
        </w:rPr>
        <w:t>Na zabezpečenie konvergencie</w:t>
      </w:r>
      <w:r w:rsidR="004F01E9">
        <w:rPr>
          <w:noProof/>
        </w:rPr>
        <w:t xml:space="preserve"> v </w:t>
      </w:r>
      <w:r w:rsidR="008A4012" w:rsidRPr="004F01E9">
        <w:rPr>
          <w:noProof/>
        </w:rPr>
        <w:t>rámci Únie</w:t>
      </w:r>
      <w:r w:rsidR="004F01E9">
        <w:rPr>
          <w:noProof/>
        </w:rPr>
        <w:t xml:space="preserve"> a </w:t>
      </w:r>
      <w:r w:rsidR="008A4012" w:rsidRPr="004F01E9">
        <w:rPr>
          <w:noProof/>
        </w:rPr>
        <w:t>jednotného chápania environmentálnych</w:t>
      </w:r>
      <w:r w:rsidR="004F01E9">
        <w:rPr>
          <w:noProof/>
        </w:rPr>
        <w:t xml:space="preserve"> a </w:t>
      </w:r>
      <w:r w:rsidR="008A4012" w:rsidRPr="004F01E9">
        <w:rPr>
          <w:noProof/>
        </w:rPr>
        <w:t>sociálnych faktorov</w:t>
      </w:r>
      <w:r w:rsidR="004F01E9">
        <w:rPr>
          <w:noProof/>
        </w:rPr>
        <w:t xml:space="preserve"> a </w:t>
      </w:r>
      <w:r w:rsidR="008A4012" w:rsidRPr="004F01E9">
        <w:rPr>
          <w:noProof/>
        </w:rPr>
        <w:t>rizík</w:t>
      </w:r>
      <w:r w:rsidR="004F01E9">
        <w:rPr>
          <w:noProof/>
        </w:rPr>
        <w:t xml:space="preserve"> a </w:t>
      </w:r>
      <w:r w:rsidR="008A4012" w:rsidRPr="004F01E9">
        <w:rPr>
          <w:noProof/>
        </w:rPr>
        <w:t>rizík</w:t>
      </w:r>
      <w:r w:rsidR="004F01E9">
        <w:rPr>
          <w:noProof/>
        </w:rPr>
        <w:t xml:space="preserve"> v </w:t>
      </w:r>
      <w:r w:rsidR="008A4012" w:rsidRPr="004F01E9">
        <w:rPr>
          <w:noProof/>
        </w:rPr>
        <w:t>oblasti správy</w:t>
      </w:r>
      <w:r w:rsidR="004F01E9">
        <w:rPr>
          <w:noProof/>
        </w:rPr>
        <w:t xml:space="preserve"> a </w:t>
      </w:r>
      <w:r w:rsidR="008A4012" w:rsidRPr="004F01E9">
        <w:rPr>
          <w:noProof/>
        </w:rPr>
        <w:t>riadenia (ESG) by sa malo stanoviť všeobecné vymedzenie pojmov. Expozícia voči rizikám ESG nie je nevyhnutne úmerná veľkosti</w:t>
      </w:r>
      <w:r w:rsidR="004F01E9">
        <w:rPr>
          <w:noProof/>
        </w:rPr>
        <w:t xml:space="preserve"> a </w:t>
      </w:r>
      <w:r w:rsidR="008A4012" w:rsidRPr="004F01E9">
        <w:rPr>
          <w:noProof/>
        </w:rPr>
        <w:t>zložitosti inštitúcie. Úroveň expozícií</w:t>
      </w:r>
      <w:r w:rsidR="004F01E9">
        <w:rPr>
          <w:noProof/>
        </w:rPr>
        <w:t xml:space="preserve"> v </w:t>
      </w:r>
      <w:r w:rsidR="008A4012" w:rsidRPr="004F01E9">
        <w:rPr>
          <w:noProof/>
        </w:rPr>
        <w:t>Únii je zároveň celkom heterogénna, pričom niektoré krajiny vykazujú potenciálne mierne prechodné vplyvy</w:t>
      </w:r>
      <w:r w:rsidR="004F01E9">
        <w:rPr>
          <w:noProof/>
        </w:rPr>
        <w:t xml:space="preserve"> a </w:t>
      </w:r>
      <w:r w:rsidR="008A4012" w:rsidRPr="004F01E9">
        <w:rPr>
          <w:noProof/>
        </w:rPr>
        <w:t>iné vykazujú potenciálne vysoké prechodné vplyvy na expozície súvisiace</w:t>
      </w:r>
      <w:r w:rsidR="004F01E9">
        <w:rPr>
          <w:noProof/>
        </w:rPr>
        <w:t xml:space="preserve"> s </w:t>
      </w:r>
      <w:r w:rsidR="008A4012" w:rsidRPr="004F01E9">
        <w:rPr>
          <w:noProof/>
        </w:rPr>
        <w:t>činnosťami, ktoré majú významný negatívny vplyv na životné prostredie. Požiadavky na transparentnosť, ktorým inštitúcie podliehajú,</w:t>
      </w:r>
      <w:r w:rsidR="004F01E9">
        <w:rPr>
          <w:noProof/>
        </w:rPr>
        <w:t xml:space="preserve"> a </w:t>
      </w:r>
      <w:r w:rsidR="008A4012" w:rsidRPr="004F01E9">
        <w:rPr>
          <w:noProof/>
        </w:rPr>
        <w:t>požiadavky na podávanie správ</w:t>
      </w:r>
      <w:r w:rsidR="004F01E9">
        <w:rPr>
          <w:noProof/>
        </w:rPr>
        <w:t xml:space="preserve"> o </w:t>
      </w:r>
      <w:r w:rsidR="008A4012" w:rsidRPr="004F01E9">
        <w:rPr>
          <w:noProof/>
        </w:rPr>
        <w:t>udržateľnosti stanovené</w:t>
      </w:r>
      <w:r w:rsidR="004F01E9">
        <w:rPr>
          <w:noProof/>
        </w:rPr>
        <w:t xml:space="preserve"> v </w:t>
      </w:r>
      <w:r w:rsidR="008A4012" w:rsidRPr="004F01E9">
        <w:rPr>
          <w:noProof/>
        </w:rPr>
        <w:t>iných častiach existujúcich právnych predpisov</w:t>
      </w:r>
      <w:r w:rsidR="004F01E9">
        <w:rPr>
          <w:noProof/>
        </w:rPr>
        <w:t xml:space="preserve"> v </w:t>
      </w:r>
      <w:r w:rsidR="008A4012" w:rsidRPr="004F01E9">
        <w:rPr>
          <w:noProof/>
        </w:rPr>
        <w:t>Únii poskytnú</w:t>
      </w:r>
      <w:r w:rsidR="004F01E9">
        <w:rPr>
          <w:noProof/>
        </w:rPr>
        <w:t xml:space="preserve"> o </w:t>
      </w:r>
      <w:r w:rsidR="008A4012" w:rsidRPr="004F01E9">
        <w:rPr>
          <w:noProof/>
        </w:rPr>
        <w:t>niekoľko rokov podrobnejšie údaje. Na správne posúdenie rizík ESG, ktorým môžu inštitúcie čeliť, je však nevyhnutné, aby trhy</w:t>
      </w:r>
      <w:r w:rsidR="004F01E9">
        <w:rPr>
          <w:noProof/>
        </w:rPr>
        <w:t xml:space="preserve"> a </w:t>
      </w:r>
      <w:r w:rsidR="008A4012" w:rsidRPr="004F01E9">
        <w:rPr>
          <w:noProof/>
        </w:rPr>
        <w:t>orgány dohľadu získali primerané údaje od všetkých subjektov vystavených týmto rizikám, bez ohľadu na ich veľkosť.</w:t>
      </w:r>
      <w:r w:rsidR="004F01E9">
        <w:rPr>
          <w:noProof/>
        </w:rPr>
        <w:t xml:space="preserve"> S </w:t>
      </w:r>
      <w:r w:rsidR="008A4012" w:rsidRPr="004F01E9">
        <w:rPr>
          <w:noProof/>
        </w:rPr>
        <w:t>cieľom zabezpečiť, aby príslušné orgány mali</w:t>
      </w:r>
      <w:r w:rsidR="004F01E9">
        <w:rPr>
          <w:noProof/>
        </w:rPr>
        <w:t xml:space="preserve"> k </w:t>
      </w:r>
      <w:r w:rsidR="008A4012" w:rsidRPr="004F01E9">
        <w:rPr>
          <w:noProof/>
        </w:rPr>
        <w:t>dispozícii údaje, ktoré sú podrobné, komplexné</w:t>
      </w:r>
      <w:r w:rsidR="004F01E9">
        <w:rPr>
          <w:noProof/>
        </w:rPr>
        <w:t xml:space="preserve"> a </w:t>
      </w:r>
      <w:r w:rsidR="008A4012" w:rsidRPr="004F01E9">
        <w:rPr>
          <w:noProof/>
        </w:rPr>
        <w:t>porovnateľné na účely účinného dohľadu, by sa informácie</w:t>
      </w:r>
      <w:r w:rsidR="004F01E9">
        <w:rPr>
          <w:noProof/>
        </w:rPr>
        <w:t xml:space="preserve"> o </w:t>
      </w:r>
      <w:r w:rsidR="008A4012" w:rsidRPr="004F01E9">
        <w:rPr>
          <w:noProof/>
        </w:rPr>
        <w:t>expozíciách voči rizikám ESG mali zahrnúť do podávania správ na účely dohľadu inštitúcií. Rozsah</w:t>
      </w:r>
      <w:r w:rsidR="004F01E9">
        <w:rPr>
          <w:noProof/>
        </w:rPr>
        <w:t xml:space="preserve"> a </w:t>
      </w:r>
      <w:r w:rsidR="008A4012" w:rsidRPr="004F01E9">
        <w:rPr>
          <w:noProof/>
        </w:rPr>
        <w:t>podrobnosť týchto informácií by mali byť</w:t>
      </w:r>
      <w:r w:rsidR="004F01E9">
        <w:rPr>
          <w:noProof/>
        </w:rPr>
        <w:t xml:space="preserve"> v </w:t>
      </w:r>
      <w:r w:rsidR="008A4012" w:rsidRPr="004F01E9">
        <w:rPr>
          <w:noProof/>
        </w:rPr>
        <w:t>súlade so zásadou proporcionality,</w:t>
      </w:r>
      <w:r w:rsidR="004F01E9">
        <w:rPr>
          <w:noProof/>
        </w:rPr>
        <w:t xml:space="preserve"> a </w:t>
      </w:r>
      <w:r w:rsidR="008A4012" w:rsidRPr="004F01E9">
        <w:rPr>
          <w:noProof/>
        </w:rPr>
        <w:t>to so zreteľom na veľkosť</w:t>
      </w:r>
      <w:r w:rsidR="004F01E9">
        <w:rPr>
          <w:noProof/>
        </w:rPr>
        <w:t xml:space="preserve"> a </w:t>
      </w:r>
      <w:r w:rsidR="008A4012" w:rsidRPr="004F01E9">
        <w:rPr>
          <w:noProof/>
        </w:rPr>
        <w:t>zložitosť inštitúcií.</w:t>
      </w:r>
    </w:p>
    <w:p w14:paraId="43C6665C" w14:textId="551FB08C" w:rsidR="008A4012" w:rsidRPr="004F01E9" w:rsidRDefault="007130D9" w:rsidP="007130D9">
      <w:pPr>
        <w:pStyle w:val="ManualConsidrant"/>
        <w:rPr>
          <w:noProof/>
        </w:rPr>
      </w:pPr>
      <w:r w:rsidRPr="007130D9">
        <w:t>(41)</w:t>
      </w:r>
      <w:r w:rsidRPr="007130D9">
        <w:tab/>
      </w:r>
      <w:r w:rsidR="008A4012" w:rsidRPr="004F01E9">
        <w:rPr>
          <w:noProof/>
        </w:rPr>
        <w:t>Keďže prechod hospodárstva Únie na udržateľný hospodársky model sa zrýchľuje, riziká udržateľnosti sa stávajú výraznejšími</w:t>
      </w:r>
      <w:r w:rsidR="004F01E9">
        <w:rPr>
          <w:noProof/>
        </w:rPr>
        <w:t xml:space="preserve"> a </w:t>
      </w:r>
      <w:r w:rsidR="008A4012" w:rsidRPr="004F01E9">
        <w:rPr>
          <w:noProof/>
        </w:rPr>
        <w:t>budú si potenciálne vyžadovať ďalšie zváženie. Preto je potrebné</w:t>
      </w:r>
      <w:r w:rsidR="004F01E9">
        <w:rPr>
          <w:noProof/>
        </w:rPr>
        <w:t xml:space="preserve"> o </w:t>
      </w:r>
      <w:r w:rsidR="008A4012" w:rsidRPr="004F01E9">
        <w:rPr>
          <w:noProof/>
        </w:rPr>
        <w:t>2 roky posunúť mandát orgánu EBA na posúdenie</w:t>
      </w:r>
      <w:r w:rsidR="004F01E9">
        <w:rPr>
          <w:noProof/>
        </w:rPr>
        <w:t xml:space="preserve"> a </w:t>
      </w:r>
      <w:r w:rsidR="008A4012" w:rsidRPr="004F01E9">
        <w:rPr>
          <w:noProof/>
        </w:rPr>
        <w:t>vypracovanie správy</w:t>
      </w:r>
      <w:r w:rsidR="004F01E9">
        <w:rPr>
          <w:noProof/>
        </w:rPr>
        <w:t xml:space="preserve"> o </w:t>
      </w:r>
      <w:r w:rsidR="008A4012" w:rsidRPr="004F01E9">
        <w:rPr>
          <w:noProof/>
        </w:rPr>
        <w:t>tom, či by bolo odôvodnené osobitné prudenciálne zaobchádzanie</w:t>
      </w:r>
      <w:r w:rsidR="004F01E9">
        <w:rPr>
          <w:noProof/>
        </w:rPr>
        <w:t xml:space="preserve"> s </w:t>
      </w:r>
      <w:r w:rsidR="008A4012" w:rsidRPr="004F01E9">
        <w:rPr>
          <w:noProof/>
        </w:rPr>
        <w:t>expozíciami, ktoré sa týkajú aktív alebo činností, ktoré</w:t>
      </w:r>
      <w:r w:rsidR="004F01E9">
        <w:rPr>
          <w:noProof/>
        </w:rPr>
        <w:t xml:space="preserve"> v </w:t>
      </w:r>
      <w:r w:rsidR="008A4012" w:rsidRPr="004F01E9">
        <w:rPr>
          <w:noProof/>
        </w:rPr>
        <w:t>značnej miere súvisia</w:t>
      </w:r>
      <w:r w:rsidR="004F01E9">
        <w:rPr>
          <w:noProof/>
        </w:rPr>
        <w:t xml:space="preserve"> s </w:t>
      </w:r>
      <w:r w:rsidR="008A4012" w:rsidRPr="004F01E9">
        <w:rPr>
          <w:noProof/>
        </w:rPr>
        <w:t>environmentálnymi alebo sociálnymi cieľmi.</w:t>
      </w:r>
    </w:p>
    <w:p w14:paraId="2D51BF80" w14:textId="5468D77D" w:rsidR="008A4012" w:rsidRPr="006C666F" w:rsidRDefault="007130D9" w:rsidP="007130D9">
      <w:pPr>
        <w:pStyle w:val="ManualConsidrant"/>
        <w:rPr>
          <w:rStyle w:val="normaltextrun"/>
          <w:noProof/>
          <w:spacing w:val="-4"/>
        </w:rPr>
      </w:pPr>
      <w:r w:rsidRPr="007130D9">
        <w:rPr>
          <w:rStyle w:val="normaltextrun"/>
        </w:rPr>
        <w:t>(42)</w:t>
      </w:r>
      <w:r w:rsidRPr="007130D9">
        <w:rPr>
          <w:rStyle w:val="normaltextrun"/>
        </w:rPr>
        <w:tab/>
      </w:r>
      <w:r w:rsidR="008A4012" w:rsidRPr="006C666F">
        <w:rPr>
          <w:noProof/>
        </w:rPr>
        <w:t>Pre orgány dohľadu je nevyhnutné, aby mali potrebné splnomocnenia na komplexné hodnotenie</w:t>
      </w:r>
      <w:r w:rsidR="004F01E9" w:rsidRPr="006C666F">
        <w:rPr>
          <w:noProof/>
        </w:rPr>
        <w:t xml:space="preserve"> a </w:t>
      </w:r>
      <w:r w:rsidR="008A4012" w:rsidRPr="006C666F">
        <w:rPr>
          <w:noProof/>
        </w:rPr>
        <w:t>meranie rizík, ktorým je banková skupina vystavená na konsolidovanej úrovni,</w:t>
      </w:r>
      <w:r w:rsidR="004F01E9" w:rsidRPr="006C666F">
        <w:rPr>
          <w:noProof/>
        </w:rPr>
        <w:t xml:space="preserve"> a </w:t>
      </w:r>
      <w:r w:rsidR="008A4012" w:rsidRPr="006C666F">
        <w:rPr>
          <w:noProof/>
        </w:rPr>
        <w:t>aby mali flexibilitu na prispôsobenie svojho prístupu dohľadu novým zdrojom rizík. Je dôležité vyhnúť sa medzerám medzi prudenciálnou</w:t>
      </w:r>
      <w:r w:rsidR="004F01E9" w:rsidRPr="006C666F">
        <w:rPr>
          <w:noProof/>
        </w:rPr>
        <w:t xml:space="preserve"> a </w:t>
      </w:r>
      <w:r w:rsidR="008A4012" w:rsidRPr="006C666F">
        <w:rPr>
          <w:noProof/>
        </w:rPr>
        <w:t>účtovnou konsolidáciou, ktoré môžu viesť</w:t>
      </w:r>
      <w:r w:rsidR="004F01E9" w:rsidRPr="006C666F">
        <w:rPr>
          <w:noProof/>
        </w:rPr>
        <w:t xml:space="preserve"> k </w:t>
      </w:r>
      <w:r w:rsidR="008A4012" w:rsidRPr="006C666F">
        <w:rPr>
          <w:noProof/>
        </w:rPr>
        <w:t>transakciám zameraným na presun aktív</w:t>
      </w:r>
      <w:r w:rsidR="004F01E9" w:rsidRPr="006C666F">
        <w:rPr>
          <w:noProof/>
        </w:rPr>
        <w:t xml:space="preserve"> z </w:t>
      </w:r>
      <w:r w:rsidR="008A4012" w:rsidRPr="006C666F">
        <w:rPr>
          <w:noProof/>
        </w:rPr>
        <w:t>rozsahu prudenciálnej konsolidácie, aj keď riziká</w:t>
      </w:r>
      <w:r w:rsidR="004F01E9" w:rsidRPr="006C666F">
        <w:rPr>
          <w:noProof/>
        </w:rPr>
        <w:t xml:space="preserve"> v </w:t>
      </w:r>
      <w:r w:rsidR="008A4012" w:rsidRPr="006C666F">
        <w:rPr>
          <w:noProof/>
        </w:rPr>
        <w:t>bankovej skupine zostávajú. Nedostatočná súdržnosť vo vymedzení pojmov „materská spoločnosť“, „dcérska spoločnosť“</w:t>
      </w:r>
      <w:r w:rsidR="004F01E9" w:rsidRPr="006C666F">
        <w:rPr>
          <w:noProof/>
        </w:rPr>
        <w:t xml:space="preserve"> a </w:t>
      </w:r>
      <w:r w:rsidR="008A4012" w:rsidRPr="006C666F">
        <w:rPr>
          <w:noProof/>
        </w:rPr>
        <w:t>„kontrola“</w:t>
      </w:r>
      <w:r w:rsidR="004F01E9" w:rsidRPr="006C666F">
        <w:rPr>
          <w:noProof/>
        </w:rPr>
        <w:t xml:space="preserve"> a </w:t>
      </w:r>
      <w:r w:rsidR="008A4012" w:rsidRPr="006C666F">
        <w:rPr>
          <w:noProof/>
        </w:rPr>
        <w:t>nedostatočná jasnosť vo vymedzení pojmov „podnik pomocných služieb“, „finančná holdingová spoločnosť“</w:t>
      </w:r>
      <w:r w:rsidR="004F01E9" w:rsidRPr="006C666F">
        <w:rPr>
          <w:noProof/>
        </w:rPr>
        <w:t xml:space="preserve"> a </w:t>
      </w:r>
      <w:r w:rsidR="008A4012" w:rsidRPr="006C666F">
        <w:rPr>
          <w:noProof/>
        </w:rPr>
        <w:t>„finančná inštitúcia“ majú za následok to, že pre orgány dohľadu je ťažké konzistentne uplatňovať platné pravidlá</w:t>
      </w:r>
      <w:r w:rsidR="004F01E9" w:rsidRPr="006C666F">
        <w:rPr>
          <w:noProof/>
        </w:rPr>
        <w:t xml:space="preserve"> v </w:t>
      </w:r>
      <w:r w:rsidR="008A4012" w:rsidRPr="006C666F">
        <w:rPr>
          <w:noProof/>
        </w:rPr>
        <w:t>Únii</w:t>
      </w:r>
      <w:r w:rsidR="004F01E9" w:rsidRPr="006C666F">
        <w:rPr>
          <w:noProof/>
        </w:rPr>
        <w:t xml:space="preserve"> a </w:t>
      </w:r>
      <w:r w:rsidR="008A4012" w:rsidRPr="006C666F">
        <w:rPr>
          <w:noProof/>
        </w:rPr>
        <w:t>zisťovať</w:t>
      </w:r>
      <w:r w:rsidR="004F01E9" w:rsidRPr="006C666F">
        <w:rPr>
          <w:noProof/>
        </w:rPr>
        <w:t xml:space="preserve"> a </w:t>
      </w:r>
      <w:r w:rsidR="008A4012" w:rsidRPr="006C666F">
        <w:rPr>
          <w:noProof/>
        </w:rPr>
        <w:t>primerane riešiť riziká na konsolidovanej úrovni. Toto vymedzenie pojmov by sa preto malo zmeniť</w:t>
      </w:r>
      <w:r w:rsidR="004F01E9" w:rsidRPr="006C666F">
        <w:rPr>
          <w:noProof/>
        </w:rPr>
        <w:t xml:space="preserve"> a </w:t>
      </w:r>
      <w:r w:rsidR="008A4012" w:rsidRPr="006C666F">
        <w:rPr>
          <w:noProof/>
        </w:rPr>
        <w:t>ďalej objasniť. Okrem toho sa považuje za primerané, aby orgán EBA ďalej skúmal, či tieto splnomocnenia orgánov dohľadu môžu byť neúmyselne obmedzené akýmikoľvek zostávajúcimi nezrovnalosťami alebo medzerami</w:t>
      </w:r>
      <w:r w:rsidR="004F01E9" w:rsidRPr="006C666F">
        <w:rPr>
          <w:noProof/>
        </w:rPr>
        <w:t xml:space="preserve"> v </w:t>
      </w:r>
      <w:r w:rsidR="008A4012" w:rsidRPr="006C666F">
        <w:rPr>
          <w:noProof/>
        </w:rPr>
        <w:t>regulačných ustanoveniach alebo</w:t>
      </w:r>
      <w:r w:rsidR="004F01E9" w:rsidRPr="006C666F">
        <w:rPr>
          <w:noProof/>
        </w:rPr>
        <w:t xml:space="preserve"> v </w:t>
      </w:r>
      <w:r w:rsidR="008A4012" w:rsidRPr="006C666F">
        <w:rPr>
          <w:noProof/>
        </w:rPr>
        <w:t>ich interakcii</w:t>
      </w:r>
      <w:r w:rsidR="004F01E9" w:rsidRPr="006C666F">
        <w:rPr>
          <w:noProof/>
        </w:rPr>
        <w:t xml:space="preserve"> s </w:t>
      </w:r>
      <w:r w:rsidR="008A4012" w:rsidRPr="006C666F">
        <w:rPr>
          <w:noProof/>
        </w:rPr>
        <w:t>uplatniteľným účtovným rámcom.</w:t>
      </w:r>
    </w:p>
    <w:p w14:paraId="4A462037" w14:textId="7241766B" w:rsidR="00806B81" w:rsidRPr="00C349AE" w:rsidRDefault="007130D9" w:rsidP="007130D9">
      <w:pPr>
        <w:pStyle w:val="ManualConsidrant"/>
        <w:rPr>
          <w:rStyle w:val="normaltextrun"/>
          <w:noProof/>
          <w:spacing w:val="-6"/>
        </w:rPr>
      </w:pPr>
      <w:r w:rsidRPr="007130D9">
        <w:rPr>
          <w:rStyle w:val="normaltextrun"/>
        </w:rPr>
        <w:t>(43)</w:t>
      </w:r>
      <w:r w:rsidRPr="007130D9">
        <w:rPr>
          <w:rStyle w:val="normaltextrun"/>
        </w:rPr>
        <w:tab/>
      </w:r>
      <w:r w:rsidR="008A4012" w:rsidRPr="00C349AE">
        <w:rPr>
          <w:rStyle w:val="normaltextrun"/>
          <w:noProof/>
          <w:spacing w:val="-6"/>
        </w:rPr>
        <w:t>Nejasnosť určitých aspektov rámca minimálnych spodných hraníc haircutov pre transakcie financovania prostredníctvom cenných papierov, ktorý výbor BCBS vypracoval</w:t>
      </w:r>
      <w:r w:rsidR="004F01E9" w:rsidRPr="00C349AE">
        <w:rPr>
          <w:rStyle w:val="normaltextrun"/>
          <w:noProof/>
          <w:spacing w:val="-6"/>
        </w:rPr>
        <w:t xml:space="preserve"> v </w:t>
      </w:r>
      <w:r w:rsidR="008A4012" w:rsidRPr="00C349AE">
        <w:rPr>
          <w:rStyle w:val="normaltextrun"/>
          <w:noProof/>
          <w:spacing w:val="-6"/>
        </w:rPr>
        <w:t>roku 2017 ako súčasť konečných reforiem Bazilej III, ako aj výhrady</w:t>
      </w:r>
      <w:r w:rsidR="004F01E9" w:rsidRPr="00C349AE">
        <w:rPr>
          <w:rStyle w:val="normaltextrun"/>
          <w:noProof/>
          <w:spacing w:val="-6"/>
        </w:rPr>
        <w:t xml:space="preserve"> k </w:t>
      </w:r>
      <w:r w:rsidR="008A4012" w:rsidRPr="00C349AE">
        <w:rPr>
          <w:rStyle w:val="normaltextrun"/>
          <w:noProof/>
          <w:spacing w:val="-6"/>
        </w:rPr>
        <w:t>ekonomickému odôvodneniu jeho uplatňovania na určité typy transakcií financovania prostredníctvom cenných papierov nastolili otázku, či by sa prudenciálne ciele tohto rámca dali dosiahnuť bez vzniku nežiaducich následkov. Komisia by preto mala do [Úrad pre publikácie vloží dátum = 24 mesiacov od nadobudnutia účinnosti tohto nariadenia] prehodnotiť vykonávanie rámca minimálnych spodných hraníc haircutov pre transakcie financovania prostredníctvom cenných papierov</w:t>
      </w:r>
      <w:r w:rsidR="004F01E9" w:rsidRPr="00C349AE">
        <w:rPr>
          <w:rStyle w:val="normaltextrun"/>
          <w:noProof/>
          <w:spacing w:val="-6"/>
        </w:rPr>
        <w:t xml:space="preserve"> v </w:t>
      </w:r>
      <w:r w:rsidR="008A4012" w:rsidRPr="00C349AE">
        <w:rPr>
          <w:rStyle w:val="normaltextrun"/>
          <w:noProof/>
          <w:spacing w:val="-6"/>
        </w:rPr>
        <w:t>práve Únie.</w:t>
      </w:r>
      <w:r w:rsidR="004F01E9" w:rsidRPr="00C349AE">
        <w:rPr>
          <w:rStyle w:val="normaltextrun"/>
          <w:noProof/>
          <w:spacing w:val="-6"/>
        </w:rPr>
        <w:t xml:space="preserve"> S </w:t>
      </w:r>
      <w:r w:rsidR="008A4012" w:rsidRPr="00C349AE">
        <w:rPr>
          <w:rStyle w:val="normaltextrun"/>
          <w:noProof/>
          <w:spacing w:val="-6"/>
        </w:rPr>
        <w:t>cieľom poskytnúť Komisii dostatočné dôkazy by mal orgán EBA</w:t>
      </w:r>
      <w:r w:rsidR="004F01E9" w:rsidRPr="00C349AE">
        <w:rPr>
          <w:rStyle w:val="normaltextrun"/>
          <w:noProof/>
          <w:spacing w:val="-6"/>
        </w:rPr>
        <w:t xml:space="preserve"> v </w:t>
      </w:r>
      <w:r w:rsidR="008A4012" w:rsidRPr="00C349AE">
        <w:rPr>
          <w:rStyle w:val="normaltextrun"/>
          <w:noProof/>
          <w:spacing w:val="-6"/>
        </w:rPr>
        <w:t>úzkej spolupráci</w:t>
      </w:r>
      <w:r w:rsidR="004F01E9" w:rsidRPr="00C349AE">
        <w:rPr>
          <w:rStyle w:val="normaltextrun"/>
          <w:noProof/>
          <w:spacing w:val="-6"/>
        </w:rPr>
        <w:t xml:space="preserve"> s </w:t>
      </w:r>
      <w:r w:rsidR="008A4012" w:rsidRPr="00C349AE">
        <w:rPr>
          <w:rStyle w:val="normaltextrun"/>
          <w:noProof/>
          <w:spacing w:val="-6"/>
        </w:rPr>
        <w:t>orgánom ESMA podávať Komisii správy</w:t>
      </w:r>
      <w:r w:rsidR="004F01E9" w:rsidRPr="00C349AE">
        <w:rPr>
          <w:rStyle w:val="normaltextrun"/>
          <w:noProof/>
          <w:spacing w:val="-6"/>
        </w:rPr>
        <w:t xml:space="preserve"> o </w:t>
      </w:r>
      <w:r w:rsidR="008A4012" w:rsidRPr="00C349AE">
        <w:rPr>
          <w:rStyle w:val="normaltextrun"/>
          <w:noProof/>
          <w:spacing w:val="-6"/>
        </w:rPr>
        <w:t>vplyve tohto rámca</w:t>
      </w:r>
      <w:r w:rsidR="004F01E9" w:rsidRPr="00C349AE">
        <w:rPr>
          <w:rStyle w:val="normaltextrun"/>
          <w:noProof/>
          <w:spacing w:val="-6"/>
        </w:rPr>
        <w:t xml:space="preserve"> a o </w:t>
      </w:r>
      <w:r w:rsidR="008A4012" w:rsidRPr="00C349AE">
        <w:rPr>
          <w:rStyle w:val="normaltextrun"/>
          <w:noProof/>
          <w:spacing w:val="-6"/>
        </w:rPr>
        <w:t>najvhodnejšom prístupe</w:t>
      </w:r>
      <w:r w:rsidR="004F01E9" w:rsidRPr="00C349AE">
        <w:rPr>
          <w:rStyle w:val="normaltextrun"/>
          <w:noProof/>
          <w:spacing w:val="-6"/>
        </w:rPr>
        <w:t xml:space="preserve"> k </w:t>
      </w:r>
      <w:r w:rsidR="008A4012" w:rsidRPr="00C349AE">
        <w:rPr>
          <w:rStyle w:val="normaltextrun"/>
          <w:noProof/>
          <w:spacing w:val="-6"/>
        </w:rPr>
        <w:t>jeho vykonávaniu</w:t>
      </w:r>
      <w:r w:rsidR="004F01E9" w:rsidRPr="00C349AE">
        <w:rPr>
          <w:rStyle w:val="normaltextrun"/>
          <w:noProof/>
          <w:spacing w:val="-6"/>
        </w:rPr>
        <w:t xml:space="preserve"> v </w:t>
      </w:r>
      <w:r w:rsidR="008A4012" w:rsidRPr="00C349AE">
        <w:rPr>
          <w:rStyle w:val="normaltextrun"/>
          <w:noProof/>
          <w:spacing w:val="-6"/>
        </w:rPr>
        <w:t>práve Únie.</w:t>
      </w:r>
    </w:p>
    <w:p w14:paraId="2316C8B5" w14:textId="6EEF6D50" w:rsidR="008A4012" w:rsidRPr="006C666F" w:rsidRDefault="007130D9" w:rsidP="007130D9">
      <w:pPr>
        <w:pStyle w:val="ManualConsidrant"/>
        <w:rPr>
          <w:rStyle w:val="normaltextrun"/>
          <w:noProof/>
          <w:spacing w:val="-4"/>
        </w:rPr>
      </w:pPr>
      <w:r w:rsidRPr="007130D9">
        <w:rPr>
          <w:rStyle w:val="normaltextrun"/>
        </w:rPr>
        <w:t>(44)</w:t>
      </w:r>
      <w:r w:rsidRPr="007130D9">
        <w:rPr>
          <w:rStyle w:val="normaltextrun"/>
        </w:rPr>
        <w:tab/>
      </w:r>
      <w:r w:rsidR="008A4012" w:rsidRPr="006C666F">
        <w:rPr>
          <w:rStyle w:val="normaltextrun"/>
          <w:noProof/>
          <w:spacing w:val="-4"/>
        </w:rPr>
        <w:t>Komisia by do práva Únie mala transponovať revidované štandardy pre kapitálové požiadavky na riziká úpravy ocenenia pohľadávok, ktoré zverejnil výbor BCBS</w:t>
      </w:r>
      <w:r w:rsidR="004F01E9" w:rsidRPr="006C666F">
        <w:rPr>
          <w:rStyle w:val="normaltextrun"/>
          <w:noProof/>
          <w:spacing w:val="-4"/>
        </w:rPr>
        <w:t xml:space="preserve"> v </w:t>
      </w:r>
      <w:r w:rsidR="008A4012" w:rsidRPr="006C666F">
        <w:rPr>
          <w:rStyle w:val="normaltextrun"/>
          <w:noProof/>
          <w:spacing w:val="-4"/>
        </w:rPr>
        <w:t>júli 2020, keďže tieto štandardy celkovo zlepšujú výpočet požiadavky na vlastné zdroje pre riziko úpravy ocenenia pohľadávok tým, že riešia niekoľko predtým pozorovaných problémov, najmä to, že existujúci rámec kapitálových požiadaviek pre úpravy ocenenia pohľadávok nedokáže primerane zachytiť riziko úpravu ocenenia pohľadávok.</w:t>
      </w:r>
    </w:p>
    <w:p w14:paraId="3C1E906F" w14:textId="259C0EC5" w:rsidR="008A4012" w:rsidRPr="00C349AE" w:rsidRDefault="007130D9" w:rsidP="007130D9">
      <w:pPr>
        <w:pStyle w:val="ManualConsidrant"/>
        <w:rPr>
          <w:rStyle w:val="normaltextrun"/>
          <w:noProof/>
          <w:spacing w:val="-4"/>
        </w:rPr>
      </w:pPr>
      <w:r w:rsidRPr="007130D9">
        <w:rPr>
          <w:rStyle w:val="normaltextrun"/>
        </w:rPr>
        <w:t>(45)</w:t>
      </w:r>
      <w:r w:rsidRPr="007130D9">
        <w:rPr>
          <w:rStyle w:val="normaltextrun"/>
        </w:rPr>
        <w:tab/>
      </w:r>
      <w:r w:rsidR="008A4012" w:rsidRPr="00C349AE">
        <w:rPr>
          <w:rStyle w:val="normaltextrun"/>
          <w:noProof/>
          <w:spacing w:val="-4"/>
        </w:rPr>
        <w:t>Pri vykonávaní počiatočných reforiem Bazilej III</w:t>
      </w:r>
      <w:r w:rsidR="004F01E9" w:rsidRPr="00C349AE">
        <w:rPr>
          <w:rStyle w:val="normaltextrun"/>
          <w:noProof/>
          <w:spacing w:val="-4"/>
        </w:rPr>
        <w:t xml:space="preserve"> v </w:t>
      </w:r>
      <w:r w:rsidR="008A4012" w:rsidRPr="00C349AE">
        <w:rPr>
          <w:rStyle w:val="normaltextrun"/>
          <w:noProof/>
          <w:spacing w:val="-4"/>
        </w:rPr>
        <w:t>práve Únie prostredníctvom nariadenia CRR boli niektoré transakcie vyňaté</w:t>
      </w:r>
      <w:r w:rsidR="004F01E9" w:rsidRPr="00C349AE">
        <w:rPr>
          <w:rStyle w:val="normaltextrun"/>
          <w:noProof/>
          <w:spacing w:val="-4"/>
        </w:rPr>
        <w:t xml:space="preserve"> z </w:t>
      </w:r>
      <w:r w:rsidR="008A4012" w:rsidRPr="00C349AE">
        <w:rPr>
          <w:rStyle w:val="normaltextrun"/>
          <w:noProof/>
          <w:spacing w:val="-4"/>
        </w:rPr>
        <w:t>výpočtu kapitálových požiadaviek pre riziko úprav ocenenia pohľadávok. Tieto výnimky boli dohodnuté</w:t>
      </w:r>
      <w:r w:rsidR="004F01E9" w:rsidRPr="00C349AE">
        <w:rPr>
          <w:rStyle w:val="normaltextrun"/>
          <w:noProof/>
          <w:spacing w:val="-4"/>
        </w:rPr>
        <w:t xml:space="preserve"> s </w:t>
      </w:r>
      <w:r w:rsidR="008A4012" w:rsidRPr="00C349AE">
        <w:rPr>
          <w:rStyle w:val="normaltextrun"/>
          <w:noProof/>
          <w:spacing w:val="-4"/>
        </w:rPr>
        <w:t>cieľom zabrániť potenciálnemu nadmernému zvýšeniu nákladov na niektoré derivátové transakcie vyvolané zavedením kapitálovej požiadavky pre riziko úpravy ocenenia pohľadávok, najmä keď banky nemohli zmierniť riziko úpravy ocenenia pohľadávok niektorých klientov, ktorí neboli schopní vymeniť kolaterál. Podľa odhadovaných vplyvov, ktoré vypočítal orgán EBA, by kapitálové požiadavky pre riziko úpravy ocenenia pohľadávok podľa revidovaných bazilejských noriem zostali neprimerane vysoké pre transakcie</w:t>
      </w:r>
      <w:r w:rsidR="004F01E9" w:rsidRPr="00C349AE">
        <w:rPr>
          <w:rStyle w:val="normaltextrun"/>
          <w:noProof/>
          <w:spacing w:val="-4"/>
        </w:rPr>
        <w:t xml:space="preserve"> s </w:t>
      </w:r>
      <w:r w:rsidR="008A4012" w:rsidRPr="00C349AE">
        <w:rPr>
          <w:rStyle w:val="normaltextrun"/>
          <w:noProof/>
          <w:spacing w:val="-4"/>
        </w:rPr>
        <w:t>týmito klientmi, na ktoré sa vzťahuje výnimka. Aby sa zabezpečilo, že klienti bánk budú aj naďalej zabezpečovať svoje finančné riziká prostredníctvom derivátových transakcií, pri vykonávaní revidovaných bazilejských štandardov by sa mali zachovať výnimky.</w:t>
      </w:r>
    </w:p>
    <w:p w14:paraId="7B97D381" w14:textId="6AED1DC5" w:rsidR="008A4012" w:rsidRPr="00C349AE" w:rsidRDefault="007130D9" w:rsidP="007130D9">
      <w:pPr>
        <w:pStyle w:val="ManualConsidrant"/>
        <w:rPr>
          <w:noProof/>
        </w:rPr>
      </w:pPr>
      <w:r w:rsidRPr="007130D9">
        <w:t>(46)</w:t>
      </w:r>
      <w:r w:rsidRPr="007130D9">
        <w:tab/>
      </w:r>
      <w:r w:rsidR="008A4012" w:rsidRPr="00C349AE">
        <w:rPr>
          <w:rStyle w:val="normaltextrun"/>
          <w:noProof/>
          <w:spacing w:val="-6"/>
        </w:rPr>
        <w:t>Skutočné riziko úpravy ocenenia pohľadávok transakcií, na ktoré sa vzťahuje výnimka, však môže byť zdrojom značného rizika pre banky, ktoré tieto výnimky uplatňujú; ak sa tieto riziká naplnia, príslušné banky by mohli utrpieť značné straty. Ako orgán EBA zdôraznil vo svojej správe</w:t>
      </w:r>
      <w:r w:rsidR="004F01E9" w:rsidRPr="00C349AE">
        <w:rPr>
          <w:rStyle w:val="normaltextrun"/>
          <w:noProof/>
          <w:spacing w:val="-6"/>
        </w:rPr>
        <w:t xml:space="preserve"> o </w:t>
      </w:r>
      <w:r w:rsidR="008A4012" w:rsidRPr="00C349AE">
        <w:rPr>
          <w:rStyle w:val="normaltextrun"/>
          <w:noProof/>
          <w:spacing w:val="-6"/>
        </w:rPr>
        <w:t>úpravách ocenenia pohľadávok</w:t>
      </w:r>
      <w:r w:rsidR="004F01E9" w:rsidRPr="00C349AE">
        <w:rPr>
          <w:rStyle w:val="normaltextrun"/>
          <w:noProof/>
          <w:spacing w:val="-6"/>
        </w:rPr>
        <w:t xml:space="preserve"> z </w:t>
      </w:r>
      <w:r w:rsidR="008A4012" w:rsidRPr="00C349AE">
        <w:rPr>
          <w:rStyle w:val="normaltextrun"/>
          <w:noProof/>
          <w:spacing w:val="-6"/>
        </w:rPr>
        <w:t>februára 2015, riziká úpravy ocenenia pohľadávok pri transakciách, na ktoré sa vzťahuje výnimka, vyvolávajú prudenciálne obavy, ktoré sa</w:t>
      </w:r>
      <w:r w:rsidR="004F01E9" w:rsidRPr="00C349AE">
        <w:rPr>
          <w:rStyle w:val="normaltextrun"/>
          <w:noProof/>
          <w:spacing w:val="-6"/>
        </w:rPr>
        <w:t xml:space="preserve"> v </w:t>
      </w:r>
      <w:r w:rsidR="008A4012" w:rsidRPr="00C349AE">
        <w:rPr>
          <w:rStyle w:val="normaltextrun"/>
          <w:noProof/>
          <w:spacing w:val="-6"/>
        </w:rPr>
        <w:t>rámci nariadenia CRR neriešia.</w:t>
      </w:r>
      <w:r w:rsidR="004F01E9" w:rsidRPr="00C349AE">
        <w:rPr>
          <w:rStyle w:val="normaltextrun"/>
          <w:noProof/>
          <w:spacing w:val="-6"/>
        </w:rPr>
        <w:t xml:space="preserve"> S </w:t>
      </w:r>
      <w:r w:rsidR="008A4012" w:rsidRPr="00C349AE">
        <w:rPr>
          <w:rStyle w:val="normaltextrun"/>
          <w:noProof/>
          <w:spacing w:val="-6"/>
        </w:rPr>
        <w:t>cieľom pomôcť orgánom dohľadu monitorovať riziko úpravy ocenenia pohľadávok vyplývajúce</w:t>
      </w:r>
      <w:r w:rsidR="004F01E9" w:rsidRPr="00C349AE">
        <w:rPr>
          <w:rStyle w:val="normaltextrun"/>
          <w:noProof/>
          <w:spacing w:val="-6"/>
        </w:rPr>
        <w:t xml:space="preserve"> z </w:t>
      </w:r>
      <w:r w:rsidR="008A4012" w:rsidRPr="00C349AE">
        <w:rPr>
          <w:rStyle w:val="normaltextrun"/>
          <w:noProof/>
          <w:spacing w:val="-6"/>
        </w:rPr>
        <w:t>transakcií, na ktoré sa vzťahuje výnimka, by inštitúcie mali oznámiť výpočet kapitálových požiadaviek pre riziká úpravy ocenenia pohľadávok transakcií, na ktoré sa vzťahuje výnimka, ktoré by sa vyžadovali, keby sa na tieto transakcie výnimka nevzťahovala. Okrem toho by orgán EBA mal vypracovať usmernenia, ktoré orgánom dohľadu pomôžu identifikovať nadmerné riziko úpravy ocenenia pohľadávok</w:t>
      </w:r>
      <w:r w:rsidR="004F01E9" w:rsidRPr="00C349AE">
        <w:rPr>
          <w:rStyle w:val="normaltextrun"/>
          <w:noProof/>
          <w:spacing w:val="-6"/>
        </w:rPr>
        <w:t xml:space="preserve"> a </w:t>
      </w:r>
      <w:r w:rsidR="008A4012" w:rsidRPr="00C349AE">
        <w:rPr>
          <w:rStyle w:val="normaltextrun"/>
          <w:noProof/>
          <w:spacing w:val="-6"/>
        </w:rPr>
        <w:t>zlepšiť harmonizáciu činností dohľadu</w:t>
      </w:r>
      <w:r w:rsidR="004F01E9" w:rsidRPr="00C349AE">
        <w:rPr>
          <w:rStyle w:val="normaltextrun"/>
          <w:noProof/>
          <w:spacing w:val="-6"/>
        </w:rPr>
        <w:t xml:space="preserve"> v </w:t>
      </w:r>
      <w:r w:rsidR="008A4012" w:rsidRPr="00C349AE">
        <w:rPr>
          <w:rStyle w:val="normaltextrun"/>
          <w:noProof/>
          <w:spacing w:val="-6"/>
        </w:rPr>
        <w:t>tejto oblasti</w:t>
      </w:r>
      <w:r w:rsidR="004F01E9" w:rsidRPr="00C349AE">
        <w:rPr>
          <w:rStyle w:val="normaltextrun"/>
          <w:noProof/>
          <w:spacing w:val="-6"/>
        </w:rPr>
        <w:t xml:space="preserve"> v </w:t>
      </w:r>
      <w:r w:rsidR="008A4012" w:rsidRPr="00C349AE">
        <w:rPr>
          <w:rStyle w:val="normaltextrun"/>
          <w:noProof/>
          <w:spacing w:val="-6"/>
        </w:rPr>
        <w:t>celej EÚ</w:t>
      </w:r>
      <w:r w:rsidR="008A4012" w:rsidRPr="00C349AE">
        <w:rPr>
          <w:noProof/>
        </w:rPr>
        <w:t>.</w:t>
      </w:r>
    </w:p>
    <w:p w14:paraId="0A99EC42" w14:textId="70DD0A9D" w:rsidR="00845AE8" w:rsidRPr="004F01E9" w:rsidRDefault="007130D9" w:rsidP="007130D9">
      <w:pPr>
        <w:pStyle w:val="ManualConsidrant"/>
        <w:rPr>
          <w:noProof/>
        </w:rPr>
      </w:pPr>
      <w:r w:rsidRPr="007130D9">
        <w:t>(47)</w:t>
      </w:r>
      <w:r w:rsidRPr="007130D9">
        <w:tab/>
      </w:r>
      <w:r w:rsidR="008A4012" w:rsidRPr="004F01E9">
        <w:rPr>
          <w:noProof/>
        </w:rPr>
        <w:t xml:space="preserve">Nariadenie (EÚ) </w:t>
      </w:r>
      <w:r w:rsidR="004F01E9">
        <w:rPr>
          <w:noProof/>
        </w:rPr>
        <w:t>č. </w:t>
      </w:r>
      <w:r w:rsidR="008A4012" w:rsidRPr="004F01E9">
        <w:rPr>
          <w:noProof/>
        </w:rPr>
        <w:t>575/2013 by sa preto malo zodpovedajúcim spôsobom zmeniť,</w:t>
      </w:r>
    </w:p>
    <w:p w14:paraId="4E096523" w14:textId="77777777" w:rsidR="00845AE8" w:rsidRPr="004F01E9" w:rsidRDefault="00845AE8" w:rsidP="008A4012">
      <w:pPr>
        <w:pStyle w:val="Formuledadoption"/>
        <w:rPr>
          <w:noProof/>
        </w:rPr>
      </w:pPr>
      <w:r w:rsidRPr="004F01E9">
        <w:rPr>
          <w:noProof/>
        </w:rPr>
        <w:t>PRIJALI TOTO NARIADENIE:</w:t>
      </w:r>
    </w:p>
    <w:p w14:paraId="5979BC4A" w14:textId="79B658C4" w:rsidR="00845AE8" w:rsidRPr="004F01E9" w:rsidRDefault="00845AE8" w:rsidP="008A4012">
      <w:pPr>
        <w:pStyle w:val="Titrearticle"/>
        <w:rPr>
          <w:noProof/>
        </w:rPr>
      </w:pPr>
      <w:r w:rsidRPr="004F01E9">
        <w:rPr>
          <w:noProof/>
        </w:rPr>
        <w:t>Článok 1</w:t>
      </w:r>
    </w:p>
    <w:p w14:paraId="6378402D" w14:textId="0996DA24" w:rsidR="000E5005" w:rsidRPr="004F01E9" w:rsidRDefault="000E5005" w:rsidP="000E5005">
      <w:pPr>
        <w:pStyle w:val="Titrearticle"/>
        <w:rPr>
          <w:noProof/>
        </w:rPr>
      </w:pPr>
      <w:r w:rsidRPr="004F01E9">
        <w:rPr>
          <w:noProof/>
        </w:rPr>
        <w:t xml:space="preserve">Zmeny nariadenia (EÚ) </w:t>
      </w:r>
      <w:r w:rsidR="004F01E9">
        <w:rPr>
          <w:noProof/>
        </w:rPr>
        <w:t>č. </w:t>
      </w:r>
      <w:r w:rsidRPr="004F01E9">
        <w:rPr>
          <w:noProof/>
        </w:rPr>
        <w:t>575/2013</w:t>
      </w:r>
    </w:p>
    <w:p w14:paraId="2E395526" w14:textId="2D997065" w:rsidR="008A4012" w:rsidRPr="004F01E9" w:rsidRDefault="008A4012" w:rsidP="008A4012">
      <w:pPr>
        <w:rPr>
          <w:noProof/>
        </w:rPr>
      </w:pPr>
      <w:r w:rsidRPr="004F01E9">
        <w:rPr>
          <w:noProof/>
        </w:rPr>
        <w:t xml:space="preserve">Nariadenie (EÚ) </w:t>
      </w:r>
      <w:r w:rsidR="004F01E9">
        <w:rPr>
          <w:noProof/>
        </w:rPr>
        <w:t>č. </w:t>
      </w:r>
      <w:r w:rsidRPr="004F01E9">
        <w:rPr>
          <w:noProof/>
        </w:rPr>
        <w:t>575/2013 sa mení takto:</w:t>
      </w:r>
    </w:p>
    <w:p w14:paraId="68846CB7" w14:textId="58DC0D43" w:rsidR="008A4012" w:rsidRPr="004F01E9" w:rsidRDefault="00C349AE" w:rsidP="00C349AE">
      <w:pPr>
        <w:pStyle w:val="Point0"/>
        <w:rPr>
          <w:noProof/>
        </w:rPr>
      </w:pPr>
      <w:r w:rsidRPr="00C349AE">
        <w:rPr>
          <w:noProof/>
        </w:rPr>
        <w:t>1</w:t>
      </w:r>
      <w:r>
        <w:rPr>
          <w:noProof/>
        </w:rPr>
        <w:t>.</w:t>
      </w:r>
      <w:r w:rsidRPr="00C349AE">
        <w:rPr>
          <w:noProof/>
        </w:rPr>
        <w:tab/>
      </w:r>
      <w:r w:rsidR="008A4012" w:rsidRPr="004F01E9">
        <w:rPr>
          <w:noProof/>
        </w:rPr>
        <w:t>V článku 4 sa odsek 1 mení takto:</w:t>
      </w:r>
    </w:p>
    <w:p w14:paraId="3B4BA77C" w14:textId="5E3419FC" w:rsidR="008A4012" w:rsidRPr="004F01E9" w:rsidRDefault="00F66901" w:rsidP="001F5DEB">
      <w:pPr>
        <w:pStyle w:val="Point1"/>
        <w:rPr>
          <w:noProof/>
        </w:rPr>
      </w:pPr>
      <w:r w:rsidRPr="004F01E9">
        <w:rPr>
          <w:noProof/>
        </w:rPr>
        <w:t>a)</w:t>
      </w:r>
      <w:r w:rsidRPr="004F01E9">
        <w:rPr>
          <w:noProof/>
        </w:rPr>
        <w:tab/>
        <w:t>Body 15</w:t>
      </w:r>
      <w:r w:rsidR="004F01E9">
        <w:rPr>
          <w:noProof/>
        </w:rPr>
        <w:t xml:space="preserve"> a </w:t>
      </w:r>
      <w:r w:rsidRPr="004F01E9">
        <w:rPr>
          <w:noProof/>
        </w:rPr>
        <w:t>16 sa nahrádzajú takto:</w:t>
      </w:r>
    </w:p>
    <w:p w14:paraId="60651550" w14:textId="3560807A" w:rsidR="00B10B40" w:rsidRPr="004F01E9" w:rsidRDefault="00B10B40" w:rsidP="00615061">
      <w:pPr>
        <w:pStyle w:val="Text2"/>
        <w:rPr>
          <w:noProof/>
        </w:rPr>
      </w:pPr>
      <w:r w:rsidRPr="004F01E9">
        <w:rPr>
          <w:noProof/>
        </w:rPr>
        <w:t>„15) „materská spoločnosť“ je podnik, ktorý</w:t>
      </w:r>
      <w:r w:rsidR="004F01E9">
        <w:rPr>
          <w:noProof/>
        </w:rPr>
        <w:t xml:space="preserve"> v </w:t>
      </w:r>
      <w:r w:rsidRPr="004F01E9">
        <w:rPr>
          <w:noProof/>
        </w:rPr>
        <w:t>zmysle bodu 37 kontroluje jeden alebo viaceré podniky;</w:t>
      </w:r>
    </w:p>
    <w:p w14:paraId="20EF9307" w14:textId="3903CF7A" w:rsidR="008A4012" w:rsidRPr="00C349AE" w:rsidRDefault="00B10B40" w:rsidP="00615061">
      <w:pPr>
        <w:pStyle w:val="Text2"/>
        <w:rPr>
          <w:noProof/>
        </w:rPr>
      </w:pPr>
      <w:r w:rsidRPr="00C349AE">
        <w:rPr>
          <w:noProof/>
        </w:rPr>
        <w:t>16) „dcérska spoločnosť“ je podnik, ktorý je</w:t>
      </w:r>
      <w:r w:rsidR="004F01E9" w:rsidRPr="00C349AE">
        <w:rPr>
          <w:noProof/>
        </w:rPr>
        <w:t xml:space="preserve"> v </w:t>
      </w:r>
      <w:r w:rsidRPr="00C349AE">
        <w:rPr>
          <w:noProof/>
        </w:rPr>
        <w:t>zmysle bodu 37 kontrolovaný iným podnikom;“;</w:t>
      </w:r>
    </w:p>
    <w:p w14:paraId="21E83BC7" w14:textId="0D9944E9" w:rsidR="008A4012" w:rsidRPr="004F01E9" w:rsidRDefault="00F66901" w:rsidP="001F5DEB">
      <w:pPr>
        <w:pStyle w:val="Point1"/>
        <w:rPr>
          <w:noProof/>
        </w:rPr>
      </w:pPr>
      <w:r w:rsidRPr="004F01E9">
        <w:rPr>
          <w:noProof/>
        </w:rPr>
        <w:t>b)</w:t>
      </w:r>
      <w:r w:rsidRPr="004F01E9">
        <w:rPr>
          <w:noProof/>
        </w:rPr>
        <w:tab/>
        <w:t>Bod 18 sa nahrádza takto:</w:t>
      </w:r>
    </w:p>
    <w:p w14:paraId="6549F8AA" w14:textId="3A7B93FD" w:rsidR="00B10B40" w:rsidRPr="004F01E9" w:rsidRDefault="00B10B40" w:rsidP="00615061">
      <w:pPr>
        <w:pStyle w:val="Text2"/>
        <w:rPr>
          <w:noProof/>
        </w:rPr>
      </w:pPr>
      <w:r w:rsidRPr="004F01E9">
        <w:rPr>
          <w:noProof/>
        </w:rPr>
        <w:t>„18) „podnik pomocných služieb“ je podnik, za ktorého hlavnú činnosť – či už poskytovanú podnikom</w:t>
      </w:r>
      <w:r w:rsidR="004F01E9">
        <w:rPr>
          <w:noProof/>
        </w:rPr>
        <w:t xml:space="preserve"> v </w:t>
      </w:r>
      <w:r w:rsidRPr="004F01E9">
        <w:rPr>
          <w:noProof/>
        </w:rPr>
        <w:t>rámci skupiny alebo klientom mimo skupiny – príslušný orgán považuje ktorúkoľvek</w:t>
      </w:r>
      <w:r w:rsidR="004F01E9">
        <w:rPr>
          <w:noProof/>
        </w:rPr>
        <w:t xml:space="preserve"> z </w:t>
      </w:r>
      <w:r w:rsidRPr="004F01E9">
        <w:rPr>
          <w:noProof/>
        </w:rPr>
        <w:t>týchto činností:</w:t>
      </w:r>
    </w:p>
    <w:p w14:paraId="61D57483" w14:textId="661655FB" w:rsidR="00B10B40" w:rsidRPr="004F01E9" w:rsidRDefault="00F66901" w:rsidP="001F5DEB">
      <w:pPr>
        <w:pStyle w:val="Point2"/>
        <w:rPr>
          <w:noProof/>
        </w:rPr>
      </w:pPr>
      <w:r w:rsidRPr="004F01E9">
        <w:rPr>
          <w:noProof/>
        </w:rPr>
        <w:t>a)</w:t>
      </w:r>
      <w:r w:rsidRPr="004F01E9">
        <w:rPr>
          <w:noProof/>
        </w:rPr>
        <w:tab/>
        <w:t>priame rozšírenie bankových služieb;</w:t>
      </w:r>
    </w:p>
    <w:p w14:paraId="54E3AEDD" w14:textId="0EB1A3B8" w:rsidR="00B10B40" w:rsidRPr="004F01E9" w:rsidRDefault="00F66901" w:rsidP="001F5DEB">
      <w:pPr>
        <w:pStyle w:val="Point2"/>
        <w:rPr>
          <w:noProof/>
        </w:rPr>
      </w:pPr>
      <w:r w:rsidRPr="004F01E9">
        <w:rPr>
          <w:noProof/>
        </w:rPr>
        <w:t>b)</w:t>
      </w:r>
      <w:r w:rsidRPr="004F01E9">
        <w:rPr>
          <w:noProof/>
        </w:rPr>
        <w:tab/>
        <w:t>operatívny lízing, faktoring, správa podielových fondov, vlastníctvo alebo správa majetku, poskytovanie služieb spracovania údajov alebo akákoľvek iná činnosť, ktorá je pomocnou službou pre bankovníctvo;</w:t>
      </w:r>
    </w:p>
    <w:p w14:paraId="3DB835FE" w14:textId="15E9BD77" w:rsidR="00B10B40" w:rsidRPr="004F01E9" w:rsidRDefault="00F66901" w:rsidP="001F5DEB">
      <w:pPr>
        <w:pStyle w:val="Point2"/>
        <w:rPr>
          <w:noProof/>
        </w:rPr>
      </w:pPr>
      <w:r w:rsidRPr="004F01E9">
        <w:rPr>
          <w:noProof/>
        </w:rPr>
        <w:t>c)</w:t>
      </w:r>
      <w:r w:rsidRPr="004F01E9">
        <w:rPr>
          <w:noProof/>
        </w:rPr>
        <w:tab/>
        <w:t xml:space="preserve">akákoľvek iná činnosť, ktorú </w:t>
      </w:r>
      <w:r w:rsidRPr="004F01E9">
        <w:rPr>
          <w:noProof/>
          <w:color w:val="000000"/>
          <w:shd w:val="clear" w:color="auto" w:fill="FFFFFF"/>
        </w:rPr>
        <w:t>orgán EBA považuje za podobnú</w:t>
      </w:r>
      <w:r w:rsidRPr="004F01E9">
        <w:rPr>
          <w:noProof/>
        </w:rPr>
        <w:t xml:space="preserve"> činnostiam, ktoré sú uvedené</w:t>
      </w:r>
      <w:r w:rsidR="004F01E9">
        <w:rPr>
          <w:noProof/>
        </w:rPr>
        <w:t xml:space="preserve"> v </w:t>
      </w:r>
      <w:r w:rsidRPr="004F01E9">
        <w:rPr>
          <w:noProof/>
        </w:rPr>
        <w:t>písmenách a)</w:t>
      </w:r>
      <w:r w:rsidR="004F01E9">
        <w:rPr>
          <w:noProof/>
        </w:rPr>
        <w:t xml:space="preserve"> a </w:t>
      </w:r>
      <w:r w:rsidRPr="004F01E9">
        <w:rPr>
          <w:noProof/>
        </w:rPr>
        <w:t>b);“;</w:t>
      </w:r>
    </w:p>
    <w:p w14:paraId="5EFC25B7" w14:textId="4EF94FC0" w:rsidR="00B10B40" w:rsidRPr="004F01E9" w:rsidRDefault="00F66901" w:rsidP="001F5DEB">
      <w:pPr>
        <w:pStyle w:val="Point1"/>
        <w:rPr>
          <w:noProof/>
        </w:rPr>
      </w:pPr>
      <w:r w:rsidRPr="004F01E9">
        <w:rPr>
          <w:noProof/>
        </w:rPr>
        <w:t>c)</w:t>
      </w:r>
      <w:r w:rsidRPr="004F01E9">
        <w:rPr>
          <w:noProof/>
        </w:rPr>
        <w:tab/>
        <w:t>Bod 20 sa nahrádza takto:</w:t>
      </w:r>
    </w:p>
    <w:p w14:paraId="0A3FD286" w14:textId="77777777" w:rsidR="00B10B40" w:rsidRPr="00C349AE" w:rsidRDefault="00B10B40" w:rsidP="00615061">
      <w:pPr>
        <w:pStyle w:val="Text1"/>
        <w:rPr>
          <w:noProof/>
          <w:color w:val="000000" w:themeColor="text1"/>
          <w:spacing w:val="-4"/>
        </w:rPr>
      </w:pPr>
      <w:r w:rsidRPr="00C349AE">
        <w:rPr>
          <w:noProof/>
          <w:color w:val="000000" w:themeColor="text1"/>
          <w:spacing w:val="-4"/>
        </w:rPr>
        <w:t>„20) „finančná holdingová spoločnosť“ je podnik, ktorý spĺňa všetky tieto podmienky:</w:t>
      </w:r>
    </w:p>
    <w:p w14:paraId="4D7C0784" w14:textId="1C79223D" w:rsidR="00B10B40" w:rsidRPr="004F01E9" w:rsidRDefault="00B10B40" w:rsidP="001F5DEB">
      <w:pPr>
        <w:pStyle w:val="Point2"/>
        <w:rPr>
          <w:noProof/>
        </w:rPr>
      </w:pPr>
      <w:r w:rsidRPr="004F01E9">
        <w:rPr>
          <w:noProof/>
        </w:rPr>
        <w:t>a)</w:t>
      </w:r>
      <w:r w:rsidRPr="004F01E9">
        <w:rPr>
          <w:noProof/>
        </w:rPr>
        <w:tab/>
        <w:t>podnik je finančnou inštitúciou;</w:t>
      </w:r>
    </w:p>
    <w:p w14:paraId="0FD227E7" w14:textId="77777777" w:rsidR="00806B81" w:rsidRPr="004F01E9" w:rsidRDefault="00B10B40" w:rsidP="001F5DEB">
      <w:pPr>
        <w:pStyle w:val="Point2"/>
        <w:rPr>
          <w:noProof/>
        </w:rPr>
      </w:pPr>
      <w:r w:rsidRPr="004F01E9">
        <w:rPr>
          <w:noProof/>
        </w:rPr>
        <w:t>b)</w:t>
      </w:r>
      <w:r w:rsidRPr="004F01E9">
        <w:rPr>
          <w:noProof/>
        </w:rPr>
        <w:tab/>
        <w:t>podnik nie je zmiešanou finančnou holdingovou spoločnosťou;</w:t>
      </w:r>
    </w:p>
    <w:p w14:paraId="069FF952" w14:textId="77777777" w:rsidR="00806B81" w:rsidRPr="004F01E9" w:rsidRDefault="00B10B40" w:rsidP="001F5DEB">
      <w:pPr>
        <w:pStyle w:val="Point2"/>
        <w:rPr>
          <w:noProof/>
        </w:rPr>
      </w:pPr>
      <w:r w:rsidRPr="004F01E9">
        <w:rPr>
          <w:noProof/>
        </w:rPr>
        <w:t>c)</w:t>
      </w:r>
      <w:r w:rsidRPr="004F01E9">
        <w:rPr>
          <w:noProof/>
        </w:rPr>
        <w:tab/>
        <w:t>aspoň jedna dcérska spoločnosť tohto podniku je inštitúciou;</w:t>
      </w:r>
    </w:p>
    <w:p w14:paraId="4A6C5997" w14:textId="1450223E" w:rsidR="00B10B40" w:rsidRPr="004F01E9" w:rsidRDefault="00B10B40" w:rsidP="001F5DEB">
      <w:pPr>
        <w:pStyle w:val="Point2"/>
        <w:rPr>
          <w:noProof/>
        </w:rPr>
      </w:pPr>
      <w:r w:rsidRPr="004F01E9">
        <w:rPr>
          <w:noProof/>
        </w:rPr>
        <w:t>d)</w:t>
      </w:r>
      <w:r w:rsidRPr="004F01E9">
        <w:rPr>
          <w:noProof/>
        </w:rPr>
        <w:tab/>
        <w:t>s</w:t>
      </w:r>
      <w:r w:rsidR="00C349AE">
        <w:rPr>
          <w:noProof/>
        </w:rPr>
        <w:t> </w:t>
      </w:r>
      <w:r w:rsidRPr="004F01E9">
        <w:rPr>
          <w:noProof/>
        </w:rPr>
        <w:t>dcérskymi spoločnosťami, ktoré sú inštitúciami alebo finančnými inštitúciami,</w:t>
      </w:r>
      <w:r w:rsidR="004F01E9">
        <w:rPr>
          <w:noProof/>
        </w:rPr>
        <w:t xml:space="preserve"> a s </w:t>
      </w:r>
      <w:r w:rsidRPr="004F01E9">
        <w:rPr>
          <w:noProof/>
        </w:rPr>
        <w:t>činnosťami, ktoré vykonáva samotný podnik</w:t>
      </w:r>
      <w:r w:rsidR="004F01E9">
        <w:rPr>
          <w:noProof/>
        </w:rPr>
        <w:t xml:space="preserve"> a </w:t>
      </w:r>
      <w:r w:rsidRPr="004F01E9">
        <w:rPr>
          <w:noProof/>
        </w:rPr>
        <w:t>ktoré nesúvisia</w:t>
      </w:r>
      <w:r w:rsidR="004F01E9">
        <w:rPr>
          <w:noProof/>
        </w:rPr>
        <w:t xml:space="preserve"> s </w:t>
      </w:r>
      <w:r w:rsidRPr="004F01E9">
        <w:rPr>
          <w:noProof/>
        </w:rPr>
        <w:t>nadobúdaním alebo vlastníctvom podielov</w:t>
      </w:r>
      <w:r w:rsidR="004F01E9">
        <w:rPr>
          <w:noProof/>
        </w:rPr>
        <w:t xml:space="preserve"> v </w:t>
      </w:r>
      <w:r w:rsidRPr="004F01E9">
        <w:rPr>
          <w:noProof/>
        </w:rPr>
        <w:t>dcérskych spoločnostiach, keď sú uvedené činnosti rovnakej povahy ako činnosti, ktoré vykonávajú inštitúcie alebo finančné inštitúcie, neustále súvisí viac než 50</w:t>
      </w:r>
      <w:r w:rsidR="004F01E9">
        <w:rPr>
          <w:noProof/>
        </w:rPr>
        <w:t> %</w:t>
      </w:r>
      <w:r w:rsidRPr="004F01E9">
        <w:rPr>
          <w:noProof/>
        </w:rPr>
        <w:t xml:space="preserve"> ktoréhokoľvek</w:t>
      </w:r>
      <w:r w:rsidR="004F01E9">
        <w:rPr>
          <w:noProof/>
        </w:rPr>
        <w:t xml:space="preserve"> z </w:t>
      </w:r>
      <w:r w:rsidRPr="004F01E9">
        <w:rPr>
          <w:noProof/>
        </w:rPr>
        <w:t>týchto ukazovateľov:</w:t>
      </w:r>
    </w:p>
    <w:p w14:paraId="39B5C31B" w14:textId="77777777" w:rsidR="00B10B40" w:rsidRPr="004F01E9" w:rsidRDefault="00B10B40" w:rsidP="001F5DEB">
      <w:pPr>
        <w:pStyle w:val="Point3"/>
        <w:rPr>
          <w:noProof/>
        </w:rPr>
      </w:pPr>
      <w:r w:rsidRPr="004F01E9">
        <w:rPr>
          <w:noProof/>
        </w:rPr>
        <w:t>i)</w:t>
      </w:r>
      <w:r w:rsidRPr="004F01E9">
        <w:rPr>
          <w:noProof/>
        </w:rPr>
        <w:tab/>
        <w:t>vlastné imanie podniku na základe jeho konsolidovanej situácie;</w:t>
      </w:r>
    </w:p>
    <w:p w14:paraId="0D0AC711" w14:textId="77777777" w:rsidR="00B10B40" w:rsidRPr="004F01E9" w:rsidRDefault="00B10B40" w:rsidP="001F5DEB">
      <w:pPr>
        <w:pStyle w:val="Point3"/>
        <w:rPr>
          <w:noProof/>
        </w:rPr>
      </w:pPr>
      <w:r w:rsidRPr="004F01E9">
        <w:rPr>
          <w:noProof/>
        </w:rPr>
        <w:t>ii)</w:t>
      </w:r>
      <w:r w:rsidRPr="004F01E9">
        <w:rPr>
          <w:noProof/>
        </w:rPr>
        <w:tab/>
        <w:t>aktíva podniku na základe jeho konsolidovanej situácie;</w:t>
      </w:r>
    </w:p>
    <w:p w14:paraId="71838BFF" w14:textId="77777777" w:rsidR="00B10B40" w:rsidRPr="004F01E9" w:rsidRDefault="00B10B40" w:rsidP="001F5DEB">
      <w:pPr>
        <w:pStyle w:val="Point3"/>
        <w:rPr>
          <w:noProof/>
        </w:rPr>
      </w:pPr>
      <w:r w:rsidRPr="004F01E9">
        <w:rPr>
          <w:noProof/>
        </w:rPr>
        <w:t>iii)</w:t>
      </w:r>
      <w:r w:rsidRPr="004F01E9">
        <w:rPr>
          <w:noProof/>
        </w:rPr>
        <w:tab/>
        <w:t>príjmy podniku na základe jeho konsolidovanej situácie;</w:t>
      </w:r>
    </w:p>
    <w:p w14:paraId="5E9EB803" w14:textId="77777777" w:rsidR="00B10B40" w:rsidRPr="004F01E9" w:rsidRDefault="00B10B40" w:rsidP="001F5DEB">
      <w:pPr>
        <w:pStyle w:val="Point3"/>
        <w:rPr>
          <w:noProof/>
        </w:rPr>
      </w:pPr>
      <w:r w:rsidRPr="004F01E9">
        <w:rPr>
          <w:noProof/>
        </w:rPr>
        <w:t>iv)</w:t>
      </w:r>
      <w:r w:rsidRPr="004F01E9">
        <w:rPr>
          <w:noProof/>
        </w:rPr>
        <w:tab/>
        <w:t>zamestnanci podniku na základe jeho konsolidovanej situácie;</w:t>
      </w:r>
    </w:p>
    <w:p w14:paraId="0A062708" w14:textId="4470E6DA" w:rsidR="00B10B40" w:rsidRPr="004F01E9" w:rsidRDefault="001F5DEB" w:rsidP="001F5DEB">
      <w:pPr>
        <w:pStyle w:val="Point3"/>
        <w:rPr>
          <w:noProof/>
        </w:rPr>
      </w:pPr>
      <w:r w:rsidRPr="004F01E9">
        <w:rPr>
          <w:noProof/>
        </w:rPr>
        <w:t>v)</w:t>
      </w:r>
      <w:r w:rsidRPr="004F01E9">
        <w:rPr>
          <w:noProof/>
        </w:rPr>
        <w:tab/>
        <w:t>iný ukazovateľ, ktorý považuje príslušný orgán za relevantný;“;</w:t>
      </w:r>
    </w:p>
    <w:p w14:paraId="29140C83" w14:textId="1DD27FC0" w:rsidR="007D0BB2" w:rsidRPr="004F01E9" w:rsidRDefault="00F66901" w:rsidP="001F5DEB">
      <w:pPr>
        <w:pStyle w:val="Point1"/>
        <w:rPr>
          <w:noProof/>
        </w:rPr>
      </w:pPr>
      <w:r w:rsidRPr="004F01E9">
        <w:rPr>
          <w:noProof/>
        </w:rPr>
        <w:t>d)</w:t>
      </w:r>
      <w:r w:rsidRPr="004F01E9">
        <w:rPr>
          <w:noProof/>
        </w:rPr>
        <w:tab/>
        <w:t>Vkladá sa tento bod 20a:</w:t>
      </w:r>
    </w:p>
    <w:p w14:paraId="0130D6AF" w14:textId="6291BC9B" w:rsidR="007D0BB2" w:rsidRPr="004F01E9" w:rsidRDefault="007D0BB2" w:rsidP="001C50DD">
      <w:pPr>
        <w:pStyle w:val="Text2"/>
        <w:rPr>
          <w:rFonts w:eastAsia="Times New Roman"/>
          <w:noProof/>
          <w:color w:val="000000" w:themeColor="text1"/>
        </w:rPr>
      </w:pPr>
      <w:r w:rsidRPr="004F01E9">
        <w:rPr>
          <w:noProof/>
        </w:rPr>
        <w:t>„20a) „investičná holdingová spoločnosť“ je investičná holdingová spoločnosť</w:t>
      </w:r>
      <w:r w:rsidR="004F01E9">
        <w:rPr>
          <w:noProof/>
        </w:rPr>
        <w:t xml:space="preserve"> v </w:t>
      </w:r>
      <w:r w:rsidRPr="004F01E9">
        <w:rPr>
          <w:noProof/>
        </w:rPr>
        <w:t>zmysle vymedzenia</w:t>
      </w:r>
      <w:r w:rsidR="004F01E9">
        <w:rPr>
          <w:noProof/>
        </w:rPr>
        <w:t xml:space="preserve"> v </w:t>
      </w:r>
      <w:r w:rsidRPr="004F01E9">
        <w:rPr>
          <w:noProof/>
        </w:rPr>
        <w:t>článku 4 ods. 1 bode 23 nariadenia Európskeho parlamentu</w:t>
      </w:r>
      <w:r w:rsidR="004F01E9">
        <w:rPr>
          <w:noProof/>
        </w:rPr>
        <w:t xml:space="preserve"> a </w:t>
      </w:r>
      <w:r w:rsidRPr="004F01E9">
        <w:rPr>
          <w:noProof/>
        </w:rPr>
        <w:t>Rady (EÚ) 2019/2033</w:t>
      </w:r>
      <w:r w:rsidRPr="004F01E9">
        <w:rPr>
          <w:rStyle w:val="FootnoteReference0"/>
          <w:rFonts w:eastAsia="Times New Roman"/>
          <w:noProof/>
        </w:rPr>
        <w:footnoteReference w:id="54"/>
      </w:r>
      <w:r w:rsidRPr="004F01E9">
        <w:rPr>
          <w:noProof/>
        </w:rPr>
        <w:t>;</w:t>
      </w:r>
    </w:p>
    <w:p w14:paraId="49A8A9ED" w14:textId="4F842AC3" w:rsidR="007D0BB2" w:rsidRPr="004F01E9" w:rsidRDefault="00F66901" w:rsidP="001F5DEB">
      <w:pPr>
        <w:pStyle w:val="Point1"/>
        <w:rPr>
          <w:noProof/>
        </w:rPr>
      </w:pPr>
      <w:r w:rsidRPr="004F01E9">
        <w:rPr>
          <w:noProof/>
        </w:rPr>
        <w:t>e)</w:t>
      </w:r>
      <w:r w:rsidRPr="004F01E9">
        <w:rPr>
          <w:noProof/>
        </w:rPr>
        <w:tab/>
        <w:t>Bod 26 sa nahrádza takto:</w:t>
      </w:r>
    </w:p>
    <w:p w14:paraId="668BC555" w14:textId="77777777" w:rsidR="007D0BB2" w:rsidRPr="004F01E9" w:rsidRDefault="007D0BB2" w:rsidP="001C50DD">
      <w:pPr>
        <w:pStyle w:val="Text2"/>
        <w:rPr>
          <w:noProof/>
        </w:rPr>
      </w:pPr>
      <w:r w:rsidRPr="004F01E9">
        <w:rPr>
          <w:noProof/>
        </w:rPr>
        <w:t>„26) „finančná inštitúcia“ je podnik, ktorý spĺňa obe tieto podmienky:</w:t>
      </w:r>
    </w:p>
    <w:p w14:paraId="1B1E4A30" w14:textId="13193B13" w:rsidR="007D0BB2" w:rsidRPr="00C349AE" w:rsidRDefault="00F66901" w:rsidP="001C50DD">
      <w:pPr>
        <w:pStyle w:val="Point2"/>
        <w:rPr>
          <w:noProof/>
          <w:spacing w:val="-6"/>
        </w:rPr>
      </w:pPr>
      <w:r w:rsidRPr="004F01E9">
        <w:rPr>
          <w:noProof/>
        </w:rPr>
        <w:t>a)</w:t>
      </w:r>
      <w:r w:rsidRPr="004F01E9">
        <w:rPr>
          <w:noProof/>
        </w:rPr>
        <w:tab/>
      </w:r>
      <w:r w:rsidRPr="00C349AE">
        <w:rPr>
          <w:noProof/>
          <w:spacing w:val="-6"/>
        </w:rPr>
        <w:t>podnik nie je inštitúciou, čisto priemyselnou holdingovou spoločnosťou, holdingovou poisťovňou alebo zmiešanou holdingovou poisťovňou</w:t>
      </w:r>
      <w:r w:rsidR="004F01E9" w:rsidRPr="00C349AE">
        <w:rPr>
          <w:noProof/>
          <w:spacing w:val="-6"/>
        </w:rPr>
        <w:t xml:space="preserve"> v </w:t>
      </w:r>
      <w:r w:rsidRPr="00C349AE">
        <w:rPr>
          <w:noProof/>
          <w:spacing w:val="-6"/>
        </w:rPr>
        <w:t>zmysle vymedzenia</w:t>
      </w:r>
      <w:r w:rsidR="004F01E9" w:rsidRPr="00C349AE">
        <w:rPr>
          <w:noProof/>
          <w:spacing w:val="-6"/>
        </w:rPr>
        <w:t xml:space="preserve"> v </w:t>
      </w:r>
      <w:r w:rsidRPr="00C349AE">
        <w:rPr>
          <w:noProof/>
          <w:spacing w:val="-6"/>
        </w:rPr>
        <w:t>článku 212 ods. 1 písm. f)</w:t>
      </w:r>
      <w:r w:rsidR="004F01E9" w:rsidRPr="00C349AE">
        <w:rPr>
          <w:noProof/>
          <w:spacing w:val="-6"/>
        </w:rPr>
        <w:t xml:space="preserve"> a </w:t>
      </w:r>
      <w:r w:rsidRPr="00C349AE">
        <w:rPr>
          <w:noProof/>
          <w:spacing w:val="-6"/>
        </w:rPr>
        <w:t>g) smernice 2009/138/ES;</w:t>
      </w:r>
    </w:p>
    <w:p w14:paraId="7410D406" w14:textId="26EF60BA" w:rsidR="007D0BB2" w:rsidRPr="004F01E9" w:rsidRDefault="00F66901" w:rsidP="001C50DD">
      <w:pPr>
        <w:pStyle w:val="Point2"/>
        <w:rPr>
          <w:noProof/>
        </w:rPr>
      </w:pPr>
      <w:r w:rsidRPr="004F01E9">
        <w:rPr>
          <w:noProof/>
        </w:rPr>
        <w:t>b)</w:t>
      </w:r>
      <w:r w:rsidRPr="004F01E9">
        <w:rPr>
          <w:noProof/>
        </w:rPr>
        <w:tab/>
        <w:t>podnik spĺňa ktorúkoľvek</w:t>
      </w:r>
      <w:r w:rsidR="004F01E9">
        <w:rPr>
          <w:noProof/>
        </w:rPr>
        <w:t xml:space="preserve"> z </w:t>
      </w:r>
      <w:r w:rsidRPr="004F01E9">
        <w:rPr>
          <w:noProof/>
        </w:rPr>
        <w:t>týchto podmienok:</w:t>
      </w:r>
    </w:p>
    <w:p w14:paraId="5982F19E" w14:textId="6B54DD1A" w:rsidR="00806B81" w:rsidRPr="00C349AE" w:rsidRDefault="00F66901" w:rsidP="00F66901">
      <w:pPr>
        <w:pStyle w:val="Point3"/>
        <w:rPr>
          <w:noProof/>
          <w:spacing w:val="-6"/>
        </w:rPr>
      </w:pPr>
      <w:r w:rsidRPr="004F01E9">
        <w:rPr>
          <w:noProof/>
        </w:rPr>
        <w:t>i)</w:t>
      </w:r>
      <w:r w:rsidRPr="004F01E9">
        <w:rPr>
          <w:noProof/>
        </w:rPr>
        <w:tab/>
      </w:r>
      <w:r w:rsidRPr="00C349AE">
        <w:rPr>
          <w:noProof/>
          <w:spacing w:val="-6"/>
        </w:rPr>
        <w:t>hlavným predmetom činnosti podniku je nadobúdať alebo vlastniť podiely alebo vykonávať jednu alebo viac činností uvedených</w:t>
      </w:r>
      <w:r w:rsidR="004F01E9" w:rsidRPr="00C349AE">
        <w:rPr>
          <w:noProof/>
          <w:spacing w:val="-6"/>
        </w:rPr>
        <w:t xml:space="preserve"> v </w:t>
      </w:r>
      <w:r w:rsidRPr="00C349AE">
        <w:rPr>
          <w:noProof/>
          <w:spacing w:val="-6"/>
        </w:rPr>
        <w:t>bodoch 2 až 12</w:t>
      </w:r>
      <w:r w:rsidR="004F01E9" w:rsidRPr="00C349AE">
        <w:rPr>
          <w:noProof/>
          <w:spacing w:val="-6"/>
        </w:rPr>
        <w:t xml:space="preserve"> a v </w:t>
      </w:r>
      <w:r w:rsidRPr="00C349AE">
        <w:rPr>
          <w:noProof/>
          <w:spacing w:val="-6"/>
        </w:rPr>
        <w:t>bode 15 prílohy I</w:t>
      </w:r>
      <w:r w:rsidR="004F01E9" w:rsidRPr="00C349AE">
        <w:rPr>
          <w:noProof/>
          <w:spacing w:val="-6"/>
        </w:rPr>
        <w:t xml:space="preserve"> k </w:t>
      </w:r>
      <w:r w:rsidRPr="00C349AE">
        <w:rPr>
          <w:noProof/>
          <w:spacing w:val="-6"/>
        </w:rPr>
        <w:t>smernici 2013/36/EÚ alebo poskytovať jednu alebo viac služieb či vykonávať jednu alebo viac činností uvedených</w:t>
      </w:r>
      <w:r w:rsidR="004F01E9" w:rsidRPr="00C349AE">
        <w:rPr>
          <w:noProof/>
          <w:spacing w:val="-6"/>
        </w:rPr>
        <w:t xml:space="preserve"> v </w:t>
      </w:r>
      <w:r w:rsidRPr="00C349AE">
        <w:rPr>
          <w:noProof/>
          <w:spacing w:val="-6"/>
        </w:rPr>
        <w:t>oddiele 1 alebo B prílohy I</w:t>
      </w:r>
      <w:r w:rsidR="004F01E9" w:rsidRPr="00C349AE">
        <w:rPr>
          <w:noProof/>
          <w:spacing w:val="-6"/>
        </w:rPr>
        <w:t xml:space="preserve"> k </w:t>
      </w:r>
      <w:r w:rsidRPr="00C349AE">
        <w:rPr>
          <w:noProof/>
          <w:spacing w:val="-6"/>
        </w:rPr>
        <w:t>smernici Európskeho parlamentu</w:t>
      </w:r>
      <w:r w:rsidR="004F01E9" w:rsidRPr="00C349AE">
        <w:rPr>
          <w:noProof/>
          <w:spacing w:val="-6"/>
        </w:rPr>
        <w:t xml:space="preserve"> a </w:t>
      </w:r>
      <w:r w:rsidRPr="00C349AE">
        <w:rPr>
          <w:noProof/>
          <w:spacing w:val="-6"/>
        </w:rPr>
        <w:t>Rady 2014/65/EÚ</w:t>
      </w:r>
      <w:r w:rsidRPr="00C349AE">
        <w:rPr>
          <w:rStyle w:val="FootnoteReference0"/>
          <w:noProof/>
          <w:spacing w:val="-6"/>
        </w:rPr>
        <w:footnoteReference w:id="55"/>
      </w:r>
      <w:r w:rsidRPr="00C349AE">
        <w:rPr>
          <w:noProof/>
          <w:spacing w:val="-6"/>
        </w:rPr>
        <w:t xml:space="preserve"> vo vzťahu</w:t>
      </w:r>
      <w:r w:rsidR="004F01E9" w:rsidRPr="00C349AE">
        <w:rPr>
          <w:noProof/>
          <w:spacing w:val="-6"/>
        </w:rPr>
        <w:t xml:space="preserve"> k </w:t>
      </w:r>
      <w:r w:rsidRPr="00C349AE">
        <w:rPr>
          <w:noProof/>
          <w:spacing w:val="-6"/>
        </w:rPr>
        <w:t>finančným nástrojom uvedeným</w:t>
      </w:r>
      <w:r w:rsidR="004F01E9" w:rsidRPr="00C349AE">
        <w:rPr>
          <w:noProof/>
          <w:spacing w:val="-6"/>
        </w:rPr>
        <w:t xml:space="preserve"> v </w:t>
      </w:r>
      <w:r w:rsidRPr="00C349AE">
        <w:rPr>
          <w:noProof/>
          <w:spacing w:val="-6"/>
        </w:rPr>
        <w:t>oddiele C uvedenej prílohy</w:t>
      </w:r>
      <w:r w:rsidR="004F01E9" w:rsidRPr="00C349AE">
        <w:rPr>
          <w:noProof/>
          <w:spacing w:val="-6"/>
        </w:rPr>
        <w:t xml:space="preserve"> k </w:t>
      </w:r>
      <w:r w:rsidRPr="00C349AE">
        <w:rPr>
          <w:noProof/>
          <w:spacing w:val="-6"/>
        </w:rPr>
        <w:t>uvedenej smernici;</w:t>
      </w:r>
    </w:p>
    <w:p w14:paraId="3693DF8B" w14:textId="3E5FB2AD" w:rsidR="007D0BB2" w:rsidRPr="004F01E9" w:rsidRDefault="00F66901" w:rsidP="00F66901">
      <w:pPr>
        <w:pStyle w:val="Point3"/>
        <w:rPr>
          <w:noProof/>
        </w:rPr>
      </w:pPr>
      <w:r w:rsidRPr="004F01E9">
        <w:rPr>
          <w:noProof/>
        </w:rPr>
        <w:t>ii)</w:t>
      </w:r>
      <w:r w:rsidRPr="004F01E9">
        <w:rPr>
          <w:noProof/>
        </w:rPr>
        <w:tab/>
        <w:t>podnik je investičnou spoločnosťou, zmiešanou finančnou holdingovou spoločnosťou, investičnou holdingovou spoločnosťou, poskytovateľom platobných služieb</w:t>
      </w:r>
      <w:r w:rsidR="004F01E9">
        <w:rPr>
          <w:noProof/>
        </w:rPr>
        <w:t xml:space="preserve"> v </w:t>
      </w:r>
      <w:r w:rsidRPr="004F01E9">
        <w:rPr>
          <w:noProof/>
        </w:rPr>
        <w:t>zmysle smernice Európskeho parlamentu</w:t>
      </w:r>
      <w:r w:rsidR="004F01E9">
        <w:rPr>
          <w:noProof/>
        </w:rPr>
        <w:t xml:space="preserve"> a </w:t>
      </w:r>
      <w:r w:rsidRPr="004F01E9">
        <w:rPr>
          <w:noProof/>
        </w:rPr>
        <w:t>Rady (EÚ) 2015/2366</w:t>
      </w:r>
      <w:r w:rsidRPr="004F01E9">
        <w:rPr>
          <w:rStyle w:val="FootnoteReference0"/>
          <w:noProof/>
        </w:rPr>
        <w:footnoteReference w:id="56"/>
      </w:r>
      <w:r w:rsidRPr="004F01E9">
        <w:rPr>
          <w:noProof/>
        </w:rPr>
        <w:t>, správcovskou spoločnosťou alebo podnikom pomocných služieb;“;</w:t>
      </w:r>
    </w:p>
    <w:p w14:paraId="61F3A186" w14:textId="43126EE4" w:rsidR="007D0BB2" w:rsidRPr="004F01E9" w:rsidRDefault="00F66901" w:rsidP="001F5DEB">
      <w:pPr>
        <w:pStyle w:val="Point1"/>
        <w:rPr>
          <w:noProof/>
        </w:rPr>
      </w:pPr>
      <w:r w:rsidRPr="004F01E9">
        <w:rPr>
          <w:noProof/>
        </w:rPr>
        <w:t>f)</w:t>
      </w:r>
      <w:r w:rsidRPr="004F01E9">
        <w:rPr>
          <w:noProof/>
        </w:rPr>
        <w:tab/>
        <w:t>Vkladá sa tento bod 26a:</w:t>
      </w:r>
    </w:p>
    <w:p w14:paraId="5A887D33" w14:textId="77777777" w:rsidR="007D0BB2" w:rsidRPr="004F01E9" w:rsidRDefault="00BA7914" w:rsidP="001C50DD">
      <w:pPr>
        <w:pStyle w:val="Text2"/>
        <w:rPr>
          <w:noProof/>
        </w:rPr>
      </w:pPr>
      <w:r w:rsidRPr="004F01E9">
        <w:rPr>
          <w:noProof/>
        </w:rPr>
        <w:t>„26a) „čisto priemyselná holdingová spoločnosť“ je podnik, ktorý spĺňa všetky tieto podmienky:</w:t>
      </w:r>
    </w:p>
    <w:p w14:paraId="41380078" w14:textId="443B6949" w:rsidR="008C5976" w:rsidRPr="004F01E9" w:rsidRDefault="00F66901" w:rsidP="001C50DD">
      <w:pPr>
        <w:pStyle w:val="Point2"/>
        <w:rPr>
          <w:noProof/>
        </w:rPr>
      </w:pPr>
      <w:r w:rsidRPr="004F01E9">
        <w:rPr>
          <w:noProof/>
        </w:rPr>
        <w:t>a)</w:t>
      </w:r>
      <w:r w:rsidRPr="004F01E9">
        <w:rPr>
          <w:noProof/>
        </w:rPr>
        <w:tab/>
        <w:t>hlavnou činnosťou podniku je nadobúdať alebo vlastniť podiely;</w:t>
      </w:r>
    </w:p>
    <w:p w14:paraId="1C76C780" w14:textId="256A95EA" w:rsidR="008C5976" w:rsidRPr="004F01E9" w:rsidRDefault="00F66901" w:rsidP="001C50DD">
      <w:pPr>
        <w:pStyle w:val="Point2"/>
        <w:rPr>
          <w:noProof/>
        </w:rPr>
      </w:pPr>
      <w:r w:rsidRPr="004F01E9">
        <w:rPr>
          <w:noProof/>
        </w:rPr>
        <w:t>b)</w:t>
      </w:r>
      <w:r w:rsidRPr="004F01E9">
        <w:rPr>
          <w:noProof/>
        </w:rPr>
        <w:tab/>
        <w:t>ani podnik, ani žiadny</w:t>
      </w:r>
      <w:r w:rsidR="004F01E9">
        <w:rPr>
          <w:noProof/>
        </w:rPr>
        <w:t xml:space="preserve"> z </w:t>
      </w:r>
      <w:r w:rsidRPr="004F01E9">
        <w:rPr>
          <w:noProof/>
        </w:rPr>
        <w:t>podnikov,</w:t>
      </w:r>
      <w:r w:rsidR="004F01E9">
        <w:rPr>
          <w:noProof/>
        </w:rPr>
        <w:t xml:space="preserve"> v </w:t>
      </w:r>
      <w:r w:rsidRPr="004F01E9">
        <w:rPr>
          <w:noProof/>
        </w:rPr>
        <w:t>ktorých má účasti, nie sú uvedené</w:t>
      </w:r>
      <w:r w:rsidR="004F01E9">
        <w:rPr>
          <w:noProof/>
        </w:rPr>
        <w:t xml:space="preserve"> v </w:t>
      </w:r>
      <w:r w:rsidRPr="004F01E9">
        <w:rPr>
          <w:noProof/>
        </w:rPr>
        <w:t>bode 27 písmenách a), d), e), f), g), h), k)</w:t>
      </w:r>
      <w:r w:rsidR="004F01E9">
        <w:rPr>
          <w:noProof/>
        </w:rPr>
        <w:t xml:space="preserve"> a </w:t>
      </w:r>
      <w:r w:rsidRPr="004F01E9">
        <w:rPr>
          <w:noProof/>
        </w:rPr>
        <w:t>l);</w:t>
      </w:r>
    </w:p>
    <w:p w14:paraId="13D02D0E" w14:textId="0C685E9A" w:rsidR="008C5976" w:rsidRPr="00C349AE" w:rsidRDefault="00F66901" w:rsidP="001C50DD">
      <w:pPr>
        <w:pStyle w:val="Point2"/>
        <w:rPr>
          <w:noProof/>
          <w:spacing w:val="-8"/>
        </w:rPr>
      </w:pPr>
      <w:r w:rsidRPr="004F01E9">
        <w:rPr>
          <w:noProof/>
        </w:rPr>
        <w:t>c)</w:t>
      </w:r>
      <w:r w:rsidRPr="004F01E9">
        <w:rPr>
          <w:noProof/>
        </w:rPr>
        <w:tab/>
      </w:r>
      <w:r w:rsidRPr="00C349AE">
        <w:rPr>
          <w:noProof/>
          <w:spacing w:val="-8"/>
        </w:rPr>
        <w:t>ani podnik, ani žiadny</w:t>
      </w:r>
      <w:r w:rsidR="004F01E9" w:rsidRPr="00C349AE">
        <w:rPr>
          <w:noProof/>
          <w:spacing w:val="-8"/>
        </w:rPr>
        <w:t xml:space="preserve"> z </w:t>
      </w:r>
      <w:r w:rsidRPr="00C349AE">
        <w:rPr>
          <w:noProof/>
          <w:spacing w:val="-8"/>
        </w:rPr>
        <w:t>podnikov,</w:t>
      </w:r>
      <w:r w:rsidR="004F01E9" w:rsidRPr="00C349AE">
        <w:rPr>
          <w:noProof/>
          <w:spacing w:val="-8"/>
        </w:rPr>
        <w:t xml:space="preserve"> v </w:t>
      </w:r>
      <w:r w:rsidRPr="00C349AE">
        <w:rPr>
          <w:noProof/>
          <w:spacing w:val="-8"/>
        </w:rPr>
        <w:t>ktorých má účasti, nevykonávajú ako hlavnú činnosť žiadnu</w:t>
      </w:r>
      <w:r w:rsidR="004F01E9" w:rsidRPr="00C349AE">
        <w:rPr>
          <w:noProof/>
          <w:spacing w:val="-8"/>
        </w:rPr>
        <w:t xml:space="preserve"> z </w:t>
      </w:r>
      <w:r w:rsidRPr="00C349AE">
        <w:rPr>
          <w:noProof/>
          <w:spacing w:val="-8"/>
        </w:rPr>
        <w:t>činností uvedených</w:t>
      </w:r>
      <w:r w:rsidR="004F01E9" w:rsidRPr="00C349AE">
        <w:rPr>
          <w:noProof/>
          <w:spacing w:val="-8"/>
        </w:rPr>
        <w:t xml:space="preserve"> v </w:t>
      </w:r>
      <w:r w:rsidRPr="00C349AE">
        <w:rPr>
          <w:noProof/>
          <w:spacing w:val="-8"/>
        </w:rPr>
        <w:t>prílohe I</w:t>
      </w:r>
      <w:r w:rsidR="004F01E9" w:rsidRPr="00C349AE">
        <w:rPr>
          <w:noProof/>
          <w:spacing w:val="-8"/>
        </w:rPr>
        <w:t xml:space="preserve"> k </w:t>
      </w:r>
      <w:r w:rsidRPr="00C349AE">
        <w:rPr>
          <w:noProof/>
          <w:spacing w:val="-8"/>
        </w:rPr>
        <w:t>smernici 2013/36/EÚ, žiadnu</w:t>
      </w:r>
      <w:r w:rsidR="004F01E9" w:rsidRPr="00C349AE">
        <w:rPr>
          <w:noProof/>
          <w:spacing w:val="-8"/>
        </w:rPr>
        <w:t xml:space="preserve"> z </w:t>
      </w:r>
      <w:r w:rsidRPr="00C349AE">
        <w:rPr>
          <w:noProof/>
          <w:spacing w:val="-8"/>
        </w:rPr>
        <w:t>činností uvedených</w:t>
      </w:r>
      <w:r w:rsidR="004F01E9" w:rsidRPr="00C349AE">
        <w:rPr>
          <w:noProof/>
          <w:spacing w:val="-8"/>
        </w:rPr>
        <w:t xml:space="preserve"> v </w:t>
      </w:r>
      <w:r w:rsidRPr="00C349AE">
        <w:rPr>
          <w:noProof/>
          <w:spacing w:val="-8"/>
        </w:rPr>
        <w:t>oddieloch A alebo B prílohy I</w:t>
      </w:r>
      <w:r w:rsidR="004F01E9" w:rsidRPr="00C349AE">
        <w:rPr>
          <w:noProof/>
          <w:spacing w:val="-8"/>
        </w:rPr>
        <w:t xml:space="preserve"> k </w:t>
      </w:r>
      <w:r w:rsidRPr="00C349AE">
        <w:rPr>
          <w:noProof/>
          <w:spacing w:val="-8"/>
        </w:rPr>
        <w:t>smernici 2014/65/EÚ vo vzťahu</w:t>
      </w:r>
      <w:r w:rsidR="004F01E9" w:rsidRPr="00C349AE">
        <w:rPr>
          <w:noProof/>
          <w:spacing w:val="-8"/>
        </w:rPr>
        <w:t xml:space="preserve"> k </w:t>
      </w:r>
      <w:r w:rsidRPr="00C349AE">
        <w:rPr>
          <w:noProof/>
          <w:spacing w:val="-8"/>
        </w:rPr>
        <w:t>finančným nástrojom uvedeným</w:t>
      </w:r>
      <w:r w:rsidR="004F01E9" w:rsidRPr="00C349AE">
        <w:rPr>
          <w:noProof/>
          <w:spacing w:val="-8"/>
        </w:rPr>
        <w:t xml:space="preserve"> v </w:t>
      </w:r>
      <w:r w:rsidRPr="00C349AE">
        <w:rPr>
          <w:noProof/>
          <w:spacing w:val="-8"/>
        </w:rPr>
        <w:t>oddiele C uvedenej prílohy</w:t>
      </w:r>
      <w:r w:rsidR="004F01E9" w:rsidRPr="00C349AE">
        <w:rPr>
          <w:noProof/>
          <w:spacing w:val="-8"/>
        </w:rPr>
        <w:t xml:space="preserve"> k </w:t>
      </w:r>
      <w:r w:rsidRPr="00C349AE">
        <w:rPr>
          <w:noProof/>
          <w:spacing w:val="-8"/>
        </w:rPr>
        <w:t>uvedenej smernici, ani nie sú investičnými spoločnosťami, poskytovateľmi platobných služieb</w:t>
      </w:r>
      <w:r w:rsidR="004F01E9" w:rsidRPr="00C349AE">
        <w:rPr>
          <w:noProof/>
          <w:spacing w:val="-8"/>
        </w:rPr>
        <w:t xml:space="preserve"> v </w:t>
      </w:r>
      <w:r w:rsidRPr="00C349AE">
        <w:rPr>
          <w:noProof/>
          <w:spacing w:val="-8"/>
        </w:rPr>
        <w:t>zmysle smernice (EÚ) 2015/2366, správcovskými spoločnosťami ani podnikmi pomocných služieb;“;</w:t>
      </w:r>
    </w:p>
    <w:p w14:paraId="345D245D" w14:textId="4B32E2F5" w:rsidR="008C5976" w:rsidRPr="004F01E9" w:rsidRDefault="00F66901" w:rsidP="001F5DEB">
      <w:pPr>
        <w:pStyle w:val="Point1"/>
        <w:rPr>
          <w:noProof/>
        </w:rPr>
      </w:pPr>
      <w:r w:rsidRPr="004F01E9">
        <w:rPr>
          <w:noProof/>
        </w:rPr>
        <w:t>g)</w:t>
      </w:r>
      <w:r w:rsidRPr="004F01E9">
        <w:rPr>
          <w:noProof/>
        </w:rPr>
        <w:tab/>
        <w:t>V bode 27 sa vypúšťa písmeno c);</w:t>
      </w:r>
    </w:p>
    <w:p w14:paraId="7448D90D" w14:textId="24ACF5E3" w:rsidR="008C5976" w:rsidRPr="004F01E9" w:rsidRDefault="00F66901" w:rsidP="001F5DEB">
      <w:pPr>
        <w:pStyle w:val="Point1"/>
        <w:rPr>
          <w:noProof/>
        </w:rPr>
      </w:pPr>
      <w:r w:rsidRPr="004F01E9">
        <w:rPr>
          <w:noProof/>
        </w:rPr>
        <w:t>h)</w:t>
      </w:r>
      <w:r w:rsidRPr="004F01E9">
        <w:rPr>
          <w:noProof/>
        </w:rPr>
        <w:tab/>
        <w:t>Bod 28 sa nahrádza takto:</w:t>
      </w:r>
    </w:p>
    <w:p w14:paraId="29BBBCB0" w14:textId="532C9F13" w:rsidR="008C5976" w:rsidRPr="00C349AE" w:rsidRDefault="008C5976" w:rsidP="00615061">
      <w:pPr>
        <w:pStyle w:val="Text2"/>
        <w:rPr>
          <w:noProof/>
          <w:spacing w:val="-4"/>
        </w:rPr>
      </w:pPr>
      <w:r w:rsidRPr="00C349AE">
        <w:rPr>
          <w:noProof/>
          <w:spacing w:val="-4"/>
        </w:rPr>
        <w:t>„28) „materská inštitúcia</w:t>
      </w:r>
      <w:r w:rsidR="004F01E9" w:rsidRPr="00C349AE">
        <w:rPr>
          <w:noProof/>
          <w:spacing w:val="-4"/>
        </w:rPr>
        <w:t xml:space="preserve"> v </w:t>
      </w:r>
      <w:r w:rsidRPr="00C349AE">
        <w:rPr>
          <w:noProof/>
          <w:spacing w:val="-4"/>
        </w:rPr>
        <w:t>členskom štáte“ je inštitúcia</w:t>
      </w:r>
      <w:r w:rsidR="004F01E9" w:rsidRPr="00C349AE">
        <w:rPr>
          <w:noProof/>
          <w:spacing w:val="-4"/>
        </w:rPr>
        <w:t xml:space="preserve"> v </w:t>
      </w:r>
      <w:r w:rsidRPr="00C349AE">
        <w:rPr>
          <w:noProof/>
          <w:spacing w:val="-4"/>
        </w:rPr>
        <w:t>členskom štáte, ktorej dcérskou spoločnosťou je inštitúcia alebo finančná inštitúcia, alebo ktorá má účasť</w:t>
      </w:r>
      <w:r w:rsidR="004F01E9" w:rsidRPr="00C349AE">
        <w:rPr>
          <w:noProof/>
          <w:spacing w:val="-4"/>
        </w:rPr>
        <w:t xml:space="preserve"> v </w:t>
      </w:r>
      <w:r w:rsidRPr="00C349AE">
        <w:rPr>
          <w:noProof/>
          <w:spacing w:val="-4"/>
        </w:rPr>
        <w:t>inštitúcii, finančnej inštitúcii alebo podniku pomocných služieb</w:t>
      </w:r>
      <w:r w:rsidR="004F01E9" w:rsidRPr="00C349AE">
        <w:rPr>
          <w:noProof/>
          <w:spacing w:val="-4"/>
        </w:rPr>
        <w:t xml:space="preserve"> a </w:t>
      </w:r>
      <w:r w:rsidRPr="00C349AE">
        <w:rPr>
          <w:noProof/>
          <w:spacing w:val="-4"/>
        </w:rPr>
        <w:t>ktorá sama osebe nie je dcérskou spoločnosťou inej inštitúcie, ktorej bolo udelené povolenie</w:t>
      </w:r>
      <w:r w:rsidR="004F01E9" w:rsidRPr="00C349AE">
        <w:rPr>
          <w:noProof/>
          <w:spacing w:val="-4"/>
        </w:rPr>
        <w:t xml:space="preserve"> v </w:t>
      </w:r>
      <w:r w:rsidRPr="00C349AE">
        <w:rPr>
          <w:noProof/>
          <w:spacing w:val="-4"/>
        </w:rPr>
        <w:t>tom istom členskom štáte, ani finančnej holdingovej spoločnosti, ani zmiešanej finančnej holdingovej spoločnosti založenej</w:t>
      </w:r>
      <w:r w:rsidR="004F01E9" w:rsidRPr="00C349AE">
        <w:rPr>
          <w:noProof/>
          <w:spacing w:val="-4"/>
        </w:rPr>
        <w:t xml:space="preserve"> v </w:t>
      </w:r>
      <w:r w:rsidRPr="00C349AE">
        <w:rPr>
          <w:noProof/>
          <w:spacing w:val="-4"/>
        </w:rPr>
        <w:t>tom istom členskom štáte;“;</w:t>
      </w:r>
    </w:p>
    <w:p w14:paraId="11943F23" w14:textId="2458CFD6" w:rsidR="00806B81" w:rsidRPr="004F01E9" w:rsidRDefault="00F66901" w:rsidP="001F5DEB">
      <w:pPr>
        <w:pStyle w:val="Point1"/>
        <w:rPr>
          <w:noProof/>
        </w:rPr>
      </w:pPr>
      <w:r w:rsidRPr="004F01E9">
        <w:rPr>
          <w:noProof/>
        </w:rPr>
        <w:t>i)</w:t>
      </w:r>
      <w:r w:rsidRPr="004F01E9">
        <w:rPr>
          <w:noProof/>
        </w:rPr>
        <w:tab/>
        <w:t>Vkladajú sa tieto body 33a</w:t>
      </w:r>
      <w:r w:rsidR="004F01E9">
        <w:rPr>
          <w:noProof/>
        </w:rPr>
        <w:t xml:space="preserve"> a </w:t>
      </w:r>
      <w:r w:rsidRPr="004F01E9">
        <w:rPr>
          <w:noProof/>
        </w:rPr>
        <w:t>33b:</w:t>
      </w:r>
    </w:p>
    <w:p w14:paraId="6A72533A" w14:textId="2D9CB191" w:rsidR="008C5976" w:rsidRPr="004F01E9" w:rsidRDefault="008C5976" w:rsidP="001C50DD">
      <w:pPr>
        <w:pStyle w:val="Text2"/>
        <w:rPr>
          <w:noProof/>
        </w:rPr>
      </w:pPr>
      <w:r w:rsidRPr="004F01E9">
        <w:rPr>
          <w:noProof/>
        </w:rPr>
        <w:t>„33a) „samostatná inštitúcia</w:t>
      </w:r>
      <w:r w:rsidR="004F01E9">
        <w:rPr>
          <w:noProof/>
        </w:rPr>
        <w:t xml:space="preserve"> v </w:t>
      </w:r>
      <w:r w:rsidRPr="004F01E9">
        <w:rPr>
          <w:noProof/>
        </w:rPr>
        <w:t>EÚ“ je inštitúcia, na ktorú sa</w:t>
      </w:r>
      <w:r w:rsidR="004F01E9">
        <w:rPr>
          <w:noProof/>
        </w:rPr>
        <w:t xml:space="preserve"> v </w:t>
      </w:r>
      <w:r w:rsidRPr="004F01E9">
        <w:rPr>
          <w:noProof/>
        </w:rPr>
        <w:t>EÚ nevzťahuje prudenciálna konsolidácia podľa prvej časti hlavy II kapitoly 2</w:t>
      </w:r>
      <w:r w:rsidR="004F01E9">
        <w:rPr>
          <w:noProof/>
        </w:rPr>
        <w:t xml:space="preserve"> a </w:t>
      </w:r>
      <w:r w:rsidRPr="004F01E9">
        <w:rPr>
          <w:noProof/>
        </w:rPr>
        <w:t>ktorá nemá</w:t>
      </w:r>
      <w:r w:rsidR="004F01E9">
        <w:rPr>
          <w:noProof/>
        </w:rPr>
        <w:t xml:space="preserve"> v </w:t>
      </w:r>
      <w:r w:rsidRPr="004F01E9">
        <w:rPr>
          <w:noProof/>
        </w:rPr>
        <w:t>EÚ materskú spoločnosť, na ktorú by sa vzťahovala takáto prudenciálna konsolidácia;</w:t>
      </w:r>
    </w:p>
    <w:p w14:paraId="3EEFB6B5" w14:textId="0D821958" w:rsidR="008C5976" w:rsidRPr="004F01E9" w:rsidRDefault="008C5976" w:rsidP="001C50DD">
      <w:pPr>
        <w:pStyle w:val="Text2"/>
        <w:rPr>
          <w:noProof/>
        </w:rPr>
      </w:pPr>
      <w:r w:rsidRPr="004F01E9">
        <w:rPr>
          <w:noProof/>
        </w:rPr>
        <w:t>33b) „samostatná dcérska inštitúcia</w:t>
      </w:r>
      <w:r w:rsidR="004F01E9">
        <w:rPr>
          <w:noProof/>
        </w:rPr>
        <w:t xml:space="preserve"> v </w:t>
      </w:r>
      <w:r w:rsidRPr="004F01E9">
        <w:rPr>
          <w:noProof/>
        </w:rPr>
        <w:t>členskom štáte“ je inštitúcia, ktorá spĺňa všetky tieto kritériá:</w:t>
      </w:r>
    </w:p>
    <w:p w14:paraId="0D41010B" w14:textId="2DC4CE1C" w:rsidR="008C5976" w:rsidRPr="004F01E9" w:rsidRDefault="008C5976" w:rsidP="008C5976">
      <w:pPr>
        <w:pStyle w:val="Point2"/>
        <w:rPr>
          <w:noProof/>
        </w:rPr>
      </w:pPr>
      <w:r w:rsidRPr="004F01E9">
        <w:rPr>
          <w:noProof/>
        </w:rPr>
        <w:t>a)</w:t>
      </w:r>
      <w:r w:rsidRPr="004F01E9">
        <w:rPr>
          <w:noProof/>
        </w:rPr>
        <w:tab/>
        <w:t>inštitúcia je dcérskou spoločnosťou materskej inštitúcie</w:t>
      </w:r>
      <w:r w:rsidR="004F01E9">
        <w:rPr>
          <w:noProof/>
        </w:rPr>
        <w:t xml:space="preserve"> v </w:t>
      </w:r>
      <w:r w:rsidRPr="004F01E9">
        <w:rPr>
          <w:noProof/>
        </w:rPr>
        <w:t>EÚ, materskej finančnej holdingovej spoločnosti</w:t>
      </w:r>
      <w:r w:rsidR="004F01E9">
        <w:rPr>
          <w:noProof/>
        </w:rPr>
        <w:t xml:space="preserve"> v </w:t>
      </w:r>
      <w:r w:rsidRPr="004F01E9">
        <w:rPr>
          <w:noProof/>
        </w:rPr>
        <w:t>EÚ alebo materskej zmiešanej finančnej holdingovej spoločnosti</w:t>
      </w:r>
      <w:r w:rsidR="004F01E9">
        <w:rPr>
          <w:noProof/>
        </w:rPr>
        <w:t xml:space="preserve"> v </w:t>
      </w:r>
      <w:r w:rsidRPr="004F01E9">
        <w:rPr>
          <w:noProof/>
        </w:rPr>
        <w:t>EÚ;</w:t>
      </w:r>
    </w:p>
    <w:p w14:paraId="11D1BAD2" w14:textId="61443111" w:rsidR="008C5976" w:rsidRPr="004F01E9" w:rsidRDefault="008C5976" w:rsidP="008C5976">
      <w:pPr>
        <w:pStyle w:val="Point2"/>
        <w:rPr>
          <w:noProof/>
        </w:rPr>
      </w:pPr>
      <w:r w:rsidRPr="004F01E9">
        <w:rPr>
          <w:noProof/>
        </w:rPr>
        <w:t>b)</w:t>
      </w:r>
      <w:r w:rsidRPr="004F01E9">
        <w:rPr>
          <w:noProof/>
        </w:rPr>
        <w:tab/>
        <w:t>inštitúcia sídli</w:t>
      </w:r>
      <w:r w:rsidR="004F01E9">
        <w:rPr>
          <w:noProof/>
        </w:rPr>
        <w:t xml:space="preserve"> v </w:t>
      </w:r>
      <w:r w:rsidRPr="004F01E9">
        <w:rPr>
          <w:noProof/>
        </w:rPr>
        <w:t>inom členskom štáte než jej materská inštitúcia, materská finančná holdingová spoločnosť alebo materská zmiešaná finančná holdingová spoločnosť;</w:t>
      </w:r>
    </w:p>
    <w:p w14:paraId="35F8CA21" w14:textId="22AD810C" w:rsidR="008C5976" w:rsidRPr="004F01E9" w:rsidRDefault="008C5976" w:rsidP="008C5976">
      <w:pPr>
        <w:pStyle w:val="Point2"/>
        <w:rPr>
          <w:noProof/>
        </w:rPr>
      </w:pPr>
      <w:r w:rsidRPr="004F01E9">
        <w:rPr>
          <w:noProof/>
        </w:rPr>
        <w:t>c)</w:t>
      </w:r>
      <w:r w:rsidRPr="004F01E9">
        <w:rPr>
          <w:noProof/>
        </w:rPr>
        <w:tab/>
        <w:t>samotná inštitúcia nemá dcérsku spoločnosť</w:t>
      </w:r>
      <w:r w:rsidR="004F01E9">
        <w:rPr>
          <w:noProof/>
        </w:rPr>
        <w:t xml:space="preserve"> a </w:t>
      </w:r>
      <w:r w:rsidRPr="004F01E9">
        <w:rPr>
          <w:noProof/>
        </w:rPr>
        <w:t>nemá žiadne účasti</w:t>
      </w:r>
      <w:r w:rsidR="004F01E9">
        <w:rPr>
          <w:noProof/>
        </w:rPr>
        <w:t xml:space="preserve"> v </w:t>
      </w:r>
      <w:r w:rsidRPr="004F01E9">
        <w:rPr>
          <w:noProof/>
        </w:rPr>
        <w:t>inej inštitúcii či finančnej inštitúcii;“;</w:t>
      </w:r>
    </w:p>
    <w:p w14:paraId="246F248A" w14:textId="230884F3" w:rsidR="008C5976" w:rsidRPr="004F01E9" w:rsidRDefault="00F66901" w:rsidP="001F5DEB">
      <w:pPr>
        <w:pStyle w:val="Point1"/>
        <w:rPr>
          <w:noProof/>
        </w:rPr>
      </w:pPr>
      <w:r w:rsidRPr="004F01E9">
        <w:rPr>
          <w:noProof/>
        </w:rPr>
        <w:t>j)</w:t>
      </w:r>
      <w:r w:rsidRPr="004F01E9">
        <w:rPr>
          <w:noProof/>
        </w:rPr>
        <w:tab/>
        <w:t>V bode 37 sa odkaz „</w:t>
      </w:r>
      <w:r w:rsidRPr="004F01E9">
        <w:rPr>
          <w:noProof/>
          <w:shd w:val="clear" w:color="auto" w:fill="FFFFFF"/>
        </w:rPr>
        <w:t>článku 1 smernice 83/349/EHS“ nahrádza odkazom „článku 22 smernice 2013/34/EÚ“;</w:t>
      </w:r>
    </w:p>
    <w:p w14:paraId="614B708B" w14:textId="77777777" w:rsidR="00806B81" w:rsidRPr="004F01E9" w:rsidRDefault="00F66901" w:rsidP="001F5DEB">
      <w:pPr>
        <w:pStyle w:val="Point1"/>
        <w:rPr>
          <w:noProof/>
        </w:rPr>
      </w:pPr>
      <w:r w:rsidRPr="004F01E9">
        <w:rPr>
          <w:noProof/>
        </w:rPr>
        <w:t>k)</w:t>
      </w:r>
      <w:r w:rsidRPr="004F01E9">
        <w:rPr>
          <w:noProof/>
        </w:rPr>
        <w:tab/>
        <w:t>Bod 52 sa nahrádza takto:</w:t>
      </w:r>
    </w:p>
    <w:p w14:paraId="7105C1E2" w14:textId="7ECE00AC" w:rsidR="008C5976" w:rsidRPr="004F01E9" w:rsidRDefault="008C5976" w:rsidP="00615061">
      <w:pPr>
        <w:pStyle w:val="Text2"/>
        <w:rPr>
          <w:noProof/>
        </w:rPr>
      </w:pPr>
      <w:r w:rsidRPr="004F01E9">
        <w:rPr>
          <w:noProof/>
        </w:rPr>
        <w:t>„52) „operačné riziko“ je riziko straty vyplývajúce</w:t>
      </w:r>
      <w:r w:rsidR="004F01E9">
        <w:rPr>
          <w:noProof/>
        </w:rPr>
        <w:t xml:space="preserve"> z </w:t>
      </w:r>
      <w:r w:rsidRPr="004F01E9">
        <w:rPr>
          <w:noProof/>
        </w:rPr>
        <w:t>neprimeraných alebo chybných interných postupov, zo zlyhania ľudského faktora</w:t>
      </w:r>
      <w:r w:rsidR="004F01E9">
        <w:rPr>
          <w:noProof/>
        </w:rPr>
        <w:t xml:space="preserve"> a </w:t>
      </w:r>
      <w:r w:rsidRPr="004F01E9">
        <w:rPr>
          <w:noProof/>
        </w:rPr>
        <w:t>systémov alebo zapríčinené vonkajšími udalosťami vrátane právneho rizika, rizika modelu</w:t>
      </w:r>
      <w:r w:rsidR="004F01E9">
        <w:rPr>
          <w:noProof/>
        </w:rPr>
        <w:t xml:space="preserve"> a </w:t>
      </w:r>
      <w:r w:rsidRPr="004F01E9">
        <w:rPr>
          <w:noProof/>
        </w:rPr>
        <w:t>rizika IKT, no nezahŕňa strategické riziko</w:t>
      </w:r>
      <w:r w:rsidR="004F01E9">
        <w:rPr>
          <w:noProof/>
        </w:rPr>
        <w:t xml:space="preserve"> a </w:t>
      </w:r>
      <w:r w:rsidRPr="004F01E9">
        <w:rPr>
          <w:noProof/>
        </w:rPr>
        <w:t>riziko straty dobrej povesti;“;</w:t>
      </w:r>
    </w:p>
    <w:p w14:paraId="04EBE79A" w14:textId="395E96F4" w:rsidR="008C5976" w:rsidRPr="004F01E9" w:rsidRDefault="00F66901" w:rsidP="001F5DEB">
      <w:pPr>
        <w:pStyle w:val="Point1"/>
        <w:rPr>
          <w:noProof/>
        </w:rPr>
      </w:pPr>
      <w:r w:rsidRPr="004F01E9">
        <w:rPr>
          <w:noProof/>
        </w:rPr>
        <w:t>l)</w:t>
      </w:r>
      <w:r w:rsidRPr="004F01E9">
        <w:rPr>
          <w:noProof/>
        </w:rPr>
        <w:tab/>
        <w:t>Vkladajú sa tieto body 52a až 52i:</w:t>
      </w:r>
    </w:p>
    <w:p w14:paraId="6069BE69" w14:textId="7B98099F" w:rsidR="00806B81" w:rsidRPr="004F01E9" w:rsidRDefault="008C5976" w:rsidP="00615061">
      <w:pPr>
        <w:pStyle w:val="Text2"/>
        <w:rPr>
          <w:noProof/>
        </w:rPr>
      </w:pPr>
      <w:r w:rsidRPr="004F01E9">
        <w:rPr>
          <w:noProof/>
        </w:rPr>
        <w:t>„52a)</w:t>
      </w:r>
      <w:r w:rsidRPr="004F01E9">
        <w:rPr>
          <w:noProof/>
        </w:rPr>
        <w:tab/>
        <w:t>„právne riziko“ sú straty vrátane nákladov, pokút, sankcií alebo represívnych náhrad škody, ktoré sú spôsobené udalosťami vedúcimi</w:t>
      </w:r>
      <w:r w:rsidR="004F01E9">
        <w:rPr>
          <w:noProof/>
        </w:rPr>
        <w:t xml:space="preserve"> k </w:t>
      </w:r>
      <w:r w:rsidRPr="004F01E9">
        <w:rPr>
          <w:noProof/>
        </w:rPr>
        <w:t>súdnym konaniam, vrátane:</w:t>
      </w:r>
    </w:p>
    <w:p w14:paraId="2680A9E0" w14:textId="5D70B5ED" w:rsidR="008C5976" w:rsidRPr="004F01E9" w:rsidRDefault="008C5976" w:rsidP="008C5976">
      <w:pPr>
        <w:pStyle w:val="Point2"/>
        <w:rPr>
          <w:noProof/>
        </w:rPr>
      </w:pPr>
      <w:r w:rsidRPr="004F01E9">
        <w:rPr>
          <w:noProof/>
        </w:rPr>
        <w:t>a)</w:t>
      </w:r>
      <w:r w:rsidRPr="004F01E9">
        <w:rPr>
          <w:noProof/>
        </w:rPr>
        <w:tab/>
        <w:t>opatrení dohľadu</w:t>
      </w:r>
      <w:r w:rsidR="004F01E9">
        <w:rPr>
          <w:noProof/>
        </w:rPr>
        <w:t xml:space="preserve"> a </w:t>
      </w:r>
      <w:r w:rsidRPr="004F01E9">
        <w:rPr>
          <w:noProof/>
        </w:rPr>
        <w:t>súkromných vyrovnaní;</w:t>
      </w:r>
    </w:p>
    <w:p w14:paraId="3101AECC" w14:textId="1B063268" w:rsidR="008C5976" w:rsidRPr="004F01E9" w:rsidRDefault="008C5976" w:rsidP="008C5976">
      <w:pPr>
        <w:pStyle w:val="Point2"/>
        <w:rPr>
          <w:noProof/>
        </w:rPr>
      </w:pPr>
      <w:r w:rsidRPr="004F01E9">
        <w:rPr>
          <w:noProof/>
        </w:rPr>
        <w:t>b)</w:t>
      </w:r>
      <w:r w:rsidRPr="004F01E9">
        <w:rPr>
          <w:noProof/>
        </w:rPr>
        <w:tab/>
        <w:t>nečinnosti, ak je na splnenie právnej povinnosti potrebné konanie;</w:t>
      </w:r>
    </w:p>
    <w:p w14:paraId="289B9955" w14:textId="41DDB8A8" w:rsidR="008C5976" w:rsidRPr="004F01E9" w:rsidRDefault="008C5976" w:rsidP="008C5976">
      <w:pPr>
        <w:pStyle w:val="Point2"/>
        <w:rPr>
          <w:noProof/>
        </w:rPr>
      </w:pPr>
      <w:r w:rsidRPr="004F01E9">
        <w:rPr>
          <w:noProof/>
        </w:rPr>
        <w:t>c)</w:t>
      </w:r>
      <w:r w:rsidRPr="004F01E9">
        <w:rPr>
          <w:noProof/>
        </w:rPr>
        <w:tab/>
        <w:t>konania uskutočneného</w:t>
      </w:r>
      <w:r w:rsidR="004F01E9">
        <w:rPr>
          <w:noProof/>
        </w:rPr>
        <w:t xml:space="preserve"> s </w:t>
      </w:r>
      <w:r w:rsidRPr="004F01E9">
        <w:rPr>
          <w:noProof/>
        </w:rPr>
        <w:t>cieľom vyhnúť sa splneniu právnej povinnosti;</w:t>
      </w:r>
    </w:p>
    <w:p w14:paraId="26F93E4F" w14:textId="08C3D819" w:rsidR="00806B81" w:rsidRPr="004F01E9" w:rsidRDefault="008C5976" w:rsidP="008C5976">
      <w:pPr>
        <w:pStyle w:val="Point2"/>
        <w:rPr>
          <w:noProof/>
        </w:rPr>
      </w:pPr>
      <w:r w:rsidRPr="004F01E9">
        <w:rPr>
          <w:noProof/>
        </w:rPr>
        <w:t>d)</w:t>
      </w:r>
      <w:r w:rsidRPr="004F01E9">
        <w:rPr>
          <w:noProof/>
        </w:rPr>
        <w:tab/>
        <w:t>udalostí vyvolaných pochybením, čo sú udalosti, ktoré vyplývajú</w:t>
      </w:r>
      <w:r w:rsidR="004F01E9">
        <w:rPr>
          <w:noProof/>
        </w:rPr>
        <w:t xml:space="preserve"> z </w:t>
      </w:r>
      <w:r w:rsidRPr="004F01E9">
        <w:rPr>
          <w:noProof/>
        </w:rPr>
        <w:t>úmyselného pochybenia alebo pochybenia</w:t>
      </w:r>
      <w:r w:rsidR="004F01E9">
        <w:rPr>
          <w:noProof/>
        </w:rPr>
        <w:t xml:space="preserve"> z </w:t>
      </w:r>
      <w:r w:rsidRPr="004F01E9">
        <w:rPr>
          <w:noProof/>
        </w:rPr>
        <w:t>nedbanlivosti vrátane neprimeraného poskytovania finančných služieb;</w:t>
      </w:r>
    </w:p>
    <w:p w14:paraId="28428A3E" w14:textId="00C00793" w:rsidR="008C5976" w:rsidRPr="004F01E9" w:rsidRDefault="008C5976" w:rsidP="008C5976">
      <w:pPr>
        <w:pStyle w:val="Point2"/>
        <w:rPr>
          <w:noProof/>
        </w:rPr>
      </w:pPr>
      <w:r w:rsidRPr="004F01E9">
        <w:rPr>
          <w:noProof/>
        </w:rPr>
        <w:t>e)</w:t>
      </w:r>
      <w:r w:rsidRPr="004F01E9">
        <w:rPr>
          <w:noProof/>
        </w:rPr>
        <w:tab/>
        <w:t>nedodržania akejkoľvek požiadavky odvodenej</w:t>
      </w:r>
      <w:r w:rsidR="004F01E9">
        <w:rPr>
          <w:noProof/>
        </w:rPr>
        <w:t xml:space="preserve"> z </w:t>
      </w:r>
      <w:r w:rsidRPr="004F01E9">
        <w:rPr>
          <w:noProof/>
        </w:rPr>
        <w:t>vnútroštátnych alebo medzinárodných štatutárnych či legislatívnych ustanovení;</w:t>
      </w:r>
    </w:p>
    <w:p w14:paraId="1BBE362E" w14:textId="59D50967" w:rsidR="008C5976" w:rsidRPr="004F01E9" w:rsidRDefault="008C5976" w:rsidP="008C5976">
      <w:pPr>
        <w:pStyle w:val="Point2"/>
        <w:rPr>
          <w:noProof/>
        </w:rPr>
      </w:pPr>
      <w:r w:rsidRPr="004F01E9">
        <w:rPr>
          <w:noProof/>
        </w:rPr>
        <w:t>f)</w:t>
      </w:r>
      <w:r w:rsidRPr="004F01E9">
        <w:rPr>
          <w:noProof/>
        </w:rPr>
        <w:tab/>
        <w:t>nedodržania akejkoľvek požiadavky odvodenej zo zmluvných dohôd alebo nedodržania interných pravidiel</w:t>
      </w:r>
      <w:r w:rsidR="004F01E9">
        <w:rPr>
          <w:noProof/>
        </w:rPr>
        <w:t xml:space="preserve"> a </w:t>
      </w:r>
      <w:r w:rsidRPr="004F01E9">
        <w:rPr>
          <w:noProof/>
        </w:rPr>
        <w:t>kódexov správania vypracovaných</w:t>
      </w:r>
      <w:r w:rsidR="004F01E9">
        <w:rPr>
          <w:noProof/>
        </w:rPr>
        <w:t xml:space="preserve"> v </w:t>
      </w:r>
      <w:r w:rsidRPr="004F01E9">
        <w:rPr>
          <w:noProof/>
        </w:rPr>
        <w:t>súlade</w:t>
      </w:r>
      <w:r w:rsidR="004F01E9">
        <w:rPr>
          <w:noProof/>
        </w:rPr>
        <w:t xml:space="preserve"> s </w:t>
      </w:r>
      <w:r w:rsidRPr="004F01E9">
        <w:rPr>
          <w:noProof/>
        </w:rPr>
        <w:t>vnútroštátnymi alebo medzinárodnými normami</w:t>
      </w:r>
      <w:r w:rsidR="004F01E9">
        <w:rPr>
          <w:noProof/>
        </w:rPr>
        <w:t xml:space="preserve"> a </w:t>
      </w:r>
      <w:r w:rsidRPr="004F01E9">
        <w:rPr>
          <w:noProof/>
        </w:rPr>
        <w:t>postupmi;</w:t>
      </w:r>
    </w:p>
    <w:p w14:paraId="6B314B64" w14:textId="5A35C5A0" w:rsidR="008C5976" w:rsidRPr="004F01E9" w:rsidRDefault="008C5976" w:rsidP="008C5976">
      <w:pPr>
        <w:pStyle w:val="Point2"/>
        <w:rPr>
          <w:noProof/>
        </w:rPr>
      </w:pPr>
      <w:r w:rsidRPr="004F01E9">
        <w:rPr>
          <w:noProof/>
        </w:rPr>
        <w:t>g)</w:t>
      </w:r>
      <w:r w:rsidRPr="004F01E9">
        <w:rPr>
          <w:noProof/>
        </w:rPr>
        <w:tab/>
        <w:t>nedodržania etických pravidiel.</w:t>
      </w:r>
    </w:p>
    <w:p w14:paraId="6507D499" w14:textId="2F895B3A" w:rsidR="00806B81" w:rsidRPr="004F01E9" w:rsidRDefault="008C5976" w:rsidP="00615061">
      <w:pPr>
        <w:pStyle w:val="Text2"/>
        <w:rPr>
          <w:noProof/>
        </w:rPr>
      </w:pPr>
      <w:r w:rsidRPr="004F01E9">
        <w:rPr>
          <w:noProof/>
        </w:rPr>
        <w:t>Právne riziko nezahŕňa náhrady tretím stranám alebo zamestnancom ani platby goodwillu splatné</w:t>
      </w:r>
      <w:r w:rsidR="004F01E9">
        <w:rPr>
          <w:noProof/>
        </w:rPr>
        <w:t xml:space="preserve"> v </w:t>
      </w:r>
      <w:r w:rsidRPr="004F01E9">
        <w:rPr>
          <w:noProof/>
        </w:rPr>
        <w:t>dôsledku obchodných príležitostí, ak nedošlo</w:t>
      </w:r>
      <w:r w:rsidR="004F01E9">
        <w:rPr>
          <w:noProof/>
        </w:rPr>
        <w:t xml:space="preserve"> k </w:t>
      </w:r>
      <w:r w:rsidRPr="004F01E9">
        <w:rPr>
          <w:noProof/>
        </w:rPr>
        <w:t>žiadnemu porušeniu akýchkoľvek pravidiel alebo etického správania</w:t>
      </w:r>
      <w:r w:rsidR="004F01E9">
        <w:rPr>
          <w:noProof/>
        </w:rPr>
        <w:t xml:space="preserve"> a </w:t>
      </w:r>
      <w:r w:rsidRPr="004F01E9">
        <w:rPr>
          <w:noProof/>
        </w:rPr>
        <w:t>ak si inštitúcia včas splnila povinnosti; ani externé právne náklady, ak udalosť, ktorá spôsobila uvedené externé náklady, nie je udalosťou operačného rizika;</w:t>
      </w:r>
    </w:p>
    <w:p w14:paraId="1A2097B2" w14:textId="40C35CA4" w:rsidR="008C5976" w:rsidRPr="009C6487" w:rsidRDefault="001C50DD" w:rsidP="00615061">
      <w:pPr>
        <w:pStyle w:val="Text2"/>
        <w:rPr>
          <w:noProof/>
          <w:spacing w:val="-4"/>
        </w:rPr>
      </w:pPr>
      <w:r w:rsidRPr="009C6487">
        <w:rPr>
          <w:noProof/>
          <w:spacing w:val="-4"/>
        </w:rPr>
        <w:t>52b)</w:t>
      </w:r>
      <w:r w:rsidRPr="009C6487">
        <w:rPr>
          <w:noProof/>
          <w:spacing w:val="-4"/>
        </w:rPr>
        <w:tab/>
        <w:t>„riziko modelu“ je strata, ktorá môže inštitúcii vzniknúť</w:t>
      </w:r>
      <w:r w:rsidR="004F01E9" w:rsidRPr="009C6487">
        <w:rPr>
          <w:noProof/>
          <w:spacing w:val="-4"/>
        </w:rPr>
        <w:t xml:space="preserve"> v </w:t>
      </w:r>
      <w:r w:rsidRPr="009C6487">
        <w:rPr>
          <w:noProof/>
          <w:spacing w:val="-4"/>
        </w:rPr>
        <w:t>dôsledku rozhodnutí, ktoré by sa mohli zakladať najmä na výsledkoch interných modelov,</w:t>
      </w:r>
      <w:r w:rsidR="004F01E9" w:rsidRPr="009C6487">
        <w:rPr>
          <w:noProof/>
          <w:spacing w:val="-4"/>
        </w:rPr>
        <w:t xml:space="preserve"> a </w:t>
      </w:r>
      <w:r w:rsidRPr="009C6487">
        <w:rPr>
          <w:noProof/>
          <w:spacing w:val="-4"/>
        </w:rPr>
        <w:t>to</w:t>
      </w:r>
      <w:r w:rsidR="004F01E9" w:rsidRPr="009C6487">
        <w:rPr>
          <w:noProof/>
          <w:spacing w:val="-4"/>
        </w:rPr>
        <w:t xml:space="preserve"> z </w:t>
      </w:r>
      <w:r w:rsidRPr="009C6487">
        <w:rPr>
          <w:noProof/>
          <w:spacing w:val="-4"/>
        </w:rPr>
        <w:t>dôvodu chýb pri ich vypracúvaní, uplatňovaní alebo používaní, vrátane;</w:t>
      </w:r>
    </w:p>
    <w:p w14:paraId="6F6853CA" w14:textId="3E0D513A" w:rsidR="008C5976" w:rsidRPr="004F01E9" w:rsidRDefault="008C5976" w:rsidP="008C5976">
      <w:pPr>
        <w:pStyle w:val="Point2"/>
        <w:rPr>
          <w:noProof/>
        </w:rPr>
      </w:pPr>
      <w:r w:rsidRPr="004F01E9">
        <w:rPr>
          <w:noProof/>
        </w:rPr>
        <w:t>a)</w:t>
      </w:r>
      <w:r w:rsidRPr="004F01E9">
        <w:rPr>
          <w:noProof/>
        </w:rPr>
        <w:tab/>
        <w:t>nesprávneho nastavenia zvoleného interného modelu</w:t>
      </w:r>
      <w:r w:rsidR="004F01E9">
        <w:rPr>
          <w:noProof/>
        </w:rPr>
        <w:t xml:space="preserve"> a </w:t>
      </w:r>
      <w:r w:rsidRPr="004F01E9">
        <w:rPr>
          <w:noProof/>
        </w:rPr>
        <w:t>jeho charakteristických znakov;</w:t>
      </w:r>
    </w:p>
    <w:p w14:paraId="10635B34" w14:textId="77777777" w:rsidR="008C5976" w:rsidRPr="004F01E9" w:rsidRDefault="008C5976" w:rsidP="008C5976">
      <w:pPr>
        <w:pStyle w:val="Point2"/>
        <w:rPr>
          <w:noProof/>
        </w:rPr>
      </w:pPr>
      <w:r w:rsidRPr="004F01E9">
        <w:rPr>
          <w:noProof/>
        </w:rPr>
        <w:t>b)</w:t>
      </w:r>
      <w:r w:rsidRPr="004F01E9">
        <w:rPr>
          <w:noProof/>
        </w:rPr>
        <w:tab/>
        <w:t>neprimeraného overenia vhodnosti zvoleného interného modelu pre finančný nástroj, ktorý sa má ohodnotiť, alebo pre produkt, ktorého cena sa má stanoviť, alebo neprimeraného overenia vhodnosti zvoleného interného modelu pre príslušné trhové podmienky;</w:t>
      </w:r>
    </w:p>
    <w:p w14:paraId="4EAEA63E" w14:textId="1FA9376B" w:rsidR="008C5976" w:rsidRPr="004F01E9" w:rsidRDefault="008C5976" w:rsidP="008C5976">
      <w:pPr>
        <w:pStyle w:val="Point2"/>
        <w:rPr>
          <w:noProof/>
        </w:rPr>
      </w:pPr>
      <w:r w:rsidRPr="004F01E9">
        <w:rPr>
          <w:noProof/>
        </w:rPr>
        <w:t>c)</w:t>
      </w:r>
      <w:r w:rsidRPr="004F01E9">
        <w:rPr>
          <w:noProof/>
        </w:rPr>
        <w:tab/>
        <w:t>chýb</w:t>
      </w:r>
      <w:r w:rsidR="004F01E9">
        <w:rPr>
          <w:noProof/>
        </w:rPr>
        <w:t xml:space="preserve"> v </w:t>
      </w:r>
      <w:r w:rsidRPr="004F01E9">
        <w:rPr>
          <w:noProof/>
        </w:rPr>
        <w:t>uplatňovaní zvoleného interného modelu;</w:t>
      </w:r>
    </w:p>
    <w:p w14:paraId="1D2C75E3" w14:textId="1D37000E" w:rsidR="008C5976" w:rsidRPr="004F01E9" w:rsidRDefault="008C5976" w:rsidP="008C5976">
      <w:pPr>
        <w:pStyle w:val="Point2"/>
        <w:rPr>
          <w:noProof/>
        </w:rPr>
      </w:pPr>
      <w:r w:rsidRPr="004F01E9">
        <w:rPr>
          <w:noProof/>
        </w:rPr>
        <w:t>d)</w:t>
      </w:r>
      <w:r w:rsidRPr="004F01E9">
        <w:rPr>
          <w:noProof/>
        </w:rPr>
        <w:tab/>
        <w:t>nesprávneho oceňovania trhovou cenou</w:t>
      </w:r>
      <w:r w:rsidR="004F01E9">
        <w:rPr>
          <w:noProof/>
        </w:rPr>
        <w:t xml:space="preserve"> a </w:t>
      </w:r>
      <w:r w:rsidRPr="004F01E9">
        <w:rPr>
          <w:noProof/>
        </w:rPr>
        <w:t>nesprávneho merania rizika</w:t>
      </w:r>
      <w:r w:rsidR="004F01E9">
        <w:rPr>
          <w:noProof/>
        </w:rPr>
        <w:t xml:space="preserve"> v </w:t>
      </w:r>
      <w:r w:rsidRPr="004F01E9">
        <w:rPr>
          <w:noProof/>
        </w:rPr>
        <w:t>dôsledku chyby pri zadávaní obchodu do obchodného systému;</w:t>
      </w:r>
    </w:p>
    <w:p w14:paraId="4DB34561" w14:textId="490AEEF3" w:rsidR="008C5976" w:rsidRPr="004F01E9" w:rsidRDefault="008C5976" w:rsidP="008C5976">
      <w:pPr>
        <w:pStyle w:val="Point2"/>
        <w:rPr>
          <w:noProof/>
        </w:rPr>
      </w:pPr>
      <w:r w:rsidRPr="004F01E9">
        <w:rPr>
          <w:noProof/>
        </w:rPr>
        <w:t>e)</w:t>
      </w:r>
      <w:r w:rsidRPr="004F01E9">
        <w:rPr>
          <w:noProof/>
        </w:rPr>
        <w:tab/>
        <w:t>použitia zvoleného interného modelu alebo jeho výstupov na účely, na ktoré uvedený model nebol určený alebo navrhnutý, vrátane manipulácie</w:t>
      </w:r>
      <w:r w:rsidR="004F01E9">
        <w:rPr>
          <w:noProof/>
        </w:rPr>
        <w:t xml:space="preserve"> s </w:t>
      </w:r>
      <w:r w:rsidRPr="004F01E9">
        <w:rPr>
          <w:noProof/>
        </w:rPr>
        <w:t>parametrami modelovania;</w:t>
      </w:r>
    </w:p>
    <w:p w14:paraId="02D395DB" w14:textId="31B96B48" w:rsidR="00806B81" w:rsidRPr="004F01E9" w:rsidRDefault="008C5976" w:rsidP="008C5976">
      <w:pPr>
        <w:pStyle w:val="Point2"/>
        <w:rPr>
          <w:noProof/>
        </w:rPr>
      </w:pPr>
      <w:r w:rsidRPr="004F01E9">
        <w:rPr>
          <w:noProof/>
        </w:rPr>
        <w:t>f)</w:t>
      </w:r>
      <w:r w:rsidRPr="004F01E9">
        <w:rPr>
          <w:noProof/>
        </w:rPr>
        <w:tab/>
        <w:t>nesprávne načasovaného</w:t>
      </w:r>
      <w:r w:rsidR="004F01E9">
        <w:rPr>
          <w:noProof/>
        </w:rPr>
        <w:t xml:space="preserve"> a </w:t>
      </w:r>
      <w:r w:rsidRPr="004F01E9">
        <w:rPr>
          <w:noProof/>
        </w:rPr>
        <w:t>neefektívneho monitorovania výkonnosti modelu na účely posúdenia toho, či je zvolený interný model naďalej vhodný na daný účel;</w:t>
      </w:r>
    </w:p>
    <w:p w14:paraId="5B0DD8F2" w14:textId="0D80A3BF" w:rsidR="008C5976" w:rsidRPr="004F01E9" w:rsidRDefault="008C5976" w:rsidP="00615061">
      <w:pPr>
        <w:pStyle w:val="Text2"/>
        <w:rPr>
          <w:noProof/>
        </w:rPr>
      </w:pPr>
      <w:r w:rsidRPr="004F01E9">
        <w:rPr>
          <w:noProof/>
        </w:rPr>
        <w:t>52c)</w:t>
      </w:r>
      <w:r w:rsidRPr="004F01E9">
        <w:rPr>
          <w:noProof/>
        </w:rPr>
        <w:tab/>
        <w:t>„riziko IKT“ je riziko strát alebo potenciálnych strát</w:t>
      </w:r>
      <w:r w:rsidR="004F01E9">
        <w:rPr>
          <w:noProof/>
        </w:rPr>
        <w:t xml:space="preserve"> v </w:t>
      </w:r>
      <w:r w:rsidRPr="004F01E9">
        <w:rPr>
          <w:noProof/>
        </w:rPr>
        <w:t>súvislosti</w:t>
      </w:r>
      <w:r w:rsidR="004F01E9">
        <w:rPr>
          <w:noProof/>
        </w:rPr>
        <w:t xml:space="preserve"> s </w:t>
      </w:r>
      <w:r w:rsidRPr="004F01E9">
        <w:rPr>
          <w:noProof/>
        </w:rPr>
        <w:t>používaním sieťových informačných systémov alebo komunikačných technológií vrátane narušenia dôvernosti, zlyhania systémov, nedostupnosti alebo nedostatočnej integrity údajov</w:t>
      </w:r>
      <w:r w:rsidR="004F01E9">
        <w:rPr>
          <w:noProof/>
        </w:rPr>
        <w:t xml:space="preserve"> a </w:t>
      </w:r>
      <w:r w:rsidRPr="004F01E9">
        <w:rPr>
          <w:noProof/>
        </w:rPr>
        <w:t>systémov</w:t>
      </w:r>
      <w:r w:rsidR="004F01E9">
        <w:rPr>
          <w:noProof/>
        </w:rPr>
        <w:t xml:space="preserve"> a </w:t>
      </w:r>
      <w:r w:rsidRPr="004F01E9">
        <w:rPr>
          <w:noProof/>
        </w:rPr>
        <w:t>kybernetického rizika;</w:t>
      </w:r>
    </w:p>
    <w:p w14:paraId="3D48A20B" w14:textId="7E7A8A28" w:rsidR="008C5976" w:rsidRPr="004F01E9" w:rsidRDefault="008C5976" w:rsidP="00615061">
      <w:pPr>
        <w:pStyle w:val="Text2"/>
        <w:rPr>
          <w:noProof/>
        </w:rPr>
      </w:pPr>
      <w:r w:rsidRPr="004F01E9">
        <w:rPr>
          <w:noProof/>
        </w:rPr>
        <w:t>52d)</w:t>
      </w:r>
      <w:r w:rsidRPr="004F01E9">
        <w:rPr>
          <w:noProof/>
        </w:rPr>
        <w:tab/>
        <w:t>„environmentálne</w:t>
      </w:r>
      <w:r w:rsidR="004F01E9">
        <w:rPr>
          <w:noProof/>
        </w:rPr>
        <w:t xml:space="preserve"> a </w:t>
      </w:r>
      <w:r w:rsidRPr="004F01E9">
        <w:rPr>
          <w:noProof/>
        </w:rPr>
        <w:t>sociálne riziko</w:t>
      </w:r>
      <w:r w:rsidR="004F01E9">
        <w:rPr>
          <w:noProof/>
        </w:rPr>
        <w:t xml:space="preserve"> a </w:t>
      </w:r>
      <w:r w:rsidRPr="004F01E9">
        <w:rPr>
          <w:noProof/>
        </w:rPr>
        <w:t>riziko</w:t>
      </w:r>
      <w:r w:rsidR="004F01E9">
        <w:rPr>
          <w:noProof/>
        </w:rPr>
        <w:t xml:space="preserve"> v </w:t>
      </w:r>
      <w:r w:rsidRPr="004F01E9">
        <w:rPr>
          <w:noProof/>
        </w:rPr>
        <w:t>oblasti správy</w:t>
      </w:r>
      <w:r w:rsidR="004F01E9">
        <w:rPr>
          <w:noProof/>
        </w:rPr>
        <w:t xml:space="preserve"> a </w:t>
      </w:r>
      <w:r w:rsidRPr="004F01E9">
        <w:rPr>
          <w:noProof/>
        </w:rPr>
        <w:t>riadenia“ (riziko ESG) je riziko strát, ktoré vyplývajú</w:t>
      </w:r>
      <w:r w:rsidR="004F01E9">
        <w:rPr>
          <w:noProof/>
        </w:rPr>
        <w:t xml:space="preserve"> z </w:t>
      </w:r>
      <w:r w:rsidRPr="004F01E9">
        <w:rPr>
          <w:noProof/>
        </w:rPr>
        <w:t>akéhokoľvek negatívneho finančného vplyvu na inštitúciu, ktorý je dôsledkom súčasných alebo budúcich vplyvov environmentálnych</w:t>
      </w:r>
      <w:r w:rsidR="004F01E9">
        <w:rPr>
          <w:noProof/>
        </w:rPr>
        <w:t xml:space="preserve"> a </w:t>
      </w:r>
      <w:r w:rsidRPr="004F01E9">
        <w:rPr>
          <w:noProof/>
        </w:rPr>
        <w:t>sociálnych faktorov</w:t>
      </w:r>
      <w:r w:rsidR="004F01E9">
        <w:rPr>
          <w:noProof/>
        </w:rPr>
        <w:t xml:space="preserve"> a </w:t>
      </w:r>
      <w:r w:rsidRPr="004F01E9">
        <w:rPr>
          <w:noProof/>
        </w:rPr>
        <w:t>faktorov</w:t>
      </w:r>
      <w:r w:rsidR="004F01E9">
        <w:rPr>
          <w:noProof/>
        </w:rPr>
        <w:t xml:space="preserve"> v </w:t>
      </w:r>
      <w:r w:rsidRPr="004F01E9">
        <w:rPr>
          <w:noProof/>
        </w:rPr>
        <w:t>oblasti správy</w:t>
      </w:r>
      <w:r w:rsidR="004F01E9">
        <w:rPr>
          <w:noProof/>
        </w:rPr>
        <w:t xml:space="preserve"> a </w:t>
      </w:r>
      <w:r w:rsidRPr="004F01E9">
        <w:rPr>
          <w:noProof/>
        </w:rPr>
        <w:t>riadenia (ESG) na protistrany alebo investované aktíva inštitúcie;</w:t>
      </w:r>
    </w:p>
    <w:p w14:paraId="267D4994" w14:textId="295968B3" w:rsidR="008C5976" w:rsidRPr="004F01E9" w:rsidRDefault="001C50DD" w:rsidP="00615061">
      <w:pPr>
        <w:pStyle w:val="Text2"/>
        <w:rPr>
          <w:noProof/>
        </w:rPr>
      </w:pPr>
      <w:r w:rsidRPr="004F01E9">
        <w:rPr>
          <w:noProof/>
        </w:rPr>
        <w:t>52e)</w:t>
      </w:r>
      <w:r w:rsidRPr="004F01E9">
        <w:rPr>
          <w:noProof/>
        </w:rPr>
        <w:tab/>
        <w:t>„environmentálne riziko“ je riziko strát, ktoré vyplývajú</w:t>
      </w:r>
      <w:r w:rsidR="004F01E9">
        <w:rPr>
          <w:noProof/>
        </w:rPr>
        <w:t xml:space="preserve"> z </w:t>
      </w:r>
      <w:r w:rsidRPr="004F01E9">
        <w:rPr>
          <w:noProof/>
        </w:rPr>
        <w:t>akéhokoľvek negatívneho finančného vplyvu na inštitúciu, ktorý je dôsledkom súčasných alebo budúcich vplyvov environmentálnych faktorov na protistrany alebo investované aktíva inštitúcie, vrátane faktorov súvisiacich</w:t>
      </w:r>
      <w:r w:rsidR="004F01E9">
        <w:rPr>
          <w:noProof/>
        </w:rPr>
        <w:t xml:space="preserve"> s </w:t>
      </w:r>
      <w:r w:rsidRPr="004F01E9">
        <w:rPr>
          <w:noProof/>
        </w:rPr>
        <w:t>transformáciou smerom</w:t>
      </w:r>
      <w:r w:rsidR="004F01E9">
        <w:rPr>
          <w:noProof/>
        </w:rPr>
        <w:t xml:space="preserve"> k </w:t>
      </w:r>
      <w:r w:rsidRPr="004F01E9">
        <w:rPr>
          <w:noProof/>
        </w:rPr>
        <w:t>týmto environmentálnym cieľom:</w:t>
      </w:r>
    </w:p>
    <w:p w14:paraId="2F7C747B" w14:textId="77777777" w:rsidR="008C5976" w:rsidRPr="004F01E9" w:rsidRDefault="008C5976" w:rsidP="008C5976">
      <w:pPr>
        <w:pStyle w:val="Point2"/>
        <w:rPr>
          <w:noProof/>
        </w:rPr>
      </w:pPr>
      <w:r w:rsidRPr="004F01E9">
        <w:rPr>
          <w:noProof/>
        </w:rPr>
        <w:t>a)</w:t>
      </w:r>
      <w:r w:rsidRPr="004F01E9">
        <w:rPr>
          <w:noProof/>
        </w:rPr>
        <w:tab/>
        <w:t>zmierňovanie zmeny klímy;</w:t>
      </w:r>
    </w:p>
    <w:p w14:paraId="548D519F" w14:textId="77777777" w:rsidR="008C5976" w:rsidRPr="004F01E9" w:rsidRDefault="008C5976" w:rsidP="008C5976">
      <w:pPr>
        <w:pStyle w:val="Point2"/>
        <w:rPr>
          <w:noProof/>
        </w:rPr>
      </w:pPr>
      <w:r w:rsidRPr="004F01E9">
        <w:rPr>
          <w:noProof/>
        </w:rPr>
        <w:t>b)</w:t>
      </w:r>
      <w:r w:rsidRPr="004F01E9">
        <w:rPr>
          <w:noProof/>
        </w:rPr>
        <w:tab/>
        <w:t>adaptácia na zmenu klímy;</w:t>
      </w:r>
    </w:p>
    <w:p w14:paraId="4C8130C7" w14:textId="23650F49" w:rsidR="008C5976" w:rsidRPr="004F01E9" w:rsidRDefault="008C5976" w:rsidP="008C5976">
      <w:pPr>
        <w:pStyle w:val="Point2"/>
        <w:rPr>
          <w:noProof/>
        </w:rPr>
      </w:pPr>
      <w:r w:rsidRPr="004F01E9">
        <w:rPr>
          <w:noProof/>
        </w:rPr>
        <w:t>c)</w:t>
      </w:r>
      <w:r w:rsidRPr="004F01E9">
        <w:rPr>
          <w:noProof/>
        </w:rPr>
        <w:tab/>
        <w:t>udržateľné využívanie</w:t>
      </w:r>
      <w:r w:rsidR="004F01E9">
        <w:rPr>
          <w:noProof/>
        </w:rPr>
        <w:t xml:space="preserve"> a </w:t>
      </w:r>
      <w:r w:rsidRPr="004F01E9">
        <w:rPr>
          <w:noProof/>
        </w:rPr>
        <w:t>ochrana vodných</w:t>
      </w:r>
      <w:r w:rsidR="004F01E9">
        <w:rPr>
          <w:noProof/>
        </w:rPr>
        <w:t xml:space="preserve"> a </w:t>
      </w:r>
      <w:r w:rsidRPr="004F01E9">
        <w:rPr>
          <w:noProof/>
        </w:rPr>
        <w:t>morských zdrojov;</w:t>
      </w:r>
    </w:p>
    <w:p w14:paraId="13393157" w14:textId="77777777" w:rsidR="008C5976" w:rsidRPr="004F01E9" w:rsidRDefault="008C5976" w:rsidP="008C5976">
      <w:pPr>
        <w:pStyle w:val="Point2"/>
        <w:rPr>
          <w:noProof/>
        </w:rPr>
      </w:pPr>
      <w:r w:rsidRPr="004F01E9">
        <w:rPr>
          <w:noProof/>
        </w:rPr>
        <w:t>d)</w:t>
      </w:r>
      <w:r w:rsidRPr="004F01E9">
        <w:rPr>
          <w:noProof/>
        </w:rPr>
        <w:tab/>
        <w:t>prechod na obehové hospodárstvo;</w:t>
      </w:r>
    </w:p>
    <w:p w14:paraId="1426916D" w14:textId="1055190C" w:rsidR="008C5976" w:rsidRPr="004F01E9" w:rsidRDefault="008C5976" w:rsidP="008C5976">
      <w:pPr>
        <w:pStyle w:val="Point2"/>
        <w:rPr>
          <w:noProof/>
        </w:rPr>
      </w:pPr>
      <w:r w:rsidRPr="004F01E9">
        <w:rPr>
          <w:noProof/>
        </w:rPr>
        <w:t>e)</w:t>
      </w:r>
      <w:r w:rsidRPr="004F01E9">
        <w:rPr>
          <w:noProof/>
        </w:rPr>
        <w:tab/>
        <w:t>prevencia</w:t>
      </w:r>
      <w:r w:rsidR="004F01E9">
        <w:rPr>
          <w:noProof/>
        </w:rPr>
        <w:t xml:space="preserve"> a </w:t>
      </w:r>
      <w:r w:rsidRPr="004F01E9">
        <w:rPr>
          <w:noProof/>
        </w:rPr>
        <w:t>kontrola znečisťovania;</w:t>
      </w:r>
    </w:p>
    <w:p w14:paraId="26A5CCA1" w14:textId="5CDDFC55" w:rsidR="008C5976" w:rsidRPr="004F01E9" w:rsidRDefault="008C5976" w:rsidP="008C5976">
      <w:pPr>
        <w:pStyle w:val="Point2"/>
        <w:rPr>
          <w:noProof/>
        </w:rPr>
      </w:pPr>
      <w:r w:rsidRPr="004F01E9">
        <w:rPr>
          <w:noProof/>
        </w:rPr>
        <w:t>f)</w:t>
      </w:r>
      <w:r w:rsidRPr="004F01E9">
        <w:rPr>
          <w:noProof/>
        </w:rPr>
        <w:tab/>
        <w:t>ochrana</w:t>
      </w:r>
      <w:r w:rsidR="004F01E9">
        <w:rPr>
          <w:noProof/>
        </w:rPr>
        <w:t xml:space="preserve"> a </w:t>
      </w:r>
      <w:r w:rsidRPr="004F01E9">
        <w:rPr>
          <w:noProof/>
        </w:rPr>
        <w:t>obnova biodiverzity</w:t>
      </w:r>
      <w:r w:rsidR="004F01E9">
        <w:rPr>
          <w:noProof/>
        </w:rPr>
        <w:t xml:space="preserve"> a </w:t>
      </w:r>
      <w:r w:rsidRPr="004F01E9">
        <w:rPr>
          <w:noProof/>
        </w:rPr>
        <w:t>ekosystémov.</w:t>
      </w:r>
    </w:p>
    <w:p w14:paraId="41A801A6" w14:textId="77777777" w:rsidR="008C5976" w:rsidRPr="004F01E9" w:rsidRDefault="008C5976" w:rsidP="00615061">
      <w:pPr>
        <w:pStyle w:val="Text2"/>
        <w:rPr>
          <w:noProof/>
        </w:rPr>
      </w:pPr>
      <w:r w:rsidRPr="004F01E9">
        <w:rPr>
          <w:noProof/>
        </w:rPr>
        <w:t>Environmentálne riziko zahŕňa fyzické riziko aj riziko prechodu;</w:t>
      </w:r>
    </w:p>
    <w:p w14:paraId="655409E1" w14:textId="698B0350" w:rsidR="008C5976" w:rsidRPr="009C6487" w:rsidRDefault="008C5976" w:rsidP="00615061">
      <w:pPr>
        <w:pStyle w:val="Text2"/>
        <w:rPr>
          <w:noProof/>
          <w:spacing w:val="-4"/>
        </w:rPr>
      </w:pPr>
      <w:r w:rsidRPr="009C6487">
        <w:rPr>
          <w:noProof/>
          <w:spacing w:val="-4"/>
        </w:rPr>
        <w:t>52f)</w:t>
      </w:r>
      <w:r w:rsidRPr="009C6487">
        <w:rPr>
          <w:noProof/>
          <w:spacing w:val="-4"/>
        </w:rPr>
        <w:tab/>
        <w:t>„fyzické riziko“</w:t>
      </w:r>
      <w:r w:rsidR="004F01E9" w:rsidRPr="009C6487">
        <w:rPr>
          <w:noProof/>
          <w:spacing w:val="-4"/>
        </w:rPr>
        <w:t xml:space="preserve"> v </w:t>
      </w:r>
      <w:r w:rsidRPr="009C6487">
        <w:rPr>
          <w:noProof/>
          <w:spacing w:val="-4"/>
        </w:rPr>
        <w:t>rámci celkového environmentálneho rizika je riziko strát, ktoré vyplývajú</w:t>
      </w:r>
      <w:r w:rsidR="004F01E9" w:rsidRPr="009C6487">
        <w:rPr>
          <w:noProof/>
          <w:spacing w:val="-4"/>
        </w:rPr>
        <w:t xml:space="preserve"> z </w:t>
      </w:r>
      <w:r w:rsidRPr="009C6487">
        <w:rPr>
          <w:noProof/>
          <w:spacing w:val="-4"/>
        </w:rPr>
        <w:t>akéhokoľvek negatívneho finančného vplyvu na inštitúciu, ktorý je dôsledkom súčasných alebo budúcich vplyvov fyzických účinkov environmentálnych faktorov na protistrany alebo investované aktíva inštitúcie;</w:t>
      </w:r>
    </w:p>
    <w:p w14:paraId="640BEF01" w14:textId="12A12C6A" w:rsidR="008C5976" w:rsidRPr="004F01E9" w:rsidRDefault="008C5976" w:rsidP="00615061">
      <w:pPr>
        <w:pStyle w:val="Text2"/>
        <w:rPr>
          <w:noProof/>
        </w:rPr>
      </w:pPr>
      <w:r w:rsidRPr="004F01E9">
        <w:rPr>
          <w:noProof/>
        </w:rPr>
        <w:t>52g)</w:t>
      </w:r>
      <w:r w:rsidRPr="004F01E9">
        <w:rPr>
          <w:noProof/>
        </w:rPr>
        <w:tab/>
        <w:t>„riziko prechodu“</w:t>
      </w:r>
      <w:r w:rsidR="004F01E9">
        <w:rPr>
          <w:noProof/>
        </w:rPr>
        <w:t xml:space="preserve"> v </w:t>
      </w:r>
      <w:r w:rsidRPr="004F01E9">
        <w:rPr>
          <w:noProof/>
        </w:rPr>
        <w:t>rámci celkového environmentálneho rizika je riziko strát, ktoré vyplývajú</w:t>
      </w:r>
      <w:r w:rsidR="004F01E9">
        <w:rPr>
          <w:noProof/>
        </w:rPr>
        <w:t xml:space="preserve"> z </w:t>
      </w:r>
      <w:r w:rsidRPr="004F01E9">
        <w:rPr>
          <w:noProof/>
        </w:rPr>
        <w:t>akéhokoľvek negatívneho finančného vplyvu na inštitúciu, ktorý je dôsledkom súčasných alebo budúcich vplyvov prechodu podnikateľských činností</w:t>
      </w:r>
      <w:r w:rsidR="004F01E9">
        <w:rPr>
          <w:noProof/>
        </w:rPr>
        <w:t xml:space="preserve"> a </w:t>
      </w:r>
      <w:r w:rsidRPr="004F01E9">
        <w:rPr>
          <w:noProof/>
        </w:rPr>
        <w:t>sektorov na environmentálne udržateľné hospodárstvo na protistrany alebo investované aktíva inštitúcie;</w:t>
      </w:r>
    </w:p>
    <w:p w14:paraId="38DCD347" w14:textId="10885531" w:rsidR="008C5976" w:rsidRPr="009C6487" w:rsidRDefault="008C5976" w:rsidP="00615061">
      <w:pPr>
        <w:pStyle w:val="Text2"/>
        <w:rPr>
          <w:noProof/>
          <w:spacing w:val="-6"/>
        </w:rPr>
      </w:pPr>
      <w:r w:rsidRPr="009C6487">
        <w:rPr>
          <w:noProof/>
          <w:spacing w:val="-6"/>
        </w:rPr>
        <w:t>52h)</w:t>
      </w:r>
      <w:r w:rsidRPr="009C6487">
        <w:rPr>
          <w:noProof/>
          <w:spacing w:val="-6"/>
        </w:rPr>
        <w:tab/>
        <w:t>„sociálne riziko“ je riziko strát, ktoré vyplývajú</w:t>
      </w:r>
      <w:r w:rsidR="004F01E9" w:rsidRPr="009C6487">
        <w:rPr>
          <w:noProof/>
          <w:spacing w:val="-6"/>
        </w:rPr>
        <w:t xml:space="preserve"> z </w:t>
      </w:r>
      <w:r w:rsidRPr="009C6487">
        <w:rPr>
          <w:noProof/>
          <w:spacing w:val="-6"/>
        </w:rPr>
        <w:t>akéhokoľvek negatívneho finančného vplyvu na inštitúciu, ktorý je dôsledkom súčasných alebo budúcich vplyvov sociálnych faktorov na protistrany alebo investované aktíva inštitúcie;</w:t>
      </w:r>
    </w:p>
    <w:p w14:paraId="0AA22370" w14:textId="5A25D040" w:rsidR="008C5976" w:rsidRPr="004F01E9" w:rsidRDefault="008C5976" w:rsidP="00615061">
      <w:pPr>
        <w:pStyle w:val="Text2"/>
        <w:rPr>
          <w:noProof/>
        </w:rPr>
      </w:pPr>
      <w:r w:rsidRPr="004F01E9">
        <w:rPr>
          <w:noProof/>
        </w:rPr>
        <w:t>52i)</w:t>
      </w:r>
      <w:r w:rsidRPr="004F01E9">
        <w:rPr>
          <w:noProof/>
        </w:rPr>
        <w:tab/>
        <w:t>„riziko</w:t>
      </w:r>
      <w:r w:rsidR="004F01E9">
        <w:rPr>
          <w:noProof/>
        </w:rPr>
        <w:t xml:space="preserve"> v </w:t>
      </w:r>
      <w:r w:rsidRPr="004F01E9">
        <w:rPr>
          <w:noProof/>
        </w:rPr>
        <w:t>oblasti správy</w:t>
      </w:r>
      <w:r w:rsidR="004F01E9">
        <w:rPr>
          <w:noProof/>
        </w:rPr>
        <w:t xml:space="preserve"> a </w:t>
      </w:r>
      <w:r w:rsidRPr="004F01E9">
        <w:rPr>
          <w:noProof/>
        </w:rPr>
        <w:t>riadenia“ je riziko strát, ktoré vyplývajú</w:t>
      </w:r>
      <w:r w:rsidR="004F01E9">
        <w:rPr>
          <w:noProof/>
        </w:rPr>
        <w:t xml:space="preserve"> z </w:t>
      </w:r>
      <w:r w:rsidRPr="004F01E9">
        <w:rPr>
          <w:noProof/>
        </w:rPr>
        <w:t>akéhokoľvek negatívneho finančného vplyvu na inštitúciu, ktorý je dôsledkom súčasných alebo budúcich vplyvov faktorov</w:t>
      </w:r>
      <w:r w:rsidR="004F01E9">
        <w:rPr>
          <w:noProof/>
        </w:rPr>
        <w:t xml:space="preserve"> v </w:t>
      </w:r>
      <w:r w:rsidRPr="004F01E9">
        <w:rPr>
          <w:noProof/>
        </w:rPr>
        <w:t>oblasti správy</w:t>
      </w:r>
      <w:r w:rsidR="004F01E9">
        <w:rPr>
          <w:noProof/>
        </w:rPr>
        <w:t xml:space="preserve"> a </w:t>
      </w:r>
      <w:r w:rsidRPr="004F01E9">
        <w:rPr>
          <w:noProof/>
        </w:rPr>
        <w:t>riadenia na protistrany alebo investované aktíva inštitúcie;</w:t>
      </w:r>
    </w:p>
    <w:p w14:paraId="09362E99" w14:textId="295A5FBC" w:rsidR="008C5976" w:rsidRPr="004F01E9" w:rsidRDefault="00F66901" w:rsidP="001F5DEB">
      <w:pPr>
        <w:pStyle w:val="Point1"/>
        <w:rPr>
          <w:noProof/>
        </w:rPr>
      </w:pPr>
      <w:r w:rsidRPr="004F01E9">
        <w:rPr>
          <w:noProof/>
        </w:rPr>
        <w:t>m)</w:t>
      </w:r>
      <w:r w:rsidRPr="004F01E9">
        <w:rPr>
          <w:noProof/>
        </w:rPr>
        <w:tab/>
        <w:t>Body 54, 55</w:t>
      </w:r>
      <w:r w:rsidR="004F01E9">
        <w:rPr>
          <w:noProof/>
        </w:rPr>
        <w:t xml:space="preserve"> a </w:t>
      </w:r>
      <w:r w:rsidRPr="004F01E9">
        <w:rPr>
          <w:noProof/>
        </w:rPr>
        <w:t>56 sa nahrádzajú takto:</w:t>
      </w:r>
    </w:p>
    <w:p w14:paraId="7EA64BD1" w14:textId="20765B14" w:rsidR="008C5976" w:rsidRPr="009C6487" w:rsidRDefault="008C5976" w:rsidP="00615061">
      <w:pPr>
        <w:pStyle w:val="Text2"/>
        <w:rPr>
          <w:noProof/>
          <w:spacing w:val="-4"/>
        </w:rPr>
      </w:pPr>
      <w:r w:rsidRPr="009C6487">
        <w:rPr>
          <w:noProof/>
          <w:spacing w:val="-4"/>
        </w:rPr>
        <w:t>„54) „pravdepodobnosť zlyhania“ alebo „PD“ je pravdepodobnosť zlyhania dlžníka</w:t>
      </w:r>
      <w:r w:rsidR="004F01E9" w:rsidRPr="009C6487">
        <w:rPr>
          <w:noProof/>
          <w:spacing w:val="-4"/>
        </w:rPr>
        <w:t xml:space="preserve"> v </w:t>
      </w:r>
      <w:r w:rsidRPr="009C6487">
        <w:rPr>
          <w:noProof/>
          <w:spacing w:val="-4"/>
        </w:rPr>
        <w:t>priebehu jedného roka</w:t>
      </w:r>
      <w:r w:rsidR="004F01E9" w:rsidRPr="009C6487">
        <w:rPr>
          <w:noProof/>
          <w:spacing w:val="-4"/>
        </w:rPr>
        <w:t xml:space="preserve"> a v </w:t>
      </w:r>
      <w:r w:rsidRPr="009C6487">
        <w:rPr>
          <w:noProof/>
          <w:spacing w:val="-4"/>
        </w:rPr>
        <w:t>kontexte rizika zníženia kvality pohľadávok</w:t>
      </w:r>
      <w:r w:rsidR="004F01E9" w:rsidRPr="009C6487">
        <w:rPr>
          <w:noProof/>
          <w:spacing w:val="-4"/>
        </w:rPr>
        <w:t xml:space="preserve"> z </w:t>
      </w:r>
      <w:r w:rsidRPr="009C6487">
        <w:rPr>
          <w:noProof/>
          <w:spacing w:val="-4"/>
        </w:rPr>
        <w:t>iných ako kreditných dôvodov je to pravdepodobnosť zníženia kvality pohľadávok</w:t>
      </w:r>
      <w:r w:rsidR="004F01E9" w:rsidRPr="009C6487">
        <w:rPr>
          <w:noProof/>
          <w:spacing w:val="-4"/>
        </w:rPr>
        <w:t xml:space="preserve"> z </w:t>
      </w:r>
      <w:r w:rsidRPr="009C6487">
        <w:rPr>
          <w:noProof/>
          <w:spacing w:val="-4"/>
        </w:rPr>
        <w:t>iných ako kreditných dôvodov</w:t>
      </w:r>
      <w:r w:rsidR="004F01E9" w:rsidRPr="009C6487">
        <w:rPr>
          <w:noProof/>
          <w:spacing w:val="-4"/>
        </w:rPr>
        <w:t xml:space="preserve"> v </w:t>
      </w:r>
      <w:r w:rsidRPr="009C6487">
        <w:rPr>
          <w:noProof/>
          <w:spacing w:val="-4"/>
        </w:rPr>
        <w:t>priebehu tohto jedného roka;</w:t>
      </w:r>
    </w:p>
    <w:p w14:paraId="4CB77F85" w14:textId="0B81785E" w:rsidR="008C5976" w:rsidRPr="009C6487" w:rsidRDefault="008C5976" w:rsidP="00615061">
      <w:pPr>
        <w:pStyle w:val="Text2"/>
        <w:rPr>
          <w:noProof/>
          <w:spacing w:val="-4"/>
        </w:rPr>
      </w:pPr>
      <w:r w:rsidRPr="009C6487">
        <w:rPr>
          <w:noProof/>
          <w:spacing w:val="-4"/>
        </w:rPr>
        <w:t>55) „strata</w:t>
      </w:r>
      <w:r w:rsidR="004F01E9" w:rsidRPr="009C6487">
        <w:rPr>
          <w:noProof/>
          <w:spacing w:val="-4"/>
        </w:rPr>
        <w:t xml:space="preserve"> v </w:t>
      </w:r>
      <w:r w:rsidRPr="009C6487">
        <w:rPr>
          <w:noProof/>
          <w:spacing w:val="-4"/>
        </w:rPr>
        <w:t>prípade zlyhania“ alebo „LGD“ je očakávaný pomer straty</w:t>
      </w:r>
      <w:r w:rsidR="004F01E9" w:rsidRPr="009C6487">
        <w:rPr>
          <w:noProof/>
          <w:spacing w:val="-4"/>
        </w:rPr>
        <w:t xml:space="preserve"> z </w:t>
      </w:r>
      <w:r w:rsidRPr="009C6487">
        <w:rPr>
          <w:noProof/>
          <w:spacing w:val="-4"/>
        </w:rPr>
        <w:t>expozície súvisiacej</w:t>
      </w:r>
      <w:r w:rsidR="004F01E9" w:rsidRPr="009C6487">
        <w:rPr>
          <w:noProof/>
          <w:spacing w:val="-4"/>
        </w:rPr>
        <w:t xml:space="preserve"> s </w:t>
      </w:r>
      <w:r w:rsidRPr="009C6487">
        <w:rPr>
          <w:noProof/>
          <w:spacing w:val="-4"/>
        </w:rPr>
        <w:t>jednou facilitou</w:t>
      </w:r>
      <w:r w:rsidR="004F01E9" w:rsidRPr="009C6487">
        <w:rPr>
          <w:noProof/>
          <w:spacing w:val="-4"/>
        </w:rPr>
        <w:t xml:space="preserve"> v </w:t>
      </w:r>
      <w:r w:rsidRPr="009C6487">
        <w:rPr>
          <w:noProof/>
          <w:spacing w:val="-4"/>
        </w:rPr>
        <w:t>dôsledku zlyhania dlžníka alebo facility</w:t>
      </w:r>
      <w:r w:rsidR="004F01E9" w:rsidRPr="009C6487">
        <w:rPr>
          <w:noProof/>
          <w:spacing w:val="-4"/>
        </w:rPr>
        <w:t xml:space="preserve"> k </w:t>
      </w:r>
      <w:r w:rsidRPr="009C6487">
        <w:rPr>
          <w:noProof/>
          <w:spacing w:val="-4"/>
        </w:rPr>
        <w:t>nesplatenej sume</w:t>
      </w:r>
      <w:r w:rsidR="004F01E9" w:rsidRPr="009C6487">
        <w:rPr>
          <w:noProof/>
          <w:spacing w:val="-4"/>
        </w:rPr>
        <w:t xml:space="preserve"> v </w:t>
      </w:r>
      <w:r w:rsidRPr="009C6487">
        <w:rPr>
          <w:noProof/>
          <w:spacing w:val="-4"/>
        </w:rPr>
        <w:t>momente zlyhania</w:t>
      </w:r>
      <w:r w:rsidR="004F01E9" w:rsidRPr="009C6487">
        <w:rPr>
          <w:noProof/>
          <w:spacing w:val="-4"/>
        </w:rPr>
        <w:t xml:space="preserve"> a v </w:t>
      </w:r>
      <w:r w:rsidRPr="009C6487">
        <w:rPr>
          <w:noProof/>
          <w:spacing w:val="-4"/>
        </w:rPr>
        <w:t>kontexte rizika zníženia kvality pohľadávok</w:t>
      </w:r>
      <w:r w:rsidR="004F01E9" w:rsidRPr="009C6487">
        <w:rPr>
          <w:noProof/>
          <w:spacing w:val="-4"/>
        </w:rPr>
        <w:t xml:space="preserve"> z </w:t>
      </w:r>
      <w:r w:rsidRPr="009C6487">
        <w:rPr>
          <w:noProof/>
          <w:spacing w:val="-4"/>
        </w:rPr>
        <w:t>iných ako kreditných dôvodov je to strata</w:t>
      </w:r>
      <w:r w:rsidR="004F01E9" w:rsidRPr="009C6487">
        <w:rPr>
          <w:noProof/>
          <w:spacing w:val="-4"/>
        </w:rPr>
        <w:t xml:space="preserve"> v </w:t>
      </w:r>
      <w:r w:rsidRPr="009C6487">
        <w:rPr>
          <w:noProof/>
          <w:spacing w:val="-4"/>
        </w:rPr>
        <w:t>prípade zníženia kvality pohľadávok</w:t>
      </w:r>
      <w:r w:rsidR="004F01E9" w:rsidRPr="009C6487">
        <w:rPr>
          <w:noProof/>
          <w:spacing w:val="-4"/>
        </w:rPr>
        <w:t xml:space="preserve"> z </w:t>
      </w:r>
      <w:r w:rsidRPr="009C6487">
        <w:rPr>
          <w:noProof/>
          <w:spacing w:val="-4"/>
        </w:rPr>
        <w:t>iných ako kreditných dôvodov, teda očakávaný pomer straty</w:t>
      </w:r>
      <w:r w:rsidR="004F01E9" w:rsidRPr="009C6487">
        <w:rPr>
          <w:noProof/>
          <w:spacing w:val="-4"/>
        </w:rPr>
        <w:t xml:space="preserve"> z </w:t>
      </w:r>
      <w:r w:rsidRPr="009C6487">
        <w:rPr>
          <w:noProof/>
          <w:spacing w:val="-4"/>
        </w:rPr>
        <w:t>expozície</w:t>
      </w:r>
      <w:r w:rsidR="004F01E9" w:rsidRPr="009C6487">
        <w:rPr>
          <w:noProof/>
          <w:spacing w:val="-4"/>
        </w:rPr>
        <w:t xml:space="preserve"> v </w:t>
      </w:r>
      <w:r w:rsidRPr="009C6487">
        <w:rPr>
          <w:noProof/>
          <w:spacing w:val="-4"/>
        </w:rPr>
        <w:t>dôsledku zníženia kvality pohľadávok</w:t>
      </w:r>
      <w:r w:rsidR="004F01E9" w:rsidRPr="009C6487">
        <w:rPr>
          <w:noProof/>
          <w:spacing w:val="-4"/>
        </w:rPr>
        <w:t xml:space="preserve"> z </w:t>
      </w:r>
      <w:r w:rsidRPr="009C6487">
        <w:rPr>
          <w:noProof/>
          <w:spacing w:val="-4"/>
        </w:rPr>
        <w:t>iných ako kreditných dôvodov</w:t>
      </w:r>
      <w:r w:rsidR="004F01E9" w:rsidRPr="009C6487">
        <w:rPr>
          <w:noProof/>
          <w:spacing w:val="-4"/>
        </w:rPr>
        <w:t xml:space="preserve"> k </w:t>
      </w:r>
      <w:r w:rsidRPr="009C6487">
        <w:rPr>
          <w:noProof/>
          <w:spacing w:val="-4"/>
        </w:rPr>
        <w:t>nesplatenej sume na základe založenej alebo odkúpenej pohľadávky;</w:t>
      </w:r>
    </w:p>
    <w:p w14:paraId="36A3EF0D" w14:textId="12121E87" w:rsidR="008C5976" w:rsidRPr="004F01E9" w:rsidRDefault="008C5976" w:rsidP="00615061">
      <w:pPr>
        <w:pStyle w:val="Text2"/>
        <w:rPr>
          <w:noProof/>
        </w:rPr>
      </w:pPr>
      <w:r w:rsidRPr="004F01E9">
        <w:rPr>
          <w:noProof/>
        </w:rPr>
        <w:t>56) „konverzný faktor“ alebo „konverzný faktor úverov“ alebo „CCF“ je očakávaný pomer aktuálne nevyčerpanej sumy prísľubu</w:t>
      </w:r>
      <w:r w:rsidR="004F01E9">
        <w:rPr>
          <w:noProof/>
        </w:rPr>
        <w:t xml:space="preserve"> z </w:t>
      </w:r>
      <w:r w:rsidRPr="004F01E9">
        <w:rPr>
          <w:noProof/>
        </w:rPr>
        <w:t>jednej facility, ktorý by sa mohol čerpať</w:t>
      </w:r>
      <w:r w:rsidR="004F01E9">
        <w:rPr>
          <w:noProof/>
        </w:rPr>
        <w:t xml:space="preserve"> z </w:t>
      </w:r>
      <w:r w:rsidRPr="004F01E9">
        <w:rPr>
          <w:noProof/>
        </w:rPr>
        <w:t>jednej facility pred zlyhaním,</w:t>
      </w:r>
      <w:r w:rsidR="004F01E9">
        <w:rPr>
          <w:noProof/>
        </w:rPr>
        <w:t xml:space="preserve"> a </w:t>
      </w:r>
      <w:r w:rsidRPr="004F01E9">
        <w:rPr>
          <w:noProof/>
        </w:rPr>
        <w:t>ktorý by preto bol nesplatený</w:t>
      </w:r>
      <w:r w:rsidR="004F01E9">
        <w:rPr>
          <w:noProof/>
        </w:rPr>
        <w:t xml:space="preserve"> v </w:t>
      </w:r>
      <w:r w:rsidRPr="004F01E9">
        <w:rPr>
          <w:noProof/>
        </w:rPr>
        <w:t>momente zlyhania,</w:t>
      </w:r>
      <w:r w:rsidR="004F01E9">
        <w:rPr>
          <w:noProof/>
        </w:rPr>
        <w:t xml:space="preserve"> k </w:t>
      </w:r>
      <w:r w:rsidRPr="004F01E9">
        <w:rPr>
          <w:noProof/>
        </w:rPr>
        <w:t>aktuálne nevyčerpanej sume prísľubu</w:t>
      </w:r>
      <w:r w:rsidR="004F01E9">
        <w:rPr>
          <w:noProof/>
        </w:rPr>
        <w:t xml:space="preserve"> z </w:t>
      </w:r>
      <w:r w:rsidRPr="004F01E9">
        <w:rPr>
          <w:noProof/>
        </w:rPr>
        <w:t>uvedenej facility, pričom rozsah prísľubu sa určuje na základe oznámeného limitu, pokiaľ nie je neoznámený limit vyšší;“;</w:t>
      </w:r>
    </w:p>
    <w:p w14:paraId="4A16A87A" w14:textId="76C4B636" w:rsidR="008C5976" w:rsidRPr="004F01E9" w:rsidRDefault="00F66901" w:rsidP="001F5DEB">
      <w:pPr>
        <w:pStyle w:val="Point1"/>
        <w:rPr>
          <w:noProof/>
        </w:rPr>
      </w:pPr>
      <w:r w:rsidRPr="004F01E9">
        <w:rPr>
          <w:noProof/>
        </w:rPr>
        <w:t>n)</w:t>
      </w:r>
      <w:r w:rsidRPr="004F01E9">
        <w:rPr>
          <w:noProof/>
        </w:rPr>
        <w:tab/>
        <w:t>Vkladá sa tento bod 56a:</w:t>
      </w:r>
    </w:p>
    <w:p w14:paraId="624A3998" w14:textId="4BFE8D29" w:rsidR="008C5976" w:rsidRPr="004F01E9" w:rsidRDefault="00A35A7D" w:rsidP="00615061">
      <w:pPr>
        <w:pStyle w:val="Text2"/>
        <w:rPr>
          <w:noProof/>
        </w:rPr>
      </w:pPr>
      <w:r w:rsidRPr="004F01E9">
        <w:rPr>
          <w:noProof/>
        </w:rPr>
        <w:t>„56a) „realizovaný CCF“ je pomer vyčerpanej sumy prísľubu</w:t>
      </w:r>
      <w:r w:rsidR="004F01E9">
        <w:rPr>
          <w:noProof/>
        </w:rPr>
        <w:t xml:space="preserve"> z </w:t>
      </w:r>
      <w:r w:rsidRPr="004F01E9">
        <w:rPr>
          <w:noProof/>
        </w:rPr>
        <w:t>jednej facility, ktorý bol nevyčerpaný</w:t>
      </w:r>
      <w:r w:rsidR="004F01E9">
        <w:rPr>
          <w:noProof/>
        </w:rPr>
        <w:t xml:space="preserve"> k </w:t>
      </w:r>
      <w:r w:rsidRPr="004F01E9">
        <w:rPr>
          <w:noProof/>
        </w:rPr>
        <w:t>danému referenčnému dátumu pred zlyhaním,</w:t>
      </w:r>
      <w:r w:rsidR="004F01E9">
        <w:rPr>
          <w:noProof/>
        </w:rPr>
        <w:t xml:space="preserve"> a </w:t>
      </w:r>
      <w:r w:rsidRPr="004F01E9">
        <w:rPr>
          <w:noProof/>
        </w:rPr>
        <w:t>ktorý je preto nesplatený</w:t>
      </w:r>
      <w:r w:rsidR="004F01E9">
        <w:rPr>
          <w:noProof/>
        </w:rPr>
        <w:t xml:space="preserve"> v </w:t>
      </w:r>
      <w:r w:rsidRPr="004F01E9">
        <w:rPr>
          <w:noProof/>
        </w:rPr>
        <w:t>momente zlyhania,</w:t>
      </w:r>
      <w:r w:rsidR="004F01E9">
        <w:rPr>
          <w:noProof/>
        </w:rPr>
        <w:t xml:space="preserve"> k </w:t>
      </w:r>
      <w:r w:rsidRPr="004F01E9">
        <w:rPr>
          <w:noProof/>
        </w:rPr>
        <w:t>nevyčerpanej sume prísľubu</w:t>
      </w:r>
      <w:r w:rsidR="004F01E9">
        <w:rPr>
          <w:noProof/>
        </w:rPr>
        <w:t xml:space="preserve"> z </w:t>
      </w:r>
      <w:r w:rsidRPr="004F01E9">
        <w:rPr>
          <w:noProof/>
        </w:rPr>
        <w:t>uvedenej facility</w:t>
      </w:r>
      <w:r w:rsidR="004F01E9">
        <w:rPr>
          <w:noProof/>
        </w:rPr>
        <w:t xml:space="preserve"> k </w:t>
      </w:r>
      <w:r w:rsidRPr="004F01E9">
        <w:rPr>
          <w:noProof/>
        </w:rPr>
        <w:t>uvedenému referenčnému dátumu;’;</w:t>
      </w:r>
    </w:p>
    <w:p w14:paraId="54905DED" w14:textId="1139FC22" w:rsidR="008C5976" w:rsidRPr="004F01E9" w:rsidRDefault="00F66901" w:rsidP="001F5DEB">
      <w:pPr>
        <w:pStyle w:val="Point1"/>
        <w:rPr>
          <w:noProof/>
        </w:rPr>
      </w:pPr>
      <w:r w:rsidRPr="004F01E9">
        <w:rPr>
          <w:noProof/>
        </w:rPr>
        <w:t>o)</w:t>
      </w:r>
      <w:r w:rsidRPr="004F01E9">
        <w:rPr>
          <w:noProof/>
        </w:rPr>
        <w:tab/>
        <w:t>Body 58, 59</w:t>
      </w:r>
      <w:r w:rsidR="004F01E9">
        <w:rPr>
          <w:noProof/>
        </w:rPr>
        <w:t xml:space="preserve"> a </w:t>
      </w:r>
      <w:r w:rsidRPr="004F01E9">
        <w:rPr>
          <w:noProof/>
        </w:rPr>
        <w:t>60 sa nahrádzajú takto:</w:t>
      </w:r>
    </w:p>
    <w:p w14:paraId="4170218B" w14:textId="6E8BEF5B" w:rsidR="008C5976" w:rsidRPr="004F01E9" w:rsidRDefault="008C5976" w:rsidP="00615061">
      <w:pPr>
        <w:pStyle w:val="Text2"/>
        <w:rPr>
          <w:noProof/>
        </w:rPr>
      </w:pPr>
      <w:r w:rsidRPr="004F01E9">
        <w:rPr>
          <w:noProof/>
        </w:rPr>
        <w:t>„58) „financované kreditné zabezpečenie“ alebo „FCP“ je postup zmierňovania kreditného rizika,</w:t>
      </w:r>
      <w:r w:rsidR="004F01E9">
        <w:rPr>
          <w:noProof/>
        </w:rPr>
        <w:t xml:space="preserve"> v </w:t>
      </w:r>
      <w:r w:rsidRPr="004F01E9">
        <w:rPr>
          <w:noProof/>
        </w:rPr>
        <w:t>rámci ktorého je zníženie kreditného rizika expozície inštitúcie odvodené</w:t>
      </w:r>
      <w:r w:rsidR="004F01E9">
        <w:rPr>
          <w:noProof/>
        </w:rPr>
        <w:t xml:space="preserve"> z </w:t>
      </w:r>
      <w:r w:rsidRPr="004F01E9">
        <w:rPr>
          <w:noProof/>
        </w:rPr>
        <w:t>práva tejto inštitúcie –</w:t>
      </w:r>
      <w:r w:rsidR="004F01E9">
        <w:rPr>
          <w:noProof/>
        </w:rPr>
        <w:t xml:space="preserve"> v </w:t>
      </w:r>
      <w:r w:rsidRPr="004F01E9">
        <w:rPr>
          <w:noProof/>
        </w:rPr>
        <w:t>prípade zlyhania dlžníka alebo pri výskyte iných bližšie určených kreditných udalostí vzťahujúcich sa na dlžníka – speňažiť určité aktíva alebo hodnoty, alebo ich získať prevodom alebo prisvojením, alebo si ich ponechať, alebo znížiť hodnotu expozície na výšku rozdielu medzi hodnotou expozície</w:t>
      </w:r>
      <w:r w:rsidR="004F01E9">
        <w:rPr>
          <w:noProof/>
        </w:rPr>
        <w:t xml:space="preserve"> a </w:t>
      </w:r>
      <w:r w:rsidRPr="004F01E9">
        <w:rPr>
          <w:noProof/>
        </w:rPr>
        <w:t>výškou pohľadávky voči inštitúcii, alebo ju týmto rozdielom nahradiť;</w:t>
      </w:r>
    </w:p>
    <w:p w14:paraId="05C3A02D" w14:textId="51FD90FE" w:rsidR="008C5976" w:rsidRPr="004F01E9" w:rsidRDefault="008C5976" w:rsidP="00615061">
      <w:pPr>
        <w:pStyle w:val="Text2"/>
        <w:rPr>
          <w:noProof/>
        </w:rPr>
      </w:pPr>
      <w:r w:rsidRPr="004F01E9">
        <w:rPr>
          <w:noProof/>
        </w:rPr>
        <w:t>59) „nefinancované kreditné zabezpečenie“ alebo „UFCP“ je postup zmierňovania kreditného rizika,</w:t>
      </w:r>
      <w:r w:rsidR="004F01E9">
        <w:rPr>
          <w:noProof/>
        </w:rPr>
        <w:t xml:space="preserve"> v </w:t>
      </w:r>
      <w:r w:rsidRPr="004F01E9">
        <w:rPr>
          <w:noProof/>
        </w:rPr>
        <w:t>rámci ktorého je zníženie kreditného rizika expozície inštitúcie odvodené zo záväzku tretej strany zaplatiť istú hodnotu</w:t>
      </w:r>
      <w:r w:rsidR="004F01E9">
        <w:rPr>
          <w:noProof/>
        </w:rPr>
        <w:t xml:space="preserve"> v </w:t>
      </w:r>
      <w:r w:rsidRPr="004F01E9">
        <w:rPr>
          <w:noProof/>
        </w:rPr>
        <w:t>prípade zlyhania dlžníka alebo pri výskyte iných bližšie určených kreditných udalostí;</w:t>
      </w:r>
    </w:p>
    <w:p w14:paraId="3CE4872F" w14:textId="54983677" w:rsidR="008C5976" w:rsidRPr="004F01E9" w:rsidRDefault="008C5976" w:rsidP="00615061">
      <w:pPr>
        <w:pStyle w:val="Text2"/>
        <w:rPr>
          <w:noProof/>
        </w:rPr>
      </w:pPr>
      <w:r w:rsidRPr="004F01E9">
        <w:rPr>
          <w:noProof/>
        </w:rPr>
        <w:t>60) „nástroj hotovostného typu“ je vkladový certifikát, dlhopis vrátane krytého dlhopisu alebo akýkoľvek iný nepodriadený nástroj emitovaný požičiavajúcou inštitúciou, za ktorý už požičiavajúca inštitúcia prijala platbu</w:t>
      </w:r>
      <w:r w:rsidR="004F01E9">
        <w:rPr>
          <w:noProof/>
        </w:rPr>
        <w:t xml:space="preserve"> v </w:t>
      </w:r>
      <w:r w:rsidRPr="004F01E9">
        <w:rPr>
          <w:noProof/>
        </w:rPr>
        <w:t>plnej výške</w:t>
      </w:r>
      <w:r w:rsidR="004F01E9">
        <w:rPr>
          <w:noProof/>
        </w:rPr>
        <w:t xml:space="preserve"> a </w:t>
      </w:r>
      <w:r w:rsidRPr="004F01E9">
        <w:rPr>
          <w:noProof/>
        </w:rPr>
        <w:t>ktorý musí požičiavajúca inštitúcia bezpodmienečne uhradiť</w:t>
      </w:r>
      <w:r w:rsidR="004F01E9">
        <w:rPr>
          <w:noProof/>
        </w:rPr>
        <w:t xml:space="preserve"> v </w:t>
      </w:r>
      <w:r w:rsidRPr="004F01E9">
        <w:rPr>
          <w:noProof/>
        </w:rPr>
        <w:t>jeho nominálnej hodnote;“;</w:t>
      </w:r>
    </w:p>
    <w:p w14:paraId="2622EFB1" w14:textId="125A081D" w:rsidR="008C5976" w:rsidRPr="004F01E9" w:rsidRDefault="00F66901" w:rsidP="001F5DEB">
      <w:pPr>
        <w:pStyle w:val="Point1"/>
        <w:rPr>
          <w:noProof/>
        </w:rPr>
      </w:pPr>
      <w:r w:rsidRPr="004F01E9">
        <w:rPr>
          <w:noProof/>
        </w:rPr>
        <w:t>p)</w:t>
      </w:r>
      <w:r w:rsidRPr="004F01E9">
        <w:rPr>
          <w:noProof/>
        </w:rPr>
        <w:tab/>
        <w:t>Vkladá sa tento bod 60a:</w:t>
      </w:r>
    </w:p>
    <w:p w14:paraId="04EFB4C6" w14:textId="7C406167" w:rsidR="00806B81" w:rsidRPr="004F01E9" w:rsidRDefault="008C5976" w:rsidP="00615061">
      <w:pPr>
        <w:pStyle w:val="Text2"/>
        <w:rPr>
          <w:noProof/>
        </w:rPr>
      </w:pPr>
      <w:r w:rsidRPr="004F01E9">
        <w:rPr>
          <w:noProof/>
        </w:rPr>
        <w:t>„60a) „zásoby zlata“ je zlato ako komodita vrátane zlatých tehiel, ingotov</w:t>
      </w:r>
      <w:r w:rsidR="004F01E9">
        <w:rPr>
          <w:noProof/>
        </w:rPr>
        <w:t xml:space="preserve"> a </w:t>
      </w:r>
      <w:r w:rsidRPr="004F01E9">
        <w:rPr>
          <w:noProof/>
        </w:rPr>
        <w:t>mincí, ktoré sú bežne akceptované na trhu zo zlatom, ak existujú likvidné trhy so zlatom,</w:t>
      </w:r>
      <w:r w:rsidR="004F01E9">
        <w:rPr>
          <w:noProof/>
        </w:rPr>
        <w:t xml:space="preserve"> a </w:t>
      </w:r>
      <w:r w:rsidRPr="004F01E9">
        <w:rPr>
          <w:noProof/>
        </w:rPr>
        <w:t>ktorých hodnotu určuje hodnota obsahu zlata, ktorý je vymedzený rýdzosťou</w:t>
      </w:r>
      <w:r w:rsidR="004F01E9">
        <w:rPr>
          <w:noProof/>
        </w:rPr>
        <w:t xml:space="preserve"> a </w:t>
      </w:r>
      <w:r w:rsidRPr="004F01E9">
        <w:rPr>
          <w:noProof/>
        </w:rPr>
        <w:t>hmotnosťou,</w:t>
      </w:r>
      <w:r w:rsidR="004F01E9">
        <w:rPr>
          <w:noProof/>
        </w:rPr>
        <w:t xml:space="preserve"> a </w:t>
      </w:r>
      <w:r w:rsidRPr="004F01E9">
        <w:rPr>
          <w:noProof/>
        </w:rPr>
        <w:t>nie záujem numizmatikov</w:t>
      </w:r>
      <w:r w:rsidR="004F01E9">
        <w:rPr>
          <w:noProof/>
        </w:rPr>
        <w:t xml:space="preserve"> o </w:t>
      </w:r>
      <w:r w:rsidRPr="004F01E9">
        <w:rPr>
          <w:noProof/>
        </w:rPr>
        <w:t>toto zlato;“;</w:t>
      </w:r>
    </w:p>
    <w:p w14:paraId="59256FED" w14:textId="6A978B28" w:rsidR="008C5976" w:rsidRPr="004F01E9" w:rsidRDefault="00F66901" w:rsidP="001F5DEB">
      <w:pPr>
        <w:pStyle w:val="Point1"/>
        <w:rPr>
          <w:noProof/>
        </w:rPr>
      </w:pPr>
      <w:r w:rsidRPr="004F01E9">
        <w:rPr>
          <w:noProof/>
        </w:rPr>
        <w:t>q)</w:t>
      </w:r>
      <w:r w:rsidRPr="004F01E9">
        <w:rPr>
          <w:noProof/>
        </w:rPr>
        <w:tab/>
        <w:t>Vkladá sa tento bod 74a:</w:t>
      </w:r>
    </w:p>
    <w:p w14:paraId="0DFA3D8E" w14:textId="0342FF26" w:rsidR="00806B81" w:rsidRPr="004F01E9" w:rsidRDefault="008C5976" w:rsidP="00615061">
      <w:pPr>
        <w:pStyle w:val="Text2"/>
        <w:rPr>
          <w:noProof/>
        </w:rPr>
      </w:pPr>
      <w:r w:rsidRPr="004F01E9">
        <w:rPr>
          <w:noProof/>
        </w:rPr>
        <w:t>„74a) „hodnota majetku“ je hodnota nehnuteľného majetku určená</w:t>
      </w:r>
      <w:r w:rsidR="004F01E9">
        <w:rPr>
          <w:noProof/>
        </w:rPr>
        <w:t xml:space="preserve"> v </w:t>
      </w:r>
      <w:r w:rsidRPr="004F01E9">
        <w:rPr>
          <w:noProof/>
        </w:rPr>
        <w:t>súlade</w:t>
      </w:r>
      <w:r w:rsidR="004F01E9">
        <w:rPr>
          <w:noProof/>
        </w:rPr>
        <w:t xml:space="preserve"> s </w:t>
      </w:r>
      <w:r w:rsidRPr="004F01E9">
        <w:rPr>
          <w:noProof/>
        </w:rPr>
        <w:t>článkom 229 ods. 1;“;</w:t>
      </w:r>
    </w:p>
    <w:p w14:paraId="1FBECCA2" w14:textId="19452DC9" w:rsidR="008C5976" w:rsidRPr="004F01E9" w:rsidRDefault="00F66901" w:rsidP="001F5DEB">
      <w:pPr>
        <w:pStyle w:val="Point1"/>
        <w:rPr>
          <w:noProof/>
        </w:rPr>
      </w:pPr>
      <w:r w:rsidRPr="004F01E9">
        <w:rPr>
          <w:noProof/>
        </w:rPr>
        <w:t>r)</w:t>
      </w:r>
      <w:r w:rsidRPr="004F01E9">
        <w:rPr>
          <w:noProof/>
        </w:rPr>
        <w:tab/>
        <w:t>Bod 75 sa nahrádza takto:</w:t>
      </w:r>
    </w:p>
    <w:p w14:paraId="75BD1FEA" w14:textId="575A2C71" w:rsidR="008C5976" w:rsidRPr="004F01E9" w:rsidRDefault="008C5976" w:rsidP="00615061">
      <w:pPr>
        <w:pStyle w:val="Text2"/>
        <w:rPr>
          <w:noProof/>
        </w:rPr>
      </w:pPr>
      <w:r w:rsidRPr="004F01E9">
        <w:rPr>
          <w:noProof/>
        </w:rPr>
        <w:t>„75) „nehnuteľný majetok určený na bývanie“ je ktorákoľvek</w:t>
      </w:r>
      <w:r w:rsidR="004F01E9">
        <w:rPr>
          <w:noProof/>
        </w:rPr>
        <w:t xml:space="preserve"> z </w:t>
      </w:r>
      <w:r w:rsidRPr="004F01E9">
        <w:rPr>
          <w:noProof/>
        </w:rPr>
        <w:t>týchto možností:</w:t>
      </w:r>
    </w:p>
    <w:p w14:paraId="737E55A2" w14:textId="30CF80A7" w:rsidR="008C5976" w:rsidRPr="004F01E9" w:rsidRDefault="008C5976" w:rsidP="008C5976">
      <w:pPr>
        <w:pStyle w:val="Point2"/>
        <w:rPr>
          <w:noProof/>
        </w:rPr>
      </w:pPr>
      <w:r w:rsidRPr="004F01E9">
        <w:rPr>
          <w:noProof/>
        </w:rPr>
        <w:t>a)</w:t>
      </w:r>
      <w:r w:rsidRPr="004F01E9">
        <w:rPr>
          <w:noProof/>
        </w:rPr>
        <w:tab/>
        <w:t>nehnuteľný majetok, ktorý má povahu obydlia</w:t>
      </w:r>
      <w:r w:rsidR="004F01E9">
        <w:rPr>
          <w:noProof/>
        </w:rPr>
        <w:t xml:space="preserve"> a </w:t>
      </w:r>
      <w:r w:rsidRPr="004F01E9">
        <w:rPr>
          <w:noProof/>
        </w:rPr>
        <w:t>spĺňa požiadavky všetkých príslušných zákonov</w:t>
      </w:r>
      <w:r w:rsidR="004F01E9">
        <w:rPr>
          <w:noProof/>
        </w:rPr>
        <w:t xml:space="preserve"> a </w:t>
      </w:r>
      <w:r w:rsidRPr="004F01E9">
        <w:rPr>
          <w:noProof/>
        </w:rPr>
        <w:t>iných právnych predpisov, aby sa mohol využívať na účely bývania;</w:t>
      </w:r>
    </w:p>
    <w:p w14:paraId="50A80AFB" w14:textId="475FE59E" w:rsidR="008C5976" w:rsidRPr="004F01E9" w:rsidRDefault="008C5976" w:rsidP="008C5976">
      <w:pPr>
        <w:pStyle w:val="Point2"/>
        <w:rPr>
          <w:noProof/>
        </w:rPr>
      </w:pPr>
      <w:r w:rsidRPr="004F01E9">
        <w:rPr>
          <w:noProof/>
        </w:rPr>
        <w:t>b)</w:t>
      </w:r>
      <w:r w:rsidRPr="004F01E9">
        <w:rPr>
          <w:noProof/>
        </w:rPr>
        <w:tab/>
        <w:t>nehnuteľný majetok, ktorý má povahu obydlia</w:t>
      </w:r>
      <w:r w:rsidR="004F01E9">
        <w:rPr>
          <w:noProof/>
        </w:rPr>
        <w:t xml:space="preserve"> a </w:t>
      </w:r>
      <w:r w:rsidRPr="004F01E9">
        <w:rPr>
          <w:noProof/>
        </w:rPr>
        <w:t>je stále vo fáze výstavby,</w:t>
      </w:r>
      <w:r w:rsidR="004F01E9">
        <w:rPr>
          <w:noProof/>
        </w:rPr>
        <w:t xml:space="preserve"> a </w:t>
      </w:r>
      <w:r w:rsidRPr="004F01E9">
        <w:rPr>
          <w:noProof/>
        </w:rPr>
        <w:t>to za predpokladu, že existuje očakávanie, že tento majetok bude spĺňať požiadavky všetkých príslušných zákonov</w:t>
      </w:r>
      <w:r w:rsidR="004F01E9">
        <w:rPr>
          <w:noProof/>
        </w:rPr>
        <w:t xml:space="preserve"> a </w:t>
      </w:r>
      <w:r w:rsidRPr="004F01E9">
        <w:rPr>
          <w:noProof/>
        </w:rPr>
        <w:t>iných právnych predpisov, aby sa mohol využívať na účely bývania;</w:t>
      </w:r>
    </w:p>
    <w:p w14:paraId="59BA2503" w14:textId="7392F8F7" w:rsidR="008C5976" w:rsidRPr="004F01E9" w:rsidRDefault="008C5976" w:rsidP="008C5976">
      <w:pPr>
        <w:pStyle w:val="Point2"/>
        <w:rPr>
          <w:noProof/>
        </w:rPr>
      </w:pPr>
      <w:r w:rsidRPr="004F01E9">
        <w:rPr>
          <w:noProof/>
        </w:rPr>
        <w:t>c)</w:t>
      </w:r>
      <w:r w:rsidRPr="004F01E9">
        <w:rPr>
          <w:noProof/>
        </w:rPr>
        <w:tab/>
        <w:t>právo obývať byt</w:t>
      </w:r>
      <w:r w:rsidR="004F01E9">
        <w:rPr>
          <w:noProof/>
        </w:rPr>
        <w:t xml:space="preserve"> v </w:t>
      </w:r>
      <w:r w:rsidRPr="004F01E9">
        <w:rPr>
          <w:noProof/>
        </w:rPr>
        <w:t>bytových družstvách nachádzajúcich sa vo Švédsku;</w:t>
      </w:r>
    </w:p>
    <w:p w14:paraId="552AB829" w14:textId="2DC96E56" w:rsidR="008C5976" w:rsidRPr="004F01E9" w:rsidRDefault="008C5976" w:rsidP="008C5976">
      <w:pPr>
        <w:pStyle w:val="Point2"/>
        <w:rPr>
          <w:noProof/>
        </w:rPr>
      </w:pPr>
      <w:r w:rsidRPr="004F01E9">
        <w:rPr>
          <w:noProof/>
        </w:rPr>
        <w:t>d)</w:t>
      </w:r>
      <w:r w:rsidRPr="004F01E9">
        <w:rPr>
          <w:noProof/>
        </w:rPr>
        <w:tab/>
        <w:t>príslušenstvo pozemku, na ktorom sa nachádza majetok uvedený</w:t>
      </w:r>
      <w:r w:rsidR="004F01E9">
        <w:rPr>
          <w:noProof/>
        </w:rPr>
        <w:t xml:space="preserve"> v </w:t>
      </w:r>
      <w:r w:rsidRPr="004F01E9">
        <w:rPr>
          <w:noProof/>
        </w:rPr>
        <w:t>písmenách a), b) alebo c);“;</w:t>
      </w:r>
    </w:p>
    <w:p w14:paraId="62E7CF17" w14:textId="52EF82B3" w:rsidR="008C5976" w:rsidRPr="004F01E9" w:rsidRDefault="00F66901" w:rsidP="001F5DEB">
      <w:pPr>
        <w:pStyle w:val="Point1"/>
        <w:rPr>
          <w:noProof/>
        </w:rPr>
      </w:pPr>
      <w:r w:rsidRPr="004F01E9">
        <w:rPr>
          <w:noProof/>
        </w:rPr>
        <w:t>s)</w:t>
      </w:r>
      <w:r w:rsidRPr="004F01E9">
        <w:rPr>
          <w:noProof/>
        </w:rPr>
        <w:tab/>
        <w:t>Vkladajú sa tieto body 75a až 75g:</w:t>
      </w:r>
    </w:p>
    <w:p w14:paraId="05DCAA50" w14:textId="16C356AF" w:rsidR="00806B81" w:rsidRPr="004F01E9" w:rsidRDefault="008C5976" w:rsidP="00615061">
      <w:pPr>
        <w:pStyle w:val="Text2"/>
        <w:rPr>
          <w:noProof/>
        </w:rPr>
      </w:pPr>
      <w:r w:rsidRPr="004F01E9">
        <w:rPr>
          <w:noProof/>
        </w:rPr>
        <w:t>„75a) „nehnuteľný majetok určený na podnikanie“ je akýkoľvek nehnuteľný majetok, ktorý nie je nehnuteľným majetkom určeným na bývanie, vrátane pozemkov iných než tie, ktoré sú uvedené</w:t>
      </w:r>
      <w:r w:rsidR="004F01E9">
        <w:rPr>
          <w:noProof/>
        </w:rPr>
        <w:t xml:space="preserve"> v </w:t>
      </w:r>
      <w:r w:rsidRPr="004F01E9">
        <w:rPr>
          <w:noProof/>
        </w:rPr>
        <w:t>bode 75 písm. d)</w:t>
      </w:r>
      <w:r w:rsidR="004F01E9">
        <w:rPr>
          <w:noProof/>
        </w:rPr>
        <w:t xml:space="preserve"> a </w:t>
      </w:r>
      <w:r w:rsidRPr="004F01E9">
        <w:rPr>
          <w:noProof/>
        </w:rPr>
        <w:t>bode 79;</w:t>
      </w:r>
    </w:p>
    <w:p w14:paraId="3CB45C64" w14:textId="039B9117" w:rsidR="00806B81" w:rsidRPr="004F01E9" w:rsidRDefault="008C5976" w:rsidP="00615061">
      <w:pPr>
        <w:pStyle w:val="Text2"/>
        <w:rPr>
          <w:noProof/>
        </w:rPr>
      </w:pPr>
      <w:r w:rsidRPr="004F01E9">
        <w:rPr>
          <w:noProof/>
        </w:rPr>
        <w:t>75b) „expozícia voči nehnuteľnostiam generujúcim príjem“ (expozícia IPRE) je expozícia zabezpečená nehnuteľným majetkom určeným na bývanie alebo nehnuteľným majetkom určeným na podnikanie, ak splnenie kreditných záväzkov súvisiacich</w:t>
      </w:r>
      <w:r w:rsidR="004F01E9">
        <w:rPr>
          <w:noProof/>
        </w:rPr>
        <w:t xml:space="preserve"> s </w:t>
      </w:r>
      <w:r w:rsidRPr="004F01E9">
        <w:rPr>
          <w:noProof/>
        </w:rPr>
        <w:t>touto expozíciou významne závisí od peňažných tokov generovaných uvedeným nehnuteľným majetkom, ktorý zabezpečuje túto expozíciu,</w:t>
      </w:r>
      <w:r w:rsidR="004F01E9">
        <w:rPr>
          <w:noProof/>
        </w:rPr>
        <w:t xml:space="preserve"> a </w:t>
      </w:r>
      <w:r w:rsidRPr="004F01E9">
        <w:rPr>
          <w:noProof/>
        </w:rPr>
        <w:t>nie od schopnosti dlžníka plniť kreditné záväzky</w:t>
      </w:r>
      <w:r w:rsidR="004F01E9">
        <w:rPr>
          <w:noProof/>
        </w:rPr>
        <w:t xml:space="preserve"> z </w:t>
      </w:r>
      <w:r w:rsidRPr="004F01E9">
        <w:rPr>
          <w:noProof/>
        </w:rPr>
        <w:t>iných zdrojov;</w:t>
      </w:r>
    </w:p>
    <w:p w14:paraId="610358AA" w14:textId="7323BA70" w:rsidR="008C5976" w:rsidRPr="004F01E9" w:rsidRDefault="008C5976" w:rsidP="00615061">
      <w:pPr>
        <w:pStyle w:val="Text2"/>
        <w:rPr>
          <w:noProof/>
        </w:rPr>
      </w:pPr>
      <w:r w:rsidRPr="004F01E9">
        <w:rPr>
          <w:noProof/>
        </w:rPr>
        <w:t>75c) „expozícia voči nehnuteľnostiam negenerujúcim príjem“ je každá expozícia zabezpečená nehnuteľným majetkom určeným na bývanie alebo nehnuteľným majetkom určeným na podnikanie, ktorá nie je expozíciou IPRE;</w:t>
      </w:r>
    </w:p>
    <w:p w14:paraId="586D526A" w14:textId="77777777" w:rsidR="008C5976" w:rsidRPr="004F01E9" w:rsidRDefault="008C5976" w:rsidP="00615061">
      <w:pPr>
        <w:pStyle w:val="Text2"/>
        <w:rPr>
          <w:noProof/>
        </w:rPr>
      </w:pPr>
      <w:r w:rsidRPr="004F01E9">
        <w:rPr>
          <w:noProof/>
        </w:rPr>
        <w:t>75d) „expozícia, ktorá nie je ADC“ je každá expozícia zabezpečená nehnuteľným majetkom určeným na bývanie alebo nehnuteľným majetkom určeným na podnikanie, ktorá nie je expozíciou ADC;</w:t>
      </w:r>
    </w:p>
    <w:p w14:paraId="74FF927B" w14:textId="34E219BB" w:rsidR="008C5976" w:rsidRPr="00922524" w:rsidRDefault="008C5976" w:rsidP="00615061">
      <w:pPr>
        <w:pStyle w:val="Text2"/>
        <w:rPr>
          <w:noProof/>
          <w:spacing w:val="-4"/>
        </w:rPr>
      </w:pPr>
      <w:r w:rsidRPr="00922524">
        <w:rPr>
          <w:noProof/>
          <w:spacing w:val="-4"/>
        </w:rPr>
        <w:t>75e) „expozícia zabezpečená nehnuteľným majetkom určeným na bývanie“ alebo „expozícia zabezpečená hypotekárnym úverom na nehnuteľný majetok určený na bývanie“ alebo „expozícia zabezpečená kolaterálom na nehnuteľný majetok určený na bývanie“ alebo „expozícia zabezpečená nehnuteľnosťou určenou na bývanie“ je expozícia zabezpečená hypotekárnym úverom na nehnuteľný majetok určený na bývanie alebo zabezpečená akýmikoľvek mechanizmami inými než hypotekárne úvery, ktoré sú však hospodársky rovnocenné</w:t>
      </w:r>
      <w:r w:rsidR="004F01E9" w:rsidRPr="00922524">
        <w:rPr>
          <w:noProof/>
          <w:spacing w:val="-4"/>
        </w:rPr>
        <w:t xml:space="preserve"> s </w:t>
      </w:r>
      <w:r w:rsidRPr="00922524">
        <w:rPr>
          <w:noProof/>
          <w:spacing w:val="-4"/>
        </w:rPr>
        <w:t>hypotekárnymi úvermi</w:t>
      </w:r>
      <w:r w:rsidR="004F01E9" w:rsidRPr="00922524">
        <w:rPr>
          <w:noProof/>
          <w:spacing w:val="-4"/>
        </w:rPr>
        <w:t xml:space="preserve"> a </w:t>
      </w:r>
      <w:r w:rsidRPr="00922524">
        <w:rPr>
          <w:noProof/>
          <w:spacing w:val="-4"/>
        </w:rPr>
        <w:t>ktoré sú</w:t>
      </w:r>
      <w:r w:rsidR="004F01E9" w:rsidRPr="00922524">
        <w:rPr>
          <w:noProof/>
          <w:spacing w:val="-4"/>
        </w:rPr>
        <w:t xml:space="preserve"> v </w:t>
      </w:r>
      <w:r w:rsidRPr="00922524">
        <w:rPr>
          <w:noProof/>
          <w:spacing w:val="-4"/>
        </w:rPr>
        <w:t>rámci uplatniteľného vnútroštátneho práva,</w:t>
      </w:r>
      <w:r w:rsidR="004F01E9" w:rsidRPr="00922524">
        <w:rPr>
          <w:noProof/>
          <w:spacing w:val="-4"/>
        </w:rPr>
        <w:t xml:space="preserve"> v </w:t>
      </w:r>
      <w:r w:rsidRPr="00922524">
        <w:rPr>
          <w:noProof/>
          <w:spacing w:val="-4"/>
        </w:rPr>
        <w:t>ktorom sa stanovujú podmienky pre vytvorenie takýchto mechanizmov, uznané za kolaterál na nehnuteľný majetok určený na bývanie;</w:t>
      </w:r>
    </w:p>
    <w:p w14:paraId="0BA3810E" w14:textId="22A81DA6" w:rsidR="008C5976" w:rsidRPr="00922524" w:rsidRDefault="008C5976" w:rsidP="00615061">
      <w:pPr>
        <w:pStyle w:val="Text2"/>
        <w:rPr>
          <w:noProof/>
          <w:spacing w:val="-4"/>
        </w:rPr>
      </w:pPr>
      <w:r w:rsidRPr="00922524">
        <w:rPr>
          <w:noProof/>
          <w:spacing w:val="-4"/>
        </w:rPr>
        <w:t>75f) „expozícia zabezpečená nehnuteľným majetkom určeným na podnikanie“ alebo „expozícia zabezpečená hypotekárnym úverom na nehnuteľný majetok určený na podnikanie“ alebo „expozícia zabezpečená kolaterálom na nehnuteľný majetok určený na podnikanie“ je expozícia zabezpečená hypotekárnym úverom na nehnuteľný majetok určený na podnikanie alebo zabezpečená akýmikoľvek mechanizmami inými než hypotekárne úvery, ktoré sú však hospodársky rovnocenné</w:t>
      </w:r>
      <w:r w:rsidR="004F01E9" w:rsidRPr="00922524">
        <w:rPr>
          <w:noProof/>
          <w:spacing w:val="-4"/>
        </w:rPr>
        <w:t xml:space="preserve"> s </w:t>
      </w:r>
      <w:r w:rsidRPr="00922524">
        <w:rPr>
          <w:noProof/>
          <w:spacing w:val="-4"/>
        </w:rPr>
        <w:t>hypotekárnymi úvermi</w:t>
      </w:r>
      <w:r w:rsidR="004F01E9" w:rsidRPr="00922524">
        <w:rPr>
          <w:noProof/>
          <w:spacing w:val="-4"/>
        </w:rPr>
        <w:t xml:space="preserve"> a </w:t>
      </w:r>
      <w:r w:rsidRPr="00922524">
        <w:rPr>
          <w:noProof/>
          <w:spacing w:val="-4"/>
        </w:rPr>
        <w:t>ktoré sú</w:t>
      </w:r>
      <w:r w:rsidR="004F01E9" w:rsidRPr="00922524">
        <w:rPr>
          <w:noProof/>
          <w:spacing w:val="-4"/>
        </w:rPr>
        <w:t xml:space="preserve"> v </w:t>
      </w:r>
      <w:r w:rsidRPr="00922524">
        <w:rPr>
          <w:noProof/>
          <w:spacing w:val="-4"/>
        </w:rPr>
        <w:t>rámci uplatniteľného vnútroštátneho práva,</w:t>
      </w:r>
      <w:r w:rsidR="004F01E9" w:rsidRPr="00922524">
        <w:rPr>
          <w:noProof/>
          <w:spacing w:val="-4"/>
        </w:rPr>
        <w:t xml:space="preserve"> v </w:t>
      </w:r>
      <w:r w:rsidRPr="00922524">
        <w:rPr>
          <w:noProof/>
          <w:spacing w:val="-4"/>
        </w:rPr>
        <w:t>ktorom sa stanovujú podmienky pre vytvorenie takýchto mechanizmov, uznané za kolaterál na nehnuteľný majetok určený na podnikanie;</w:t>
      </w:r>
    </w:p>
    <w:p w14:paraId="1A9AC00B" w14:textId="077477FF" w:rsidR="008C5976" w:rsidRPr="00922524" w:rsidRDefault="008C5976" w:rsidP="00615061">
      <w:pPr>
        <w:pStyle w:val="Text2"/>
        <w:rPr>
          <w:noProof/>
          <w:spacing w:val="-4"/>
        </w:rPr>
      </w:pPr>
      <w:r w:rsidRPr="00922524">
        <w:rPr>
          <w:noProof/>
          <w:spacing w:val="-4"/>
        </w:rPr>
        <w:t>75g) „expozícia zabezpečená nehnuteľným majetkom“ alebo „expozícia zabezpečená hypotekárnym úverom na nehnuteľný majetok“ alebo „expozícia zabezpečená kolaterálom na nehnuteľný majetok“ je expozícia zabezpečená hypotekárnym úverom na nehnuteľný majetok určený na bývanie alebo hypotekárnym úverom na nehnuteľný majetok určený na podnikanie alebo zabezpečená akýmikoľvek mechanizmami inými než hypotekárne úvery, ktoré sú však hospodársky rovnocenné</w:t>
      </w:r>
      <w:r w:rsidR="004F01E9" w:rsidRPr="00922524">
        <w:rPr>
          <w:noProof/>
          <w:spacing w:val="-4"/>
        </w:rPr>
        <w:t xml:space="preserve"> s </w:t>
      </w:r>
      <w:r w:rsidRPr="00922524">
        <w:rPr>
          <w:noProof/>
          <w:spacing w:val="-4"/>
        </w:rPr>
        <w:t>hypotekárnymi úvermi</w:t>
      </w:r>
      <w:r w:rsidR="004F01E9" w:rsidRPr="00922524">
        <w:rPr>
          <w:noProof/>
          <w:spacing w:val="-4"/>
        </w:rPr>
        <w:t xml:space="preserve"> a </w:t>
      </w:r>
      <w:r w:rsidRPr="00922524">
        <w:rPr>
          <w:noProof/>
          <w:spacing w:val="-4"/>
        </w:rPr>
        <w:t>ktoré sú</w:t>
      </w:r>
      <w:r w:rsidR="004F01E9" w:rsidRPr="00922524">
        <w:rPr>
          <w:noProof/>
          <w:spacing w:val="-4"/>
        </w:rPr>
        <w:t xml:space="preserve"> v </w:t>
      </w:r>
      <w:r w:rsidRPr="00922524">
        <w:rPr>
          <w:noProof/>
          <w:spacing w:val="-4"/>
        </w:rPr>
        <w:t>rámci uplatniteľného vnútroštátneho práva,</w:t>
      </w:r>
      <w:r w:rsidR="004F01E9" w:rsidRPr="00922524">
        <w:rPr>
          <w:noProof/>
          <w:spacing w:val="-4"/>
        </w:rPr>
        <w:t xml:space="preserve"> v </w:t>
      </w:r>
      <w:r w:rsidRPr="00922524">
        <w:rPr>
          <w:noProof/>
          <w:spacing w:val="-4"/>
        </w:rPr>
        <w:t>ktorom sa stanovujú podmienky pre vytvorenie takýchto mechanizmov, uznané za kolaterál na nehnuteľný majetok;“;</w:t>
      </w:r>
    </w:p>
    <w:p w14:paraId="76872229" w14:textId="2BCF0D3E" w:rsidR="00806B81" w:rsidRPr="004F01E9" w:rsidRDefault="00F66901" w:rsidP="001F5DEB">
      <w:pPr>
        <w:pStyle w:val="Point1"/>
        <w:rPr>
          <w:noProof/>
        </w:rPr>
      </w:pPr>
      <w:r w:rsidRPr="004F01E9">
        <w:rPr>
          <w:noProof/>
        </w:rPr>
        <w:t>t)</w:t>
      </w:r>
      <w:r w:rsidRPr="004F01E9">
        <w:rPr>
          <w:noProof/>
        </w:rPr>
        <w:tab/>
        <w:t>Body 78</w:t>
      </w:r>
      <w:r w:rsidR="004F01E9">
        <w:rPr>
          <w:noProof/>
        </w:rPr>
        <w:t xml:space="preserve"> a </w:t>
      </w:r>
      <w:r w:rsidRPr="004F01E9">
        <w:rPr>
          <w:noProof/>
        </w:rPr>
        <w:t>79 sa nahrádzajú takto:</w:t>
      </w:r>
    </w:p>
    <w:p w14:paraId="0EC9083F" w14:textId="2D217311" w:rsidR="008C5976" w:rsidRPr="004F01E9" w:rsidRDefault="008C5976" w:rsidP="00615061">
      <w:pPr>
        <w:pStyle w:val="Text2"/>
        <w:rPr>
          <w:noProof/>
        </w:rPr>
      </w:pPr>
      <w:r w:rsidRPr="004F01E9">
        <w:rPr>
          <w:noProof/>
        </w:rPr>
        <w:t>„78) „jednoročná miera zlyhania“ je pomer medzi počtom zlyhaní, ku ktorým došlo počas obdobia, ktoré sa začína jeden rok pred dátumom pozorovania T,</w:t>
      </w:r>
      <w:r w:rsidR="004F01E9">
        <w:rPr>
          <w:noProof/>
        </w:rPr>
        <w:t xml:space="preserve"> a </w:t>
      </w:r>
      <w:r w:rsidRPr="004F01E9">
        <w:rPr>
          <w:noProof/>
        </w:rPr>
        <w:t>počtom dlžníkov – alebo počtom facilít, ak sa klasifikácia ako zlyhané uplatňuje na úrovni facilít podľa článku 178 – zaradených do tejto triedy alebo skupiny jeden rok pred týmto dátumom pozorovania T;</w:t>
      </w:r>
    </w:p>
    <w:p w14:paraId="514E0FF5" w14:textId="36078FA9" w:rsidR="008C5976" w:rsidRPr="004F01E9" w:rsidRDefault="008C5976" w:rsidP="00615061">
      <w:pPr>
        <w:pStyle w:val="Text2"/>
        <w:rPr>
          <w:noProof/>
        </w:rPr>
      </w:pPr>
      <w:r w:rsidRPr="004F01E9">
        <w:rPr>
          <w:noProof/>
        </w:rPr>
        <w:t>79) „expozícia ADC“ alebo „expozícia voči nadobudnutiu pozemku, výstavbe</w:t>
      </w:r>
      <w:r w:rsidR="004F01E9">
        <w:rPr>
          <w:noProof/>
        </w:rPr>
        <w:t xml:space="preserve"> a </w:t>
      </w:r>
      <w:r w:rsidRPr="004F01E9">
        <w:rPr>
          <w:noProof/>
        </w:rPr>
        <w:t>budovaniu“ je expozícia voči podnikateľským subjektom alebo účelovo vytvoreným subjektom, ktoré financujú akékoľvek nadobudnutie pozemkov na účely výstavby</w:t>
      </w:r>
      <w:r w:rsidR="004F01E9">
        <w:rPr>
          <w:noProof/>
        </w:rPr>
        <w:t xml:space="preserve"> a </w:t>
      </w:r>
      <w:r w:rsidRPr="004F01E9">
        <w:rPr>
          <w:noProof/>
        </w:rPr>
        <w:t>budovania, alebo ktoré financujú výstavbu</w:t>
      </w:r>
      <w:r w:rsidR="004F01E9">
        <w:rPr>
          <w:noProof/>
        </w:rPr>
        <w:t xml:space="preserve"> a </w:t>
      </w:r>
      <w:r w:rsidRPr="004F01E9">
        <w:rPr>
          <w:noProof/>
        </w:rPr>
        <w:t>budovanie akéhokoľvek nehnuteľného majetku určeného na bývanie alebo nehnuteľného majetku určeného na podnikanie;“;</w:t>
      </w:r>
    </w:p>
    <w:p w14:paraId="3AC71740" w14:textId="4C77D601" w:rsidR="008C5976" w:rsidRPr="004F01E9" w:rsidRDefault="001F5DEB" w:rsidP="001F5DEB">
      <w:pPr>
        <w:pStyle w:val="Point1"/>
        <w:rPr>
          <w:noProof/>
        </w:rPr>
      </w:pPr>
      <w:r w:rsidRPr="004F01E9">
        <w:rPr>
          <w:noProof/>
        </w:rPr>
        <w:t>u)</w:t>
      </w:r>
      <w:r w:rsidRPr="004F01E9">
        <w:rPr>
          <w:noProof/>
        </w:rPr>
        <w:tab/>
        <w:t>Bod 114 sa nahrádza takto:</w:t>
      </w:r>
    </w:p>
    <w:p w14:paraId="02D3C5A6" w14:textId="5E9F7E48" w:rsidR="008C5976" w:rsidRPr="004F01E9" w:rsidRDefault="008C5976" w:rsidP="00615061">
      <w:pPr>
        <w:pStyle w:val="Text2"/>
        <w:rPr>
          <w:noProof/>
        </w:rPr>
      </w:pPr>
      <w:r w:rsidRPr="004F01E9">
        <w:rPr>
          <w:noProof/>
        </w:rPr>
        <w:t>„114) „nepriamy podiel“ je každá expozícia voči sprostredkovateľskému subjektu, ktorý má expozíciu voči kapitálovým nástrojom emitovaným subjektom finančného sektora alebo voči záväzkom emitovaným inštitúciou, keď</w:t>
      </w:r>
      <w:r w:rsidR="004F01E9">
        <w:rPr>
          <w:noProof/>
        </w:rPr>
        <w:t xml:space="preserve"> v </w:t>
      </w:r>
      <w:r w:rsidRPr="004F01E9">
        <w:rPr>
          <w:noProof/>
        </w:rPr>
        <w:t>prípade, že by kapitálové nástroje emitované subjektom finančného sektora alebo záväzky emitované danou inštitúciou boli neustále odpisované, strata, ktorá by</w:t>
      </w:r>
      <w:r w:rsidR="004F01E9">
        <w:rPr>
          <w:noProof/>
        </w:rPr>
        <w:t xml:space="preserve"> v </w:t>
      </w:r>
      <w:r w:rsidRPr="004F01E9">
        <w:rPr>
          <w:noProof/>
        </w:rPr>
        <w:t>dôsledku toho inštitúcii vznikla, by sa podstatne nelíšila od straty, ktorá by inštitúcii vznikla pri priamom podiele na týchto kapitálových nástrojoch emitovaných subjektom finančného sektora alebo na týchto záväzkoch emitovaných danou inštitúciou;“;</w:t>
      </w:r>
    </w:p>
    <w:p w14:paraId="11522B27" w14:textId="2C59CC4A" w:rsidR="008C5976" w:rsidRPr="004F01E9" w:rsidRDefault="001F5DEB" w:rsidP="001F5DEB">
      <w:pPr>
        <w:pStyle w:val="Point1"/>
        <w:rPr>
          <w:noProof/>
        </w:rPr>
      </w:pPr>
      <w:r w:rsidRPr="004F01E9">
        <w:rPr>
          <w:noProof/>
        </w:rPr>
        <w:t>v)</w:t>
      </w:r>
      <w:r w:rsidRPr="004F01E9">
        <w:rPr>
          <w:noProof/>
        </w:rPr>
        <w:tab/>
        <w:t>Bod 126 sa nahrádza takto:</w:t>
      </w:r>
    </w:p>
    <w:p w14:paraId="184E3357" w14:textId="4E1CE09D" w:rsidR="008C5976" w:rsidRPr="004F01E9" w:rsidRDefault="008C5976" w:rsidP="00615061">
      <w:pPr>
        <w:pStyle w:val="Text2"/>
        <w:rPr>
          <w:noProof/>
        </w:rPr>
      </w:pPr>
      <w:r w:rsidRPr="004F01E9">
        <w:rPr>
          <w:noProof/>
        </w:rPr>
        <w:t>„126) „syntetický podiel“ je investícia inštitúcie do finančného nástroja, ktorého hodnota priamo súvisí</w:t>
      </w:r>
      <w:r w:rsidR="004F01E9">
        <w:rPr>
          <w:noProof/>
        </w:rPr>
        <w:t xml:space="preserve"> s </w:t>
      </w:r>
      <w:r w:rsidRPr="004F01E9">
        <w:rPr>
          <w:noProof/>
        </w:rPr>
        <w:t>hodnotou kapitálových nástrojov emitovaných subjektom finančného sektora alebo</w:t>
      </w:r>
      <w:r w:rsidR="004F01E9">
        <w:rPr>
          <w:noProof/>
        </w:rPr>
        <w:t xml:space="preserve"> s </w:t>
      </w:r>
      <w:r w:rsidRPr="004F01E9">
        <w:rPr>
          <w:noProof/>
        </w:rPr>
        <w:t>hodnotou záväzkov emitovaných danou inštitúciou;“;</w:t>
      </w:r>
    </w:p>
    <w:p w14:paraId="2ED0DE66" w14:textId="0BFF0A41" w:rsidR="00806B81" w:rsidRPr="004F01E9" w:rsidRDefault="001F5DEB" w:rsidP="001F5DEB">
      <w:pPr>
        <w:pStyle w:val="Point1"/>
        <w:rPr>
          <w:noProof/>
        </w:rPr>
      </w:pPr>
      <w:r w:rsidRPr="004F01E9">
        <w:rPr>
          <w:noProof/>
        </w:rPr>
        <w:t>w)</w:t>
      </w:r>
      <w:r w:rsidRPr="004F01E9">
        <w:rPr>
          <w:noProof/>
        </w:rPr>
        <w:tab/>
        <w:t>Bod 144 sa nahrádza takto:</w:t>
      </w:r>
    </w:p>
    <w:p w14:paraId="26254D0A" w14:textId="3C275969" w:rsidR="008C5976" w:rsidRPr="004F01E9" w:rsidRDefault="008C5976" w:rsidP="00615061">
      <w:pPr>
        <w:pStyle w:val="Text2"/>
        <w:rPr>
          <w:noProof/>
        </w:rPr>
      </w:pPr>
      <w:r w:rsidRPr="004F01E9">
        <w:rPr>
          <w:noProof/>
        </w:rPr>
        <w:t>„144) „trading desk“ je dobre vymedzená skupina obchodníkov, ktorú zriadila inštitúcia</w:t>
      </w:r>
      <w:r w:rsidR="004F01E9">
        <w:rPr>
          <w:noProof/>
        </w:rPr>
        <w:t xml:space="preserve"> a </w:t>
      </w:r>
      <w:r w:rsidRPr="004F01E9">
        <w:rPr>
          <w:noProof/>
        </w:rPr>
        <w:t>ktorá spoločne spravuje portfólio pozícií</w:t>
      </w:r>
      <w:r w:rsidR="004F01E9">
        <w:rPr>
          <w:noProof/>
        </w:rPr>
        <w:t xml:space="preserve"> v </w:t>
      </w:r>
      <w:r w:rsidRPr="004F01E9">
        <w:rPr>
          <w:noProof/>
        </w:rPr>
        <w:t>obchodnej knihe, alebo pozícií</w:t>
      </w:r>
      <w:r w:rsidR="004F01E9">
        <w:rPr>
          <w:noProof/>
        </w:rPr>
        <w:t xml:space="preserve"> v </w:t>
      </w:r>
      <w:r w:rsidRPr="004F01E9">
        <w:rPr>
          <w:noProof/>
        </w:rPr>
        <w:t>neobchodnej knihe podľa článku 104b ods. 5</w:t>
      </w:r>
      <w:r w:rsidR="004F01E9">
        <w:rPr>
          <w:noProof/>
        </w:rPr>
        <w:t xml:space="preserve"> a </w:t>
      </w:r>
      <w:r w:rsidRPr="004F01E9">
        <w:rPr>
          <w:noProof/>
        </w:rPr>
        <w:t>6, na základe dobre vymedzenej</w:t>
      </w:r>
      <w:r w:rsidR="004F01E9">
        <w:rPr>
          <w:noProof/>
        </w:rPr>
        <w:t xml:space="preserve"> a </w:t>
      </w:r>
      <w:r w:rsidRPr="004F01E9">
        <w:rPr>
          <w:noProof/>
        </w:rPr>
        <w:t>konzistentnej obchodnej stratégie</w:t>
      </w:r>
      <w:r w:rsidR="004F01E9">
        <w:rPr>
          <w:noProof/>
        </w:rPr>
        <w:t xml:space="preserve"> a </w:t>
      </w:r>
      <w:r w:rsidRPr="004F01E9">
        <w:rPr>
          <w:noProof/>
        </w:rPr>
        <w:t>ktorá pôsobí</w:t>
      </w:r>
      <w:r w:rsidR="004F01E9">
        <w:rPr>
          <w:noProof/>
        </w:rPr>
        <w:t xml:space="preserve"> v </w:t>
      </w:r>
      <w:r w:rsidRPr="004F01E9">
        <w:rPr>
          <w:noProof/>
        </w:rPr>
        <w:t>rámci tej istej štruktúry riadenia rizík;“;</w:t>
      </w:r>
    </w:p>
    <w:p w14:paraId="5E4D44EE" w14:textId="2E2F3FEB" w:rsidR="004E20FB" w:rsidRPr="004F01E9" w:rsidRDefault="001C50DD" w:rsidP="001B604C">
      <w:pPr>
        <w:pStyle w:val="Point1"/>
        <w:rPr>
          <w:noProof/>
        </w:rPr>
      </w:pPr>
      <w:r w:rsidRPr="004F01E9">
        <w:rPr>
          <w:noProof/>
        </w:rPr>
        <w:t>x)</w:t>
      </w:r>
      <w:r w:rsidRPr="004F01E9">
        <w:rPr>
          <w:noProof/>
        </w:rPr>
        <w:tab/>
        <w:t>V bode 145 sa vkladá tento pododsek:</w:t>
      </w:r>
    </w:p>
    <w:p w14:paraId="00094CC8" w14:textId="706B6BA3" w:rsidR="008C5976" w:rsidRPr="004F01E9" w:rsidRDefault="004E20FB" w:rsidP="001F5DEB">
      <w:pPr>
        <w:pStyle w:val="Point1"/>
        <w:rPr>
          <w:noProof/>
        </w:rPr>
      </w:pPr>
      <w:r w:rsidRPr="004F01E9">
        <w:rPr>
          <w:noProof/>
        </w:rPr>
        <w:t>„Na účely písmena e) môže inštitúcia vylúčiť derivátové pozície, ktoré uzavrela so svojimi nefinančnými klientmi,</w:t>
      </w:r>
      <w:r w:rsidR="004F01E9">
        <w:rPr>
          <w:noProof/>
        </w:rPr>
        <w:t xml:space="preserve"> a </w:t>
      </w:r>
      <w:r w:rsidRPr="004F01E9">
        <w:rPr>
          <w:noProof/>
        </w:rPr>
        <w:t>derivátové pozície, ktoré používa na hedžing týchto pozícií, za predpokladu, že kombinovaná hodnota vylúčených pozícií vypočítaná</w:t>
      </w:r>
      <w:r w:rsidR="004F01E9">
        <w:rPr>
          <w:noProof/>
        </w:rPr>
        <w:t xml:space="preserve"> v </w:t>
      </w:r>
      <w:r w:rsidRPr="004F01E9">
        <w:rPr>
          <w:noProof/>
        </w:rPr>
        <w:t>súlade</w:t>
      </w:r>
      <w:r w:rsidR="004F01E9">
        <w:rPr>
          <w:noProof/>
        </w:rPr>
        <w:t xml:space="preserve"> s </w:t>
      </w:r>
      <w:r w:rsidRPr="004F01E9">
        <w:rPr>
          <w:noProof/>
        </w:rPr>
        <w:t>článkom 273a ods. 3 nepresahuje 10</w:t>
      </w:r>
      <w:r w:rsidR="004F01E9">
        <w:rPr>
          <w:noProof/>
        </w:rPr>
        <w:t> %</w:t>
      </w:r>
      <w:r w:rsidRPr="004F01E9">
        <w:rPr>
          <w:noProof/>
        </w:rPr>
        <w:t xml:space="preserve"> celkových súvahových</w:t>
      </w:r>
      <w:r w:rsidR="004F01E9">
        <w:rPr>
          <w:noProof/>
        </w:rPr>
        <w:t xml:space="preserve"> a </w:t>
      </w:r>
      <w:r w:rsidRPr="004F01E9">
        <w:rPr>
          <w:noProof/>
        </w:rPr>
        <w:t>podsúvahových aktív inštitúcie.“; y)</w:t>
      </w:r>
      <w:r w:rsidRPr="004F01E9">
        <w:rPr>
          <w:noProof/>
        </w:rPr>
        <w:tab/>
        <w:t>Dopĺňajú sa tieto body 151</w:t>
      </w:r>
      <w:r w:rsidR="004F01E9">
        <w:rPr>
          <w:noProof/>
        </w:rPr>
        <w:t xml:space="preserve"> a </w:t>
      </w:r>
      <w:r w:rsidRPr="004F01E9">
        <w:rPr>
          <w:noProof/>
        </w:rPr>
        <w:t>152:</w:t>
      </w:r>
    </w:p>
    <w:p w14:paraId="525A37C2" w14:textId="0A36FB02" w:rsidR="00806B81" w:rsidRPr="004F01E9" w:rsidRDefault="008C5976" w:rsidP="00615061">
      <w:pPr>
        <w:pStyle w:val="Text2"/>
        <w:rPr>
          <w:noProof/>
        </w:rPr>
      </w:pPr>
      <w:r w:rsidRPr="004F01E9">
        <w:rPr>
          <w:noProof/>
        </w:rPr>
        <w:t>„151) „revolvingová expozícia“ je každá expozícia, pri ktorej sa nesplatené zostatky dlžníkov môžu meniť na základe ich rozhodnutí požičať si</w:t>
      </w:r>
      <w:r w:rsidR="004F01E9">
        <w:rPr>
          <w:noProof/>
        </w:rPr>
        <w:t xml:space="preserve"> a </w:t>
      </w:r>
      <w:r w:rsidRPr="004F01E9">
        <w:rPr>
          <w:noProof/>
        </w:rPr>
        <w:t>splácať,</w:t>
      </w:r>
      <w:r w:rsidR="004F01E9">
        <w:rPr>
          <w:noProof/>
        </w:rPr>
        <w:t xml:space="preserve"> a </w:t>
      </w:r>
      <w:r w:rsidRPr="004F01E9">
        <w:rPr>
          <w:noProof/>
        </w:rPr>
        <w:t>to až do výšky dohodnutého limitu;</w:t>
      </w:r>
    </w:p>
    <w:p w14:paraId="67693330" w14:textId="3FA65FC9" w:rsidR="008C5976" w:rsidRPr="004F01E9" w:rsidRDefault="008C5976" w:rsidP="00615061">
      <w:pPr>
        <w:pStyle w:val="Text2"/>
        <w:rPr>
          <w:noProof/>
        </w:rPr>
      </w:pPr>
      <w:r w:rsidRPr="004F01E9">
        <w:rPr>
          <w:noProof/>
        </w:rPr>
        <w:t>152) „expozícia voči transakčnému partnerovi“ je akákoľvek revolvingová expozícia, ktorá má aspoň 12-mesačnú históriu splácania</w:t>
      </w:r>
      <w:r w:rsidR="004F01E9">
        <w:rPr>
          <w:noProof/>
        </w:rPr>
        <w:t xml:space="preserve"> a </w:t>
      </w:r>
      <w:r w:rsidRPr="004F01E9">
        <w:rPr>
          <w:noProof/>
        </w:rPr>
        <w:t>ktorá patrí do jednej</w:t>
      </w:r>
      <w:r w:rsidR="004F01E9">
        <w:rPr>
          <w:noProof/>
        </w:rPr>
        <w:t xml:space="preserve"> z </w:t>
      </w:r>
      <w:r w:rsidRPr="004F01E9">
        <w:rPr>
          <w:noProof/>
        </w:rPr>
        <w:t>týchto kategórií:</w:t>
      </w:r>
    </w:p>
    <w:p w14:paraId="49DD9E44" w14:textId="08B1005B" w:rsidR="008C5976" w:rsidRPr="004F01E9" w:rsidRDefault="001F5DEB" w:rsidP="001C50DD">
      <w:pPr>
        <w:pStyle w:val="Point2"/>
        <w:rPr>
          <w:noProof/>
        </w:rPr>
      </w:pPr>
      <w:r w:rsidRPr="004F01E9">
        <w:rPr>
          <w:noProof/>
        </w:rPr>
        <w:t>a)</w:t>
      </w:r>
      <w:r w:rsidRPr="004F01E9">
        <w:rPr>
          <w:noProof/>
        </w:rPr>
        <w:tab/>
        <w:t>expozícia, pri ktorej sa pravidelne počas aspoň každých 12 mesiacov zostatok, ktorý sa má splatiť</w:t>
      </w:r>
      <w:r w:rsidR="004F01E9">
        <w:rPr>
          <w:noProof/>
        </w:rPr>
        <w:t xml:space="preserve"> k </w:t>
      </w:r>
      <w:r w:rsidRPr="004F01E9">
        <w:rPr>
          <w:noProof/>
        </w:rPr>
        <w:t>nasledujúcemu plánovanému dátumu splatenia, určuje ako vyčerpaná suma</w:t>
      </w:r>
      <w:r w:rsidR="004F01E9">
        <w:rPr>
          <w:noProof/>
        </w:rPr>
        <w:t xml:space="preserve"> k </w:t>
      </w:r>
      <w:r w:rsidRPr="004F01E9">
        <w:rPr>
          <w:noProof/>
        </w:rPr>
        <w:t>vopred stanovenému referenčnému dátumu, pričom plánovaný dátum splatenia nenastane neskôr než po 12 mesiacoch,</w:t>
      </w:r>
      <w:r w:rsidR="004F01E9">
        <w:rPr>
          <w:noProof/>
        </w:rPr>
        <w:t xml:space="preserve"> a </w:t>
      </w:r>
      <w:r w:rsidRPr="004F01E9">
        <w:rPr>
          <w:noProof/>
        </w:rPr>
        <w:t>to za predpokladu, že zostatok bol za predchádzajúcich 12 mesiacov</w:t>
      </w:r>
      <w:r w:rsidR="004F01E9">
        <w:rPr>
          <w:noProof/>
        </w:rPr>
        <w:t xml:space="preserve"> v </w:t>
      </w:r>
      <w:r w:rsidRPr="004F01E9">
        <w:rPr>
          <w:noProof/>
        </w:rPr>
        <w:t>plnej miere splatený ku každému plánovanému dátumu splatenia;</w:t>
      </w:r>
    </w:p>
    <w:p w14:paraId="560D6AC6" w14:textId="4E799E0D" w:rsidR="008C5976" w:rsidRPr="004F01E9" w:rsidRDefault="001F5DEB" w:rsidP="001C50DD">
      <w:pPr>
        <w:pStyle w:val="Point2"/>
        <w:rPr>
          <w:noProof/>
        </w:rPr>
      </w:pPr>
      <w:r w:rsidRPr="004F01E9">
        <w:rPr>
          <w:noProof/>
        </w:rPr>
        <w:t>b)</w:t>
      </w:r>
      <w:r w:rsidRPr="004F01E9">
        <w:rPr>
          <w:noProof/>
        </w:rPr>
        <w:tab/>
        <w:t>povolené prečerpanie, ak za predchádzajúcich 12 mesiacov nedošlo</w:t>
      </w:r>
      <w:r w:rsidR="004F01E9">
        <w:rPr>
          <w:noProof/>
        </w:rPr>
        <w:t xml:space="preserve"> k </w:t>
      </w:r>
      <w:r w:rsidRPr="004F01E9">
        <w:rPr>
          <w:noProof/>
        </w:rPr>
        <w:t>žiadnemu čerpaniu“;</w:t>
      </w:r>
    </w:p>
    <w:p w14:paraId="5BC60020" w14:textId="22428273" w:rsidR="001425AB" w:rsidRPr="004F01E9" w:rsidRDefault="00C349AE" w:rsidP="00C349AE">
      <w:pPr>
        <w:pStyle w:val="Point0"/>
        <w:rPr>
          <w:noProof/>
        </w:rPr>
      </w:pPr>
      <w:r w:rsidRPr="00C349AE">
        <w:rPr>
          <w:noProof/>
        </w:rPr>
        <w:t>2</w:t>
      </w:r>
      <w:r>
        <w:rPr>
          <w:noProof/>
        </w:rPr>
        <w:t>.</w:t>
      </w:r>
      <w:r w:rsidRPr="00C349AE">
        <w:rPr>
          <w:noProof/>
        </w:rPr>
        <w:tab/>
      </w:r>
      <w:r w:rsidR="001425AB" w:rsidRPr="004F01E9">
        <w:rPr>
          <w:noProof/>
        </w:rPr>
        <w:t>Článok 5 sa mení takto:</w:t>
      </w:r>
    </w:p>
    <w:p w14:paraId="55FFAF6E" w14:textId="4699C2C7" w:rsidR="001425AB" w:rsidRPr="004F01E9" w:rsidRDefault="001F5DEB" w:rsidP="001F5DEB">
      <w:pPr>
        <w:pStyle w:val="Point1"/>
        <w:rPr>
          <w:noProof/>
        </w:rPr>
      </w:pPr>
      <w:r w:rsidRPr="004F01E9">
        <w:rPr>
          <w:noProof/>
        </w:rPr>
        <w:t>a)</w:t>
      </w:r>
      <w:r w:rsidRPr="004F01E9">
        <w:rPr>
          <w:noProof/>
        </w:rPr>
        <w:tab/>
        <w:t>Bod 3 sa nahrádza takto:</w:t>
      </w:r>
    </w:p>
    <w:p w14:paraId="4CF9E6B4" w14:textId="73601ACF" w:rsidR="001425AB" w:rsidRPr="004F01E9" w:rsidRDefault="001425AB" w:rsidP="00615061">
      <w:pPr>
        <w:pStyle w:val="Text2"/>
        <w:rPr>
          <w:noProof/>
        </w:rPr>
      </w:pPr>
      <w:r w:rsidRPr="004F01E9">
        <w:rPr>
          <w:noProof/>
        </w:rPr>
        <w:t>„3) „očakávaná strata“ alebo „EL“ je,</w:t>
      </w:r>
      <w:r w:rsidR="004F01E9">
        <w:rPr>
          <w:noProof/>
        </w:rPr>
        <w:t xml:space="preserve"> v </w:t>
      </w:r>
      <w:r w:rsidRPr="004F01E9">
        <w:rPr>
          <w:noProof/>
        </w:rPr>
        <w:t>súvislosti</w:t>
      </w:r>
      <w:r w:rsidR="004F01E9">
        <w:rPr>
          <w:noProof/>
        </w:rPr>
        <w:t xml:space="preserve"> s </w:t>
      </w:r>
      <w:r w:rsidRPr="004F01E9">
        <w:rPr>
          <w:noProof/>
        </w:rPr>
        <w:t>jednou facilitou, pomer výšky straty očakávanej</w:t>
      </w:r>
      <w:r w:rsidR="004F01E9">
        <w:rPr>
          <w:noProof/>
        </w:rPr>
        <w:t xml:space="preserve"> z </w:t>
      </w:r>
      <w:r w:rsidRPr="004F01E9">
        <w:rPr>
          <w:noProof/>
        </w:rPr>
        <w:t>expozície voči ktorémukoľvek</w:t>
      </w:r>
      <w:r w:rsidR="004F01E9">
        <w:rPr>
          <w:noProof/>
        </w:rPr>
        <w:t xml:space="preserve"> z </w:t>
      </w:r>
      <w:r w:rsidRPr="004F01E9">
        <w:rPr>
          <w:noProof/>
        </w:rPr>
        <w:t>týchto prípadov:</w:t>
      </w:r>
    </w:p>
    <w:p w14:paraId="2A1455C4" w14:textId="7DAB44F4" w:rsidR="001425AB" w:rsidRPr="004F01E9" w:rsidRDefault="001425AB" w:rsidP="001425AB">
      <w:pPr>
        <w:pStyle w:val="Point2"/>
        <w:rPr>
          <w:noProof/>
        </w:rPr>
      </w:pPr>
      <w:r w:rsidRPr="004F01E9">
        <w:rPr>
          <w:noProof/>
        </w:rPr>
        <w:t>i)</w:t>
      </w:r>
      <w:r w:rsidRPr="004F01E9">
        <w:rPr>
          <w:noProof/>
        </w:rPr>
        <w:tab/>
        <w:t>potenciálne zlyhanie dlžníka počas obdobia jedného roka</w:t>
      </w:r>
      <w:r w:rsidR="004F01E9">
        <w:rPr>
          <w:noProof/>
        </w:rPr>
        <w:t xml:space="preserve"> v </w:t>
      </w:r>
      <w:r w:rsidRPr="004F01E9">
        <w:rPr>
          <w:noProof/>
        </w:rPr>
        <w:t>pomere</w:t>
      </w:r>
      <w:r w:rsidR="004F01E9">
        <w:rPr>
          <w:noProof/>
        </w:rPr>
        <w:t xml:space="preserve"> k </w:t>
      </w:r>
      <w:r w:rsidRPr="004F01E9">
        <w:rPr>
          <w:noProof/>
        </w:rPr>
        <w:t>nesplatenej sume</w:t>
      </w:r>
      <w:r w:rsidR="004F01E9">
        <w:rPr>
          <w:noProof/>
        </w:rPr>
        <w:t xml:space="preserve"> v </w:t>
      </w:r>
      <w:r w:rsidRPr="004F01E9">
        <w:rPr>
          <w:noProof/>
        </w:rPr>
        <w:t>momente zlyhania;</w:t>
      </w:r>
    </w:p>
    <w:p w14:paraId="692B19E4" w14:textId="6A43D096" w:rsidR="001425AB" w:rsidRPr="004F01E9" w:rsidRDefault="001425AB" w:rsidP="001425AB">
      <w:pPr>
        <w:pStyle w:val="Point2"/>
        <w:rPr>
          <w:noProof/>
        </w:rPr>
      </w:pPr>
      <w:r w:rsidRPr="004F01E9">
        <w:rPr>
          <w:noProof/>
        </w:rPr>
        <w:t>ii)</w:t>
      </w:r>
      <w:r w:rsidRPr="004F01E9">
        <w:rPr>
          <w:noProof/>
        </w:rPr>
        <w:tab/>
        <w:t>potenciálna udalosť zníženia kvality pohľadávok</w:t>
      </w:r>
      <w:r w:rsidR="004F01E9">
        <w:rPr>
          <w:noProof/>
        </w:rPr>
        <w:t xml:space="preserve"> z </w:t>
      </w:r>
      <w:r w:rsidRPr="004F01E9">
        <w:rPr>
          <w:noProof/>
        </w:rPr>
        <w:t>iných ako kreditných dôvodov počas obdobia jedného roka</w:t>
      </w:r>
      <w:r w:rsidR="004F01E9">
        <w:rPr>
          <w:noProof/>
        </w:rPr>
        <w:t xml:space="preserve"> v </w:t>
      </w:r>
      <w:r w:rsidRPr="004F01E9">
        <w:rPr>
          <w:noProof/>
        </w:rPr>
        <w:t>pomere</w:t>
      </w:r>
      <w:r w:rsidR="004F01E9">
        <w:rPr>
          <w:noProof/>
        </w:rPr>
        <w:t xml:space="preserve"> k </w:t>
      </w:r>
      <w:r w:rsidRPr="004F01E9">
        <w:rPr>
          <w:noProof/>
        </w:rPr>
        <w:t>nesplatenej sume</w:t>
      </w:r>
      <w:r w:rsidR="004F01E9">
        <w:rPr>
          <w:noProof/>
        </w:rPr>
        <w:t xml:space="preserve"> k </w:t>
      </w:r>
      <w:r w:rsidRPr="004F01E9">
        <w:rPr>
          <w:noProof/>
        </w:rPr>
        <w:t>dátumu výskytu danej udalosti zníženia kvality pohľadávok</w:t>
      </w:r>
      <w:r w:rsidR="004F01E9">
        <w:rPr>
          <w:noProof/>
        </w:rPr>
        <w:t xml:space="preserve"> z </w:t>
      </w:r>
      <w:r w:rsidRPr="004F01E9">
        <w:rPr>
          <w:noProof/>
        </w:rPr>
        <w:t>iných ako kreditných dôvodov;“;</w:t>
      </w:r>
    </w:p>
    <w:p w14:paraId="36ACA159" w14:textId="77777777" w:rsidR="00806B81" w:rsidRPr="004F01E9" w:rsidRDefault="001F5DEB" w:rsidP="001F5DEB">
      <w:pPr>
        <w:pStyle w:val="Point1"/>
        <w:rPr>
          <w:noProof/>
        </w:rPr>
      </w:pPr>
      <w:r w:rsidRPr="004F01E9">
        <w:rPr>
          <w:noProof/>
        </w:rPr>
        <w:t>b)</w:t>
      </w:r>
      <w:r w:rsidRPr="004F01E9">
        <w:rPr>
          <w:noProof/>
        </w:rPr>
        <w:tab/>
        <w:t>Dopĺňajú sa tieto body 4 až 10:</w:t>
      </w:r>
    </w:p>
    <w:p w14:paraId="038E4ABC" w14:textId="5EF37A79" w:rsidR="001425AB" w:rsidRPr="004F01E9" w:rsidRDefault="001425AB" w:rsidP="00615061">
      <w:pPr>
        <w:pStyle w:val="Text2"/>
        <w:rPr>
          <w:noProof/>
        </w:rPr>
      </w:pPr>
      <w:r w:rsidRPr="004F01E9">
        <w:rPr>
          <w:noProof/>
        </w:rPr>
        <w:t>„4) „kreditný záväzok“ je každý záväzok vyplývajúci</w:t>
      </w:r>
      <w:r w:rsidR="004F01E9">
        <w:rPr>
          <w:noProof/>
        </w:rPr>
        <w:t xml:space="preserve"> z </w:t>
      </w:r>
      <w:r w:rsidRPr="004F01E9">
        <w:rPr>
          <w:noProof/>
        </w:rPr>
        <w:t>úverovej zmluvy vrátane istiny, vzniknutého úroku</w:t>
      </w:r>
      <w:r w:rsidR="004F01E9">
        <w:rPr>
          <w:noProof/>
        </w:rPr>
        <w:t xml:space="preserve"> a </w:t>
      </w:r>
      <w:r w:rsidRPr="004F01E9">
        <w:rPr>
          <w:noProof/>
        </w:rPr>
        <w:t>poplatkov, ktoré dlžník dlží inštitúcii alebo, ak inštitúcia koná ako ručiteľ, ktoré dlžník dlží tretej strane;</w:t>
      </w:r>
    </w:p>
    <w:p w14:paraId="04D5B56A" w14:textId="692C38E1" w:rsidR="001425AB" w:rsidRPr="004F01E9" w:rsidRDefault="001425AB" w:rsidP="00615061">
      <w:pPr>
        <w:pStyle w:val="Text2"/>
        <w:rPr>
          <w:noProof/>
        </w:rPr>
      </w:pPr>
      <w:r w:rsidRPr="004F01E9">
        <w:rPr>
          <w:noProof/>
        </w:rPr>
        <w:t>5) „kreditná expozícia“ je každá súvahová položka vrátane akejkoľvek sumy istiny, vzniknutého úroku</w:t>
      </w:r>
      <w:r w:rsidR="004F01E9">
        <w:rPr>
          <w:noProof/>
        </w:rPr>
        <w:t xml:space="preserve"> a </w:t>
      </w:r>
      <w:r w:rsidRPr="004F01E9">
        <w:rPr>
          <w:noProof/>
        </w:rPr>
        <w:t>poplatkov, ktoré dlžník dlží inštitúcii,</w:t>
      </w:r>
      <w:r w:rsidR="004F01E9">
        <w:rPr>
          <w:noProof/>
        </w:rPr>
        <w:t xml:space="preserve"> a </w:t>
      </w:r>
      <w:r w:rsidRPr="004F01E9">
        <w:rPr>
          <w:noProof/>
        </w:rPr>
        <w:t>akákoľvek podsúvahová položka, ktorá vedie alebo môže viesť</w:t>
      </w:r>
      <w:r w:rsidR="004F01E9">
        <w:rPr>
          <w:noProof/>
        </w:rPr>
        <w:t xml:space="preserve"> k </w:t>
      </w:r>
      <w:r w:rsidRPr="004F01E9">
        <w:rPr>
          <w:noProof/>
        </w:rPr>
        <w:t>vzniku kreditného záväzku;</w:t>
      </w:r>
    </w:p>
    <w:p w14:paraId="159D4FF1" w14:textId="6655DC6B" w:rsidR="001425AB" w:rsidRPr="004F01E9" w:rsidRDefault="001425AB" w:rsidP="00615061">
      <w:pPr>
        <w:pStyle w:val="Text2"/>
        <w:rPr>
          <w:noProof/>
        </w:rPr>
      </w:pPr>
      <w:r w:rsidRPr="004F01E9">
        <w:rPr>
          <w:noProof/>
        </w:rPr>
        <w:t>6) „facilita“ je kreditná expozícia vyplývajúca zo zmluvy alebo súboru zmlúv medzi dlžníkom</w:t>
      </w:r>
      <w:r w:rsidR="004F01E9">
        <w:rPr>
          <w:noProof/>
        </w:rPr>
        <w:t xml:space="preserve"> a </w:t>
      </w:r>
      <w:r w:rsidRPr="004F01E9">
        <w:rPr>
          <w:noProof/>
        </w:rPr>
        <w:t>inštitúciou;</w:t>
      </w:r>
    </w:p>
    <w:p w14:paraId="4F109F60" w14:textId="0A2DC76C" w:rsidR="001425AB" w:rsidRPr="004F01E9" w:rsidRDefault="001425AB" w:rsidP="00615061">
      <w:pPr>
        <w:pStyle w:val="Text2"/>
        <w:rPr>
          <w:noProof/>
        </w:rPr>
      </w:pPr>
      <w:r w:rsidRPr="004F01E9">
        <w:rPr>
          <w:noProof/>
        </w:rPr>
        <w:t>7) „miera konzervatívnosti“ je pripočítanie alebo vynásobenie dodatočnou hodnotou zahrnutou do odhadov rizík, ktorá je dostatočne obozretná na to, aby sa</w:t>
      </w:r>
      <w:r w:rsidR="004F01E9">
        <w:rPr>
          <w:noProof/>
        </w:rPr>
        <w:t xml:space="preserve"> v </w:t>
      </w:r>
      <w:r w:rsidRPr="004F01E9">
        <w:rPr>
          <w:noProof/>
        </w:rPr>
        <w:t>nej zohľadňoval očakávaný rozsah chybovosti pri odhadoch, ktoré vyplývajú</w:t>
      </w:r>
      <w:r w:rsidR="004F01E9">
        <w:rPr>
          <w:noProof/>
        </w:rPr>
        <w:t xml:space="preserve"> z </w:t>
      </w:r>
      <w:r w:rsidRPr="004F01E9">
        <w:rPr>
          <w:noProof/>
        </w:rPr>
        <w:t>identifikovaných nedostatkov</w:t>
      </w:r>
      <w:r w:rsidR="004F01E9">
        <w:rPr>
          <w:noProof/>
        </w:rPr>
        <w:t xml:space="preserve"> v </w:t>
      </w:r>
      <w:r w:rsidRPr="004F01E9">
        <w:rPr>
          <w:noProof/>
        </w:rPr>
        <w:t>údajoch, metódach</w:t>
      </w:r>
      <w:r w:rsidR="004F01E9">
        <w:rPr>
          <w:noProof/>
        </w:rPr>
        <w:t xml:space="preserve"> a </w:t>
      </w:r>
      <w:r w:rsidRPr="004F01E9">
        <w:rPr>
          <w:noProof/>
        </w:rPr>
        <w:t>modeloch</w:t>
      </w:r>
      <w:r w:rsidR="004F01E9">
        <w:rPr>
          <w:noProof/>
        </w:rPr>
        <w:t xml:space="preserve"> a </w:t>
      </w:r>
      <w:r w:rsidRPr="004F01E9">
        <w:rPr>
          <w:noProof/>
        </w:rPr>
        <w:t>zo zmien</w:t>
      </w:r>
      <w:r w:rsidR="004F01E9">
        <w:rPr>
          <w:noProof/>
        </w:rPr>
        <w:t xml:space="preserve"> v </w:t>
      </w:r>
      <w:r w:rsidRPr="004F01E9">
        <w:rPr>
          <w:noProof/>
        </w:rPr>
        <w:t>štandardom upisovania, ochoty riskovať, politiky výberu</w:t>
      </w:r>
      <w:r w:rsidR="004F01E9">
        <w:rPr>
          <w:noProof/>
        </w:rPr>
        <w:t xml:space="preserve"> a </w:t>
      </w:r>
      <w:r w:rsidRPr="004F01E9">
        <w:rPr>
          <w:noProof/>
        </w:rPr>
        <w:t>vymáhania</w:t>
      </w:r>
      <w:r w:rsidR="004F01E9">
        <w:rPr>
          <w:noProof/>
        </w:rPr>
        <w:t xml:space="preserve"> a </w:t>
      </w:r>
      <w:r w:rsidRPr="004F01E9">
        <w:rPr>
          <w:noProof/>
        </w:rPr>
        <w:t>akýchkoľvek iných dodatočných zdrojov neistoty, ako aj zo všeobecnej chybovosti pri odhadoch;</w:t>
      </w:r>
    </w:p>
    <w:p w14:paraId="4BBF0303" w14:textId="7F708369" w:rsidR="001425AB" w:rsidRPr="004F01E9" w:rsidRDefault="001425AB" w:rsidP="00615061">
      <w:pPr>
        <w:pStyle w:val="Text2"/>
        <w:rPr>
          <w:noProof/>
        </w:rPr>
      </w:pPr>
      <w:r w:rsidRPr="004F01E9">
        <w:rPr>
          <w:noProof/>
        </w:rPr>
        <w:t>8) „malý</w:t>
      </w:r>
      <w:r w:rsidR="004F01E9">
        <w:rPr>
          <w:noProof/>
        </w:rPr>
        <w:t xml:space="preserve"> a </w:t>
      </w:r>
      <w:r w:rsidRPr="004F01E9">
        <w:rPr>
          <w:noProof/>
        </w:rPr>
        <w:t>stredný podnik“ alebo „MSP“ je spoločnosť, firma alebo podnik, ktorý má podľa poslednej konsolidovanej účtovnej závierky ročný obrat najviac 50 000 000 EUR;</w:t>
      </w:r>
    </w:p>
    <w:p w14:paraId="2BFC3477" w14:textId="12613309" w:rsidR="00806B81" w:rsidRPr="004F01E9" w:rsidRDefault="001425AB" w:rsidP="00615061">
      <w:pPr>
        <w:pStyle w:val="Text2"/>
        <w:rPr>
          <w:noProof/>
        </w:rPr>
      </w:pPr>
      <w:r w:rsidRPr="004F01E9">
        <w:rPr>
          <w:noProof/>
        </w:rPr>
        <w:t>9) „prísľub“ je každé zmluvné dojednanie, ktoré inštitúcia ponúkne klientovi</w:t>
      </w:r>
      <w:r w:rsidR="004F01E9">
        <w:rPr>
          <w:noProof/>
        </w:rPr>
        <w:t xml:space="preserve"> a </w:t>
      </w:r>
      <w:r w:rsidRPr="004F01E9">
        <w:rPr>
          <w:noProof/>
        </w:rPr>
        <w:t>ktoré takýto klient prijme, poskytnúť úver, nakúpiť aktíva alebo vydať úverové substitúty. Prísľubom je aj akékoľvek dojednanie, ktoré môže inštitúcia bezpodmienečne kedykoľvek zrušiť bez toho, aby</w:t>
      </w:r>
      <w:r w:rsidR="004F01E9">
        <w:rPr>
          <w:noProof/>
        </w:rPr>
        <w:t xml:space="preserve"> o </w:t>
      </w:r>
      <w:r w:rsidRPr="004F01E9">
        <w:rPr>
          <w:noProof/>
        </w:rPr>
        <w:t>tom dlžníka vopred informovala, alebo akékoľvek dojednanie, ktoré môže inštitúcia zrušiť, ak si dlžník neplní podmienky uvedené</w:t>
      </w:r>
      <w:r w:rsidR="004F01E9">
        <w:rPr>
          <w:noProof/>
        </w:rPr>
        <w:t xml:space="preserve"> v </w:t>
      </w:r>
      <w:r w:rsidRPr="004F01E9">
        <w:rPr>
          <w:noProof/>
        </w:rPr>
        <w:t>dokumentácii</w:t>
      </w:r>
      <w:r w:rsidR="004F01E9">
        <w:rPr>
          <w:noProof/>
        </w:rPr>
        <w:t xml:space="preserve"> k </w:t>
      </w:r>
      <w:r w:rsidRPr="004F01E9">
        <w:rPr>
          <w:noProof/>
        </w:rPr>
        <w:t>facilite vrátane podmienok, ktoré musí mať dlžník splnené pred akýmkoľvek prvotným alebo následným čerpaním prostriedkov</w:t>
      </w:r>
      <w:r w:rsidR="004F01E9">
        <w:rPr>
          <w:noProof/>
        </w:rPr>
        <w:t xml:space="preserve"> v </w:t>
      </w:r>
      <w:r w:rsidRPr="004F01E9">
        <w:rPr>
          <w:noProof/>
        </w:rPr>
        <w:t>rámci daného dojednania.</w:t>
      </w:r>
    </w:p>
    <w:p w14:paraId="3F51C9B3" w14:textId="77777777" w:rsidR="00806B81" w:rsidRPr="004F01E9" w:rsidRDefault="001425AB" w:rsidP="00615061">
      <w:pPr>
        <w:pStyle w:val="Text2"/>
        <w:rPr>
          <w:noProof/>
        </w:rPr>
      </w:pPr>
      <w:r w:rsidRPr="004F01E9">
        <w:rPr>
          <w:noProof/>
        </w:rPr>
        <w:t>Za prísľuby sa nepovažujú zmluvné dojednania, ktoré spĺňajú všetky tieto podmienky:</w:t>
      </w:r>
    </w:p>
    <w:p w14:paraId="69ED047E" w14:textId="0792312F" w:rsidR="00806B81" w:rsidRPr="004F01E9" w:rsidRDefault="001F5DEB" w:rsidP="001C50DD">
      <w:pPr>
        <w:pStyle w:val="Point2"/>
        <w:rPr>
          <w:noProof/>
        </w:rPr>
      </w:pPr>
      <w:r w:rsidRPr="004F01E9">
        <w:rPr>
          <w:noProof/>
        </w:rPr>
        <w:t>a)</w:t>
      </w:r>
      <w:r w:rsidRPr="004F01E9">
        <w:rPr>
          <w:noProof/>
        </w:rPr>
        <w:tab/>
        <w:t>zmluvné dojednania,</w:t>
      </w:r>
      <w:r w:rsidR="004F01E9">
        <w:rPr>
          <w:noProof/>
        </w:rPr>
        <w:t xml:space="preserve"> v </w:t>
      </w:r>
      <w:r w:rsidRPr="004F01E9">
        <w:rPr>
          <w:noProof/>
        </w:rPr>
        <w:t>rámci ktorých inštitúcia nedostáva žiadne poplatky alebo provízie za to, že uvedené zmluvné dojednania vytvorila alebo udržiava;</w:t>
      </w:r>
    </w:p>
    <w:p w14:paraId="1AC532EC" w14:textId="4334B5DC" w:rsidR="00806B81" w:rsidRPr="004F01E9" w:rsidRDefault="001F5DEB" w:rsidP="001C50DD">
      <w:pPr>
        <w:pStyle w:val="Point2"/>
        <w:rPr>
          <w:noProof/>
        </w:rPr>
      </w:pPr>
      <w:r w:rsidRPr="004F01E9">
        <w:rPr>
          <w:noProof/>
        </w:rPr>
        <w:t>b)</w:t>
      </w:r>
      <w:r w:rsidRPr="004F01E9">
        <w:rPr>
          <w:noProof/>
        </w:rPr>
        <w:tab/>
        <w:t>zmluvné dojednania,</w:t>
      </w:r>
      <w:r w:rsidR="004F01E9">
        <w:rPr>
          <w:noProof/>
        </w:rPr>
        <w:t xml:space="preserve"> v </w:t>
      </w:r>
      <w:r w:rsidRPr="004F01E9">
        <w:rPr>
          <w:noProof/>
        </w:rPr>
        <w:t>rámci ktorých je klient povinný požiadať inštitúciu</w:t>
      </w:r>
      <w:r w:rsidR="004F01E9">
        <w:rPr>
          <w:noProof/>
        </w:rPr>
        <w:t xml:space="preserve"> o </w:t>
      </w:r>
      <w:r w:rsidRPr="004F01E9">
        <w:rPr>
          <w:noProof/>
        </w:rPr>
        <w:t>prvotné</w:t>
      </w:r>
      <w:r w:rsidR="004F01E9">
        <w:rPr>
          <w:noProof/>
        </w:rPr>
        <w:t xml:space="preserve"> a </w:t>
      </w:r>
      <w:r w:rsidRPr="004F01E9">
        <w:rPr>
          <w:noProof/>
        </w:rPr>
        <w:t>každé následné čerpanie prostriedkov na základe uvedených zmluvných dojednaní;</w:t>
      </w:r>
    </w:p>
    <w:p w14:paraId="6634FF32" w14:textId="0041E958" w:rsidR="001425AB" w:rsidRPr="004F01E9" w:rsidRDefault="001F5DEB" w:rsidP="001C50DD">
      <w:pPr>
        <w:pStyle w:val="Point2"/>
        <w:rPr>
          <w:noProof/>
        </w:rPr>
      </w:pPr>
      <w:r w:rsidRPr="004F01E9">
        <w:rPr>
          <w:noProof/>
        </w:rPr>
        <w:t>c)</w:t>
      </w:r>
      <w:r w:rsidRPr="004F01E9">
        <w:rPr>
          <w:noProof/>
        </w:rPr>
        <w:tab/>
        <w:t>zmluvné dojednania,</w:t>
      </w:r>
      <w:r w:rsidR="004F01E9">
        <w:rPr>
          <w:noProof/>
        </w:rPr>
        <w:t xml:space="preserve"> v </w:t>
      </w:r>
      <w:r w:rsidRPr="004F01E9">
        <w:rPr>
          <w:noProof/>
        </w:rPr>
        <w:t>rámci ktorých má inštitúcia plné právo – bez ohľadu na to, či klient plní podmienky uvedené</w:t>
      </w:r>
      <w:r w:rsidR="004F01E9">
        <w:rPr>
          <w:noProof/>
        </w:rPr>
        <w:t xml:space="preserve"> v </w:t>
      </w:r>
      <w:r w:rsidRPr="004F01E9">
        <w:rPr>
          <w:noProof/>
        </w:rPr>
        <w:t>dokumentácii</w:t>
      </w:r>
      <w:r w:rsidR="004F01E9">
        <w:rPr>
          <w:noProof/>
        </w:rPr>
        <w:t xml:space="preserve"> o </w:t>
      </w:r>
      <w:r w:rsidRPr="004F01E9">
        <w:rPr>
          <w:noProof/>
        </w:rPr>
        <w:t>zmluvnom dojednaní – rozhodovať</w:t>
      </w:r>
      <w:r w:rsidR="004F01E9">
        <w:rPr>
          <w:noProof/>
        </w:rPr>
        <w:t xml:space="preserve"> o </w:t>
      </w:r>
      <w:r w:rsidRPr="004F01E9">
        <w:rPr>
          <w:noProof/>
        </w:rPr>
        <w:t>realizácii každého čerpania prostriedkov;</w:t>
      </w:r>
    </w:p>
    <w:p w14:paraId="1A2F0831" w14:textId="7D4D227C" w:rsidR="001425AB" w:rsidRPr="004F01E9" w:rsidRDefault="001425AB" w:rsidP="001C50DD">
      <w:pPr>
        <w:pStyle w:val="Point2"/>
        <w:rPr>
          <w:noProof/>
        </w:rPr>
      </w:pPr>
      <w:r w:rsidRPr="004F01E9">
        <w:rPr>
          <w:noProof/>
        </w:rPr>
        <w:t>d)</w:t>
      </w:r>
      <w:r w:rsidRPr="004F01E9">
        <w:rPr>
          <w:noProof/>
        </w:rPr>
        <w:tab/>
        <w:t>zmluvné dojednania,</w:t>
      </w:r>
      <w:r w:rsidR="004F01E9">
        <w:rPr>
          <w:noProof/>
        </w:rPr>
        <w:t xml:space="preserve"> v </w:t>
      </w:r>
      <w:r w:rsidRPr="004F01E9">
        <w:rPr>
          <w:noProof/>
        </w:rPr>
        <w:t>rámci ktorých sa od inštitúcie vyžaduje, aby posúdila úverovú bonitu klienta bezprostredne pred tým, ako rozhodne</w:t>
      </w:r>
      <w:r w:rsidR="004F01E9">
        <w:rPr>
          <w:noProof/>
        </w:rPr>
        <w:t xml:space="preserve"> o </w:t>
      </w:r>
      <w:r w:rsidRPr="004F01E9">
        <w:rPr>
          <w:noProof/>
        </w:rPr>
        <w:t>realizácii každého čerpania prostriedkov;</w:t>
      </w:r>
    </w:p>
    <w:p w14:paraId="195A1047" w14:textId="24F1A8CB" w:rsidR="001425AB" w:rsidRPr="004F01E9" w:rsidRDefault="001425AB" w:rsidP="001C50DD">
      <w:pPr>
        <w:pStyle w:val="Point2"/>
        <w:rPr>
          <w:noProof/>
        </w:rPr>
      </w:pPr>
      <w:r w:rsidRPr="004F01E9">
        <w:rPr>
          <w:noProof/>
        </w:rPr>
        <w:t>e)</w:t>
      </w:r>
      <w:r w:rsidRPr="004F01E9">
        <w:rPr>
          <w:noProof/>
        </w:rPr>
        <w:tab/>
        <w:t>zmluvné dojednania, ktoré sa ponúknu podnikateľskému subjektu vrátane MSP, ktorý sa priebežne pozorne monitoruje;</w:t>
      </w:r>
    </w:p>
    <w:p w14:paraId="656A4FAC" w14:textId="7644723D" w:rsidR="00806B81" w:rsidRPr="004F01E9" w:rsidRDefault="001425AB" w:rsidP="00615061">
      <w:pPr>
        <w:pStyle w:val="Text2"/>
        <w:rPr>
          <w:noProof/>
        </w:rPr>
      </w:pPr>
      <w:r w:rsidRPr="004F01E9">
        <w:rPr>
          <w:noProof/>
        </w:rPr>
        <w:t>10) „bezpodmienečne zrušiteľný prísľub“ je každý prísľub, ktorého podmienky umožňujú inštitúcii zrušiť uvedený prísľub</w:t>
      </w:r>
      <w:r w:rsidR="004F01E9">
        <w:rPr>
          <w:noProof/>
        </w:rPr>
        <w:t xml:space="preserve"> v </w:t>
      </w:r>
      <w:r w:rsidRPr="004F01E9">
        <w:rPr>
          <w:noProof/>
        </w:rPr>
        <w:t>plnom rozsahu, čo je prípustné na základe pravidiel</w:t>
      </w:r>
      <w:r w:rsidR="004F01E9">
        <w:rPr>
          <w:noProof/>
        </w:rPr>
        <w:t xml:space="preserve"> o </w:t>
      </w:r>
      <w:r w:rsidRPr="004F01E9">
        <w:rPr>
          <w:noProof/>
        </w:rPr>
        <w:t>ochrane spotrebiteľa</w:t>
      </w:r>
      <w:r w:rsidR="004F01E9">
        <w:rPr>
          <w:noProof/>
        </w:rPr>
        <w:t xml:space="preserve"> a </w:t>
      </w:r>
      <w:r w:rsidRPr="004F01E9">
        <w:rPr>
          <w:noProof/>
        </w:rPr>
        <w:t>súvisiacich právnych predpisov,</w:t>
      </w:r>
      <w:r w:rsidR="004F01E9">
        <w:rPr>
          <w:noProof/>
        </w:rPr>
        <w:t xml:space="preserve"> a </w:t>
      </w:r>
      <w:r w:rsidRPr="004F01E9">
        <w:rPr>
          <w:noProof/>
        </w:rPr>
        <w:t>to kedykoľvek bez toho, aby</w:t>
      </w:r>
      <w:r w:rsidR="004F01E9">
        <w:rPr>
          <w:noProof/>
        </w:rPr>
        <w:t xml:space="preserve"> o </w:t>
      </w:r>
      <w:r w:rsidRPr="004F01E9">
        <w:rPr>
          <w:noProof/>
        </w:rPr>
        <w:t>to dlžníka vopred informovala, alebo ktoré účinne stanovujú možnosť automaticky zrušiť prísľub</w:t>
      </w:r>
      <w:r w:rsidR="004F01E9">
        <w:rPr>
          <w:noProof/>
        </w:rPr>
        <w:t xml:space="preserve"> v </w:t>
      </w:r>
      <w:r w:rsidRPr="004F01E9">
        <w:rPr>
          <w:noProof/>
        </w:rPr>
        <w:t>dôsledku zhoršenia úverovej bonity dlžníka.“</w:t>
      </w:r>
    </w:p>
    <w:p w14:paraId="0F85A414" w14:textId="55AB1F92" w:rsidR="00806B81" w:rsidRPr="004F01E9" w:rsidRDefault="00C349AE" w:rsidP="00C349AE">
      <w:pPr>
        <w:pStyle w:val="Point0"/>
        <w:rPr>
          <w:noProof/>
        </w:rPr>
      </w:pPr>
      <w:r w:rsidRPr="00C349AE">
        <w:rPr>
          <w:noProof/>
        </w:rPr>
        <w:t>3</w:t>
      </w:r>
      <w:r>
        <w:rPr>
          <w:noProof/>
        </w:rPr>
        <w:t>.</w:t>
      </w:r>
      <w:r w:rsidRPr="00C349AE">
        <w:rPr>
          <w:noProof/>
        </w:rPr>
        <w:tab/>
      </w:r>
      <w:r w:rsidR="001425AB" w:rsidRPr="004F01E9">
        <w:rPr>
          <w:noProof/>
        </w:rPr>
        <w:t>V článku 6 sa odsek 3 nahrádza takto:</w:t>
      </w:r>
    </w:p>
    <w:p w14:paraId="6EE0B274" w14:textId="37AB0D29" w:rsidR="001425AB" w:rsidRPr="004F01E9" w:rsidRDefault="001425AB" w:rsidP="001425AB">
      <w:pPr>
        <w:pStyle w:val="Text1"/>
        <w:rPr>
          <w:noProof/>
        </w:rPr>
      </w:pPr>
      <w:r w:rsidRPr="004F01E9">
        <w:rPr>
          <w:noProof/>
        </w:rPr>
        <w:t>„3. Od žiadnej inštitúcie, ktorá je buď materskou alebo dcérskou spoločnosťou, ani od inštitúcie, ktorá je zahrnutá do konsolidácie podľa článku 18, sa nevyžaduje, aby na individuálnom základe plnila povinnosti stanovené</w:t>
      </w:r>
      <w:r w:rsidR="004F01E9">
        <w:rPr>
          <w:noProof/>
        </w:rPr>
        <w:t xml:space="preserve"> v </w:t>
      </w:r>
      <w:r w:rsidRPr="004F01E9">
        <w:rPr>
          <w:noProof/>
        </w:rPr>
        <w:t>článku 92 ods. 5</w:t>
      </w:r>
      <w:r w:rsidR="004F01E9">
        <w:rPr>
          <w:noProof/>
        </w:rPr>
        <w:t xml:space="preserve"> a </w:t>
      </w:r>
      <w:r w:rsidRPr="004F01E9">
        <w:rPr>
          <w:noProof/>
        </w:rPr>
        <w:t>6</w:t>
      </w:r>
      <w:r w:rsidR="004F01E9">
        <w:rPr>
          <w:noProof/>
        </w:rPr>
        <w:t xml:space="preserve"> a v </w:t>
      </w:r>
      <w:r w:rsidRPr="004F01E9">
        <w:rPr>
          <w:noProof/>
        </w:rPr>
        <w:t>ôsmej časti.“</w:t>
      </w:r>
    </w:p>
    <w:p w14:paraId="3D2B1077" w14:textId="2F1613CE" w:rsidR="001425AB" w:rsidRPr="004F01E9" w:rsidRDefault="00C349AE" w:rsidP="00C349AE">
      <w:pPr>
        <w:pStyle w:val="Point0"/>
        <w:rPr>
          <w:noProof/>
        </w:rPr>
      </w:pPr>
      <w:r w:rsidRPr="00C349AE">
        <w:rPr>
          <w:noProof/>
        </w:rPr>
        <w:t>4</w:t>
      </w:r>
      <w:r>
        <w:rPr>
          <w:noProof/>
        </w:rPr>
        <w:t>.</w:t>
      </w:r>
      <w:r w:rsidRPr="00C349AE">
        <w:rPr>
          <w:noProof/>
        </w:rPr>
        <w:tab/>
      </w:r>
      <w:r w:rsidR="001425AB" w:rsidRPr="004F01E9">
        <w:rPr>
          <w:noProof/>
        </w:rPr>
        <w:t>V článku 10a sa jediný odsek mení takto:</w:t>
      </w:r>
    </w:p>
    <w:p w14:paraId="382376AE" w14:textId="729E24FE" w:rsidR="001425AB" w:rsidRPr="004F01E9" w:rsidRDefault="001425AB" w:rsidP="001425AB">
      <w:pPr>
        <w:pStyle w:val="Text1"/>
        <w:rPr>
          <w:noProof/>
          <w:szCs w:val="24"/>
        </w:rPr>
      </w:pPr>
      <w:r w:rsidRPr="004F01E9">
        <w:rPr>
          <w:noProof/>
        </w:rPr>
        <w:t>„Na účely uplatňovania tejto kapitoly sa investičné spoločnosti</w:t>
      </w:r>
      <w:r w:rsidR="004F01E9">
        <w:rPr>
          <w:noProof/>
        </w:rPr>
        <w:t xml:space="preserve"> a </w:t>
      </w:r>
      <w:r w:rsidRPr="004F01E9">
        <w:rPr>
          <w:noProof/>
        </w:rPr>
        <w:t>investičné holdingové spoločnosti považujú za materské finančné holdingové spoločnosti</w:t>
      </w:r>
      <w:r w:rsidR="004F01E9">
        <w:rPr>
          <w:noProof/>
        </w:rPr>
        <w:t xml:space="preserve"> v </w:t>
      </w:r>
      <w:r w:rsidRPr="004F01E9">
        <w:rPr>
          <w:noProof/>
        </w:rPr>
        <w:t>členskom štáte alebo materské finančné holdingové spoločnosti</w:t>
      </w:r>
      <w:r w:rsidR="004F01E9">
        <w:rPr>
          <w:noProof/>
        </w:rPr>
        <w:t xml:space="preserve"> v </w:t>
      </w:r>
      <w:r w:rsidRPr="004F01E9">
        <w:rPr>
          <w:noProof/>
        </w:rPr>
        <w:t>Únii, ak sú tieto investičné spoločnosti alebo investičné holdingové spoločnosti materskými spoločnosťami inštitúcie alebo investičnej spoločnosti, na ktorú sa vzťahuje toto nariadenie, uvedenej</w:t>
      </w:r>
      <w:r w:rsidR="004F01E9">
        <w:rPr>
          <w:noProof/>
        </w:rPr>
        <w:t xml:space="preserve"> v </w:t>
      </w:r>
      <w:r w:rsidRPr="004F01E9">
        <w:rPr>
          <w:noProof/>
        </w:rPr>
        <w:t>článku 1 ods. 2 alebo 5 nariadenia (EÚ) 2019/2033.“</w:t>
      </w:r>
    </w:p>
    <w:p w14:paraId="180C0A25" w14:textId="43732938" w:rsidR="00806B81" w:rsidRPr="004F01E9" w:rsidRDefault="00C349AE" w:rsidP="00C349AE">
      <w:pPr>
        <w:pStyle w:val="Point0"/>
        <w:rPr>
          <w:noProof/>
        </w:rPr>
      </w:pPr>
      <w:r w:rsidRPr="00C349AE">
        <w:rPr>
          <w:noProof/>
        </w:rPr>
        <w:t>5</w:t>
      </w:r>
      <w:r>
        <w:rPr>
          <w:noProof/>
        </w:rPr>
        <w:t>.</w:t>
      </w:r>
      <w:r w:rsidRPr="00C349AE">
        <w:rPr>
          <w:noProof/>
        </w:rPr>
        <w:tab/>
      </w:r>
      <w:r w:rsidR="001425AB" w:rsidRPr="004F01E9">
        <w:rPr>
          <w:noProof/>
        </w:rPr>
        <w:t>V článku 11 ods. 1 sa prvá veta nahrádza takto:</w:t>
      </w:r>
    </w:p>
    <w:p w14:paraId="08234842" w14:textId="7EF471FA" w:rsidR="001425AB" w:rsidRPr="004F01E9" w:rsidRDefault="001425AB" w:rsidP="001425AB">
      <w:pPr>
        <w:pStyle w:val="Text1"/>
        <w:rPr>
          <w:noProof/>
        </w:rPr>
      </w:pPr>
      <w:r w:rsidRPr="004F01E9">
        <w:rPr>
          <w:noProof/>
        </w:rPr>
        <w:t>„Materské inštitúcie</w:t>
      </w:r>
      <w:r w:rsidR="004F01E9">
        <w:rPr>
          <w:noProof/>
        </w:rPr>
        <w:t xml:space="preserve"> v </w:t>
      </w:r>
      <w:r w:rsidRPr="004F01E9">
        <w:rPr>
          <w:noProof/>
        </w:rPr>
        <w:t>členskom štáte plnia povinnosti stanovené</w:t>
      </w:r>
      <w:r w:rsidR="004F01E9">
        <w:rPr>
          <w:noProof/>
        </w:rPr>
        <w:t xml:space="preserve"> v </w:t>
      </w:r>
      <w:r w:rsidRPr="004F01E9">
        <w:rPr>
          <w:noProof/>
        </w:rPr>
        <w:t>druhej, tretej, štvrtej, siedmej</w:t>
      </w:r>
      <w:r w:rsidR="004F01E9">
        <w:rPr>
          <w:noProof/>
        </w:rPr>
        <w:t xml:space="preserve"> a </w:t>
      </w:r>
      <w:r w:rsidRPr="004F01E9">
        <w:rPr>
          <w:noProof/>
        </w:rPr>
        <w:t>siedmej A časti</w:t>
      </w:r>
      <w:r w:rsidR="004F01E9">
        <w:rPr>
          <w:noProof/>
        </w:rPr>
        <w:t xml:space="preserve"> v </w:t>
      </w:r>
      <w:r w:rsidRPr="004F01E9">
        <w:rPr>
          <w:noProof/>
        </w:rPr>
        <w:t>rozsahu</w:t>
      </w:r>
      <w:r w:rsidR="004F01E9">
        <w:rPr>
          <w:noProof/>
        </w:rPr>
        <w:t xml:space="preserve"> a </w:t>
      </w:r>
      <w:r w:rsidRPr="004F01E9">
        <w:rPr>
          <w:noProof/>
        </w:rPr>
        <w:t>spôsobom uvedeným</w:t>
      </w:r>
      <w:r w:rsidR="004F01E9">
        <w:rPr>
          <w:noProof/>
        </w:rPr>
        <w:t xml:space="preserve"> v </w:t>
      </w:r>
      <w:r w:rsidRPr="004F01E9">
        <w:rPr>
          <w:noProof/>
        </w:rPr>
        <w:t>článku 18 na základe svojej konsolidovanej situácie</w:t>
      </w:r>
      <w:r w:rsidR="004F01E9">
        <w:rPr>
          <w:noProof/>
        </w:rPr>
        <w:t xml:space="preserve"> s </w:t>
      </w:r>
      <w:r w:rsidRPr="004F01E9">
        <w:rPr>
          <w:noProof/>
        </w:rPr>
        <w:t>výnimkou článku 92 ods. 3 písm. a)</w:t>
      </w:r>
      <w:r w:rsidR="004F01E9">
        <w:rPr>
          <w:noProof/>
        </w:rPr>
        <w:t xml:space="preserve"> a </w:t>
      </w:r>
      <w:r w:rsidRPr="004F01E9">
        <w:rPr>
          <w:noProof/>
        </w:rPr>
        <w:t>článku 430 ods. 1 písm. d).“</w:t>
      </w:r>
    </w:p>
    <w:p w14:paraId="4C97B03E" w14:textId="2ECD1356" w:rsidR="001425AB" w:rsidRPr="004F01E9" w:rsidRDefault="00C349AE" w:rsidP="00C349AE">
      <w:pPr>
        <w:pStyle w:val="Point0"/>
        <w:rPr>
          <w:noProof/>
        </w:rPr>
      </w:pPr>
      <w:r w:rsidRPr="00C349AE">
        <w:rPr>
          <w:noProof/>
        </w:rPr>
        <w:t>6</w:t>
      </w:r>
      <w:r>
        <w:rPr>
          <w:noProof/>
        </w:rPr>
        <w:t>.</w:t>
      </w:r>
      <w:r w:rsidRPr="00C349AE">
        <w:rPr>
          <w:noProof/>
        </w:rPr>
        <w:tab/>
      </w:r>
      <w:r w:rsidR="001425AB" w:rsidRPr="004F01E9">
        <w:rPr>
          <w:noProof/>
        </w:rPr>
        <w:t>Článok 18 sa mení takto:</w:t>
      </w:r>
    </w:p>
    <w:p w14:paraId="72511110" w14:textId="12B36028" w:rsidR="001425AB" w:rsidRPr="004F01E9" w:rsidRDefault="001F5DEB" w:rsidP="001C50DD">
      <w:pPr>
        <w:pStyle w:val="Point1"/>
        <w:rPr>
          <w:noProof/>
        </w:rPr>
      </w:pPr>
      <w:r w:rsidRPr="004F01E9">
        <w:rPr>
          <w:noProof/>
        </w:rPr>
        <w:t>a)</w:t>
      </w:r>
      <w:r w:rsidRPr="004F01E9">
        <w:rPr>
          <w:noProof/>
        </w:rPr>
        <w:tab/>
        <w:t>Odsek 2 sa vypúšťa;</w:t>
      </w:r>
    </w:p>
    <w:p w14:paraId="2B088B26" w14:textId="57BA783A" w:rsidR="001425AB" w:rsidRPr="004F01E9" w:rsidRDefault="001F5DEB" w:rsidP="001C50DD">
      <w:pPr>
        <w:pStyle w:val="Point1"/>
        <w:rPr>
          <w:noProof/>
        </w:rPr>
      </w:pPr>
      <w:r w:rsidRPr="004F01E9">
        <w:rPr>
          <w:noProof/>
        </w:rPr>
        <w:t>b)</w:t>
      </w:r>
      <w:r w:rsidRPr="004F01E9">
        <w:rPr>
          <w:noProof/>
        </w:rPr>
        <w:tab/>
        <w:t>V prvom pododseku odseku 7 sa prvá veta nahrádza takto:</w:t>
      </w:r>
    </w:p>
    <w:p w14:paraId="01CEFFDC" w14:textId="0B85BBDA" w:rsidR="001425AB" w:rsidRPr="004F01E9" w:rsidRDefault="001425AB" w:rsidP="001F5DEB">
      <w:pPr>
        <w:pStyle w:val="Text2"/>
        <w:rPr>
          <w:noProof/>
        </w:rPr>
      </w:pPr>
      <w:r w:rsidRPr="004F01E9">
        <w:rPr>
          <w:noProof/>
        </w:rPr>
        <w:t>„Ak má inštitúcia dcérsku spoločnosť, ktorá je podnikom, ktorý nie je inštitúciou alebo finančnou inštitúciou, alebo má majetkovú účasť</w:t>
      </w:r>
      <w:r w:rsidR="004F01E9">
        <w:rPr>
          <w:noProof/>
        </w:rPr>
        <w:t xml:space="preserve"> v </w:t>
      </w:r>
      <w:r w:rsidRPr="004F01E9">
        <w:rPr>
          <w:noProof/>
        </w:rPr>
        <w:t>takomto podniku, uplatňuje na túto dcérsku spoločnosť alebo účasť metódu vlastného imania.“</w:t>
      </w:r>
    </w:p>
    <w:p w14:paraId="7D3A403C" w14:textId="4621C19D" w:rsidR="001425AB" w:rsidRPr="004F01E9" w:rsidRDefault="001F5DEB" w:rsidP="001C50DD">
      <w:pPr>
        <w:pStyle w:val="Point1"/>
        <w:rPr>
          <w:noProof/>
        </w:rPr>
      </w:pPr>
      <w:r w:rsidRPr="004F01E9">
        <w:rPr>
          <w:noProof/>
        </w:rPr>
        <w:t>c)</w:t>
      </w:r>
      <w:r w:rsidRPr="004F01E9">
        <w:rPr>
          <w:noProof/>
        </w:rPr>
        <w:tab/>
        <w:t>Vkladá sa nový odsek 10:</w:t>
      </w:r>
    </w:p>
    <w:p w14:paraId="3EBF292C" w14:textId="61C586FA" w:rsidR="001425AB" w:rsidRPr="004F01E9" w:rsidRDefault="001425AB" w:rsidP="001425AB">
      <w:pPr>
        <w:pStyle w:val="Text2"/>
        <w:rPr>
          <w:noProof/>
        </w:rPr>
      </w:pPr>
      <w:r w:rsidRPr="004F01E9">
        <w:rPr>
          <w:noProof/>
        </w:rPr>
        <w:t>„10. EBA podá do [Úrad pre publikácie, vložte dátum = 1 rok po nadobudnutí účinnosti tohto nariadenia] Komisii správu</w:t>
      </w:r>
      <w:r w:rsidR="004F01E9">
        <w:rPr>
          <w:noProof/>
        </w:rPr>
        <w:t xml:space="preserve"> o </w:t>
      </w:r>
      <w:r w:rsidRPr="004F01E9">
        <w:rPr>
          <w:noProof/>
        </w:rPr>
        <w:t>úplnosti</w:t>
      </w:r>
      <w:r w:rsidR="004F01E9">
        <w:rPr>
          <w:noProof/>
        </w:rPr>
        <w:t xml:space="preserve"> a </w:t>
      </w:r>
      <w:r w:rsidRPr="004F01E9">
        <w:rPr>
          <w:noProof/>
        </w:rPr>
        <w:t>primeranosti súboru vymedzenia pojmov</w:t>
      </w:r>
      <w:r w:rsidR="004F01E9">
        <w:rPr>
          <w:noProof/>
        </w:rPr>
        <w:t xml:space="preserve"> a </w:t>
      </w:r>
      <w:r w:rsidRPr="004F01E9">
        <w:rPr>
          <w:noProof/>
        </w:rPr>
        <w:t>ustanovení tohto nariadenia týkajúcich sa dohľadu nad všetkými druhmi rizík, ktorým sú inštitúcie vystavené na konsolidovanej úrovni. EBA posúdi najmä všetky prípadné zostávajúce nezrovnalosti</w:t>
      </w:r>
      <w:r w:rsidR="004F01E9">
        <w:rPr>
          <w:noProof/>
        </w:rPr>
        <w:t xml:space="preserve"> v </w:t>
      </w:r>
      <w:r w:rsidRPr="004F01E9">
        <w:rPr>
          <w:noProof/>
        </w:rPr>
        <w:t>tomto vymedzení pojmov</w:t>
      </w:r>
      <w:r w:rsidR="004F01E9">
        <w:rPr>
          <w:noProof/>
        </w:rPr>
        <w:t xml:space="preserve"> a </w:t>
      </w:r>
      <w:r w:rsidRPr="004F01E9">
        <w:rPr>
          <w:noProof/>
        </w:rPr>
        <w:t>týchto ustanoveniach spolu</w:t>
      </w:r>
      <w:r w:rsidR="004F01E9">
        <w:rPr>
          <w:noProof/>
        </w:rPr>
        <w:t xml:space="preserve"> s </w:t>
      </w:r>
      <w:r w:rsidRPr="004F01E9">
        <w:rPr>
          <w:noProof/>
        </w:rPr>
        <w:t>ich interakciou</w:t>
      </w:r>
      <w:r w:rsidR="004F01E9">
        <w:rPr>
          <w:noProof/>
        </w:rPr>
        <w:t xml:space="preserve"> s </w:t>
      </w:r>
      <w:r w:rsidRPr="004F01E9">
        <w:rPr>
          <w:noProof/>
        </w:rPr>
        <w:t>uplatniteľným účtovným rámcom, ako aj všetky zostávajúce aspekty, ktoré by mohli predstavovať neúmyselné obmedzenia konsolidovaného dohľadu, ktorý je komplexný</w:t>
      </w:r>
      <w:r w:rsidR="004F01E9">
        <w:rPr>
          <w:noProof/>
        </w:rPr>
        <w:t xml:space="preserve"> a </w:t>
      </w:r>
      <w:r w:rsidRPr="004F01E9">
        <w:rPr>
          <w:noProof/>
        </w:rPr>
        <w:t>prispôsobiteľný novým zdrojom alebo druhom rizík alebo štruktúr, ktoré by mohli viesť</w:t>
      </w:r>
      <w:r w:rsidR="004F01E9">
        <w:rPr>
          <w:noProof/>
        </w:rPr>
        <w:t xml:space="preserve"> k </w:t>
      </w:r>
      <w:r w:rsidRPr="004F01E9">
        <w:rPr>
          <w:noProof/>
        </w:rPr>
        <w:t>regulačnej arbitráži.</w:t>
      </w:r>
      <w:r w:rsidRPr="004F01E9">
        <w:rPr>
          <w:noProof/>
          <w:color w:val="000000"/>
          <w:shd w:val="clear" w:color="auto" w:fill="FFFFFF"/>
        </w:rPr>
        <w:t xml:space="preserve"> EBA</w:t>
      </w:r>
      <w:r w:rsidRPr="004F01E9">
        <w:rPr>
          <w:noProof/>
        </w:rPr>
        <w:t xml:space="preserve"> pravidelne aktualizuje svoju správu každé dva roky.</w:t>
      </w:r>
    </w:p>
    <w:p w14:paraId="469B52A1" w14:textId="0F9A96D5" w:rsidR="001425AB" w:rsidRPr="004F01E9" w:rsidRDefault="001425AB" w:rsidP="009C7388">
      <w:pPr>
        <w:pStyle w:val="Text2"/>
        <w:rPr>
          <w:noProof/>
        </w:rPr>
      </w:pPr>
      <w:r w:rsidRPr="004F01E9">
        <w:rPr>
          <w:noProof/>
          <w:shd w:val="clear" w:color="auto" w:fill="FFFFFF"/>
        </w:rPr>
        <w:t>Na základe zistení orgánu EBA môže Komisia</w:t>
      </w:r>
      <w:r w:rsidR="004F01E9">
        <w:rPr>
          <w:noProof/>
          <w:shd w:val="clear" w:color="auto" w:fill="FFFFFF"/>
        </w:rPr>
        <w:t xml:space="preserve"> v </w:t>
      </w:r>
      <w:r w:rsidRPr="004F01E9">
        <w:rPr>
          <w:noProof/>
          <w:shd w:val="clear" w:color="auto" w:fill="FFFFFF"/>
        </w:rPr>
        <w:t>prípade potreby prijať delegované akty</w:t>
      </w:r>
      <w:r w:rsidR="004F01E9">
        <w:rPr>
          <w:noProof/>
          <w:shd w:val="clear" w:color="auto" w:fill="FFFFFF"/>
        </w:rPr>
        <w:t xml:space="preserve"> v </w:t>
      </w:r>
      <w:r w:rsidRPr="004F01E9">
        <w:rPr>
          <w:noProof/>
          <w:shd w:val="clear" w:color="auto" w:fill="FFFFFF"/>
        </w:rPr>
        <w:t>súlade</w:t>
      </w:r>
      <w:r w:rsidR="004F01E9">
        <w:rPr>
          <w:noProof/>
          <w:shd w:val="clear" w:color="auto" w:fill="FFFFFF"/>
        </w:rPr>
        <w:t xml:space="preserve"> s </w:t>
      </w:r>
      <w:r w:rsidRPr="004F01E9">
        <w:rPr>
          <w:noProof/>
          <w:shd w:val="clear" w:color="auto" w:fill="FFFFFF"/>
        </w:rPr>
        <w:t>článkom 462</w:t>
      </w:r>
      <w:r w:rsidR="004F01E9">
        <w:rPr>
          <w:noProof/>
          <w:shd w:val="clear" w:color="auto" w:fill="FFFFFF"/>
        </w:rPr>
        <w:t xml:space="preserve"> s </w:t>
      </w:r>
      <w:r w:rsidRPr="004F01E9">
        <w:rPr>
          <w:noProof/>
          <w:shd w:val="clear" w:color="auto" w:fill="FFFFFF"/>
        </w:rPr>
        <w:t>cieľom upraviť príslušné vymedzenie pojmov alebo rozsah pôsobnosti prudenciálnej konsolidácie.“</w:t>
      </w:r>
    </w:p>
    <w:p w14:paraId="4FBDB591" w14:textId="1889B62D" w:rsidR="001425AB" w:rsidRPr="004F01E9" w:rsidRDefault="00922524" w:rsidP="00C349AE">
      <w:pPr>
        <w:pStyle w:val="Point0"/>
        <w:rPr>
          <w:noProof/>
        </w:rPr>
      </w:pPr>
      <w:r>
        <w:rPr>
          <w:noProof/>
        </w:rPr>
        <w:t>7</w:t>
      </w:r>
      <w:r w:rsidR="00C349AE">
        <w:rPr>
          <w:noProof/>
        </w:rPr>
        <w:t>.</w:t>
      </w:r>
      <w:r w:rsidR="00C349AE" w:rsidRPr="00C349AE">
        <w:rPr>
          <w:noProof/>
        </w:rPr>
        <w:tab/>
      </w:r>
      <w:r w:rsidR="001425AB" w:rsidRPr="004F01E9">
        <w:rPr>
          <w:noProof/>
        </w:rPr>
        <w:t>Článok 20 sa mení takto:</w:t>
      </w:r>
    </w:p>
    <w:p w14:paraId="3BEB55AA" w14:textId="1B02AB87" w:rsidR="001425AB" w:rsidRPr="004F01E9" w:rsidRDefault="001F5DEB" w:rsidP="001C50DD">
      <w:pPr>
        <w:pStyle w:val="Point1"/>
        <w:rPr>
          <w:noProof/>
        </w:rPr>
      </w:pPr>
      <w:r w:rsidRPr="004F01E9">
        <w:rPr>
          <w:noProof/>
        </w:rPr>
        <w:t>a)</w:t>
      </w:r>
      <w:r w:rsidRPr="004F01E9">
        <w:rPr>
          <w:noProof/>
        </w:rPr>
        <w:tab/>
        <w:t>Odsek 1 sa mení takto:</w:t>
      </w:r>
    </w:p>
    <w:p w14:paraId="4E423A5E" w14:textId="77777777" w:rsidR="001425AB" w:rsidRPr="004F01E9" w:rsidRDefault="001425AB" w:rsidP="001425AB">
      <w:pPr>
        <w:pStyle w:val="Point2"/>
        <w:rPr>
          <w:noProof/>
        </w:rPr>
      </w:pPr>
      <w:r w:rsidRPr="004F01E9">
        <w:rPr>
          <w:noProof/>
        </w:rPr>
        <w:t>i)</w:t>
      </w:r>
      <w:r w:rsidRPr="004F01E9">
        <w:rPr>
          <w:noProof/>
        </w:rPr>
        <w:tab/>
        <w:t>Písmeno a) sa nahrádza takto:</w:t>
      </w:r>
    </w:p>
    <w:p w14:paraId="5DC5F94B" w14:textId="14854D34" w:rsidR="001425AB" w:rsidRPr="004F01E9" w:rsidRDefault="00200B4A" w:rsidP="00615061">
      <w:pPr>
        <w:pStyle w:val="Text3"/>
        <w:rPr>
          <w:noProof/>
        </w:rPr>
      </w:pPr>
      <w:r w:rsidRPr="004F01E9">
        <w:rPr>
          <w:noProof/>
        </w:rPr>
        <w:t>„a)</w:t>
      </w:r>
      <w:r w:rsidR="004F01E9">
        <w:rPr>
          <w:noProof/>
        </w:rPr>
        <w:t xml:space="preserve"> v </w:t>
      </w:r>
      <w:r w:rsidRPr="004F01E9">
        <w:rPr>
          <w:noProof/>
        </w:rPr>
        <w:t>prípade žiadostí</w:t>
      </w:r>
      <w:r w:rsidR="004F01E9">
        <w:rPr>
          <w:noProof/>
        </w:rPr>
        <w:t xml:space="preserve"> o </w:t>
      </w:r>
      <w:r w:rsidRPr="004F01E9">
        <w:rPr>
          <w:noProof/>
        </w:rPr>
        <w:t>povolenia uvedené</w:t>
      </w:r>
      <w:r w:rsidR="004F01E9">
        <w:rPr>
          <w:noProof/>
        </w:rPr>
        <w:t xml:space="preserve"> v </w:t>
      </w:r>
      <w:r w:rsidRPr="004F01E9">
        <w:rPr>
          <w:noProof/>
        </w:rPr>
        <w:t>článku 143 ods. 1, článku 151 ods. 4</w:t>
      </w:r>
      <w:r w:rsidR="004F01E9">
        <w:rPr>
          <w:noProof/>
        </w:rPr>
        <w:t xml:space="preserve"> a </w:t>
      </w:r>
      <w:r w:rsidRPr="004F01E9">
        <w:rPr>
          <w:noProof/>
        </w:rPr>
        <w:t>9, článku 283</w:t>
      </w:r>
      <w:r w:rsidR="004F01E9">
        <w:rPr>
          <w:noProof/>
        </w:rPr>
        <w:t xml:space="preserve"> a v </w:t>
      </w:r>
      <w:r w:rsidRPr="004F01E9">
        <w:rPr>
          <w:noProof/>
        </w:rPr>
        <w:t>článku 363, ktoré predložila materská inštitúcia</w:t>
      </w:r>
      <w:r w:rsidR="004F01E9">
        <w:rPr>
          <w:noProof/>
        </w:rPr>
        <w:t xml:space="preserve"> v </w:t>
      </w:r>
      <w:r w:rsidRPr="004F01E9">
        <w:rPr>
          <w:noProof/>
        </w:rPr>
        <w:t>EÚ</w:t>
      </w:r>
      <w:r w:rsidR="004F01E9">
        <w:rPr>
          <w:noProof/>
        </w:rPr>
        <w:t xml:space="preserve"> a </w:t>
      </w:r>
      <w:r w:rsidRPr="004F01E9">
        <w:rPr>
          <w:noProof/>
        </w:rPr>
        <w:t>jej dcérske spoločnosti alebo spoločne dcérske spoločnosti materskej finančnej holdingovej spoločnosti</w:t>
      </w:r>
      <w:r w:rsidR="004F01E9">
        <w:rPr>
          <w:noProof/>
        </w:rPr>
        <w:t xml:space="preserve"> v </w:t>
      </w:r>
      <w:r w:rsidRPr="004F01E9">
        <w:rPr>
          <w:noProof/>
        </w:rPr>
        <w:t>EÚ alebo materskej zmiešanej finančnej holdingovej spoločnosti</w:t>
      </w:r>
      <w:r w:rsidR="004F01E9">
        <w:rPr>
          <w:noProof/>
        </w:rPr>
        <w:t xml:space="preserve"> v </w:t>
      </w:r>
      <w:r w:rsidRPr="004F01E9">
        <w:rPr>
          <w:noProof/>
        </w:rPr>
        <w:t>EÚ,</w:t>
      </w:r>
      <w:r w:rsidR="004F01E9">
        <w:rPr>
          <w:noProof/>
        </w:rPr>
        <w:t xml:space="preserve"> s </w:t>
      </w:r>
      <w:r w:rsidRPr="004F01E9">
        <w:rPr>
          <w:noProof/>
        </w:rPr>
        <w:t>cieľom rozhodnúť, či udeliť alebo neudeliť žiadané povolenie</w:t>
      </w:r>
      <w:r w:rsidR="004F01E9">
        <w:rPr>
          <w:noProof/>
        </w:rPr>
        <w:t xml:space="preserve"> a </w:t>
      </w:r>
      <w:r w:rsidRPr="004F01E9">
        <w:rPr>
          <w:noProof/>
        </w:rPr>
        <w:t>určiť prípadné podmienky, ktorým by malo takéto povolenie podliehať;“;</w:t>
      </w:r>
    </w:p>
    <w:p w14:paraId="0EF9A796" w14:textId="77777777" w:rsidR="001425AB" w:rsidRPr="004F01E9" w:rsidRDefault="001425AB" w:rsidP="001425AB">
      <w:pPr>
        <w:pStyle w:val="Point2"/>
        <w:rPr>
          <w:noProof/>
        </w:rPr>
      </w:pPr>
      <w:r w:rsidRPr="004F01E9">
        <w:rPr>
          <w:noProof/>
        </w:rPr>
        <w:t>ii)</w:t>
      </w:r>
      <w:r w:rsidRPr="004F01E9">
        <w:rPr>
          <w:noProof/>
        </w:rPr>
        <w:tab/>
        <w:t>Tretí pododsek sa vypúšťa;</w:t>
      </w:r>
    </w:p>
    <w:p w14:paraId="1A9EEA34" w14:textId="3AF52103" w:rsidR="001425AB" w:rsidRPr="004F01E9" w:rsidRDefault="001C50DD" w:rsidP="001C50DD">
      <w:pPr>
        <w:pStyle w:val="Point1"/>
        <w:rPr>
          <w:noProof/>
        </w:rPr>
      </w:pPr>
      <w:r w:rsidRPr="004F01E9">
        <w:rPr>
          <w:noProof/>
        </w:rPr>
        <w:t>b)</w:t>
      </w:r>
      <w:r w:rsidRPr="004F01E9">
        <w:rPr>
          <w:noProof/>
        </w:rPr>
        <w:tab/>
        <w:t>Odsek 6 sa nahrádza takto:</w:t>
      </w:r>
    </w:p>
    <w:p w14:paraId="5D8B9605" w14:textId="46948B0A" w:rsidR="001425AB" w:rsidRPr="004F01E9" w:rsidRDefault="001425AB" w:rsidP="00200B4A">
      <w:pPr>
        <w:pStyle w:val="Text2"/>
        <w:rPr>
          <w:noProof/>
        </w:rPr>
      </w:pPr>
      <w:r w:rsidRPr="004F01E9">
        <w:rPr>
          <w:noProof/>
        </w:rPr>
        <w:t>„6. Ak materská inštitúcia</w:t>
      </w:r>
      <w:r w:rsidR="004F01E9">
        <w:rPr>
          <w:noProof/>
        </w:rPr>
        <w:t xml:space="preserve"> v </w:t>
      </w:r>
      <w:r w:rsidRPr="004F01E9">
        <w:rPr>
          <w:noProof/>
        </w:rPr>
        <w:t>EÚ</w:t>
      </w:r>
      <w:r w:rsidR="004F01E9">
        <w:rPr>
          <w:noProof/>
        </w:rPr>
        <w:t xml:space="preserve"> a </w:t>
      </w:r>
      <w:r w:rsidRPr="004F01E9">
        <w:rPr>
          <w:noProof/>
        </w:rPr>
        <w:t>jej dcérske spoločnosti, dcérske spoločnosti materskej finančnej holdingovej spoločnosti</w:t>
      </w:r>
      <w:r w:rsidR="004F01E9">
        <w:rPr>
          <w:noProof/>
        </w:rPr>
        <w:t xml:space="preserve"> v </w:t>
      </w:r>
      <w:r w:rsidRPr="004F01E9">
        <w:rPr>
          <w:noProof/>
        </w:rPr>
        <w:t>EÚ alebo materskej zmiešanej finančnej holdingovej spoločnosti</w:t>
      </w:r>
      <w:r w:rsidR="004F01E9">
        <w:rPr>
          <w:noProof/>
        </w:rPr>
        <w:t xml:space="preserve"> v </w:t>
      </w:r>
      <w:r w:rsidRPr="004F01E9">
        <w:rPr>
          <w:noProof/>
        </w:rPr>
        <w:t>EÚ používajú prístup IRB uvedený</w:t>
      </w:r>
      <w:r w:rsidR="004F01E9">
        <w:rPr>
          <w:noProof/>
        </w:rPr>
        <w:t xml:space="preserve"> v </w:t>
      </w:r>
      <w:r w:rsidRPr="004F01E9">
        <w:rPr>
          <w:noProof/>
        </w:rPr>
        <w:t>článku 143 na zjednotenom základe, povolia príslušné orgány materskej spoločnosti</w:t>
      </w:r>
      <w:r w:rsidR="004F01E9">
        <w:rPr>
          <w:noProof/>
        </w:rPr>
        <w:t xml:space="preserve"> a </w:t>
      </w:r>
      <w:r w:rsidRPr="004F01E9">
        <w:rPr>
          <w:noProof/>
        </w:rPr>
        <w:t>jej dcérskym spoločnostiam, aby kvalifikačné kritériá stanovené</w:t>
      </w:r>
      <w:r w:rsidR="004F01E9">
        <w:rPr>
          <w:noProof/>
        </w:rPr>
        <w:t xml:space="preserve"> v </w:t>
      </w:r>
      <w:r w:rsidRPr="004F01E9">
        <w:rPr>
          <w:noProof/>
        </w:rPr>
        <w:t>tretej časti hlave II kapitole 3 oddiele 6 splnili spoločne,</w:t>
      </w:r>
      <w:r w:rsidR="004F01E9">
        <w:rPr>
          <w:noProof/>
        </w:rPr>
        <w:t xml:space="preserve"> a </w:t>
      </w:r>
      <w:r w:rsidRPr="004F01E9">
        <w:rPr>
          <w:noProof/>
        </w:rPr>
        <w:t>to spôsobom, ktorý je</w:t>
      </w:r>
      <w:r w:rsidR="004F01E9">
        <w:rPr>
          <w:noProof/>
        </w:rPr>
        <w:t xml:space="preserve"> v </w:t>
      </w:r>
      <w:r w:rsidRPr="004F01E9">
        <w:rPr>
          <w:noProof/>
        </w:rPr>
        <w:t>súlade so štruktúrou skupiny</w:t>
      </w:r>
      <w:r w:rsidR="004F01E9">
        <w:rPr>
          <w:noProof/>
        </w:rPr>
        <w:t xml:space="preserve"> a </w:t>
      </w:r>
      <w:r w:rsidRPr="004F01E9">
        <w:rPr>
          <w:noProof/>
        </w:rPr>
        <w:t>jej systémami, postupmi</w:t>
      </w:r>
      <w:r w:rsidR="004F01E9">
        <w:rPr>
          <w:noProof/>
        </w:rPr>
        <w:t xml:space="preserve"> a </w:t>
      </w:r>
      <w:r w:rsidRPr="004F01E9">
        <w:rPr>
          <w:noProof/>
        </w:rPr>
        <w:t>metodikami riadenia rizík.“</w:t>
      </w:r>
    </w:p>
    <w:p w14:paraId="4F072272" w14:textId="3D343FFD" w:rsidR="001425AB" w:rsidRPr="004F01E9" w:rsidRDefault="00922524" w:rsidP="00C349AE">
      <w:pPr>
        <w:pStyle w:val="Point0"/>
        <w:rPr>
          <w:noProof/>
        </w:rPr>
      </w:pPr>
      <w:r>
        <w:rPr>
          <w:noProof/>
        </w:rPr>
        <w:t>8</w:t>
      </w:r>
      <w:r w:rsidR="00C349AE">
        <w:rPr>
          <w:noProof/>
        </w:rPr>
        <w:t>.</w:t>
      </w:r>
      <w:r w:rsidR="00C349AE" w:rsidRPr="00C349AE">
        <w:rPr>
          <w:noProof/>
        </w:rPr>
        <w:tab/>
      </w:r>
      <w:r w:rsidR="001425AB" w:rsidRPr="004F01E9">
        <w:rPr>
          <w:noProof/>
        </w:rPr>
        <w:t>V článku 27 ods. 1 písm. a) sa vypúšťa bod v);</w:t>
      </w:r>
    </w:p>
    <w:p w14:paraId="5FC14714" w14:textId="6C61215A" w:rsidR="001425AB" w:rsidRPr="004F01E9" w:rsidRDefault="00922524" w:rsidP="00C349AE">
      <w:pPr>
        <w:pStyle w:val="Point0"/>
        <w:rPr>
          <w:noProof/>
        </w:rPr>
      </w:pPr>
      <w:r>
        <w:rPr>
          <w:noProof/>
        </w:rPr>
        <w:t>9</w:t>
      </w:r>
      <w:r w:rsidR="00C349AE">
        <w:rPr>
          <w:noProof/>
        </w:rPr>
        <w:t>.</w:t>
      </w:r>
      <w:r w:rsidR="00C349AE" w:rsidRPr="00C349AE">
        <w:rPr>
          <w:noProof/>
        </w:rPr>
        <w:tab/>
      </w:r>
      <w:r w:rsidR="001425AB" w:rsidRPr="004F01E9">
        <w:rPr>
          <w:noProof/>
        </w:rPr>
        <w:t>V článku 34 sa dopĺňajú tieto odseky:</w:t>
      </w:r>
    </w:p>
    <w:p w14:paraId="14D0B80A" w14:textId="77777777" w:rsidR="001425AB" w:rsidRPr="004F01E9" w:rsidRDefault="001425AB" w:rsidP="001425AB">
      <w:pPr>
        <w:pStyle w:val="Text1"/>
        <w:rPr>
          <w:noProof/>
        </w:rPr>
      </w:pPr>
      <w:r w:rsidRPr="004F01E9">
        <w:rPr>
          <w:noProof/>
        </w:rPr>
        <w:t>„Odchylne od prvého odseku tohto článku môžu inštitúcie za mimoriadnych okolností, ktorých existenciu určí stanovisko orgánu EBA, znížiť celkové dodatočné úpravy ocenenia pri výpočte celkovej hodnoty, ktorá sa má odpočítať od vlastného kapitálu Tier 1.</w:t>
      </w:r>
    </w:p>
    <w:p w14:paraId="26310F15" w14:textId="5C71F89E" w:rsidR="001425AB" w:rsidRPr="004F01E9" w:rsidRDefault="001425AB" w:rsidP="001425AB">
      <w:pPr>
        <w:pStyle w:val="Text1"/>
        <w:rPr>
          <w:noProof/>
        </w:rPr>
      </w:pPr>
      <w:r w:rsidRPr="004F01E9">
        <w:rPr>
          <w:noProof/>
        </w:rPr>
        <w:t>Orgán EBA monitoruje na účely poskytnutia stanoviska uvedeného</w:t>
      </w:r>
      <w:r w:rsidR="004F01E9">
        <w:rPr>
          <w:noProof/>
        </w:rPr>
        <w:t xml:space="preserve"> v </w:t>
      </w:r>
      <w:r w:rsidRPr="004F01E9">
        <w:rPr>
          <w:noProof/>
        </w:rPr>
        <w:t>druhom pododseku trhové podmienky</w:t>
      </w:r>
      <w:r w:rsidR="004F01E9">
        <w:rPr>
          <w:noProof/>
        </w:rPr>
        <w:t xml:space="preserve"> s </w:t>
      </w:r>
      <w:r w:rsidRPr="004F01E9">
        <w:rPr>
          <w:noProof/>
        </w:rPr>
        <w:t>cieľom posúdiť, či sa vyskytli mimoriadne okolnosti,</w:t>
      </w:r>
      <w:r w:rsidR="004F01E9">
        <w:rPr>
          <w:noProof/>
        </w:rPr>
        <w:t xml:space="preserve"> a </w:t>
      </w:r>
      <w:r w:rsidRPr="004F01E9">
        <w:rPr>
          <w:noProof/>
        </w:rPr>
        <w:t>následne</w:t>
      </w:r>
      <w:r w:rsidR="004F01E9">
        <w:rPr>
          <w:noProof/>
        </w:rPr>
        <w:t xml:space="preserve"> o </w:t>
      </w:r>
      <w:r w:rsidRPr="004F01E9">
        <w:rPr>
          <w:noProof/>
        </w:rPr>
        <w:t>tom bezodkladne informuje Komisiu.</w:t>
      </w:r>
    </w:p>
    <w:p w14:paraId="1674A598" w14:textId="5BC1A445" w:rsidR="00806B81" w:rsidRPr="004F01E9" w:rsidRDefault="001425AB" w:rsidP="001425AB">
      <w:pPr>
        <w:pStyle w:val="Text1"/>
        <w:rPr>
          <w:noProof/>
        </w:rPr>
      </w:pPr>
      <w:r w:rsidRPr="004F01E9">
        <w:rPr>
          <w:noProof/>
        </w:rPr>
        <w:t>Orgán EBA vypracuje návrh regulačných technických predpisov</w:t>
      </w:r>
      <w:r w:rsidR="004F01E9">
        <w:rPr>
          <w:noProof/>
        </w:rPr>
        <w:t xml:space="preserve"> s </w:t>
      </w:r>
      <w:r w:rsidRPr="004F01E9">
        <w:rPr>
          <w:noProof/>
        </w:rPr>
        <w:t>cieľom presne stanoviť ukazovatele</w:t>
      </w:r>
      <w:r w:rsidR="004F01E9">
        <w:rPr>
          <w:noProof/>
        </w:rPr>
        <w:t xml:space="preserve"> a </w:t>
      </w:r>
      <w:r w:rsidRPr="004F01E9">
        <w:rPr>
          <w:noProof/>
        </w:rPr>
        <w:t>podmienky, ktoré EBA použije na určenie mimoriadnych okolností uvedených</w:t>
      </w:r>
      <w:r w:rsidR="004F01E9">
        <w:rPr>
          <w:noProof/>
        </w:rPr>
        <w:t xml:space="preserve"> v </w:t>
      </w:r>
      <w:r w:rsidRPr="004F01E9">
        <w:rPr>
          <w:noProof/>
        </w:rPr>
        <w:t>druhom odseku,</w:t>
      </w:r>
      <w:r w:rsidR="004F01E9">
        <w:rPr>
          <w:noProof/>
        </w:rPr>
        <w:t xml:space="preserve"> a </w:t>
      </w:r>
      <w:r w:rsidRPr="004F01E9">
        <w:rPr>
          <w:noProof/>
        </w:rPr>
        <w:t>na spresnenie zníženia celkových súhrnných dodatočných úprav ocenenia uvedených</w:t>
      </w:r>
      <w:r w:rsidR="004F01E9">
        <w:rPr>
          <w:noProof/>
        </w:rPr>
        <w:t xml:space="preserve"> v </w:t>
      </w:r>
      <w:r w:rsidRPr="004F01E9">
        <w:rPr>
          <w:noProof/>
        </w:rPr>
        <w:t>danom odseku.</w:t>
      </w:r>
    </w:p>
    <w:p w14:paraId="3201DE11" w14:textId="2BDE9E89" w:rsidR="001425AB" w:rsidRPr="004F01E9" w:rsidRDefault="001425AB" w:rsidP="001425AB">
      <w:pPr>
        <w:pStyle w:val="Text1"/>
        <w:rPr>
          <w:noProof/>
        </w:rPr>
      </w:pPr>
      <w:r w:rsidRPr="004F01E9">
        <w:rPr>
          <w:noProof/>
        </w:rPr>
        <w:t>Orgán EBA predloží Komisii uvedený návrh regulačných technických predpisov do [Úrad pre publikácie, vložte dátum = 2 roky po nadobudnutí účinnosti tohto nariadenia].</w:t>
      </w:r>
    </w:p>
    <w:p w14:paraId="0CB0EDE6" w14:textId="40AEB126" w:rsidR="001425AB" w:rsidRPr="004F01E9" w:rsidRDefault="001425AB" w:rsidP="001425AB">
      <w:pPr>
        <w:pStyle w:val="Text1"/>
        <w:rPr>
          <w:noProof/>
        </w:rPr>
      </w:pPr>
      <w:r w:rsidRPr="004F01E9">
        <w:rPr>
          <w:noProof/>
        </w:rPr>
        <w:t>Na Komisiu sa deleguje právomoc doplniť toto nariadenie prijatím regulačných technických predpisov uvedených</w:t>
      </w:r>
      <w:r w:rsidR="004F01E9">
        <w:rPr>
          <w:noProof/>
        </w:rPr>
        <w:t xml:space="preserve"> v </w:t>
      </w:r>
      <w:r w:rsidRPr="004F01E9">
        <w:rPr>
          <w:noProof/>
        </w:rPr>
        <w:t>treťom odseku</w:t>
      </w:r>
      <w:r w:rsidR="004F01E9">
        <w:rPr>
          <w:noProof/>
        </w:rPr>
        <w:t xml:space="preserve"> v </w:t>
      </w:r>
      <w:r w:rsidRPr="004F01E9">
        <w:rPr>
          <w:noProof/>
        </w:rPr>
        <w:t>súlade</w:t>
      </w:r>
      <w:r w:rsidR="004F01E9">
        <w:rPr>
          <w:noProof/>
        </w:rPr>
        <w:t xml:space="preserve"> s </w:t>
      </w:r>
      <w:r w:rsidRPr="004F01E9">
        <w:rPr>
          <w:noProof/>
        </w:rPr>
        <w:t xml:space="preserve">článkami 10 až 14 nariadenia (EÚ) </w:t>
      </w:r>
      <w:r w:rsidR="004F01E9">
        <w:rPr>
          <w:noProof/>
        </w:rPr>
        <w:t>č. </w:t>
      </w:r>
      <w:r w:rsidRPr="004F01E9">
        <w:rPr>
          <w:noProof/>
        </w:rPr>
        <w:t>1093/2010.“</w:t>
      </w:r>
    </w:p>
    <w:p w14:paraId="123D1789" w14:textId="30D57DE1" w:rsidR="00806B81" w:rsidRPr="004F01E9" w:rsidRDefault="00922524" w:rsidP="00C349AE">
      <w:pPr>
        <w:pStyle w:val="Point0"/>
        <w:rPr>
          <w:noProof/>
        </w:rPr>
      </w:pPr>
      <w:r>
        <w:rPr>
          <w:noProof/>
        </w:rPr>
        <w:t>10</w:t>
      </w:r>
      <w:r w:rsidR="00C349AE">
        <w:rPr>
          <w:noProof/>
        </w:rPr>
        <w:t>.</w:t>
      </w:r>
      <w:r w:rsidR="00C349AE" w:rsidRPr="00C349AE">
        <w:rPr>
          <w:noProof/>
        </w:rPr>
        <w:tab/>
      </w:r>
      <w:r w:rsidR="001425AB" w:rsidRPr="004F01E9">
        <w:rPr>
          <w:noProof/>
        </w:rPr>
        <w:t>Článok 36 sa mení takto:</w:t>
      </w:r>
    </w:p>
    <w:p w14:paraId="631FA7F7" w14:textId="7EA4C596" w:rsidR="001425AB" w:rsidRPr="004F01E9" w:rsidRDefault="00200B4A" w:rsidP="00200B4A">
      <w:pPr>
        <w:pStyle w:val="Point1"/>
        <w:rPr>
          <w:noProof/>
        </w:rPr>
      </w:pPr>
      <w:r w:rsidRPr="004F01E9">
        <w:rPr>
          <w:noProof/>
        </w:rPr>
        <w:t>a)</w:t>
      </w:r>
      <w:r w:rsidRPr="004F01E9">
        <w:rPr>
          <w:noProof/>
        </w:rPr>
        <w:tab/>
        <w:t>V odseku 1 sa písmeno d) nahrádza takto:</w:t>
      </w:r>
    </w:p>
    <w:p w14:paraId="507BA63E" w14:textId="53863E99" w:rsidR="001425AB" w:rsidRPr="004F01E9" w:rsidRDefault="001425AB" w:rsidP="00615061">
      <w:pPr>
        <w:pStyle w:val="Text2"/>
        <w:rPr>
          <w:noProof/>
        </w:rPr>
      </w:pPr>
      <w:r w:rsidRPr="004F01E9">
        <w:rPr>
          <w:noProof/>
        </w:rPr>
        <w:t>„d)</w:t>
      </w:r>
      <w:r w:rsidRPr="004F01E9">
        <w:rPr>
          <w:noProof/>
        </w:rPr>
        <w:tab/>
        <w:t>pre inštitúcie, ktoré počítajú hodnoty rizikovo vážených expozícií pomocou prístupu interných ratingov (prístup IRB), prípadný schodok IRB vypočítaný</w:t>
      </w:r>
      <w:r w:rsidR="004F01E9">
        <w:rPr>
          <w:noProof/>
        </w:rPr>
        <w:t xml:space="preserve"> v </w:t>
      </w:r>
      <w:r w:rsidRPr="004F01E9">
        <w:rPr>
          <w:noProof/>
        </w:rPr>
        <w:t>súlade</w:t>
      </w:r>
      <w:r w:rsidR="004F01E9">
        <w:rPr>
          <w:noProof/>
        </w:rPr>
        <w:t xml:space="preserve"> s </w:t>
      </w:r>
      <w:r w:rsidRPr="004F01E9">
        <w:rPr>
          <w:noProof/>
        </w:rPr>
        <w:t>článkom 159;“;</w:t>
      </w:r>
    </w:p>
    <w:p w14:paraId="32A56780" w14:textId="242C6C3D" w:rsidR="001425AB" w:rsidRPr="004F01E9" w:rsidRDefault="00200B4A" w:rsidP="00200B4A">
      <w:pPr>
        <w:pStyle w:val="Point1"/>
        <w:rPr>
          <w:noProof/>
        </w:rPr>
      </w:pPr>
      <w:r w:rsidRPr="004F01E9">
        <w:rPr>
          <w:noProof/>
        </w:rPr>
        <w:t>b)</w:t>
      </w:r>
      <w:r w:rsidRPr="004F01E9">
        <w:rPr>
          <w:noProof/>
        </w:rPr>
        <w:tab/>
        <w:t>V odseku 1 písm. k) sa vypúšťa bod v);</w:t>
      </w:r>
    </w:p>
    <w:p w14:paraId="2DB0B599" w14:textId="3CA88801" w:rsidR="00806B81" w:rsidRPr="004F01E9" w:rsidRDefault="00922524" w:rsidP="00C349AE">
      <w:pPr>
        <w:pStyle w:val="Point0"/>
        <w:rPr>
          <w:noProof/>
        </w:rPr>
      </w:pPr>
      <w:r>
        <w:rPr>
          <w:noProof/>
        </w:rPr>
        <w:t>11</w:t>
      </w:r>
      <w:r w:rsidR="00C349AE">
        <w:rPr>
          <w:noProof/>
        </w:rPr>
        <w:t>.</w:t>
      </w:r>
      <w:r w:rsidR="00C349AE" w:rsidRPr="00C349AE">
        <w:rPr>
          <w:noProof/>
        </w:rPr>
        <w:tab/>
      </w:r>
      <w:r w:rsidR="001425AB" w:rsidRPr="004F01E9">
        <w:rPr>
          <w:noProof/>
        </w:rPr>
        <w:t>V článku 46 ods. 1 písm. a) sa bod ii) nahrádza takto:</w:t>
      </w:r>
    </w:p>
    <w:p w14:paraId="62388796" w14:textId="7B7A9022" w:rsidR="00806B81" w:rsidRPr="004F01E9" w:rsidRDefault="001425AB" w:rsidP="00200B4A">
      <w:pPr>
        <w:pStyle w:val="Text1"/>
        <w:rPr>
          <w:noProof/>
        </w:rPr>
      </w:pPr>
      <w:r w:rsidRPr="004F01E9">
        <w:rPr>
          <w:noProof/>
        </w:rPr>
        <w:t>„ii)</w:t>
      </w:r>
      <w:r w:rsidRPr="004F01E9">
        <w:rPr>
          <w:noProof/>
        </w:rPr>
        <w:tab/>
        <w:t>odpočtov uvedených</w:t>
      </w:r>
      <w:r w:rsidR="004F01E9">
        <w:rPr>
          <w:noProof/>
        </w:rPr>
        <w:t xml:space="preserve"> v </w:t>
      </w:r>
      <w:r w:rsidRPr="004F01E9">
        <w:rPr>
          <w:noProof/>
        </w:rPr>
        <w:t>článku 36 ods. 1 písm. a) až g), písm. k) bodoch ii), iii)</w:t>
      </w:r>
      <w:r w:rsidR="004F01E9">
        <w:rPr>
          <w:noProof/>
        </w:rPr>
        <w:t xml:space="preserve"> a </w:t>
      </w:r>
      <w:r w:rsidRPr="004F01E9">
        <w:rPr>
          <w:noProof/>
        </w:rPr>
        <w:t>iv)</w:t>
      </w:r>
      <w:r w:rsidR="004F01E9">
        <w:rPr>
          <w:noProof/>
        </w:rPr>
        <w:t xml:space="preserve"> a </w:t>
      </w:r>
      <w:r w:rsidRPr="004F01E9">
        <w:rPr>
          <w:noProof/>
        </w:rPr>
        <w:t>písm. l), m)</w:t>
      </w:r>
      <w:r w:rsidR="004F01E9">
        <w:rPr>
          <w:noProof/>
        </w:rPr>
        <w:t xml:space="preserve"> a </w:t>
      </w:r>
      <w:r w:rsidRPr="004F01E9">
        <w:rPr>
          <w:noProof/>
        </w:rPr>
        <w:t>n) okrem hodnoty, ktorá sa má odpočítať</w:t>
      </w:r>
      <w:r w:rsidR="004F01E9">
        <w:rPr>
          <w:noProof/>
        </w:rPr>
        <w:t xml:space="preserve"> v </w:t>
      </w:r>
      <w:r w:rsidRPr="004F01E9">
        <w:rPr>
          <w:noProof/>
        </w:rPr>
        <w:t>prípade odložených daňových pohľadávok, ktoré počítajú</w:t>
      </w:r>
      <w:r w:rsidR="004F01E9">
        <w:rPr>
          <w:noProof/>
        </w:rPr>
        <w:t xml:space="preserve"> s </w:t>
      </w:r>
      <w:r w:rsidRPr="004F01E9">
        <w:rPr>
          <w:noProof/>
        </w:rPr>
        <w:t>budúcou ziskovosťou</w:t>
      </w:r>
      <w:r w:rsidR="004F01E9">
        <w:rPr>
          <w:noProof/>
        </w:rPr>
        <w:t xml:space="preserve"> a </w:t>
      </w:r>
      <w:r w:rsidRPr="004F01E9">
        <w:rPr>
          <w:noProof/>
        </w:rPr>
        <w:t>vyplývajú</w:t>
      </w:r>
      <w:r w:rsidR="004F01E9">
        <w:rPr>
          <w:noProof/>
        </w:rPr>
        <w:t xml:space="preserve"> z </w:t>
      </w:r>
      <w:r w:rsidRPr="004F01E9">
        <w:rPr>
          <w:noProof/>
        </w:rPr>
        <w:t>dočasných rozdielov;“.</w:t>
      </w:r>
    </w:p>
    <w:p w14:paraId="6F70597A" w14:textId="5580EAC7" w:rsidR="00806B81" w:rsidRPr="004F01E9" w:rsidRDefault="00922524" w:rsidP="00C349AE">
      <w:pPr>
        <w:pStyle w:val="Point0"/>
        <w:rPr>
          <w:noProof/>
        </w:rPr>
      </w:pPr>
      <w:r>
        <w:rPr>
          <w:noProof/>
        </w:rPr>
        <w:t>12</w:t>
      </w:r>
      <w:r w:rsidR="00C349AE">
        <w:rPr>
          <w:noProof/>
        </w:rPr>
        <w:t>.</w:t>
      </w:r>
      <w:r w:rsidR="00C349AE" w:rsidRPr="00C349AE">
        <w:rPr>
          <w:noProof/>
        </w:rPr>
        <w:tab/>
      </w:r>
      <w:r w:rsidR="001425AB" w:rsidRPr="004F01E9">
        <w:rPr>
          <w:noProof/>
        </w:rPr>
        <w:t>V článku 48 sa odsek 1 mení takto:</w:t>
      </w:r>
    </w:p>
    <w:p w14:paraId="7B701B31" w14:textId="30D82781" w:rsidR="001425AB" w:rsidRPr="004F01E9" w:rsidRDefault="00200B4A" w:rsidP="00200B4A">
      <w:pPr>
        <w:pStyle w:val="Point1"/>
        <w:rPr>
          <w:noProof/>
        </w:rPr>
      </w:pPr>
      <w:r w:rsidRPr="004F01E9">
        <w:rPr>
          <w:noProof/>
        </w:rPr>
        <w:t>a)</w:t>
      </w:r>
      <w:r w:rsidRPr="004F01E9">
        <w:rPr>
          <w:noProof/>
        </w:rPr>
        <w:tab/>
        <w:t>V písmene a) sa bod ii) nahrádza takto:</w:t>
      </w:r>
    </w:p>
    <w:p w14:paraId="16D01B8B" w14:textId="0C3085AB" w:rsidR="001425AB" w:rsidRPr="004F01E9" w:rsidRDefault="001425AB" w:rsidP="00200B4A">
      <w:pPr>
        <w:pStyle w:val="Text2"/>
        <w:rPr>
          <w:noProof/>
        </w:rPr>
      </w:pPr>
      <w:r w:rsidRPr="004F01E9">
        <w:rPr>
          <w:noProof/>
        </w:rPr>
        <w:t>„ii) článku 36 ods. 1 písm. a) až h), písm. k) bodov ii), iii)</w:t>
      </w:r>
      <w:r w:rsidR="004F01E9">
        <w:rPr>
          <w:noProof/>
        </w:rPr>
        <w:t xml:space="preserve"> a </w:t>
      </w:r>
      <w:r w:rsidRPr="004F01E9">
        <w:rPr>
          <w:noProof/>
        </w:rPr>
        <w:t>iv)</w:t>
      </w:r>
      <w:r w:rsidR="004F01E9">
        <w:rPr>
          <w:noProof/>
        </w:rPr>
        <w:t xml:space="preserve"> a </w:t>
      </w:r>
      <w:r w:rsidRPr="004F01E9">
        <w:rPr>
          <w:noProof/>
        </w:rPr>
        <w:t>písm. l), m)</w:t>
      </w:r>
      <w:r w:rsidR="004F01E9">
        <w:rPr>
          <w:noProof/>
        </w:rPr>
        <w:t xml:space="preserve"> a </w:t>
      </w:r>
      <w:r w:rsidRPr="004F01E9">
        <w:rPr>
          <w:noProof/>
        </w:rPr>
        <w:t>n) okrem odložených daňových pohľadávok, ktoré počítajú</w:t>
      </w:r>
      <w:r w:rsidR="004F01E9">
        <w:rPr>
          <w:noProof/>
        </w:rPr>
        <w:t xml:space="preserve"> s </w:t>
      </w:r>
      <w:r w:rsidRPr="004F01E9">
        <w:rPr>
          <w:noProof/>
        </w:rPr>
        <w:t>budúcou ziskovosťou</w:t>
      </w:r>
      <w:r w:rsidR="004F01E9">
        <w:rPr>
          <w:noProof/>
        </w:rPr>
        <w:t xml:space="preserve"> a </w:t>
      </w:r>
      <w:r w:rsidRPr="004F01E9">
        <w:rPr>
          <w:noProof/>
        </w:rPr>
        <w:t>vyplývajú</w:t>
      </w:r>
      <w:r w:rsidR="004F01E9">
        <w:rPr>
          <w:noProof/>
        </w:rPr>
        <w:t xml:space="preserve"> z </w:t>
      </w:r>
      <w:r w:rsidRPr="004F01E9">
        <w:rPr>
          <w:noProof/>
        </w:rPr>
        <w:t>dočasných rozdielov;“;</w:t>
      </w:r>
    </w:p>
    <w:p w14:paraId="48BD56F9" w14:textId="775E2695" w:rsidR="001425AB" w:rsidRPr="004F01E9" w:rsidRDefault="00200B4A" w:rsidP="00200B4A">
      <w:pPr>
        <w:pStyle w:val="Point1"/>
        <w:rPr>
          <w:noProof/>
        </w:rPr>
      </w:pPr>
      <w:r w:rsidRPr="004F01E9">
        <w:rPr>
          <w:noProof/>
        </w:rPr>
        <w:t>b)</w:t>
      </w:r>
      <w:r w:rsidRPr="004F01E9">
        <w:rPr>
          <w:noProof/>
        </w:rPr>
        <w:tab/>
        <w:t>V písmene b) sa bod ii) nahrádza takto:</w:t>
      </w:r>
    </w:p>
    <w:p w14:paraId="22BE6022" w14:textId="2CC9076B" w:rsidR="001425AB" w:rsidRPr="004F01E9" w:rsidRDefault="001425AB" w:rsidP="00200B4A">
      <w:pPr>
        <w:pStyle w:val="Text2"/>
        <w:rPr>
          <w:noProof/>
        </w:rPr>
      </w:pPr>
      <w:r w:rsidRPr="004F01E9">
        <w:rPr>
          <w:noProof/>
        </w:rPr>
        <w:t>„ii) článku 36 ods. 1 písm. a) až h), písm. k) bodov ii), iii)</w:t>
      </w:r>
      <w:r w:rsidR="004F01E9">
        <w:rPr>
          <w:noProof/>
        </w:rPr>
        <w:t xml:space="preserve"> a </w:t>
      </w:r>
      <w:r w:rsidRPr="004F01E9">
        <w:rPr>
          <w:noProof/>
        </w:rPr>
        <w:t>iv)</w:t>
      </w:r>
      <w:r w:rsidR="004F01E9">
        <w:rPr>
          <w:noProof/>
        </w:rPr>
        <w:t xml:space="preserve"> a </w:t>
      </w:r>
      <w:r w:rsidRPr="004F01E9">
        <w:rPr>
          <w:noProof/>
        </w:rPr>
        <w:t>písm. l), m)</w:t>
      </w:r>
      <w:r w:rsidR="004F01E9">
        <w:rPr>
          <w:noProof/>
        </w:rPr>
        <w:t xml:space="preserve"> a </w:t>
      </w:r>
      <w:r w:rsidRPr="004F01E9">
        <w:rPr>
          <w:noProof/>
        </w:rPr>
        <w:t>n) okrem odložených daňových pohľadávok, ktoré počítajú</w:t>
      </w:r>
      <w:r w:rsidR="004F01E9">
        <w:rPr>
          <w:noProof/>
        </w:rPr>
        <w:t xml:space="preserve"> s </w:t>
      </w:r>
      <w:r w:rsidRPr="004F01E9">
        <w:rPr>
          <w:noProof/>
        </w:rPr>
        <w:t>budúcou ziskovosťou</w:t>
      </w:r>
      <w:r w:rsidR="004F01E9">
        <w:rPr>
          <w:noProof/>
        </w:rPr>
        <w:t xml:space="preserve"> a </w:t>
      </w:r>
      <w:r w:rsidRPr="004F01E9">
        <w:rPr>
          <w:noProof/>
        </w:rPr>
        <w:t>vyplývajú</w:t>
      </w:r>
      <w:r w:rsidR="004F01E9">
        <w:rPr>
          <w:noProof/>
        </w:rPr>
        <w:t xml:space="preserve"> z </w:t>
      </w:r>
      <w:r w:rsidRPr="004F01E9">
        <w:rPr>
          <w:noProof/>
        </w:rPr>
        <w:t>dočasných rozdielov.“</w:t>
      </w:r>
    </w:p>
    <w:p w14:paraId="7C7AAB60" w14:textId="25CFDAF4" w:rsidR="001425AB" w:rsidRPr="004F01E9" w:rsidRDefault="00922524" w:rsidP="00C349AE">
      <w:pPr>
        <w:pStyle w:val="Point0"/>
        <w:rPr>
          <w:noProof/>
        </w:rPr>
      </w:pPr>
      <w:r>
        <w:rPr>
          <w:noProof/>
        </w:rPr>
        <w:t>13</w:t>
      </w:r>
      <w:r w:rsidR="00C349AE">
        <w:rPr>
          <w:noProof/>
        </w:rPr>
        <w:t>.</w:t>
      </w:r>
      <w:r w:rsidR="00C349AE" w:rsidRPr="00C349AE">
        <w:rPr>
          <w:noProof/>
        </w:rPr>
        <w:tab/>
      </w:r>
      <w:r w:rsidR="001425AB" w:rsidRPr="004F01E9">
        <w:rPr>
          <w:noProof/>
        </w:rPr>
        <w:t>V článku 49 sa odsek 4 nahrádza takto:</w:t>
      </w:r>
    </w:p>
    <w:p w14:paraId="090D7678" w14:textId="062BEABB" w:rsidR="001425AB" w:rsidRPr="004F01E9" w:rsidRDefault="001425AB" w:rsidP="001425AB">
      <w:pPr>
        <w:pStyle w:val="Text1"/>
        <w:rPr>
          <w:noProof/>
          <w:color w:val="000000" w:themeColor="text1"/>
        </w:rPr>
      </w:pPr>
      <w:r w:rsidRPr="004F01E9">
        <w:rPr>
          <w:noProof/>
          <w:shd w:val="clear" w:color="auto" w:fill="FFFFFF"/>
        </w:rPr>
        <w:t>„4. Podiely, pri ktorých sa nevykoná odpočet</w:t>
      </w:r>
      <w:r w:rsidR="004F01E9">
        <w:rPr>
          <w:noProof/>
          <w:shd w:val="clear" w:color="auto" w:fill="FFFFFF"/>
        </w:rPr>
        <w:t xml:space="preserve"> v </w:t>
      </w:r>
      <w:r w:rsidRPr="004F01E9">
        <w:rPr>
          <w:noProof/>
          <w:shd w:val="clear" w:color="auto" w:fill="FFFFFF"/>
        </w:rPr>
        <w:t>súlade</w:t>
      </w:r>
      <w:r w:rsidR="004F01E9">
        <w:rPr>
          <w:noProof/>
          <w:shd w:val="clear" w:color="auto" w:fill="FFFFFF"/>
        </w:rPr>
        <w:t xml:space="preserve"> s </w:t>
      </w:r>
      <w:r w:rsidRPr="004F01E9">
        <w:rPr>
          <w:noProof/>
          <w:shd w:val="clear" w:color="auto" w:fill="FFFFFF"/>
        </w:rPr>
        <w:t>odsekom 1, sa kvalifikujú ako expozície</w:t>
      </w:r>
      <w:r w:rsidR="004F01E9">
        <w:rPr>
          <w:noProof/>
          <w:shd w:val="clear" w:color="auto" w:fill="FFFFFF"/>
        </w:rPr>
        <w:t xml:space="preserve"> a </w:t>
      </w:r>
      <w:r w:rsidRPr="004F01E9">
        <w:rPr>
          <w:noProof/>
          <w:shd w:val="clear" w:color="auto" w:fill="FFFFFF"/>
        </w:rPr>
        <w:t>rizikovo sa vážia</w:t>
      </w:r>
      <w:r w:rsidR="004F01E9">
        <w:rPr>
          <w:noProof/>
          <w:shd w:val="clear" w:color="auto" w:fill="FFFFFF"/>
        </w:rPr>
        <w:t xml:space="preserve"> v </w:t>
      </w:r>
      <w:r w:rsidRPr="004F01E9">
        <w:rPr>
          <w:noProof/>
          <w:shd w:val="clear" w:color="auto" w:fill="FFFFFF"/>
        </w:rPr>
        <w:t>súlade</w:t>
      </w:r>
      <w:r w:rsidR="004F01E9">
        <w:rPr>
          <w:noProof/>
          <w:shd w:val="clear" w:color="auto" w:fill="FFFFFF"/>
        </w:rPr>
        <w:t xml:space="preserve"> s </w:t>
      </w:r>
      <w:r w:rsidRPr="004F01E9">
        <w:rPr>
          <w:noProof/>
          <w:shd w:val="clear" w:color="auto" w:fill="FFFFFF"/>
        </w:rPr>
        <w:t>treťou časťou hlavou II kapitolou 2.</w:t>
      </w:r>
    </w:p>
    <w:p w14:paraId="64867EFB" w14:textId="69E3BD1A" w:rsidR="001425AB" w:rsidRPr="004F01E9" w:rsidRDefault="001425AB" w:rsidP="001425AB">
      <w:pPr>
        <w:pStyle w:val="Text1"/>
        <w:rPr>
          <w:noProof/>
        </w:rPr>
      </w:pPr>
      <w:r w:rsidRPr="004F01E9">
        <w:rPr>
          <w:noProof/>
          <w:shd w:val="clear" w:color="auto" w:fill="FFFFFF"/>
        </w:rPr>
        <w:t>Podiely, pri ktorých sa nevykoná odpočet</w:t>
      </w:r>
      <w:r w:rsidR="004F01E9">
        <w:rPr>
          <w:noProof/>
          <w:shd w:val="clear" w:color="auto" w:fill="FFFFFF"/>
        </w:rPr>
        <w:t xml:space="preserve"> v </w:t>
      </w:r>
      <w:r w:rsidRPr="004F01E9">
        <w:rPr>
          <w:noProof/>
          <w:shd w:val="clear" w:color="auto" w:fill="FFFFFF"/>
        </w:rPr>
        <w:t>súlade</w:t>
      </w:r>
      <w:r w:rsidR="004F01E9">
        <w:rPr>
          <w:noProof/>
          <w:shd w:val="clear" w:color="auto" w:fill="FFFFFF"/>
        </w:rPr>
        <w:t xml:space="preserve"> s </w:t>
      </w:r>
      <w:r w:rsidRPr="004F01E9">
        <w:rPr>
          <w:noProof/>
          <w:shd w:val="clear" w:color="auto" w:fill="FFFFFF"/>
        </w:rPr>
        <w:t>odsekmi 2 alebo 3, sa kvalifikujú ako expozície</w:t>
      </w:r>
      <w:r w:rsidR="004F01E9">
        <w:rPr>
          <w:noProof/>
          <w:shd w:val="clear" w:color="auto" w:fill="FFFFFF"/>
        </w:rPr>
        <w:t xml:space="preserve"> a </w:t>
      </w:r>
      <w:r w:rsidRPr="004F01E9">
        <w:rPr>
          <w:noProof/>
          <w:shd w:val="clear" w:color="auto" w:fill="FFFFFF"/>
        </w:rPr>
        <w:t>rizikovo sa vážia koeficientom 100</w:t>
      </w:r>
      <w:r w:rsidR="004F01E9">
        <w:rPr>
          <w:noProof/>
          <w:shd w:val="clear" w:color="auto" w:fill="FFFFFF"/>
        </w:rPr>
        <w:t> %</w:t>
      </w:r>
      <w:r w:rsidRPr="004F01E9">
        <w:rPr>
          <w:noProof/>
        </w:rPr>
        <w:t>.“</w:t>
      </w:r>
    </w:p>
    <w:p w14:paraId="1A08DA96" w14:textId="70347CB6" w:rsidR="00806B81" w:rsidRPr="004F01E9" w:rsidRDefault="00922524" w:rsidP="00C349AE">
      <w:pPr>
        <w:pStyle w:val="Point0"/>
        <w:rPr>
          <w:noProof/>
        </w:rPr>
      </w:pPr>
      <w:r>
        <w:rPr>
          <w:noProof/>
        </w:rPr>
        <w:t>14</w:t>
      </w:r>
      <w:r w:rsidR="00C349AE">
        <w:rPr>
          <w:noProof/>
        </w:rPr>
        <w:t>.</w:t>
      </w:r>
      <w:r w:rsidR="00C349AE" w:rsidRPr="00C349AE">
        <w:rPr>
          <w:noProof/>
        </w:rPr>
        <w:tab/>
      </w:r>
      <w:r w:rsidR="001425AB" w:rsidRPr="004F01E9">
        <w:rPr>
          <w:noProof/>
        </w:rPr>
        <w:t>V článku 60 ods. 1 písm. a) sa bod ii) nahrádza takto:</w:t>
      </w:r>
    </w:p>
    <w:p w14:paraId="3857D690" w14:textId="4D478298" w:rsidR="001425AB" w:rsidRPr="004F01E9" w:rsidRDefault="001425AB" w:rsidP="00200B4A">
      <w:pPr>
        <w:pStyle w:val="Text1"/>
        <w:rPr>
          <w:noProof/>
        </w:rPr>
      </w:pPr>
      <w:r w:rsidRPr="004F01E9">
        <w:rPr>
          <w:noProof/>
        </w:rPr>
        <w:t>„ii) článku 36 ods. 1 písm. a) až g), písm. k) bodov ii), iii)</w:t>
      </w:r>
      <w:r w:rsidR="004F01E9">
        <w:rPr>
          <w:noProof/>
        </w:rPr>
        <w:t xml:space="preserve"> a </w:t>
      </w:r>
      <w:r w:rsidRPr="004F01E9">
        <w:rPr>
          <w:noProof/>
        </w:rPr>
        <w:t>iv)</w:t>
      </w:r>
      <w:r w:rsidR="004F01E9">
        <w:rPr>
          <w:noProof/>
        </w:rPr>
        <w:t xml:space="preserve"> a </w:t>
      </w:r>
      <w:r w:rsidRPr="004F01E9">
        <w:rPr>
          <w:noProof/>
        </w:rPr>
        <w:t>písm. l), m)</w:t>
      </w:r>
      <w:r w:rsidR="004F01E9">
        <w:rPr>
          <w:noProof/>
        </w:rPr>
        <w:t xml:space="preserve"> a </w:t>
      </w:r>
      <w:r w:rsidRPr="004F01E9">
        <w:rPr>
          <w:noProof/>
        </w:rPr>
        <w:t>n) okrem odložených daňových pohľadávok, ktoré počítajú</w:t>
      </w:r>
      <w:r w:rsidR="004F01E9">
        <w:rPr>
          <w:noProof/>
        </w:rPr>
        <w:t xml:space="preserve"> s </w:t>
      </w:r>
      <w:r w:rsidRPr="004F01E9">
        <w:rPr>
          <w:noProof/>
        </w:rPr>
        <w:t>budúcou ziskovosťou</w:t>
      </w:r>
      <w:r w:rsidR="004F01E9">
        <w:rPr>
          <w:noProof/>
        </w:rPr>
        <w:t xml:space="preserve"> a </w:t>
      </w:r>
      <w:r w:rsidRPr="004F01E9">
        <w:rPr>
          <w:noProof/>
        </w:rPr>
        <w:t>vyplývajú</w:t>
      </w:r>
      <w:r w:rsidR="004F01E9">
        <w:rPr>
          <w:noProof/>
        </w:rPr>
        <w:t xml:space="preserve"> z </w:t>
      </w:r>
      <w:r w:rsidRPr="004F01E9">
        <w:rPr>
          <w:noProof/>
        </w:rPr>
        <w:t>dočasných rozdielov;“.</w:t>
      </w:r>
    </w:p>
    <w:p w14:paraId="0A36CC21" w14:textId="37A09285" w:rsidR="00806B81" w:rsidRPr="004F01E9" w:rsidRDefault="00922524" w:rsidP="00C349AE">
      <w:pPr>
        <w:pStyle w:val="Point0"/>
        <w:rPr>
          <w:noProof/>
        </w:rPr>
      </w:pPr>
      <w:r>
        <w:rPr>
          <w:noProof/>
        </w:rPr>
        <w:t>15</w:t>
      </w:r>
      <w:r w:rsidR="00C349AE">
        <w:rPr>
          <w:noProof/>
        </w:rPr>
        <w:t>.</w:t>
      </w:r>
      <w:r w:rsidR="00C349AE" w:rsidRPr="00C349AE">
        <w:rPr>
          <w:noProof/>
        </w:rPr>
        <w:tab/>
      </w:r>
      <w:r w:rsidR="001425AB" w:rsidRPr="004F01E9">
        <w:rPr>
          <w:noProof/>
        </w:rPr>
        <w:t>V článku 62 prvom pododseku sa písmeno d) nahrádza takto:</w:t>
      </w:r>
    </w:p>
    <w:p w14:paraId="52118F05" w14:textId="37581940" w:rsidR="001425AB" w:rsidRPr="004F01E9" w:rsidRDefault="001425AB" w:rsidP="00200B4A">
      <w:pPr>
        <w:pStyle w:val="Text1"/>
        <w:rPr>
          <w:noProof/>
        </w:rPr>
      </w:pPr>
      <w:r w:rsidRPr="004F01E9">
        <w:rPr>
          <w:noProof/>
        </w:rPr>
        <w:t>„d)</w:t>
      </w:r>
      <w:r w:rsidR="004F01E9">
        <w:rPr>
          <w:noProof/>
        </w:rPr>
        <w:t xml:space="preserve"> v </w:t>
      </w:r>
      <w:r w:rsidRPr="004F01E9">
        <w:rPr>
          <w:noProof/>
        </w:rPr>
        <w:t>prípade inštitúcií, ktoré počítajú hodnoty rizikovo vážených expozícií podľa tretej časti hlavy II kapitoly 3, prípadného prebytku IRB,</w:t>
      </w:r>
      <w:r w:rsidR="004F01E9">
        <w:rPr>
          <w:noProof/>
        </w:rPr>
        <w:t xml:space="preserve"> a </w:t>
      </w:r>
      <w:r w:rsidRPr="004F01E9">
        <w:rPr>
          <w:noProof/>
        </w:rPr>
        <w:t>to bez zohľadnenia daňových účinkov, vypočítaného</w:t>
      </w:r>
      <w:r w:rsidR="004F01E9">
        <w:rPr>
          <w:noProof/>
        </w:rPr>
        <w:t xml:space="preserve"> v </w:t>
      </w:r>
      <w:r w:rsidRPr="004F01E9">
        <w:rPr>
          <w:noProof/>
        </w:rPr>
        <w:t>súlade</w:t>
      </w:r>
      <w:r w:rsidR="004F01E9">
        <w:rPr>
          <w:noProof/>
        </w:rPr>
        <w:t xml:space="preserve"> s </w:t>
      </w:r>
      <w:r w:rsidRPr="004F01E9">
        <w:rPr>
          <w:noProof/>
        </w:rPr>
        <w:t>článkom 159, až do výšky 0,6</w:t>
      </w:r>
      <w:r w:rsidR="004F01E9">
        <w:rPr>
          <w:noProof/>
        </w:rPr>
        <w:t> %</w:t>
      </w:r>
      <w:r w:rsidRPr="004F01E9">
        <w:rPr>
          <w:noProof/>
        </w:rPr>
        <w:t xml:space="preserve"> hodnôt rizikovo vážených expozícií vypočítaných podľa tretej časti hlavy II kapitoly 3.“</w:t>
      </w:r>
    </w:p>
    <w:p w14:paraId="06A8A443" w14:textId="55A9E310" w:rsidR="001425AB" w:rsidRPr="004F01E9" w:rsidRDefault="00C349AE" w:rsidP="00C349AE">
      <w:pPr>
        <w:pStyle w:val="Point0"/>
        <w:rPr>
          <w:noProof/>
        </w:rPr>
      </w:pPr>
      <w:r w:rsidRPr="00C349AE">
        <w:rPr>
          <w:noProof/>
        </w:rPr>
        <w:t>1</w:t>
      </w:r>
      <w:r w:rsidR="00922524">
        <w:rPr>
          <w:noProof/>
        </w:rPr>
        <w:t>6</w:t>
      </w:r>
      <w:r>
        <w:rPr>
          <w:noProof/>
        </w:rPr>
        <w:t>.</w:t>
      </w:r>
      <w:r w:rsidRPr="00C349AE">
        <w:rPr>
          <w:noProof/>
        </w:rPr>
        <w:tab/>
      </w:r>
      <w:r w:rsidR="001425AB" w:rsidRPr="004F01E9">
        <w:rPr>
          <w:noProof/>
        </w:rPr>
        <w:t>V článku 70 ods. 1 písm. a) sa bod ii) nahrádza takto:</w:t>
      </w:r>
    </w:p>
    <w:p w14:paraId="0EB251F8" w14:textId="24F7F27E" w:rsidR="001425AB" w:rsidRPr="00922524" w:rsidRDefault="001425AB" w:rsidP="00200B4A">
      <w:pPr>
        <w:pStyle w:val="Text1"/>
        <w:rPr>
          <w:noProof/>
          <w:spacing w:val="-4"/>
        </w:rPr>
      </w:pPr>
      <w:r w:rsidRPr="00922524">
        <w:rPr>
          <w:noProof/>
          <w:spacing w:val="-4"/>
        </w:rPr>
        <w:t>„ii) článku 36 ods. 1 písm. a) až g), písm. k) bodov ii), iii)</w:t>
      </w:r>
      <w:r w:rsidR="004F01E9" w:rsidRPr="00922524">
        <w:rPr>
          <w:noProof/>
          <w:spacing w:val="-4"/>
        </w:rPr>
        <w:t xml:space="preserve"> a </w:t>
      </w:r>
      <w:r w:rsidRPr="00922524">
        <w:rPr>
          <w:noProof/>
          <w:spacing w:val="-4"/>
        </w:rPr>
        <w:t>iv)</w:t>
      </w:r>
      <w:r w:rsidR="004F01E9" w:rsidRPr="00922524">
        <w:rPr>
          <w:noProof/>
          <w:spacing w:val="-4"/>
        </w:rPr>
        <w:t xml:space="preserve"> a </w:t>
      </w:r>
      <w:r w:rsidRPr="00922524">
        <w:rPr>
          <w:noProof/>
          <w:spacing w:val="-4"/>
        </w:rPr>
        <w:t>písm. l), m)</w:t>
      </w:r>
      <w:r w:rsidR="004F01E9" w:rsidRPr="00922524">
        <w:rPr>
          <w:noProof/>
          <w:spacing w:val="-4"/>
        </w:rPr>
        <w:t xml:space="preserve"> a </w:t>
      </w:r>
      <w:r w:rsidRPr="00922524">
        <w:rPr>
          <w:noProof/>
          <w:spacing w:val="-4"/>
        </w:rPr>
        <w:t>n)</w:t>
      </w:r>
      <w:r w:rsidR="004F01E9" w:rsidRPr="00922524">
        <w:rPr>
          <w:noProof/>
          <w:spacing w:val="-4"/>
        </w:rPr>
        <w:t xml:space="preserve"> s </w:t>
      </w:r>
      <w:r w:rsidRPr="00922524">
        <w:rPr>
          <w:noProof/>
          <w:spacing w:val="-4"/>
        </w:rPr>
        <w:t>výnimkou hodnoty, ktorá sa má odpočítať</w:t>
      </w:r>
      <w:r w:rsidR="004F01E9" w:rsidRPr="00922524">
        <w:rPr>
          <w:noProof/>
          <w:spacing w:val="-4"/>
        </w:rPr>
        <w:t xml:space="preserve"> v </w:t>
      </w:r>
      <w:r w:rsidRPr="00922524">
        <w:rPr>
          <w:noProof/>
          <w:spacing w:val="-4"/>
        </w:rPr>
        <w:t>prípade odložených daňových pohľadávok, ktoré počítajú</w:t>
      </w:r>
      <w:r w:rsidR="004F01E9" w:rsidRPr="00922524">
        <w:rPr>
          <w:noProof/>
          <w:spacing w:val="-4"/>
        </w:rPr>
        <w:t xml:space="preserve"> s </w:t>
      </w:r>
      <w:r w:rsidRPr="00922524">
        <w:rPr>
          <w:noProof/>
          <w:spacing w:val="-4"/>
        </w:rPr>
        <w:t>budúcou ziskovosťou</w:t>
      </w:r>
      <w:r w:rsidR="004F01E9" w:rsidRPr="00922524">
        <w:rPr>
          <w:noProof/>
          <w:spacing w:val="-4"/>
        </w:rPr>
        <w:t xml:space="preserve"> a </w:t>
      </w:r>
      <w:r w:rsidRPr="00922524">
        <w:rPr>
          <w:noProof/>
          <w:spacing w:val="-4"/>
        </w:rPr>
        <w:t>vyplývajú</w:t>
      </w:r>
      <w:r w:rsidR="004F01E9" w:rsidRPr="00922524">
        <w:rPr>
          <w:noProof/>
          <w:spacing w:val="-4"/>
        </w:rPr>
        <w:t xml:space="preserve"> z </w:t>
      </w:r>
      <w:r w:rsidRPr="00922524">
        <w:rPr>
          <w:noProof/>
          <w:spacing w:val="-4"/>
        </w:rPr>
        <w:t>dočasných rozdielov;“.</w:t>
      </w:r>
    </w:p>
    <w:p w14:paraId="4D0EEF17" w14:textId="77FE5810" w:rsidR="00806B81" w:rsidRPr="004F01E9" w:rsidRDefault="00C349AE" w:rsidP="00C349AE">
      <w:pPr>
        <w:pStyle w:val="Point0"/>
        <w:rPr>
          <w:noProof/>
        </w:rPr>
      </w:pPr>
      <w:r w:rsidRPr="00C349AE">
        <w:rPr>
          <w:noProof/>
        </w:rPr>
        <w:t>1</w:t>
      </w:r>
      <w:r w:rsidR="00922524">
        <w:rPr>
          <w:noProof/>
        </w:rPr>
        <w:t>7</w:t>
      </w:r>
      <w:r>
        <w:rPr>
          <w:noProof/>
        </w:rPr>
        <w:t>.</w:t>
      </w:r>
      <w:r w:rsidRPr="00C349AE">
        <w:rPr>
          <w:noProof/>
        </w:rPr>
        <w:tab/>
      </w:r>
      <w:r w:rsidR="001425AB" w:rsidRPr="004F01E9">
        <w:rPr>
          <w:noProof/>
        </w:rPr>
        <w:t>V článku 72b ods. 3 prvom pododseku sa úvodná veta nahrádza takto:</w:t>
      </w:r>
    </w:p>
    <w:p w14:paraId="02B9EAC2" w14:textId="6C225796" w:rsidR="001425AB" w:rsidRPr="00922524" w:rsidRDefault="001425AB" w:rsidP="001425AB">
      <w:pPr>
        <w:pStyle w:val="Text1"/>
        <w:rPr>
          <w:noProof/>
          <w:spacing w:val="-4"/>
        </w:rPr>
      </w:pPr>
      <w:r w:rsidRPr="00922524">
        <w:rPr>
          <w:noProof/>
          <w:spacing w:val="-4"/>
        </w:rPr>
        <w:t>„Popri záväzkoch uvedených</w:t>
      </w:r>
      <w:r w:rsidR="004F01E9" w:rsidRPr="00922524">
        <w:rPr>
          <w:noProof/>
          <w:spacing w:val="-4"/>
        </w:rPr>
        <w:t xml:space="preserve"> v </w:t>
      </w:r>
      <w:r w:rsidRPr="00922524">
        <w:rPr>
          <w:noProof/>
          <w:spacing w:val="-4"/>
        </w:rPr>
        <w:t>odseku 2 tohto článku môže orgán pre riešenie krízových situácií povoliť, aby sa záväzky kvalifikovali ako nástroje oprávnených záväzkov až do súhrnnej hodnoty, ktorá nepresahuje 3,5</w:t>
      </w:r>
      <w:r w:rsidR="004F01E9" w:rsidRPr="00922524">
        <w:rPr>
          <w:noProof/>
          <w:spacing w:val="-4"/>
        </w:rPr>
        <w:t> %</w:t>
      </w:r>
      <w:r w:rsidRPr="00922524">
        <w:rPr>
          <w:noProof/>
          <w:spacing w:val="-4"/>
        </w:rPr>
        <w:t xml:space="preserve"> celkovej hodnoty rizikovej expozície vypočítanej</w:t>
      </w:r>
      <w:r w:rsidR="004F01E9" w:rsidRPr="00922524">
        <w:rPr>
          <w:noProof/>
          <w:spacing w:val="-4"/>
        </w:rPr>
        <w:t xml:space="preserve"> v </w:t>
      </w:r>
      <w:r w:rsidRPr="00922524">
        <w:rPr>
          <w:noProof/>
          <w:spacing w:val="-4"/>
        </w:rPr>
        <w:t>súlade</w:t>
      </w:r>
      <w:r w:rsidR="004F01E9" w:rsidRPr="00922524">
        <w:rPr>
          <w:noProof/>
          <w:spacing w:val="-4"/>
        </w:rPr>
        <w:t xml:space="preserve"> s </w:t>
      </w:r>
      <w:r w:rsidRPr="00922524">
        <w:rPr>
          <w:noProof/>
          <w:spacing w:val="-4"/>
        </w:rPr>
        <w:t>článkom 92 ods. 3,</w:t>
      </w:r>
      <w:r w:rsidR="004F01E9" w:rsidRPr="00922524">
        <w:rPr>
          <w:noProof/>
          <w:spacing w:val="-4"/>
        </w:rPr>
        <w:t xml:space="preserve"> a </w:t>
      </w:r>
      <w:r w:rsidRPr="00922524">
        <w:rPr>
          <w:noProof/>
          <w:spacing w:val="-4"/>
        </w:rPr>
        <w:t>to za predpokladu, že:“.</w:t>
      </w:r>
    </w:p>
    <w:p w14:paraId="27E4F150" w14:textId="51781C20" w:rsidR="00806B81" w:rsidRPr="004F01E9" w:rsidRDefault="00C349AE" w:rsidP="00922524">
      <w:pPr>
        <w:pStyle w:val="Point0"/>
        <w:keepNext/>
        <w:keepLines/>
        <w:ind w:left="851"/>
        <w:rPr>
          <w:noProof/>
        </w:rPr>
      </w:pPr>
      <w:r w:rsidRPr="00C349AE">
        <w:rPr>
          <w:noProof/>
        </w:rPr>
        <w:t>1</w:t>
      </w:r>
      <w:r w:rsidR="00922524">
        <w:rPr>
          <w:noProof/>
        </w:rPr>
        <w:t>8</w:t>
      </w:r>
      <w:r>
        <w:rPr>
          <w:noProof/>
        </w:rPr>
        <w:t>.</w:t>
      </w:r>
      <w:r w:rsidRPr="00C349AE">
        <w:rPr>
          <w:noProof/>
        </w:rPr>
        <w:tab/>
      </w:r>
      <w:r w:rsidR="001425AB" w:rsidRPr="004F01E9">
        <w:rPr>
          <w:noProof/>
        </w:rPr>
        <w:t>V článku 72i ods. 1 písm. a) sa bod ii) nahrádza takto:</w:t>
      </w:r>
    </w:p>
    <w:p w14:paraId="26B5E012" w14:textId="654678F1" w:rsidR="001425AB" w:rsidRPr="004F01E9" w:rsidRDefault="001425AB" w:rsidP="00922524">
      <w:pPr>
        <w:pStyle w:val="Text1"/>
        <w:keepNext/>
        <w:keepLines/>
        <w:ind w:left="851"/>
        <w:rPr>
          <w:noProof/>
        </w:rPr>
      </w:pPr>
      <w:r w:rsidRPr="004F01E9">
        <w:rPr>
          <w:noProof/>
        </w:rPr>
        <w:t>„ii) článku 36 ods. 1 písm. a) až g), písm. k) bodov ii), iii)</w:t>
      </w:r>
      <w:r w:rsidR="004F01E9">
        <w:rPr>
          <w:noProof/>
        </w:rPr>
        <w:t xml:space="preserve"> a </w:t>
      </w:r>
      <w:r w:rsidRPr="004F01E9">
        <w:rPr>
          <w:noProof/>
        </w:rPr>
        <w:t>iv)</w:t>
      </w:r>
      <w:r w:rsidR="004F01E9">
        <w:rPr>
          <w:noProof/>
        </w:rPr>
        <w:t xml:space="preserve"> a </w:t>
      </w:r>
      <w:r w:rsidRPr="004F01E9">
        <w:rPr>
          <w:noProof/>
        </w:rPr>
        <w:t>písm. l), m)</w:t>
      </w:r>
      <w:r w:rsidR="004F01E9">
        <w:rPr>
          <w:noProof/>
        </w:rPr>
        <w:t xml:space="preserve"> a </w:t>
      </w:r>
      <w:r w:rsidRPr="004F01E9">
        <w:rPr>
          <w:noProof/>
        </w:rPr>
        <w:t>n)</w:t>
      </w:r>
      <w:r w:rsidR="004F01E9">
        <w:rPr>
          <w:noProof/>
        </w:rPr>
        <w:t xml:space="preserve"> s </w:t>
      </w:r>
      <w:r w:rsidRPr="004F01E9">
        <w:rPr>
          <w:noProof/>
        </w:rPr>
        <w:t>výnimkou hodnoty, ktorá sa má odpočítať</w:t>
      </w:r>
      <w:r w:rsidR="004F01E9">
        <w:rPr>
          <w:noProof/>
        </w:rPr>
        <w:t xml:space="preserve"> v </w:t>
      </w:r>
      <w:r w:rsidRPr="004F01E9">
        <w:rPr>
          <w:noProof/>
        </w:rPr>
        <w:t>prípade odložených daňových pohľadávok, ktoré počítajú</w:t>
      </w:r>
      <w:r w:rsidR="004F01E9">
        <w:rPr>
          <w:noProof/>
        </w:rPr>
        <w:t xml:space="preserve"> s </w:t>
      </w:r>
      <w:r w:rsidRPr="004F01E9">
        <w:rPr>
          <w:noProof/>
        </w:rPr>
        <w:t>budúcou ziskovosťou</w:t>
      </w:r>
      <w:r w:rsidR="004F01E9">
        <w:rPr>
          <w:noProof/>
        </w:rPr>
        <w:t xml:space="preserve"> a </w:t>
      </w:r>
      <w:r w:rsidRPr="004F01E9">
        <w:rPr>
          <w:noProof/>
        </w:rPr>
        <w:t>vyplývajú</w:t>
      </w:r>
      <w:r w:rsidR="004F01E9">
        <w:rPr>
          <w:noProof/>
        </w:rPr>
        <w:t xml:space="preserve"> z </w:t>
      </w:r>
      <w:r w:rsidRPr="004F01E9">
        <w:rPr>
          <w:noProof/>
        </w:rPr>
        <w:t>dočasných rozdielov;“.</w:t>
      </w:r>
    </w:p>
    <w:p w14:paraId="6EC696D0" w14:textId="51023F96" w:rsidR="00806B81" w:rsidRPr="004F01E9" w:rsidRDefault="00C349AE" w:rsidP="00C349AE">
      <w:pPr>
        <w:pStyle w:val="Point0"/>
        <w:rPr>
          <w:noProof/>
        </w:rPr>
      </w:pPr>
      <w:r w:rsidRPr="00C349AE">
        <w:rPr>
          <w:noProof/>
        </w:rPr>
        <w:t>1</w:t>
      </w:r>
      <w:r w:rsidR="00922524">
        <w:rPr>
          <w:noProof/>
        </w:rPr>
        <w:t>9</w:t>
      </w:r>
      <w:r>
        <w:rPr>
          <w:noProof/>
        </w:rPr>
        <w:t>.</w:t>
      </w:r>
      <w:r w:rsidRPr="00C349AE">
        <w:rPr>
          <w:noProof/>
        </w:rPr>
        <w:tab/>
      </w:r>
      <w:r w:rsidR="005F0B3F" w:rsidRPr="004F01E9">
        <w:rPr>
          <w:noProof/>
        </w:rPr>
        <w:t>V článku 84 ods. 1 sa písmeno a) nahrádza takto:</w:t>
      </w:r>
    </w:p>
    <w:p w14:paraId="04E7CE44" w14:textId="62EF1E22" w:rsidR="005F0B3F" w:rsidRPr="004F01E9" w:rsidRDefault="005F0B3F" w:rsidP="005F0B3F">
      <w:pPr>
        <w:pStyle w:val="Point1"/>
        <w:rPr>
          <w:noProof/>
          <w:szCs w:val="24"/>
        </w:rPr>
      </w:pPr>
      <w:r w:rsidRPr="004F01E9">
        <w:rPr>
          <w:noProof/>
        </w:rPr>
        <w:t>„a)</w:t>
      </w:r>
      <w:r w:rsidRPr="004F01E9">
        <w:rPr>
          <w:noProof/>
        </w:rPr>
        <w:tab/>
        <w:t>hodnota vlastného kapitálu Tier 1 dcérskej spoločnosti mínus nižšia</w:t>
      </w:r>
      <w:r w:rsidR="004F01E9">
        <w:rPr>
          <w:noProof/>
        </w:rPr>
        <w:t xml:space="preserve"> z </w:t>
      </w:r>
      <w:r w:rsidRPr="004F01E9">
        <w:rPr>
          <w:noProof/>
        </w:rPr>
        <w:t>týchto hodnôt:</w:t>
      </w:r>
    </w:p>
    <w:p w14:paraId="4BE0B8D4" w14:textId="3867A5FE" w:rsidR="005F0B3F" w:rsidRPr="004F01E9" w:rsidRDefault="005F0B3F" w:rsidP="005F0B3F">
      <w:pPr>
        <w:pStyle w:val="Point2"/>
        <w:rPr>
          <w:noProof/>
        </w:rPr>
      </w:pPr>
      <w:r w:rsidRPr="004F01E9">
        <w:rPr>
          <w:noProof/>
        </w:rPr>
        <w:t>i)</w:t>
      </w:r>
      <w:r w:rsidRPr="004F01E9">
        <w:rPr>
          <w:noProof/>
        </w:rPr>
        <w:tab/>
        <w:t>hodnota vlastného kapitálu Tier 1 tejto dcérskej spoločnosti vyžadovaná</w:t>
      </w:r>
      <w:r w:rsidR="004F01E9">
        <w:rPr>
          <w:noProof/>
        </w:rPr>
        <w:t xml:space="preserve"> s </w:t>
      </w:r>
      <w:r w:rsidRPr="004F01E9">
        <w:rPr>
          <w:noProof/>
        </w:rPr>
        <w:t>cieľom dosiahnuť úroveň:</w:t>
      </w:r>
    </w:p>
    <w:p w14:paraId="071F8AB7" w14:textId="55110EC4" w:rsidR="005F0B3F" w:rsidRPr="004F01E9" w:rsidRDefault="005F0B3F" w:rsidP="00107856">
      <w:pPr>
        <w:pStyle w:val="Tiret3"/>
        <w:numPr>
          <w:ilvl w:val="0"/>
          <w:numId w:val="15"/>
        </w:numPr>
        <w:rPr>
          <w:noProof/>
        </w:rPr>
      </w:pPr>
      <w:r w:rsidRPr="004F01E9">
        <w:rPr>
          <w:noProof/>
        </w:rPr>
        <w:t>keď je dcérska spoločnosť inštitúciou, súčtu požiadavky stanovenej</w:t>
      </w:r>
      <w:r w:rsidR="004F01E9">
        <w:rPr>
          <w:noProof/>
        </w:rPr>
        <w:t xml:space="preserve"> v </w:t>
      </w:r>
      <w:r w:rsidRPr="004F01E9">
        <w:rPr>
          <w:noProof/>
        </w:rPr>
        <w:t>článku 92 ods. 1 písm. a), požiadaviek uvedených</w:t>
      </w:r>
      <w:r w:rsidR="004F01E9">
        <w:rPr>
          <w:noProof/>
        </w:rPr>
        <w:t xml:space="preserve"> v </w:t>
      </w:r>
      <w:r w:rsidRPr="004F01E9">
        <w:rPr>
          <w:noProof/>
        </w:rPr>
        <w:t>článkoch 458</w:t>
      </w:r>
      <w:r w:rsidR="004F01E9">
        <w:rPr>
          <w:noProof/>
        </w:rPr>
        <w:t xml:space="preserve"> a </w:t>
      </w:r>
      <w:r w:rsidRPr="004F01E9">
        <w:rPr>
          <w:noProof/>
        </w:rPr>
        <w:t>459, osobitných požiadaviek na vlastné zdroje uvedených</w:t>
      </w:r>
      <w:r w:rsidR="004F01E9">
        <w:rPr>
          <w:noProof/>
        </w:rPr>
        <w:t xml:space="preserve"> v </w:t>
      </w:r>
      <w:r w:rsidRPr="004F01E9">
        <w:rPr>
          <w:noProof/>
        </w:rPr>
        <w:t>článku 104 smernice 2013/36/EÚ, požiadavky na kombinovaný vankúš vymedzenej</w:t>
      </w:r>
      <w:r w:rsidR="004F01E9">
        <w:rPr>
          <w:noProof/>
        </w:rPr>
        <w:t xml:space="preserve"> v </w:t>
      </w:r>
      <w:r w:rsidRPr="004F01E9">
        <w:rPr>
          <w:noProof/>
        </w:rPr>
        <w:t>článku 128 bode 6 uvedenej smernice alebo prípadne</w:t>
      </w:r>
      <w:r w:rsidR="004F01E9">
        <w:rPr>
          <w:noProof/>
        </w:rPr>
        <w:t xml:space="preserve"> v </w:t>
      </w:r>
      <w:r w:rsidRPr="004F01E9">
        <w:rPr>
          <w:noProof/>
        </w:rPr>
        <w:t>akýchkoľvek vnútroštátnych predpisoch</w:t>
      </w:r>
      <w:r w:rsidR="004F01E9">
        <w:rPr>
          <w:noProof/>
        </w:rPr>
        <w:t xml:space="preserve"> v </w:t>
      </w:r>
      <w:r w:rsidRPr="004F01E9">
        <w:rPr>
          <w:noProof/>
        </w:rPr>
        <w:t>oblasti dohľadu</w:t>
      </w:r>
      <w:r w:rsidR="004F01E9">
        <w:rPr>
          <w:noProof/>
        </w:rPr>
        <w:t xml:space="preserve"> v </w:t>
      </w:r>
      <w:r w:rsidRPr="004F01E9">
        <w:rPr>
          <w:noProof/>
        </w:rPr>
        <w:t>tretích krajinách, pokiaľ má takéto požiadavky spĺňať vlastný kapitál Tier 1,</w:t>
      </w:r>
    </w:p>
    <w:p w14:paraId="60193EF5" w14:textId="3A5C96E5" w:rsidR="005F0B3F" w:rsidRPr="004F01E9" w:rsidRDefault="005F0B3F" w:rsidP="005F0B3F">
      <w:pPr>
        <w:pStyle w:val="Tiret3"/>
        <w:rPr>
          <w:noProof/>
        </w:rPr>
      </w:pPr>
      <w:r w:rsidRPr="004F01E9">
        <w:rPr>
          <w:noProof/>
        </w:rPr>
        <w:t>keď je dcérska spoločnosť investičnou spoločnosťou, súčtu požiadavky stanovenej</w:t>
      </w:r>
      <w:r w:rsidR="004F01E9">
        <w:rPr>
          <w:noProof/>
        </w:rPr>
        <w:t xml:space="preserve"> v </w:t>
      </w:r>
      <w:r w:rsidRPr="004F01E9">
        <w:rPr>
          <w:noProof/>
        </w:rPr>
        <w:t>článku 11 nariadenia (EÚ) 2019/2033, osobitných požiadaviek na vlastné zdroje uvedených</w:t>
      </w:r>
      <w:r w:rsidR="004F01E9">
        <w:rPr>
          <w:noProof/>
        </w:rPr>
        <w:t xml:space="preserve"> v </w:t>
      </w:r>
      <w:r w:rsidRPr="004F01E9">
        <w:rPr>
          <w:noProof/>
        </w:rPr>
        <w:t>článku 39 ods. 2 písm. a) smernice (EÚ)) 2019/2034 alebo prípadne</w:t>
      </w:r>
      <w:r w:rsidR="004F01E9">
        <w:rPr>
          <w:noProof/>
        </w:rPr>
        <w:t xml:space="preserve"> v </w:t>
      </w:r>
      <w:r w:rsidRPr="004F01E9">
        <w:rPr>
          <w:noProof/>
        </w:rPr>
        <w:t>akýchkoľvek ďalších vnútroštátnych predpisoch</w:t>
      </w:r>
      <w:r w:rsidR="004F01E9">
        <w:rPr>
          <w:noProof/>
        </w:rPr>
        <w:t xml:space="preserve"> v </w:t>
      </w:r>
      <w:r w:rsidRPr="004F01E9">
        <w:rPr>
          <w:noProof/>
        </w:rPr>
        <w:t>oblasti dohľadu</w:t>
      </w:r>
      <w:r w:rsidR="004F01E9">
        <w:rPr>
          <w:noProof/>
        </w:rPr>
        <w:t xml:space="preserve"> v </w:t>
      </w:r>
      <w:r w:rsidRPr="004F01E9">
        <w:rPr>
          <w:noProof/>
        </w:rPr>
        <w:t>tretích krajinách, pokiaľ má takéto požiadavky spĺňať vlastný kapitál Tier 1;</w:t>
      </w:r>
    </w:p>
    <w:p w14:paraId="43912AD9" w14:textId="670AFE64" w:rsidR="005F0B3F" w:rsidRPr="004F01E9" w:rsidRDefault="005F0B3F" w:rsidP="005F0B3F">
      <w:pPr>
        <w:pStyle w:val="Point2"/>
        <w:rPr>
          <w:noProof/>
        </w:rPr>
      </w:pPr>
      <w:r w:rsidRPr="004F01E9">
        <w:rPr>
          <w:noProof/>
        </w:rPr>
        <w:t>ii)</w:t>
      </w:r>
      <w:r w:rsidRPr="004F01E9">
        <w:rPr>
          <w:noProof/>
        </w:rPr>
        <w:tab/>
        <w:t>hodnota konsolidovaného vlastného kapitálu Tier 1, ktorý súvisí</w:t>
      </w:r>
      <w:r w:rsidR="004F01E9">
        <w:rPr>
          <w:noProof/>
        </w:rPr>
        <w:t xml:space="preserve"> s </w:t>
      </w:r>
      <w:r w:rsidRPr="004F01E9">
        <w:rPr>
          <w:noProof/>
        </w:rPr>
        <w:t>touto dcérskou spoločnosťou, vyžadovaná na konsolidovanom základe</w:t>
      </w:r>
      <w:r w:rsidR="004F01E9">
        <w:rPr>
          <w:noProof/>
        </w:rPr>
        <w:t xml:space="preserve"> s </w:t>
      </w:r>
      <w:r w:rsidRPr="004F01E9">
        <w:rPr>
          <w:noProof/>
        </w:rPr>
        <w:t>cieľom dosiahnuť úroveň súčtu požiadavky stanovenej</w:t>
      </w:r>
      <w:r w:rsidR="004F01E9">
        <w:rPr>
          <w:noProof/>
        </w:rPr>
        <w:t xml:space="preserve"> v </w:t>
      </w:r>
      <w:r w:rsidRPr="004F01E9">
        <w:rPr>
          <w:noProof/>
        </w:rPr>
        <w:t>článku 92 ods. 1 písm. a), požiadaviek uvedených</w:t>
      </w:r>
      <w:r w:rsidR="004F01E9">
        <w:rPr>
          <w:noProof/>
        </w:rPr>
        <w:t xml:space="preserve"> v </w:t>
      </w:r>
      <w:r w:rsidRPr="004F01E9">
        <w:rPr>
          <w:noProof/>
        </w:rPr>
        <w:t>článkoch 458</w:t>
      </w:r>
      <w:r w:rsidR="004F01E9">
        <w:rPr>
          <w:noProof/>
        </w:rPr>
        <w:t xml:space="preserve"> a </w:t>
      </w:r>
      <w:r w:rsidRPr="004F01E9">
        <w:rPr>
          <w:noProof/>
        </w:rPr>
        <w:t>459, osobitných požiadaviek na vlastné zdroje uvedených</w:t>
      </w:r>
      <w:r w:rsidR="004F01E9">
        <w:rPr>
          <w:noProof/>
        </w:rPr>
        <w:t xml:space="preserve"> v </w:t>
      </w:r>
      <w:r w:rsidRPr="004F01E9">
        <w:rPr>
          <w:noProof/>
        </w:rPr>
        <w:t>článku 104 smernice 2013/36/EÚ</w:t>
      </w:r>
      <w:r w:rsidR="004F01E9">
        <w:rPr>
          <w:noProof/>
        </w:rPr>
        <w:t xml:space="preserve"> a </w:t>
      </w:r>
      <w:r w:rsidRPr="004F01E9">
        <w:rPr>
          <w:noProof/>
        </w:rPr>
        <w:t>požiadavky na kombinovaný vankúš vymedzenej</w:t>
      </w:r>
      <w:r w:rsidR="004F01E9">
        <w:rPr>
          <w:noProof/>
        </w:rPr>
        <w:t xml:space="preserve"> v </w:t>
      </w:r>
      <w:r w:rsidRPr="004F01E9">
        <w:rPr>
          <w:noProof/>
        </w:rPr>
        <w:t>článku 128 bode 6 uvedenej smernice;“.</w:t>
      </w:r>
    </w:p>
    <w:p w14:paraId="0D2594B3" w14:textId="095F3563" w:rsidR="00806B81" w:rsidRPr="004F01E9" w:rsidRDefault="00922524" w:rsidP="00C349AE">
      <w:pPr>
        <w:pStyle w:val="Point0"/>
        <w:rPr>
          <w:noProof/>
        </w:rPr>
      </w:pPr>
      <w:r>
        <w:rPr>
          <w:noProof/>
        </w:rPr>
        <w:t>20</w:t>
      </w:r>
      <w:r w:rsidR="00C349AE">
        <w:rPr>
          <w:noProof/>
        </w:rPr>
        <w:t>.</w:t>
      </w:r>
      <w:r w:rsidR="00C349AE" w:rsidRPr="00C349AE">
        <w:rPr>
          <w:noProof/>
        </w:rPr>
        <w:tab/>
      </w:r>
      <w:r w:rsidR="005F0B3F" w:rsidRPr="004F01E9">
        <w:rPr>
          <w:noProof/>
        </w:rPr>
        <w:t>V článku 85 ods. 1 sa písmeno a) nahrádza takto:</w:t>
      </w:r>
    </w:p>
    <w:p w14:paraId="47356546" w14:textId="350A6EB9" w:rsidR="005F0B3F" w:rsidRPr="004F01E9" w:rsidRDefault="005F0B3F" w:rsidP="005F0B3F">
      <w:pPr>
        <w:pStyle w:val="Point1"/>
        <w:rPr>
          <w:noProof/>
        </w:rPr>
      </w:pPr>
      <w:r w:rsidRPr="004F01E9">
        <w:rPr>
          <w:noProof/>
        </w:rPr>
        <w:t>a)</w:t>
      </w:r>
      <w:r w:rsidRPr="004F01E9">
        <w:rPr>
          <w:noProof/>
        </w:rPr>
        <w:tab/>
        <w:t>hodnota kapitálu Tier 1 dcérskej spoločnosti mínus nižšia</w:t>
      </w:r>
      <w:r w:rsidR="004F01E9">
        <w:rPr>
          <w:noProof/>
        </w:rPr>
        <w:t xml:space="preserve"> z </w:t>
      </w:r>
      <w:r w:rsidRPr="004F01E9">
        <w:rPr>
          <w:noProof/>
        </w:rPr>
        <w:t>týchto hodnôt:</w:t>
      </w:r>
    </w:p>
    <w:p w14:paraId="667B13F5" w14:textId="73F86E95" w:rsidR="005F0B3F" w:rsidRPr="004F01E9" w:rsidRDefault="005F0B3F" w:rsidP="005F0B3F">
      <w:pPr>
        <w:pStyle w:val="Point2"/>
        <w:rPr>
          <w:noProof/>
        </w:rPr>
      </w:pPr>
      <w:r w:rsidRPr="004F01E9">
        <w:rPr>
          <w:noProof/>
        </w:rPr>
        <w:t>i)</w:t>
      </w:r>
      <w:r w:rsidRPr="004F01E9">
        <w:rPr>
          <w:noProof/>
        </w:rPr>
        <w:tab/>
        <w:t>hodnota kapitálu Tier 1 dcérskej spoločnosti vyžadovaná</w:t>
      </w:r>
      <w:r w:rsidR="004F01E9">
        <w:rPr>
          <w:noProof/>
        </w:rPr>
        <w:t xml:space="preserve"> s </w:t>
      </w:r>
      <w:r w:rsidRPr="004F01E9">
        <w:rPr>
          <w:noProof/>
        </w:rPr>
        <w:t>cieľom dosiahnuť úroveň:</w:t>
      </w:r>
    </w:p>
    <w:p w14:paraId="1AB97C91" w14:textId="1D800AC5" w:rsidR="005F0B3F" w:rsidRPr="004F01E9" w:rsidRDefault="005F0B3F" w:rsidP="005F0B3F">
      <w:pPr>
        <w:pStyle w:val="Tiret3"/>
        <w:rPr>
          <w:noProof/>
        </w:rPr>
      </w:pPr>
      <w:r w:rsidRPr="004F01E9">
        <w:rPr>
          <w:noProof/>
        </w:rPr>
        <w:t>keď je dcérska spoločnosť inštitúciou, súčtu požiadavky stanovenej</w:t>
      </w:r>
      <w:r w:rsidR="004F01E9">
        <w:rPr>
          <w:noProof/>
        </w:rPr>
        <w:t xml:space="preserve"> v </w:t>
      </w:r>
      <w:r w:rsidRPr="004F01E9">
        <w:rPr>
          <w:noProof/>
        </w:rPr>
        <w:t>článku 92 ods. 1 písm. b), požiadaviek uvedených</w:t>
      </w:r>
      <w:r w:rsidR="004F01E9">
        <w:rPr>
          <w:noProof/>
        </w:rPr>
        <w:t xml:space="preserve"> v </w:t>
      </w:r>
      <w:r w:rsidRPr="004F01E9">
        <w:rPr>
          <w:noProof/>
        </w:rPr>
        <w:t>článkoch 458</w:t>
      </w:r>
      <w:r w:rsidR="004F01E9">
        <w:rPr>
          <w:noProof/>
        </w:rPr>
        <w:t xml:space="preserve"> a </w:t>
      </w:r>
      <w:r w:rsidRPr="004F01E9">
        <w:rPr>
          <w:noProof/>
        </w:rPr>
        <w:t>459, osobitných požiadaviek na vlastné zdroje uvedených</w:t>
      </w:r>
      <w:r w:rsidR="004F01E9">
        <w:rPr>
          <w:noProof/>
        </w:rPr>
        <w:t xml:space="preserve"> v </w:t>
      </w:r>
      <w:r w:rsidRPr="004F01E9">
        <w:rPr>
          <w:noProof/>
        </w:rPr>
        <w:t>článku 104 smernice 2013/36/EÚ, požiadavky na kombinovaný vankúš vymedzenej</w:t>
      </w:r>
      <w:r w:rsidR="004F01E9">
        <w:rPr>
          <w:noProof/>
        </w:rPr>
        <w:t xml:space="preserve"> v </w:t>
      </w:r>
      <w:r w:rsidRPr="004F01E9">
        <w:rPr>
          <w:noProof/>
        </w:rPr>
        <w:t>článku 128 bode 6 uvedenej smernice alebo prípadne</w:t>
      </w:r>
      <w:r w:rsidR="004F01E9">
        <w:rPr>
          <w:noProof/>
        </w:rPr>
        <w:t xml:space="preserve"> v </w:t>
      </w:r>
      <w:r w:rsidRPr="004F01E9">
        <w:rPr>
          <w:noProof/>
        </w:rPr>
        <w:t>akýchkoľvek vnútroštátnych predpisoch</w:t>
      </w:r>
      <w:r w:rsidR="004F01E9">
        <w:rPr>
          <w:noProof/>
        </w:rPr>
        <w:t xml:space="preserve"> v </w:t>
      </w:r>
      <w:r w:rsidRPr="004F01E9">
        <w:rPr>
          <w:noProof/>
        </w:rPr>
        <w:t>oblasti dohľadu</w:t>
      </w:r>
      <w:r w:rsidR="004F01E9">
        <w:rPr>
          <w:noProof/>
        </w:rPr>
        <w:t xml:space="preserve"> v </w:t>
      </w:r>
      <w:r w:rsidRPr="004F01E9">
        <w:rPr>
          <w:noProof/>
        </w:rPr>
        <w:t>tretích krajinách, pokiaľ má takéto požiadavky spĺňať kapitál Tier 1,</w:t>
      </w:r>
    </w:p>
    <w:p w14:paraId="58EC82FE" w14:textId="565B8BFF" w:rsidR="005F0B3F" w:rsidRPr="00922524" w:rsidRDefault="005F0B3F" w:rsidP="005F0B3F">
      <w:pPr>
        <w:pStyle w:val="Tiret3"/>
        <w:rPr>
          <w:noProof/>
          <w:spacing w:val="-4"/>
        </w:rPr>
      </w:pPr>
      <w:r w:rsidRPr="00922524">
        <w:rPr>
          <w:noProof/>
          <w:spacing w:val="-4"/>
        </w:rPr>
        <w:t>keď je dcérska spoločnosť investičnou spoločnosťou, súčtu požiadavky stanovenej</w:t>
      </w:r>
      <w:r w:rsidR="004F01E9" w:rsidRPr="00922524">
        <w:rPr>
          <w:noProof/>
          <w:spacing w:val="-4"/>
        </w:rPr>
        <w:t xml:space="preserve"> v </w:t>
      </w:r>
      <w:r w:rsidRPr="00922524">
        <w:rPr>
          <w:noProof/>
          <w:spacing w:val="-4"/>
        </w:rPr>
        <w:t>článku 11 nariadenia (EÚ) 2019/2033, osobitných požiadaviek na vlastné zdroje uvedených</w:t>
      </w:r>
      <w:r w:rsidR="004F01E9" w:rsidRPr="00922524">
        <w:rPr>
          <w:noProof/>
          <w:spacing w:val="-4"/>
        </w:rPr>
        <w:t xml:space="preserve"> v </w:t>
      </w:r>
      <w:r w:rsidRPr="00922524">
        <w:rPr>
          <w:noProof/>
          <w:spacing w:val="-4"/>
        </w:rPr>
        <w:t>článku 39 ods. 2 písm. a) smernice (EÚ)) 2019/2034 alebo prípadne</w:t>
      </w:r>
      <w:r w:rsidR="004F01E9" w:rsidRPr="00922524">
        <w:rPr>
          <w:noProof/>
          <w:spacing w:val="-4"/>
        </w:rPr>
        <w:t xml:space="preserve"> v </w:t>
      </w:r>
      <w:r w:rsidRPr="00922524">
        <w:rPr>
          <w:noProof/>
          <w:spacing w:val="-4"/>
        </w:rPr>
        <w:t>akýchkoľvek vnútroštátnych predpisoch</w:t>
      </w:r>
      <w:r w:rsidR="004F01E9" w:rsidRPr="00922524">
        <w:rPr>
          <w:noProof/>
          <w:spacing w:val="-4"/>
        </w:rPr>
        <w:t xml:space="preserve"> v </w:t>
      </w:r>
      <w:r w:rsidRPr="00922524">
        <w:rPr>
          <w:noProof/>
          <w:spacing w:val="-4"/>
        </w:rPr>
        <w:t>oblasti dohľadu</w:t>
      </w:r>
      <w:r w:rsidR="004F01E9" w:rsidRPr="00922524">
        <w:rPr>
          <w:noProof/>
          <w:spacing w:val="-4"/>
        </w:rPr>
        <w:t xml:space="preserve"> v </w:t>
      </w:r>
      <w:r w:rsidRPr="00922524">
        <w:rPr>
          <w:noProof/>
          <w:spacing w:val="-4"/>
        </w:rPr>
        <w:t>tretích krajinách, pokiaľ má takéto požiadavky spĺňať kapitál Tier 1;</w:t>
      </w:r>
    </w:p>
    <w:p w14:paraId="046A2C95" w14:textId="3E10C28A" w:rsidR="005F0B3F" w:rsidRPr="00922524" w:rsidRDefault="005F0B3F" w:rsidP="005F0B3F">
      <w:pPr>
        <w:pStyle w:val="Point2"/>
        <w:rPr>
          <w:noProof/>
          <w:spacing w:val="-4"/>
        </w:rPr>
      </w:pPr>
      <w:r w:rsidRPr="00922524">
        <w:rPr>
          <w:noProof/>
          <w:spacing w:val="-4"/>
        </w:rPr>
        <w:t>ii)</w:t>
      </w:r>
      <w:r w:rsidRPr="00922524">
        <w:rPr>
          <w:noProof/>
          <w:spacing w:val="-4"/>
        </w:rPr>
        <w:tab/>
        <w:t>hodnota konsolidovaného kapitálu Tier 1, ktorý súvisí</w:t>
      </w:r>
      <w:r w:rsidR="004F01E9" w:rsidRPr="00922524">
        <w:rPr>
          <w:noProof/>
          <w:spacing w:val="-4"/>
        </w:rPr>
        <w:t xml:space="preserve"> s </w:t>
      </w:r>
      <w:r w:rsidRPr="00922524">
        <w:rPr>
          <w:noProof/>
          <w:spacing w:val="-4"/>
        </w:rPr>
        <w:t>touto dcérskou spoločnosťou, vyžadovaná na konsolidovanom základe</w:t>
      </w:r>
      <w:r w:rsidR="004F01E9" w:rsidRPr="00922524">
        <w:rPr>
          <w:noProof/>
          <w:spacing w:val="-4"/>
        </w:rPr>
        <w:t xml:space="preserve"> s </w:t>
      </w:r>
      <w:r w:rsidRPr="00922524">
        <w:rPr>
          <w:noProof/>
          <w:spacing w:val="-4"/>
        </w:rPr>
        <w:t>cieľom dosiahnuť úroveň súčtu požiadavky stanovenej</w:t>
      </w:r>
      <w:r w:rsidR="004F01E9" w:rsidRPr="00922524">
        <w:rPr>
          <w:noProof/>
          <w:spacing w:val="-4"/>
        </w:rPr>
        <w:t xml:space="preserve"> v </w:t>
      </w:r>
      <w:r w:rsidRPr="00922524">
        <w:rPr>
          <w:noProof/>
          <w:spacing w:val="-4"/>
        </w:rPr>
        <w:t>článku 92 ods. 1 písm. b), požiadaviek uvedených</w:t>
      </w:r>
      <w:r w:rsidR="004F01E9" w:rsidRPr="00922524">
        <w:rPr>
          <w:noProof/>
          <w:spacing w:val="-4"/>
        </w:rPr>
        <w:t xml:space="preserve"> v </w:t>
      </w:r>
      <w:r w:rsidRPr="00922524">
        <w:rPr>
          <w:noProof/>
          <w:spacing w:val="-4"/>
        </w:rPr>
        <w:t>článkoch 458</w:t>
      </w:r>
      <w:r w:rsidR="004F01E9" w:rsidRPr="00922524">
        <w:rPr>
          <w:noProof/>
          <w:spacing w:val="-4"/>
        </w:rPr>
        <w:t xml:space="preserve"> a </w:t>
      </w:r>
      <w:r w:rsidRPr="00922524">
        <w:rPr>
          <w:noProof/>
          <w:spacing w:val="-4"/>
        </w:rPr>
        <w:t>459, osobitných požiadaviek na vlastné zdroje uvedených</w:t>
      </w:r>
      <w:r w:rsidR="004F01E9" w:rsidRPr="00922524">
        <w:rPr>
          <w:noProof/>
          <w:spacing w:val="-4"/>
        </w:rPr>
        <w:t xml:space="preserve"> v </w:t>
      </w:r>
      <w:r w:rsidRPr="00922524">
        <w:rPr>
          <w:noProof/>
          <w:spacing w:val="-4"/>
        </w:rPr>
        <w:t>článku 104 smernice 2013/36/EÚ</w:t>
      </w:r>
      <w:r w:rsidR="004F01E9" w:rsidRPr="00922524">
        <w:rPr>
          <w:noProof/>
          <w:spacing w:val="-4"/>
        </w:rPr>
        <w:t xml:space="preserve"> a </w:t>
      </w:r>
      <w:r w:rsidRPr="00922524">
        <w:rPr>
          <w:noProof/>
          <w:spacing w:val="-4"/>
        </w:rPr>
        <w:t>požiadavky na kombinovaný vankúš vymedzenej</w:t>
      </w:r>
      <w:r w:rsidR="004F01E9" w:rsidRPr="00922524">
        <w:rPr>
          <w:noProof/>
          <w:spacing w:val="-4"/>
        </w:rPr>
        <w:t xml:space="preserve"> v </w:t>
      </w:r>
      <w:r w:rsidRPr="00922524">
        <w:rPr>
          <w:noProof/>
          <w:spacing w:val="-4"/>
        </w:rPr>
        <w:t>článku 128 bode 6 uvedenej smernice;“.</w:t>
      </w:r>
    </w:p>
    <w:p w14:paraId="7E1FCF1F" w14:textId="06E1851B" w:rsidR="00806B81" w:rsidRPr="004F01E9" w:rsidRDefault="001C4527" w:rsidP="001C4527">
      <w:pPr>
        <w:pStyle w:val="Point0"/>
        <w:rPr>
          <w:noProof/>
        </w:rPr>
      </w:pPr>
      <w:r w:rsidRPr="001C4527">
        <w:rPr>
          <w:noProof/>
        </w:rPr>
        <w:t>21</w:t>
      </w:r>
      <w:r>
        <w:rPr>
          <w:noProof/>
        </w:rPr>
        <w:t>.</w:t>
      </w:r>
      <w:r w:rsidRPr="001C4527">
        <w:rPr>
          <w:noProof/>
        </w:rPr>
        <w:tab/>
      </w:r>
      <w:r w:rsidR="005F0B3F" w:rsidRPr="004F01E9">
        <w:rPr>
          <w:noProof/>
        </w:rPr>
        <w:t>Vkladá sa tento článok 88b:</w:t>
      </w:r>
    </w:p>
    <w:p w14:paraId="6D0CFF3A" w14:textId="71788B6D" w:rsidR="005F0B3F" w:rsidRPr="004F01E9" w:rsidRDefault="005F0B3F" w:rsidP="005F0B3F">
      <w:pPr>
        <w:pStyle w:val="Titrearticle"/>
        <w:spacing w:before="120"/>
        <w:rPr>
          <w:noProof/>
        </w:rPr>
      </w:pPr>
      <w:r w:rsidRPr="004F01E9">
        <w:rPr>
          <w:noProof/>
        </w:rPr>
        <w:t>„Článok 88b</w:t>
      </w:r>
      <w:r w:rsidRPr="004F01E9">
        <w:rPr>
          <w:noProof/>
        </w:rPr>
        <w:br/>
      </w:r>
      <w:r w:rsidRPr="004F01E9">
        <w:rPr>
          <w:b/>
          <w:i w:val="0"/>
          <w:noProof/>
        </w:rPr>
        <w:t>Podniky</w:t>
      </w:r>
      <w:r w:rsidR="004F01E9">
        <w:rPr>
          <w:b/>
          <w:i w:val="0"/>
          <w:noProof/>
        </w:rPr>
        <w:t xml:space="preserve"> v </w:t>
      </w:r>
      <w:r w:rsidRPr="004F01E9">
        <w:rPr>
          <w:b/>
          <w:i w:val="0"/>
          <w:noProof/>
        </w:rPr>
        <w:t>tretích krajinách</w:t>
      </w:r>
    </w:p>
    <w:p w14:paraId="26A845D0" w14:textId="42A19250" w:rsidR="005F0B3F" w:rsidRPr="00922524" w:rsidRDefault="005F0B3F" w:rsidP="005F0B3F">
      <w:pPr>
        <w:pStyle w:val="Text1"/>
        <w:rPr>
          <w:noProof/>
          <w:spacing w:val="-4"/>
        </w:rPr>
      </w:pPr>
      <w:r w:rsidRPr="00922524">
        <w:rPr>
          <w:noProof/>
          <w:spacing w:val="-4"/>
        </w:rPr>
        <w:t>Na účely tejto hlavy II sa pojmy „investičná spoločnosť“</w:t>
      </w:r>
      <w:r w:rsidR="004F01E9" w:rsidRPr="00922524">
        <w:rPr>
          <w:noProof/>
          <w:spacing w:val="-4"/>
        </w:rPr>
        <w:t xml:space="preserve"> a </w:t>
      </w:r>
      <w:r w:rsidRPr="00922524">
        <w:rPr>
          <w:noProof/>
          <w:spacing w:val="-4"/>
        </w:rPr>
        <w:t>„inštitúcia“ chápu tak, že zahŕňajú aj podniky usadené</w:t>
      </w:r>
      <w:r w:rsidR="004F01E9" w:rsidRPr="00922524">
        <w:rPr>
          <w:noProof/>
          <w:spacing w:val="-4"/>
        </w:rPr>
        <w:t xml:space="preserve"> v </w:t>
      </w:r>
      <w:r w:rsidRPr="00922524">
        <w:rPr>
          <w:noProof/>
          <w:spacing w:val="-4"/>
        </w:rPr>
        <w:t>tretích krajinách, na ktoré by sa</w:t>
      </w:r>
      <w:r w:rsidR="004F01E9" w:rsidRPr="00922524">
        <w:rPr>
          <w:noProof/>
          <w:spacing w:val="-4"/>
        </w:rPr>
        <w:t xml:space="preserve"> v </w:t>
      </w:r>
      <w:r w:rsidRPr="00922524">
        <w:rPr>
          <w:noProof/>
          <w:spacing w:val="-4"/>
        </w:rPr>
        <w:t>prípade, že by boli usadené</w:t>
      </w:r>
      <w:r w:rsidR="004F01E9" w:rsidRPr="00922524">
        <w:rPr>
          <w:noProof/>
          <w:spacing w:val="-4"/>
        </w:rPr>
        <w:t xml:space="preserve"> v </w:t>
      </w:r>
      <w:r w:rsidRPr="00922524">
        <w:rPr>
          <w:noProof/>
          <w:spacing w:val="-4"/>
        </w:rPr>
        <w:t>Únii, vzťahovalo vymedzenie týchto pojmov</w:t>
      </w:r>
      <w:r w:rsidR="004F01E9" w:rsidRPr="00922524">
        <w:rPr>
          <w:noProof/>
          <w:spacing w:val="-4"/>
        </w:rPr>
        <w:t xml:space="preserve"> v </w:t>
      </w:r>
      <w:r w:rsidRPr="00922524">
        <w:rPr>
          <w:noProof/>
          <w:spacing w:val="-4"/>
        </w:rPr>
        <w:t>článku 4 ods. 1 bodoch 2</w:t>
      </w:r>
      <w:r w:rsidR="004F01E9" w:rsidRPr="00922524">
        <w:rPr>
          <w:noProof/>
          <w:spacing w:val="-4"/>
        </w:rPr>
        <w:t xml:space="preserve"> a </w:t>
      </w:r>
      <w:r w:rsidRPr="00922524">
        <w:rPr>
          <w:noProof/>
          <w:spacing w:val="-4"/>
        </w:rPr>
        <w:t>3.“</w:t>
      </w:r>
    </w:p>
    <w:p w14:paraId="71C8C459" w14:textId="172DFAD7" w:rsidR="00806B81" w:rsidRPr="004F01E9" w:rsidRDefault="001C4527" w:rsidP="001C4527">
      <w:pPr>
        <w:pStyle w:val="Point0"/>
        <w:rPr>
          <w:noProof/>
        </w:rPr>
      </w:pPr>
      <w:r w:rsidRPr="001C4527">
        <w:rPr>
          <w:noProof/>
        </w:rPr>
        <w:t>22</w:t>
      </w:r>
      <w:r>
        <w:rPr>
          <w:noProof/>
        </w:rPr>
        <w:t>.</w:t>
      </w:r>
      <w:r w:rsidRPr="001C4527">
        <w:rPr>
          <w:noProof/>
        </w:rPr>
        <w:tab/>
      </w:r>
      <w:r w:rsidR="00200B4A" w:rsidRPr="004F01E9">
        <w:rPr>
          <w:noProof/>
        </w:rPr>
        <w:t>V článku 89 sa odsek 1 nahrádza takto:</w:t>
      </w:r>
    </w:p>
    <w:p w14:paraId="116050AE" w14:textId="6316597A" w:rsidR="005F0B3F" w:rsidRPr="004F01E9" w:rsidRDefault="005F0B3F" w:rsidP="005F0B3F">
      <w:pPr>
        <w:pStyle w:val="Text1"/>
        <w:rPr>
          <w:noProof/>
        </w:rPr>
      </w:pPr>
      <w:r w:rsidRPr="004F01E9">
        <w:rPr>
          <w:noProof/>
        </w:rPr>
        <w:t>„1. Kvalifikovaná účasť, ktorej hodnota presiahne 15</w:t>
      </w:r>
      <w:r w:rsidR="004F01E9">
        <w:rPr>
          <w:noProof/>
        </w:rPr>
        <w:t> %</w:t>
      </w:r>
      <w:r w:rsidRPr="004F01E9">
        <w:rPr>
          <w:noProof/>
        </w:rPr>
        <w:t xml:space="preserve"> prípustného kapitálu inštitúcie</w:t>
      </w:r>
      <w:r w:rsidR="004F01E9">
        <w:rPr>
          <w:noProof/>
        </w:rPr>
        <w:t xml:space="preserve"> v </w:t>
      </w:r>
      <w:r w:rsidRPr="004F01E9">
        <w:rPr>
          <w:noProof/>
        </w:rPr>
        <w:t>spoločnosti, ktorá nie je subjektom finančného sektora, podlieha ustanoveniam uvedeným</w:t>
      </w:r>
      <w:r w:rsidR="004F01E9">
        <w:rPr>
          <w:noProof/>
        </w:rPr>
        <w:t xml:space="preserve"> v </w:t>
      </w:r>
      <w:r w:rsidRPr="004F01E9">
        <w:rPr>
          <w:noProof/>
        </w:rPr>
        <w:t>odseku 3.“</w:t>
      </w:r>
    </w:p>
    <w:p w14:paraId="3703ED9E" w14:textId="0D3FAB9E" w:rsidR="005F0B3F" w:rsidRPr="004F01E9" w:rsidRDefault="001C4527" w:rsidP="001C4527">
      <w:pPr>
        <w:pStyle w:val="Point0"/>
        <w:rPr>
          <w:noProof/>
        </w:rPr>
      </w:pPr>
      <w:r w:rsidRPr="001C4527">
        <w:rPr>
          <w:noProof/>
        </w:rPr>
        <w:t>23</w:t>
      </w:r>
      <w:r>
        <w:rPr>
          <w:noProof/>
        </w:rPr>
        <w:t>.</w:t>
      </w:r>
      <w:r w:rsidRPr="001C4527">
        <w:rPr>
          <w:noProof/>
        </w:rPr>
        <w:tab/>
      </w:r>
      <w:r w:rsidR="005F0B3F" w:rsidRPr="004F01E9">
        <w:rPr>
          <w:noProof/>
        </w:rPr>
        <w:t>Článok 92 sa mení takto:</w:t>
      </w:r>
    </w:p>
    <w:p w14:paraId="2CBF880A" w14:textId="28CA44AC" w:rsidR="005F0B3F" w:rsidRPr="004F01E9" w:rsidRDefault="0054788D" w:rsidP="0054788D">
      <w:pPr>
        <w:pStyle w:val="Point1"/>
        <w:rPr>
          <w:noProof/>
        </w:rPr>
      </w:pPr>
      <w:r w:rsidRPr="004F01E9">
        <w:rPr>
          <w:noProof/>
        </w:rPr>
        <w:t>a)</w:t>
      </w:r>
      <w:r w:rsidRPr="004F01E9">
        <w:rPr>
          <w:noProof/>
        </w:rPr>
        <w:tab/>
        <w:t>Odseky 3</w:t>
      </w:r>
      <w:r w:rsidR="004F01E9">
        <w:rPr>
          <w:noProof/>
        </w:rPr>
        <w:t xml:space="preserve"> a </w:t>
      </w:r>
      <w:r w:rsidRPr="004F01E9">
        <w:rPr>
          <w:noProof/>
        </w:rPr>
        <w:t>4 sa nahrádzajú takto:</w:t>
      </w:r>
    </w:p>
    <w:p w14:paraId="269A27D9" w14:textId="77777777" w:rsidR="00806B81" w:rsidRPr="004F01E9" w:rsidRDefault="005F0B3F" w:rsidP="00200B4A">
      <w:pPr>
        <w:pStyle w:val="Text2"/>
        <w:rPr>
          <w:noProof/>
        </w:rPr>
      </w:pPr>
      <w:r w:rsidRPr="004F01E9">
        <w:rPr>
          <w:noProof/>
        </w:rPr>
        <w:t>„3. Celková hodnota rizikovej expozície sa vypočítava takto:</w:t>
      </w:r>
    </w:p>
    <w:p w14:paraId="0D41CB16" w14:textId="727C14FA" w:rsidR="005F0B3F" w:rsidRPr="004F01E9" w:rsidRDefault="005F0B3F" w:rsidP="005F0B3F">
      <w:pPr>
        <w:pStyle w:val="Point2"/>
        <w:rPr>
          <w:noProof/>
        </w:rPr>
      </w:pPr>
      <w:r w:rsidRPr="004F01E9">
        <w:rPr>
          <w:noProof/>
        </w:rPr>
        <w:t>a)</w:t>
      </w:r>
      <w:r w:rsidRPr="004F01E9">
        <w:rPr>
          <w:noProof/>
        </w:rPr>
        <w:tab/>
        <w:t>samostatná inštitúcia</w:t>
      </w:r>
      <w:r w:rsidR="004F01E9">
        <w:rPr>
          <w:noProof/>
        </w:rPr>
        <w:t xml:space="preserve"> v </w:t>
      </w:r>
      <w:r w:rsidRPr="004F01E9">
        <w:rPr>
          <w:noProof/>
        </w:rPr>
        <w:t>EÚ</w:t>
      </w:r>
      <w:r w:rsidR="004F01E9">
        <w:rPr>
          <w:noProof/>
        </w:rPr>
        <w:t xml:space="preserve"> a </w:t>
      </w:r>
      <w:r w:rsidRPr="004F01E9">
        <w:rPr>
          <w:noProof/>
        </w:rPr>
        <w:t>na účely plnenia povinností vyplývajúcich</w:t>
      </w:r>
      <w:r w:rsidR="004F01E9">
        <w:rPr>
          <w:noProof/>
        </w:rPr>
        <w:t xml:space="preserve"> z </w:t>
      </w:r>
      <w:r w:rsidRPr="004F01E9">
        <w:rPr>
          <w:noProof/>
        </w:rPr>
        <w:t>tohto nariadenia na základe jej konsolidovanej situácie</w:t>
      </w:r>
      <w:r w:rsidR="004F01E9">
        <w:rPr>
          <w:noProof/>
        </w:rPr>
        <w:t xml:space="preserve"> v </w:t>
      </w:r>
      <w:r w:rsidRPr="004F01E9">
        <w:rPr>
          <w:noProof/>
        </w:rPr>
        <w:t>súlade</w:t>
      </w:r>
      <w:r w:rsidR="004F01E9">
        <w:rPr>
          <w:noProof/>
        </w:rPr>
        <w:t xml:space="preserve"> s </w:t>
      </w:r>
      <w:r w:rsidRPr="004F01E9">
        <w:rPr>
          <w:noProof/>
        </w:rPr>
        <w:t>prvou časťou hlavou II kapitolou 2 materská inštitúcia</w:t>
      </w:r>
      <w:r w:rsidR="004F01E9">
        <w:rPr>
          <w:noProof/>
        </w:rPr>
        <w:t xml:space="preserve"> v </w:t>
      </w:r>
      <w:r w:rsidRPr="004F01E9">
        <w:rPr>
          <w:noProof/>
        </w:rPr>
        <w:t>EÚ, materská finančná holdingová spoločnosť</w:t>
      </w:r>
      <w:r w:rsidR="004F01E9">
        <w:rPr>
          <w:noProof/>
        </w:rPr>
        <w:t xml:space="preserve"> v </w:t>
      </w:r>
      <w:r w:rsidRPr="004F01E9">
        <w:rPr>
          <w:noProof/>
        </w:rPr>
        <w:t>EÚ</w:t>
      </w:r>
      <w:r w:rsidR="004F01E9">
        <w:rPr>
          <w:noProof/>
        </w:rPr>
        <w:t xml:space="preserve"> a </w:t>
      </w:r>
      <w:r w:rsidRPr="004F01E9">
        <w:rPr>
          <w:noProof/>
        </w:rPr>
        <w:t>materská zmiešaná finančná holdingová spoločnosť</w:t>
      </w:r>
      <w:r w:rsidR="004F01E9">
        <w:rPr>
          <w:noProof/>
        </w:rPr>
        <w:t xml:space="preserve"> v </w:t>
      </w:r>
      <w:r w:rsidRPr="004F01E9">
        <w:rPr>
          <w:noProof/>
        </w:rPr>
        <w:t>EÚ vypočítavajú celkovú hodnotu rizikovej expozície takto:</w:t>
      </w:r>
    </w:p>
    <w:p w14:paraId="3018D34D" w14:textId="77777777" w:rsidR="005F0B3F" w:rsidRPr="004F01E9" w:rsidRDefault="005F0B3F" w:rsidP="005F0B3F">
      <w:pPr>
        <w:pStyle w:val="Text3"/>
        <w:rPr>
          <w:noProof/>
        </w:rPr>
      </w:pPr>
      <m:oMathPara>
        <m:oMathParaPr>
          <m:jc m:val="center"/>
        </m:oMathParaPr>
        <m:oMath>
          <m:r>
            <m:rPr>
              <m:nor/>
            </m:rPr>
            <w:rPr>
              <w:noProof/>
            </w:rPr>
            <m:t>TREA</m:t>
          </m:r>
          <m:r>
            <m:rPr>
              <m:sty m:val="p"/>
            </m:rPr>
            <w:rPr>
              <w:rFonts w:ascii="Cambria Math" w:hAnsi="Cambria Math"/>
              <w:noProof/>
            </w:rPr>
            <m:t xml:space="preserve">=max </m:t>
          </m:r>
          <m:d>
            <m:dPr>
              <m:begChr m:val="{"/>
              <m:endChr m:val="}"/>
              <m:ctrlPr>
                <w:rPr>
                  <w:rFonts w:ascii="Cambria Math" w:hAnsi="Cambria Math"/>
                  <w:noProof/>
                </w:rPr>
              </m:ctrlPr>
            </m:dPr>
            <m:e>
              <m:r>
                <m:rPr>
                  <m:nor/>
                </m:rPr>
                <w:rPr>
                  <w:noProof/>
                </w:rPr>
                <m:t>U-TREA</m:t>
              </m:r>
              <m:r>
                <m:rPr>
                  <m:sty m:val="p"/>
                </m:rPr>
                <w:rPr>
                  <w:rFonts w:ascii="Cambria Math" w:hAnsi="Cambria Math"/>
                  <w:noProof/>
                </w:rPr>
                <m:t>;x∙</m:t>
              </m:r>
              <m:r>
                <m:rPr>
                  <m:nor/>
                </m:rPr>
                <w:rPr>
                  <w:noProof/>
                </w:rPr>
                <m:t>S-TREA</m:t>
              </m:r>
            </m:e>
          </m:d>
        </m:oMath>
      </m:oMathPara>
    </w:p>
    <w:p w14:paraId="3608E2DA" w14:textId="77777777" w:rsidR="00806B81" w:rsidRPr="004F01E9" w:rsidRDefault="005F0B3F" w:rsidP="005F0B3F">
      <w:pPr>
        <w:pStyle w:val="Text3"/>
        <w:rPr>
          <w:noProof/>
        </w:rPr>
      </w:pPr>
      <w:r w:rsidRPr="004F01E9">
        <w:rPr>
          <w:noProof/>
        </w:rPr>
        <w:t>kde:</w:t>
      </w:r>
    </w:p>
    <w:p w14:paraId="11DFAEB3" w14:textId="4FC790C0" w:rsidR="005F0B3F" w:rsidRPr="004F01E9" w:rsidRDefault="005F0B3F" w:rsidP="00200B4A">
      <w:pPr>
        <w:pStyle w:val="Text3"/>
        <w:rPr>
          <w:noProof/>
        </w:rPr>
      </w:pPr>
      <w:r w:rsidRPr="004F01E9">
        <w:rPr>
          <w:noProof/>
        </w:rPr>
        <w:t>TREA</w:t>
      </w:r>
      <w:r w:rsidRPr="004F01E9">
        <w:rPr>
          <w:noProof/>
        </w:rPr>
        <w:tab/>
        <w:t>= celková hodnota rizikovej expozície subjektu;</w:t>
      </w:r>
    </w:p>
    <w:p w14:paraId="4D3DCC50" w14:textId="0D8DEA0F" w:rsidR="005F0B3F" w:rsidRPr="004F01E9" w:rsidRDefault="005F0B3F" w:rsidP="005F0B3F">
      <w:pPr>
        <w:pStyle w:val="Text3"/>
        <w:rPr>
          <w:noProof/>
        </w:rPr>
      </w:pPr>
      <w:r w:rsidRPr="004F01E9">
        <w:rPr>
          <w:noProof/>
        </w:rPr>
        <w:t>U-TREA</w:t>
      </w:r>
      <w:r w:rsidRPr="004F01E9">
        <w:rPr>
          <w:noProof/>
        </w:rPr>
        <w:tab/>
        <w:t>= celková hodnota rizikovej expozície subjektu bez spodnej hranice vypočítaná</w:t>
      </w:r>
      <w:r w:rsidR="004F01E9">
        <w:rPr>
          <w:noProof/>
        </w:rPr>
        <w:t xml:space="preserve"> v </w:t>
      </w:r>
      <w:r w:rsidRPr="004F01E9">
        <w:rPr>
          <w:noProof/>
        </w:rPr>
        <w:t>súlade</w:t>
      </w:r>
      <w:r w:rsidR="004F01E9">
        <w:rPr>
          <w:noProof/>
        </w:rPr>
        <w:t xml:space="preserve"> s </w:t>
      </w:r>
      <w:r w:rsidRPr="004F01E9">
        <w:rPr>
          <w:noProof/>
        </w:rPr>
        <w:t>odsekom 4;</w:t>
      </w:r>
    </w:p>
    <w:p w14:paraId="56D3F73F" w14:textId="28D86CD7" w:rsidR="005F0B3F" w:rsidRPr="004F01E9" w:rsidRDefault="005F0B3F" w:rsidP="005F0B3F">
      <w:pPr>
        <w:pStyle w:val="Text3"/>
        <w:rPr>
          <w:noProof/>
        </w:rPr>
      </w:pPr>
      <w:r w:rsidRPr="004F01E9">
        <w:rPr>
          <w:noProof/>
        </w:rPr>
        <w:t>S-TREA</w:t>
      </w:r>
      <w:r w:rsidRPr="004F01E9">
        <w:rPr>
          <w:noProof/>
        </w:rPr>
        <w:tab/>
        <w:t>= štandardizovaná celková hodnota rizikovej expozície subjektu vypočítaná</w:t>
      </w:r>
      <w:r w:rsidR="004F01E9">
        <w:rPr>
          <w:noProof/>
        </w:rPr>
        <w:t xml:space="preserve"> v </w:t>
      </w:r>
      <w:r w:rsidRPr="004F01E9">
        <w:rPr>
          <w:noProof/>
        </w:rPr>
        <w:t>súlade</w:t>
      </w:r>
      <w:r w:rsidR="004F01E9">
        <w:rPr>
          <w:noProof/>
        </w:rPr>
        <w:t xml:space="preserve"> s </w:t>
      </w:r>
      <w:r w:rsidRPr="004F01E9">
        <w:rPr>
          <w:noProof/>
        </w:rPr>
        <w:t>odsekom 5;</w:t>
      </w:r>
    </w:p>
    <w:p w14:paraId="1CC11217" w14:textId="4D1E72F9" w:rsidR="005F0B3F" w:rsidRPr="004F01E9" w:rsidRDefault="005F0B3F" w:rsidP="005F0B3F">
      <w:pPr>
        <w:pStyle w:val="Text3"/>
        <w:rPr>
          <w:noProof/>
        </w:rPr>
      </w:pPr>
      <w:r w:rsidRPr="004F01E9">
        <w:rPr>
          <w:noProof/>
        </w:rPr>
        <w:t>x</w:t>
      </w:r>
      <w:r w:rsidRPr="004F01E9">
        <w:rPr>
          <w:noProof/>
        </w:rPr>
        <w:tab/>
        <w:t>= 72,5</w:t>
      </w:r>
      <w:r w:rsidR="004F01E9">
        <w:rPr>
          <w:noProof/>
        </w:rPr>
        <w:t> %</w:t>
      </w:r>
      <w:r w:rsidRPr="004F01E9">
        <w:rPr>
          <w:noProof/>
        </w:rPr>
        <w:t>;</w:t>
      </w:r>
    </w:p>
    <w:p w14:paraId="35DFCCE8" w14:textId="64E91F2A" w:rsidR="005F0B3F" w:rsidRPr="004F01E9" w:rsidRDefault="005F0B3F" w:rsidP="005F0B3F">
      <w:pPr>
        <w:pStyle w:val="Point2"/>
        <w:rPr>
          <w:noProof/>
        </w:rPr>
      </w:pPr>
      <w:r w:rsidRPr="004F01E9">
        <w:rPr>
          <w:noProof/>
        </w:rPr>
        <w:t>b)</w:t>
      </w:r>
      <w:r w:rsidRPr="004F01E9">
        <w:rPr>
          <w:noProof/>
        </w:rPr>
        <w:tab/>
        <w:t>na účely stanovené</w:t>
      </w:r>
      <w:r w:rsidR="004F01E9">
        <w:rPr>
          <w:noProof/>
        </w:rPr>
        <w:t xml:space="preserve"> v </w:t>
      </w:r>
      <w:r w:rsidRPr="004F01E9">
        <w:rPr>
          <w:noProof/>
        </w:rPr>
        <w:t>bodoch i)</w:t>
      </w:r>
      <w:r w:rsidR="004F01E9">
        <w:rPr>
          <w:noProof/>
        </w:rPr>
        <w:t xml:space="preserve"> a </w:t>
      </w:r>
      <w:r w:rsidRPr="004F01E9">
        <w:rPr>
          <w:noProof/>
        </w:rPr>
        <w:t>ii) sa celková hodnota rizikovej expozície vypočítava</w:t>
      </w:r>
      <w:r w:rsidR="004F01E9">
        <w:rPr>
          <w:noProof/>
        </w:rPr>
        <w:t xml:space="preserve"> v </w:t>
      </w:r>
      <w:r w:rsidRPr="004F01E9">
        <w:rPr>
          <w:noProof/>
        </w:rPr>
        <w:t>súlade</w:t>
      </w:r>
      <w:r w:rsidR="004F01E9">
        <w:rPr>
          <w:noProof/>
        </w:rPr>
        <w:t xml:space="preserve"> s </w:t>
      </w:r>
      <w:r w:rsidRPr="004F01E9">
        <w:rPr>
          <w:noProof/>
        </w:rPr>
        <w:t>odsekom 6:</w:t>
      </w:r>
    </w:p>
    <w:p w14:paraId="5596A53F" w14:textId="32CBDBAC" w:rsidR="00806B81" w:rsidRPr="004F01E9" w:rsidRDefault="005F0B3F" w:rsidP="005F0B3F">
      <w:pPr>
        <w:pStyle w:val="Point3"/>
        <w:rPr>
          <w:noProof/>
        </w:rPr>
      </w:pPr>
      <w:r w:rsidRPr="004F01E9">
        <w:rPr>
          <w:noProof/>
        </w:rPr>
        <w:t>i)</w:t>
      </w:r>
      <w:r w:rsidRPr="004F01E9">
        <w:rPr>
          <w:noProof/>
        </w:rPr>
        <w:tab/>
        <w:t>v prípade samostatnej dcérskej inštitúcie</w:t>
      </w:r>
      <w:r w:rsidR="004F01E9">
        <w:rPr>
          <w:noProof/>
        </w:rPr>
        <w:t xml:space="preserve"> v </w:t>
      </w:r>
      <w:r w:rsidRPr="004F01E9">
        <w:rPr>
          <w:noProof/>
        </w:rPr>
        <w:t>členskom štáte na účely splnenia povinností vyplývajúcich</w:t>
      </w:r>
      <w:r w:rsidR="004F01E9">
        <w:rPr>
          <w:noProof/>
        </w:rPr>
        <w:t xml:space="preserve"> z </w:t>
      </w:r>
      <w:r w:rsidRPr="004F01E9">
        <w:rPr>
          <w:noProof/>
        </w:rPr>
        <w:t>tohto nariadenia na jej individuálnom základe;</w:t>
      </w:r>
    </w:p>
    <w:p w14:paraId="5A9F40C2" w14:textId="7C854A7A" w:rsidR="00806B81" w:rsidRPr="004F01E9" w:rsidRDefault="005F0B3F" w:rsidP="005F0B3F">
      <w:pPr>
        <w:pStyle w:val="Point3"/>
        <w:rPr>
          <w:noProof/>
        </w:rPr>
      </w:pPr>
      <w:r w:rsidRPr="004F01E9">
        <w:rPr>
          <w:noProof/>
        </w:rPr>
        <w:t>ii)</w:t>
      </w:r>
      <w:r w:rsidRPr="004F01E9">
        <w:rPr>
          <w:noProof/>
        </w:rPr>
        <w:tab/>
        <w:t>v prípade materskej inštitúcie</w:t>
      </w:r>
      <w:r w:rsidR="004F01E9">
        <w:rPr>
          <w:noProof/>
        </w:rPr>
        <w:t xml:space="preserve"> v </w:t>
      </w:r>
      <w:r w:rsidRPr="004F01E9">
        <w:rPr>
          <w:noProof/>
        </w:rPr>
        <w:t>členskom štáte, materskej finančnej holdingovej spoločnosti</w:t>
      </w:r>
      <w:r w:rsidR="004F01E9">
        <w:rPr>
          <w:noProof/>
        </w:rPr>
        <w:t xml:space="preserve"> v </w:t>
      </w:r>
      <w:r w:rsidRPr="004F01E9">
        <w:rPr>
          <w:noProof/>
        </w:rPr>
        <w:t>členskom štáte alebo materskej zmiešanej finančnej holdingovej spoločnosti</w:t>
      </w:r>
      <w:r w:rsidR="004F01E9">
        <w:rPr>
          <w:noProof/>
        </w:rPr>
        <w:t xml:space="preserve"> v </w:t>
      </w:r>
      <w:r w:rsidRPr="004F01E9">
        <w:rPr>
          <w:noProof/>
        </w:rPr>
        <w:t>členskom štáte na účely splnenia povinností vyplývajúcich</w:t>
      </w:r>
      <w:r w:rsidR="004F01E9">
        <w:rPr>
          <w:noProof/>
        </w:rPr>
        <w:t xml:space="preserve"> z </w:t>
      </w:r>
      <w:r w:rsidRPr="004F01E9">
        <w:rPr>
          <w:noProof/>
        </w:rPr>
        <w:t>tohto nariadenia na základe jej konsolidovanej situácie;</w:t>
      </w:r>
    </w:p>
    <w:p w14:paraId="0D22A170" w14:textId="78FC1084" w:rsidR="005F0B3F" w:rsidRPr="004F01E9" w:rsidRDefault="005F0B3F" w:rsidP="005F0B3F">
      <w:pPr>
        <w:pStyle w:val="Point2"/>
        <w:rPr>
          <w:noProof/>
        </w:rPr>
      </w:pPr>
      <w:r w:rsidRPr="004F01E9">
        <w:rPr>
          <w:noProof/>
        </w:rPr>
        <w:t>c)</w:t>
      </w:r>
      <w:r w:rsidRPr="004F01E9">
        <w:rPr>
          <w:noProof/>
        </w:rPr>
        <w:tab/>
        <w:t>na účely splnenia povinností vyplývajúcich</w:t>
      </w:r>
      <w:r w:rsidR="004F01E9">
        <w:rPr>
          <w:noProof/>
        </w:rPr>
        <w:t xml:space="preserve"> z </w:t>
      </w:r>
      <w:r w:rsidRPr="004F01E9">
        <w:rPr>
          <w:noProof/>
        </w:rPr>
        <w:t>tohto nariadenia na individuálnom základe je celková hodnota rizikovej expozície inštitúcie, ktorá nie je samostatnou inštitúciou</w:t>
      </w:r>
      <w:r w:rsidR="004F01E9">
        <w:rPr>
          <w:noProof/>
        </w:rPr>
        <w:t xml:space="preserve"> v </w:t>
      </w:r>
      <w:r w:rsidRPr="004F01E9">
        <w:rPr>
          <w:noProof/>
        </w:rPr>
        <w:t>EÚ ani samostatnou dcérskou inštitúciou</w:t>
      </w:r>
      <w:r w:rsidR="004F01E9">
        <w:rPr>
          <w:noProof/>
        </w:rPr>
        <w:t xml:space="preserve"> v </w:t>
      </w:r>
      <w:r w:rsidRPr="004F01E9">
        <w:rPr>
          <w:noProof/>
        </w:rPr>
        <w:t>členskom štáte celková hodnota rizikovej expozície bez spodnej hranice vypočítaná</w:t>
      </w:r>
      <w:r w:rsidR="004F01E9">
        <w:rPr>
          <w:noProof/>
        </w:rPr>
        <w:t xml:space="preserve"> v </w:t>
      </w:r>
      <w:r w:rsidRPr="004F01E9">
        <w:rPr>
          <w:noProof/>
        </w:rPr>
        <w:t>súlade</w:t>
      </w:r>
      <w:r w:rsidR="004F01E9">
        <w:rPr>
          <w:noProof/>
        </w:rPr>
        <w:t xml:space="preserve"> s </w:t>
      </w:r>
      <w:r w:rsidRPr="004F01E9">
        <w:rPr>
          <w:noProof/>
        </w:rPr>
        <w:t>odsekom 4.</w:t>
      </w:r>
    </w:p>
    <w:p w14:paraId="0497F9C4" w14:textId="0FBDAC87" w:rsidR="005F0B3F" w:rsidRPr="004F01E9" w:rsidRDefault="005F0B3F" w:rsidP="00200B4A">
      <w:pPr>
        <w:pStyle w:val="Text2"/>
        <w:rPr>
          <w:noProof/>
        </w:rPr>
      </w:pPr>
      <w:r w:rsidRPr="004F01E9">
        <w:rPr>
          <w:noProof/>
        </w:rPr>
        <w:t>4. Celková hodnota rizikovej expozície bez spodnej hranice sa vypočítava ako súčet písmen a) až f) tohto odseku po zohľadnení ustanovení odseku 7:</w:t>
      </w:r>
    </w:p>
    <w:p w14:paraId="555590E5" w14:textId="67870750" w:rsidR="005F0B3F" w:rsidRPr="00922524" w:rsidRDefault="005F0B3F" w:rsidP="005F0B3F">
      <w:pPr>
        <w:pStyle w:val="Point2"/>
        <w:rPr>
          <w:noProof/>
          <w:spacing w:val="-6"/>
        </w:rPr>
      </w:pPr>
      <w:r w:rsidRPr="004F01E9">
        <w:rPr>
          <w:noProof/>
        </w:rPr>
        <w:t>a)</w:t>
      </w:r>
      <w:r w:rsidRPr="004F01E9">
        <w:rPr>
          <w:noProof/>
        </w:rPr>
        <w:tab/>
      </w:r>
      <w:r w:rsidRPr="00922524">
        <w:rPr>
          <w:noProof/>
          <w:spacing w:val="-6"/>
        </w:rPr>
        <w:t>hodnoty rizikovo vážených expozícií pre kreditné riziko, vrátane rizika protistrany,</w:t>
      </w:r>
      <w:r w:rsidR="004F01E9" w:rsidRPr="00922524">
        <w:rPr>
          <w:noProof/>
          <w:spacing w:val="-6"/>
        </w:rPr>
        <w:t xml:space="preserve"> a </w:t>
      </w:r>
      <w:r w:rsidRPr="00922524">
        <w:rPr>
          <w:noProof/>
          <w:spacing w:val="-6"/>
        </w:rPr>
        <w:t>rizika zníženia kvality pohľadávok</w:t>
      </w:r>
      <w:r w:rsidR="004F01E9" w:rsidRPr="00922524">
        <w:rPr>
          <w:noProof/>
          <w:spacing w:val="-6"/>
        </w:rPr>
        <w:t xml:space="preserve"> z </w:t>
      </w:r>
      <w:r w:rsidRPr="00922524">
        <w:rPr>
          <w:noProof/>
          <w:spacing w:val="-6"/>
        </w:rPr>
        <w:t>iných ako kreditných dôvodov vo vzťahu ku všetkým obchodným činnostiam inštitúcie vypočítané</w:t>
      </w:r>
      <w:r w:rsidR="004F01E9" w:rsidRPr="00922524">
        <w:rPr>
          <w:noProof/>
          <w:spacing w:val="-6"/>
        </w:rPr>
        <w:t xml:space="preserve"> v </w:t>
      </w:r>
      <w:r w:rsidRPr="00922524">
        <w:rPr>
          <w:noProof/>
          <w:spacing w:val="-6"/>
        </w:rPr>
        <w:t>súlade</w:t>
      </w:r>
      <w:r w:rsidR="004F01E9" w:rsidRPr="00922524">
        <w:rPr>
          <w:noProof/>
          <w:spacing w:val="-6"/>
        </w:rPr>
        <w:t xml:space="preserve"> s </w:t>
      </w:r>
      <w:r w:rsidRPr="00922524">
        <w:rPr>
          <w:noProof/>
          <w:spacing w:val="-6"/>
        </w:rPr>
        <w:t>hlavou II</w:t>
      </w:r>
      <w:r w:rsidR="004F01E9" w:rsidRPr="00922524">
        <w:rPr>
          <w:noProof/>
          <w:spacing w:val="-6"/>
        </w:rPr>
        <w:t xml:space="preserve"> a </w:t>
      </w:r>
      <w:r w:rsidRPr="00922524">
        <w:rPr>
          <w:noProof/>
          <w:spacing w:val="-6"/>
        </w:rPr>
        <w:t>článkom 379,</w:t>
      </w:r>
      <w:r w:rsidR="004F01E9" w:rsidRPr="00922524">
        <w:rPr>
          <w:noProof/>
          <w:spacing w:val="-6"/>
        </w:rPr>
        <w:t xml:space="preserve"> s </w:t>
      </w:r>
      <w:r w:rsidRPr="00922524">
        <w:rPr>
          <w:noProof/>
          <w:spacing w:val="-6"/>
        </w:rPr>
        <w:t>výnimkou hodnôt rizikovo vážených expozícií pre riziko protistrany</w:t>
      </w:r>
      <w:r w:rsidR="004F01E9" w:rsidRPr="00922524">
        <w:rPr>
          <w:noProof/>
          <w:spacing w:val="-6"/>
        </w:rPr>
        <w:t xml:space="preserve"> z </w:t>
      </w:r>
      <w:r w:rsidRPr="00922524">
        <w:rPr>
          <w:noProof/>
          <w:spacing w:val="-6"/>
        </w:rPr>
        <w:t>činností</w:t>
      </w:r>
      <w:r w:rsidR="004F01E9" w:rsidRPr="00922524">
        <w:rPr>
          <w:noProof/>
          <w:spacing w:val="-6"/>
        </w:rPr>
        <w:t xml:space="preserve"> v </w:t>
      </w:r>
      <w:r w:rsidRPr="00922524">
        <w:rPr>
          <w:noProof/>
          <w:spacing w:val="-6"/>
        </w:rPr>
        <w:t>obchodnej knihe inštitúcie;</w:t>
      </w:r>
    </w:p>
    <w:p w14:paraId="4EA47FFA" w14:textId="4F934BD4" w:rsidR="005F0B3F" w:rsidRPr="004F01E9" w:rsidRDefault="005F0B3F" w:rsidP="005F0B3F">
      <w:pPr>
        <w:pStyle w:val="Point2"/>
        <w:rPr>
          <w:noProof/>
        </w:rPr>
      </w:pPr>
      <w:r w:rsidRPr="004F01E9">
        <w:rPr>
          <w:noProof/>
        </w:rPr>
        <w:t>b)</w:t>
      </w:r>
      <w:r w:rsidRPr="004F01E9">
        <w:rPr>
          <w:noProof/>
        </w:rPr>
        <w:tab/>
        <w:t>požiadavky na vlastné zdroje pre činnosti</w:t>
      </w:r>
      <w:r w:rsidR="004F01E9">
        <w:rPr>
          <w:noProof/>
        </w:rPr>
        <w:t xml:space="preserve"> v </w:t>
      </w:r>
      <w:r w:rsidRPr="004F01E9">
        <w:rPr>
          <w:noProof/>
        </w:rPr>
        <w:t>obchodnej knihe inštitúcie pre nasledovné:</w:t>
      </w:r>
    </w:p>
    <w:p w14:paraId="7C223CBD" w14:textId="472C941F" w:rsidR="00806B81" w:rsidRPr="004F01E9" w:rsidRDefault="005F0B3F" w:rsidP="005F0B3F">
      <w:pPr>
        <w:pStyle w:val="Point3"/>
        <w:rPr>
          <w:noProof/>
        </w:rPr>
      </w:pPr>
      <w:r w:rsidRPr="004F01E9">
        <w:rPr>
          <w:noProof/>
        </w:rPr>
        <w:t>i)</w:t>
      </w:r>
      <w:r w:rsidRPr="004F01E9">
        <w:rPr>
          <w:noProof/>
        </w:rPr>
        <w:tab/>
        <w:t>trhové riziko vypočítané</w:t>
      </w:r>
      <w:r w:rsidR="004F01E9">
        <w:rPr>
          <w:noProof/>
        </w:rPr>
        <w:t xml:space="preserve"> v </w:t>
      </w:r>
      <w:r w:rsidRPr="004F01E9">
        <w:rPr>
          <w:noProof/>
        </w:rPr>
        <w:t>súlade</w:t>
      </w:r>
      <w:r w:rsidR="004F01E9">
        <w:rPr>
          <w:noProof/>
        </w:rPr>
        <w:t xml:space="preserve"> s </w:t>
      </w:r>
      <w:r w:rsidRPr="004F01E9">
        <w:rPr>
          <w:noProof/>
        </w:rPr>
        <w:t>hlavou IV tejto časti;</w:t>
      </w:r>
    </w:p>
    <w:p w14:paraId="6A0509C2" w14:textId="07223B76" w:rsidR="00806B81" w:rsidRPr="004F01E9" w:rsidRDefault="005F0B3F" w:rsidP="005F0B3F">
      <w:pPr>
        <w:pStyle w:val="Point3"/>
        <w:rPr>
          <w:noProof/>
        </w:rPr>
      </w:pPr>
      <w:r w:rsidRPr="004F01E9">
        <w:rPr>
          <w:noProof/>
        </w:rPr>
        <w:t>ii)</w:t>
      </w:r>
      <w:r w:rsidRPr="004F01E9">
        <w:rPr>
          <w:noProof/>
        </w:rPr>
        <w:tab/>
        <w:t>veľkú majetkovú angažovanosť prevyšujúcu limity stanovené</w:t>
      </w:r>
      <w:r w:rsidR="004F01E9">
        <w:rPr>
          <w:noProof/>
        </w:rPr>
        <w:t xml:space="preserve"> v </w:t>
      </w:r>
      <w:r w:rsidRPr="004F01E9">
        <w:rPr>
          <w:noProof/>
        </w:rPr>
        <w:t>článkoch 395 až 401, ak má inštitúcia povolenie tieto limity prekročiť, ako je určené</w:t>
      </w:r>
      <w:r w:rsidR="004F01E9">
        <w:rPr>
          <w:noProof/>
        </w:rPr>
        <w:t xml:space="preserve"> v </w:t>
      </w:r>
      <w:r w:rsidRPr="004F01E9">
        <w:rPr>
          <w:noProof/>
        </w:rPr>
        <w:t>súlade so štvrtou časťou;</w:t>
      </w:r>
    </w:p>
    <w:p w14:paraId="00C69025" w14:textId="5D4CC10F" w:rsidR="005F0B3F" w:rsidRPr="004F01E9" w:rsidRDefault="005F0B3F" w:rsidP="005F0B3F">
      <w:pPr>
        <w:pStyle w:val="Point2"/>
        <w:rPr>
          <w:noProof/>
        </w:rPr>
      </w:pPr>
      <w:r w:rsidRPr="004F01E9">
        <w:rPr>
          <w:noProof/>
        </w:rPr>
        <w:t>c)</w:t>
      </w:r>
      <w:r w:rsidRPr="004F01E9">
        <w:rPr>
          <w:noProof/>
        </w:rPr>
        <w:tab/>
        <w:t>požiadavky na vlastné zdroje pre trhové riziko vypočítané</w:t>
      </w:r>
      <w:r w:rsidR="004F01E9">
        <w:rPr>
          <w:noProof/>
        </w:rPr>
        <w:t xml:space="preserve"> v </w:t>
      </w:r>
      <w:r w:rsidRPr="004F01E9">
        <w:rPr>
          <w:noProof/>
        </w:rPr>
        <w:t>súlade</w:t>
      </w:r>
      <w:r w:rsidR="004F01E9">
        <w:rPr>
          <w:noProof/>
        </w:rPr>
        <w:t xml:space="preserve"> s </w:t>
      </w:r>
      <w:r w:rsidRPr="004F01E9">
        <w:rPr>
          <w:noProof/>
        </w:rPr>
        <w:t>hlavou IV tejto časti pre všetky obchodné činnosti, ktoré podliehajú devízovému alebo komoditnému riziku;</w:t>
      </w:r>
    </w:p>
    <w:p w14:paraId="5C947E95" w14:textId="5DA85403" w:rsidR="005F0B3F" w:rsidRPr="004F01E9" w:rsidRDefault="005F0B3F" w:rsidP="005F0B3F">
      <w:pPr>
        <w:pStyle w:val="Point2"/>
        <w:rPr>
          <w:noProof/>
        </w:rPr>
      </w:pPr>
      <w:r w:rsidRPr="004F01E9">
        <w:rPr>
          <w:noProof/>
        </w:rPr>
        <w:t>ca)</w:t>
      </w:r>
      <w:r w:rsidRPr="004F01E9">
        <w:rPr>
          <w:noProof/>
        </w:rPr>
        <w:tab/>
        <w:t>požiadavky na vlastné zdroje pre riziko vyrovnania vypočítané</w:t>
      </w:r>
      <w:r w:rsidR="004F01E9">
        <w:rPr>
          <w:noProof/>
        </w:rPr>
        <w:t xml:space="preserve"> v </w:t>
      </w:r>
      <w:r w:rsidRPr="004F01E9">
        <w:rPr>
          <w:noProof/>
        </w:rPr>
        <w:t>súlade</w:t>
      </w:r>
      <w:r w:rsidR="004F01E9">
        <w:rPr>
          <w:noProof/>
        </w:rPr>
        <w:t xml:space="preserve"> s </w:t>
      </w:r>
      <w:r w:rsidRPr="004F01E9">
        <w:rPr>
          <w:noProof/>
        </w:rPr>
        <w:t>hlavou</w:t>
      </w:r>
      <w:r w:rsidR="004F01E9">
        <w:rPr>
          <w:noProof/>
        </w:rPr>
        <w:t xml:space="preserve"> V </w:t>
      </w:r>
      <w:r w:rsidRPr="004F01E9">
        <w:rPr>
          <w:noProof/>
        </w:rPr>
        <w:t>tejto časti</w:t>
      </w:r>
      <w:r w:rsidR="004F01E9">
        <w:rPr>
          <w:noProof/>
        </w:rPr>
        <w:t xml:space="preserve"> s </w:t>
      </w:r>
      <w:r w:rsidRPr="004F01E9">
        <w:rPr>
          <w:noProof/>
        </w:rPr>
        <w:t>výnimkou článku 379;</w:t>
      </w:r>
    </w:p>
    <w:p w14:paraId="47C8FB3D" w14:textId="53BED4A6" w:rsidR="005F0B3F" w:rsidRPr="004F01E9" w:rsidRDefault="005F0B3F" w:rsidP="005F0B3F">
      <w:pPr>
        <w:pStyle w:val="Point2"/>
        <w:rPr>
          <w:noProof/>
        </w:rPr>
      </w:pPr>
      <w:r w:rsidRPr="004F01E9">
        <w:rPr>
          <w:noProof/>
        </w:rPr>
        <w:t>d)</w:t>
      </w:r>
      <w:r w:rsidRPr="004F01E9">
        <w:rPr>
          <w:noProof/>
        </w:rPr>
        <w:tab/>
        <w:t>požiadavky na vlastné zdroje pre riziko úpravy ocenenia pohľadávok vypočítané</w:t>
      </w:r>
      <w:r w:rsidR="004F01E9">
        <w:rPr>
          <w:noProof/>
        </w:rPr>
        <w:t xml:space="preserve"> v </w:t>
      </w:r>
      <w:r w:rsidRPr="004F01E9">
        <w:rPr>
          <w:noProof/>
        </w:rPr>
        <w:t>súlade</w:t>
      </w:r>
      <w:r w:rsidR="004F01E9">
        <w:rPr>
          <w:noProof/>
        </w:rPr>
        <w:t xml:space="preserve"> s </w:t>
      </w:r>
      <w:r w:rsidRPr="004F01E9">
        <w:rPr>
          <w:noProof/>
        </w:rPr>
        <w:t>hlavou VI tejto časti;</w:t>
      </w:r>
    </w:p>
    <w:p w14:paraId="045B21B0" w14:textId="62846E8C" w:rsidR="005F0B3F" w:rsidRPr="004F01E9" w:rsidRDefault="005F0B3F" w:rsidP="005F0B3F">
      <w:pPr>
        <w:pStyle w:val="Point2"/>
        <w:rPr>
          <w:noProof/>
        </w:rPr>
      </w:pPr>
      <w:r w:rsidRPr="004F01E9">
        <w:rPr>
          <w:noProof/>
        </w:rPr>
        <w:t>e)</w:t>
      </w:r>
      <w:r w:rsidRPr="004F01E9">
        <w:rPr>
          <w:noProof/>
        </w:rPr>
        <w:tab/>
        <w:t>požiadavky na vlastné zdroje pre operačné riziko vypočítané</w:t>
      </w:r>
      <w:r w:rsidR="004F01E9">
        <w:rPr>
          <w:noProof/>
        </w:rPr>
        <w:t xml:space="preserve"> v </w:t>
      </w:r>
      <w:r w:rsidRPr="004F01E9">
        <w:rPr>
          <w:noProof/>
        </w:rPr>
        <w:t>súlade</w:t>
      </w:r>
      <w:r w:rsidR="004F01E9">
        <w:rPr>
          <w:noProof/>
        </w:rPr>
        <w:t xml:space="preserve"> s </w:t>
      </w:r>
      <w:r w:rsidRPr="004F01E9">
        <w:rPr>
          <w:noProof/>
        </w:rPr>
        <w:t>hlavou III tejto časti;</w:t>
      </w:r>
    </w:p>
    <w:p w14:paraId="37281E33" w14:textId="5878A670" w:rsidR="005F0B3F" w:rsidRPr="004F01E9" w:rsidRDefault="005F0B3F" w:rsidP="005F0B3F">
      <w:pPr>
        <w:pStyle w:val="Point2"/>
        <w:rPr>
          <w:noProof/>
        </w:rPr>
      </w:pPr>
      <w:r w:rsidRPr="004F01E9">
        <w:rPr>
          <w:noProof/>
        </w:rPr>
        <w:t>f)</w:t>
      </w:r>
      <w:r w:rsidRPr="004F01E9">
        <w:rPr>
          <w:noProof/>
        </w:rPr>
        <w:tab/>
        <w:t>hodnoty rizikovo vážených expozícií pre riziko protistrany vyplývajúce</w:t>
      </w:r>
      <w:r w:rsidR="004F01E9">
        <w:rPr>
          <w:noProof/>
        </w:rPr>
        <w:t xml:space="preserve"> z </w:t>
      </w:r>
      <w:r w:rsidRPr="004F01E9">
        <w:rPr>
          <w:noProof/>
        </w:rPr>
        <w:t>činností</w:t>
      </w:r>
      <w:r w:rsidR="004F01E9">
        <w:rPr>
          <w:noProof/>
        </w:rPr>
        <w:t xml:space="preserve"> v </w:t>
      </w:r>
      <w:r w:rsidRPr="004F01E9">
        <w:rPr>
          <w:noProof/>
        </w:rPr>
        <w:t>obchodnej knihe inštitúcie pre nasledujúce druhy transakcií</w:t>
      </w:r>
      <w:r w:rsidR="004F01E9">
        <w:rPr>
          <w:noProof/>
        </w:rPr>
        <w:t xml:space="preserve"> a </w:t>
      </w:r>
      <w:r w:rsidRPr="004F01E9">
        <w:rPr>
          <w:noProof/>
        </w:rPr>
        <w:t>zmlúv vypočítané</w:t>
      </w:r>
      <w:r w:rsidR="004F01E9">
        <w:rPr>
          <w:noProof/>
        </w:rPr>
        <w:t xml:space="preserve"> v </w:t>
      </w:r>
      <w:r w:rsidRPr="004F01E9">
        <w:rPr>
          <w:noProof/>
        </w:rPr>
        <w:t>súlade</w:t>
      </w:r>
      <w:r w:rsidR="004F01E9">
        <w:rPr>
          <w:noProof/>
        </w:rPr>
        <w:t xml:space="preserve"> s </w:t>
      </w:r>
      <w:r w:rsidRPr="004F01E9">
        <w:rPr>
          <w:noProof/>
        </w:rPr>
        <w:t>hlavou II tejto časti:</w:t>
      </w:r>
    </w:p>
    <w:p w14:paraId="191B6C63" w14:textId="3FF108EE" w:rsidR="005F0B3F" w:rsidRPr="004F01E9" w:rsidRDefault="005F0B3F" w:rsidP="005F0B3F">
      <w:pPr>
        <w:pStyle w:val="Point3"/>
        <w:rPr>
          <w:noProof/>
        </w:rPr>
      </w:pPr>
      <w:r w:rsidRPr="004F01E9">
        <w:rPr>
          <w:noProof/>
        </w:rPr>
        <w:t>i)</w:t>
      </w:r>
      <w:r w:rsidRPr="004F01E9">
        <w:rPr>
          <w:noProof/>
        </w:rPr>
        <w:tab/>
        <w:t>zmluvy uvedené</w:t>
      </w:r>
      <w:r w:rsidR="004F01E9">
        <w:rPr>
          <w:noProof/>
        </w:rPr>
        <w:t xml:space="preserve"> v </w:t>
      </w:r>
      <w:r w:rsidRPr="004F01E9">
        <w:rPr>
          <w:noProof/>
        </w:rPr>
        <w:t>prílohe II</w:t>
      </w:r>
      <w:r w:rsidR="004F01E9">
        <w:rPr>
          <w:noProof/>
        </w:rPr>
        <w:t xml:space="preserve"> a </w:t>
      </w:r>
      <w:r w:rsidRPr="004F01E9">
        <w:rPr>
          <w:noProof/>
        </w:rPr>
        <w:t>kreditné deriváty;</w:t>
      </w:r>
    </w:p>
    <w:p w14:paraId="4C19CDFB" w14:textId="77777777" w:rsidR="005F0B3F" w:rsidRPr="004F01E9" w:rsidRDefault="005F0B3F" w:rsidP="005F0B3F">
      <w:pPr>
        <w:pStyle w:val="Point3"/>
        <w:rPr>
          <w:noProof/>
        </w:rPr>
      </w:pPr>
      <w:r w:rsidRPr="004F01E9">
        <w:rPr>
          <w:noProof/>
        </w:rPr>
        <w:t>ii)</w:t>
      </w:r>
      <w:r w:rsidRPr="004F01E9">
        <w:rPr>
          <w:noProof/>
        </w:rPr>
        <w:tab/>
        <w:t>repo transakcie, transakcie požičiavania alebo vypožičiavania cenných papierov alebo komodít založené na cenných papieroch alebo komoditách;</w:t>
      </w:r>
    </w:p>
    <w:p w14:paraId="150002FB" w14:textId="2D8520F3" w:rsidR="005F0B3F" w:rsidRPr="004F01E9" w:rsidRDefault="005F0B3F" w:rsidP="005F0B3F">
      <w:pPr>
        <w:pStyle w:val="Point3"/>
        <w:rPr>
          <w:noProof/>
        </w:rPr>
      </w:pPr>
      <w:r w:rsidRPr="004F01E9">
        <w:rPr>
          <w:noProof/>
        </w:rPr>
        <w:t>iii)</w:t>
      </w:r>
      <w:r w:rsidRPr="004F01E9">
        <w:rPr>
          <w:noProof/>
        </w:rPr>
        <w:tab/>
        <w:t>transakcie požičiavania</w:t>
      </w:r>
      <w:r w:rsidR="004F01E9">
        <w:rPr>
          <w:noProof/>
        </w:rPr>
        <w:t xml:space="preserve"> s </w:t>
      </w:r>
      <w:r w:rsidRPr="004F01E9">
        <w:rPr>
          <w:noProof/>
        </w:rPr>
        <w:t>dozabezpečením založené na cenných papieroch alebo komoditách;</w:t>
      </w:r>
    </w:p>
    <w:p w14:paraId="3C7F2722" w14:textId="306EF901" w:rsidR="005F0B3F" w:rsidRPr="004F01E9" w:rsidRDefault="005F0B3F" w:rsidP="005F0B3F">
      <w:pPr>
        <w:pStyle w:val="Point3"/>
        <w:rPr>
          <w:noProof/>
        </w:rPr>
      </w:pPr>
      <w:r w:rsidRPr="004F01E9">
        <w:rPr>
          <w:noProof/>
        </w:rPr>
        <w:t>iv)</w:t>
      </w:r>
      <w:r w:rsidRPr="004F01E9">
        <w:rPr>
          <w:noProof/>
        </w:rPr>
        <w:tab/>
        <w:t>transakcie</w:t>
      </w:r>
      <w:r w:rsidR="004F01E9">
        <w:rPr>
          <w:noProof/>
        </w:rPr>
        <w:t xml:space="preserve"> s </w:t>
      </w:r>
      <w:r w:rsidRPr="004F01E9">
        <w:rPr>
          <w:noProof/>
        </w:rPr>
        <w:t>dlhou dobou vyrovnania.“;</w:t>
      </w:r>
    </w:p>
    <w:p w14:paraId="750D15EB" w14:textId="4BE55542" w:rsidR="005F0B3F" w:rsidRPr="004F01E9" w:rsidRDefault="00200B4A" w:rsidP="00200B4A">
      <w:pPr>
        <w:pStyle w:val="Point1"/>
        <w:rPr>
          <w:noProof/>
        </w:rPr>
      </w:pPr>
      <w:r w:rsidRPr="004F01E9">
        <w:rPr>
          <w:noProof/>
        </w:rPr>
        <w:t>b)</w:t>
      </w:r>
      <w:r w:rsidRPr="004F01E9">
        <w:rPr>
          <w:noProof/>
        </w:rPr>
        <w:tab/>
        <w:t>Dopĺňajú sa tieto odseky 5, 6</w:t>
      </w:r>
      <w:r w:rsidR="004F01E9">
        <w:rPr>
          <w:noProof/>
        </w:rPr>
        <w:t xml:space="preserve"> a </w:t>
      </w:r>
      <w:r w:rsidRPr="004F01E9">
        <w:rPr>
          <w:noProof/>
        </w:rPr>
        <w:t>7:</w:t>
      </w:r>
    </w:p>
    <w:p w14:paraId="120EDF05" w14:textId="27AEC2AC" w:rsidR="005F0B3F" w:rsidRPr="004F01E9" w:rsidRDefault="005F0B3F" w:rsidP="0054788D">
      <w:pPr>
        <w:pStyle w:val="Text2"/>
        <w:rPr>
          <w:noProof/>
        </w:rPr>
      </w:pPr>
      <w:r w:rsidRPr="004F01E9">
        <w:rPr>
          <w:noProof/>
        </w:rPr>
        <w:t>„5. Štandardizovaná celková hodnota rizikovej expozície sa vypočítava ako súčet písmen a) až f) odseku 4 po zohľadnení odseku 7</w:t>
      </w:r>
      <w:r w:rsidR="004F01E9">
        <w:rPr>
          <w:noProof/>
        </w:rPr>
        <w:t xml:space="preserve"> a </w:t>
      </w:r>
      <w:r w:rsidRPr="004F01E9">
        <w:rPr>
          <w:noProof/>
        </w:rPr>
        <w:t>týchto požiadaviek:</w:t>
      </w:r>
    </w:p>
    <w:p w14:paraId="5F8E8607" w14:textId="41920334" w:rsidR="005F0B3F" w:rsidRPr="004F01E9" w:rsidRDefault="005F0B3F" w:rsidP="005F0B3F">
      <w:pPr>
        <w:pStyle w:val="Point2"/>
        <w:rPr>
          <w:noProof/>
        </w:rPr>
      </w:pPr>
      <w:r w:rsidRPr="004F01E9">
        <w:rPr>
          <w:noProof/>
        </w:rPr>
        <w:t>a)</w:t>
      </w:r>
      <w:r w:rsidRPr="004F01E9">
        <w:rPr>
          <w:noProof/>
        </w:rPr>
        <w:tab/>
        <w:t>hodnoty rizikovo vážených expozícií pre kreditné riziko</w:t>
      </w:r>
      <w:r w:rsidR="004F01E9">
        <w:rPr>
          <w:noProof/>
        </w:rPr>
        <w:t xml:space="preserve"> a </w:t>
      </w:r>
      <w:r w:rsidRPr="004F01E9">
        <w:rPr>
          <w:noProof/>
        </w:rPr>
        <w:t>riziko zníženia kvality pohľadávok</w:t>
      </w:r>
      <w:r w:rsidR="004F01E9">
        <w:rPr>
          <w:noProof/>
        </w:rPr>
        <w:t xml:space="preserve"> z </w:t>
      </w:r>
      <w:r w:rsidRPr="004F01E9">
        <w:rPr>
          <w:noProof/>
        </w:rPr>
        <w:t>iných ako kreditných dôvodov uvedené</w:t>
      </w:r>
      <w:r w:rsidR="004F01E9">
        <w:rPr>
          <w:noProof/>
        </w:rPr>
        <w:t xml:space="preserve"> v </w:t>
      </w:r>
      <w:r w:rsidRPr="004F01E9">
        <w:rPr>
          <w:noProof/>
        </w:rPr>
        <w:t>odseku 4 písm. a)</w:t>
      </w:r>
      <w:r w:rsidR="004F01E9">
        <w:rPr>
          <w:noProof/>
        </w:rPr>
        <w:t xml:space="preserve"> a </w:t>
      </w:r>
      <w:r w:rsidRPr="004F01E9">
        <w:rPr>
          <w:noProof/>
        </w:rPr>
        <w:t>pre riziko protistrany vyplývajúce</w:t>
      </w:r>
      <w:r w:rsidR="004F01E9">
        <w:rPr>
          <w:noProof/>
        </w:rPr>
        <w:t xml:space="preserve"> z </w:t>
      </w:r>
      <w:r w:rsidRPr="004F01E9">
        <w:rPr>
          <w:noProof/>
        </w:rPr>
        <w:t>činností</w:t>
      </w:r>
      <w:r w:rsidR="004F01E9">
        <w:rPr>
          <w:noProof/>
        </w:rPr>
        <w:t xml:space="preserve"> v </w:t>
      </w:r>
      <w:r w:rsidRPr="004F01E9">
        <w:rPr>
          <w:noProof/>
        </w:rPr>
        <w:t>obchodnej knihe, ako sa uvádza</w:t>
      </w:r>
      <w:r w:rsidR="004F01E9">
        <w:rPr>
          <w:noProof/>
        </w:rPr>
        <w:t xml:space="preserve"> v </w:t>
      </w:r>
      <w:r w:rsidRPr="004F01E9">
        <w:rPr>
          <w:noProof/>
        </w:rPr>
        <w:t>písmene f) uvedeného odseku, sa vypočítavajú bez použitia ktoréhokoľvek</w:t>
      </w:r>
      <w:r w:rsidR="004F01E9">
        <w:rPr>
          <w:noProof/>
        </w:rPr>
        <w:t xml:space="preserve"> z </w:t>
      </w:r>
      <w:r w:rsidRPr="004F01E9">
        <w:rPr>
          <w:noProof/>
        </w:rPr>
        <w:t>týchto prístupov:</w:t>
      </w:r>
    </w:p>
    <w:p w14:paraId="79B891C2" w14:textId="3AC649EC" w:rsidR="005F0B3F" w:rsidRPr="004F01E9" w:rsidRDefault="005F0B3F" w:rsidP="005F0B3F">
      <w:pPr>
        <w:pStyle w:val="Point3"/>
        <w:rPr>
          <w:noProof/>
        </w:rPr>
      </w:pPr>
      <w:r w:rsidRPr="004F01E9">
        <w:rPr>
          <w:noProof/>
        </w:rPr>
        <w:t>i)</w:t>
      </w:r>
      <w:r w:rsidRPr="004F01E9">
        <w:rPr>
          <w:noProof/>
        </w:rPr>
        <w:tab/>
        <w:t>prístupu interných modelov pre rámcové dohody</w:t>
      </w:r>
      <w:r w:rsidR="004F01E9">
        <w:rPr>
          <w:noProof/>
        </w:rPr>
        <w:t xml:space="preserve"> o </w:t>
      </w:r>
      <w:r w:rsidRPr="004F01E9">
        <w:rPr>
          <w:noProof/>
        </w:rPr>
        <w:t>vzájomnom započítavaní stanoveného</w:t>
      </w:r>
      <w:r w:rsidR="004F01E9">
        <w:rPr>
          <w:noProof/>
        </w:rPr>
        <w:t xml:space="preserve"> v </w:t>
      </w:r>
      <w:r w:rsidRPr="004F01E9">
        <w:rPr>
          <w:noProof/>
        </w:rPr>
        <w:t>článku 221;</w:t>
      </w:r>
    </w:p>
    <w:p w14:paraId="38BCA9CD" w14:textId="247C240B" w:rsidR="005F0B3F" w:rsidRPr="004F01E9" w:rsidRDefault="005F0B3F" w:rsidP="005F0B3F">
      <w:pPr>
        <w:pStyle w:val="Point3"/>
        <w:rPr>
          <w:noProof/>
        </w:rPr>
      </w:pPr>
      <w:r w:rsidRPr="004F01E9">
        <w:rPr>
          <w:noProof/>
        </w:rPr>
        <w:t>ii)</w:t>
      </w:r>
      <w:r w:rsidRPr="004F01E9">
        <w:rPr>
          <w:noProof/>
        </w:rPr>
        <w:tab/>
        <w:t>prístupu interných ratingov stanoveného</w:t>
      </w:r>
      <w:r w:rsidR="004F01E9">
        <w:rPr>
          <w:noProof/>
        </w:rPr>
        <w:t xml:space="preserve"> v </w:t>
      </w:r>
      <w:r w:rsidRPr="004F01E9">
        <w:rPr>
          <w:noProof/>
        </w:rPr>
        <w:t>kapitole 3;</w:t>
      </w:r>
    </w:p>
    <w:p w14:paraId="38CAEDB9" w14:textId="058E559C" w:rsidR="005F0B3F" w:rsidRPr="004F01E9" w:rsidRDefault="005F0B3F" w:rsidP="005F0B3F">
      <w:pPr>
        <w:pStyle w:val="Point3"/>
        <w:rPr>
          <w:noProof/>
        </w:rPr>
      </w:pPr>
      <w:r w:rsidRPr="004F01E9">
        <w:rPr>
          <w:noProof/>
        </w:rPr>
        <w:t>iii)</w:t>
      </w:r>
      <w:r w:rsidRPr="004F01E9">
        <w:rPr>
          <w:noProof/>
        </w:rPr>
        <w:tab/>
        <w:t>prístupu</w:t>
      </w:r>
      <w:r w:rsidR="004F01E9">
        <w:rPr>
          <w:noProof/>
        </w:rPr>
        <w:t xml:space="preserve"> k </w:t>
      </w:r>
      <w:r w:rsidRPr="004F01E9">
        <w:rPr>
          <w:noProof/>
        </w:rPr>
        <w:t>sekuritizácii založeného na interných ratingoch (SEC-IRBA) stanoveného</w:t>
      </w:r>
      <w:r w:rsidR="004F01E9">
        <w:rPr>
          <w:noProof/>
        </w:rPr>
        <w:t xml:space="preserve"> v </w:t>
      </w:r>
      <w:r w:rsidRPr="004F01E9">
        <w:rPr>
          <w:noProof/>
        </w:rPr>
        <w:t>článkoch 258 až 260</w:t>
      </w:r>
      <w:r w:rsidR="004F01E9">
        <w:rPr>
          <w:noProof/>
        </w:rPr>
        <w:t xml:space="preserve"> a </w:t>
      </w:r>
      <w:r w:rsidRPr="004F01E9">
        <w:rPr>
          <w:noProof/>
        </w:rPr>
        <w:t>prístupu interného hodnotenia (IAA) stanoveného</w:t>
      </w:r>
      <w:r w:rsidR="004F01E9">
        <w:rPr>
          <w:noProof/>
        </w:rPr>
        <w:t xml:space="preserve"> v </w:t>
      </w:r>
      <w:r w:rsidRPr="004F01E9">
        <w:rPr>
          <w:noProof/>
        </w:rPr>
        <w:t>článku 265;</w:t>
      </w:r>
    </w:p>
    <w:p w14:paraId="5C0E9A49" w14:textId="485469D9" w:rsidR="005F0B3F" w:rsidRPr="004F01E9" w:rsidRDefault="005F0B3F" w:rsidP="005F0B3F">
      <w:pPr>
        <w:pStyle w:val="Point3"/>
        <w:rPr>
          <w:noProof/>
        </w:rPr>
      </w:pPr>
      <w:r w:rsidRPr="004F01E9">
        <w:rPr>
          <w:noProof/>
        </w:rPr>
        <w:t>iv)</w:t>
      </w:r>
      <w:r w:rsidRPr="004F01E9">
        <w:rPr>
          <w:noProof/>
        </w:rPr>
        <w:tab/>
        <w:t>prístupu stanoveného</w:t>
      </w:r>
      <w:r w:rsidR="004F01E9">
        <w:rPr>
          <w:noProof/>
        </w:rPr>
        <w:t xml:space="preserve"> v </w:t>
      </w:r>
      <w:r w:rsidRPr="004F01E9">
        <w:rPr>
          <w:noProof/>
        </w:rPr>
        <w:t>tejto časti hlave II kapitole 6 oddiele 6;</w:t>
      </w:r>
    </w:p>
    <w:p w14:paraId="3741D8AF" w14:textId="313CA6BC" w:rsidR="005F0B3F" w:rsidRPr="004F01E9" w:rsidRDefault="005F0B3F" w:rsidP="005F0B3F">
      <w:pPr>
        <w:pStyle w:val="Point2"/>
        <w:rPr>
          <w:noProof/>
        </w:rPr>
      </w:pPr>
      <w:r w:rsidRPr="004F01E9">
        <w:rPr>
          <w:noProof/>
        </w:rPr>
        <w:t>b)</w:t>
      </w:r>
      <w:r w:rsidRPr="004F01E9">
        <w:rPr>
          <w:noProof/>
        </w:rPr>
        <w:tab/>
        <w:t>požiadavky na vlastné zdroje pre trhové riziko pre činnosti</w:t>
      </w:r>
      <w:r w:rsidR="004F01E9">
        <w:rPr>
          <w:noProof/>
        </w:rPr>
        <w:t xml:space="preserve"> v </w:t>
      </w:r>
      <w:r w:rsidRPr="004F01E9">
        <w:rPr>
          <w:noProof/>
        </w:rPr>
        <w:t>obchodnej knihe uvedené</w:t>
      </w:r>
      <w:r w:rsidR="004F01E9">
        <w:rPr>
          <w:noProof/>
        </w:rPr>
        <w:t xml:space="preserve"> v </w:t>
      </w:r>
      <w:r w:rsidRPr="004F01E9">
        <w:rPr>
          <w:noProof/>
        </w:rPr>
        <w:t>odseku 3 písm. b) bode i)</w:t>
      </w:r>
      <w:r w:rsidR="004F01E9">
        <w:rPr>
          <w:noProof/>
        </w:rPr>
        <w:t xml:space="preserve"> a </w:t>
      </w:r>
      <w:r w:rsidRPr="004F01E9">
        <w:rPr>
          <w:noProof/>
        </w:rPr>
        <w:t>pre všetky jej obchodné činnosti, ktoré podliehajú devízovému riziku alebo komoditnému riziku uvedené</w:t>
      </w:r>
      <w:r w:rsidR="004F01E9">
        <w:rPr>
          <w:noProof/>
        </w:rPr>
        <w:t xml:space="preserve"> v </w:t>
      </w:r>
      <w:r w:rsidRPr="004F01E9">
        <w:rPr>
          <w:noProof/>
        </w:rPr>
        <w:t>písmene c) uvedeného odseku, sa vypočítavajú bez použitia alternatívneho prístupu interného modelu stanoveného</w:t>
      </w:r>
      <w:r w:rsidR="004F01E9">
        <w:rPr>
          <w:noProof/>
        </w:rPr>
        <w:t xml:space="preserve"> v </w:t>
      </w:r>
      <w:r w:rsidRPr="004F01E9">
        <w:rPr>
          <w:noProof/>
        </w:rPr>
        <w:t>tretej časti hlave IV kapitole 1b.</w:t>
      </w:r>
    </w:p>
    <w:p w14:paraId="74227635" w14:textId="06BFE28D" w:rsidR="005F0B3F" w:rsidRPr="004F01E9" w:rsidRDefault="005F0B3F" w:rsidP="005F0B3F">
      <w:pPr>
        <w:pStyle w:val="Text2"/>
        <w:rPr>
          <w:noProof/>
        </w:rPr>
      </w:pPr>
      <w:r w:rsidRPr="004F01E9">
        <w:rPr>
          <w:noProof/>
        </w:rPr>
        <w:t>6. Celková hodnota rizikovej expozície subjektu „i“ na účely stanovené</w:t>
      </w:r>
      <w:r w:rsidR="004F01E9">
        <w:rPr>
          <w:noProof/>
        </w:rPr>
        <w:t xml:space="preserve"> v </w:t>
      </w:r>
      <w:r w:rsidRPr="004F01E9">
        <w:rPr>
          <w:noProof/>
        </w:rPr>
        <w:t>odseku 3 písm. b) sa vypočítava takto:</w:t>
      </w:r>
    </w:p>
    <w:p w14:paraId="691DB7C7" w14:textId="77777777" w:rsidR="005F0B3F" w:rsidRPr="004F01E9" w:rsidRDefault="00EE12EE" w:rsidP="0054788D">
      <w:pPr>
        <w:pStyle w:val="Text1"/>
        <w:rPr>
          <w:noProof/>
        </w:rPr>
      </w:pPr>
      <m:oMathPara>
        <m:oMath>
          <m:sSub>
            <m:sSubPr>
              <m:ctrlPr>
                <w:rPr>
                  <w:rFonts w:ascii="Cambria Math" w:hAnsi="Cambria Math"/>
                  <w:noProof/>
                </w:rPr>
              </m:ctrlPr>
            </m:sSubPr>
            <m:e>
              <m:r>
                <m:rPr>
                  <m:sty m:val="p"/>
                </m:rPr>
                <w:rPr>
                  <w:rFonts w:ascii="Cambria Math" w:hAnsi="Cambria Math"/>
                  <w:noProof/>
                </w:rPr>
                <m:t>TREA</m:t>
              </m:r>
            </m:e>
            <m:sub>
              <m:r>
                <m:rPr>
                  <m:sty m:val="p"/>
                </m:rPr>
                <w:rPr>
                  <w:rFonts w:ascii="Cambria Math" w:hAnsi="Cambria Math"/>
                  <w:noProof/>
                </w:rPr>
                <m:t>i</m:t>
              </m:r>
            </m:sub>
          </m:sSub>
          <m:r>
            <m:rPr>
              <m:sty m:val="p"/>
            </m:rPr>
            <w:rPr>
              <w:rFonts w:ascii="Cambria Math" w:hAnsi="Cambria Math"/>
              <w:noProof/>
            </w:rPr>
            <m:t>=</m:t>
          </m:r>
          <m:sSub>
            <m:sSubPr>
              <m:ctrlPr>
                <w:rPr>
                  <w:rFonts w:ascii="Cambria Math" w:hAnsi="Cambria Math"/>
                  <w:noProof/>
                </w:rPr>
              </m:ctrlPr>
            </m:sSubPr>
            <m:e>
              <m:r>
                <m:rPr>
                  <m:nor/>
                </m:rPr>
                <w:rPr>
                  <w:noProof/>
                </w:rPr>
                <m:t>U-TREA</m:t>
              </m:r>
            </m:e>
            <m:sub>
              <m:r>
                <m:rPr>
                  <m:nor/>
                </m:rPr>
                <w:rPr>
                  <w:noProof/>
                </w:rPr>
                <m:t>i</m:t>
              </m:r>
            </m:sub>
          </m:sSub>
          <m:r>
            <w:rPr>
              <w:rFonts w:ascii="Cambria Math" w:hAnsi="Cambria Math"/>
              <w:noProof/>
            </w:rPr>
            <m:t>+</m:t>
          </m:r>
          <m:sSup>
            <m:sSupPr>
              <m:ctrlPr>
                <w:rPr>
                  <w:rFonts w:ascii="Cambria Math" w:hAnsi="Cambria Math"/>
                  <w:noProof/>
                </w:rPr>
              </m:ctrlPr>
            </m:sSupPr>
            <m:e>
              <m:r>
                <m:rPr>
                  <m:sty m:val="p"/>
                </m:rPr>
                <w:rPr>
                  <w:rFonts w:ascii="Cambria Math" w:hAnsi="Cambria Math"/>
                  <w:noProof/>
                </w:rPr>
                <m:t>DI</m:t>
              </m:r>
            </m:e>
            <m:sup>
              <m:r>
                <m:rPr>
                  <m:sty m:val="p"/>
                </m:rPr>
                <w:rPr>
                  <w:rFonts w:ascii="Cambria Math" w:hAnsi="Cambria Math"/>
                  <w:noProof/>
                </w:rPr>
                <m:t>conso</m:t>
              </m:r>
            </m:sup>
          </m:sSup>
          <m:r>
            <w:rPr>
              <w:rFonts w:ascii="Cambria Math" w:hAnsi="Cambria Math"/>
              <w:noProof/>
            </w:rPr>
            <m:t>*</m:t>
          </m:r>
          <m:sSubSup>
            <m:sSubSupPr>
              <m:ctrlPr>
                <w:rPr>
                  <w:rFonts w:ascii="Cambria Math" w:hAnsi="Cambria Math"/>
                  <w:noProof/>
                </w:rPr>
              </m:ctrlPr>
            </m:sSubSupPr>
            <m:e>
              <m:r>
                <m:rPr>
                  <m:sty m:val="p"/>
                </m:rPr>
                <w:rPr>
                  <w:rFonts w:ascii="Cambria Math" w:hAnsi="Cambria Math"/>
                  <w:noProof/>
                </w:rPr>
                <m:t>Contrib</m:t>
              </m:r>
            </m:e>
            <m:sub>
              <m:r>
                <m:rPr>
                  <m:sty m:val="p"/>
                </m:rPr>
                <w:rPr>
                  <w:rFonts w:ascii="Cambria Math" w:hAnsi="Cambria Math"/>
                  <w:noProof/>
                </w:rPr>
                <m:t>i</m:t>
              </m:r>
            </m:sub>
            <m:sup>
              <m:r>
                <m:rPr>
                  <m:sty m:val="p"/>
                </m:rPr>
                <w:rPr>
                  <w:rFonts w:ascii="Cambria Math" w:hAnsi="Cambria Math"/>
                  <w:noProof/>
                </w:rPr>
                <m:t>conso</m:t>
              </m:r>
            </m:sup>
          </m:sSubSup>
        </m:oMath>
      </m:oMathPara>
    </w:p>
    <w:p w14:paraId="3420361E" w14:textId="77777777" w:rsidR="005F0B3F" w:rsidRPr="004F01E9" w:rsidRDefault="005F0B3F" w:rsidP="005F0B3F">
      <w:pPr>
        <w:pStyle w:val="Text2"/>
        <w:rPr>
          <w:noProof/>
        </w:rPr>
      </w:pPr>
      <w:r w:rsidRPr="004F01E9">
        <w:rPr>
          <w:noProof/>
        </w:rPr>
        <w:t>kde:</w:t>
      </w:r>
    </w:p>
    <w:p w14:paraId="52C8FB28" w14:textId="394AC80D" w:rsidR="005F0B3F" w:rsidRPr="004F01E9" w:rsidRDefault="005F0B3F" w:rsidP="0054788D">
      <w:pPr>
        <w:pStyle w:val="Text2"/>
        <w:tabs>
          <w:tab w:val="left" w:pos="2410"/>
        </w:tabs>
        <w:rPr>
          <w:noProof/>
        </w:rPr>
      </w:pPr>
      <w:r w:rsidRPr="004F01E9">
        <w:rPr>
          <w:noProof/>
        </w:rPr>
        <w:t>i</w:t>
      </w:r>
      <w:r w:rsidRPr="004F01E9">
        <w:rPr>
          <w:noProof/>
        </w:rPr>
        <w:tab/>
        <w:t>= index, ktorý označuje subjekt;</w:t>
      </w:r>
    </w:p>
    <w:p w14:paraId="03581AB5" w14:textId="0C06E008" w:rsidR="005F0B3F" w:rsidRPr="004F01E9" w:rsidRDefault="005F0B3F" w:rsidP="0054788D">
      <w:pPr>
        <w:pStyle w:val="Text2"/>
        <w:tabs>
          <w:tab w:val="left" w:pos="2410"/>
        </w:tabs>
        <w:rPr>
          <w:noProof/>
        </w:rPr>
      </w:pPr>
      <w:r w:rsidRPr="004F01E9">
        <w:rPr>
          <w:noProof/>
        </w:rPr>
        <w:t>TREA</w:t>
      </w:r>
      <w:r w:rsidRPr="004F01E9">
        <w:rPr>
          <w:noProof/>
        </w:rPr>
        <w:tab/>
        <w:t>= celková hodnota rizikovej expozície subjektu i;</w:t>
      </w:r>
    </w:p>
    <w:p w14:paraId="660537D1" w14:textId="2336746E" w:rsidR="005F0B3F" w:rsidRPr="004F01E9" w:rsidRDefault="005F0B3F" w:rsidP="0054788D">
      <w:pPr>
        <w:pStyle w:val="Text2"/>
        <w:tabs>
          <w:tab w:val="left" w:pos="2410"/>
        </w:tabs>
        <w:rPr>
          <w:noProof/>
        </w:rPr>
      </w:pPr>
      <w:r w:rsidRPr="004F01E9">
        <w:rPr>
          <w:noProof/>
        </w:rPr>
        <w:t>U-TREA = celková hodnota rizikovej expozície subjektu</w:t>
      </w:r>
      <w:r w:rsidR="004F01E9">
        <w:rPr>
          <w:noProof/>
        </w:rPr>
        <w:t xml:space="preserve"> i </w:t>
      </w:r>
      <w:r w:rsidRPr="004F01E9">
        <w:rPr>
          <w:noProof/>
        </w:rPr>
        <w:t>bez spodnej hranice vypočítaná</w:t>
      </w:r>
      <w:r w:rsidR="004F01E9">
        <w:rPr>
          <w:noProof/>
        </w:rPr>
        <w:t xml:space="preserve"> v </w:t>
      </w:r>
      <w:r w:rsidRPr="004F01E9">
        <w:rPr>
          <w:noProof/>
        </w:rPr>
        <w:t>súlade</w:t>
      </w:r>
      <w:r w:rsidR="004F01E9">
        <w:rPr>
          <w:noProof/>
        </w:rPr>
        <w:t xml:space="preserve"> s </w:t>
      </w:r>
      <w:r w:rsidRPr="004F01E9">
        <w:rPr>
          <w:noProof/>
        </w:rPr>
        <w:t>odsekom 4;</w:t>
      </w:r>
    </w:p>
    <w:p w14:paraId="713B3141" w14:textId="54E7C3FA" w:rsidR="005F0B3F" w:rsidRPr="004F01E9" w:rsidRDefault="005F0B3F" w:rsidP="0054788D">
      <w:pPr>
        <w:pStyle w:val="Text2"/>
        <w:tabs>
          <w:tab w:val="left" w:pos="2410"/>
        </w:tabs>
        <w:rPr>
          <w:noProof/>
        </w:rPr>
      </w:pPr>
      <w:r w:rsidRPr="004F01E9">
        <w:rPr>
          <w:noProof/>
        </w:rPr>
        <w:t>DI</w:t>
      </w:r>
      <w:r w:rsidRPr="004F01E9">
        <w:rPr>
          <w:noProof/>
          <w:vertAlign w:val="superscript"/>
        </w:rPr>
        <w:t>conso</w:t>
      </w:r>
      <w:r w:rsidRPr="004F01E9">
        <w:rPr>
          <w:noProof/>
        </w:rPr>
        <w:tab/>
        <w:t>= akýkoľvek kladný rozdiel medzi celkovou hodnotou rizikovej expozície</w:t>
      </w:r>
      <w:r w:rsidR="004F01E9">
        <w:rPr>
          <w:noProof/>
        </w:rPr>
        <w:t xml:space="preserve"> a </w:t>
      </w:r>
      <w:r w:rsidRPr="004F01E9">
        <w:rPr>
          <w:noProof/>
        </w:rPr>
        <w:t>celkovou hodnotou rizikovej expozície bez spodnej hranice pre konsolidovanú situáciu materskej inštitúcie</w:t>
      </w:r>
      <w:r w:rsidR="004F01E9">
        <w:rPr>
          <w:noProof/>
        </w:rPr>
        <w:t xml:space="preserve"> v </w:t>
      </w:r>
      <w:r w:rsidRPr="004F01E9">
        <w:rPr>
          <w:noProof/>
        </w:rPr>
        <w:t>EÚ, materskej finančnej holdingovej spoločnosti</w:t>
      </w:r>
      <w:r w:rsidR="004F01E9">
        <w:rPr>
          <w:noProof/>
        </w:rPr>
        <w:t xml:space="preserve"> v </w:t>
      </w:r>
      <w:r w:rsidRPr="004F01E9">
        <w:rPr>
          <w:noProof/>
        </w:rPr>
        <w:t>EÚ alebo materskej zmiešanej finančnej holdingovej spoločnosti</w:t>
      </w:r>
      <w:r w:rsidR="004F01E9">
        <w:rPr>
          <w:noProof/>
        </w:rPr>
        <w:t xml:space="preserve"> v </w:t>
      </w:r>
      <w:r w:rsidRPr="004F01E9">
        <w:rPr>
          <w:noProof/>
        </w:rPr>
        <w:t>EÚ skupiny, ktorej je subjekt</w:t>
      </w:r>
      <w:r w:rsidR="004F01E9">
        <w:rPr>
          <w:noProof/>
        </w:rPr>
        <w:t xml:space="preserve"> i </w:t>
      </w:r>
      <w:r w:rsidRPr="004F01E9">
        <w:rPr>
          <w:noProof/>
        </w:rPr>
        <w:t>súčasťou, vypočítaný takto:</w:t>
      </w:r>
    </w:p>
    <w:p w14:paraId="06DD6CC6" w14:textId="77777777" w:rsidR="005F0B3F" w:rsidRPr="004F01E9" w:rsidRDefault="00EE12EE" w:rsidP="0054788D">
      <w:pPr>
        <w:pStyle w:val="Text2"/>
        <w:rPr>
          <w:noProof/>
          <w:u w:val="single"/>
        </w:rPr>
      </w:pPr>
      <m:oMathPara>
        <m:oMathParaPr>
          <m:jc m:val="center"/>
        </m:oMathParaPr>
        <m:oMath>
          <m:sSup>
            <m:sSupPr>
              <m:ctrlPr>
                <w:rPr>
                  <w:rFonts w:ascii="Cambria Math" w:hAnsi="Cambria Math"/>
                  <w:noProof/>
                </w:rPr>
              </m:ctrlPr>
            </m:sSupPr>
            <m:e>
              <m:r>
                <m:rPr>
                  <m:sty m:val="p"/>
                </m:rPr>
                <w:rPr>
                  <w:rFonts w:ascii="Cambria Math" w:hAnsi="Cambria Math"/>
                  <w:noProof/>
                </w:rPr>
                <m:t>DI</m:t>
              </m:r>
            </m:e>
            <m:sup>
              <m:r>
                <m:rPr>
                  <m:sty m:val="p"/>
                </m:rPr>
                <w:rPr>
                  <w:rFonts w:ascii="Cambria Math" w:hAnsi="Cambria Math"/>
                  <w:noProof/>
                </w:rPr>
                <m:t>conso</m:t>
              </m:r>
            </m:sup>
          </m:sSup>
          <m:r>
            <w:rPr>
              <w:rFonts w:ascii="Cambria Math" w:hAnsi="Cambria Math"/>
              <w:noProof/>
            </w:rPr>
            <m:t>=</m:t>
          </m:r>
          <m:r>
            <m:rPr>
              <m:sty m:val="p"/>
            </m:rPr>
            <w:rPr>
              <w:rFonts w:ascii="Cambria Math" w:hAnsi="Cambria Math"/>
              <w:noProof/>
              <w:u w:val="single"/>
            </w:rPr>
            <m:t>TREA</m:t>
          </m:r>
          <m:r>
            <w:rPr>
              <w:rFonts w:ascii="Cambria Math" w:hAnsi="Cambria Math"/>
              <w:noProof/>
            </w:rPr>
            <m:t>-</m:t>
          </m:r>
          <m:r>
            <m:rPr>
              <m:nor/>
            </m:rPr>
            <w:rPr>
              <w:noProof/>
              <w:u w:val="single"/>
            </w:rPr>
            <m:t>U-TREA</m:t>
          </m:r>
        </m:oMath>
      </m:oMathPara>
    </w:p>
    <w:p w14:paraId="77A2999B" w14:textId="77777777" w:rsidR="005F0B3F" w:rsidRPr="004F01E9" w:rsidRDefault="005F0B3F" w:rsidP="005F0B3F">
      <w:pPr>
        <w:pStyle w:val="Text2"/>
        <w:rPr>
          <w:noProof/>
        </w:rPr>
      </w:pPr>
      <w:r w:rsidRPr="004F01E9">
        <w:rPr>
          <w:noProof/>
        </w:rPr>
        <w:t>kde:</w:t>
      </w:r>
    </w:p>
    <w:p w14:paraId="33EBB98F" w14:textId="0020FD18" w:rsidR="005F0B3F" w:rsidRPr="004F01E9" w:rsidRDefault="00710772" w:rsidP="00710772">
      <w:pPr>
        <w:pStyle w:val="Text2"/>
        <w:tabs>
          <w:tab w:val="left" w:pos="2410"/>
        </w:tabs>
        <w:rPr>
          <w:noProof/>
        </w:rPr>
      </w:pPr>
      <w:r w:rsidRPr="004F01E9">
        <w:rPr>
          <w:noProof/>
        </w:rPr>
        <w:t>U-TREA</w:t>
      </w:r>
      <w:r w:rsidRPr="004F01E9">
        <w:rPr>
          <w:noProof/>
        </w:rPr>
        <w:tab/>
        <w:t>= celková hodnota rizikovej expozície bez spodnej hranice vypočítaná</w:t>
      </w:r>
      <w:r w:rsidR="004F01E9">
        <w:rPr>
          <w:noProof/>
        </w:rPr>
        <w:t xml:space="preserve"> v </w:t>
      </w:r>
      <w:r w:rsidRPr="004F01E9">
        <w:rPr>
          <w:noProof/>
        </w:rPr>
        <w:t>súlade</w:t>
      </w:r>
      <w:r w:rsidR="004F01E9">
        <w:rPr>
          <w:noProof/>
        </w:rPr>
        <w:t xml:space="preserve"> s </w:t>
      </w:r>
      <w:r w:rsidRPr="004F01E9">
        <w:rPr>
          <w:noProof/>
        </w:rPr>
        <w:t>odsekom 4 pre materskú inštitúciu</w:t>
      </w:r>
      <w:r w:rsidR="004F01E9">
        <w:rPr>
          <w:noProof/>
        </w:rPr>
        <w:t xml:space="preserve"> v </w:t>
      </w:r>
      <w:r w:rsidRPr="004F01E9">
        <w:rPr>
          <w:noProof/>
        </w:rPr>
        <w:t>EÚ, materskú finančnú holdingovú spoločnosť</w:t>
      </w:r>
      <w:r w:rsidR="004F01E9">
        <w:rPr>
          <w:noProof/>
        </w:rPr>
        <w:t xml:space="preserve"> v </w:t>
      </w:r>
      <w:r w:rsidRPr="004F01E9">
        <w:rPr>
          <w:noProof/>
        </w:rPr>
        <w:t>EÚ alebo materskú zmiešanú finančnú holdingovú spoločnosť</w:t>
      </w:r>
      <w:r w:rsidR="004F01E9">
        <w:rPr>
          <w:noProof/>
        </w:rPr>
        <w:t xml:space="preserve"> v </w:t>
      </w:r>
      <w:r w:rsidRPr="004F01E9">
        <w:rPr>
          <w:noProof/>
        </w:rPr>
        <w:t>EÚ na základe jej konsolidovanej situácie;</w:t>
      </w:r>
    </w:p>
    <w:p w14:paraId="753A6C4D" w14:textId="66732AD7" w:rsidR="005F0B3F" w:rsidRPr="004F01E9" w:rsidRDefault="00710772" w:rsidP="00710772">
      <w:pPr>
        <w:pStyle w:val="Text2"/>
        <w:tabs>
          <w:tab w:val="left" w:pos="2552"/>
        </w:tabs>
        <w:rPr>
          <w:noProof/>
        </w:rPr>
      </w:pPr>
      <w:r w:rsidRPr="004F01E9">
        <w:rPr>
          <w:noProof/>
        </w:rPr>
        <w:t>TREA</w:t>
      </w:r>
      <w:r w:rsidRPr="004F01E9">
        <w:rPr>
          <w:noProof/>
        </w:rPr>
        <w:tab/>
        <w:t>= celková hodnota rizikovej expozície vypočítaná</w:t>
      </w:r>
      <w:r w:rsidR="004F01E9">
        <w:rPr>
          <w:noProof/>
        </w:rPr>
        <w:t xml:space="preserve"> v </w:t>
      </w:r>
      <w:r w:rsidRPr="004F01E9">
        <w:rPr>
          <w:noProof/>
        </w:rPr>
        <w:t>súlade</w:t>
      </w:r>
      <w:r w:rsidR="004F01E9">
        <w:rPr>
          <w:noProof/>
        </w:rPr>
        <w:t xml:space="preserve"> s </w:t>
      </w:r>
      <w:r w:rsidRPr="004F01E9">
        <w:rPr>
          <w:noProof/>
        </w:rPr>
        <w:t>odsekom 3 písm. a) pre uvedenú materskú inštitúciu</w:t>
      </w:r>
      <w:r w:rsidR="004F01E9">
        <w:rPr>
          <w:noProof/>
        </w:rPr>
        <w:t xml:space="preserve"> v </w:t>
      </w:r>
      <w:r w:rsidRPr="004F01E9">
        <w:rPr>
          <w:noProof/>
        </w:rPr>
        <w:t>EÚ, materskú finančnú holdingovú spoločnosť</w:t>
      </w:r>
      <w:r w:rsidR="004F01E9">
        <w:rPr>
          <w:noProof/>
        </w:rPr>
        <w:t xml:space="preserve"> v </w:t>
      </w:r>
      <w:r w:rsidRPr="004F01E9">
        <w:rPr>
          <w:noProof/>
        </w:rPr>
        <w:t>EÚ alebo materskú zmiešanú finančnú holdingovú spoločnosť</w:t>
      </w:r>
      <w:r w:rsidR="004F01E9">
        <w:rPr>
          <w:noProof/>
        </w:rPr>
        <w:t xml:space="preserve"> v </w:t>
      </w:r>
      <w:r w:rsidRPr="004F01E9">
        <w:rPr>
          <w:noProof/>
        </w:rPr>
        <w:t>EÚ na základe jej konsolidovanej situácie.</w:t>
      </w:r>
    </w:p>
    <w:p w14:paraId="5D59BF81" w14:textId="3D31ED0C" w:rsidR="005F0B3F" w:rsidRPr="004F01E9" w:rsidRDefault="005F0B3F" w:rsidP="00710772">
      <w:pPr>
        <w:pStyle w:val="Text2"/>
        <w:tabs>
          <w:tab w:val="left" w:pos="2552"/>
        </w:tabs>
        <w:rPr>
          <w:noProof/>
        </w:rPr>
      </w:pPr>
      <w:r w:rsidRPr="004F01E9">
        <w:rPr>
          <w:noProof/>
        </w:rPr>
        <w:t>Contrib</w:t>
      </w:r>
      <w:r w:rsidRPr="004F01E9">
        <w:rPr>
          <w:noProof/>
          <w:vertAlign w:val="superscript"/>
        </w:rPr>
        <w:t>conso</w:t>
      </w:r>
      <w:r w:rsidRPr="004F01E9">
        <w:rPr>
          <w:noProof/>
          <w:vertAlign w:val="subscript"/>
        </w:rPr>
        <w:t>i</w:t>
      </w:r>
      <w:r w:rsidRPr="004F01E9">
        <w:rPr>
          <w:noProof/>
        </w:rPr>
        <w:tab/>
        <w:t>= príspevok subjektu</w:t>
      </w:r>
      <w:r w:rsidR="004F01E9">
        <w:rPr>
          <w:noProof/>
        </w:rPr>
        <w:t xml:space="preserve"> i </w:t>
      </w:r>
      <w:r w:rsidRPr="004F01E9">
        <w:rPr>
          <w:noProof/>
        </w:rPr>
        <w:t>vypočítaný takto:</w:t>
      </w:r>
    </w:p>
    <w:p w14:paraId="5714A9AE" w14:textId="77777777" w:rsidR="005F0B3F" w:rsidRPr="004F01E9" w:rsidRDefault="005F0B3F" w:rsidP="005F0B3F">
      <w:pPr>
        <w:rPr>
          <w:noProof/>
        </w:rPr>
      </w:pPr>
      <w:r w:rsidRPr="004F01E9">
        <w:rPr>
          <w:noProof/>
        </w:rPr>
        <w:t xml:space="preserve"> </w:t>
      </w:r>
      <w:r w:rsidRPr="004F01E9">
        <w:rPr>
          <w:noProof/>
        </w:rPr>
        <w:br/>
      </w:r>
      <m:oMathPara>
        <m:oMath>
          <m:sSubSup>
            <m:sSubSupPr>
              <m:ctrlPr>
                <w:rPr>
                  <w:rFonts w:ascii="Cambria Math" w:eastAsiaTheme="minorEastAsia" w:hAnsi="Cambria Math"/>
                  <w:noProof/>
                  <w:szCs w:val="24"/>
                </w:rPr>
              </m:ctrlPr>
            </m:sSubSupPr>
            <m:e>
              <m:r>
                <m:rPr>
                  <m:sty m:val="p"/>
                </m:rPr>
                <w:rPr>
                  <w:rFonts w:ascii="Cambria Math" w:eastAsiaTheme="minorEastAsia" w:hAnsi="Cambria Math"/>
                  <w:noProof/>
                  <w:szCs w:val="24"/>
                </w:rPr>
                <m:t>Contrib</m:t>
              </m:r>
            </m:e>
            <m:sub>
              <m:r>
                <m:rPr>
                  <m:sty m:val="p"/>
                </m:rPr>
                <w:rPr>
                  <w:rFonts w:ascii="Cambria Math" w:eastAsiaTheme="minorEastAsia" w:hAnsi="Cambria Math"/>
                  <w:noProof/>
                  <w:szCs w:val="24"/>
                </w:rPr>
                <m:t>i</m:t>
              </m:r>
            </m:sub>
            <m:sup>
              <m:r>
                <m:rPr>
                  <m:sty m:val="p"/>
                </m:rPr>
                <w:rPr>
                  <w:rFonts w:ascii="Cambria Math" w:eastAsiaTheme="minorEastAsia" w:hAnsi="Cambria Math"/>
                  <w:noProof/>
                  <w:szCs w:val="24"/>
                </w:rPr>
                <m:t>conso</m:t>
              </m:r>
            </m:sup>
          </m:sSubSup>
          <m:r>
            <w:rPr>
              <w:rFonts w:ascii="Cambria Math" w:eastAsiaTheme="minorEastAsia" w:hAnsi="Cambria Math"/>
              <w:noProof/>
              <w:szCs w:val="24"/>
            </w:rPr>
            <m:t>=</m:t>
          </m:r>
          <m:d>
            <m:dPr>
              <m:begChr m:val="{"/>
              <m:endChr m:val=""/>
              <m:ctrlPr>
                <w:rPr>
                  <w:rFonts w:ascii="Cambria Math" w:eastAsiaTheme="minorEastAsia" w:hAnsi="Cambria Math"/>
                  <w:i/>
                  <w:noProof/>
                  <w:szCs w:val="24"/>
                </w:rPr>
              </m:ctrlPr>
            </m:dPr>
            <m:e>
              <m:eqArr>
                <m:eqArrPr>
                  <m:ctrlPr>
                    <w:rPr>
                      <w:rFonts w:ascii="Cambria Math" w:eastAsiaTheme="minorEastAsia" w:hAnsi="Cambria Math"/>
                      <w:i/>
                      <w:noProof/>
                      <w:szCs w:val="24"/>
                    </w:rPr>
                  </m:ctrlPr>
                </m:eqArrPr>
                <m:e>
                  <m:m>
                    <m:mPr>
                      <m:mcs>
                        <m:mc>
                          <m:mcPr>
                            <m:count m:val="2"/>
                            <m:mcJc m:val="center"/>
                          </m:mcPr>
                        </m:mc>
                      </m:mcs>
                      <m:ctrlPr>
                        <w:rPr>
                          <w:rFonts w:ascii="Cambria Math" w:eastAsiaTheme="minorEastAsia" w:hAnsi="Cambria Math"/>
                          <w:i/>
                          <w:noProof/>
                          <w:szCs w:val="24"/>
                        </w:rPr>
                      </m:ctrlPr>
                    </m:mPr>
                    <m:mr>
                      <m:e>
                        <m:f>
                          <m:fPr>
                            <m:ctrlPr>
                              <w:rPr>
                                <w:rFonts w:ascii="Cambria Math" w:eastAsiaTheme="minorEastAsia" w:hAnsi="Cambria Math"/>
                                <w:i/>
                                <w:noProof/>
                                <w:szCs w:val="24"/>
                              </w:rPr>
                            </m:ctrlPr>
                          </m:fPr>
                          <m:num>
                            <m:sSub>
                              <m:sSubPr>
                                <m:ctrlPr>
                                  <w:rPr>
                                    <w:rFonts w:ascii="Cambria Math" w:eastAsiaTheme="minorEastAsia" w:hAnsi="Cambria Math"/>
                                    <w:noProof/>
                                    <w:szCs w:val="24"/>
                                  </w:rPr>
                                </m:ctrlPr>
                              </m:sSubPr>
                              <m:e>
                                <m:r>
                                  <m:rPr>
                                    <m:sty m:val="p"/>
                                  </m:rPr>
                                  <w:rPr>
                                    <w:rFonts w:ascii="Cambria Math" w:eastAsiaTheme="minorEastAsia" w:hAnsi="Cambria Math"/>
                                    <w:noProof/>
                                    <w:szCs w:val="24"/>
                                  </w:rPr>
                                  <m:t>(</m:t>
                                </m:r>
                                <m:r>
                                  <m:rPr>
                                    <m:nor/>
                                  </m:rPr>
                                  <w:rPr>
                                    <w:rFonts w:eastAsiaTheme="minorEastAsia"/>
                                    <w:noProof/>
                                    <w:szCs w:val="24"/>
                                  </w:rPr>
                                  <m:t>F-TREA</m:t>
                                </m:r>
                              </m:e>
                              <m:sub>
                                <m:r>
                                  <w:rPr>
                                    <w:rFonts w:ascii="Cambria Math" w:eastAsiaTheme="minorEastAsia" w:hAnsi="Cambria Math"/>
                                    <w:noProof/>
                                    <w:szCs w:val="24"/>
                                  </w:rPr>
                                  <m:t>i</m:t>
                                </m:r>
                              </m:sub>
                            </m:sSub>
                            <m:r>
                              <w:rPr>
                                <w:rFonts w:ascii="Cambria Math" w:eastAsiaTheme="minorEastAsia" w:hAnsi="Cambria Math"/>
                                <w:noProof/>
                                <w:szCs w:val="24"/>
                              </w:rPr>
                              <m:t>-</m:t>
                            </m:r>
                            <m:sSub>
                              <m:sSubPr>
                                <m:ctrlPr>
                                  <w:rPr>
                                    <w:rFonts w:ascii="Cambria Math" w:eastAsiaTheme="minorEastAsia" w:hAnsi="Cambria Math"/>
                                    <w:noProof/>
                                    <w:szCs w:val="24"/>
                                  </w:rPr>
                                </m:ctrlPr>
                              </m:sSubPr>
                              <m:e>
                                <m:r>
                                  <m:rPr>
                                    <m:nor/>
                                  </m:rPr>
                                  <w:rPr>
                                    <w:rFonts w:eastAsiaTheme="minorEastAsia"/>
                                    <w:noProof/>
                                    <w:szCs w:val="24"/>
                                  </w:rPr>
                                  <m:t>U-TREA</m:t>
                                </m:r>
                              </m:e>
                              <m:sub>
                                <m:r>
                                  <w:rPr>
                                    <w:rFonts w:ascii="Cambria Math" w:eastAsiaTheme="minorEastAsia" w:hAnsi="Cambria Math"/>
                                    <w:noProof/>
                                    <w:szCs w:val="24"/>
                                  </w:rPr>
                                  <m:t>i</m:t>
                                </m:r>
                              </m:sub>
                            </m:sSub>
                            <m:r>
                              <m:rPr>
                                <m:sty m:val="p"/>
                              </m:rPr>
                              <w:rPr>
                                <w:rFonts w:ascii="Cambria Math" w:hAnsi="Cambria Math"/>
                                <w:noProof/>
                                <w:szCs w:val="24"/>
                                <w:vertAlign w:val="subscript"/>
                              </w:rPr>
                              <m:t>)</m:t>
                            </m:r>
                          </m:num>
                          <m:den>
                            <m:nary>
                              <m:naryPr>
                                <m:chr m:val="∑"/>
                                <m:limLoc m:val="undOvr"/>
                                <m:supHide m:val="1"/>
                                <m:ctrlPr>
                                  <w:rPr>
                                    <w:rFonts w:ascii="Cambria Math" w:eastAsiaTheme="minorEastAsia" w:hAnsi="Cambria Math"/>
                                    <w:i/>
                                    <w:noProof/>
                                    <w:szCs w:val="24"/>
                                  </w:rPr>
                                </m:ctrlPr>
                              </m:naryPr>
                              <m:sub>
                                <m:r>
                                  <w:rPr>
                                    <w:rFonts w:ascii="Cambria Math" w:eastAsiaTheme="minorEastAsia" w:hAnsi="Cambria Math"/>
                                    <w:noProof/>
                                    <w:szCs w:val="24"/>
                                  </w:rPr>
                                  <m:t>j</m:t>
                                </m:r>
                              </m:sub>
                              <m:sup/>
                              <m:e>
                                <m:r>
                                  <w:rPr>
                                    <w:rFonts w:ascii="Cambria Math" w:eastAsiaTheme="minorEastAsia" w:hAnsi="Cambria Math"/>
                                    <w:noProof/>
                                    <w:szCs w:val="24"/>
                                  </w:rPr>
                                  <m:t>(</m:t>
                                </m:r>
                              </m:e>
                            </m:nary>
                            <m:sSub>
                              <m:sSubPr>
                                <m:ctrlPr>
                                  <w:rPr>
                                    <w:rFonts w:ascii="Cambria Math" w:eastAsiaTheme="minorEastAsia" w:hAnsi="Cambria Math"/>
                                    <w:noProof/>
                                    <w:szCs w:val="24"/>
                                  </w:rPr>
                                </m:ctrlPr>
                              </m:sSubPr>
                              <m:e>
                                <m:r>
                                  <m:rPr>
                                    <m:nor/>
                                  </m:rPr>
                                  <w:rPr>
                                    <w:rFonts w:eastAsiaTheme="minorEastAsia"/>
                                    <w:noProof/>
                                    <w:szCs w:val="24"/>
                                  </w:rPr>
                                  <m:t>F-TREA</m:t>
                                </m:r>
                              </m:e>
                              <m:sub>
                                <m:r>
                                  <w:rPr>
                                    <w:rFonts w:ascii="Cambria Math" w:eastAsiaTheme="minorEastAsia" w:hAnsi="Cambria Math"/>
                                    <w:noProof/>
                                    <w:szCs w:val="24"/>
                                  </w:rPr>
                                  <m:t>j</m:t>
                                </m:r>
                              </m:sub>
                            </m:sSub>
                            <m:r>
                              <w:rPr>
                                <w:rFonts w:ascii="Cambria Math" w:eastAsiaTheme="minorEastAsia" w:hAnsi="Cambria Math"/>
                                <w:noProof/>
                                <w:szCs w:val="24"/>
                              </w:rPr>
                              <m:t>-</m:t>
                            </m:r>
                            <m:sSub>
                              <m:sSubPr>
                                <m:ctrlPr>
                                  <w:rPr>
                                    <w:rFonts w:ascii="Cambria Math" w:eastAsiaTheme="minorEastAsia" w:hAnsi="Cambria Math"/>
                                    <w:noProof/>
                                    <w:szCs w:val="24"/>
                                  </w:rPr>
                                </m:ctrlPr>
                              </m:sSubPr>
                              <m:e>
                                <m:r>
                                  <m:rPr>
                                    <m:nor/>
                                  </m:rPr>
                                  <w:rPr>
                                    <w:rFonts w:eastAsiaTheme="minorEastAsia"/>
                                    <w:noProof/>
                                    <w:szCs w:val="24"/>
                                  </w:rPr>
                                  <m:t>U-TREA</m:t>
                                </m:r>
                              </m:e>
                              <m:sub>
                                <m:r>
                                  <w:rPr>
                                    <w:rFonts w:ascii="Cambria Math" w:eastAsiaTheme="minorEastAsia" w:hAnsi="Cambria Math"/>
                                    <w:noProof/>
                                    <w:szCs w:val="24"/>
                                  </w:rPr>
                                  <m:t>j</m:t>
                                </m:r>
                              </m:sub>
                            </m:sSub>
                            <m:r>
                              <m:rPr>
                                <m:sty m:val="p"/>
                              </m:rPr>
                              <w:rPr>
                                <w:rFonts w:ascii="Cambria Math" w:hAnsi="Cambria Math"/>
                                <w:noProof/>
                                <w:szCs w:val="24"/>
                                <w:vertAlign w:val="subscript"/>
                              </w:rPr>
                              <m:t>)</m:t>
                            </m:r>
                          </m:den>
                        </m:f>
                        <m:r>
                          <w:rPr>
                            <w:rFonts w:ascii="Cambria Math" w:eastAsiaTheme="minorEastAsia" w:hAnsi="Cambria Math"/>
                            <w:noProof/>
                            <w:szCs w:val="24"/>
                          </w:rPr>
                          <m:t>,</m:t>
                        </m:r>
                      </m:e>
                      <m:e>
                        <m:r>
                          <w:rPr>
                            <w:rFonts w:ascii="Cambria Math" w:eastAsiaTheme="minorEastAsia" w:hAnsi="Cambria Math"/>
                            <w:noProof/>
                            <w:szCs w:val="24"/>
                          </w:rPr>
                          <m:t>if</m:t>
                        </m:r>
                        <m:nary>
                          <m:naryPr>
                            <m:chr m:val="∑"/>
                            <m:limLoc m:val="undOvr"/>
                            <m:supHide m:val="1"/>
                            <m:ctrlPr>
                              <w:rPr>
                                <w:rFonts w:ascii="Cambria Math" w:eastAsiaTheme="minorEastAsia" w:hAnsi="Cambria Math"/>
                                <w:i/>
                                <w:noProof/>
                                <w:szCs w:val="24"/>
                              </w:rPr>
                            </m:ctrlPr>
                          </m:naryPr>
                          <m:sub>
                            <m:r>
                              <w:rPr>
                                <w:rFonts w:ascii="Cambria Math" w:eastAsiaTheme="minorEastAsia" w:hAnsi="Cambria Math"/>
                                <w:noProof/>
                                <w:szCs w:val="24"/>
                              </w:rPr>
                              <m:t>j</m:t>
                            </m:r>
                          </m:sub>
                          <m:sup/>
                          <m:e>
                            <m:r>
                              <w:rPr>
                                <w:rFonts w:ascii="Cambria Math" w:eastAsiaTheme="minorEastAsia" w:hAnsi="Cambria Math"/>
                                <w:noProof/>
                                <w:szCs w:val="24"/>
                              </w:rPr>
                              <m:t>(</m:t>
                            </m:r>
                          </m:e>
                        </m:nary>
                        <m:sSub>
                          <m:sSubPr>
                            <m:ctrlPr>
                              <w:rPr>
                                <w:rFonts w:ascii="Cambria Math" w:eastAsiaTheme="minorEastAsia" w:hAnsi="Cambria Math"/>
                                <w:noProof/>
                                <w:szCs w:val="24"/>
                              </w:rPr>
                            </m:ctrlPr>
                          </m:sSubPr>
                          <m:e>
                            <m:r>
                              <m:rPr>
                                <m:nor/>
                              </m:rPr>
                              <w:rPr>
                                <w:rFonts w:eastAsiaTheme="minorEastAsia"/>
                                <w:noProof/>
                                <w:szCs w:val="24"/>
                              </w:rPr>
                              <m:t>F-TREA</m:t>
                            </m:r>
                          </m:e>
                          <m:sub>
                            <m:r>
                              <w:rPr>
                                <w:rFonts w:ascii="Cambria Math" w:eastAsiaTheme="minorEastAsia" w:hAnsi="Cambria Math"/>
                                <w:noProof/>
                                <w:szCs w:val="24"/>
                              </w:rPr>
                              <m:t>j</m:t>
                            </m:r>
                          </m:sub>
                        </m:sSub>
                        <m:r>
                          <w:rPr>
                            <w:rFonts w:ascii="Cambria Math" w:eastAsiaTheme="minorEastAsia" w:hAnsi="Cambria Math"/>
                            <w:noProof/>
                            <w:szCs w:val="24"/>
                          </w:rPr>
                          <m:t>-</m:t>
                        </m:r>
                        <m:sSub>
                          <m:sSubPr>
                            <m:ctrlPr>
                              <w:rPr>
                                <w:rFonts w:ascii="Cambria Math" w:eastAsiaTheme="minorEastAsia" w:hAnsi="Cambria Math"/>
                                <w:noProof/>
                                <w:szCs w:val="24"/>
                              </w:rPr>
                            </m:ctrlPr>
                          </m:sSubPr>
                          <m:e>
                            <m:r>
                              <m:rPr>
                                <m:nor/>
                              </m:rPr>
                              <w:rPr>
                                <w:rFonts w:eastAsiaTheme="minorEastAsia"/>
                                <w:noProof/>
                                <w:szCs w:val="24"/>
                              </w:rPr>
                              <m:t>U-TREA</m:t>
                            </m:r>
                          </m:e>
                          <m:sub>
                            <m:r>
                              <m:rPr>
                                <m:nor/>
                              </m:rPr>
                              <w:rPr>
                                <w:rFonts w:eastAsiaTheme="minorEastAsia"/>
                                <w:noProof/>
                                <w:szCs w:val="24"/>
                              </w:rPr>
                              <m:t>j</m:t>
                            </m:r>
                          </m:sub>
                        </m:sSub>
                        <m:r>
                          <m:rPr>
                            <m:sty m:val="p"/>
                          </m:rPr>
                          <w:rPr>
                            <w:rFonts w:ascii="Cambria Math" w:hAnsi="Cambria Math"/>
                            <w:noProof/>
                            <w:szCs w:val="24"/>
                            <w:vertAlign w:val="subscript"/>
                          </w:rPr>
                          <m:t>)&gt;0</m:t>
                        </m:r>
                      </m:e>
                    </m:mr>
                  </m:m>
                </m:e>
                <m:e>
                  <m:m>
                    <m:mPr>
                      <m:mcs>
                        <m:mc>
                          <m:mcPr>
                            <m:count m:val="2"/>
                            <m:mcJc m:val="center"/>
                          </m:mcPr>
                        </m:mc>
                      </m:mcs>
                      <m:ctrlPr>
                        <w:rPr>
                          <w:rFonts w:ascii="Cambria Math" w:eastAsiaTheme="minorEastAsia" w:hAnsi="Cambria Math"/>
                          <w:i/>
                          <w:noProof/>
                          <w:szCs w:val="24"/>
                        </w:rPr>
                      </m:ctrlPr>
                    </m:mPr>
                    <m:mr>
                      <m:e>
                        <m:r>
                          <w:rPr>
                            <w:rFonts w:ascii="Cambria Math" w:eastAsiaTheme="minorEastAsia" w:hAnsi="Cambria Math"/>
                            <w:noProof/>
                            <w:szCs w:val="24"/>
                          </w:rPr>
                          <m:t>0,</m:t>
                        </m:r>
                      </m:e>
                      <m:e>
                        <m:r>
                          <w:rPr>
                            <w:rFonts w:ascii="Cambria Math" w:eastAsiaTheme="minorEastAsia" w:hAnsi="Cambria Math"/>
                            <w:noProof/>
                            <w:szCs w:val="24"/>
                          </w:rPr>
                          <m:t>otherwise</m:t>
                        </m:r>
                      </m:e>
                    </m:mr>
                  </m:m>
                </m:e>
              </m:eqArr>
            </m:e>
          </m:d>
        </m:oMath>
      </m:oMathPara>
    </w:p>
    <w:p w14:paraId="4EBE4EAD" w14:textId="77777777" w:rsidR="005F0B3F" w:rsidRPr="004F01E9" w:rsidRDefault="005F0B3F" w:rsidP="005F0B3F">
      <w:pPr>
        <w:pStyle w:val="Text2"/>
        <w:rPr>
          <w:noProof/>
        </w:rPr>
      </w:pPr>
      <w:r w:rsidRPr="004F01E9">
        <w:rPr>
          <w:noProof/>
        </w:rPr>
        <w:t>kde:</w:t>
      </w:r>
    </w:p>
    <w:p w14:paraId="75DD3436" w14:textId="5CCA8CF1" w:rsidR="005F0B3F" w:rsidRPr="004F01E9" w:rsidRDefault="005F0B3F" w:rsidP="00710772">
      <w:pPr>
        <w:pStyle w:val="Text2"/>
        <w:tabs>
          <w:tab w:val="left" w:pos="2552"/>
        </w:tabs>
        <w:rPr>
          <w:noProof/>
        </w:rPr>
      </w:pPr>
      <w:r w:rsidRPr="004F01E9">
        <w:rPr>
          <w:noProof/>
        </w:rPr>
        <w:t>j</w:t>
      </w:r>
      <w:r w:rsidRPr="004F01E9">
        <w:rPr>
          <w:noProof/>
        </w:rPr>
        <w:tab/>
        <w:t>= index, ktorý označuje všetky subjekty, ktoré sú súčasťou rovnakej skupiny ako subjekt i, pre konsolidovanú situáciu materskej inštitúcie</w:t>
      </w:r>
      <w:r w:rsidR="004F01E9">
        <w:rPr>
          <w:noProof/>
        </w:rPr>
        <w:t xml:space="preserve"> v </w:t>
      </w:r>
      <w:r w:rsidRPr="004F01E9">
        <w:rPr>
          <w:noProof/>
        </w:rPr>
        <w:t>EÚ, materskej finančnej holdingovej spoločnosti</w:t>
      </w:r>
      <w:r w:rsidR="004F01E9">
        <w:rPr>
          <w:noProof/>
        </w:rPr>
        <w:t xml:space="preserve"> v </w:t>
      </w:r>
      <w:r w:rsidRPr="004F01E9">
        <w:rPr>
          <w:noProof/>
        </w:rPr>
        <w:t>EÚ alebo materskej zmiešanej finančnej holdingovej spoločnosti</w:t>
      </w:r>
      <w:r w:rsidR="004F01E9">
        <w:rPr>
          <w:noProof/>
        </w:rPr>
        <w:t xml:space="preserve"> v </w:t>
      </w:r>
      <w:r w:rsidRPr="004F01E9">
        <w:rPr>
          <w:noProof/>
        </w:rPr>
        <w:t>EÚ;</w:t>
      </w:r>
    </w:p>
    <w:p w14:paraId="4228F500" w14:textId="024A1AF2" w:rsidR="005F0B3F" w:rsidRPr="004F01E9" w:rsidRDefault="005F0B3F" w:rsidP="00710772">
      <w:pPr>
        <w:pStyle w:val="Text2"/>
        <w:tabs>
          <w:tab w:val="left" w:pos="2552"/>
        </w:tabs>
        <w:rPr>
          <w:noProof/>
        </w:rPr>
      </w:pPr>
      <w:r w:rsidRPr="004F01E9">
        <w:rPr>
          <w:noProof/>
        </w:rPr>
        <w:t>U-TREA</w:t>
      </w:r>
      <w:r w:rsidRPr="004F01E9">
        <w:rPr>
          <w:noProof/>
          <w:vertAlign w:val="subscript"/>
        </w:rPr>
        <w:t>j</w:t>
      </w:r>
      <w:r w:rsidRPr="004F01E9">
        <w:rPr>
          <w:noProof/>
        </w:rPr>
        <w:tab/>
        <w:t>= celková hodnota rizikovej expozície bez spodnej hranice vypočítaná subjektom j</w:t>
      </w:r>
      <w:r w:rsidR="004F01E9">
        <w:rPr>
          <w:noProof/>
        </w:rPr>
        <w:t xml:space="preserve"> v </w:t>
      </w:r>
      <w:r w:rsidRPr="004F01E9">
        <w:rPr>
          <w:noProof/>
        </w:rPr>
        <w:t>súlade</w:t>
      </w:r>
      <w:r w:rsidR="004F01E9">
        <w:rPr>
          <w:noProof/>
        </w:rPr>
        <w:t xml:space="preserve"> s </w:t>
      </w:r>
      <w:r w:rsidRPr="004F01E9">
        <w:rPr>
          <w:noProof/>
        </w:rPr>
        <w:t>odsekom 4 na základe jeho konsolidovanej situácie alebo</w:t>
      </w:r>
      <w:r w:rsidR="004F01E9">
        <w:rPr>
          <w:noProof/>
        </w:rPr>
        <w:t xml:space="preserve"> v </w:t>
      </w:r>
      <w:r w:rsidRPr="004F01E9">
        <w:rPr>
          <w:noProof/>
        </w:rPr>
        <w:t>prípade, že subjekt j je samostatnou dcérskou inštitúciou</w:t>
      </w:r>
      <w:r w:rsidR="004F01E9">
        <w:rPr>
          <w:noProof/>
        </w:rPr>
        <w:t xml:space="preserve"> v </w:t>
      </w:r>
      <w:r w:rsidRPr="004F01E9">
        <w:rPr>
          <w:noProof/>
        </w:rPr>
        <w:t>členskom štáte, na jeho individuálnom základe;</w:t>
      </w:r>
    </w:p>
    <w:p w14:paraId="384BE4BB" w14:textId="77777777" w:rsidR="005F0B3F" w:rsidRPr="004F01E9" w:rsidRDefault="005F0B3F" w:rsidP="00710772">
      <w:pPr>
        <w:pStyle w:val="Text2"/>
        <w:tabs>
          <w:tab w:val="left" w:pos="2552"/>
        </w:tabs>
        <w:rPr>
          <w:noProof/>
        </w:rPr>
      </w:pPr>
      <w:r w:rsidRPr="004F01E9">
        <w:rPr>
          <w:noProof/>
        </w:rPr>
        <w:t>F-TREA</w:t>
      </w:r>
      <w:r w:rsidRPr="004F01E9">
        <w:rPr>
          <w:noProof/>
          <w:vertAlign w:val="subscript"/>
        </w:rPr>
        <w:t>j</w:t>
      </w:r>
      <w:r w:rsidRPr="004F01E9">
        <w:rPr>
          <w:noProof/>
        </w:rPr>
        <w:tab/>
        <w:t>= hodnota celkovej rizikovej expozície subjektu j so spodnou hranicou vypočítaná na základe jeho konsolidovanej situácie takto:</w:t>
      </w:r>
    </w:p>
    <w:p w14:paraId="5292AAB5" w14:textId="77777777" w:rsidR="005F0B3F" w:rsidRPr="004F01E9" w:rsidRDefault="00EE12EE" w:rsidP="00710772">
      <w:pPr>
        <w:pStyle w:val="Text2"/>
        <w:rPr>
          <w:noProof/>
        </w:rPr>
      </w:pPr>
      <m:oMathPara>
        <m:oMath>
          <m:sSub>
            <m:sSubPr>
              <m:ctrlPr>
                <w:rPr>
                  <w:rFonts w:ascii="Cambria Math" w:eastAsia="Times New Roman" w:hAnsi="Cambria Math"/>
                  <w:noProof/>
                </w:rPr>
              </m:ctrlPr>
            </m:sSubPr>
            <m:e>
              <m:r>
                <m:rPr>
                  <m:nor/>
                </m:rPr>
                <w:rPr>
                  <w:rFonts w:eastAsia="Times New Roman"/>
                  <w:noProof/>
                </w:rPr>
                <m:t>F-</m:t>
              </m:r>
              <m:r>
                <m:rPr>
                  <m:nor/>
                </m:rPr>
                <w:rPr>
                  <w:noProof/>
                </w:rPr>
                <m:t>TREA</m:t>
              </m:r>
            </m:e>
            <m:sub>
              <m:r>
                <m:rPr>
                  <m:nor/>
                </m:rPr>
                <w:rPr>
                  <w:rFonts w:eastAsia="Times New Roman"/>
                  <w:noProof/>
                </w:rPr>
                <m:t>j</m:t>
              </m:r>
            </m:sub>
          </m:sSub>
          <m:r>
            <m:rPr>
              <m:sty m:val="p"/>
            </m:rPr>
            <w:rPr>
              <w:rFonts w:ascii="Cambria Math" w:hAnsi="Cambria Math"/>
              <w:noProof/>
            </w:rPr>
            <m:t xml:space="preserve"> =max </m:t>
          </m:r>
          <m:d>
            <m:dPr>
              <m:begChr m:val="{"/>
              <m:endChr m:val="}"/>
              <m:ctrlPr>
                <w:rPr>
                  <w:rFonts w:ascii="Cambria Math" w:hAnsi="Cambria Math"/>
                  <w:noProof/>
                </w:rPr>
              </m:ctrlPr>
            </m:dPr>
            <m:e>
              <m:sSub>
                <m:sSubPr>
                  <m:ctrlPr>
                    <w:rPr>
                      <w:rFonts w:ascii="Cambria Math" w:eastAsia="Times New Roman" w:hAnsi="Cambria Math"/>
                      <w:noProof/>
                    </w:rPr>
                  </m:ctrlPr>
                </m:sSubPr>
                <m:e>
                  <m:r>
                    <m:rPr>
                      <m:nor/>
                    </m:rPr>
                    <w:rPr>
                      <w:rFonts w:eastAsia="Times New Roman"/>
                      <w:noProof/>
                    </w:rPr>
                    <m:t>U-</m:t>
                  </m:r>
                  <m:r>
                    <m:rPr>
                      <m:nor/>
                    </m:rPr>
                    <w:rPr>
                      <w:noProof/>
                    </w:rPr>
                    <m:t>TREA</m:t>
                  </m:r>
                </m:e>
                <m:sub>
                  <m:r>
                    <m:rPr>
                      <m:nor/>
                    </m:rPr>
                    <w:rPr>
                      <w:rFonts w:eastAsia="Times New Roman"/>
                      <w:noProof/>
                    </w:rPr>
                    <m:t>j</m:t>
                  </m:r>
                </m:sub>
              </m:sSub>
              <m:r>
                <m:rPr>
                  <m:sty m:val="p"/>
                </m:rPr>
                <w:rPr>
                  <w:rFonts w:ascii="Cambria Math" w:hAnsi="Cambria Math"/>
                  <w:noProof/>
                </w:rPr>
                <m:t xml:space="preserve"> ;x∙</m:t>
              </m:r>
              <m:sSub>
                <m:sSubPr>
                  <m:ctrlPr>
                    <w:rPr>
                      <w:rFonts w:ascii="Cambria Math" w:eastAsia="Times New Roman" w:hAnsi="Cambria Math"/>
                      <w:noProof/>
                    </w:rPr>
                  </m:ctrlPr>
                </m:sSubPr>
                <m:e>
                  <m:r>
                    <m:rPr>
                      <m:nor/>
                    </m:rPr>
                    <w:rPr>
                      <w:rFonts w:eastAsia="Times New Roman"/>
                      <w:noProof/>
                    </w:rPr>
                    <m:t>S-</m:t>
                  </m:r>
                  <m:r>
                    <m:rPr>
                      <m:nor/>
                    </m:rPr>
                    <w:rPr>
                      <w:noProof/>
                    </w:rPr>
                    <m:t>TREA</m:t>
                  </m:r>
                </m:e>
                <m:sub>
                  <m:r>
                    <m:rPr>
                      <m:nor/>
                    </m:rPr>
                    <w:rPr>
                      <w:rFonts w:eastAsia="Times New Roman"/>
                      <w:noProof/>
                    </w:rPr>
                    <m:t>j</m:t>
                  </m:r>
                </m:sub>
              </m:sSub>
            </m:e>
          </m:d>
        </m:oMath>
      </m:oMathPara>
    </w:p>
    <w:p w14:paraId="3AE5F638" w14:textId="77777777" w:rsidR="00806B81" w:rsidRPr="004F01E9" w:rsidRDefault="005F0B3F" w:rsidP="005F0B3F">
      <w:pPr>
        <w:pStyle w:val="Text2"/>
        <w:rPr>
          <w:noProof/>
        </w:rPr>
      </w:pPr>
      <w:r w:rsidRPr="004F01E9">
        <w:rPr>
          <w:noProof/>
        </w:rPr>
        <w:t>kde:</w:t>
      </w:r>
    </w:p>
    <w:p w14:paraId="592ED490" w14:textId="62B8DEC6" w:rsidR="005F0B3F" w:rsidRPr="004F01E9" w:rsidRDefault="00EE12EE" w:rsidP="00710772">
      <w:pPr>
        <w:pStyle w:val="Text2"/>
        <w:tabs>
          <w:tab w:val="left" w:pos="2552"/>
        </w:tabs>
        <w:rPr>
          <w:noProof/>
        </w:rPr>
      </w:pPr>
      <m:oMath>
        <m:sSub>
          <m:sSubPr>
            <m:ctrlPr>
              <w:rPr>
                <w:rFonts w:ascii="Cambria Math" w:eastAsia="Times New Roman" w:hAnsi="Cambria Math"/>
                <w:noProof/>
              </w:rPr>
            </m:ctrlPr>
          </m:sSubPr>
          <m:e>
            <m:r>
              <m:rPr>
                <m:nor/>
              </m:rPr>
              <w:rPr>
                <w:rFonts w:eastAsia="Times New Roman"/>
                <w:noProof/>
              </w:rPr>
              <m:t>F-</m:t>
            </m:r>
            <m:r>
              <m:rPr>
                <m:nor/>
              </m:rPr>
              <w:rPr>
                <w:noProof/>
              </w:rPr>
              <m:t>TREA</m:t>
            </m:r>
          </m:e>
          <m:sub>
            <m:r>
              <m:rPr>
                <m:nor/>
              </m:rPr>
              <w:rPr>
                <w:rFonts w:eastAsia="Times New Roman"/>
                <w:noProof/>
              </w:rPr>
              <m:t>j</m:t>
            </m:r>
          </m:sub>
        </m:sSub>
      </m:oMath>
      <w:r w:rsidR="00DE1B1D" w:rsidRPr="004F01E9">
        <w:rPr>
          <w:noProof/>
        </w:rPr>
        <w:tab/>
        <w:t>= hodnota celkovej rizikovej expozície so spodnou hranicou vypočítaná subjektom j na základe jeho konsolidovanej situácie alebo</w:t>
      </w:r>
      <w:r w:rsidR="004F01E9">
        <w:rPr>
          <w:noProof/>
        </w:rPr>
        <w:t xml:space="preserve"> v </w:t>
      </w:r>
      <w:r w:rsidR="00DE1B1D" w:rsidRPr="004F01E9">
        <w:rPr>
          <w:noProof/>
        </w:rPr>
        <w:t>prípade, že subjekt j je samostatnou dcérskou inštitúciou</w:t>
      </w:r>
      <w:r w:rsidR="004F01E9">
        <w:rPr>
          <w:noProof/>
        </w:rPr>
        <w:t xml:space="preserve"> v </w:t>
      </w:r>
      <w:r w:rsidR="00DE1B1D" w:rsidRPr="004F01E9">
        <w:rPr>
          <w:noProof/>
        </w:rPr>
        <w:t>členskom štáte, na jeho individuálnom základe;</w:t>
      </w:r>
    </w:p>
    <w:p w14:paraId="2AD2D66B" w14:textId="435BE0B9" w:rsidR="00806B81" w:rsidRPr="004F01E9" w:rsidRDefault="00EE12EE" w:rsidP="00710772">
      <w:pPr>
        <w:pStyle w:val="Text2"/>
        <w:tabs>
          <w:tab w:val="left" w:pos="2552"/>
        </w:tabs>
        <w:rPr>
          <w:noProof/>
        </w:rPr>
      </w:pPr>
      <m:oMath>
        <m:sSub>
          <m:sSubPr>
            <m:ctrlPr>
              <w:rPr>
                <w:rFonts w:ascii="Cambria Math" w:eastAsia="Times New Roman" w:hAnsi="Cambria Math"/>
                <w:noProof/>
              </w:rPr>
            </m:ctrlPr>
          </m:sSubPr>
          <m:e>
            <m:r>
              <m:rPr>
                <m:nor/>
              </m:rPr>
              <w:rPr>
                <w:rFonts w:eastAsia="Times New Roman"/>
                <w:noProof/>
              </w:rPr>
              <m:t>S-</m:t>
            </m:r>
            <m:r>
              <m:rPr>
                <m:nor/>
              </m:rPr>
              <w:rPr>
                <w:noProof/>
              </w:rPr>
              <m:t>TREA</m:t>
            </m:r>
          </m:e>
          <m:sub>
            <m:r>
              <m:rPr>
                <m:nor/>
              </m:rPr>
              <w:rPr>
                <w:rFonts w:eastAsia="Times New Roman"/>
                <w:noProof/>
              </w:rPr>
              <m:t>j</m:t>
            </m:r>
          </m:sub>
        </m:sSub>
      </m:oMath>
      <w:r w:rsidR="00DE1B1D" w:rsidRPr="004F01E9">
        <w:rPr>
          <w:noProof/>
        </w:rPr>
        <w:tab/>
        <w:t>= štandardizovaná hodnota celkovej rizikovej expozície vypočítaná subjektom j</w:t>
      </w:r>
      <w:r w:rsidR="004F01E9">
        <w:rPr>
          <w:noProof/>
        </w:rPr>
        <w:t xml:space="preserve"> v </w:t>
      </w:r>
      <w:r w:rsidR="00DE1B1D" w:rsidRPr="004F01E9">
        <w:rPr>
          <w:noProof/>
        </w:rPr>
        <w:t>súlade</w:t>
      </w:r>
      <w:r w:rsidR="004F01E9">
        <w:rPr>
          <w:noProof/>
        </w:rPr>
        <w:t xml:space="preserve"> s </w:t>
      </w:r>
      <w:r w:rsidR="00DE1B1D" w:rsidRPr="004F01E9">
        <w:rPr>
          <w:noProof/>
        </w:rPr>
        <w:t>odsekom 5 na základe jeho konsolidovanej situácie alebo</w:t>
      </w:r>
      <w:r w:rsidR="004F01E9">
        <w:rPr>
          <w:noProof/>
        </w:rPr>
        <w:t xml:space="preserve"> v </w:t>
      </w:r>
      <w:r w:rsidR="00DE1B1D" w:rsidRPr="004F01E9">
        <w:rPr>
          <w:noProof/>
        </w:rPr>
        <w:t>prípade, že subjekt j je samostatnou dcérskou inštitúciou</w:t>
      </w:r>
      <w:r w:rsidR="004F01E9">
        <w:rPr>
          <w:noProof/>
        </w:rPr>
        <w:t xml:space="preserve"> v </w:t>
      </w:r>
      <w:r w:rsidR="00DE1B1D" w:rsidRPr="004F01E9">
        <w:rPr>
          <w:noProof/>
        </w:rPr>
        <w:t>členskom štáte, na jeho individuálnom základe;</w:t>
      </w:r>
    </w:p>
    <w:p w14:paraId="5A27F1B2" w14:textId="039EF949" w:rsidR="005F0B3F" w:rsidRPr="004F01E9" w:rsidRDefault="005F0B3F" w:rsidP="00710772">
      <w:pPr>
        <w:pStyle w:val="Text2"/>
        <w:tabs>
          <w:tab w:val="left" w:pos="2552"/>
        </w:tabs>
        <w:rPr>
          <w:noProof/>
        </w:rPr>
      </w:pPr>
      <w:r w:rsidRPr="004F01E9">
        <w:rPr>
          <w:noProof/>
        </w:rPr>
        <w:t>x</w:t>
      </w:r>
      <w:r w:rsidRPr="004F01E9">
        <w:rPr>
          <w:noProof/>
        </w:rPr>
        <w:tab/>
        <w:t>= 72,5</w:t>
      </w:r>
      <w:r w:rsidR="004F01E9">
        <w:rPr>
          <w:noProof/>
        </w:rPr>
        <w:t> %</w:t>
      </w:r>
      <w:r w:rsidRPr="004F01E9">
        <w:rPr>
          <w:noProof/>
        </w:rPr>
        <w:t>;</w:t>
      </w:r>
    </w:p>
    <w:p w14:paraId="49702BC8" w14:textId="393EAD68" w:rsidR="005F0B3F" w:rsidRPr="004F01E9" w:rsidRDefault="005F0B3F" w:rsidP="005F0B3F">
      <w:pPr>
        <w:pStyle w:val="Text2"/>
        <w:rPr>
          <w:noProof/>
        </w:rPr>
      </w:pPr>
      <w:r w:rsidRPr="004F01E9">
        <w:rPr>
          <w:noProof/>
        </w:rPr>
        <w:t>7. Na výpočet celkovej hodnoty rizikovej expozície bez spodnej hranice uvedenej</w:t>
      </w:r>
      <w:r w:rsidR="004F01E9">
        <w:rPr>
          <w:noProof/>
        </w:rPr>
        <w:t xml:space="preserve"> v </w:t>
      </w:r>
      <w:r w:rsidRPr="004F01E9">
        <w:rPr>
          <w:noProof/>
        </w:rPr>
        <w:t>odseku 4</w:t>
      </w:r>
      <w:r w:rsidR="004F01E9">
        <w:rPr>
          <w:noProof/>
        </w:rPr>
        <w:t xml:space="preserve"> a </w:t>
      </w:r>
      <w:r w:rsidRPr="004F01E9">
        <w:rPr>
          <w:noProof/>
        </w:rPr>
        <w:t>štandardizovanej hodnoty rizikovej expozície uvedenej</w:t>
      </w:r>
      <w:r w:rsidR="004F01E9">
        <w:rPr>
          <w:noProof/>
        </w:rPr>
        <w:t xml:space="preserve"> v </w:t>
      </w:r>
      <w:r w:rsidRPr="004F01E9">
        <w:rPr>
          <w:noProof/>
        </w:rPr>
        <w:t>odseku 5 sa uplatňujú tieto ustanovenia:</w:t>
      </w:r>
    </w:p>
    <w:p w14:paraId="6F4C63A2" w14:textId="7907003D" w:rsidR="005F0B3F" w:rsidRPr="00922524" w:rsidRDefault="005F0B3F" w:rsidP="005F0B3F">
      <w:pPr>
        <w:pStyle w:val="Point2"/>
        <w:rPr>
          <w:noProof/>
          <w:spacing w:val="-6"/>
        </w:rPr>
      </w:pPr>
      <w:r w:rsidRPr="004F01E9">
        <w:rPr>
          <w:noProof/>
        </w:rPr>
        <w:t>a)</w:t>
      </w:r>
      <w:r w:rsidRPr="004F01E9">
        <w:rPr>
          <w:noProof/>
        </w:rPr>
        <w:tab/>
      </w:r>
      <w:r w:rsidRPr="00922524">
        <w:rPr>
          <w:noProof/>
          <w:spacing w:val="-6"/>
        </w:rPr>
        <w:t>požiadavky na vlastné zdroje uvedené</w:t>
      </w:r>
      <w:r w:rsidR="004F01E9" w:rsidRPr="00922524">
        <w:rPr>
          <w:noProof/>
          <w:spacing w:val="-6"/>
        </w:rPr>
        <w:t xml:space="preserve"> v </w:t>
      </w:r>
      <w:r w:rsidRPr="00922524">
        <w:rPr>
          <w:noProof/>
          <w:spacing w:val="-6"/>
        </w:rPr>
        <w:t>odseku 4 písm. c), ca), d)</w:t>
      </w:r>
      <w:r w:rsidR="004F01E9" w:rsidRPr="00922524">
        <w:rPr>
          <w:noProof/>
          <w:spacing w:val="-6"/>
        </w:rPr>
        <w:t xml:space="preserve"> a </w:t>
      </w:r>
      <w:r w:rsidRPr="00922524">
        <w:rPr>
          <w:noProof/>
          <w:spacing w:val="-6"/>
        </w:rPr>
        <w:t>e) zahŕňajú požiadavky vyplývajúce zo všetkých obchodných činností inštitúcie;</w:t>
      </w:r>
    </w:p>
    <w:p w14:paraId="60971EBB" w14:textId="7A86AE4E" w:rsidR="005F0B3F" w:rsidRPr="004F01E9" w:rsidRDefault="005F0B3F" w:rsidP="005F0B3F">
      <w:pPr>
        <w:pStyle w:val="Point2"/>
        <w:rPr>
          <w:noProof/>
        </w:rPr>
      </w:pPr>
      <w:r w:rsidRPr="004F01E9">
        <w:rPr>
          <w:noProof/>
        </w:rPr>
        <w:t>b)</w:t>
      </w:r>
      <w:r w:rsidRPr="004F01E9">
        <w:rPr>
          <w:noProof/>
        </w:rPr>
        <w:tab/>
        <w:t>inštitúcie vynásobia požiadavky na vlastné zdroje uvedené</w:t>
      </w:r>
      <w:r w:rsidR="004F01E9">
        <w:rPr>
          <w:noProof/>
        </w:rPr>
        <w:t xml:space="preserve"> v </w:t>
      </w:r>
      <w:r w:rsidRPr="004F01E9">
        <w:rPr>
          <w:noProof/>
        </w:rPr>
        <w:t>odseku 4 písm. b) až e) koeficientom 12,5.“</w:t>
      </w:r>
    </w:p>
    <w:p w14:paraId="2082E6E5" w14:textId="415125C1" w:rsidR="00B25B3A" w:rsidRPr="004F01E9" w:rsidRDefault="00B16452" w:rsidP="00B16452">
      <w:pPr>
        <w:pStyle w:val="Point0"/>
        <w:rPr>
          <w:noProof/>
        </w:rPr>
      </w:pPr>
      <w:r w:rsidRPr="00B16452">
        <w:rPr>
          <w:noProof/>
        </w:rPr>
        <w:t>24</w:t>
      </w:r>
      <w:r>
        <w:rPr>
          <w:noProof/>
        </w:rPr>
        <w:t>.</w:t>
      </w:r>
      <w:r w:rsidRPr="00B16452">
        <w:rPr>
          <w:noProof/>
        </w:rPr>
        <w:tab/>
      </w:r>
      <w:r w:rsidR="00B25B3A" w:rsidRPr="004F01E9">
        <w:rPr>
          <w:noProof/>
        </w:rPr>
        <w:t>V článku 92a ods. 1 sa písmeno a) nahrádza takto:</w:t>
      </w:r>
    </w:p>
    <w:p w14:paraId="58E09570" w14:textId="71908115" w:rsidR="00B25B3A" w:rsidRPr="004F01E9" w:rsidRDefault="00B25B3A" w:rsidP="00615061">
      <w:pPr>
        <w:pStyle w:val="Text1"/>
        <w:rPr>
          <w:noProof/>
        </w:rPr>
      </w:pPr>
      <w:r w:rsidRPr="004F01E9">
        <w:rPr>
          <w:noProof/>
        </w:rPr>
        <w:t>„a) rizikový pomer 18</w:t>
      </w:r>
      <w:r w:rsidR="004F01E9">
        <w:rPr>
          <w:noProof/>
        </w:rPr>
        <w:t> %</w:t>
      </w:r>
      <w:r w:rsidRPr="004F01E9">
        <w:rPr>
          <w:noProof/>
        </w:rPr>
        <w:t>, čo predstavuje vlastné zdroje</w:t>
      </w:r>
      <w:r w:rsidR="004F01E9">
        <w:rPr>
          <w:noProof/>
        </w:rPr>
        <w:t xml:space="preserve"> a </w:t>
      </w:r>
      <w:r w:rsidRPr="004F01E9">
        <w:rPr>
          <w:noProof/>
        </w:rPr>
        <w:t>oprávnené záväzky inštitúcie vyjadrené ako percentuálny podiel na celkovej hodnote rizikovej expozície vypočítanej</w:t>
      </w:r>
      <w:r w:rsidR="004F01E9">
        <w:rPr>
          <w:noProof/>
        </w:rPr>
        <w:t xml:space="preserve"> v </w:t>
      </w:r>
      <w:r w:rsidRPr="004F01E9">
        <w:rPr>
          <w:noProof/>
        </w:rPr>
        <w:t>súlade</w:t>
      </w:r>
      <w:r w:rsidR="004F01E9">
        <w:rPr>
          <w:noProof/>
        </w:rPr>
        <w:t xml:space="preserve"> s </w:t>
      </w:r>
      <w:r w:rsidRPr="004F01E9">
        <w:rPr>
          <w:noProof/>
        </w:rPr>
        <w:t>článkom 92 ods. 3;“.</w:t>
      </w:r>
    </w:p>
    <w:p w14:paraId="3AD1D702" w14:textId="4EFCBDE6" w:rsidR="00B25B3A" w:rsidRPr="004F01E9" w:rsidRDefault="00B16452" w:rsidP="00B16452">
      <w:pPr>
        <w:pStyle w:val="Point0"/>
        <w:rPr>
          <w:noProof/>
        </w:rPr>
      </w:pPr>
      <w:r w:rsidRPr="00B16452">
        <w:rPr>
          <w:noProof/>
        </w:rPr>
        <w:t>25</w:t>
      </w:r>
      <w:r>
        <w:rPr>
          <w:noProof/>
        </w:rPr>
        <w:t>.</w:t>
      </w:r>
      <w:r w:rsidRPr="00B16452">
        <w:rPr>
          <w:noProof/>
        </w:rPr>
        <w:tab/>
      </w:r>
      <w:r w:rsidR="00B25B3A" w:rsidRPr="004F01E9">
        <w:rPr>
          <w:noProof/>
        </w:rPr>
        <w:t>V článku 102 sa odsek 4 nahrádza takto:</w:t>
      </w:r>
    </w:p>
    <w:p w14:paraId="1F324218" w14:textId="46F0050C" w:rsidR="00B25B3A" w:rsidRPr="004F01E9" w:rsidRDefault="00B25B3A" w:rsidP="00B25B3A">
      <w:pPr>
        <w:pStyle w:val="Text1"/>
        <w:rPr>
          <w:noProof/>
        </w:rPr>
      </w:pPr>
      <w:r w:rsidRPr="004F01E9">
        <w:rPr>
          <w:noProof/>
        </w:rPr>
        <w:t>„4. Na účely výpočtu požiadaviek na vlastné zdroje pre trhové riziko</w:t>
      </w:r>
      <w:r w:rsidR="004F01E9">
        <w:rPr>
          <w:noProof/>
        </w:rPr>
        <w:t xml:space="preserve"> v </w:t>
      </w:r>
      <w:r w:rsidRPr="004F01E9">
        <w:rPr>
          <w:noProof/>
        </w:rPr>
        <w:t>súlade</w:t>
      </w:r>
      <w:r w:rsidR="004F01E9">
        <w:rPr>
          <w:noProof/>
        </w:rPr>
        <w:t xml:space="preserve"> s </w:t>
      </w:r>
      <w:r w:rsidRPr="004F01E9">
        <w:rPr>
          <w:noProof/>
        </w:rPr>
        <w:t>prístupom uvedeným</w:t>
      </w:r>
      <w:r w:rsidR="004F01E9">
        <w:rPr>
          <w:noProof/>
        </w:rPr>
        <w:t xml:space="preserve"> v </w:t>
      </w:r>
      <w:r w:rsidRPr="004F01E9">
        <w:rPr>
          <w:noProof/>
        </w:rPr>
        <w:t>článku 325 ods. 1 písm. b) sa pozície</w:t>
      </w:r>
      <w:r w:rsidR="004F01E9">
        <w:rPr>
          <w:noProof/>
        </w:rPr>
        <w:t xml:space="preserve"> v </w:t>
      </w:r>
      <w:r w:rsidRPr="004F01E9">
        <w:rPr>
          <w:noProof/>
        </w:rPr>
        <w:t>obchodnej knihe priraďujú</w:t>
      </w:r>
      <w:r w:rsidR="004F01E9">
        <w:rPr>
          <w:noProof/>
        </w:rPr>
        <w:t xml:space="preserve"> k </w:t>
      </w:r>
      <w:r w:rsidRPr="004F01E9">
        <w:rPr>
          <w:noProof/>
        </w:rPr>
        <w:t>trading deskom zriadeným</w:t>
      </w:r>
      <w:r w:rsidR="004F01E9">
        <w:rPr>
          <w:noProof/>
        </w:rPr>
        <w:t xml:space="preserve"> v </w:t>
      </w:r>
      <w:r w:rsidRPr="004F01E9">
        <w:rPr>
          <w:noProof/>
        </w:rPr>
        <w:t>súlade</w:t>
      </w:r>
      <w:r w:rsidR="004F01E9">
        <w:rPr>
          <w:noProof/>
        </w:rPr>
        <w:t xml:space="preserve"> s </w:t>
      </w:r>
      <w:r w:rsidRPr="004F01E9">
        <w:rPr>
          <w:noProof/>
        </w:rPr>
        <w:t>článkom 104b.“</w:t>
      </w:r>
    </w:p>
    <w:p w14:paraId="661E4871" w14:textId="3F0F3FA2" w:rsidR="00B25B3A" w:rsidRPr="004F01E9" w:rsidRDefault="00B16452" w:rsidP="00B16452">
      <w:pPr>
        <w:pStyle w:val="Point0"/>
        <w:rPr>
          <w:noProof/>
        </w:rPr>
      </w:pPr>
      <w:r w:rsidRPr="00B16452">
        <w:rPr>
          <w:noProof/>
        </w:rPr>
        <w:t>26</w:t>
      </w:r>
      <w:r>
        <w:rPr>
          <w:noProof/>
        </w:rPr>
        <w:t>.</w:t>
      </w:r>
      <w:r w:rsidRPr="00B16452">
        <w:rPr>
          <w:noProof/>
        </w:rPr>
        <w:tab/>
      </w:r>
      <w:r w:rsidR="00B25B3A" w:rsidRPr="004F01E9">
        <w:rPr>
          <w:noProof/>
        </w:rPr>
        <w:t>Článok 104 sa nahrádza takto:</w:t>
      </w:r>
    </w:p>
    <w:p w14:paraId="023131B4" w14:textId="77777777" w:rsidR="00806B81" w:rsidRPr="004F01E9" w:rsidRDefault="00B25B3A" w:rsidP="00B25B3A">
      <w:pPr>
        <w:pStyle w:val="Titrearticle"/>
        <w:spacing w:before="120"/>
        <w:rPr>
          <w:b/>
          <w:i w:val="0"/>
          <w:noProof/>
        </w:rPr>
      </w:pPr>
      <w:r w:rsidRPr="004F01E9">
        <w:rPr>
          <w:noProof/>
        </w:rPr>
        <w:t xml:space="preserve">„Článok 104 </w:t>
      </w:r>
      <w:r w:rsidRPr="004F01E9">
        <w:rPr>
          <w:noProof/>
        </w:rPr>
        <w:br/>
      </w:r>
      <w:r w:rsidRPr="004F01E9">
        <w:rPr>
          <w:b/>
          <w:i w:val="0"/>
          <w:noProof/>
        </w:rPr>
        <w:t>Zahrnutie do obchodnej knihy</w:t>
      </w:r>
    </w:p>
    <w:p w14:paraId="12DB3FAC" w14:textId="02A26579" w:rsidR="00806B81" w:rsidRPr="004F01E9" w:rsidRDefault="00B25B3A" w:rsidP="00B25B3A">
      <w:pPr>
        <w:pStyle w:val="Text1"/>
        <w:rPr>
          <w:noProof/>
        </w:rPr>
      </w:pPr>
      <w:r w:rsidRPr="004F01E9">
        <w:rPr>
          <w:noProof/>
        </w:rPr>
        <w:t>1. Inštitúcia musí mať zavedené presne vymedzené stratégie</w:t>
      </w:r>
      <w:r w:rsidR="004F01E9">
        <w:rPr>
          <w:noProof/>
        </w:rPr>
        <w:t xml:space="preserve"> a </w:t>
      </w:r>
      <w:r w:rsidRPr="004F01E9">
        <w:rPr>
          <w:noProof/>
        </w:rPr>
        <w:t>postupy na určovanie pozícií, ktoré sa majú zahrnúť do obchodnej knihy na výpočet ich požiadaviek na vlastné zdroje</w:t>
      </w:r>
      <w:r w:rsidR="004F01E9">
        <w:rPr>
          <w:noProof/>
        </w:rPr>
        <w:t xml:space="preserve"> v </w:t>
      </w:r>
      <w:r w:rsidRPr="004F01E9">
        <w:rPr>
          <w:noProof/>
        </w:rPr>
        <w:t>súlade</w:t>
      </w:r>
      <w:r w:rsidR="004F01E9">
        <w:rPr>
          <w:noProof/>
        </w:rPr>
        <w:t xml:space="preserve"> s </w:t>
      </w:r>
      <w:r w:rsidRPr="004F01E9">
        <w:rPr>
          <w:noProof/>
        </w:rPr>
        <w:t>článkom 102</w:t>
      </w:r>
      <w:r w:rsidR="004F01E9">
        <w:rPr>
          <w:noProof/>
        </w:rPr>
        <w:t xml:space="preserve"> a </w:t>
      </w:r>
      <w:r w:rsidRPr="004F01E9">
        <w:rPr>
          <w:noProof/>
        </w:rPr>
        <w:t>týmto článkom, berúc do úvahy schopnosti</w:t>
      </w:r>
      <w:r w:rsidR="004F01E9">
        <w:rPr>
          <w:noProof/>
        </w:rPr>
        <w:t xml:space="preserve"> a </w:t>
      </w:r>
      <w:r w:rsidRPr="004F01E9">
        <w:rPr>
          <w:noProof/>
        </w:rPr>
        <w:t>prax riadenia rizík danej inštitúcie. Inštitúcia plne dokumentuje dodržiavanie uvedených stratégií</w:t>
      </w:r>
      <w:r w:rsidR="004F01E9">
        <w:rPr>
          <w:noProof/>
        </w:rPr>
        <w:t xml:space="preserve"> a </w:t>
      </w:r>
      <w:r w:rsidRPr="004F01E9">
        <w:rPr>
          <w:noProof/>
        </w:rPr>
        <w:t>postupov, minimálne raz ročne ich podrobuje internému auditu</w:t>
      </w:r>
      <w:r w:rsidR="004F01E9">
        <w:rPr>
          <w:noProof/>
        </w:rPr>
        <w:t xml:space="preserve"> a </w:t>
      </w:r>
      <w:r w:rsidRPr="004F01E9">
        <w:rPr>
          <w:noProof/>
        </w:rPr>
        <w:t>výsledky uvedeného auditu dáva</w:t>
      </w:r>
      <w:r w:rsidR="004F01E9">
        <w:rPr>
          <w:noProof/>
        </w:rPr>
        <w:t xml:space="preserve"> k </w:t>
      </w:r>
      <w:r w:rsidRPr="004F01E9">
        <w:rPr>
          <w:noProof/>
        </w:rPr>
        <w:t>dispozícii príslušným orgánom.</w:t>
      </w:r>
    </w:p>
    <w:p w14:paraId="0362F898" w14:textId="60F8FC00" w:rsidR="00B25B3A" w:rsidRPr="004F01E9" w:rsidRDefault="00B25B3A" w:rsidP="00B25B3A">
      <w:pPr>
        <w:pStyle w:val="Text1"/>
        <w:rPr>
          <w:noProof/>
        </w:rPr>
      </w:pPr>
      <w:r w:rsidRPr="004F01E9">
        <w:rPr>
          <w:noProof/>
        </w:rPr>
        <w:t>2. Inštitúcie priraďujú do obchodnej knihy pozície</w:t>
      </w:r>
      <w:r w:rsidR="004F01E9">
        <w:rPr>
          <w:noProof/>
        </w:rPr>
        <w:t xml:space="preserve"> v </w:t>
      </w:r>
      <w:r w:rsidRPr="004F01E9">
        <w:rPr>
          <w:noProof/>
        </w:rPr>
        <w:t>týchto nástrojoch:</w:t>
      </w:r>
    </w:p>
    <w:p w14:paraId="06E7807E" w14:textId="5C1AA9D0" w:rsidR="00B25B3A" w:rsidRPr="004F01E9" w:rsidRDefault="00B25B3A" w:rsidP="00B25B3A">
      <w:pPr>
        <w:pStyle w:val="Point1"/>
        <w:rPr>
          <w:noProof/>
        </w:rPr>
      </w:pPr>
      <w:r w:rsidRPr="004F01E9">
        <w:rPr>
          <w:noProof/>
        </w:rPr>
        <w:t>a)</w:t>
      </w:r>
      <w:r w:rsidRPr="004F01E9">
        <w:rPr>
          <w:noProof/>
        </w:rPr>
        <w:tab/>
        <w:t>nástrojoch, ktoré spĺňajú kritériá stanovené</w:t>
      </w:r>
      <w:r w:rsidR="004F01E9">
        <w:rPr>
          <w:noProof/>
        </w:rPr>
        <w:t xml:space="preserve"> v </w:t>
      </w:r>
      <w:r w:rsidRPr="004F01E9">
        <w:rPr>
          <w:noProof/>
        </w:rPr>
        <w:t>článku 325 ods. 6, 7</w:t>
      </w:r>
      <w:r w:rsidR="004F01E9">
        <w:rPr>
          <w:noProof/>
        </w:rPr>
        <w:t xml:space="preserve"> a </w:t>
      </w:r>
      <w:r w:rsidRPr="004F01E9">
        <w:rPr>
          <w:noProof/>
        </w:rPr>
        <w:t>8 na zahrnutie do alternatívneho korelačného obchodného portfólia („ACTP“);</w:t>
      </w:r>
    </w:p>
    <w:p w14:paraId="7A3907C2" w14:textId="6B97E6AF" w:rsidR="00B25B3A" w:rsidRPr="004F01E9" w:rsidRDefault="00B25B3A" w:rsidP="00B25B3A">
      <w:pPr>
        <w:pStyle w:val="Point1"/>
        <w:rPr>
          <w:noProof/>
        </w:rPr>
      </w:pPr>
      <w:r w:rsidRPr="004F01E9">
        <w:rPr>
          <w:noProof/>
        </w:rPr>
        <w:t>b)</w:t>
      </w:r>
      <w:r w:rsidRPr="004F01E9">
        <w:rPr>
          <w:noProof/>
        </w:rPr>
        <w:tab/>
        <w:t>nástrojoch, ktoré by viedli</w:t>
      </w:r>
      <w:r w:rsidR="004F01E9">
        <w:rPr>
          <w:noProof/>
        </w:rPr>
        <w:t xml:space="preserve"> k </w:t>
      </w:r>
      <w:r w:rsidRPr="004F01E9">
        <w:rPr>
          <w:noProof/>
        </w:rPr>
        <w:t>čistej krátkej kreditnej alebo akciovej pozícii</w:t>
      </w:r>
      <w:r w:rsidR="004F01E9">
        <w:rPr>
          <w:noProof/>
        </w:rPr>
        <w:t xml:space="preserve"> v </w:t>
      </w:r>
      <w:r w:rsidRPr="004F01E9">
        <w:rPr>
          <w:noProof/>
        </w:rPr>
        <w:t>neobchodnej knihe,</w:t>
      </w:r>
      <w:r w:rsidR="004F01E9">
        <w:rPr>
          <w:noProof/>
        </w:rPr>
        <w:t xml:space="preserve"> s </w:t>
      </w:r>
      <w:r w:rsidRPr="004F01E9">
        <w:rPr>
          <w:noProof/>
        </w:rPr>
        <w:t>výnimkou vlastných záväzkov inštitúcie, pokiaľ takéto pozície nespĺňajú kritériá uvedené</w:t>
      </w:r>
      <w:r w:rsidR="004F01E9">
        <w:rPr>
          <w:noProof/>
        </w:rPr>
        <w:t xml:space="preserve"> v </w:t>
      </w:r>
      <w:r w:rsidRPr="004F01E9">
        <w:rPr>
          <w:noProof/>
        </w:rPr>
        <w:t>odseku 2 písm. e);</w:t>
      </w:r>
    </w:p>
    <w:p w14:paraId="78EBA133" w14:textId="424FD02C" w:rsidR="00B25B3A" w:rsidRPr="004F01E9" w:rsidRDefault="00B25B3A" w:rsidP="00B25B3A">
      <w:pPr>
        <w:pStyle w:val="Point1"/>
        <w:rPr>
          <w:noProof/>
        </w:rPr>
      </w:pPr>
      <w:r w:rsidRPr="004F01E9">
        <w:rPr>
          <w:noProof/>
        </w:rPr>
        <w:t>c)</w:t>
      </w:r>
      <w:r w:rsidRPr="004F01E9">
        <w:rPr>
          <w:noProof/>
        </w:rPr>
        <w:tab/>
        <w:t>nástrojoch vyplývajúcich</w:t>
      </w:r>
      <w:r w:rsidR="004F01E9">
        <w:rPr>
          <w:noProof/>
        </w:rPr>
        <w:t xml:space="preserve"> z </w:t>
      </w:r>
      <w:r w:rsidRPr="004F01E9">
        <w:rPr>
          <w:noProof/>
        </w:rPr>
        <w:t>prísľubov na upisovanie cenných papierov, ak sa tieto upisovacie prísľuby týkajú len cenných papierov, pri ktorých sa očakáva, že ich inštitúcia skutočne kúpi</w:t>
      </w:r>
      <w:r w:rsidR="004F01E9">
        <w:rPr>
          <w:noProof/>
        </w:rPr>
        <w:t xml:space="preserve"> k </w:t>
      </w:r>
      <w:r w:rsidRPr="004F01E9">
        <w:rPr>
          <w:noProof/>
        </w:rPr>
        <w:t>dátumu vyrovnania;</w:t>
      </w:r>
    </w:p>
    <w:p w14:paraId="289F9A4A" w14:textId="26CE6D8D" w:rsidR="00932F67" w:rsidRPr="004F01E9" w:rsidRDefault="00B25B3A" w:rsidP="00B25B3A">
      <w:pPr>
        <w:pStyle w:val="Point1"/>
        <w:rPr>
          <w:noProof/>
        </w:rPr>
      </w:pPr>
      <w:r w:rsidRPr="004F01E9">
        <w:rPr>
          <w:noProof/>
        </w:rPr>
        <w:t>d)</w:t>
      </w:r>
      <w:r w:rsidRPr="004F01E9">
        <w:rPr>
          <w:noProof/>
        </w:rPr>
        <w:tab/>
        <w:t>finančných aktívach alebo záväzkoch, ktoré sú jednoznačne klasifikované ako finančné aktíva alebo záväzky na účely obchodovania podľa účtovného rámca uplatniteľného na inštitúciu;</w:t>
      </w:r>
    </w:p>
    <w:p w14:paraId="0402012C" w14:textId="02ACBCC6" w:rsidR="00B25B3A" w:rsidRPr="004F01E9" w:rsidRDefault="00B25B3A" w:rsidP="00B25B3A">
      <w:pPr>
        <w:pStyle w:val="Point1"/>
        <w:rPr>
          <w:noProof/>
        </w:rPr>
      </w:pPr>
      <w:r w:rsidRPr="004F01E9">
        <w:rPr>
          <w:noProof/>
        </w:rPr>
        <w:t>e)</w:t>
      </w:r>
      <w:r w:rsidRPr="004F01E9">
        <w:rPr>
          <w:noProof/>
        </w:rPr>
        <w:tab/>
        <w:t>nástrojoch, ktoré vyplývajú</w:t>
      </w:r>
      <w:r w:rsidR="004F01E9">
        <w:rPr>
          <w:noProof/>
        </w:rPr>
        <w:t xml:space="preserve"> z </w:t>
      </w:r>
      <w:r w:rsidRPr="004F01E9">
        <w:rPr>
          <w:noProof/>
        </w:rPr>
        <w:t>činnosti tvorby trhu;</w:t>
      </w:r>
    </w:p>
    <w:p w14:paraId="5BF3AD2E" w14:textId="296536AE" w:rsidR="00B25B3A" w:rsidRPr="004F01E9" w:rsidRDefault="00B25B3A" w:rsidP="00B25B3A">
      <w:pPr>
        <w:pStyle w:val="Point1"/>
        <w:rPr>
          <w:noProof/>
        </w:rPr>
      </w:pPr>
      <w:r w:rsidRPr="004F01E9">
        <w:rPr>
          <w:noProof/>
        </w:rPr>
        <w:t>f)</w:t>
      </w:r>
      <w:r w:rsidRPr="004F01E9">
        <w:rPr>
          <w:noProof/>
        </w:rPr>
        <w:tab/>
        <w:t>podnikoch kolektívneho investovania držaných</w:t>
      </w:r>
      <w:r w:rsidR="004F01E9">
        <w:rPr>
          <w:noProof/>
        </w:rPr>
        <w:t xml:space="preserve"> s </w:t>
      </w:r>
      <w:r w:rsidRPr="004F01E9">
        <w:rPr>
          <w:noProof/>
        </w:rPr>
        <w:t>úmyslom obchodovania za predpokladu, že tieto podniky kolektívneho investovania spĺňajú aspoň jednu</w:t>
      </w:r>
      <w:r w:rsidR="004F01E9">
        <w:rPr>
          <w:noProof/>
        </w:rPr>
        <w:t xml:space="preserve"> z </w:t>
      </w:r>
      <w:r w:rsidRPr="004F01E9">
        <w:rPr>
          <w:noProof/>
        </w:rPr>
        <w:t>podmienok uvedených</w:t>
      </w:r>
      <w:r w:rsidR="004F01E9">
        <w:rPr>
          <w:noProof/>
        </w:rPr>
        <w:t xml:space="preserve"> v </w:t>
      </w:r>
      <w:r w:rsidRPr="004F01E9">
        <w:rPr>
          <w:noProof/>
        </w:rPr>
        <w:t>odseku 7;</w:t>
      </w:r>
    </w:p>
    <w:p w14:paraId="7F0F856A" w14:textId="43732A87" w:rsidR="00932F67" w:rsidRPr="004F01E9" w:rsidRDefault="00B25B3A" w:rsidP="00B25B3A">
      <w:pPr>
        <w:pStyle w:val="Point1"/>
        <w:rPr>
          <w:noProof/>
        </w:rPr>
      </w:pPr>
      <w:r w:rsidRPr="004F01E9">
        <w:rPr>
          <w:noProof/>
        </w:rPr>
        <w:t>g)</w:t>
      </w:r>
      <w:r w:rsidRPr="004F01E9">
        <w:rPr>
          <w:noProof/>
        </w:rPr>
        <w:tab/>
        <w:t>kótovaných kapitálových cenných papieroch;</w:t>
      </w:r>
    </w:p>
    <w:p w14:paraId="10531AEC" w14:textId="55CE57C1" w:rsidR="00B25B3A" w:rsidRPr="004F01E9" w:rsidRDefault="00B25B3A" w:rsidP="00B25B3A">
      <w:pPr>
        <w:pStyle w:val="Point1"/>
        <w:rPr>
          <w:noProof/>
        </w:rPr>
      </w:pPr>
      <w:r w:rsidRPr="004F01E9">
        <w:rPr>
          <w:noProof/>
        </w:rPr>
        <w:t>h)</w:t>
      </w:r>
      <w:r w:rsidRPr="004F01E9">
        <w:rPr>
          <w:noProof/>
        </w:rPr>
        <w:tab/>
        <w:t>transakciách financovania prostredníctvom cenných papierov súvisiacich</w:t>
      </w:r>
      <w:r w:rsidR="004F01E9">
        <w:rPr>
          <w:noProof/>
        </w:rPr>
        <w:t xml:space="preserve"> s </w:t>
      </w:r>
      <w:r w:rsidRPr="004F01E9">
        <w:rPr>
          <w:noProof/>
        </w:rPr>
        <w:t>obchodovaním;</w:t>
      </w:r>
    </w:p>
    <w:p w14:paraId="5F3C8DEC" w14:textId="3FBC85AB" w:rsidR="00B25B3A" w:rsidRPr="004F01E9" w:rsidRDefault="00B25B3A" w:rsidP="00B25B3A">
      <w:pPr>
        <w:pStyle w:val="Point1"/>
        <w:rPr>
          <w:noProof/>
        </w:rPr>
      </w:pPr>
      <w:r w:rsidRPr="004F01E9">
        <w:rPr>
          <w:noProof/>
        </w:rPr>
        <w:t>i)</w:t>
      </w:r>
      <w:r w:rsidRPr="004F01E9">
        <w:rPr>
          <w:noProof/>
        </w:rPr>
        <w:tab/>
        <w:t>opciách alebo iných derivátoch vložených do vlastných záväzkov inštitúcie alebo</w:t>
      </w:r>
      <w:r w:rsidR="004F01E9">
        <w:rPr>
          <w:noProof/>
        </w:rPr>
        <w:t xml:space="preserve"> z </w:t>
      </w:r>
      <w:r w:rsidRPr="004F01E9">
        <w:rPr>
          <w:noProof/>
        </w:rPr>
        <w:t>iných nástrojov</w:t>
      </w:r>
      <w:r w:rsidR="004F01E9">
        <w:rPr>
          <w:noProof/>
        </w:rPr>
        <w:t xml:space="preserve"> v </w:t>
      </w:r>
      <w:r w:rsidRPr="004F01E9">
        <w:rPr>
          <w:noProof/>
        </w:rPr>
        <w:t>neobchodnej knihe, ktoré súvisia</w:t>
      </w:r>
      <w:r w:rsidR="004F01E9">
        <w:rPr>
          <w:noProof/>
        </w:rPr>
        <w:t xml:space="preserve"> s </w:t>
      </w:r>
      <w:r w:rsidRPr="004F01E9">
        <w:rPr>
          <w:noProof/>
        </w:rPr>
        <w:t>kreditným alebo akciovým rizikom.</w:t>
      </w:r>
    </w:p>
    <w:p w14:paraId="311D8DCC" w14:textId="38F5BD7B" w:rsidR="00B25B3A" w:rsidRPr="004F01E9" w:rsidRDefault="00B25B3A" w:rsidP="00B25B3A">
      <w:pPr>
        <w:pStyle w:val="Text1"/>
        <w:rPr>
          <w:noProof/>
        </w:rPr>
      </w:pPr>
      <w:r w:rsidRPr="004F01E9">
        <w:rPr>
          <w:noProof/>
        </w:rPr>
        <w:t>Na účely písmena b) musí mať inštitúcia čistú krátku akciovú pozíciu vtedy, keď zníženie ceny akcií prinesie inštitúcii zisk. Inštitúcia musí mať čistú krátku kreditnú pozíciu vtedy, keď zvýšenie kreditného rozpätia alebo zhoršenie úverovej bonity emitenta alebo skupiny emitentov prinesie inštitúcii zisk. Inštitúcie priebežne monitorujú, keď nástroje vedú</w:t>
      </w:r>
      <w:r w:rsidR="004F01E9">
        <w:rPr>
          <w:noProof/>
        </w:rPr>
        <w:t xml:space="preserve"> k </w:t>
      </w:r>
      <w:r w:rsidRPr="004F01E9">
        <w:rPr>
          <w:noProof/>
        </w:rPr>
        <w:t>vzniku čistej krátkej kreditnej alebo akciovej pozície</w:t>
      </w:r>
      <w:r w:rsidR="004F01E9">
        <w:rPr>
          <w:noProof/>
        </w:rPr>
        <w:t xml:space="preserve"> v </w:t>
      </w:r>
      <w:r w:rsidRPr="004F01E9">
        <w:rPr>
          <w:noProof/>
        </w:rPr>
        <w:t>neobchodnej knihe.</w:t>
      </w:r>
    </w:p>
    <w:p w14:paraId="55D596A3" w14:textId="1C6BA1FC" w:rsidR="00B25B3A" w:rsidRPr="004F01E9" w:rsidRDefault="00B25B3A" w:rsidP="00B25B3A">
      <w:pPr>
        <w:pStyle w:val="Text1"/>
        <w:rPr>
          <w:noProof/>
        </w:rPr>
      </w:pPr>
      <w:r w:rsidRPr="004F01E9">
        <w:rPr>
          <w:noProof/>
        </w:rPr>
        <w:t>Inštitúcia odčleňuje na účely písmena i) vloženú opciu od svojho vlastného záväzku alebo od iného nástroja</w:t>
      </w:r>
      <w:r w:rsidR="004F01E9">
        <w:rPr>
          <w:noProof/>
        </w:rPr>
        <w:t xml:space="preserve"> v </w:t>
      </w:r>
      <w:r w:rsidRPr="004F01E9">
        <w:rPr>
          <w:noProof/>
        </w:rPr>
        <w:t>neobchodnej knihe, ktoré sa týkajú kreditného alebo akciového rizika,</w:t>
      </w:r>
      <w:r w:rsidR="004F01E9">
        <w:rPr>
          <w:noProof/>
        </w:rPr>
        <w:t xml:space="preserve"> a </w:t>
      </w:r>
      <w:r w:rsidRPr="004F01E9">
        <w:rPr>
          <w:noProof/>
        </w:rPr>
        <w:t>podľa potreby priraďuje vlastný záväzok alebo iný nástroj do obchodnej alebo neobchodnej knihy</w:t>
      </w:r>
      <w:r w:rsidR="004F01E9">
        <w:rPr>
          <w:noProof/>
        </w:rPr>
        <w:t xml:space="preserve"> v </w:t>
      </w:r>
      <w:r w:rsidRPr="004F01E9">
        <w:rPr>
          <w:noProof/>
        </w:rPr>
        <w:t>súlade</w:t>
      </w:r>
      <w:r w:rsidR="004F01E9">
        <w:rPr>
          <w:noProof/>
        </w:rPr>
        <w:t xml:space="preserve"> s </w:t>
      </w:r>
      <w:r w:rsidRPr="004F01E9">
        <w:rPr>
          <w:noProof/>
        </w:rPr>
        <w:t>týmto článkom.</w:t>
      </w:r>
    </w:p>
    <w:p w14:paraId="7E00C8A6" w14:textId="09830228" w:rsidR="00B25B3A" w:rsidRPr="004F01E9" w:rsidRDefault="00B25B3A" w:rsidP="00B25B3A">
      <w:pPr>
        <w:pStyle w:val="Text1"/>
        <w:rPr>
          <w:noProof/>
        </w:rPr>
      </w:pPr>
      <w:r w:rsidRPr="004F01E9">
        <w:rPr>
          <w:noProof/>
        </w:rPr>
        <w:t>3. Inštitúcie nesmú priraďovať do obchodnej knihy pozície</w:t>
      </w:r>
      <w:r w:rsidR="004F01E9">
        <w:rPr>
          <w:noProof/>
        </w:rPr>
        <w:t xml:space="preserve"> v </w:t>
      </w:r>
      <w:r w:rsidRPr="004F01E9">
        <w:rPr>
          <w:noProof/>
        </w:rPr>
        <w:t>týchto nástrojoch:</w:t>
      </w:r>
    </w:p>
    <w:p w14:paraId="7F1E758C" w14:textId="77777777" w:rsidR="00B25B3A" w:rsidRPr="004F01E9" w:rsidRDefault="00B25B3A" w:rsidP="00B25B3A">
      <w:pPr>
        <w:pStyle w:val="Point1"/>
        <w:rPr>
          <w:noProof/>
        </w:rPr>
      </w:pPr>
      <w:r w:rsidRPr="004F01E9">
        <w:rPr>
          <w:noProof/>
        </w:rPr>
        <w:t>a)</w:t>
      </w:r>
      <w:r w:rsidRPr="004F01E9">
        <w:rPr>
          <w:noProof/>
        </w:rPr>
        <w:tab/>
        <w:t>nástrojoch určených na sekuritizačné skladovanie;</w:t>
      </w:r>
    </w:p>
    <w:p w14:paraId="4E9075C4" w14:textId="77777777" w:rsidR="00B25B3A" w:rsidRPr="004F01E9" w:rsidRDefault="00B25B3A" w:rsidP="00B25B3A">
      <w:pPr>
        <w:pStyle w:val="Point1"/>
        <w:rPr>
          <w:noProof/>
        </w:rPr>
      </w:pPr>
      <w:r w:rsidRPr="004F01E9">
        <w:rPr>
          <w:noProof/>
        </w:rPr>
        <w:t>b)</w:t>
      </w:r>
      <w:r w:rsidRPr="004F01E9">
        <w:rPr>
          <w:noProof/>
        </w:rPr>
        <w:tab/>
        <w:t>nástrojoch týkajúcich sa podielov na nehnuteľnostiach;</w:t>
      </w:r>
    </w:p>
    <w:p w14:paraId="1702CE6D" w14:textId="77777777" w:rsidR="00B25B3A" w:rsidRPr="004F01E9" w:rsidRDefault="00B25B3A" w:rsidP="00B25B3A">
      <w:pPr>
        <w:pStyle w:val="Point1"/>
        <w:rPr>
          <w:noProof/>
        </w:rPr>
      </w:pPr>
      <w:r w:rsidRPr="004F01E9">
        <w:rPr>
          <w:noProof/>
        </w:rPr>
        <w:t>c)</w:t>
      </w:r>
      <w:r w:rsidRPr="004F01E9">
        <w:rPr>
          <w:noProof/>
        </w:rPr>
        <w:tab/>
        <w:t>nekótovaných akciách;</w:t>
      </w:r>
    </w:p>
    <w:p w14:paraId="61B5E67D" w14:textId="6239FB85" w:rsidR="00B25B3A" w:rsidRPr="004F01E9" w:rsidRDefault="00B25B3A" w:rsidP="00B25B3A">
      <w:pPr>
        <w:pStyle w:val="Point1"/>
        <w:rPr>
          <w:noProof/>
        </w:rPr>
      </w:pPr>
      <w:r w:rsidRPr="004F01E9">
        <w:rPr>
          <w:noProof/>
        </w:rPr>
        <w:t>d)</w:t>
      </w:r>
      <w:r w:rsidRPr="004F01E9">
        <w:rPr>
          <w:noProof/>
        </w:rPr>
        <w:tab/>
        <w:t>retailových nástrojoch</w:t>
      </w:r>
      <w:r w:rsidR="004F01E9">
        <w:rPr>
          <w:noProof/>
        </w:rPr>
        <w:t xml:space="preserve"> a </w:t>
      </w:r>
      <w:r w:rsidRPr="004F01E9">
        <w:rPr>
          <w:noProof/>
        </w:rPr>
        <w:t>nástrojoch súvisiacich</w:t>
      </w:r>
      <w:r w:rsidR="004F01E9">
        <w:rPr>
          <w:noProof/>
        </w:rPr>
        <w:t xml:space="preserve"> s </w:t>
      </w:r>
      <w:r w:rsidRPr="004F01E9">
        <w:rPr>
          <w:noProof/>
        </w:rPr>
        <w:t>úvermi MSP;</w:t>
      </w:r>
    </w:p>
    <w:p w14:paraId="1A5840C6" w14:textId="6463E85D" w:rsidR="00B25B3A" w:rsidRPr="004F01E9" w:rsidRDefault="00B25B3A" w:rsidP="00B25B3A">
      <w:pPr>
        <w:pStyle w:val="Point1"/>
        <w:rPr>
          <w:noProof/>
        </w:rPr>
      </w:pPr>
      <w:r w:rsidRPr="004F01E9">
        <w:rPr>
          <w:noProof/>
        </w:rPr>
        <w:t>e)</w:t>
      </w:r>
      <w:r w:rsidRPr="004F01E9">
        <w:rPr>
          <w:noProof/>
        </w:rPr>
        <w:tab/>
        <w:t>iných podnikoch kolektívneho investovania ako tých, ktoré sú uvedené</w:t>
      </w:r>
      <w:r w:rsidR="004F01E9">
        <w:rPr>
          <w:noProof/>
        </w:rPr>
        <w:t xml:space="preserve"> v </w:t>
      </w:r>
      <w:r w:rsidRPr="004F01E9">
        <w:rPr>
          <w:noProof/>
        </w:rPr>
        <w:t>odseku 2 písm. f);</w:t>
      </w:r>
    </w:p>
    <w:p w14:paraId="46B9ACF8" w14:textId="0744026A" w:rsidR="00B25B3A" w:rsidRPr="004F01E9" w:rsidRDefault="00B25B3A" w:rsidP="00B25B3A">
      <w:pPr>
        <w:pStyle w:val="Point1"/>
        <w:rPr>
          <w:noProof/>
        </w:rPr>
      </w:pPr>
      <w:r w:rsidRPr="004F01E9">
        <w:rPr>
          <w:noProof/>
        </w:rPr>
        <w:t>f)</w:t>
      </w:r>
      <w:r w:rsidRPr="004F01E9">
        <w:rPr>
          <w:noProof/>
        </w:rPr>
        <w:tab/>
        <w:t>zmluvách</w:t>
      </w:r>
      <w:r w:rsidR="004F01E9">
        <w:rPr>
          <w:noProof/>
        </w:rPr>
        <w:t xml:space="preserve"> o </w:t>
      </w:r>
      <w:r w:rsidRPr="004F01E9">
        <w:rPr>
          <w:noProof/>
        </w:rPr>
        <w:t>derivátoch</w:t>
      </w:r>
      <w:r w:rsidR="004F01E9">
        <w:rPr>
          <w:noProof/>
        </w:rPr>
        <w:t xml:space="preserve"> a </w:t>
      </w:r>
      <w:r w:rsidRPr="004F01E9">
        <w:rPr>
          <w:noProof/>
        </w:rPr>
        <w:t>podnikoch kolektívneho investovania</w:t>
      </w:r>
      <w:r w:rsidR="004F01E9">
        <w:rPr>
          <w:noProof/>
        </w:rPr>
        <w:t xml:space="preserve"> s </w:t>
      </w:r>
      <w:r w:rsidRPr="004F01E9">
        <w:rPr>
          <w:noProof/>
        </w:rPr>
        <w:t>jedným alebo viacerými podkladovými nástrojmi uvedenými</w:t>
      </w:r>
      <w:r w:rsidR="004F01E9">
        <w:rPr>
          <w:noProof/>
        </w:rPr>
        <w:t xml:space="preserve"> v </w:t>
      </w:r>
      <w:r w:rsidRPr="004F01E9">
        <w:rPr>
          <w:noProof/>
        </w:rPr>
        <w:t>písmenách a) až d);</w:t>
      </w:r>
    </w:p>
    <w:p w14:paraId="5C2D730B" w14:textId="29C0FA28" w:rsidR="00B25B3A" w:rsidRPr="004F01E9" w:rsidRDefault="00B25B3A" w:rsidP="00B25B3A">
      <w:pPr>
        <w:pStyle w:val="Point1"/>
        <w:rPr>
          <w:noProof/>
        </w:rPr>
      </w:pPr>
      <w:r w:rsidRPr="004F01E9">
        <w:rPr>
          <w:noProof/>
        </w:rPr>
        <w:t>g)</w:t>
      </w:r>
      <w:r w:rsidRPr="004F01E9">
        <w:rPr>
          <w:noProof/>
        </w:rPr>
        <w:tab/>
        <w:t>nástrojoch držaných na hedžovanie konkrétneho rizika jednej alebo viacerých pozícií</w:t>
      </w:r>
      <w:r w:rsidR="004F01E9">
        <w:rPr>
          <w:noProof/>
        </w:rPr>
        <w:t xml:space="preserve"> v </w:t>
      </w:r>
      <w:r w:rsidRPr="004F01E9">
        <w:rPr>
          <w:noProof/>
        </w:rPr>
        <w:t>nástroji uvedenom</w:t>
      </w:r>
      <w:r w:rsidR="004F01E9">
        <w:rPr>
          <w:noProof/>
        </w:rPr>
        <w:t xml:space="preserve"> v </w:t>
      </w:r>
      <w:r w:rsidRPr="004F01E9">
        <w:rPr>
          <w:noProof/>
        </w:rPr>
        <w:t>písmenách a) až f);</w:t>
      </w:r>
    </w:p>
    <w:p w14:paraId="56A35BBD" w14:textId="04506DBB" w:rsidR="00B25B3A" w:rsidRPr="004F01E9" w:rsidRDefault="00B25B3A" w:rsidP="00B25B3A">
      <w:pPr>
        <w:pStyle w:val="Point1"/>
        <w:rPr>
          <w:noProof/>
        </w:rPr>
      </w:pPr>
      <w:r w:rsidRPr="004F01E9">
        <w:rPr>
          <w:noProof/>
        </w:rPr>
        <w:t>h)</w:t>
      </w:r>
      <w:r w:rsidRPr="004F01E9">
        <w:rPr>
          <w:noProof/>
        </w:rPr>
        <w:tab/>
        <w:t>vlastných záväzkoch inštitúcie, pokiaľ takéto nástroje nespĺňajú kritériá uvedené</w:t>
      </w:r>
      <w:r w:rsidR="004F01E9">
        <w:rPr>
          <w:noProof/>
        </w:rPr>
        <w:t xml:space="preserve"> v </w:t>
      </w:r>
      <w:r w:rsidRPr="004F01E9">
        <w:rPr>
          <w:noProof/>
        </w:rPr>
        <w:t>odseku 2 písm. e).</w:t>
      </w:r>
    </w:p>
    <w:p w14:paraId="54034D55" w14:textId="1821BA62" w:rsidR="00B25B3A" w:rsidRPr="004F01E9" w:rsidRDefault="00B25B3A" w:rsidP="00B25B3A">
      <w:pPr>
        <w:pStyle w:val="Text1"/>
        <w:rPr>
          <w:noProof/>
        </w:rPr>
      </w:pPr>
      <w:r w:rsidRPr="004F01E9">
        <w:rPr>
          <w:noProof/>
        </w:rPr>
        <w:t>4. Odchylne od odseku 2 môže inštitúcia priradiť do neobchodnej knihy pozíciu</w:t>
      </w:r>
      <w:r w:rsidR="004F01E9">
        <w:rPr>
          <w:noProof/>
        </w:rPr>
        <w:t xml:space="preserve"> v </w:t>
      </w:r>
      <w:r w:rsidRPr="004F01E9">
        <w:rPr>
          <w:noProof/>
        </w:rPr>
        <w:t>nástroji uvedenom</w:t>
      </w:r>
      <w:r w:rsidR="004F01E9">
        <w:rPr>
          <w:noProof/>
        </w:rPr>
        <w:t xml:space="preserve"> v </w:t>
      </w:r>
      <w:r w:rsidRPr="004F01E9">
        <w:rPr>
          <w:noProof/>
        </w:rPr>
        <w:t>písmenách d) až i) uvedeného odseku za predpokladu súhlasu jej príslušného orgánu. Príslušný orgán udeľuje súhlas, ak inštitúcia</w:t>
      </w:r>
      <w:r w:rsidR="004F01E9">
        <w:rPr>
          <w:noProof/>
        </w:rPr>
        <w:t xml:space="preserve"> k </w:t>
      </w:r>
      <w:r w:rsidRPr="004F01E9">
        <w:rPr>
          <w:noProof/>
        </w:rPr>
        <w:t>spokojnosti orgánu preukáže, že pozícia nie je držaná</w:t>
      </w:r>
      <w:r w:rsidR="004F01E9">
        <w:rPr>
          <w:noProof/>
        </w:rPr>
        <w:t xml:space="preserve"> s </w:t>
      </w:r>
      <w:r w:rsidRPr="004F01E9">
        <w:rPr>
          <w:noProof/>
        </w:rPr>
        <w:t>úmyslom obchodovania ani nezabezpečuje pozície držané</w:t>
      </w:r>
      <w:r w:rsidR="004F01E9">
        <w:rPr>
          <w:noProof/>
        </w:rPr>
        <w:t xml:space="preserve"> s </w:t>
      </w:r>
      <w:r w:rsidRPr="004F01E9">
        <w:rPr>
          <w:noProof/>
        </w:rPr>
        <w:t>úmyslom obchodovania.</w:t>
      </w:r>
    </w:p>
    <w:p w14:paraId="1DBA9065" w14:textId="02F3C706" w:rsidR="00B25B3A" w:rsidRPr="004F01E9" w:rsidRDefault="00B25B3A" w:rsidP="00B25B3A">
      <w:pPr>
        <w:pStyle w:val="Text1"/>
        <w:rPr>
          <w:noProof/>
        </w:rPr>
      </w:pPr>
      <w:r w:rsidRPr="004F01E9">
        <w:rPr>
          <w:noProof/>
        </w:rPr>
        <w:t>5. Ak inštitúcia priradila do obchodnej knihy pozíciu</w:t>
      </w:r>
      <w:r w:rsidR="004F01E9">
        <w:rPr>
          <w:noProof/>
        </w:rPr>
        <w:t xml:space="preserve"> v </w:t>
      </w:r>
      <w:r w:rsidRPr="004F01E9">
        <w:rPr>
          <w:noProof/>
        </w:rPr>
        <w:t>inom nástroji, ako sú nástroje uvedené</w:t>
      </w:r>
      <w:r w:rsidR="004F01E9">
        <w:rPr>
          <w:noProof/>
        </w:rPr>
        <w:t xml:space="preserve"> v </w:t>
      </w:r>
      <w:r w:rsidRPr="004F01E9">
        <w:rPr>
          <w:noProof/>
        </w:rPr>
        <w:t>odseku 2 písm. a), b) alebo c), príslušný orgán inštitúcie môže požiadať inštitúciu, aby poskytla dôkazy na odôvodnenie takéhoto priradenia. Ak inštitúcia neposkytne vhodné dôkazy, jej príslušný orgán ju môže požiadať, aby takúto pozíciu presunula do neobchodnej knihy.</w:t>
      </w:r>
    </w:p>
    <w:p w14:paraId="1942365B" w14:textId="02F7AD94" w:rsidR="00B25B3A" w:rsidRPr="004F01E9" w:rsidRDefault="00B25B3A" w:rsidP="00B25B3A">
      <w:pPr>
        <w:pStyle w:val="Text1"/>
        <w:rPr>
          <w:noProof/>
        </w:rPr>
      </w:pPr>
      <w:r w:rsidRPr="004F01E9">
        <w:rPr>
          <w:noProof/>
        </w:rPr>
        <w:t>6. Ak inštitúcia priradila do neobchodnej knihy pozíciu</w:t>
      </w:r>
      <w:r w:rsidR="004F01E9">
        <w:rPr>
          <w:noProof/>
        </w:rPr>
        <w:t xml:space="preserve"> v </w:t>
      </w:r>
      <w:r w:rsidRPr="004F01E9">
        <w:rPr>
          <w:noProof/>
        </w:rPr>
        <w:t>inom nástroji, ako sú nástroje uvedené</w:t>
      </w:r>
      <w:r w:rsidR="004F01E9">
        <w:rPr>
          <w:noProof/>
        </w:rPr>
        <w:t xml:space="preserve"> v </w:t>
      </w:r>
      <w:r w:rsidRPr="004F01E9">
        <w:rPr>
          <w:noProof/>
        </w:rPr>
        <w:t>odseku 3, príslušný orgán inštitúcie môže požiadať inštitúciu, aby poskytla dôkazy na odôvodnenie takéhoto priradenia. Ak inštitúcia neposkytne vhodné dôkazy, jej príslušný orgán ju môže požiadať, aby takúto pozíciu presunula do obchodnej knihy.</w:t>
      </w:r>
    </w:p>
    <w:p w14:paraId="1C2BF55C" w14:textId="18C09D2C" w:rsidR="00B25B3A" w:rsidRPr="004F01E9" w:rsidRDefault="00B25B3A" w:rsidP="00B25B3A">
      <w:pPr>
        <w:pStyle w:val="Text1"/>
        <w:rPr>
          <w:noProof/>
        </w:rPr>
      </w:pPr>
      <w:r w:rsidRPr="004F01E9">
        <w:rPr>
          <w:noProof/>
        </w:rPr>
        <w:t>7. Inštitúcia priraďuje do obchodnej knihy pozíciu</w:t>
      </w:r>
      <w:r w:rsidR="004F01E9">
        <w:rPr>
          <w:noProof/>
        </w:rPr>
        <w:t xml:space="preserve"> v </w:t>
      </w:r>
      <w:r w:rsidRPr="004F01E9">
        <w:rPr>
          <w:noProof/>
        </w:rPr>
        <w:t>podniku kolektívneho investovania, ktorá je držaná</w:t>
      </w:r>
      <w:r w:rsidR="004F01E9">
        <w:rPr>
          <w:noProof/>
        </w:rPr>
        <w:t xml:space="preserve"> s </w:t>
      </w:r>
      <w:r w:rsidRPr="004F01E9">
        <w:rPr>
          <w:noProof/>
        </w:rPr>
        <w:t>úmyslom obchodovania,</w:t>
      </w:r>
      <w:r w:rsidR="004F01E9">
        <w:rPr>
          <w:noProof/>
        </w:rPr>
        <w:t xml:space="preserve"> a </w:t>
      </w:r>
      <w:r w:rsidRPr="004F01E9">
        <w:rPr>
          <w:noProof/>
        </w:rPr>
        <w:t>ak inštitúcia spĺňa jednu</w:t>
      </w:r>
      <w:r w:rsidR="004F01E9">
        <w:rPr>
          <w:noProof/>
        </w:rPr>
        <w:t xml:space="preserve"> z </w:t>
      </w:r>
      <w:r w:rsidRPr="004F01E9">
        <w:rPr>
          <w:noProof/>
        </w:rPr>
        <w:t>týchto podmienok:</w:t>
      </w:r>
    </w:p>
    <w:p w14:paraId="5D709C04" w14:textId="5C1B761D" w:rsidR="00B25B3A" w:rsidRPr="004F01E9" w:rsidRDefault="00B25B3A" w:rsidP="00B25B3A">
      <w:pPr>
        <w:pStyle w:val="Point1"/>
        <w:rPr>
          <w:noProof/>
        </w:rPr>
      </w:pPr>
      <w:r w:rsidRPr="004F01E9">
        <w:rPr>
          <w:noProof/>
        </w:rPr>
        <w:t>a)</w:t>
      </w:r>
      <w:r w:rsidRPr="004F01E9">
        <w:rPr>
          <w:noProof/>
        </w:rPr>
        <w:tab/>
        <w:t>inštitúcia je schopná získať dostatočné informácie</w:t>
      </w:r>
      <w:r w:rsidR="004F01E9">
        <w:rPr>
          <w:noProof/>
        </w:rPr>
        <w:t xml:space="preserve"> o </w:t>
      </w:r>
      <w:r w:rsidRPr="004F01E9">
        <w:rPr>
          <w:noProof/>
        </w:rPr>
        <w:t>jednotlivých podkladových expozíciách PKI;</w:t>
      </w:r>
    </w:p>
    <w:p w14:paraId="441E3E3D" w14:textId="16A5EAAD" w:rsidR="00B25B3A" w:rsidRPr="004F01E9" w:rsidRDefault="00B25B3A" w:rsidP="00B25B3A">
      <w:pPr>
        <w:pStyle w:val="Point1"/>
        <w:rPr>
          <w:noProof/>
        </w:rPr>
      </w:pPr>
      <w:r w:rsidRPr="004F01E9">
        <w:rPr>
          <w:noProof/>
        </w:rPr>
        <w:t>b)</w:t>
      </w:r>
      <w:r w:rsidRPr="004F01E9">
        <w:rPr>
          <w:noProof/>
        </w:rPr>
        <w:tab/>
        <w:t>inštitúcia nie je schopná získať dostatočné informácie</w:t>
      </w:r>
      <w:r w:rsidR="004F01E9">
        <w:rPr>
          <w:noProof/>
        </w:rPr>
        <w:t xml:space="preserve"> o </w:t>
      </w:r>
      <w:r w:rsidRPr="004F01E9">
        <w:rPr>
          <w:noProof/>
        </w:rPr>
        <w:t>jednotlivých podkladových expozíciách PKI, ale inštitúcia má vedomosť</w:t>
      </w:r>
      <w:r w:rsidR="004F01E9">
        <w:rPr>
          <w:noProof/>
        </w:rPr>
        <w:t xml:space="preserve"> o </w:t>
      </w:r>
      <w:r w:rsidRPr="004F01E9">
        <w:rPr>
          <w:noProof/>
        </w:rPr>
        <w:t>obsahu mandátu PKI</w:t>
      </w:r>
      <w:r w:rsidR="004F01E9">
        <w:rPr>
          <w:noProof/>
        </w:rPr>
        <w:t xml:space="preserve"> a </w:t>
      </w:r>
      <w:r w:rsidRPr="004F01E9">
        <w:rPr>
          <w:noProof/>
        </w:rPr>
        <w:t>je schopná získavať pre PKI denné cenové kotácie.</w:t>
      </w:r>
    </w:p>
    <w:p w14:paraId="149E5487" w14:textId="12CDBA76" w:rsidR="00806B81" w:rsidRPr="004F01E9" w:rsidRDefault="00B25B3A" w:rsidP="00B25B3A">
      <w:pPr>
        <w:pStyle w:val="Text1"/>
        <w:rPr>
          <w:noProof/>
        </w:rPr>
      </w:pPr>
      <w:r w:rsidRPr="004F01E9">
        <w:rPr>
          <w:noProof/>
        </w:rPr>
        <w:t>8. Orgán EBA vypracuje návrh regulačných technických predpisov</w:t>
      </w:r>
      <w:r w:rsidR="004F01E9">
        <w:rPr>
          <w:noProof/>
        </w:rPr>
        <w:t xml:space="preserve"> s </w:t>
      </w:r>
      <w:r w:rsidRPr="004F01E9">
        <w:rPr>
          <w:noProof/>
        </w:rPr>
        <w:t>cieľom presne stanoviť postup, ktorý inštitúcie musia používať na výpočet</w:t>
      </w:r>
      <w:r w:rsidR="004F01E9">
        <w:rPr>
          <w:noProof/>
        </w:rPr>
        <w:t xml:space="preserve"> a </w:t>
      </w:r>
      <w:r w:rsidRPr="004F01E9">
        <w:rPr>
          <w:noProof/>
        </w:rPr>
        <w:t>monitorovanie čistých krátkych kreditných alebo akciových pozícií</w:t>
      </w:r>
      <w:r w:rsidR="004F01E9">
        <w:rPr>
          <w:noProof/>
        </w:rPr>
        <w:t xml:space="preserve"> v </w:t>
      </w:r>
      <w:r w:rsidRPr="004F01E9">
        <w:rPr>
          <w:noProof/>
        </w:rPr>
        <w:t>neobchodnej knihe uvedenej</w:t>
      </w:r>
      <w:r w:rsidR="004F01E9">
        <w:rPr>
          <w:noProof/>
        </w:rPr>
        <w:t xml:space="preserve"> v </w:t>
      </w:r>
      <w:r w:rsidRPr="004F01E9">
        <w:rPr>
          <w:noProof/>
        </w:rPr>
        <w:t>odseku 2 písm. b).</w:t>
      </w:r>
    </w:p>
    <w:p w14:paraId="2057AABE" w14:textId="77777777" w:rsidR="00806B81" w:rsidRPr="00922524" w:rsidRDefault="00B25B3A" w:rsidP="00B25B3A">
      <w:pPr>
        <w:pStyle w:val="Text1"/>
        <w:rPr>
          <w:noProof/>
          <w:spacing w:val="-6"/>
        </w:rPr>
      </w:pPr>
      <w:r w:rsidRPr="00922524">
        <w:rPr>
          <w:noProof/>
          <w:spacing w:val="-6"/>
        </w:rPr>
        <w:t>Orgán EBA predloží Komisii uvedený návrh regulačných technických predpisov do [Úrad pre publikácie, vložte dátum = 24 mesiacov po nadobudnutí účinnosti tohto nariadenia].</w:t>
      </w:r>
    </w:p>
    <w:p w14:paraId="5424D3CE" w14:textId="00B096C2" w:rsidR="00B25B3A" w:rsidRPr="004F01E9" w:rsidRDefault="00B25B3A" w:rsidP="00B25B3A">
      <w:pPr>
        <w:pStyle w:val="Text1"/>
        <w:rPr>
          <w:noProof/>
        </w:rPr>
      </w:pPr>
      <w:r w:rsidRPr="004F01E9">
        <w:rPr>
          <w:noProof/>
        </w:rPr>
        <w:t>Na Komisiu sa deleguje právomoc doplniť toto nariadenie prijatím regulačných technických predpisov uvedených</w:t>
      </w:r>
      <w:r w:rsidR="004F01E9">
        <w:rPr>
          <w:noProof/>
        </w:rPr>
        <w:t xml:space="preserve"> v </w:t>
      </w:r>
      <w:r w:rsidRPr="004F01E9">
        <w:rPr>
          <w:noProof/>
        </w:rPr>
        <w:t>prvom pododseku</w:t>
      </w:r>
      <w:r w:rsidR="004F01E9">
        <w:rPr>
          <w:noProof/>
        </w:rPr>
        <w:t xml:space="preserve"> v </w:t>
      </w:r>
      <w:r w:rsidRPr="004F01E9">
        <w:rPr>
          <w:noProof/>
        </w:rPr>
        <w:t>súlade</w:t>
      </w:r>
      <w:r w:rsidR="004F01E9">
        <w:rPr>
          <w:noProof/>
        </w:rPr>
        <w:t xml:space="preserve"> s </w:t>
      </w:r>
      <w:r w:rsidRPr="004F01E9">
        <w:rPr>
          <w:noProof/>
        </w:rPr>
        <w:t xml:space="preserve">článkami 10 až 14 nariadenia (EÚ) </w:t>
      </w:r>
      <w:r w:rsidR="004F01E9">
        <w:rPr>
          <w:noProof/>
        </w:rPr>
        <w:t>č. </w:t>
      </w:r>
      <w:r w:rsidRPr="004F01E9">
        <w:rPr>
          <w:noProof/>
        </w:rPr>
        <w:t>1093/2010.“</w:t>
      </w:r>
    </w:p>
    <w:p w14:paraId="4E60BD51" w14:textId="2963958A" w:rsidR="00806B81" w:rsidRPr="004F01E9" w:rsidRDefault="00B16452" w:rsidP="00B16452">
      <w:pPr>
        <w:pStyle w:val="Point0"/>
        <w:rPr>
          <w:noProof/>
        </w:rPr>
      </w:pPr>
      <w:r w:rsidRPr="00B16452">
        <w:rPr>
          <w:noProof/>
        </w:rPr>
        <w:t>27</w:t>
      </w:r>
      <w:r>
        <w:rPr>
          <w:noProof/>
        </w:rPr>
        <w:t>.</w:t>
      </w:r>
      <w:r w:rsidRPr="00B16452">
        <w:rPr>
          <w:noProof/>
        </w:rPr>
        <w:tab/>
      </w:r>
      <w:r w:rsidR="00B25B3A" w:rsidRPr="004F01E9">
        <w:rPr>
          <w:noProof/>
        </w:rPr>
        <w:t>Článok 104a sa mení takto:</w:t>
      </w:r>
    </w:p>
    <w:p w14:paraId="292DF1CD" w14:textId="080F4F45" w:rsidR="00B25B3A" w:rsidRPr="004F01E9" w:rsidRDefault="006E2B26" w:rsidP="006E2B26">
      <w:pPr>
        <w:pStyle w:val="Point1"/>
        <w:rPr>
          <w:noProof/>
        </w:rPr>
      </w:pPr>
      <w:r w:rsidRPr="004F01E9">
        <w:rPr>
          <w:noProof/>
        </w:rPr>
        <w:t>a)</w:t>
      </w:r>
      <w:r w:rsidRPr="004F01E9">
        <w:rPr>
          <w:noProof/>
        </w:rPr>
        <w:tab/>
        <w:t>V odseku 1 sa druhý pododsek nahrádza takto:</w:t>
      </w:r>
    </w:p>
    <w:p w14:paraId="62A2065C" w14:textId="7F5900D0" w:rsidR="00B25B3A" w:rsidRPr="00922524" w:rsidRDefault="00B25B3A" w:rsidP="00B25B3A">
      <w:pPr>
        <w:pStyle w:val="Text2"/>
        <w:rPr>
          <w:noProof/>
          <w:spacing w:val="-4"/>
        </w:rPr>
      </w:pPr>
      <w:r w:rsidRPr="00922524">
        <w:rPr>
          <w:noProof/>
          <w:spacing w:val="-4"/>
        </w:rPr>
        <w:t>„EBA monitoruje rozsah postupov dohľadu</w:t>
      </w:r>
      <w:r w:rsidR="004F01E9" w:rsidRPr="00922524">
        <w:rPr>
          <w:noProof/>
          <w:spacing w:val="-4"/>
        </w:rPr>
        <w:t xml:space="preserve"> a </w:t>
      </w:r>
      <w:r w:rsidRPr="00922524">
        <w:rPr>
          <w:noProof/>
          <w:spacing w:val="-4"/>
        </w:rPr>
        <w:t>do 28</w:t>
      </w:r>
      <w:r w:rsidR="004F01E9" w:rsidRPr="00922524">
        <w:rPr>
          <w:noProof/>
          <w:spacing w:val="-4"/>
        </w:rPr>
        <w:t>. júna</w:t>
      </w:r>
      <w:r w:rsidRPr="00922524">
        <w:rPr>
          <w:noProof/>
          <w:spacing w:val="-4"/>
        </w:rPr>
        <w:t xml:space="preserve"> 2024 vydá usmernenia</w:t>
      </w:r>
      <w:r w:rsidR="004F01E9" w:rsidRPr="00922524">
        <w:rPr>
          <w:noProof/>
          <w:spacing w:val="-4"/>
        </w:rPr>
        <w:t xml:space="preserve"> o </w:t>
      </w:r>
      <w:r w:rsidRPr="00922524">
        <w:rPr>
          <w:noProof/>
          <w:spacing w:val="-4"/>
        </w:rPr>
        <w:t>tom, čo znamenajú mimoriadne okolnosti na účely prvého pododseku</w:t>
      </w:r>
      <w:r w:rsidR="004F01E9" w:rsidRPr="00922524">
        <w:rPr>
          <w:noProof/>
          <w:spacing w:val="-4"/>
        </w:rPr>
        <w:t xml:space="preserve"> a </w:t>
      </w:r>
      <w:r w:rsidRPr="00922524">
        <w:rPr>
          <w:noProof/>
          <w:spacing w:val="-4"/>
        </w:rPr>
        <w:t>odseku 5. Uvedené usmernenia sa prijímajú</w:t>
      </w:r>
      <w:r w:rsidR="004F01E9" w:rsidRPr="00922524">
        <w:rPr>
          <w:noProof/>
          <w:spacing w:val="-4"/>
        </w:rPr>
        <w:t xml:space="preserve"> v </w:t>
      </w:r>
      <w:r w:rsidRPr="00922524">
        <w:rPr>
          <w:noProof/>
          <w:spacing w:val="-4"/>
        </w:rPr>
        <w:t>súlade</w:t>
      </w:r>
      <w:r w:rsidR="004F01E9" w:rsidRPr="00922524">
        <w:rPr>
          <w:noProof/>
          <w:spacing w:val="-4"/>
        </w:rPr>
        <w:t xml:space="preserve"> s </w:t>
      </w:r>
      <w:r w:rsidRPr="00922524">
        <w:rPr>
          <w:noProof/>
          <w:spacing w:val="-4"/>
        </w:rPr>
        <w:t xml:space="preserve">článkom 16 nariadenia (EÚ) </w:t>
      </w:r>
      <w:r w:rsidR="004F01E9" w:rsidRPr="00922524">
        <w:rPr>
          <w:noProof/>
          <w:spacing w:val="-4"/>
        </w:rPr>
        <w:t>č. </w:t>
      </w:r>
      <w:r w:rsidRPr="00922524">
        <w:rPr>
          <w:noProof/>
          <w:spacing w:val="-4"/>
        </w:rPr>
        <w:t>1093/2010. Kým EBA nevydá uvedené usmernenia, príslušné orgány informujú EBA</w:t>
      </w:r>
      <w:r w:rsidR="004F01E9" w:rsidRPr="00922524">
        <w:rPr>
          <w:noProof/>
          <w:spacing w:val="-4"/>
        </w:rPr>
        <w:t xml:space="preserve"> o </w:t>
      </w:r>
      <w:r w:rsidRPr="00922524">
        <w:rPr>
          <w:noProof/>
          <w:spacing w:val="-4"/>
        </w:rPr>
        <w:t>svojich rozhodnutiach týkajúcich sa otázky, či povoliť alebo nepovoliť inštitúcii reklasifikáciu pozície, ako sa uvádza</w:t>
      </w:r>
      <w:r w:rsidR="004F01E9" w:rsidRPr="00922524">
        <w:rPr>
          <w:noProof/>
          <w:spacing w:val="-4"/>
        </w:rPr>
        <w:t xml:space="preserve"> v </w:t>
      </w:r>
      <w:r w:rsidRPr="00922524">
        <w:rPr>
          <w:noProof/>
          <w:spacing w:val="-4"/>
        </w:rPr>
        <w:t>odseku 2 tohto článku, pričom EBA poskytnú odôvodnenie udelenia takýchto povolení.“</w:t>
      </w:r>
    </w:p>
    <w:p w14:paraId="7CDADCCC" w14:textId="34047AE6" w:rsidR="00B25B3A" w:rsidRPr="004F01E9" w:rsidRDefault="006E2B26" w:rsidP="006E2B26">
      <w:pPr>
        <w:pStyle w:val="Point1"/>
        <w:rPr>
          <w:noProof/>
        </w:rPr>
      </w:pPr>
      <w:r w:rsidRPr="004F01E9">
        <w:rPr>
          <w:noProof/>
        </w:rPr>
        <w:t>b)</w:t>
      </w:r>
      <w:r w:rsidRPr="004F01E9">
        <w:rPr>
          <w:noProof/>
        </w:rPr>
        <w:tab/>
        <w:t>Odsek 5 sa nahrádza takto:</w:t>
      </w:r>
    </w:p>
    <w:p w14:paraId="73557518" w14:textId="057824D7" w:rsidR="00B25B3A" w:rsidRPr="004F01E9" w:rsidRDefault="00B25B3A" w:rsidP="00B25B3A">
      <w:pPr>
        <w:pStyle w:val="Text2"/>
        <w:rPr>
          <w:noProof/>
        </w:rPr>
      </w:pPr>
      <w:r w:rsidRPr="004F01E9">
        <w:rPr>
          <w:noProof/>
        </w:rPr>
        <w:t>„5. Reklasifikácia pozície podľa tohto článku je neodvolateľná</w:t>
      </w:r>
      <w:r w:rsidR="004F01E9">
        <w:rPr>
          <w:noProof/>
        </w:rPr>
        <w:t xml:space="preserve"> s </w:t>
      </w:r>
      <w:r w:rsidRPr="004F01E9">
        <w:rPr>
          <w:noProof/>
        </w:rPr>
        <w:t>výnimkou mimoriadnych okolností uvedených</w:t>
      </w:r>
      <w:r w:rsidR="004F01E9">
        <w:rPr>
          <w:noProof/>
        </w:rPr>
        <w:t xml:space="preserve"> v </w:t>
      </w:r>
      <w:r w:rsidRPr="004F01E9">
        <w:rPr>
          <w:noProof/>
        </w:rPr>
        <w:t>odseku 1.“;</w:t>
      </w:r>
    </w:p>
    <w:p w14:paraId="307A04A5" w14:textId="50D4A028" w:rsidR="00B25B3A" w:rsidRPr="004F01E9" w:rsidRDefault="006E2B26" w:rsidP="006E2B26">
      <w:pPr>
        <w:pStyle w:val="Point1"/>
        <w:rPr>
          <w:noProof/>
        </w:rPr>
      </w:pPr>
      <w:r w:rsidRPr="004F01E9">
        <w:rPr>
          <w:noProof/>
        </w:rPr>
        <w:t>c)</w:t>
      </w:r>
      <w:r w:rsidRPr="004F01E9">
        <w:rPr>
          <w:noProof/>
        </w:rPr>
        <w:tab/>
        <w:t>Dopĺňa sa tento odsek 6:</w:t>
      </w:r>
    </w:p>
    <w:p w14:paraId="5410E935" w14:textId="364201DB" w:rsidR="00B25B3A" w:rsidRPr="00922524" w:rsidRDefault="00B25B3A" w:rsidP="00B25B3A">
      <w:pPr>
        <w:pStyle w:val="Text2"/>
        <w:rPr>
          <w:noProof/>
          <w:spacing w:val="-4"/>
        </w:rPr>
      </w:pPr>
      <w:r w:rsidRPr="00922524">
        <w:rPr>
          <w:noProof/>
          <w:spacing w:val="-4"/>
        </w:rPr>
        <w:t>„6. Odchylne od odseku 1 môže inštitúcia reklasifikovať pozíciu</w:t>
      </w:r>
      <w:r w:rsidR="004F01E9" w:rsidRPr="00922524">
        <w:rPr>
          <w:noProof/>
          <w:spacing w:val="-4"/>
        </w:rPr>
        <w:t xml:space="preserve"> v </w:t>
      </w:r>
      <w:r w:rsidRPr="00922524">
        <w:rPr>
          <w:noProof/>
          <w:spacing w:val="-4"/>
        </w:rPr>
        <w:t>neobchodnej knihe na pozíciu</w:t>
      </w:r>
      <w:r w:rsidR="004F01E9" w:rsidRPr="00922524">
        <w:rPr>
          <w:noProof/>
          <w:spacing w:val="-4"/>
        </w:rPr>
        <w:t xml:space="preserve"> v </w:t>
      </w:r>
      <w:r w:rsidRPr="00922524">
        <w:rPr>
          <w:noProof/>
          <w:spacing w:val="-4"/>
        </w:rPr>
        <w:t>obchodnej knihe</w:t>
      </w:r>
      <w:r w:rsidR="004F01E9" w:rsidRPr="00922524">
        <w:rPr>
          <w:noProof/>
          <w:spacing w:val="-4"/>
        </w:rPr>
        <w:t xml:space="preserve"> v </w:t>
      </w:r>
      <w:r w:rsidRPr="00922524">
        <w:rPr>
          <w:noProof/>
          <w:spacing w:val="-4"/>
        </w:rPr>
        <w:t>súlade</w:t>
      </w:r>
      <w:r w:rsidR="004F01E9" w:rsidRPr="00922524">
        <w:rPr>
          <w:noProof/>
          <w:spacing w:val="-4"/>
        </w:rPr>
        <w:t xml:space="preserve"> s </w:t>
      </w:r>
      <w:r w:rsidRPr="00922524">
        <w:rPr>
          <w:noProof/>
          <w:spacing w:val="-4"/>
        </w:rPr>
        <w:t>článkom 104 ods. 2 písm. d) bez toho, aby požiadala</w:t>
      </w:r>
      <w:r w:rsidR="004F01E9" w:rsidRPr="00922524">
        <w:rPr>
          <w:noProof/>
          <w:spacing w:val="-4"/>
        </w:rPr>
        <w:t xml:space="preserve"> o </w:t>
      </w:r>
      <w:r w:rsidRPr="00922524">
        <w:rPr>
          <w:noProof/>
          <w:spacing w:val="-4"/>
        </w:rPr>
        <w:t>povolenie svoj príslušný orgán.</w:t>
      </w:r>
      <w:r w:rsidR="004F01E9" w:rsidRPr="00922524">
        <w:rPr>
          <w:noProof/>
          <w:spacing w:val="-4"/>
        </w:rPr>
        <w:t xml:space="preserve"> V </w:t>
      </w:r>
      <w:r w:rsidRPr="00922524">
        <w:rPr>
          <w:noProof/>
          <w:spacing w:val="-4"/>
        </w:rPr>
        <w:t>takom prípade sa na inštitúciu naďalej vzťahujú požiadavky stanovené</w:t>
      </w:r>
      <w:r w:rsidR="004F01E9" w:rsidRPr="00922524">
        <w:rPr>
          <w:noProof/>
          <w:spacing w:val="-4"/>
        </w:rPr>
        <w:t xml:space="preserve"> v </w:t>
      </w:r>
      <w:r w:rsidRPr="00922524">
        <w:rPr>
          <w:noProof/>
          <w:spacing w:val="-4"/>
        </w:rPr>
        <w:t>odsekoch 3</w:t>
      </w:r>
      <w:r w:rsidR="004F01E9" w:rsidRPr="00922524">
        <w:rPr>
          <w:noProof/>
          <w:spacing w:val="-4"/>
        </w:rPr>
        <w:t xml:space="preserve"> a </w:t>
      </w:r>
      <w:r w:rsidRPr="00922524">
        <w:rPr>
          <w:noProof/>
          <w:spacing w:val="-4"/>
        </w:rPr>
        <w:t>4. Ak došlo</w:t>
      </w:r>
      <w:r w:rsidR="004F01E9" w:rsidRPr="00922524">
        <w:rPr>
          <w:noProof/>
          <w:spacing w:val="-4"/>
        </w:rPr>
        <w:t xml:space="preserve"> k </w:t>
      </w:r>
      <w:r w:rsidRPr="00922524">
        <w:rPr>
          <w:noProof/>
          <w:spacing w:val="-4"/>
        </w:rPr>
        <w:t>takejto reklasifikácii, inštitúcia bezodkladne informuje svoj príslušný orgán.“</w:t>
      </w:r>
    </w:p>
    <w:p w14:paraId="27CF8A18" w14:textId="52202F0B" w:rsidR="00B25B3A" w:rsidRPr="004F01E9" w:rsidRDefault="00B16452" w:rsidP="00B16452">
      <w:pPr>
        <w:pStyle w:val="Point0"/>
        <w:rPr>
          <w:noProof/>
        </w:rPr>
      </w:pPr>
      <w:r w:rsidRPr="00B16452">
        <w:rPr>
          <w:noProof/>
        </w:rPr>
        <w:t>28</w:t>
      </w:r>
      <w:r>
        <w:rPr>
          <w:noProof/>
        </w:rPr>
        <w:t>.</w:t>
      </w:r>
      <w:r w:rsidRPr="00B16452">
        <w:rPr>
          <w:noProof/>
        </w:rPr>
        <w:tab/>
      </w:r>
      <w:r w:rsidR="00B25B3A" w:rsidRPr="004F01E9">
        <w:rPr>
          <w:noProof/>
        </w:rPr>
        <w:t>Článok 104b sa mení takto:</w:t>
      </w:r>
    </w:p>
    <w:p w14:paraId="5FF18D83" w14:textId="6B69746F" w:rsidR="00B25B3A" w:rsidRPr="004F01E9" w:rsidRDefault="006E2B26" w:rsidP="006E2B26">
      <w:pPr>
        <w:pStyle w:val="Point1"/>
        <w:rPr>
          <w:noProof/>
        </w:rPr>
      </w:pPr>
      <w:r w:rsidRPr="004F01E9">
        <w:rPr>
          <w:noProof/>
        </w:rPr>
        <w:t>a)</w:t>
      </w:r>
      <w:r w:rsidRPr="004F01E9">
        <w:rPr>
          <w:noProof/>
        </w:rPr>
        <w:tab/>
        <w:t>Odsek 1 sa nahrádza takto:</w:t>
      </w:r>
    </w:p>
    <w:p w14:paraId="50CECFC7" w14:textId="6563E8DA" w:rsidR="00B25B3A" w:rsidRPr="00922524" w:rsidRDefault="00B25B3A" w:rsidP="00B25B3A">
      <w:pPr>
        <w:pStyle w:val="Text2"/>
        <w:rPr>
          <w:noProof/>
          <w:spacing w:val="-4"/>
        </w:rPr>
      </w:pPr>
      <w:r w:rsidRPr="00922524">
        <w:rPr>
          <w:noProof/>
          <w:spacing w:val="-4"/>
        </w:rPr>
        <w:t>„1. Na účely výpočtu požiadaviek na vlastné zdroje pre trhové riziko</w:t>
      </w:r>
      <w:r w:rsidR="004F01E9" w:rsidRPr="00922524">
        <w:rPr>
          <w:noProof/>
          <w:spacing w:val="-4"/>
        </w:rPr>
        <w:t xml:space="preserve"> v </w:t>
      </w:r>
      <w:r w:rsidRPr="00922524">
        <w:rPr>
          <w:noProof/>
          <w:spacing w:val="-4"/>
        </w:rPr>
        <w:t>súlade</w:t>
      </w:r>
      <w:r w:rsidR="004F01E9" w:rsidRPr="00922524">
        <w:rPr>
          <w:noProof/>
          <w:spacing w:val="-4"/>
        </w:rPr>
        <w:t xml:space="preserve"> s </w:t>
      </w:r>
      <w:r w:rsidRPr="00922524">
        <w:rPr>
          <w:noProof/>
          <w:spacing w:val="-4"/>
        </w:rPr>
        <w:t>prístupom uvedeným</w:t>
      </w:r>
      <w:r w:rsidR="004F01E9" w:rsidRPr="00922524">
        <w:rPr>
          <w:noProof/>
          <w:spacing w:val="-4"/>
        </w:rPr>
        <w:t xml:space="preserve"> v </w:t>
      </w:r>
      <w:r w:rsidRPr="00922524">
        <w:rPr>
          <w:noProof/>
          <w:spacing w:val="-4"/>
        </w:rPr>
        <w:t>článku 325 ods. 1 písm. b) inštitúcie zriaďujú trading desky</w:t>
      </w:r>
      <w:r w:rsidR="004F01E9" w:rsidRPr="00922524">
        <w:rPr>
          <w:noProof/>
          <w:spacing w:val="-4"/>
        </w:rPr>
        <w:t xml:space="preserve"> a </w:t>
      </w:r>
      <w:r w:rsidRPr="00922524">
        <w:rPr>
          <w:noProof/>
          <w:spacing w:val="-4"/>
        </w:rPr>
        <w:t>priraďujú každú zo svojich pozícií</w:t>
      </w:r>
      <w:r w:rsidR="004F01E9" w:rsidRPr="00922524">
        <w:rPr>
          <w:noProof/>
          <w:spacing w:val="-4"/>
        </w:rPr>
        <w:t xml:space="preserve"> v </w:t>
      </w:r>
      <w:r w:rsidRPr="00922524">
        <w:rPr>
          <w:noProof/>
          <w:spacing w:val="-4"/>
        </w:rPr>
        <w:t>obchodnej knihe</w:t>
      </w:r>
      <w:r w:rsidR="004F01E9" w:rsidRPr="00922524">
        <w:rPr>
          <w:noProof/>
          <w:spacing w:val="-4"/>
        </w:rPr>
        <w:t xml:space="preserve"> a </w:t>
      </w:r>
      <w:r w:rsidRPr="00922524">
        <w:rPr>
          <w:noProof/>
          <w:spacing w:val="-4"/>
        </w:rPr>
        <w:t>pozícií</w:t>
      </w:r>
      <w:r w:rsidR="004F01E9" w:rsidRPr="00922524">
        <w:rPr>
          <w:noProof/>
          <w:spacing w:val="-4"/>
        </w:rPr>
        <w:t xml:space="preserve"> v </w:t>
      </w:r>
      <w:r w:rsidRPr="00922524">
        <w:rPr>
          <w:noProof/>
          <w:spacing w:val="-4"/>
        </w:rPr>
        <w:t>neobchodnej knihe uvedených</w:t>
      </w:r>
      <w:r w:rsidR="004F01E9" w:rsidRPr="00922524">
        <w:rPr>
          <w:noProof/>
          <w:spacing w:val="-4"/>
        </w:rPr>
        <w:t xml:space="preserve"> v </w:t>
      </w:r>
      <w:r w:rsidRPr="00922524">
        <w:rPr>
          <w:noProof/>
          <w:spacing w:val="-4"/>
        </w:rPr>
        <w:t>odsekoch 5</w:t>
      </w:r>
      <w:r w:rsidR="004F01E9" w:rsidRPr="00922524">
        <w:rPr>
          <w:noProof/>
          <w:spacing w:val="-4"/>
        </w:rPr>
        <w:t xml:space="preserve"> a </w:t>
      </w:r>
      <w:r w:rsidRPr="00922524">
        <w:rPr>
          <w:noProof/>
          <w:spacing w:val="-4"/>
        </w:rPr>
        <w:t>6</w:t>
      </w:r>
      <w:r w:rsidR="004F01E9" w:rsidRPr="00922524">
        <w:rPr>
          <w:noProof/>
          <w:spacing w:val="-4"/>
        </w:rPr>
        <w:t xml:space="preserve"> k </w:t>
      </w:r>
      <w:r w:rsidRPr="00922524">
        <w:rPr>
          <w:noProof/>
          <w:spacing w:val="-4"/>
        </w:rPr>
        <w:t>jednému</w:t>
      </w:r>
      <w:r w:rsidR="004F01E9" w:rsidRPr="00922524">
        <w:rPr>
          <w:noProof/>
          <w:spacing w:val="-4"/>
        </w:rPr>
        <w:t xml:space="preserve"> z </w:t>
      </w:r>
      <w:r w:rsidRPr="00922524">
        <w:rPr>
          <w:noProof/>
          <w:spacing w:val="-4"/>
        </w:rPr>
        <w:t>týchto trading deskov. Pozície</w:t>
      </w:r>
      <w:r w:rsidR="004F01E9" w:rsidRPr="00922524">
        <w:rPr>
          <w:noProof/>
          <w:spacing w:val="-4"/>
        </w:rPr>
        <w:t xml:space="preserve"> v </w:t>
      </w:r>
      <w:r w:rsidRPr="00922524">
        <w:rPr>
          <w:noProof/>
          <w:spacing w:val="-4"/>
        </w:rPr>
        <w:t>obchodnej knihe sa priraďujú</w:t>
      </w:r>
      <w:r w:rsidR="004F01E9" w:rsidRPr="00922524">
        <w:rPr>
          <w:noProof/>
          <w:spacing w:val="-4"/>
        </w:rPr>
        <w:t xml:space="preserve"> k </w:t>
      </w:r>
      <w:r w:rsidRPr="00922524">
        <w:rPr>
          <w:noProof/>
          <w:spacing w:val="-4"/>
        </w:rPr>
        <w:t>rovnakému trading desku len</w:t>
      </w:r>
      <w:r w:rsidR="004F01E9" w:rsidRPr="00922524">
        <w:rPr>
          <w:noProof/>
          <w:spacing w:val="-4"/>
        </w:rPr>
        <w:t xml:space="preserve"> v </w:t>
      </w:r>
      <w:r w:rsidRPr="00922524">
        <w:rPr>
          <w:noProof/>
          <w:spacing w:val="-4"/>
        </w:rPr>
        <w:t>prípade, keď sú tieto pozície</w:t>
      </w:r>
      <w:r w:rsidR="004F01E9" w:rsidRPr="00922524">
        <w:rPr>
          <w:noProof/>
          <w:spacing w:val="-4"/>
        </w:rPr>
        <w:t xml:space="preserve"> v </w:t>
      </w:r>
      <w:r w:rsidRPr="00922524">
        <w:rPr>
          <w:noProof/>
          <w:spacing w:val="-4"/>
        </w:rPr>
        <w:t>súlade</w:t>
      </w:r>
      <w:r w:rsidR="004F01E9" w:rsidRPr="00922524">
        <w:rPr>
          <w:noProof/>
          <w:spacing w:val="-4"/>
        </w:rPr>
        <w:t xml:space="preserve"> s </w:t>
      </w:r>
      <w:r w:rsidRPr="00922524">
        <w:rPr>
          <w:noProof/>
          <w:spacing w:val="-4"/>
        </w:rPr>
        <w:t>dohodnutou obchodnou stratégiou daného trading desku</w:t>
      </w:r>
      <w:r w:rsidR="004F01E9" w:rsidRPr="00922524">
        <w:rPr>
          <w:noProof/>
          <w:spacing w:val="-4"/>
        </w:rPr>
        <w:t xml:space="preserve"> a </w:t>
      </w:r>
      <w:r w:rsidRPr="00922524">
        <w:rPr>
          <w:noProof/>
          <w:spacing w:val="-4"/>
        </w:rPr>
        <w:t>keď sú konzistentne riadené</w:t>
      </w:r>
      <w:r w:rsidR="004F01E9" w:rsidRPr="00922524">
        <w:rPr>
          <w:noProof/>
          <w:spacing w:val="-4"/>
        </w:rPr>
        <w:t xml:space="preserve"> a </w:t>
      </w:r>
      <w:r w:rsidRPr="00922524">
        <w:rPr>
          <w:noProof/>
          <w:spacing w:val="-4"/>
        </w:rPr>
        <w:t>monitorované</w:t>
      </w:r>
      <w:r w:rsidR="004F01E9" w:rsidRPr="00922524">
        <w:rPr>
          <w:noProof/>
          <w:spacing w:val="-4"/>
        </w:rPr>
        <w:t xml:space="preserve"> v </w:t>
      </w:r>
      <w:r w:rsidRPr="00922524">
        <w:rPr>
          <w:noProof/>
          <w:spacing w:val="-4"/>
        </w:rPr>
        <w:t>súlade odsekom 2 tohto článku.“;</w:t>
      </w:r>
    </w:p>
    <w:p w14:paraId="2905E26E" w14:textId="370AEA86" w:rsidR="00B25B3A" w:rsidRPr="004F01E9" w:rsidRDefault="006E2B26" w:rsidP="006E2B26">
      <w:pPr>
        <w:pStyle w:val="Point1"/>
        <w:rPr>
          <w:noProof/>
        </w:rPr>
      </w:pPr>
      <w:r w:rsidRPr="004F01E9">
        <w:rPr>
          <w:noProof/>
        </w:rPr>
        <w:t>b)</w:t>
      </w:r>
      <w:r w:rsidRPr="004F01E9">
        <w:rPr>
          <w:noProof/>
        </w:rPr>
        <w:tab/>
        <w:t>Dopĺňajú sa tieto odseky 5</w:t>
      </w:r>
      <w:r w:rsidR="004F01E9">
        <w:rPr>
          <w:noProof/>
        </w:rPr>
        <w:t xml:space="preserve"> a </w:t>
      </w:r>
      <w:r w:rsidRPr="004F01E9">
        <w:rPr>
          <w:noProof/>
        </w:rPr>
        <w:t>6:</w:t>
      </w:r>
    </w:p>
    <w:p w14:paraId="749533CF" w14:textId="487B53C1" w:rsidR="00806B81" w:rsidRPr="004F01E9" w:rsidRDefault="00B25B3A" w:rsidP="00B25B3A">
      <w:pPr>
        <w:pStyle w:val="Text2"/>
        <w:rPr>
          <w:noProof/>
        </w:rPr>
      </w:pPr>
      <w:r w:rsidRPr="004F01E9">
        <w:rPr>
          <w:noProof/>
        </w:rPr>
        <w:t>„5. Na výpočet svojich požiadaviek na vlastné zdroje pre trhové riziko inštitúcie priraďujú každú zo svojich pozícií</w:t>
      </w:r>
      <w:r w:rsidR="004F01E9">
        <w:rPr>
          <w:noProof/>
        </w:rPr>
        <w:t xml:space="preserve"> v </w:t>
      </w:r>
      <w:r w:rsidRPr="004F01E9">
        <w:rPr>
          <w:noProof/>
        </w:rPr>
        <w:t>neobchodnej knihe, ktoré podliehajú devízovému riziku alebo komoditnému riziku,</w:t>
      </w:r>
      <w:r w:rsidR="004F01E9">
        <w:rPr>
          <w:noProof/>
        </w:rPr>
        <w:t xml:space="preserve"> k </w:t>
      </w:r>
      <w:r w:rsidRPr="004F01E9">
        <w:rPr>
          <w:noProof/>
        </w:rPr>
        <w:t>trading deskom zriadeným</w:t>
      </w:r>
      <w:r w:rsidR="004F01E9">
        <w:rPr>
          <w:noProof/>
        </w:rPr>
        <w:t xml:space="preserve"> v </w:t>
      </w:r>
      <w:r w:rsidRPr="004F01E9">
        <w:rPr>
          <w:noProof/>
        </w:rPr>
        <w:t>súlade</w:t>
      </w:r>
      <w:r w:rsidR="004F01E9">
        <w:rPr>
          <w:noProof/>
        </w:rPr>
        <w:t xml:space="preserve"> s </w:t>
      </w:r>
      <w:r w:rsidRPr="004F01E9">
        <w:rPr>
          <w:noProof/>
        </w:rPr>
        <w:t>odsekom 1, ktoré riadia riziká podobné týmto pozíciám.</w:t>
      </w:r>
    </w:p>
    <w:p w14:paraId="79A50BC1" w14:textId="31AE5ECE" w:rsidR="00B25B3A" w:rsidRPr="004F01E9" w:rsidRDefault="00B25B3A" w:rsidP="00B25B3A">
      <w:pPr>
        <w:pStyle w:val="Text2"/>
        <w:rPr>
          <w:noProof/>
          <w:szCs w:val="24"/>
        </w:rPr>
      </w:pPr>
      <w:r w:rsidRPr="004F01E9">
        <w:rPr>
          <w:noProof/>
        </w:rPr>
        <w:t>6. Odchylne od odseku 5 môžu inštitúcie pri výpočte svojich požiadaviek na vlastné zdroje pre trhové riziko zriadiť jeden alebo viacero trading deskov, ku ktorým priraďujú výlučne pozície</w:t>
      </w:r>
      <w:r w:rsidR="004F01E9">
        <w:rPr>
          <w:noProof/>
        </w:rPr>
        <w:t xml:space="preserve"> v </w:t>
      </w:r>
      <w:r w:rsidRPr="004F01E9">
        <w:rPr>
          <w:noProof/>
        </w:rPr>
        <w:t>neobchodnej knihe, ktoré podliehajú devízovému riziku alebo komoditnému riziku. Na tieto trading desky sa nevzťahujú požiadavky stanovené</w:t>
      </w:r>
      <w:r w:rsidR="004F01E9">
        <w:rPr>
          <w:noProof/>
        </w:rPr>
        <w:t xml:space="preserve"> v </w:t>
      </w:r>
      <w:r w:rsidRPr="004F01E9">
        <w:rPr>
          <w:noProof/>
        </w:rPr>
        <w:t>odsekoch 1, 2</w:t>
      </w:r>
      <w:r w:rsidR="004F01E9">
        <w:rPr>
          <w:noProof/>
        </w:rPr>
        <w:t xml:space="preserve"> a </w:t>
      </w:r>
      <w:r w:rsidRPr="004F01E9">
        <w:rPr>
          <w:noProof/>
        </w:rPr>
        <w:t>3.“</w:t>
      </w:r>
    </w:p>
    <w:p w14:paraId="4BC0F02F" w14:textId="58BE5C1A" w:rsidR="00B25B3A" w:rsidRPr="004F01E9" w:rsidRDefault="00B16452" w:rsidP="00922524">
      <w:pPr>
        <w:pStyle w:val="Point0"/>
        <w:keepNext/>
        <w:keepLines/>
        <w:rPr>
          <w:noProof/>
        </w:rPr>
      </w:pPr>
      <w:r w:rsidRPr="00B16452">
        <w:rPr>
          <w:noProof/>
        </w:rPr>
        <w:t>29</w:t>
      </w:r>
      <w:r>
        <w:rPr>
          <w:noProof/>
        </w:rPr>
        <w:t>.</w:t>
      </w:r>
      <w:r w:rsidRPr="00B16452">
        <w:rPr>
          <w:noProof/>
        </w:rPr>
        <w:tab/>
      </w:r>
      <w:r w:rsidR="00B25B3A" w:rsidRPr="004F01E9">
        <w:rPr>
          <w:noProof/>
        </w:rPr>
        <w:t>Vkladá sa tento článok 104c:</w:t>
      </w:r>
    </w:p>
    <w:p w14:paraId="43CB2BB1" w14:textId="25BF8599" w:rsidR="00B25B3A" w:rsidRPr="004F01E9" w:rsidRDefault="00B25B3A" w:rsidP="00922524">
      <w:pPr>
        <w:pStyle w:val="Titrearticle"/>
        <w:keepLines/>
        <w:rPr>
          <w:i w:val="0"/>
          <w:noProof/>
        </w:rPr>
      </w:pPr>
      <w:r w:rsidRPr="004F01E9">
        <w:rPr>
          <w:noProof/>
        </w:rPr>
        <w:t>„Článok 104c</w:t>
      </w:r>
      <w:r w:rsidR="004F01E9" w:rsidRPr="004F01E9">
        <w:rPr>
          <w:noProof/>
        </w:rPr>
        <w:t xml:space="preserve"> </w:t>
      </w:r>
      <w:r w:rsidRPr="004F01E9">
        <w:rPr>
          <w:noProof/>
        </w:rPr>
        <w:br/>
      </w:r>
      <w:r w:rsidRPr="004F01E9">
        <w:rPr>
          <w:b/>
          <w:noProof/>
        </w:rPr>
        <w:t>Zaobchádzanie</w:t>
      </w:r>
      <w:r w:rsidR="004F01E9">
        <w:rPr>
          <w:b/>
          <w:noProof/>
        </w:rPr>
        <w:t xml:space="preserve"> s </w:t>
      </w:r>
      <w:r w:rsidRPr="004F01E9">
        <w:rPr>
          <w:b/>
          <w:noProof/>
        </w:rPr>
        <w:t>hedžingom devízového rizika podielov kapitálu</w:t>
      </w:r>
    </w:p>
    <w:p w14:paraId="491E7F27" w14:textId="55EE6CCC" w:rsidR="00806B81" w:rsidRPr="004F01E9" w:rsidRDefault="00B25B3A" w:rsidP="00922524">
      <w:pPr>
        <w:pStyle w:val="Text1"/>
        <w:keepNext/>
        <w:keepLines/>
        <w:rPr>
          <w:noProof/>
        </w:rPr>
      </w:pPr>
      <w:r w:rsidRPr="004F01E9">
        <w:rPr>
          <w:noProof/>
        </w:rPr>
        <w:t>1. Inštitúcia, ktorá zámerne prijala rizikovú pozíciu</w:t>
      </w:r>
      <w:r w:rsidR="004F01E9">
        <w:rPr>
          <w:noProof/>
        </w:rPr>
        <w:t xml:space="preserve"> s </w:t>
      </w:r>
      <w:r w:rsidRPr="004F01E9">
        <w:rPr>
          <w:noProof/>
        </w:rPr>
        <w:t>cieľom aspoň čiastočne hedžovať voči nepriaznivým pohybom devízových kurzov ktoréhokoľvek zo svojich podielov kapitálu uvedených</w:t>
      </w:r>
      <w:r w:rsidR="004F01E9">
        <w:rPr>
          <w:noProof/>
        </w:rPr>
        <w:t xml:space="preserve"> v </w:t>
      </w:r>
      <w:r w:rsidRPr="004F01E9">
        <w:rPr>
          <w:noProof/>
        </w:rPr>
        <w:t>článku 92 ods. 1 písm. a), b)</w:t>
      </w:r>
      <w:r w:rsidR="004F01E9">
        <w:rPr>
          <w:noProof/>
        </w:rPr>
        <w:t xml:space="preserve"> a </w:t>
      </w:r>
      <w:r w:rsidRPr="004F01E9">
        <w:rPr>
          <w:noProof/>
        </w:rPr>
        <w:t>c), môže</w:t>
      </w:r>
      <w:r w:rsidR="004F01E9">
        <w:rPr>
          <w:noProof/>
        </w:rPr>
        <w:t xml:space="preserve"> s </w:t>
      </w:r>
      <w:r w:rsidRPr="004F01E9">
        <w:rPr>
          <w:noProof/>
        </w:rPr>
        <w:t>povolením príslušných orgánov túto rizikovú pozíciu vylúčiť</w:t>
      </w:r>
      <w:r w:rsidR="004F01E9">
        <w:rPr>
          <w:noProof/>
        </w:rPr>
        <w:t xml:space="preserve"> z </w:t>
      </w:r>
      <w:r w:rsidRPr="004F01E9">
        <w:rPr>
          <w:noProof/>
        </w:rPr>
        <w:t>požiadaviek na vlastné zdroje pre devízové riziko stanovených</w:t>
      </w:r>
      <w:r w:rsidR="004F01E9">
        <w:rPr>
          <w:noProof/>
        </w:rPr>
        <w:t xml:space="preserve"> v </w:t>
      </w:r>
      <w:r w:rsidRPr="004F01E9">
        <w:rPr>
          <w:noProof/>
        </w:rPr>
        <w:t>článku 325 ods. 1 za predpokladu, že sú splnené všetky tieto podmienky:</w:t>
      </w:r>
    </w:p>
    <w:p w14:paraId="1EEC795D" w14:textId="3E69A627" w:rsidR="00B25B3A" w:rsidRPr="004F01E9" w:rsidRDefault="00B25B3A" w:rsidP="006E2B26">
      <w:pPr>
        <w:pStyle w:val="Point1"/>
        <w:rPr>
          <w:noProof/>
        </w:rPr>
      </w:pPr>
      <w:r w:rsidRPr="004F01E9">
        <w:rPr>
          <w:noProof/>
        </w:rPr>
        <w:t>a)</w:t>
      </w:r>
      <w:r w:rsidRPr="004F01E9">
        <w:rPr>
          <w:noProof/>
        </w:rPr>
        <w:tab/>
        <w:t>maximálna výška rizikovej pozície, ktorá je vylúčená</w:t>
      </w:r>
      <w:r w:rsidR="004F01E9">
        <w:rPr>
          <w:noProof/>
        </w:rPr>
        <w:t xml:space="preserve"> z </w:t>
      </w:r>
      <w:r w:rsidRPr="004F01E9">
        <w:rPr>
          <w:noProof/>
        </w:rPr>
        <w:t>požiadaviek na vlastné zdroje pre trhové riziko, je obmedzená do výšky rizikovej pozície, ktorá neutralizuje citlivosť ktoréhokoľvek</w:t>
      </w:r>
      <w:r w:rsidR="004F01E9">
        <w:rPr>
          <w:noProof/>
        </w:rPr>
        <w:t xml:space="preserve"> z </w:t>
      </w:r>
      <w:r w:rsidRPr="004F01E9">
        <w:rPr>
          <w:noProof/>
        </w:rPr>
        <w:t>podielov kapitálu na nepriaznivé pohyby devízových kurzov;</w:t>
      </w:r>
    </w:p>
    <w:p w14:paraId="70F8B1CF" w14:textId="136BAB64" w:rsidR="00B25B3A" w:rsidRPr="004F01E9" w:rsidRDefault="00B25B3A" w:rsidP="006E2B26">
      <w:pPr>
        <w:pStyle w:val="Point1"/>
        <w:rPr>
          <w:noProof/>
        </w:rPr>
      </w:pPr>
      <w:r w:rsidRPr="004F01E9">
        <w:rPr>
          <w:noProof/>
        </w:rPr>
        <w:t>b)</w:t>
      </w:r>
      <w:r w:rsidRPr="004F01E9">
        <w:rPr>
          <w:noProof/>
        </w:rPr>
        <w:tab/>
        <w:t>riziková pozícia je vylúčená</w:t>
      </w:r>
      <w:r w:rsidR="004F01E9">
        <w:rPr>
          <w:noProof/>
        </w:rPr>
        <w:t xml:space="preserve"> z </w:t>
      </w:r>
      <w:r w:rsidRPr="004F01E9">
        <w:rPr>
          <w:noProof/>
        </w:rPr>
        <w:t>požiadaviek na vlastné zdroje pre trhové riziko na obdobie najmenej 6 mesiacov;</w:t>
      </w:r>
    </w:p>
    <w:p w14:paraId="0FCA47EA" w14:textId="7CFEB000" w:rsidR="00B25B3A" w:rsidRPr="004F01E9" w:rsidRDefault="00B25B3A" w:rsidP="006E2B26">
      <w:pPr>
        <w:pStyle w:val="Point1"/>
        <w:rPr>
          <w:noProof/>
        </w:rPr>
      </w:pPr>
      <w:r w:rsidRPr="004F01E9">
        <w:rPr>
          <w:noProof/>
        </w:rPr>
        <w:t>c)</w:t>
      </w:r>
      <w:r w:rsidRPr="004F01E9">
        <w:rPr>
          <w:noProof/>
        </w:rPr>
        <w:tab/>
        <w:t>inštitúcia zriadila primeraný rámec riadenia rizík pre hedžing nepriaznivých pohybov devízových kurzov na ktorýkoľvek zo svojich podielov kapitálu vrátane jasnej hedžingovej stratégie</w:t>
      </w:r>
      <w:r w:rsidR="004F01E9">
        <w:rPr>
          <w:noProof/>
        </w:rPr>
        <w:t xml:space="preserve"> a </w:t>
      </w:r>
      <w:r w:rsidRPr="004F01E9">
        <w:rPr>
          <w:noProof/>
        </w:rPr>
        <w:t>štruktúry riadenia;</w:t>
      </w:r>
    </w:p>
    <w:p w14:paraId="5E359D45" w14:textId="55E16D3A" w:rsidR="00B25B3A" w:rsidRPr="004F01E9" w:rsidRDefault="00B25B3A" w:rsidP="006E2B26">
      <w:pPr>
        <w:pStyle w:val="Point1"/>
        <w:rPr>
          <w:noProof/>
        </w:rPr>
      </w:pPr>
      <w:r w:rsidRPr="004F01E9">
        <w:rPr>
          <w:noProof/>
        </w:rPr>
        <w:t>d)</w:t>
      </w:r>
      <w:r w:rsidRPr="004F01E9">
        <w:rPr>
          <w:noProof/>
        </w:rPr>
        <w:tab/>
        <w:t>inštitúcia poskytla príslušným orgánom odôvodnenie vylúčenia rizikovej pozície</w:t>
      </w:r>
      <w:r w:rsidR="004F01E9">
        <w:rPr>
          <w:noProof/>
        </w:rPr>
        <w:t xml:space="preserve"> z </w:t>
      </w:r>
      <w:r w:rsidRPr="004F01E9">
        <w:rPr>
          <w:noProof/>
        </w:rPr>
        <w:t>požiadaviek na vlastné zdroje pre trhové riziko, podrobnosti</w:t>
      </w:r>
      <w:r w:rsidR="004F01E9">
        <w:rPr>
          <w:noProof/>
        </w:rPr>
        <w:t xml:space="preserve"> o </w:t>
      </w:r>
      <w:r w:rsidRPr="004F01E9">
        <w:rPr>
          <w:noProof/>
        </w:rPr>
        <w:t>tejto rizikovej pozícii</w:t>
      </w:r>
      <w:r w:rsidR="004F01E9">
        <w:rPr>
          <w:noProof/>
        </w:rPr>
        <w:t xml:space="preserve"> a </w:t>
      </w:r>
      <w:r w:rsidRPr="004F01E9">
        <w:rPr>
          <w:noProof/>
        </w:rPr>
        <w:t>výšku sumy, ktorá sa má vylúčiť</w:t>
      </w:r>
      <w:r w:rsidR="004F01E9">
        <w:rPr>
          <w:noProof/>
        </w:rPr>
        <w:t xml:space="preserve"> z </w:t>
      </w:r>
      <w:r w:rsidRPr="004F01E9">
        <w:rPr>
          <w:noProof/>
        </w:rPr>
        <w:t>požiadaviek na vlastné zdroje pre trhové riziko.</w:t>
      </w:r>
    </w:p>
    <w:p w14:paraId="49DF41EC" w14:textId="274F5A40" w:rsidR="00B25B3A" w:rsidRPr="004F01E9" w:rsidRDefault="00B25B3A" w:rsidP="00B25B3A">
      <w:pPr>
        <w:pStyle w:val="Text1"/>
        <w:rPr>
          <w:noProof/>
        </w:rPr>
      </w:pPr>
      <w:r w:rsidRPr="004F01E9">
        <w:rPr>
          <w:noProof/>
        </w:rPr>
        <w:t>2. Každé vylúčenie rizikových pozícií</w:t>
      </w:r>
      <w:r w:rsidR="004F01E9">
        <w:rPr>
          <w:noProof/>
        </w:rPr>
        <w:t xml:space="preserve"> z </w:t>
      </w:r>
      <w:r w:rsidRPr="004F01E9">
        <w:rPr>
          <w:noProof/>
        </w:rPr>
        <w:t>požiadaviek na vlastné zdroje pre trhové riziko</w:t>
      </w:r>
      <w:r w:rsidR="004F01E9">
        <w:rPr>
          <w:noProof/>
        </w:rPr>
        <w:t xml:space="preserve"> v </w:t>
      </w:r>
      <w:r w:rsidRPr="004F01E9">
        <w:rPr>
          <w:noProof/>
        </w:rPr>
        <w:t>súlade</w:t>
      </w:r>
      <w:r w:rsidR="004F01E9">
        <w:rPr>
          <w:noProof/>
        </w:rPr>
        <w:t xml:space="preserve"> s </w:t>
      </w:r>
      <w:r w:rsidRPr="004F01E9">
        <w:rPr>
          <w:noProof/>
        </w:rPr>
        <w:t>odsekom 1 sa musí uplatňovať konzistentne.</w:t>
      </w:r>
    </w:p>
    <w:p w14:paraId="14F0DD1E" w14:textId="54580369" w:rsidR="00B25B3A" w:rsidRPr="004F01E9" w:rsidRDefault="00B25B3A" w:rsidP="00B25B3A">
      <w:pPr>
        <w:pStyle w:val="Text1"/>
        <w:rPr>
          <w:noProof/>
        </w:rPr>
      </w:pPr>
      <w:r w:rsidRPr="004F01E9">
        <w:rPr>
          <w:noProof/>
        </w:rPr>
        <w:t>3. Príslušné orgány schvaľujú všetky zmeny rámca riadenia rizík uvedeného</w:t>
      </w:r>
      <w:r w:rsidR="004F01E9">
        <w:rPr>
          <w:noProof/>
        </w:rPr>
        <w:t xml:space="preserve"> v </w:t>
      </w:r>
      <w:r w:rsidRPr="004F01E9">
        <w:rPr>
          <w:noProof/>
        </w:rPr>
        <w:t>odseku 1 písm. c) vykonané inštitúciou</w:t>
      </w:r>
      <w:r w:rsidR="004F01E9">
        <w:rPr>
          <w:noProof/>
        </w:rPr>
        <w:t xml:space="preserve"> a </w:t>
      </w:r>
      <w:r w:rsidRPr="004F01E9">
        <w:rPr>
          <w:noProof/>
        </w:rPr>
        <w:t>podrobností rizikových pozícií uvedených</w:t>
      </w:r>
      <w:r w:rsidR="004F01E9">
        <w:rPr>
          <w:noProof/>
        </w:rPr>
        <w:t xml:space="preserve"> v </w:t>
      </w:r>
      <w:r w:rsidRPr="004F01E9">
        <w:rPr>
          <w:noProof/>
        </w:rPr>
        <w:t>odseku 1 písm. d).</w:t>
      </w:r>
    </w:p>
    <w:p w14:paraId="0EC363A1" w14:textId="16EEA191" w:rsidR="00806B81" w:rsidRPr="004F01E9" w:rsidRDefault="00B25B3A" w:rsidP="00B25B3A">
      <w:pPr>
        <w:pStyle w:val="Text1"/>
        <w:rPr>
          <w:noProof/>
        </w:rPr>
      </w:pPr>
      <w:r w:rsidRPr="004F01E9">
        <w:rPr>
          <w:noProof/>
        </w:rPr>
        <w:t>4. Orgán EBA vypracuje návrh regulačných technických predpisov</w:t>
      </w:r>
      <w:r w:rsidR="004F01E9">
        <w:rPr>
          <w:noProof/>
        </w:rPr>
        <w:t xml:space="preserve"> s </w:t>
      </w:r>
      <w:r w:rsidRPr="004F01E9">
        <w:rPr>
          <w:noProof/>
        </w:rPr>
        <w:t>cieľom presne stanoviť:</w:t>
      </w:r>
    </w:p>
    <w:p w14:paraId="27E422D4" w14:textId="5BFA11DA" w:rsidR="00B25B3A" w:rsidRPr="004F01E9" w:rsidRDefault="00B25B3A" w:rsidP="00B25B3A">
      <w:pPr>
        <w:pStyle w:val="Point1"/>
        <w:rPr>
          <w:noProof/>
        </w:rPr>
      </w:pPr>
      <w:r w:rsidRPr="004F01E9">
        <w:rPr>
          <w:noProof/>
        </w:rPr>
        <w:t>a)</w:t>
      </w:r>
      <w:r w:rsidRPr="004F01E9">
        <w:rPr>
          <w:noProof/>
        </w:rPr>
        <w:tab/>
        <w:t>rizikové pozície, ktoré inštitúcia môže zámerne prijať</w:t>
      </w:r>
      <w:r w:rsidR="004F01E9">
        <w:rPr>
          <w:noProof/>
        </w:rPr>
        <w:t xml:space="preserve"> s </w:t>
      </w:r>
      <w:r w:rsidRPr="004F01E9">
        <w:rPr>
          <w:noProof/>
        </w:rPr>
        <w:t>cieľom aspoň čiastočne hedžovať voči nepriaznivým pohybom devízových kurzov ktoréhokoľvek</w:t>
      </w:r>
      <w:r w:rsidR="004F01E9">
        <w:rPr>
          <w:noProof/>
        </w:rPr>
        <w:t xml:space="preserve"> z </w:t>
      </w:r>
      <w:r w:rsidRPr="004F01E9">
        <w:rPr>
          <w:noProof/>
        </w:rPr>
        <w:t>podielov kapitálu inštitúcie uvedených</w:t>
      </w:r>
      <w:r w:rsidR="004F01E9">
        <w:rPr>
          <w:noProof/>
        </w:rPr>
        <w:t xml:space="preserve"> v </w:t>
      </w:r>
      <w:r w:rsidRPr="004F01E9">
        <w:rPr>
          <w:noProof/>
        </w:rPr>
        <w:t>odseku 1 prvom pododseku;</w:t>
      </w:r>
    </w:p>
    <w:p w14:paraId="7618F1A9" w14:textId="21B98018" w:rsidR="00B25B3A" w:rsidRPr="004F01E9" w:rsidRDefault="00B25B3A" w:rsidP="00B25B3A">
      <w:pPr>
        <w:pStyle w:val="Point1"/>
        <w:rPr>
          <w:noProof/>
        </w:rPr>
      </w:pPr>
      <w:r w:rsidRPr="004F01E9">
        <w:rPr>
          <w:noProof/>
        </w:rPr>
        <w:t>b)</w:t>
      </w:r>
      <w:r w:rsidRPr="004F01E9">
        <w:rPr>
          <w:noProof/>
        </w:rPr>
        <w:tab/>
        <w:t>ako určiť maximálnu výšku uvedenú</w:t>
      </w:r>
      <w:r w:rsidR="004F01E9">
        <w:rPr>
          <w:noProof/>
        </w:rPr>
        <w:t xml:space="preserve"> v </w:t>
      </w:r>
      <w:r w:rsidRPr="004F01E9">
        <w:rPr>
          <w:noProof/>
        </w:rPr>
        <w:t>odseku 1 písm. a)</w:t>
      </w:r>
      <w:r w:rsidR="004F01E9">
        <w:rPr>
          <w:noProof/>
        </w:rPr>
        <w:t xml:space="preserve"> a </w:t>
      </w:r>
      <w:r w:rsidRPr="004F01E9">
        <w:rPr>
          <w:noProof/>
        </w:rPr>
        <w:t>spôsob, akým inštitúcia vylúči túto sumu pre každý</w:t>
      </w:r>
      <w:r w:rsidR="004F01E9">
        <w:rPr>
          <w:noProof/>
        </w:rPr>
        <w:t xml:space="preserve"> z </w:t>
      </w:r>
      <w:r w:rsidRPr="004F01E9">
        <w:rPr>
          <w:noProof/>
        </w:rPr>
        <w:t>prístupov stanovených</w:t>
      </w:r>
      <w:r w:rsidR="004F01E9">
        <w:rPr>
          <w:noProof/>
        </w:rPr>
        <w:t xml:space="preserve"> v </w:t>
      </w:r>
      <w:r w:rsidRPr="004F01E9">
        <w:rPr>
          <w:noProof/>
        </w:rPr>
        <w:t>článku 325 ods. 1;</w:t>
      </w:r>
    </w:p>
    <w:p w14:paraId="35FBC7A6" w14:textId="33E9F73A" w:rsidR="00B25B3A" w:rsidRPr="004F01E9" w:rsidRDefault="00B25B3A" w:rsidP="00B25B3A">
      <w:pPr>
        <w:pStyle w:val="Point1"/>
        <w:rPr>
          <w:noProof/>
        </w:rPr>
      </w:pPr>
      <w:r w:rsidRPr="004F01E9">
        <w:rPr>
          <w:noProof/>
        </w:rPr>
        <w:t>c)</w:t>
      </w:r>
      <w:r w:rsidRPr="004F01E9">
        <w:rPr>
          <w:noProof/>
        </w:rPr>
        <w:tab/>
        <w:t>kritériá, ktoré musí spĺňať rámec riadenia rizík inštitúcie uvedený</w:t>
      </w:r>
      <w:r w:rsidR="004F01E9">
        <w:rPr>
          <w:noProof/>
        </w:rPr>
        <w:t xml:space="preserve"> v </w:t>
      </w:r>
      <w:r w:rsidRPr="004F01E9">
        <w:rPr>
          <w:noProof/>
        </w:rPr>
        <w:t>odseku 1 písm. c), aby sa mohol na účely tohto článku považovať za primeraný.</w:t>
      </w:r>
    </w:p>
    <w:p w14:paraId="1726EA79" w14:textId="77777777" w:rsidR="00B25B3A" w:rsidRPr="004F01E9" w:rsidRDefault="00B25B3A" w:rsidP="00B25B3A">
      <w:pPr>
        <w:pStyle w:val="Text1"/>
        <w:rPr>
          <w:noProof/>
        </w:rPr>
      </w:pPr>
      <w:r w:rsidRPr="004F01E9">
        <w:rPr>
          <w:noProof/>
        </w:rPr>
        <w:t>Orgán EBA predloží Komisii uvedený návrh regulačných technických predpisov do [Úrad pre publikácie, vložte dátum = 2 roky po nadobudnutí účinnosti tohto nariadenia].</w:t>
      </w:r>
    </w:p>
    <w:p w14:paraId="4AFDDC27" w14:textId="37B43FDE" w:rsidR="00B25B3A" w:rsidRPr="004F01E9" w:rsidRDefault="00B25B3A" w:rsidP="00B25B3A">
      <w:pPr>
        <w:pStyle w:val="Text1"/>
        <w:rPr>
          <w:noProof/>
        </w:rPr>
      </w:pPr>
      <w:r w:rsidRPr="004F01E9">
        <w:rPr>
          <w:noProof/>
        </w:rPr>
        <w:t>Na Komisiu sa deleguje právomoc prijať regulačné technické predpisy uvedené</w:t>
      </w:r>
      <w:r w:rsidR="004F01E9">
        <w:rPr>
          <w:noProof/>
        </w:rPr>
        <w:t xml:space="preserve"> v </w:t>
      </w:r>
      <w:r w:rsidRPr="004F01E9">
        <w:rPr>
          <w:noProof/>
        </w:rPr>
        <w:t>prvom pododseku</w:t>
      </w:r>
      <w:r w:rsidR="004F01E9">
        <w:rPr>
          <w:noProof/>
        </w:rPr>
        <w:t xml:space="preserve"> v </w:t>
      </w:r>
      <w:r w:rsidRPr="004F01E9">
        <w:rPr>
          <w:noProof/>
        </w:rPr>
        <w:t>súlade</w:t>
      </w:r>
      <w:r w:rsidR="004F01E9">
        <w:rPr>
          <w:noProof/>
        </w:rPr>
        <w:t xml:space="preserve"> s </w:t>
      </w:r>
      <w:r w:rsidRPr="004F01E9">
        <w:rPr>
          <w:noProof/>
        </w:rPr>
        <w:t xml:space="preserve">článkami 10 až 14 nariadenia (EÚ) </w:t>
      </w:r>
      <w:r w:rsidR="004F01E9">
        <w:rPr>
          <w:noProof/>
        </w:rPr>
        <w:t>č. </w:t>
      </w:r>
      <w:r w:rsidRPr="004F01E9">
        <w:rPr>
          <w:noProof/>
        </w:rPr>
        <w:t>1093/2010.“</w:t>
      </w:r>
    </w:p>
    <w:p w14:paraId="07F3A6DA" w14:textId="1B879257" w:rsidR="00B25B3A" w:rsidRPr="004F01E9" w:rsidRDefault="00B16452" w:rsidP="00922524">
      <w:pPr>
        <w:pStyle w:val="Point0"/>
        <w:keepNext/>
        <w:keepLines/>
        <w:rPr>
          <w:noProof/>
        </w:rPr>
      </w:pPr>
      <w:r w:rsidRPr="00B16452">
        <w:rPr>
          <w:noProof/>
        </w:rPr>
        <w:t>30</w:t>
      </w:r>
      <w:r>
        <w:rPr>
          <w:noProof/>
        </w:rPr>
        <w:t>.</w:t>
      </w:r>
      <w:r w:rsidRPr="00B16452">
        <w:rPr>
          <w:noProof/>
        </w:rPr>
        <w:tab/>
      </w:r>
      <w:r w:rsidR="00B25B3A" w:rsidRPr="004F01E9">
        <w:rPr>
          <w:noProof/>
        </w:rPr>
        <w:t>Článok 106 sa mení takto:</w:t>
      </w:r>
    </w:p>
    <w:p w14:paraId="2954B524" w14:textId="321A2E96" w:rsidR="00B25B3A" w:rsidRPr="004F01E9" w:rsidRDefault="006E2B26" w:rsidP="00922524">
      <w:pPr>
        <w:pStyle w:val="Point1"/>
        <w:keepNext/>
        <w:keepLines/>
        <w:rPr>
          <w:noProof/>
        </w:rPr>
      </w:pPr>
      <w:r w:rsidRPr="004F01E9">
        <w:rPr>
          <w:noProof/>
        </w:rPr>
        <w:t>a)</w:t>
      </w:r>
      <w:r w:rsidRPr="004F01E9">
        <w:rPr>
          <w:noProof/>
        </w:rPr>
        <w:tab/>
        <w:t>V odseku 3 sa posledný pododsek nahrádza takto:</w:t>
      </w:r>
    </w:p>
    <w:p w14:paraId="31B5E58B" w14:textId="55FAA76D" w:rsidR="00B25B3A" w:rsidRPr="004F01E9" w:rsidRDefault="00B25B3A" w:rsidP="00922524">
      <w:pPr>
        <w:pStyle w:val="Text2"/>
        <w:keepNext/>
        <w:keepLines/>
        <w:rPr>
          <w:noProof/>
        </w:rPr>
      </w:pPr>
      <w:r w:rsidRPr="004F01E9">
        <w:rPr>
          <w:noProof/>
        </w:rPr>
        <w:t>„Interný hedžing uznaný</w:t>
      </w:r>
      <w:r w:rsidR="004F01E9">
        <w:rPr>
          <w:noProof/>
        </w:rPr>
        <w:t xml:space="preserve"> v </w:t>
      </w:r>
      <w:r w:rsidRPr="004F01E9">
        <w:rPr>
          <w:noProof/>
        </w:rPr>
        <w:t>súlade</w:t>
      </w:r>
      <w:r w:rsidR="004F01E9">
        <w:rPr>
          <w:noProof/>
        </w:rPr>
        <w:t xml:space="preserve"> s </w:t>
      </w:r>
      <w:r w:rsidRPr="004F01E9">
        <w:rPr>
          <w:noProof/>
        </w:rPr>
        <w:t>prvým pododsekom</w:t>
      </w:r>
      <w:r w:rsidR="004F01E9">
        <w:rPr>
          <w:noProof/>
        </w:rPr>
        <w:t xml:space="preserve"> i </w:t>
      </w:r>
      <w:r w:rsidRPr="004F01E9">
        <w:rPr>
          <w:noProof/>
        </w:rPr>
        <w:t>kreditný derivát uzavretý</w:t>
      </w:r>
      <w:r w:rsidR="004F01E9">
        <w:rPr>
          <w:noProof/>
        </w:rPr>
        <w:t xml:space="preserve"> s </w:t>
      </w:r>
      <w:r w:rsidRPr="004F01E9">
        <w:rPr>
          <w:noProof/>
        </w:rPr>
        <w:t>treťou stranou sa zahŕňajú do obchodnej knihy na výpočet požiadaviek na vlastné zdroje pre trhové riziko. Na výpočet požiadaviek na vlastné zdroje pre trhové riziko pomocou prístupu stanoveného</w:t>
      </w:r>
      <w:r w:rsidR="004F01E9">
        <w:rPr>
          <w:noProof/>
        </w:rPr>
        <w:t xml:space="preserve"> v </w:t>
      </w:r>
      <w:r w:rsidRPr="004F01E9">
        <w:rPr>
          <w:noProof/>
        </w:rPr>
        <w:t>článku 325 ods. 1 písm. b) sa obe pozície priraďujú</w:t>
      </w:r>
      <w:r w:rsidR="004F01E9">
        <w:rPr>
          <w:noProof/>
        </w:rPr>
        <w:t xml:space="preserve"> k </w:t>
      </w:r>
      <w:r w:rsidRPr="004F01E9">
        <w:rPr>
          <w:noProof/>
        </w:rPr>
        <w:t>tomu istému trading desku zriadenému</w:t>
      </w:r>
      <w:r w:rsidR="004F01E9">
        <w:rPr>
          <w:noProof/>
        </w:rPr>
        <w:t xml:space="preserve"> v </w:t>
      </w:r>
      <w:r w:rsidRPr="004F01E9">
        <w:rPr>
          <w:noProof/>
        </w:rPr>
        <w:t>súlade</w:t>
      </w:r>
      <w:r w:rsidR="004F01E9">
        <w:rPr>
          <w:noProof/>
        </w:rPr>
        <w:t xml:space="preserve"> s </w:t>
      </w:r>
      <w:r w:rsidRPr="004F01E9">
        <w:rPr>
          <w:noProof/>
        </w:rPr>
        <w:t>článkom 104b ods. 1, ktorý riadi podobné riziká.“;</w:t>
      </w:r>
    </w:p>
    <w:p w14:paraId="2A33D991" w14:textId="7DB3748A" w:rsidR="00B25B3A" w:rsidRPr="004F01E9" w:rsidRDefault="006E2B26" w:rsidP="006E2B26">
      <w:pPr>
        <w:pStyle w:val="Point1"/>
        <w:rPr>
          <w:noProof/>
        </w:rPr>
      </w:pPr>
      <w:r w:rsidRPr="004F01E9">
        <w:rPr>
          <w:noProof/>
        </w:rPr>
        <w:t>b)</w:t>
      </w:r>
      <w:r w:rsidRPr="004F01E9">
        <w:rPr>
          <w:noProof/>
        </w:rPr>
        <w:tab/>
        <w:t>V odseku 4 sa posledný pododsek nahrádza takto:</w:t>
      </w:r>
    </w:p>
    <w:p w14:paraId="222E61E0" w14:textId="70AA594A" w:rsidR="00B25B3A" w:rsidRPr="00922524" w:rsidRDefault="00B25B3A" w:rsidP="00B25B3A">
      <w:pPr>
        <w:pStyle w:val="Text2"/>
        <w:rPr>
          <w:noProof/>
          <w:spacing w:val="-10"/>
        </w:rPr>
      </w:pPr>
      <w:r w:rsidRPr="00922524">
        <w:rPr>
          <w:noProof/>
          <w:spacing w:val="-10"/>
        </w:rPr>
        <w:t>„Interný hedžing uznaný</w:t>
      </w:r>
      <w:r w:rsidR="004F01E9" w:rsidRPr="00922524">
        <w:rPr>
          <w:noProof/>
          <w:spacing w:val="-10"/>
        </w:rPr>
        <w:t xml:space="preserve"> v </w:t>
      </w:r>
      <w:r w:rsidRPr="00922524">
        <w:rPr>
          <w:noProof/>
          <w:spacing w:val="-10"/>
        </w:rPr>
        <w:t>súlade</w:t>
      </w:r>
      <w:r w:rsidR="004F01E9" w:rsidRPr="00922524">
        <w:rPr>
          <w:noProof/>
          <w:spacing w:val="-10"/>
        </w:rPr>
        <w:t xml:space="preserve"> s </w:t>
      </w:r>
      <w:r w:rsidRPr="00922524">
        <w:rPr>
          <w:noProof/>
          <w:spacing w:val="-10"/>
        </w:rPr>
        <w:t>prvým pododsekom</w:t>
      </w:r>
      <w:r w:rsidR="004F01E9" w:rsidRPr="00922524">
        <w:rPr>
          <w:noProof/>
          <w:spacing w:val="-10"/>
        </w:rPr>
        <w:t xml:space="preserve"> i </w:t>
      </w:r>
      <w:r w:rsidRPr="00922524">
        <w:rPr>
          <w:noProof/>
          <w:spacing w:val="-10"/>
        </w:rPr>
        <w:t>akciový derivát uzavretý</w:t>
      </w:r>
      <w:r w:rsidR="004F01E9" w:rsidRPr="00922524">
        <w:rPr>
          <w:noProof/>
          <w:spacing w:val="-10"/>
        </w:rPr>
        <w:t xml:space="preserve"> s </w:t>
      </w:r>
      <w:r w:rsidRPr="00922524">
        <w:rPr>
          <w:noProof/>
          <w:spacing w:val="-10"/>
        </w:rPr>
        <w:t>poskytovateľom zabezpečenia, ktorý je oprávnenou treťou stranou, sa zahrnú do obchodnej knihy na účely výpočtu požiadaviek na vlastné zdroje pre trhové riziko. Na účely výpočtu požiadaviek na vlastné zdroje pre trhové riziko pomocou prístupu stanoveného</w:t>
      </w:r>
      <w:r w:rsidR="004F01E9" w:rsidRPr="00922524">
        <w:rPr>
          <w:noProof/>
          <w:spacing w:val="-10"/>
        </w:rPr>
        <w:t xml:space="preserve"> v </w:t>
      </w:r>
      <w:r w:rsidRPr="00922524">
        <w:rPr>
          <w:noProof/>
          <w:spacing w:val="-10"/>
        </w:rPr>
        <w:t>článku 325 ods. 1 písm. b) sa obe pozície priraďujú</w:t>
      </w:r>
      <w:r w:rsidR="004F01E9" w:rsidRPr="00922524">
        <w:rPr>
          <w:noProof/>
          <w:spacing w:val="-10"/>
        </w:rPr>
        <w:t xml:space="preserve"> k </w:t>
      </w:r>
      <w:r w:rsidRPr="00922524">
        <w:rPr>
          <w:noProof/>
          <w:spacing w:val="-10"/>
        </w:rPr>
        <w:t>tomu istému trading desku zriadenému</w:t>
      </w:r>
      <w:r w:rsidR="004F01E9" w:rsidRPr="00922524">
        <w:rPr>
          <w:noProof/>
          <w:spacing w:val="-10"/>
        </w:rPr>
        <w:t xml:space="preserve"> v </w:t>
      </w:r>
      <w:r w:rsidRPr="00922524">
        <w:rPr>
          <w:noProof/>
          <w:spacing w:val="-10"/>
        </w:rPr>
        <w:t>súlade</w:t>
      </w:r>
      <w:r w:rsidR="004F01E9" w:rsidRPr="00922524">
        <w:rPr>
          <w:noProof/>
          <w:spacing w:val="-10"/>
        </w:rPr>
        <w:t xml:space="preserve"> s </w:t>
      </w:r>
      <w:r w:rsidRPr="00922524">
        <w:rPr>
          <w:noProof/>
          <w:spacing w:val="-10"/>
        </w:rPr>
        <w:t>článkom 104b ods. 1, ktorý riadi podobné riziká.“;</w:t>
      </w:r>
    </w:p>
    <w:p w14:paraId="686D8BD0" w14:textId="7F87C14E" w:rsidR="00B25B3A" w:rsidRPr="004F01E9" w:rsidRDefault="006E2B26" w:rsidP="006E2B26">
      <w:pPr>
        <w:pStyle w:val="Point1"/>
        <w:rPr>
          <w:noProof/>
        </w:rPr>
      </w:pPr>
      <w:r w:rsidRPr="004F01E9">
        <w:rPr>
          <w:noProof/>
        </w:rPr>
        <w:t>c)</w:t>
      </w:r>
      <w:r w:rsidRPr="004F01E9">
        <w:rPr>
          <w:noProof/>
        </w:rPr>
        <w:tab/>
        <w:t>Odsek 5 sa nahrádza takto:</w:t>
      </w:r>
    </w:p>
    <w:p w14:paraId="1171C3D4" w14:textId="4B647534" w:rsidR="00806B81" w:rsidRPr="00922524" w:rsidRDefault="00B25B3A" w:rsidP="00B25B3A">
      <w:pPr>
        <w:pStyle w:val="Text2"/>
        <w:rPr>
          <w:noProof/>
          <w:spacing w:val="-4"/>
        </w:rPr>
      </w:pPr>
      <w:r w:rsidRPr="00922524">
        <w:rPr>
          <w:noProof/>
          <w:spacing w:val="-4"/>
        </w:rPr>
        <w:t>„5. Ak inštitúcia hedžuje expozície voči úrokovému riziku</w:t>
      </w:r>
      <w:r w:rsidR="004F01E9" w:rsidRPr="00922524">
        <w:rPr>
          <w:noProof/>
          <w:spacing w:val="-4"/>
        </w:rPr>
        <w:t xml:space="preserve"> v </w:t>
      </w:r>
      <w:r w:rsidRPr="00922524">
        <w:rPr>
          <w:noProof/>
          <w:spacing w:val="-4"/>
        </w:rPr>
        <w:t>neobchodnej knihe použitím pozície úrokového rizika, ktorá je zahrnutá do jej obchodnej knihy, uvedená pozícia úrokového rizika sa uzná za interný hedžing na posúdenie úrokového rizika vyplývajúceho</w:t>
      </w:r>
      <w:r w:rsidR="004F01E9" w:rsidRPr="00922524">
        <w:rPr>
          <w:noProof/>
          <w:spacing w:val="-4"/>
        </w:rPr>
        <w:t xml:space="preserve"> z </w:t>
      </w:r>
      <w:r w:rsidRPr="00922524">
        <w:rPr>
          <w:noProof/>
          <w:spacing w:val="-4"/>
        </w:rPr>
        <w:t>pozícií</w:t>
      </w:r>
      <w:r w:rsidR="004F01E9" w:rsidRPr="00922524">
        <w:rPr>
          <w:noProof/>
          <w:spacing w:val="-4"/>
        </w:rPr>
        <w:t xml:space="preserve"> v </w:t>
      </w:r>
      <w:r w:rsidRPr="00922524">
        <w:rPr>
          <w:noProof/>
          <w:spacing w:val="-4"/>
        </w:rPr>
        <w:t>neobchodnej knihe</w:t>
      </w:r>
      <w:r w:rsidR="004F01E9" w:rsidRPr="00922524">
        <w:rPr>
          <w:noProof/>
          <w:spacing w:val="-4"/>
        </w:rPr>
        <w:t xml:space="preserve"> v </w:t>
      </w:r>
      <w:r w:rsidRPr="00922524">
        <w:rPr>
          <w:noProof/>
          <w:spacing w:val="-4"/>
        </w:rPr>
        <w:t>súlade</w:t>
      </w:r>
      <w:r w:rsidR="004F01E9" w:rsidRPr="00922524">
        <w:rPr>
          <w:noProof/>
          <w:spacing w:val="-4"/>
        </w:rPr>
        <w:t xml:space="preserve"> s </w:t>
      </w:r>
      <w:r w:rsidRPr="00922524">
        <w:rPr>
          <w:noProof/>
          <w:spacing w:val="-4"/>
        </w:rPr>
        <w:t>článkami 84</w:t>
      </w:r>
      <w:r w:rsidR="004F01E9" w:rsidRPr="00922524">
        <w:rPr>
          <w:noProof/>
          <w:spacing w:val="-4"/>
        </w:rPr>
        <w:t xml:space="preserve"> a </w:t>
      </w:r>
      <w:r w:rsidRPr="00922524">
        <w:rPr>
          <w:noProof/>
          <w:spacing w:val="-4"/>
        </w:rPr>
        <w:t>98 smernice 2013/36/EÚ, ak sú splnené tieto podmienky:</w:t>
      </w:r>
    </w:p>
    <w:p w14:paraId="1B8F0EF6" w14:textId="606873EB" w:rsidR="00806B81" w:rsidRPr="004F01E9" w:rsidRDefault="00B25B3A" w:rsidP="00B25B3A">
      <w:pPr>
        <w:pStyle w:val="Point2"/>
        <w:rPr>
          <w:noProof/>
        </w:rPr>
      </w:pPr>
      <w:r w:rsidRPr="004F01E9">
        <w:rPr>
          <w:noProof/>
        </w:rPr>
        <w:t>a)</w:t>
      </w:r>
      <w:r w:rsidRPr="004F01E9">
        <w:rPr>
          <w:noProof/>
        </w:rPr>
        <w:tab/>
        <w:t>na výpočet požiadaviek na vlastné zdroje pre trhové riziko pomocou prístupov uvedených</w:t>
      </w:r>
      <w:r w:rsidR="004F01E9">
        <w:rPr>
          <w:noProof/>
        </w:rPr>
        <w:t xml:space="preserve"> v </w:t>
      </w:r>
      <w:r w:rsidRPr="004F01E9">
        <w:rPr>
          <w:noProof/>
        </w:rPr>
        <w:t>článku 325 ods. 1 písm. a), b)</w:t>
      </w:r>
      <w:r w:rsidR="004F01E9">
        <w:rPr>
          <w:noProof/>
        </w:rPr>
        <w:t xml:space="preserve"> a </w:t>
      </w:r>
      <w:r w:rsidRPr="004F01E9">
        <w:rPr>
          <w:noProof/>
        </w:rPr>
        <w:t>c) bola úroková riziková pozícia priradená portfóliu oddelenému od ostatných pozícií</w:t>
      </w:r>
      <w:r w:rsidR="004F01E9">
        <w:rPr>
          <w:noProof/>
        </w:rPr>
        <w:t xml:space="preserve"> v </w:t>
      </w:r>
      <w:r w:rsidRPr="004F01E9">
        <w:rPr>
          <w:noProof/>
        </w:rPr>
        <w:t>obchodnej knihe, ktorých obchodná stratégia je určená výlučne na riadenie</w:t>
      </w:r>
      <w:r w:rsidR="004F01E9">
        <w:rPr>
          <w:noProof/>
        </w:rPr>
        <w:t xml:space="preserve"> a </w:t>
      </w:r>
      <w:r w:rsidRPr="004F01E9">
        <w:rPr>
          <w:noProof/>
        </w:rPr>
        <w:t>zmierňovanie trhového rizika interných hedžingov expozície voči úrokovému riziku;</w:t>
      </w:r>
    </w:p>
    <w:p w14:paraId="25758870" w14:textId="3E2A910D" w:rsidR="00806B81" w:rsidRPr="004F01E9" w:rsidRDefault="00B25B3A" w:rsidP="00B25B3A">
      <w:pPr>
        <w:pStyle w:val="Point2"/>
        <w:rPr>
          <w:noProof/>
        </w:rPr>
      </w:pPr>
      <w:r w:rsidRPr="004F01E9">
        <w:rPr>
          <w:noProof/>
        </w:rPr>
        <w:t>b)</w:t>
      </w:r>
      <w:r w:rsidRPr="004F01E9">
        <w:rPr>
          <w:noProof/>
        </w:rPr>
        <w:tab/>
        <w:t>na účely výpočtu požiadaviek na vlastné zdroje pre trhové riziko pomocou prístupov uvedených</w:t>
      </w:r>
      <w:r w:rsidR="004F01E9">
        <w:rPr>
          <w:noProof/>
        </w:rPr>
        <w:t xml:space="preserve"> v </w:t>
      </w:r>
      <w:r w:rsidRPr="004F01E9">
        <w:rPr>
          <w:noProof/>
        </w:rPr>
        <w:t>článku 325 ods. 1 písm. b) bola pozícia priradená</w:t>
      </w:r>
      <w:r w:rsidR="004F01E9">
        <w:rPr>
          <w:noProof/>
        </w:rPr>
        <w:t xml:space="preserve"> k </w:t>
      </w:r>
      <w:r w:rsidRPr="004F01E9">
        <w:rPr>
          <w:noProof/>
        </w:rPr>
        <w:t>trading desku zriadenému</w:t>
      </w:r>
      <w:r w:rsidR="004F01E9">
        <w:rPr>
          <w:noProof/>
        </w:rPr>
        <w:t xml:space="preserve"> v </w:t>
      </w:r>
      <w:r w:rsidRPr="004F01E9">
        <w:rPr>
          <w:noProof/>
        </w:rPr>
        <w:t>súlade</w:t>
      </w:r>
      <w:r w:rsidR="004F01E9">
        <w:rPr>
          <w:noProof/>
        </w:rPr>
        <w:t xml:space="preserve"> s </w:t>
      </w:r>
      <w:r w:rsidRPr="004F01E9">
        <w:rPr>
          <w:noProof/>
        </w:rPr>
        <w:t>článkom 104b, ktorého obchodná stratégia je určená výlučne na riadenie</w:t>
      </w:r>
      <w:r w:rsidR="004F01E9">
        <w:rPr>
          <w:noProof/>
        </w:rPr>
        <w:t xml:space="preserve"> a </w:t>
      </w:r>
      <w:r w:rsidRPr="004F01E9">
        <w:rPr>
          <w:noProof/>
        </w:rPr>
        <w:t>zmierňovanie trhového rizika interných hedžingov expozície voči úrokovému riziku;</w:t>
      </w:r>
    </w:p>
    <w:p w14:paraId="320418D4" w14:textId="0CCD804A" w:rsidR="00806B81" w:rsidRPr="004F01E9" w:rsidRDefault="00B25B3A" w:rsidP="00B25B3A">
      <w:pPr>
        <w:pStyle w:val="Point2"/>
        <w:rPr>
          <w:noProof/>
        </w:rPr>
      </w:pPr>
      <w:r w:rsidRPr="004F01E9">
        <w:rPr>
          <w:noProof/>
        </w:rPr>
        <w:t>c)</w:t>
      </w:r>
      <w:r w:rsidRPr="004F01E9">
        <w:rPr>
          <w:noProof/>
        </w:rPr>
        <w:tab/>
        <w:t>inštitúcia má plne zdokumentované, ako sa pozíciou zmierňuje úrokové riziko vyplývajúce</w:t>
      </w:r>
      <w:r w:rsidR="004F01E9">
        <w:rPr>
          <w:noProof/>
        </w:rPr>
        <w:t xml:space="preserve"> z </w:t>
      </w:r>
      <w:r w:rsidRPr="004F01E9">
        <w:rPr>
          <w:noProof/>
        </w:rPr>
        <w:t>pozícií</w:t>
      </w:r>
      <w:r w:rsidR="004F01E9">
        <w:rPr>
          <w:noProof/>
        </w:rPr>
        <w:t xml:space="preserve"> v </w:t>
      </w:r>
      <w:r w:rsidRPr="004F01E9">
        <w:rPr>
          <w:noProof/>
        </w:rPr>
        <w:t>neobchodnej knihe na účely požiadaviek uvedených</w:t>
      </w:r>
      <w:r w:rsidR="004F01E9">
        <w:rPr>
          <w:noProof/>
        </w:rPr>
        <w:t xml:space="preserve"> v </w:t>
      </w:r>
      <w:r w:rsidRPr="004F01E9">
        <w:rPr>
          <w:noProof/>
        </w:rPr>
        <w:t>článkoch 84</w:t>
      </w:r>
      <w:r w:rsidR="004F01E9">
        <w:rPr>
          <w:noProof/>
        </w:rPr>
        <w:t xml:space="preserve"> a </w:t>
      </w:r>
      <w:r w:rsidRPr="004F01E9">
        <w:rPr>
          <w:noProof/>
        </w:rPr>
        <w:t>98 smernice 2013/36/EÚ.“;</w:t>
      </w:r>
    </w:p>
    <w:p w14:paraId="2F660662" w14:textId="41D65A18" w:rsidR="00B25B3A" w:rsidRPr="004F01E9" w:rsidRDefault="006E2B26" w:rsidP="006E2B26">
      <w:pPr>
        <w:pStyle w:val="Point1"/>
        <w:rPr>
          <w:noProof/>
        </w:rPr>
      </w:pPr>
      <w:r w:rsidRPr="004F01E9">
        <w:rPr>
          <w:noProof/>
        </w:rPr>
        <w:t>d)</w:t>
      </w:r>
      <w:r w:rsidRPr="004F01E9">
        <w:rPr>
          <w:noProof/>
        </w:rPr>
        <w:tab/>
        <w:t>Vkladajú sa tieto odseky 5a</w:t>
      </w:r>
      <w:r w:rsidR="004F01E9">
        <w:rPr>
          <w:noProof/>
        </w:rPr>
        <w:t xml:space="preserve"> a </w:t>
      </w:r>
      <w:r w:rsidRPr="004F01E9">
        <w:rPr>
          <w:noProof/>
        </w:rPr>
        <w:t>5b:</w:t>
      </w:r>
    </w:p>
    <w:p w14:paraId="780FAB26" w14:textId="7767A365" w:rsidR="00B25B3A" w:rsidRPr="00922524" w:rsidRDefault="00B25B3A" w:rsidP="00B25B3A">
      <w:pPr>
        <w:pStyle w:val="Text2"/>
        <w:rPr>
          <w:noProof/>
          <w:spacing w:val="-4"/>
        </w:rPr>
      </w:pPr>
      <w:r w:rsidRPr="00922524">
        <w:rPr>
          <w:noProof/>
          <w:spacing w:val="-4"/>
        </w:rPr>
        <w:t>„5a. Inštitúcia môže na účely odseku 5 písm. a) priradiť uvedenému portfóliu iné pozície úrokového rizika, do ktorých vstúpila</w:t>
      </w:r>
      <w:r w:rsidR="004F01E9" w:rsidRPr="00922524">
        <w:rPr>
          <w:noProof/>
          <w:spacing w:val="-4"/>
        </w:rPr>
        <w:t xml:space="preserve"> s </w:t>
      </w:r>
      <w:r w:rsidRPr="00922524">
        <w:rPr>
          <w:noProof/>
          <w:spacing w:val="-4"/>
        </w:rPr>
        <w:t>tretími stranami alebo voči svojej vlastnej obchodnej knihe, pokiaľ inštitúcia dokonale kompenzuje trhové riziko týchto pozícií úrokového rizika, do ktorých vstúpila voči vlastnej obchodnej knihe,</w:t>
      </w:r>
      <w:r w:rsidR="004F01E9" w:rsidRPr="00922524">
        <w:rPr>
          <w:noProof/>
          <w:spacing w:val="-4"/>
        </w:rPr>
        <w:t xml:space="preserve"> a </w:t>
      </w:r>
      <w:r w:rsidRPr="00922524">
        <w:rPr>
          <w:noProof/>
          <w:spacing w:val="-4"/>
        </w:rPr>
        <w:t>to tak, že vstúpi do opačných pozícií úrokového rizika</w:t>
      </w:r>
      <w:r w:rsidR="004F01E9" w:rsidRPr="00922524">
        <w:rPr>
          <w:noProof/>
          <w:spacing w:val="-4"/>
        </w:rPr>
        <w:t xml:space="preserve"> s </w:t>
      </w:r>
      <w:r w:rsidRPr="00922524">
        <w:rPr>
          <w:noProof/>
          <w:spacing w:val="-4"/>
        </w:rPr>
        <w:t>tretími stranami.</w:t>
      </w:r>
    </w:p>
    <w:p w14:paraId="4CA54C59" w14:textId="231DBAFF" w:rsidR="00806B81" w:rsidRPr="004F01E9" w:rsidRDefault="00B25B3A" w:rsidP="00B25B3A">
      <w:pPr>
        <w:pStyle w:val="Text2"/>
        <w:rPr>
          <w:noProof/>
        </w:rPr>
      </w:pPr>
      <w:r w:rsidRPr="004F01E9">
        <w:rPr>
          <w:noProof/>
        </w:rPr>
        <w:t>5b. Na trading desk uvedený</w:t>
      </w:r>
      <w:r w:rsidR="004F01E9">
        <w:rPr>
          <w:noProof/>
        </w:rPr>
        <w:t xml:space="preserve"> v </w:t>
      </w:r>
      <w:r w:rsidRPr="004F01E9">
        <w:rPr>
          <w:noProof/>
        </w:rPr>
        <w:t>odseku 5 písm. b) sa vzťahujú tieto požiadavky:</w:t>
      </w:r>
    </w:p>
    <w:p w14:paraId="21CD2BAE" w14:textId="02B371BC" w:rsidR="00B25B3A" w:rsidRPr="004F01E9" w:rsidRDefault="006E2B26" w:rsidP="006E2B26">
      <w:pPr>
        <w:pStyle w:val="Point2"/>
        <w:rPr>
          <w:noProof/>
        </w:rPr>
      </w:pPr>
      <w:r w:rsidRPr="004F01E9">
        <w:rPr>
          <w:noProof/>
        </w:rPr>
        <w:t>a)</w:t>
      </w:r>
      <w:r w:rsidRPr="004F01E9">
        <w:rPr>
          <w:noProof/>
        </w:rPr>
        <w:tab/>
        <w:t>uvedený trading desk môže zahŕňať iné pozície úrokového rizika, do ktorých vstúpila</w:t>
      </w:r>
      <w:r w:rsidR="004F01E9">
        <w:rPr>
          <w:noProof/>
        </w:rPr>
        <w:t xml:space="preserve"> s </w:t>
      </w:r>
      <w:r w:rsidRPr="004F01E9">
        <w:rPr>
          <w:noProof/>
        </w:rPr>
        <w:t>tretími stranami alebo inými trading deskmi inštitúcie, pokiaľ uvedené pozície spĺňajú požiadavky na zahrnutie do obchodnej knihy uvedené</w:t>
      </w:r>
      <w:r w:rsidR="004F01E9">
        <w:rPr>
          <w:noProof/>
        </w:rPr>
        <w:t xml:space="preserve"> v </w:t>
      </w:r>
      <w:r w:rsidRPr="004F01E9">
        <w:rPr>
          <w:noProof/>
        </w:rPr>
        <w:t>článku 104</w:t>
      </w:r>
      <w:r w:rsidR="004F01E9">
        <w:rPr>
          <w:noProof/>
        </w:rPr>
        <w:t xml:space="preserve"> a </w:t>
      </w:r>
      <w:r w:rsidRPr="004F01E9">
        <w:rPr>
          <w:noProof/>
        </w:rPr>
        <w:t>tieto iné trading desky dokonale kompenzujú trhové riziko uvedených iných pozícií úrokového rizika tak, že vstupujú do opačných pozícií úrokového rizika</w:t>
      </w:r>
      <w:r w:rsidR="004F01E9">
        <w:rPr>
          <w:noProof/>
        </w:rPr>
        <w:t xml:space="preserve"> s </w:t>
      </w:r>
      <w:r w:rsidRPr="004F01E9">
        <w:rPr>
          <w:noProof/>
        </w:rPr>
        <w:t>tretími stranami;</w:t>
      </w:r>
    </w:p>
    <w:p w14:paraId="5711774B" w14:textId="5AC2E4F2" w:rsidR="00B25B3A" w:rsidRPr="004F01E9" w:rsidRDefault="006E2B26" w:rsidP="006E2B26">
      <w:pPr>
        <w:pStyle w:val="Point2"/>
        <w:rPr>
          <w:noProof/>
        </w:rPr>
      </w:pPr>
      <w:r w:rsidRPr="004F01E9">
        <w:rPr>
          <w:noProof/>
        </w:rPr>
        <w:t>b)</w:t>
      </w:r>
      <w:r w:rsidRPr="004F01E9">
        <w:rPr>
          <w:noProof/>
        </w:rPr>
        <w:tab/>
        <w:t>k tomuto trading desku neboli priradené žiadne iné pozície</w:t>
      </w:r>
      <w:r w:rsidR="004F01E9">
        <w:rPr>
          <w:noProof/>
        </w:rPr>
        <w:t xml:space="preserve"> v </w:t>
      </w:r>
      <w:r w:rsidRPr="004F01E9">
        <w:rPr>
          <w:noProof/>
        </w:rPr>
        <w:t>obchodnej knihe ako tie, ktoré sú uvedené</w:t>
      </w:r>
      <w:r w:rsidR="004F01E9">
        <w:rPr>
          <w:noProof/>
        </w:rPr>
        <w:t xml:space="preserve"> v </w:t>
      </w:r>
      <w:r w:rsidRPr="004F01E9">
        <w:rPr>
          <w:noProof/>
        </w:rPr>
        <w:t>písmene a);</w:t>
      </w:r>
    </w:p>
    <w:p w14:paraId="541A6438" w14:textId="728258B2" w:rsidR="00B25B3A" w:rsidRPr="004F01E9" w:rsidRDefault="006E2B26" w:rsidP="006E2B26">
      <w:pPr>
        <w:pStyle w:val="Point2"/>
        <w:rPr>
          <w:noProof/>
        </w:rPr>
      </w:pPr>
      <w:r w:rsidRPr="004F01E9">
        <w:rPr>
          <w:noProof/>
        </w:rPr>
        <w:t>c)</w:t>
      </w:r>
      <w:r w:rsidRPr="004F01E9">
        <w:rPr>
          <w:noProof/>
        </w:rPr>
        <w:tab/>
        <w:t>odchylne od článku 104b sa na tento trading desk nevzťahujú požiadavky stanovené</w:t>
      </w:r>
      <w:r w:rsidR="004F01E9">
        <w:rPr>
          <w:noProof/>
        </w:rPr>
        <w:t xml:space="preserve"> v </w:t>
      </w:r>
      <w:r w:rsidRPr="004F01E9">
        <w:rPr>
          <w:noProof/>
        </w:rPr>
        <w:t>odsekoch 1, 2</w:t>
      </w:r>
      <w:r w:rsidR="004F01E9">
        <w:rPr>
          <w:noProof/>
        </w:rPr>
        <w:t xml:space="preserve"> a </w:t>
      </w:r>
      <w:r w:rsidRPr="004F01E9">
        <w:rPr>
          <w:noProof/>
        </w:rPr>
        <w:t>3 uvedeného článku.“;</w:t>
      </w:r>
    </w:p>
    <w:p w14:paraId="1383885F" w14:textId="267D3543" w:rsidR="00B25B3A" w:rsidRPr="004F01E9" w:rsidRDefault="006E2B26" w:rsidP="006E2B26">
      <w:pPr>
        <w:pStyle w:val="Point1"/>
        <w:rPr>
          <w:noProof/>
        </w:rPr>
      </w:pPr>
      <w:r w:rsidRPr="004F01E9">
        <w:rPr>
          <w:noProof/>
        </w:rPr>
        <w:t>e)</w:t>
      </w:r>
      <w:r w:rsidRPr="004F01E9">
        <w:rPr>
          <w:noProof/>
        </w:rPr>
        <w:tab/>
        <w:t>Odseky 6</w:t>
      </w:r>
      <w:r w:rsidR="004F01E9">
        <w:rPr>
          <w:noProof/>
        </w:rPr>
        <w:t xml:space="preserve"> a </w:t>
      </w:r>
      <w:r w:rsidRPr="004F01E9">
        <w:rPr>
          <w:noProof/>
        </w:rPr>
        <w:t>7 sa nahrádzajú takto:</w:t>
      </w:r>
    </w:p>
    <w:p w14:paraId="381357B0" w14:textId="3625AD60" w:rsidR="00B25B3A" w:rsidRPr="00025CB3" w:rsidRDefault="00B25B3A" w:rsidP="00B25B3A">
      <w:pPr>
        <w:pStyle w:val="Text2"/>
        <w:rPr>
          <w:noProof/>
          <w:spacing w:val="-4"/>
        </w:rPr>
      </w:pPr>
      <w:r w:rsidRPr="004F01E9">
        <w:rPr>
          <w:noProof/>
        </w:rPr>
        <w:t xml:space="preserve">„6. Požiadavky na vlastné zdroje pre trhové riziko všetkých pozícií, ktoré boli </w:t>
      </w:r>
      <w:r w:rsidRPr="00025CB3">
        <w:rPr>
          <w:noProof/>
          <w:spacing w:val="-4"/>
        </w:rPr>
        <w:t>priradené samostatnému portfóliu uvedenému</w:t>
      </w:r>
      <w:r w:rsidR="004F01E9" w:rsidRPr="00025CB3">
        <w:rPr>
          <w:noProof/>
          <w:spacing w:val="-4"/>
        </w:rPr>
        <w:t xml:space="preserve"> v </w:t>
      </w:r>
      <w:r w:rsidRPr="00025CB3">
        <w:rPr>
          <w:noProof/>
          <w:spacing w:val="-4"/>
        </w:rPr>
        <w:t>odseku 5 písm. a) alebo</w:t>
      </w:r>
      <w:r w:rsidR="004F01E9" w:rsidRPr="00025CB3">
        <w:rPr>
          <w:noProof/>
          <w:spacing w:val="-4"/>
        </w:rPr>
        <w:t xml:space="preserve"> k </w:t>
      </w:r>
      <w:r w:rsidRPr="00025CB3">
        <w:rPr>
          <w:noProof/>
          <w:spacing w:val="-4"/>
        </w:rPr>
        <w:t>trading desku uvedenému</w:t>
      </w:r>
      <w:r w:rsidR="004F01E9" w:rsidRPr="00025CB3">
        <w:rPr>
          <w:noProof/>
          <w:spacing w:val="-4"/>
        </w:rPr>
        <w:t xml:space="preserve"> v </w:t>
      </w:r>
      <w:r w:rsidRPr="00025CB3">
        <w:rPr>
          <w:noProof/>
          <w:spacing w:val="-4"/>
        </w:rPr>
        <w:t>písmene b) uvedeného odseku, sa vypočítavajú na individuálnom základe popri požiadavkách na vlastné zdroje pre ostatné pozície</w:t>
      </w:r>
      <w:r w:rsidR="004F01E9" w:rsidRPr="00025CB3">
        <w:rPr>
          <w:noProof/>
          <w:spacing w:val="-4"/>
        </w:rPr>
        <w:t xml:space="preserve"> v </w:t>
      </w:r>
      <w:r w:rsidRPr="00025CB3">
        <w:rPr>
          <w:noProof/>
          <w:spacing w:val="-4"/>
        </w:rPr>
        <w:t>obchodnej knihe.</w:t>
      </w:r>
    </w:p>
    <w:p w14:paraId="531402DB" w14:textId="78F5D15C" w:rsidR="00806B81" w:rsidRPr="00025CB3" w:rsidRDefault="00B25B3A" w:rsidP="00B25B3A">
      <w:pPr>
        <w:pStyle w:val="Text2"/>
        <w:rPr>
          <w:noProof/>
          <w:spacing w:val="-4"/>
        </w:rPr>
      </w:pPr>
      <w:r w:rsidRPr="00025CB3">
        <w:rPr>
          <w:noProof/>
          <w:spacing w:val="-4"/>
        </w:rPr>
        <w:t>7. Ak inštitúcia hedžuje expozíciu voči riziku úpravy ocenenia pohľadávky pomocou derivátového nástroja, do ktorého vstúpila voči svojej obchodnej knihe, pozícia</w:t>
      </w:r>
      <w:r w:rsidR="004F01E9" w:rsidRPr="00025CB3">
        <w:rPr>
          <w:noProof/>
          <w:spacing w:val="-4"/>
        </w:rPr>
        <w:t xml:space="preserve"> v </w:t>
      </w:r>
      <w:r w:rsidRPr="00025CB3">
        <w:rPr>
          <w:noProof/>
          <w:spacing w:val="-4"/>
        </w:rPr>
        <w:t>tomto derivátovom nástroji sa na účely výpočtu požiadaviek na vlastné zdroje pre riziká úpravy ocenenia pohľadávky</w:t>
      </w:r>
      <w:r w:rsidR="004F01E9" w:rsidRPr="00025CB3">
        <w:rPr>
          <w:noProof/>
          <w:spacing w:val="-4"/>
        </w:rPr>
        <w:t xml:space="preserve"> v </w:t>
      </w:r>
      <w:r w:rsidRPr="00025CB3">
        <w:rPr>
          <w:noProof/>
          <w:spacing w:val="-4"/>
        </w:rPr>
        <w:t>súlade</w:t>
      </w:r>
      <w:r w:rsidR="004F01E9" w:rsidRPr="00025CB3">
        <w:rPr>
          <w:noProof/>
          <w:spacing w:val="-4"/>
        </w:rPr>
        <w:t xml:space="preserve"> s </w:t>
      </w:r>
      <w:r w:rsidRPr="00025CB3">
        <w:rPr>
          <w:noProof/>
          <w:spacing w:val="-4"/>
        </w:rPr>
        <w:t>prístupmi stanovenými</w:t>
      </w:r>
      <w:r w:rsidR="004F01E9" w:rsidRPr="00025CB3">
        <w:rPr>
          <w:noProof/>
          <w:spacing w:val="-4"/>
        </w:rPr>
        <w:t xml:space="preserve"> v </w:t>
      </w:r>
      <w:r w:rsidRPr="00025CB3">
        <w:rPr>
          <w:noProof/>
          <w:spacing w:val="-4"/>
        </w:rPr>
        <w:t>článkoch 383 alebo 384, uznáva ako interný hedžing pre expozíciu voči riziku úpravy ocenenia pohľadávky, ak sú splnené tieto podmienky:</w:t>
      </w:r>
    </w:p>
    <w:p w14:paraId="3FC78700" w14:textId="4E7A4719" w:rsidR="00806B81" w:rsidRPr="00025CB3" w:rsidRDefault="00B25B3A" w:rsidP="00B25B3A">
      <w:pPr>
        <w:pStyle w:val="Point2"/>
        <w:rPr>
          <w:noProof/>
          <w:spacing w:val="-4"/>
        </w:rPr>
      </w:pPr>
      <w:r w:rsidRPr="00025CB3">
        <w:rPr>
          <w:noProof/>
          <w:spacing w:val="-4"/>
        </w:rPr>
        <w:t>a)</w:t>
      </w:r>
      <w:r w:rsidRPr="00025CB3">
        <w:rPr>
          <w:noProof/>
          <w:spacing w:val="-4"/>
        </w:rPr>
        <w:tab/>
        <w:t>derivátová pozícia sa uznáva ako prípustný hedžing</w:t>
      </w:r>
      <w:r w:rsidR="004F01E9" w:rsidRPr="00025CB3">
        <w:rPr>
          <w:noProof/>
          <w:spacing w:val="-4"/>
        </w:rPr>
        <w:t xml:space="preserve"> v </w:t>
      </w:r>
      <w:r w:rsidRPr="00025CB3">
        <w:rPr>
          <w:noProof/>
          <w:spacing w:val="-4"/>
        </w:rPr>
        <w:t>súlade</w:t>
      </w:r>
      <w:r w:rsidR="004F01E9" w:rsidRPr="00025CB3">
        <w:rPr>
          <w:noProof/>
          <w:spacing w:val="-4"/>
        </w:rPr>
        <w:t xml:space="preserve"> s </w:t>
      </w:r>
      <w:r w:rsidRPr="00025CB3">
        <w:rPr>
          <w:noProof/>
          <w:spacing w:val="-4"/>
        </w:rPr>
        <w:t>článkom 386;</w:t>
      </w:r>
    </w:p>
    <w:p w14:paraId="5FA15ABB" w14:textId="5AFEB546" w:rsidR="00B25B3A" w:rsidRPr="004F01E9" w:rsidRDefault="00B25B3A" w:rsidP="00B25B3A">
      <w:pPr>
        <w:pStyle w:val="Point2"/>
        <w:rPr>
          <w:noProof/>
        </w:rPr>
      </w:pPr>
      <w:r w:rsidRPr="004F01E9">
        <w:rPr>
          <w:noProof/>
        </w:rPr>
        <w:t>b)</w:t>
      </w:r>
      <w:r w:rsidRPr="004F01E9">
        <w:rPr>
          <w:noProof/>
        </w:rPr>
        <w:tab/>
        <w:t>ak sa na derivátovú pozíciu vzťahuje ktorákoľvek</w:t>
      </w:r>
      <w:r w:rsidR="004F01E9">
        <w:rPr>
          <w:noProof/>
        </w:rPr>
        <w:t xml:space="preserve"> z </w:t>
      </w:r>
      <w:r w:rsidRPr="004F01E9">
        <w:rPr>
          <w:noProof/>
        </w:rPr>
        <w:t>požiadaviek stanovených</w:t>
      </w:r>
      <w:r w:rsidR="004F01E9">
        <w:rPr>
          <w:noProof/>
        </w:rPr>
        <w:t xml:space="preserve"> v </w:t>
      </w:r>
      <w:r w:rsidRPr="004F01E9">
        <w:rPr>
          <w:noProof/>
        </w:rPr>
        <w:t>článku 325c ods. 2 písm. b) alebo c) alebo</w:t>
      </w:r>
      <w:r w:rsidR="004F01E9">
        <w:rPr>
          <w:noProof/>
        </w:rPr>
        <w:t xml:space="preserve"> v </w:t>
      </w:r>
      <w:r w:rsidRPr="004F01E9">
        <w:rPr>
          <w:noProof/>
        </w:rPr>
        <w:t>článku 325e ods. 1 písm. c), inštitúcia dokonale kompenzuje trhové riziko tejto derivátovej pozície tak, že vstúpi do opačných pozícií</w:t>
      </w:r>
      <w:r w:rsidR="004F01E9">
        <w:rPr>
          <w:noProof/>
        </w:rPr>
        <w:t xml:space="preserve"> s </w:t>
      </w:r>
      <w:r w:rsidRPr="004F01E9">
        <w:rPr>
          <w:noProof/>
        </w:rPr>
        <w:t>tretími stranami.</w:t>
      </w:r>
    </w:p>
    <w:p w14:paraId="4C2291C6" w14:textId="4E51E328" w:rsidR="00B25B3A" w:rsidRPr="004F01E9" w:rsidRDefault="00B25B3A" w:rsidP="00B25B3A">
      <w:pPr>
        <w:pStyle w:val="Text2"/>
        <w:rPr>
          <w:noProof/>
        </w:rPr>
      </w:pPr>
      <w:r w:rsidRPr="004F01E9">
        <w:rPr>
          <w:noProof/>
        </w:rPr>
        <w:t>Opačná pozícia interného hedžingu</w:t>
      </w:r>
      <w:r w:rsidR="004F01E9">
        <w:rPr>
          <w:noProof/>
        </w:rPr>
        <w:t xml:space="preserve"> v </w:t>
      </w:r>
      <w:r w:rsidRPr="004F01E9">
        <w:rPr>
          <w:noProof/>
        </w:rPr>
        <w:t>obchodnej knihe uznaná</w:t>
      </w:r>
      <w:r w:rsidR="004F01E9">
        <w:rPr>
          <w:noProof/>
        </w:rPr>
        <w:t xml:space="preserve"> v </w:t>
      </w:r>
      <w:r w:rsidRPr="004F01E9">
        <w:rPr>
          <w:noProof/>
        </w:rPr>
        <w:t>súlade</w:t>
      </w:r>
      <w:r w:rsidR="004F01E9">
        <w:rPr>
          <w:noProof/>
        </w:rPr>
        <w:t xml:space="preserve"> s </w:t>
      </w:r>
      <w:r w:rsidRPr="004F01E9">
        <w:rPr>
          <w:noProof/>
        </w:rPr>
        <w:t>prvým pododsekom sa zahŕňa do obchodnej knihy inštitúcie na výpočet požiadaviek na vlastné zdroje pre trhové riziko.“</w:t>
      </w:r>
    </w:p>
    <w:p w14:paraId="1EF852B2" w14:textId="409516FF" w:rsidR="00806B81" w:rsidRPr="004F01E9" w:rsidRDefault="00B16452" w:rsidP="00B16452">
      <w:pPr>
        <w:pStyle w:val="Point0"/>
        <w:rPr>
          <w:noProof/>
        </w:rPr>
      </w:pPr>
      <w:r w:rsidRPr="00B16452">
        <w:rPr>
          <w:noProof/>
        </w:rPr>
        <w:t>31</w:t>
      </w:r>
      <w:r>
        <w:rPr>
          <w:noProof/>
        </w:rPr>
        <w:t>.</w:t>
      </w:r>
      <w:r w:rsidRPr="00B16452">
        <w:rPr>
          <w:noProof/>
        </w:rPr>
        <w:tab/>
      </w:r>
      <w:r w:rsidR="00EB6095" w:rsidRPr="004F01E9">
        <w:rPr>
          <w:noProof/>
        </w:rPr>
        <w:t>V článku 107 sa odseky 1, 2</w:t>
      </w:r>
      <w:r w:rsidR="004F01E9">
        <w:rPr>
          <w:noProof/>
        </w:rPr>
        <w:t xml:space="preserve"> a </w:t>
      </w:r>
      <w:r w:rsidR="00EB6095" w:rsidRPr="004F01E9">
        <w:rPr>
          <w:noProof/>
        </w:rPr>
        <w:t>3 nahrádzajú takto:</w:t>
      </w:r>
    </w:p>
    <w:p w14:paraId="46C4A7A2" w14:textId="143B81C2" w:rsidR="00B25B3A" w:rsidRPr="00025CB3" w:rsidRDefault="00B25B3A" w:rsidP="00B25B3A">
      <w:pPr>
        <w:pStyle w:val="Text1"/>
        <w:rPr>
          <w:noProof/>
          <w:spacing w:val="-4"/>
        </w:rPr>
      </w:pPr>
      <w:r w:rsidRPr="00025CB3">
        <w:rPr>
          <w:noProof/>
          <w:spacing w:val="-4"/>
        </w:rPr>
        <w:t>„1. Inštitúcie uplatňujú štandardizovaný prístup stanovený</w:t>
      </w:r>
      <w:r w:rsidR="004F01E9" w:rsidRPr="00025CB3">
        <w:rPr>
          <w:noProof/>
          <w:spacing w:val="-4"/>
        </w:rPr>
        <w:t xml:space="preserve"> v </w:t>
      </w:r>
      <w:r w:rsidRPr="00025CB3">
        <w:rPr>
          <w:noProof/>
          <w:spacing w:val="-4"/>
        </w:rPr>
        <w:t>kapitole 2 alebo, keď to povoľujú príslušné orgány</w:t>
      </w:r>
      <w:r w:rsidR="004F01E9" w:rsidRPr="00025CB3">
        <w:rPr>
          <w:noProof/>
          <w:spacing w:val="-4"/>
        </w:rPr>
        <w:t xml:space="preserve"> v </w:t>
      </w:r>
      <w:r w:rsidRPr="00025CB3">
        <w:rPr>
          <w:noProof/>
          <w:spacing w:val="-4"/>
        </w:rPr>
        <w:t>súlade</w:t>
      </w:r>
      <w:r w:rsidR="004F01E9" w:rsidRPr="00025CB3">
        <w:rPr>
          <w:noProof/>
          <w:spacing w:val="-4"/>
        </w:rPr>
        <w:t xml:space="preserve"> s </w:t>
      </w:r>
      <w:r w:rsidRPr="00025CB3">
        <w:rPr>
          <w:noProof/>
          <w:spacing w:val="-4"/>
        </w:rPr>
        <w:t>článkom 143, prístup IRB stanovený</w:t>
      </w:r>
      <w:r w:rsidR="004F01E9" w:rsidRPr="00025CB3">
        <w:rPr>
          <w:noProof/>
          <w:spacing w:val="-4"/>
        </w:rPr>
        <w:t xml:space="preserve"> v </w:t>
      </w:r>
      <w:r w:rsidRPr="00025CB3">
        <w:rPr>
          <w:noProof/>
          <w:spacing w:val="-4"/>
        </w:rPr>
        <w:t>kapitole 3, aby vypočítali svoje hodnoty rizikovo vážených expozícií na účely článku 92 ods. 4 písm. a)</w:t>
      </w:r>
      <w:r w:rsidR="004F01E9" w:rsidRPr="00025CB3">
        <w:rPr>
          <w:noProof/>
          <w:spacing w:val="-4"/>
        </w:rPr>
        <w:t xml:space="preserve"> a </w:t>
      </w:r>
      <w:r w:rsidRPr="00025CB3">
        <w:rPr>
          <w:noProof/>
          <w:spacing w:val="-4"/>
        </w:rPr>
        <w:t>f).</w:t>
      </w:r>
    </w:p>
    <w:p w14:paraId="015FC0E8" w14:textId="49B3C324" w:rsidR="00B25B3A" w:rsidRPr="004F01E9" w:rsidRDefault="00B25B3A" w:rsidP="00B25B3A">
      <w:pPr>
        <w:pStyle w:val="Text1"/>
        <w:rPr>
          <w:noProof/>
        </w:rPr>
      </w:pPr>
      <w:r w:rsidRPr="004F01E9">
        <w:rPr>
          <w:noProof/>
        </w:rPr>
        <w:t>2. Pre obchodné expozície</w:t>
      </w:r>
      <w:r w:rsidR="004F01E9">
        <w:rPr>
          <w:noProof/>
        </w:rPr>
        <w:t xml:space="preserve"> a </w:t>
      </w:r>
      <w:r w:rsidRPr="004F01E9">
        <w:rPr>
          <w:noProof/>
        </w:rPr>
        <w:t>pre príspevky do fondu pre prípad zlyhania voči centrálnej protistrane uplatňujú inštitúcie na výpočet hodnôt ich rizikovo vážených expozícií na účely článku 92 ods. 4 písm. a)</w:t>
      </w:r>
      <w:r w:rsidR="004F01E9">
        <w:rPr>
          <w:noProof/>
        </w:rPr>
        <w:t xml:space="preserve"> a </w:t>
      </w:r>
      <w:r w:rsidRPr="004F01E9">
        <w:rPr>
          <w:noProof/>
        </w:rPr>
        <w:t>f) rovnaké zaobchádzanie, ako sa uvádza</w:t>
      </w:r>
      <w:r w:rsidR="004F01E9">
        <w:rPr>
          <w:noProof/>
        </w:rPr>
        <w:t xml:space="preserve"> v </w:t>
      </w:r>
      <w:r w:rsidRPr="004F01E9">
        <w:rPr>
          <w:noProof/>
        </w:rPr>
        <w:t>kapitole 6 oddiele 9.</w:t>
      </w:r>
      <w:r w:rsidR="004F01E9">
        <w:rPr>
          <w:noProof/>
        </w:rPr>
        <w:t xml:space="preserve"> V </w:t>
      </w:r>
      <w:r w:rsidRPr="004F01E9">
        <w:rPr>
          <w:noProof/>
        </w:rPr>
        <w:t>prípade všetkých ostatných druhov expozícií voči centrálnej protistrane inštitúcie zaobchádzajú</w:t>
      </w:r>
      <w:r w:rsidR="004F01E9">
        <w:rPr>
          <w:noProof/>
        </w:rPr>
        <w:t xml:space="preserve"> s </w:t>
      </w:r>
      <w:r w:rsidRPr="004F01E9">
        <w:rPr>
          <w:noProof/>
        </w:rPr>
        <w:t>týmito expozíciami takto:</w:t>
      </w:r>
    </w:p>
    <w:p w14:paraId="51782998" w14:textId="649F6762" w:rsidR="00B25B3A" w:rsidRPr="004F01E9" w:rsidRDefault="00B25B3A" w:rsidP="00B25B3A">
      <w:pPr>
        <w:pStyle w:val="Point1"/>
        <w:rPr>
          <w:noProof/>
        </w:rPr>
      </w:pPr>
      <w:r w:rsidRPr="004F01E9">
        <w:rPr>
          <w:noProof/>
        </w:rPr>
        <w:t>a)</w:t>
      </w:r>
      <w:r w:rsidRPr="004F01E9">
        <w:rPr>
          <w:noProof/>
        </w:rPr>
        <w:tab/>
        <w:t>v prípade ostatných druhov expozícií voči kvalifikovaným CCP ako</w:t>
      </w:r>
      <w:r w:rsidR="004F01E9">
        <w:rPr>
          <w:noProof/>
        </w:rPr>
        <w:t xml:space="preserve"> s </w:t>
      </w:r>
      <w:r w:rsidRPr="004F01E9">
        <w:rPr>
          <w:noProof/>
        </w:rPr>
        <w:t>expozíciami voči inštitúcii;</w:t>
      </w:r>
    </w:p>
    <w:p w14:paraId="09E09799" w14:textId="149BB9BC" w:rsidR="00EB6095" w:rsidRPr="004F01E9" w:rsidRDefault="00B25B3A" w:rsidP="00B25B3A">
      <w:pPr>
        <w:pStyle w:val="Point1"/>
        <w:rPr>
          <w:noProof/>
        </w:rPr>
      </w:pPr>
      <w:r w:rsidRPr="004F01E9">
        <w:rPr>
          <w:noProof/>
        </w:rPr>
        <w:t>b)</w:t>
      </w:r>
      <w:r w:rsidRPr="004F01E9">
        <w:rPr>
          <w:noProof/>
        </w:rPr>
        <w:tab/>
        <w:t>v prípade ostatných druhov expozícií voči nekvalifikovaným CCP ako</w:t>
      </w:r>
      <w:r w:rsidR="004F01E9">
        <w:rPr>
          <w:noProof/>
        </w:rPr>
        <w:t xml:space="preserve"> s </w:t>
      </w:r>
      <w:r w:rsidRPr="004F01E9">
        <w:rPr>
          <w:noProof/>
        </w:rPr>
        <w:t>expozíciami voči podnikateľským subjektom.</w:t>
      </w:r>
    </w:p>
    <w:p w14:paraId="08246C54" w14:textId="0CA6CF50" w:rsidR="00B25B3A" w:rsidRPr="004F01E9" w:rsidRDefault="00EB6095" w:rsidP="00EB6095">
      <w:pPr>
        <w:pStyle w:val="Text1"/>
        <w:rPr>
          <w:noProof/>
        </w:rPr>
      </w:pPr>
      <w:r w:rsidRPr="004F01E9">
        <w:rPr>
          <w:noProof/>
        </w:rPr>
        <w:t>3. Na účely tohto nariadenia sa</w:t>
      </w:r>
      <w:r w:rsidR="004F01E9">
        <w:rPr>
          <w:noProof/>
        </w:rPr>
        <w:t xml:space="preserve"> s </w:t>
      </w:r>
      <w:r w:rsidRPr="004F01E9">
        <w:rPr>
          <w:noProof/>
        </w:rPr>
        <w:t>expozíciami voči investičným spoločnostiam</w:t>
      </w:r>
      <w:r w:rsidR="004F01E9">
        <w:rPr>
          <w:noProof/>
        </w:rPr>
        <w:t xml:space="preserve"> z </w:t>
      </w:r>
      <w:r w:rsidRPr="004F01E9">
        <w:rPr>
          <w:noProof/>
        </w:rPr>
        <w:t>tretích krajín, expozíciami voči úverovým inštitúciám</w:t>
      </w:r>
      <w:r w:rsidR="004F01E9">
        <w:rPr>
          <w:noProof/>
        </w:rPr>
        <w:t xml:space="preserve"> z </w:t>
      </w:r>
      <w:r w:rsidRPr="004F01E9">
        <w:rPr>
          <w:noProof/>
        </w:rPr>
        <w:t>tretích krajín</w:t>
      </w:r>
      <w:r w:rsidR="004F01E9">
        <w:rPr>
          <w:noProof/>
        </w:rPr>
        <w:t xml:space="preserve"> a </w:t>
      </w:r>
      <w:r w:rsidRPr="004F01E9">
        <w:rPr>
          <w:noProof/>
        </w:rPr>
        <w:t>expozíciami voči zúčtovacím centrám</w:t>
      </w:r>
      <w:r w:rsidR="004F01E9">
        <w:rPr>
          <w:noProof/>
        </w:rPr>
        <w:t xml:space="preserve"> a </w:t>
      </w:r>
      <w:r w:rsidRPr="004F01E9">
        <w:rPr>
          <w:noProof/>
        </w:rPr>
        <w:t>burzám</w:t>
      </w:r>
      <w:r w:rsidR="004F01E9">
        <w:rPr>
          <w:noProof/>
        </w:rPr>
        <w:t xml:space="preserve"> z </w:t>
      </w:r>
      <w:r w:rsidRPr="004F01E9">
        <w:rPr>
          <w:noProof/>
        </w:rPr>
        <w:t>tretích krajín, ako aj</w:t>
      </w:r>
      <w:r w:rsidR="004F01E9">
        <w:rPr>
          <w:noProof/>
        </w:rPr>
        <w:t xml:space="preserve"> s </w:t>
      </w:r>
      <w:r w:rsidRPr="004F01E9">
        <w:rPr>
          <w:noProof/>
        </w:rPr>
        <w:t>expozíciami voči finančným inštitúciám</w:t>
      </w:r>
      <w:r w:rsidR="004F01E9">
        <w:rPr>
          <w:noProof/>
        </w:rPr>
        <w:t xml:space="preserve"> z </w:t>
      </w:r>
      <w:r w:rsidRPr="004F01E9">
        <w:rPr>
          <w:noProof/>
        </w:rPr>
        <w:t>tretích krajín, ktorým bolo udelené povolenie</w:t>
      </w:r>
      <w:r w:rsidR="004F01E9">
        <w:rPr>
          <w:noProof/>
        </w:rPr>
        <w:t xml:space="preserve"> a </w:t>
      </w:r>
      <w:r w:rsidRPr="004F01E9">
        <w:rPr>
          <w:noProof/>
        </w:rPr>
        <w:t>nad ktorými vykonávajú dohľad orgány tretej krajiny</w:t>
      </w:r>
      <w:r w:rsidR="004F01E9">
        <w:rPr>
          <w:noProof/>
        </w:rPr>
        <w:t xml:space="preserve"> a </w:t>
      </w:r>
      <w:r w:rsidRPr="004F01E9">
        <w:rPr>
          <w:noProof/>
        </w:rPr>
        <w:t>ktoré podliehajú prudenciálnym požiadavkám porovnateľným</w:t>
      </w:r>
      <w:r w:rsidR="004F01E9">
        <w:rPr>
          <w:noProof/>
        </w:rPr>
        <w:t xml:space="preserve"> s </w:t>
      </w:r>
      <w:r w:rsidRPr="004F01E9">
        <w:rPr>
          <w:noProof/>
        </w:rPr>
        <w:t>požiadavkami uplatňovanými na inštitúcie</w:t>
      </w:r>
      <w:r w:rsidR="004F01E9">
        <w:rPr>
          <w:noProof/>
        </w:rPr>
        <w:t xml:space="preserve"> z </w:t>
      </w:r>
      <w:r w:rsidRPr="004F01E9">
        <w:rPr>
          <w:noProof/>
        </w:rPr>
        <w:t>hľadiska náročnosti, zaobchádza ako</w:t>
      </w:r>
      <w:r w:rsidR="004F01E9">
        <w:rPr>
          <w:noProof/>
        </w:rPr>
        <w:t xml:space="preserve"> s </w:t>
      </w:r>
      <w:r w:rsidRPr="004F01E9">
        <w:rPr>
          <w:noProof/>
        </w:rPr>
        <w:t>expozíciami voči inštitúcii len vtedy, ak tretia krajina na tento subjekt uplatňuje prudenciálne požiadavky</w:t>
      </w:r>
      <w:r w:rsidR="004F01E9">
        <w:rPr>
          <w:noProof/>
        </w:rPr>
        <w:t xml:space="preserve"> a </w:t>
      </w:r>
      <w:r w:rsidRPr="004F01E9">
        <w:rPr>
          <w:noProof/>
        </w:rPr>
        <w:t>požiadavky</w:t>
      </w:r>
      <w:r w:rsidR="004F01E9">
        <w:rPr>
          <w:noProof/>
        </w:rPr>
        <w:t xml:space="preserve"> v </w:t>
      </w:r>
      <w:r w:rsidRPr="004F01E9">
        <w:rPr>
          <w:noProof/>
        </w:rPr>
        <w:t>oblasti dohľadu, ktoré sú prinajmenšom rovnocenné</w:t>
      </w:r>
      <w:r w:rsidR="004F01E9">
        <w:rPr>
          <w:noProof/>
        </w:rPr>
        <w:t xml:space="preserve"> s </w:t>
      </w:r>
      <w:r w:rsidRPr="004F01E9">
        <w:rPr>
          <w:noProof/>
        </w:rPr>
        <w:t>požiadavkami uplatňovanými</w:t>
      </w:r>
      <w:r w:rsidR="004F01E9">
        <w:rPr>
          <w:noProof/>
        </w:rPr>
        <w:t xml:space="preserve"> v </w:t>
      </w:r>
      <w:r w:rsidRPr="004F01E9">
        <w:rPr>
          <w:noProof/>
        </w:rPr>
        <w:t>Únii.“</w:t>
      </w:r>
    </w:p>
    <w:p w14:paraId="785C7847" w14:textId="6B739D68" w:rsidR="00B25B3A" w:rsidRPr="004F01E9" w:rsidRDefault="00B16452" w:rsidP="00B16452">
      <w:pPr>
        <w:pStyle w:val="Point0"/>
        <w:rPr>
          <w:noProof/>
        </w:rPr>
      </w:pPr>
      <w:r w:rsidRPr="00B16452">
        <w:rPr>
          <w:noProof/>
        </w:rPr>
        <w:t>32</w:t>
      </w:r>
      <w:r>
        <w:rPr>
          <w:noProof/>
        </w:rPr>
        <w:t>.</w:t>
      </w:r>
      <w:r w:rsidRPr="00B16452">
        <w:rPr>
          <w:noProof/>
        </w:rPr>
        <w:tab/>
      </w:r>
      <w:r w:rsidR="00B25B3A" w:rsidRPr="004F01E9">
        <w:rPr>
          <w:noProof/>
        </w:rPr>
        <w:t>Článok 108 sa nahrádza takto:</w:t>
      </w:r>
    </w:p>
    <w:p w14:paraId="0E7F2A9E" w14:textId="72F5B5F5" w:rsidR="00B25B3A" w:rsidRPr="004F01E9" w:rsidRDefault="00B25B3A" w:rsidP="00B25B3A">
      <w:pPr>
        <w:pStyle w:val="Titrearticle"/>
        <w:rPr>
          <w:noProof/>
        </w:rPr>
      </w:pPr>
      <w:r w:rsidRPr="004F01E9">
        <w:rPr>
          <w:noProof/>
        </w:rPr>
        <w:t xml:space="preserve">„Článok 108 </w:t>
      </w:r>
      <w:r w:rsidRPr="004F01E9">
        <w:rPr>
          <w:noProof/>
        </w:rPr>
        <w:br/>
      </w:r>
      <w:r w:rsidRPr="004F01E9">
        <w:rPr>
          <w:b/>
          <w:i w:val="0"/>
          <w:noProof/>
        </w:rPr>
        <w:t>Použitie postupov na zmierňovanie kreditného rizika</w:t>
      </w:r>
      <w:r w:rsidR="004F01E9">
        <w:rPr>
          <w:b/>
          <w:i w:val="0"/>
          <w:noProof/>
        </w:rPr>
        <w:t xml:space="preserve"> a </w:t>
      </w:r>
      <w:r w:rsidRPr="004F01E9">
        <w:rPr>
          <w:b/>
          <w:i w:val="0"/>
          <w:noProof/>
        </w:rPr>
        <w:t>rizika zníženia kvality pohľadávok</w:t>
      </w:r>
      <w:r w:rsidR="004F01E9">
        <w:rPr>
          <w:b/>
          <w:i w:val="0"/>
          <w:noProof/>
        </w:rPr>
        <w:t xml:space="preserve"> z </w:t>
      </w:r>
      <w:r w:rsidRPr="004F01E9">
        <w:rPr>
          <w:b/>
          <w:i w:val="0"/>
          <w:noProof/>
        </w:rPr>
        <w:t>iných ako kreditných dôvodov podľa štandardizovaného prístupu</w:t>
      </w:r>
      <w:r w:rsidR="004F01E9">
        <w:rPr>
          <w:b/>
          <w:i w:val="0"/>
          <w:noProof/>
        </w:rPr>
        <w:t xml:space="preserve"> a </w:t>
      </w:r>
      <w:r w:rsidRPr="004F01E9">
        <w:rPr>
          <w:b/>
          <w:i w:val="0"/>
          <w:noProof/>
        </w:rPr>
        <w:t>prístupu IRB</w:t>
      </w:r>
    </w:p>
    <w:p w14:paraId="2077A719" w14:textId="4766CC89" w:rsidR="00806B81" w:rsidRPr="00025CB3" w:rsidRDefault="00B25B3A" w:rsidP="00B25B3A">
      <w:pPr>
        <w:pStyle w:val="Text1"/>
        <w:rPr>
          <w:noProof/>
          <w:spacing w:val="-4"/>
        </w:rPr>
      </w:pPr>
      <w:r w:rsidRPr="00025CB3">
        <w:rPr>
          <w:noProof/>
          <w:spacing w:val="-4"/>
        </w:rPr>
        <w:t>1.</w:t>
      </w:r>
      <w:r w:rsidR="004F01E9" w:rsidRPr="00025CB3">
        <w:rPr>
          <w:noProof/>
          <w:spacing w:val="-4"/>
        </w:rPr>
        <w:t xml:space="preserve"> V </w:t>
      </w:r>
      <w:r w:rsidRPr="00025CB3">
        <w:rPr>
          <w:noProof/>
          <w:spacing w:val="-4"/>
        </w:rPr>
        <w:t>prípade expozície, na ktorú inštitúcia uplatňuje štandardizovaný prístup podľa kapitoly 2 alebo uplatňuje prístup IRB podľa kapitoly 3, ale bez použitia svojich vlastných odhadov straty</w:t>
      </w:r>
      <w:r w:rsidR="004F01E9" w:rsidRPr="00025CB3">
        <w:rPr>
          <w:noProof/>
          <w:spacing w:val="-4"/>
        </w:rPr>
        <w:t xml:space="preserve"> v </w:t>
      </w:r>
      <w:r w:rsidRPr="00025CB3">
        <w:rPr>
          <w:noProof/>
          <w:spacing w:val="-4"/>
        </w:rPr>
        <w:t>prípade zlyhania (LGD) podľa článku 143, môže inštitúcia zohľadniť účinok FCP</w:t>
      </w:r>
      <w:r w:rsidR="004F01E9" w:rsidRPr="00025CB3">
        <w:rPr>
          <w:noProof/>
          <w:spacing w:val="-4"/>
        </w:rPr>
        <w:t xml:space="preserve"> v </w:t>
      </w:r>
      <w:r w:rsidRPr="00025CB3">
        <w:rPr>
          <w:noProof/>
          <w:spacing w:val="-4"/>
        </w:rPr>
        <w:t>súlade</w:t>
      </w:r>
      <w:r w:rsidR="004F01E9" w:rsidRPr="00025CB3">
        <w:rPr>
          <w:noProof/>
          <w:spacing w:val="-4"/>
        </w:rPr>
        <w:t xml:space="preserve"> s </w:t>
      </w:r>
      <w:r w:rsidRPr="00025CB3">
        <w:rPr>
          <w:noProof/>
          <w:spacing w:val="-4"/>
        </w:rPr>
        <w:t>kapitolou 4 pri výpočte hodnôt rizikovo vážených expozícií na účely článku 92 ods. 4 písm. a)</w:t>
      </w:r>
      <w:r w:rsidR="004F01E9" w:rsidRPr="00025CB3">
        <w:rPr>
          <w:noProof/>
          <w:spacing w:val="-4"/>
        </w:rPr>
        <w:t xml:space="preserve"> a </w:t>
      </w:r>
      <w:r w:rsidRPr="00025CB3">
        <w:rPr>
          <w:noProof/>
          <w:spacing w:val="-4"/>
        </w:rPr>
        <w:t>f) alebo prípadne výšku očakávaných strát (EL) na účely výpočtu uvedeného</w:t>
      </w:r>
      <w:r w:rsidR="004F01E9" w:rsidRPr="00025CB3">
        <w:rPr>
          <w:noProof/>
          <w:spacing w:val="-4"/>
        </w:rPr>
        <w:t xml:space="preserve"> v </w:t>
      </w:r>
      <w:r w:rsidRPr="00025CB3">
        <w:rPr>
          <w:noProof/>
          <w:spacing w:val="-4"/>
        </w:rPr>
        <w:t>článku 36 ods. 1 písm. d)</w:t>
      </w:r>
      <w:r w:rsidR="004F01E9" w:rsidRPr="00025CB3">
        <w:rPr>
          <w:noProof/>
          <w:spacing w:val="-4"/>
        </w:rPr>
        <w:t xml:space="preserve"> a v </w:t>
      </w:r>
      <w:r w:rsidRPr="00025CB3">
        <w:rPr>
          <w:noProof/>
          <w:spacing w:val="-4"/>
        </w:rPr>
        <w:t>článku 62 písm. c).</w:t>
      </w:r>
    </w:p>
    <w:p w14:paraId="58798DF4" w14:textId="12644233" w:rsidR="00806B81" w:rsidRPr="00025CB3" w:rsidRDefault="00B25B3A" w:rsidP="00B25B3A">
      <w:pPr>
        <w:pStyle w:val="Text1"/>
        <w:rPr>
          <w:noProof/>
          <w:spacing w:val="-4"/>
        </w:rPr>
      </w:pPr>
      <w:r w:rsidRPr="00025CB3">
        <w:rPr>
          <w:noProof/>
          <w:spacing w:val="-4"/>
        </w:rPr>
        <w:t>2.</w:t>
      </w:r>
      <w:r w:rsidR="004F01E9" w:rsidRPr="00025CB3">
        <w:rPr>
          <w:noProof/>
          <w:spacing w:val="-4"/>
        </w:rPr>
        <w:t xml:space="preserve"> V </w:t>
      </w:r>
      <w:r w:rsidRPr="00025CB3">
        <w:rPr>
          <w:noProof/>
          <w:spacing w:val="-4"/>
        </w:rPr>
        <w:t>prípade expozície, na ktorú inštitúcia uplatňuje prístup IRB pomocou svojich vlastných odhadov LGD podľa článku 143, môže inštitúcia zohľadniť účinok FCP na hodnoty rizikovo vážených expozícií</w:t>
      </w:r>
      <w:r w:rsidR="004F01E9" w:rsidRPr="00025CB3">
        <w:rPr>
          <w:noProof/>
          <w:spacing w:val="-4"/>
        </w:rPr>
        <w:t xml:space="preserve"> a </w:t>
      </w:r>
      <w:r w:rsidRPr="00025CB3">
        <w:rPr>
          <w:noProof/>
          <w:spacing w:val="-4"/>
        </w:rPr>
        <w:t>výšku očakávaných strát</w:t>
      </w:r>
      <w:r w:rsidR="004F01E9" w:rsidRPr="00025CB3">
        <w:rPr>
          <w:noProof/>
          <w:spacing w:val="-4"/>
        </w:rPr>
        <w:t xml:space="preserve"> v </w:t>
      </w:r>
      <w:r w:rsidRPr="00025CB3">
        <w:rPr>
          <w:noProof/>
          <w:spacing w:val="-4"/>
        </w:rPr>
        <w:t>súlade</w:t>
      </w:r>
      <w:r w:rsidR="004F01E9" w:rsidRPr="00025CB3">
        <w:rPr>
          <w:noProof/>
          <w:spacing w:val="-4"/>
        </w:rPr>
        <w:t xml:space="preserve"> s </w:t>
      </w:r>
      <w:r w:rsidRPr="00025CB3">
        <w:rPr>
          <w:noProof/>
          <w:spacing w:val="-4"/>
        </w:rPr>
        <w:t>kapitolou 3.</w:t>
      </w:r>
    </w:p>
    <w:p w14:paraId="5DD35A6E" w14:textId="7097F462" w:rsidR="00B25B3A" w:rsidRPr="004F01E9" w:rsidRDefault="00B25B3A" w:rsidP="00B25B3A">
      <w:pPr>
        <w:pStyle w:val="Text1"/>
        <w:rPr>
          <w:noProof/>
        </w:rPr>
      </w:pPr>
      <w:r w:rsidRPr="004F01E9">
        <w:rPr>
          <w:noProof/>
        </w:rPr>
        <w:t>2a. Ak inštitúcia uplatňuje prístup IRB pomocou svojich vlastných odhadov LGD podľa článku 143 na pôvodnú expozíciu aj na porovnateľné priame expozície voči poskytovateľovi zabezpečenia, inštitúcia môže zohľadniť účinok UFCP na hodnoty rizikovo vážených expozícií</w:t>
      </w:r>
      <w:r w:rsidR="004F01E9">
        <w:rPr>
          <w:noProof/>
        </w:rPr>
        <w:t xml:space="preserve"> a </w:t>
      </w:r>
      <w:r w:rsidRPr="004F01E9">
        <w:rPr>
          <w:noProof/>
        </w:rPr>
        <w:t>výšku očakávaných strát</w:t>
      </w:r>
      <w:r w:rsidR="004F01E9">
        <w:rPr>
          <w:noProof/>
        </w:rPr>
        <w:t xml:space="preserve"> v </w:t>
      </w:r>
      <w:r w:rsidRPr="004F01E9">
        <w:rPr>
          <w:noProof/>
        </w:rPr>
        <w:t>súlade</w:t>
      </w:r>
      <w:r w:rsidR="004F01E9">
        <w:rPr>
          <w:noProof/>
        </w:rPr>
        <w:t xml:space="preserve"> s </w:t>
      </w:r>
      <w:r w:rsidRPr="004F01E9">
        <w:rPr>
          <w:noProof/>
        </w:rPr>
        <w:t>kapitolou 3. Vo všetkých ostatných prípadoch môže inštitúcia zohľadniť účinok UFCP na hodnoty rizikovo vážených expozícií</w:t>
      </w:r>
      <w:r w:rsidR="004F01E9">
        <w:rPr>
          <w:noProof/>
        </w:rPr>
        <w:t xml:space="preserve"> a </w:t>
      </w:r>
      <w:r w:rsidRPr="004F01E9">
        <w:rPr>
          <w:noProof/>
        </w:rPr>
        <w:t>výšku očakávaných strát</w:t>
      </w:r>
      <w:r w:rsidR="004F01E9">
        <w:rPr>
          <w:noProof/>
        </w:rPr>
        <w:t xml:space="preserve"> v </w:t>
      </w:r>
      <w:r w:rsidRPr="004F01E9">
        <w:rPr>
          <w:noProof/>
        </w:rPr>
        <w:t>súlade</w:t>
      </w:r>
      <w:r w:rsidR="004F01E9">
        <w:rPr>
          <w:noProof/>
        </w:rPr>
        <w:t xml:space="preserve"> s </w:t>
      </w:r>
      <w:r w:rsidRPr="004F01E9">
        <w:rPr>
          <w:noProof/>
        </w:rPr>
        <w:t>kapitolou 4.</w:t>
      </w:r>
    </w:p>
    <w:p w14:paraId="1041058E" w14:textId="3053D248" w:rsidR="00B25B3A" w:rsidRPr="004F01E9" w:rsidRDefault="00B25B3A" w:rsidP="00B25B3A">
      <w:pPr>
        <w:pStyle w:val="Text1"/>
        <w:rPr>
          <w:noProof/>
        </w:rPr>
      </w:pPr>
      <w:r w:rsidRPr="004F01E9">
        <w:rPr>
          <w:noProof/>
        </w:rPr>
        <w:t>3.</w:t>
      </w:r>
      <w:r w:rsidR="004F01E9">
        <w:rPr>
          <w:noProof/>
        </w:rPr>
        <w:t xml:space="preserve"> S </w:t>
      </w:r>
      <w:r w:rsidRPr="004F01E9">
        <w:rPr>
          <w:noProof/>
        </w:rPr>
        <w:t>výhradou podmienok stanovených</w:t>
      </w:r>
      <w:r w:rsidR="004F01E9">
        <w:rPr>
          <w:noProof/>
        </w:rPr>
        <w:t xml:space="preserve"> v </w:t>
      </w:r>
      <w:r w:rsidRPr="004F01E9">
        <w:rPr>
          <w:noProof/>
        </w:rPr>
        <w:t>odseku 4 sa retailové úvery môžu považovať za expozície zabezpečené hypotekárnym úverom na nehnuteľný majetok určený na bývanie namiesto toho, aby sa</w:t>
      </w:r>
      <w:r w:rsidR="004F01E9">
        <w:rPr>
          <w:noProof/>
        </w:rPr>
        <w:t xml:space="preserve"> s </w:t>
      </w:r>
      <w:r w:rsidRPr="004F01E9">
        <w:rPr>
          <w:noProof/>
        </w:rPr>
        <w:t>nimi na účely tretej časti hlavy II kapitol 2, 3</w:t>
      </w:r>
      <w:r w:rsidR="004F01E9">
        <w:rPr>
          <w:noProof/>
        </w:rPr>
        <w:t xml:space="preserve"> a </w:t>
      </w:r>
      <w:r w:rsidRPr="004F01E9">
        <w:rPr>
          <w:noProof/>
        </w:rPr>
        <w:t>prípadne 4 zaobchádzalo ako so zaručenými expozíciami, ak</w:t>
      </w:r>
      <w:r w:rsidR="004F01E9">
        <w:rPr>
          <w:noProof/>
        </w:rPr>
        <w:t xml:space="preserve"> v </w:t>
      </w:r>
      <w:r w:rsidRPr="004F01E9">
        <w:rPr>
          <w:noProof/>
        </w:rPr>
        <w:t>členskom štáte boli pre tieto retailové úvery splnené tieto podmienky:</w:t>
      </w:r>
    </w:p>
    <w:p w14:paraId="297ED907" w14:textId="567C4BAB" w:rsidR="00B25B3A" w:rsidRPr="004F01E9" w:rsidRDefault="00B25B3A" w:rsidP="00B25B3A">
      <w:pPr>
        <w:pStyle w:val="Point1"/>
        <w:rPr>
          <w:noProof/>
        </w:rPr>
      </w:pPr>
      <w:r w:rsidRPr="004F01E9">
        <w:rPr>
          <w:noProof/>
        </w:rPr>
        <w:t>a)</w:t>
      </w:r>
      <w:r w:rsidRPr="004F01E9">
        <w:rPr>
          <w:noProof/>
        </w:rPr>
        <w:tab/>
        <w:t>väčšina úverov poskytnutých fyzickým osobám na kúpu nehnuteľností určených na bývanie</w:t>
      </w:r>
      <w:r w:rsidR="004F01E9">
        <w:rPr>
          <w:noProof/>
        </w:rPr>
        <w:t xml:space="preserve"> v </w:t>
      </w:r>
      <w:r w:rsidRPr="004F01E9">
        <w:rPr>
          <w:noProof/>
        </w:rPr>
        <w:t>danom členskom štáte sa neposkytuje ako hypotekárne úvery</w:t>
      </w:r>
      <w:r w:rsidR="004F01E9">
        <w:rPr>
          <w:noProof/>
        </w:rPr>
        <w:t xml:space="preserve"> v </w:t>
      </w:r>
      <w:r w:rsidRPr="004F01E9">
        <w:rPr>
          <w:noProof/>
        </w:rPr>
        <w:t>právnej forme;</w:t>
      </w:r>
    </w:p>
    <w:p w14:paraId="02589D1D" w14:textId="654C064D" w:rsidR="00B25B3A" w:rsidRPr="004F01E9" w:rsidRDefault="00B25B3A" w:rsidP="00B25B3A">
      <w:pPr>
        <w:pStyle w:val="Point1"/>
        <w:rPr>
          <w:noProof/>
        </w:rPr>
      </w:pPr>
      <w:r w:rsidRPr="004F01E9">
        <w:rPr>
          <w:noProof/>
        </w:rPr>
        <w:t>b)</w:t>
      </w:r>
      <w:r w:rsidRPr="004F01E9">
        <w:rPr>
          <w:noProof/>
        </w:rPr>
        <w:tab/>
        <w:t>za väčšinu úverov poskytnutých jednotlivcom na nákup nehnuteľností určených na bývanie</w:t>
      </w:r>
      <w:r w:rsidR="004F01E9">
        <w:rPr>
          <w:noProof/>
        </w:rPr>
        <w:t xml:space="preserve"> v </w:t>
      </w:r>
      <w:r w:rsidRPr="004F01E9">
        <w:rPr>
          <w:noProof/>
        </w:rPr>
        <w:t>danom členskom štáte ručí ručiteľ</w:t>
      </w:r>
      <w:r w:rsidR="004F01E9">
        <w:rPr>
          <w:noProof/>
        </w:rPr>
        <w:t xml:space="preserve"> s </w:t>
      </w:r>
      <w:r w:rsidRPr="004F01E9">
        <w:rPr>
          <w:noProof/>
        </w:rPr>
        <w:t>ratingovým hodnotením nominovanej ECAI zodpovedajúcim stupňu kreditnej kvality 1 alebo 2, ktoré sa vyžaduje na splatenie úveru inštitúcii</w:t>
      </w:r>
      <w:r w:rsidR="004F01E9">
        <w:rPr>
          <w:noProof/>
        </w:rPr>
        <w:t xml:space="preserve"> v </w:t>
      </w:r>
      <w:r w:rsidRPr="004F01E9">
        <w:rPr>
          <w:noProof/>
        </w:rPr>
        <w:t>plnej výške, ak pôvodný dlžník zlyhá;</w:t>
      </w:r>
    </w:p>
    <w:p w14:paraId="1C902486" w14:textId="027ADC0A" w:rsidR="00B25B3A" w:rsidRPr="004F01E9" w:rsidRDefault="00B25B3A" w:rsidP="00B25B3A">
      <w:pPr>
        <w:pStyle w:val="Point1"/>
        <w:rPr>
          <w:noProof/>
        </w:rPr>
      </w:pPr>
      <w:r w:rsidRPr="004F01E9">
        <w:rPr>
          <w:noProof/>
        </w:rPr>
        <w:t>c)</w:t>
      </w:r>
      <w:r w:rsidRPr="004F01E9">
        <w:rPr>
          <w:noProof/>
        </w:rPr>
        <w:tab/>
        <w:t>inštitúcia má zákonné právo prevziať hypotekárny úver na nehnuteľný majetok určený na bývanie</w:t>
      </w:r>
      <w:r w:rsidR="004F01E9">
        <w:rPr>
          <w:noProof/>
        </w:rPr>
        <w:t xml:space="preserve"> v </w:t>
      </w:r>
      <w:r w:rsidRPr="004F01E9">
        <w:rPr>
          <w:noProof/>
        </w:rPr>
        <w:t>prípade, že ručiteľ uvedený</w:t>
      </w:r>
      <w:r w:rsidR="004F01E9">
        <w:rPr>
          <w:noProof/>
        </w:rPr>
        <w:t xml:space="preserve"> v </w:t>
      </w:r>
      <w:r w:rsidRPr="004F01E9">
        <w:rPr>
          <w:noProof/>
        </w:rPr>
        <w:t>písmene b) zlyhá.</w:t>
      </w:r>
    </w:p>
    <w:p w14:paraId="60D5EAFE" w14:textId="2B39CC39" w:rsidR="00B25B3A" w:rsidRPr="00025CB3" w:rsidRDefault="00B25B3A" w:rsidP="00B25B3A">
      <w:pPr>
        <w:pStyle w:val="Text1"/>
        <w:rPr>
          <w:noProof/>
          <w:spacing w:val="-4"/>
        </w:rPr>
      </w:pPr>
      <w:r w:rsidRPr="00025CB3">
        <w:rPr>
          <w:noProof/>
          <w:spacing w:val="-4"/>
        </w:rPr>
        <w:t>Príslušné orgány informujú orgán EBA, ak sú podmienky uvedené</w:t>
      </w:r>
      <w:r w:rsidR="004F01E9" w:rsidRPr="00025CB3">
        <w:rPr>
          <w:noProof/>
          <w:spacing w:val="-4"/>
        </w:rPr>
        <w:t xml:space="preserve"> v </w:t>
      </w:r>
      <w:r w:rsidRPr="00025CB3">
        <w:rPr>
          <w:noProof/>
          <w:spacing w:val="-4"/>
        </w:rPr>
        <w:t>písmenách a), b)</w:t>
      </w:r>
      <w:r w:rsidR="004F01E9" w:rsidRPr="00025CB3">
        <w:rPr>
          <w:noProof/>
          <w:spacing w:val="-4"/>
        </w:rPr>
        <w:t xml:space="preserve"> a </w:t>
      </w:r>
      <w:r w:rsidRPr="00025CB3">
        <w:rPr>
          <w:noProof/>
          <w:spacing w:val="-4"/>
        </w:rPr>
        <w:t>c) splnené na štátnych územiach ich jurisdikcií,</w:t>
      </w:r>
      <w:r w:rsidR="004F01E9" w:rsidRPr="00025CB3">
        <w:rPr>
          <w:noProof/>
          <w:spacing w:val="-4"/>
        </w:rPr>
        <w:t xml:space="preserve"> a </w:t>
      </w:r>
      <w:r w:rsidRPr="00025CB3">
        <w:rPr>
          <w:noProof/>
          <w:spacing w:val="-4"/>
        </w:rPr>
        <w:t>poskytujú mená ručiteľov oprávnených na toto zaobchádzanie, ktorí spĺňajú podmienky tohto odseku</w:t>
      </w:r>
      <w:r w:rsidR="004F01E9" w:rsidRPr="00025CB3">
        <w:rPr>
          <w:noProof/>
          <w:spacing w:val="-4"/>
        </w:rPr>
        <w:t xml:space="preserve"> a </w:t>
      </w:r>
      <w:r w:rsidRPr="00025CB3">
        <w:rPr>
          <w:noProof/>
          <w:spacing w:val="-4"/>
        </w:rPr>
        <w:t>odseku 4.</w:t>
      </w:r>
    </w:p>
    <w:p w14:paraId="09A4F99A" w14:textId="6D9439D9" w:rsidR="00B25B3A" w:rsidRPr="004F01E9" w:rsidRDefault="00B25B3A" w:rsidP="00B25B3A">
      <w:pPr>
        <w:pStyle w:val="Text1"/>
        <w:rPr>
          <w:noProof/>
        </w:rPr>
      </w:pPr>
      <w:r w:rsidRPr="004F01E9">
        <w:rPr>
          <w:noProof/>
        </w:rPr>
        <w:t>Orgán EBA uverejňuje zoznam všetkých takýchto oprávnených ručiteľov na svojom webovom sídle</w:t>
      </w:r>
      <w:r w:rsidR="004F01E9">
        <w:rPr>
          <w:noProof/>
        </w:rPr>
        <w:t xml:space="preserve"> a </w:t>
      </w:r>
      <w:r w:rsidRPr="004F01E9">
        <w:rPr>
          <w:noProof/>
        </w:rPr>
        <w:t>tento zoznam každoročne aktualizuje.</w:t>
      </w:r>
    </w:p>
    <w:p w14:paraId="19084EEE" w14:textId="7A9D90B2" w:rsidR="00B25B3A" w:rsidRPr="004F01E9" w:rsidRDefault="00B25B3A" w:rsidP="00B25B3A">
      <w:pPr>
        <w:pStyle w:val="Text1"/>
        <w:rPr>
          <w:noProof/>
        </w:rPr>
      </w:pPr>
      <w:r w:rsidRPr="004F01E9">
        <w:rPr>
          <w:noProof/>
        </w:rPr>
        <w:t>4. Na účely odseku 3 sa</w:t>
      </w:r>
      <w:r w:rsidR="004F01E9">
        <w:rPr>
          <w:noProof/>
        </w:rPr>
        <w:t xml:space="preserve"> s </w:t>
      </w:r>
      <w:r w:rsidRPr="004F01E9">
        <w:rPr>
          <w:noProof/>
        </w:rPr>
        <w:t>úvermi uvedenými</w:t>
      </w:r>
      <w:r w:rsidR="004F01E9">
        <w:rPr>
          <w:noProof/>
        </w:rPr>
        <w:t xml:space="preserve"> v </w:t>
      </w:r>
      <w:r w:rsidRPr="004F01E9">
        <w:rPr>
          <w:noProof/>
        </w:rPr>
        <w:t>danom odseku môže zaobchádzať ako</w:t>
      </w:r>
      <w:r w:rsidR="004F01E9">
        <w:rPr>
          <w:noProof/>
        </w:rPr>
        <w:t xml:space="preserve"> s </w:t>
      </w:r>
      <w:r w:rsidRPr="004F01E9">
        <w:rPr>
          <w:noProof/>
        </w:rPr>
        <w:t>expozíciami zabezpečenými hypotekárnym úverom na nehnuteľný majetok určený na bývanie namiesto toho, aby sa</w:t>
      </w:r>
      <w:r w:rsidR="004F01E9">
        <w:rPr>
          <w:noProof/>
        </w:rPr>
        <w:t xml:space="preserve"> s </w:t>
      </w:r>
      <w:r w:rsidRPr="004F01E9">
        <w:rPr>
          <w:noProof/>
        </w:rPr>
        <w:t>nimi zaobchádzalo ako so zaručenými expozíciami, ak sú splnené všetky tieto podmienky:</w:t>
      </w:r>
    </w:p>
    <w:p w14:paraId="6EC8CCF6" w14:textId="3B18D99A" w:rsidR="00B25B3A" w:rsidRPr="004F01E9" w:rsidRDefault="00B25B3A" w:rsidP="00B25B3A">
      <w:pPr>
        <w:pStyle w:val="Point1"/>
        <w:rPr>
          <w:noProof/>
        </w:rPr>
      </w:pPr>
      <w:r w:rsidRPr="004F01E9">
        <w:rPr>
          <w:noProof/>
        </w:rPr>
        <w:t>a)</w:t>
      </w:r>
      <w:r w:rsidRPr="004F01E9">
        <w:rPr>
          <w:noProof/>
        </w:rPr>
        <w:tab/>
        <w:t>v prípade expozície,</w:t>
      </w:r>
      <w:r w:rsidR="004F01E9">
        <w:rPr>
          <w:noProof/>
        </w:rPr>
        <w:t xml:space="preserve"> s </w:t>
      </w:r>
      <w:r w:rsidRPr="004F01E9">
        <w:rPr>
          <w:noProof/>
        </w:rPr>
        <w:t>ktorou sa zaobchádza podľa štandardizovaného prístupu, expozícia spĺňa všetky požiadavky na zaradenie do triedy expozícií zabezpečených hypotékami na nehnuteľný majetok určený na bývanie podľa štandardizovaného prístupu podľa článkov 124</w:t>
      </w:r>
      <w:r w:rsidR="004F01E9">
        <w:rPr>
          <w:noProof/>
        </w:rPr>
        <w:t xml:space="preserve"> a </w:t>
      </w:r>
      <w:r w:rsidRPr="004F01E9">
        <w:rPr>
          <w:noProof/>
        </w:rPr>
        <w:t>125</w:t>
      </w:r>
      <w:r w:rsidR="004F01E9">
        <w:rPr>
          <w:noProof/>
        </w:rPr>
        <w:t xml:space="preserve"> s </w:t>
      </w:r>
      <w:r w:rsidRPr="004F01E9">
        <w:rPr>
          <w:noProof/>
        </w:rPr>
        <w:t>výnimkou, že inštitúcia poskytujúca úver nedrží hypotéku na nehnuteľný majetok určený na bývanie;</w:t>
      </w:r>
    </w:p>
    <w:p w14:paraId="286BE4AB" w14:textId="62D85CFB" w:rsidR="00B25B3A" w:rsidRPr="004F01E9" w:rsidRDefault="00B25B3A" w:rsidP="00B25B3A">
      <w:pPr>
        <w:pStyle w:val="Point1"/>
        <w:rPr>
          <w:noProof/>
        </w:rPr>
      </w:pPr>
      <w:r w:rsidRPr="004F01E9">
        <w:rPr>
          <w:noProof/>
        </w:rPr>
        <w:t>b)</w:t>
      </w:r>
      <w:r w:rsidRPr="004F01E9">
        <w:rPr>
          <w:noProof/>
        </w:rPr>
        <w:tab/>
        <w:t>v prípade expozície,</w:t>
      </w:r>
      <w:r w:rsidR="004F01E9">
        <w:rPr>
          <w:noProof/>
        </w:rPr>
        <w:t xml:space="preserve"> s </w:t>
      </w:r>
      <w:r w:rsidRPr="004F01E9">
        <w:rPr>
          <w:noProof/>
        </w:rPr>
        <w:t>ktorou sa zaobchádza podľa prístupu IRB, expozícia spĺňa všetky požiadavky na zaradenie do triedy expozícií IRB „retailové expozície zabezpečené nehnuteľným majetkom určeným na bývanie“ uvedených</w:t>
      </w:r>
      <w:r w:rsidR="004F01E9">
        <w:rPr>
          <w:noProof/>
        </w:rPr>
        <w:t xml:space="preserve"> v </w:t>
      </w:r>
      <w:r w:rsidRPr="004F01E9">
        <w:rPr>
          <w:noProof/>
        </w:rPr>
        <w:t>článku 147 ods. 2 písm. d) bode ii)</w:t>
      </w:r>
      <w:r w:rsidR="004F01E9">
        <w:rPr>
          <w:noProof/>
        </w:rPr>
        <w:t xml:space="preserve"> s </w:t>
      </w:r>
      <w:r w:rsidRPr="004F01E9">
        <w:rPr>
          <w:noProof/>
        </w:rPr>
        <w:t>výnimkou, že inštitúcia poskytujúca úver nedrží na nehnuteľnosť hypotéku;</w:t>
      </w:r>
    </w:p>
    <w:p w14:paraId="4E302BCB" w14:textId="6EF5AF08" w:rsidR="00B25B3A" w:rsidRPr="004F01E9" w:rsidRDefault="00B25B3A" w:rsidP="00B25B3A">
      <w:pPr>
        <w:pStyle w:val="Point1"/>
        <w:rPr>
          <w:noProof/>
        </w:rPr>
      </w:pPr>
      <w:r w:rsidRPr="004F01E9">
        <w:rPr>
          <w:noProof/>
        </w:rPr>
        <w:t>c)</w:t>
      </w:r>
      <w:r w:rsidRPr="004F01E9">
        <w:rPr>
          <w:noProof/>
        </w:rPr>
        <w:tab/>
        <w:t>pri poskytnutí úveru sa na nehnuteľný majetok určený na bývanie nevzťahuje žiadne hypotekárne záložné právo</w:t>
      </w:r>
      <w:r w:rsidR="004F01E9">
        <w:rPr>
          <w:noProof/>
        </w:rPr>
        <w:t xml:space="preserve"> a </w:t>
      </w:r>
      <w:r w:rsidRPr="004F01E9">
        <w:rPr>
          <w:noProof/>
        </w:rPr>
        <w:t>dlžník je zmluvne zaviazaný neposkytnúť záložné právo bez súhlasu úverovej inštitúcie, ktorá pôvodne poskytla úver;</w:t>
      </w:r>
    </w:p>
    <w:p w14:paraId="290CE303" w14:textId="1825088D" w:rsidR="00B25B3A" w:rsidRPr="004F01E9" w:rsidRDefault="00B25B3A" w:rsidP="00B25B3A">
      <w:pPr>
        <w:pStyle w:val="Point1"/>
        <w:rPr>
          <w:noProof/>
        </w:rPr>
      </w:pPr>
      <w:r w:rsidRPr="004F01E9">
        <w:rPr>
          <w:noProof/>
        </w:rPr>
        <w:t>d)</w:t>
      </w:r>
      <w:r w:rsidRPr="004F01E9">
        <w:rPr>
          <w:noProof/>
        </w:rPr>
        <w:tab/>
        <w:t>ručiteľ je prípustným poskytovateľom zabezpečenia, ako sa uvádza</w:t>
      </w:r>
      <w:r w:rsidR="004F01E9">
        <w:rPr>
          <w:noProof/>
        </w:rPr>
        <w:t xml:space="preserve"> v </w:t>
      </w:r>
      <w:r w:rsidRPr="004F01E9">
        <w:rPr>
          <w:noProof/>
        </w:rPr>
        <w:t>článku 201,</w:t>
      </w:r>
      <w:r w:rsidR="004F01E9">
        <w:rPr>
          <w:noProof/>
        </w:rPr>
        <w:t xml:space="preserve"> a </w:t>
      </w:r>
      <w:r w:rsidRPr="004F01E9">
        <w:rPr>
          <w:noProof/>
        </w:rPr>
        <w:t>ručiteľ má ratingové hodnotenie od ECAI zodpovedajúce stupňu kreditnej kvality 1 alebo 2;</w:t>
      </w:r>
    </w:p>
    <w:p w14:paraId="6E6DC2E1" w14:textId="77777777" w:rsidR="00B25B3A" w:rsidRPr="004F01E9" w:rsidRDefault="00B25B3A" w:rsidP="00B25B3A">
      <w:pPr>
        <w:pStyle w:val="Point1"/>
        <w:rPr>
          <w:noProof/>
        </w:rPr>
      </w:pPr>
      <w:r w:rsidRPr="004F01E9">
        <w:rPr>
          <w:noProof/>
        </w:rPr>
        <w:t>e)</w:t>
      </w:r>
      <w:r w:rsidRPr="004F01E9">
        <w:rPr>
          <w:noProof/>
        </w:rPr>
        <w:tab/>
        <w:t>ručiteľ je inštitúciou alebo subjektom finančného sektora, ktorý podlieha kapitálovým požiadavkám, ktoré sú minimálne rovnocenné požiadavkám uplatňovaným na inštitúcie alebo poisťovne;</w:t>
      </w:r>
    </w:p>
    <w:p w14:paraId="03DA14F3" w14:textId="425A7461" w:rsidR="00B25B3A" w:rsidRPr="004F01E9" w:rsidRDefault="00B25B3A" w:rsidP="00B25B3A">
      <w:pPr>
        <w:pStyle w:val="Point1"/>
        <w:rPr>
          <w:noProof/>
        </w:rPr>
      </w:pPr>
      <w:r w:rsidRPr="004F01E9">
        <w:rPr>
          <w:noProof/>
        </w:rPr>
        <w:t>f)</w:t>
      </w:r>
      <w:r w:rsidRPr="004F01E9">
        <w:rPr>
          <w:noProof/>
        </w:rPr>
        <w:tab/>
        <w:t>ručiteľ zriadil plne financovaný fond vzájomného ručenia alebo rovnocenné zabezpečenie pre poisťovne na absorbovanie strát spojených</w:t>
      </w:r>
      <w:r w:rsidR="004F01E9">
        <w:rPr>
          <w:noProof/>
        </w:rPr>
        <w:t xml:space="preserve"> s </w:t>
      </w:r>
      <w:r w:rsidRPr="004F01E9">
        <w:rPr>
          <w:noProof/>
        </w:rPr>
        <w:t>kreditným rizikom, ktorých kalibráciu pravidelne prehodnocuje jeho príslušný orgán,</w:t>
      </w:r>
      <w:r w:rsidR="004F01E9">
        <w:rPr>
          <w:noProof/>
        </w:rPr>
        <w:t xml:space="preserve"> a </w:t>
      </w:r>
      <w:r w:rsidRPr="004F01E9">
        <w:rPr>
          <w:noProof/>
        </w:rPr>
        <w:t>podlieha každoročnému stresovému testovaniu;</w:t>
      </w:r>
    </w:p>
    <w:p w14:paraId="60624E45" w14:textId="6E475F80" w:rsidR="00B25B3A" w:rsidRPr="004F01E9" w:rsidRDefault="00B25B3A" w:rsidP="00B25B3A">
      <w:pPr>
        <w:pStyle w:val="Point1"/>
        <w:rPr>
          <w:noProof/>
        </w:rPr>
      </w:pPr>
      <w:r w:rsidRPr="004F01E9">
        <w:rPr>
          <w:noProof/>
        </w:rPr>
        <w:t>g)</w:t>
      </w:r>
      <w:r w:rsidRPr="004F01E9">
        <w:rPr>
          <w:noProof/>
        </w:rPr>
        <w:tab/>
        <w:t>inštitúcia smie na základe zmluvy</w:t>
      </w:r>
      <w:r w:rsidR="004F01E9">
        <w:rPr>
          <w:noProof/>
        </w:rPr>
        <w:t xml:space="preserve"> a </w:t>
      </w:r>
      <w:r w:rsidRPr="004F01E9">
        <w:rPr>
          <w:noProof/>
        </w:rPr>
        <w:t>zákona prevziať hypotekárny úver na nehnuteľný majetok určený na bývanie</w:t>
      </w:r>
      <w:r w:rsidR="004F01E9">
        <w:rPr>
          <w:noProof/>
        </w:rPr>
        <w:t xml:space="preserve"> v </w:t>
      </w:r>
      <w:r w:rsidRPr="004F01E9">
        <w:rPr>
          <w:noProof/>
        </w:rPr>
        <w:t>prípade, že ručiteľ zlyhá;</w:t>
      </w:r>
    </w:p>
    <w:p w14:paraId="36619C69" w14:textId="1F7E7ABA" w:rsidR="00B25B3A" w:rsidRPr="004F01E9" w:rsidRDefault="00B25B3A" w:rsidP="00B25B3A">
      <w:pPr>
        <w:pStyle w:val="Point1"/>
        <w:rPr>
          <w:noProof/>
        </w:rPr>
      </w:pPr>
      <w:r w:rsidRPr="004F01E9">
        <w:rPr>
          <w:noProof/>
        </w:rPr>
        <w:t>h)</w:t>
      </w:r>
      <w:r w:rsidRPr="004F01E9">
        <w:rPr>
          <w:noProof/>
        </w:rPr>
        <w:tab/>
        <w:t>inštitúcia, ktorá sa rozhodne uplatniť opciu stanovenú</w:t>
      </w:r>
      <w:r w:rsidR="004F01E9">
        <w:rPr>
          <w:noProof/>
        </w:rPr>
        <w:t xml:space="preserve"> v </w:t>
      </w:r>
      <w:r w:rsidRPr="004F01E9">
        <w:rPr>
          <w:noProof/>
        </w:rPr>
        <w:t>odseku 3 pre daného oprávneného ručiteľa</w:t>
      </w:r>
      <w:r w:rsidR="004F01E9">
        <w:rPr>
          <w:noProof/>
        </w:rPr>
        <w:t xml:space="preserve"> v </w:t>
      </w:r>
      <w:r w:rsidRPr="004F01E9">
        <w:rPr>
          <w:noProof/>
        </w:rPr>
        <w:t>rámci mechanizmu uvedeného</w:t>
      </w:r>
      <w:r w:rsidR="004F01E9">
        <w:rPr>
          <w:noProof/>
        </w:rPr>
        <w:t xml:space="preserve"> v </w:t>
      </w:r>
      <w:r w:rsidRPr="004F01E9">
        <w:rPr>
          <w:noProof/>
        </w:rPr>
        <w:t>odseku 3, tak urobí</w:t>
      </w:r>
      <w:r w:rsidR="004F01E9">
        <w:rPr>
          <w:noProof/>
        </w:rPr>
        <w:t xml:space="preserve"> v </w:t>
      </w:r>
      <w:r w:rsidRPr="004F01E9">
        <w:rPr>
          <w:noProof/>
        </w:rPr>
        <w:t>prípade všetkých svojich retailových expozícií, za ktoré ručí tento ručiteľ</w:t>
      </w:r>
      <w:r w:rsidR="004F01E9">
        <w:rPr>
          <w:noProof/>
        </w:rPr>
        <w:t xml:space="preserve"> v </w:t>
      </w:r>
      <w:r w:rsidRPr="004F01E9">
        <w:rPr>
          <w:noProof/>
        </w:rPr>
        <w:t>rámci uvedeného mechanizmu.“</w:t>
      </w:r>
    </w:p>
    <w:p w14:paraId="4C9ACC60" w14:textId="7CB29103" w:rsidR="00806B81" w:rsidRPr="004F01E9" w:rsidRDefault="00B16452" w:rsidP="00B16452">
      <w:pPr>
        <w:pStyle w:val="Point0"/>
        <w:rPr>
          <w:noProof/>
        </w:rPr>
      </w:pPr>
      <w:r w:rsidRPr="00B16452">
        <w:rPr>
          <w:noProof/>
        </w:rPr>
        <w:t>33</w:t>
      </w:r>
      <w:r>
        <w:rPr>
          <w:noProof/>
        </w:rPr>
        <w:t>.</w:t>
      </w:r>
      <w:r w:rsidRPr="00B16452">
        <w:rPr>
          <w:noProof/>
        </w:rPr>
        <w:tab/>
      </w:r>
      <w:r w:rsidR="00B25B3A" w:rsidRPr="004F01E9">
        <w:rPr>
          <w:noProof/>
        </w:rPr>
        <w:t>Vkladá sa tento článok 110a:</w:t>
      </w:r>
    </w:p>
    <w:p w14:paraId="5B400853" w14:textId="0C5C50F7" w:rsidR="00B25B3A" w:rsidRPr="004F01E9" w:rsidRDefault="00B25B3A" w:rsidP="002E0711">
      <w:pPr>
        <w:pStyle w:val="Titrearticle"/>
        <w:spacing w:before="120"/>
        <w:rPr>
          <w:b/>
          <w:i w:val="0"/>
          <w:noProof/>
        </w:rPr>
      </w:pPr>
      <w:r w:rsidRPr="004F01E9">
        <w:rPr>
          <w:noProof/>
        </w:rPr>
        <w:t xml:space="preserve">„Článok 110a </w:t>
      </w:r>
      <w:r w:rsidRPr="004F01E9">
        <w:rPr>
          <w:noProof/>
        </w:rPr>
        <w:br/>
      </w:r>
      <w:r w:rsidRPr="004F01E9">
        <w:rPr>
          <w:b/>
          <w:i w:val="0"/>
          <w:noProof/>
        </w:rPr>
        <w:t>Monitorovanie zmluvných dojednaní, ktoré nie sú prísľubmi</w:t>
      </w:r>
    </w:p>
    <w:p w14:paraId="428C3D02" w14:textId="62245761" w:rsidR="005F0B3F" w:rsidRPr="004F01E9" w:rsidRDefault="00B25B3A" w:rsidP="002E0711">
      <w:pPr>
        <w:pStyle w:val="Text1"/>
        <w:rPr>
          <w:noProof/>
        </w:rPr>
      </w:pPr>
      <w:r w:rsidRPr="004F01E9">
        <w:rPr>
          <w:noProof/>
        </w:rPr>
        <w:t>„Inštitúcie monitorujú zmluvné dojednania, ktoré spĺňajú všetky podmienky stanovené</w:t>
      </w:r>
      <w:r w:rsidR="004F01E9">
        <w:rPr>
          <w:noProof/>
        </w:rPr>
        <w:t xml:space="preserve"> v </w:t>
      </w:r>
      <w:r w:rsidRPr="004F01E9">
        <w:rPr>
          <w:noProof/>
        </w:rPr>
        <w:t>článku 5 bode 9 druhom pododseku písm. a) až e),</w:t>
      </w:r>
      <w:r w:rsidR="004F01E9">
        <w:rPr>
          <w:noProof/>
        </w:rPr>
        <w:t xml:space="preserve"> a k </w:t>
      </w:r>
      <w:r w:rsidRPr="004F01E9">
        <w:rPr>
          <w:noProof/>
        </w:rPr>
        <w:t>spokojnosti svojich príslušných orgánov dokumentujú, či spĺňajú všetky uvedené podmienky.“</w:t>
      </w:r>
    </w:p>
    <w:p w14:paraId="3351506E" w14:textId="1B0F6928" w:rsidR="00806B81" w:rsidRPr="004F01E9" w:rsidRDefault="00B16452" w:rsidP="00025CB3">
      <w:pPr>
        <w:pStyle w:val="Point0"/>
        <w:keepNext/>
        <w:keepLines/>
        <w:rPr>
          <w:noProof/>
        </w:rPr>
      </w:pPr>
      <w:r w:rsidRPr="00B16452">
        <w:rPr>
          <w:noProof/>
        </w:rPr>
        <w:t>34</w:t>
      </w:r>
      <w:r>
        <w:rPr>
          <w:noProof/>
        </w:rPr>
        <w:t>.</w:t>
      </w:r>
      <w:r w:rsidRPr="00B16452">
        <w:rPr>
          <w:noProof/>
        </w:rPr>
        <w:tab/>
      </w:r>
      <w:r w:rsidR="002E0711" w:rsidRPr="004F01E9">
        <w:rPr>
          <w:noProof/>
        </w:rPr>
        <w:t>Článok 111 sa nahrádza takto:</w:t>
      </w:r>
    </w:p>
    <w:p w14:paraId="2B24B35F" w14:textId="511525A0" w:rsidR="002E0711" w:rsidRPr="004F01E9" w:rsidRDefault="002E0711" w:rsidP="00025CB3">
      <w:pPr>
        <w:pStyle w:val="Titrearticle"/>
        <w:keepLines/>
        <w:spacing w:before="120"/>
        <w:rPr>
          <w:b/>
          <w:i w:val="0"/>
          <w:noProof/>
        </w:rPr>
      </w:pPr>
      <w:r w:rsidRPr="004F01E9">
        <w:rPr>
          <w:noProof/>
        </w:rPr>
        <w:t xml:space="preserve">„Článok 111 </w:t>
      </w:r>
      <w:r w:rsidRPr="004F01E9">
        <w:rPr>
          <w:noProof/>
        </w:rPr>
        <w:br/>
      </w:r>
      <w:r w:rsidRPr="004F01E9">
        <w:rPr>
          <w:b/>
          <w:i w:val="0"/>
          <w:noProof/>
        </w:rPr>
        <w:t>Hodnota expozície</w:t>
      </w:r>
    </w:p>
    <w:p w14:paraId="3A01FC4F" w14:textId="51D9A708" w:rsidR="002E0711" w:rsidRPr="004F01E9" w:rsidRDefault="002E0711" w:rsidP="00025CB3">
      <w:pPr>
        <w:pStyle w:val="Text1"/>
        <w:keepNext/>
        <w:keepLines/>
        <w:rPr>
          <w:noProof/>
        </w:rPr>
      </w:pPr>
      <w:r w:rsidRPr="004F01E9">
        <w:rPr>
          <w:noProof/>
        </w:rPr>
        <w:t>„1. Hodnotou expozície položky aktív je jej účtovná hodnota zostávajúca po uplatnení špecifických úprav kreditného rizika</w:t>
      </w:r>
      <w:r w:rsidR="004F01E9">
        <w:rPr>
          <w:noProof/>
        </w:rPr>
        <w:t xml:space="preserve"> v </w:t>
      </w:r>
      <w:r w:rsidRPr="004F01E9">
        <w:rPr>
          <w:noProof/>
        </w:rPr>
        <w:t>súlade</w:t>
      </w:r>
      <w:r w:rsidR="004F01E9">
        <w:rPr>
          <w:noProof/>
        </w:rPr>
        <w:t xml:space="preserve"> s </w:t>
      </w:r>
      <w:r w:rsidRPr="004F01E9">
        <w:rPr>
          <w:noProof/>
        </w:rPr>
        <w:t>článkom 110, dodatočných úprav ocenenia</w:t>
      </w:r>
      <w:r w:rsidR="004F01E9">
        <w:rPr>
          <w:noProof/>
        </w:rPr>
        <w:t xml:space="preserve"> v </w:t>
      </w:r>
      <w:r w:rsidRPr="004F01E9">
        <w:rPr>
          <w:noProof/>
        </w:rPr>
        <w:t>súlade</w:t>
      </w:r>
      <w:r w:rsidR="004F01E9">
        <w:rPr>
          <w:noProof/>
        </w:rPr>
        <w:t xml:space="preserve"> s </w:t>
      </w:r>
      <w:r w:rsidRPr="004F01E9">
        <w:rPr>
          <w:noProof/>
        </w:rPr>
        <w:t>článkom 34 týkajúcich sa činností</w:t>
      </w:r>
      <w:r w:rsidR="004F01E9">
        <w:rPr>
          <w:noProof/>
        </w:rPr>
        <w:t xml:space="preserve"> v </w:t>
      </w:r>
      <w:r w:rsidRPr="004F01E9">
        <w:rPr>
          <w:noProof/>
        </w:rPr>
        <w:t>neobchodnej knihe inštitúcie, súm odpočítaných</w:t>
      </w:r>
      <w:r w:rsidR="004F01E9">
        <w:rPr>
          <w:noProof/>
        </w:rPr>
        <w:t xml:space="preserve"> v </w:t>
      </w:r>
      <w:r w:rsidRPr="004F01E9">
        <w:rPr>
          <w:noProof/>
        </w:rPr>
        <w:t>súlade</w:t>
      </w:r>
      <w:r w:rsidR="004F01E9">
        <w:rPr>
          <w:noProof/>
        </w:rPr>
        <w:t xml:space="preserve"> s </w:t>
      </w:r>
      <w:r w:rsidRPr="004F01E9">
        <w:rPr>
          <w:noProof/>
        </w:rPr>
        <w:t>článkom 36 ods. 1 písm. m)</w:t>
      </w:r>
      <w:r w:rsidR="004F01E9">
        <w:rPr>
          <w:noProof/>
        </w:rPr>
        <w:t xml:space="preserve"> a </w:t>
      </w:r>
      <w:r w:rsidRPr="004F01E9">
        <w:rPr>
          <w:noProof/>
        </w:rPr>
        <w:t>iných znížení vlastných zdrojov súvisiacich</w:t>
      </w:r>
      <w:r w:rsidR="004F01E9">
        <w:rPr>
          <w:noProof/>
        </w:rPr>
        <w:t xml:space="preserve"> s </w:t>
      </w:r>
      <w:r w:rsidRPr="004F01E9">
        <w:rPr>
          <w:noProof/>
        </w:rPr>
        <w:t>touto položkou aktív.</w:t>
      </w:r>
    </w:p>
    <w:p w14:paraId="79393066" w14:textId="10F05AEF" w:rsidR="002E0711" w:rsidRPr="004F01E9" w:rsidRDefault="002E0711" w:rsidP="002E0711">
      <w:pPr>
        <w:pStyle w:val="Text1"/>
        <w:rPr>
          <w:noProof/>
        </w:rPr>
      </w:pPr>
      <w:r w:rsidRPr="004F01E9">
        <w:rPr>
          <w:noProof/>
        </w:rPr>
        <w:t>2. Hodnota expozície podsúvahovej položky uvedenej</w:t>
      </w:r>
      <w:r w:rsidR="004F01E9">
        <w:rPr>
          <w:noProof/>
        </w:rPr>
        <w:t xml:space="preserve"> v </w:t>
      </w:r>
      <w:r w:rsidRPr="004F01E9">
        <w:rPr>
          <w:noProof/>
        </w:rPr>
        <w:t>prílohe I sa rovná týmto percentuálnym hodnotám nominálnej hodnoty položky po odpočítaní špecifických úprav kreditného rizika</w:t>
      </w:r>
      <w:r w:rsidR="004F01E9">
        <w:rPr>
          <w:noProof/>
        </w:rPr>
        <w:t xml:space="preserve"> v </w:t>
      </w:r>
      <w:r w:rsidRPr="004F01E9">
        <w:rPr>
          <w:noProof/>
        </w:rPr>
        <w:t>súlade</w:t>
      </w:r>
      <w:r w:rsidR="004F01E9">
        <w:rPr>
          <w:noProof/>
        </w:rPr>
        <w:t xml:space="preserve"> s </w:t>
      </w:r>
      <w:r w:rsidRPr="004F01E9">
        <w:rPr>
          <w:noProof/>
        </w:rPr>
        <w:t>článkom 110</w:t>
      </w:r>
      <w:r w:rsidR="004F01E9">
        <w:rPr>
          <w:noProof/>
        </w:rPr>
        <w:t xml:space="preserve"> a </w:t>
      </w:r>
      <w:r w:rsidRPr="004F01E9">
        <w:rPr>
          <w:noProof/>
        </w:rPr>
        <w:t>súm odpočítaných</w:t>
      </w:r>
      <w:r w:rsidR="004F01E9">
        <w:rPr>
          <w:noProof/>
        </w:rPr>
        <w:t xml:space="preserve"> v </w:t>
      </w:r>
      <w:r w:rsidRPr="004F01E9">
        <w:rPr>
          <w:noProof/>
        </w:rPr>
        <w:t>súlade</w:t>
      </w:r>
      <w:r w:rsidR="004F01E9">
        <w:rPr>
          <w:noProof/>
        </w:rPr>
        <w:t xml:space="preserve"> s </w:t>
      </w:r>
      <w:r w:rsidRPr="004F01E9">
        <w:rPr>
          <w:noProof/>
        </w:rPr>
        <w:t>článkom 36 ods. 1 písm. m):</w:t>
      </w:r>
    </w:p>
    <w:p w14:paraId="2202A0C2" w14:textId="6C1E0F70" w:rsidR="002E0711" w:rsidRPr="004F01E9" w:rsidRDefault="002E0711" w:rsidP="005A6174">
      <w:pPr>
        <w:pStyle w:val="Point1"/>
        <w:rPr>
          <w:noProof/>
        </w:rPr>
      </w:pPr>
      <w:r w:rsidRPr="004F01E9">
        <w:rPr>
          <w:noProof/>
        </w:rPr>
        <w:t>a)</w:t>
      </w:r>
      <w:r w:rsidRPr="004F01E9">
        <w:rPr>
          <w:noProof/>
        </w:rPr>
        <w:tab/>
        <w:t>100</w:t>
      </w:r>
      <w:r w:rsidR="004F01E9">
        <w:rPr>
          <w:noProof/>
        </w:rPr>
        <w:t> %</w:t>
      </w:r>
      <w:r w:rsidRPr="004F01E9">
        <w:rPr>
          <w:noProof/>
        </w:rPr>
        <w:t xml:space="preserve"> pre položky</w:t>
      </w:r>
      <w:r w:rsidR="004F01E9">
        <w:rPr>
          <w:noProof/>
        </w:rPr>
        <w:t xml:space="preserve"> v </w:t>
      </w:r>
      <w:r w:rsidRPr="004F01E9">
        <w:rPr>
          <w:noProof/>
        </w:rPr>
        <w:t>skupine 1;</w:t>
      </w:r>
    </w:p>
    <w:p w14:paraId="59DDF4F0" w14:textId="22B735AF" w:rsidR="002E0711" w:rsidRPr="004F01E9" w:rsidRDefault="002E0711" w:rsidP="005A6174">
      <w:pPr>
        <w:pStyle w:val="Point1"/>
        <w:rPr>
          <w:noProof/>
        </w:rPr>
      </w:pPr>
      <w:r w:rsidRPr="004F01E9">
        <w:rPr>
          <w:noProof/>
        </w:rPr>
        <w:t>b)</w:t>
      </w:r>
      <w:r w:rsidRPr="004F01E9">
        <w:rPr>
          <w:noProof/>
        </w:rPr>
        <w:tab/>
        <w:t>50</w:t>
      </w:r>
      <w:r w:rsidR="004F01E9">
        <w:rPr>
          <w:noProof/>
        </w:rPr>
        <w:t> %</w:t>
      </w:r>
      <w:r w:rsidRPr="004F01E9">
        <w:rPr>
          <w:noProof/>
        </w:rPr>
        <w:t xml:space="preserve"> pre položky</w:t>
      </w:r>
      <w:r w:rsidR="004F01E9">
        <w:rPr>
          <w:noProof/>
        </w:rPr>
        <w:t xml:space="preserve"> v </w:t>
      </w:r>
      <w:r w:rsidRPr="004F01E9">
        <w:rPr>
          <w:noProof/>
        </w:rPr>
        <w:t>skupine 2;</w:t>
      </w:r>
    </w:p>
    <w:p w14:paraId="330A7973" w14:textId="4FDE88EF" w:rsidR="002E0711" w:rsidRPr="004F01E9" w:rsidRDefault="002E0711" w:rsidP="005A6174">
      <w:pPr>
        <w:pStyle w:val="Point1"/>
        <w:rPr>
          <w:noProof/>
        </w:rPr>
      </w:pPr>
      <w:r w:rsidRPr="004F01E9">
        <w:rPr>
          <w:noProof/>
        </w:rPr>
        <w:t>c)</w:t>
      </w:r>
      <w:r w:rsidRPr="004F01E9">
        <w:rPr>
          <w:noProof/>
        </w:rPr>
        <w:tab/>
        <w:t>40</w:t>
      </w:r>
      <w:r w:rsidR="004F01E9">
        <w:rPr>
          <w:noProof/>
        </w:rPr>
        <w:t> %</w:t>
      </w:r>
      <w:r w:rsidRPr="004F01E9">
        <w:rPr>
          <w:noProof/>
        </w:rPr>
        <w:t xml:space="preserve"> pre položky</w:t>
      </w:r>
      <w:r w:rsidR="004F01E9">
        <w:rPr>
          <w:noProof/>
        </w:rPr>
        <w:t xml:space="preserve"> v </w:t>
      </w:r>
      <w:r w:rsidRPr="004F01E9">
        <w:rPr>
          <w:noProof/>
        </w:rPr>
        <w:t>skupine 3;</w:t>
      </w:r>
    </w:p>
    <w:p w14:paraId="33E1F796" w14:textId="2FFC953B" w:rsidR="002E0711" w:rsidRPr="004F01E9" w:rsidRDefault="002E0711" w:rsidP="005A6174">
      <w:pPr>
        <w:pStyle w:val="Point1"/>
        <w:rPr>
          <w:noProof/>
        </w:rPr>
      </w:pPr>
      <w:r w:rsidRPr="004F01E9">
        <w:rPr>
          <w:noProof/>
        </w:rPr>
        <w:t>d)</w:t>
      </w:r>
      <w:r w:rsidRPr="004F01E9">
        <w:rPr>
          <w:noProof/>
        </w:rPr>
        <w:tab/>
        <w:t>20</w:t>
      </w:r>
      <w:r w:rsidR="004F01E9">
        <w:rPr>
          <w:noProof/>
        </w:rPr>
        <w:t> %</w:t>
      </w:r>
      <w:r w:rsidRPr="004F01E9">
        <w:rPr>
          <w:noProof/>
        </w:rPr>
        <w:t xml:space="preserve"> pre položky</w:t>
      </w:r>
      <w:r w:rsidR="004F01E9">
        <w:rPr>
          <w:noProof/>
        </w:rPr>
        <w:t xml:space="preserve"> v </w:t>
      </w:r>
      <w:r w:rsidRPr="004F01E9">
        <w:rPr>
          <w:noProof/>
        </w:rPr>
        <w:t>skupine 4;</w:t>
      </w:r>
    </w:p>
    <w:p w14:paraId="7EE401EA" w14:textId="78326B68" w:rsidR="002E0711" w:rsidRPr="004F01E9" w:rsidRDefault="002E0711" w:rsidP="005A6174">
      <w:pPr>
        <w:pStyle w:val="Point1"/>
        <w:rPr>
          <w:noProof/>
        </w:rPr>
      </w:pPr>
      <w:r w:rsidRPr="004F01E9">
        <w:rPr>
          <w:noProof/>
        </w:rPr>
        <w:t>e)</w:t>
      </w:r>
      <w:r w:rsidRPr="004F01E9">
        <w:rPr>
          <w:noProof/>
        </w:rPr>
        <w:tab/>
        <w:t>10</w:t>
      </w:r>
      <w:r w:rsidR="004F01E9">
        <w:rPr>
          <w:noProof/>
        </w:rPr>
        <w:t> %</w:t>
      </w:r>
      <w:r w:rsidRPr="004F01E9">
        <w:rPr>
          <w:noProof/>
        </w:rPr>
        <w:t xml:space="preserve"> pre položky</w:t>
      </w:r>
      <w:r w:rsidR="004F01E9">
        <w:rPr>
          <w:noProof/>
        </w:rPr>
        <w:t xml:space="preserve"> v </w:t>
      </w:r>
      <w:r w:rsidRPr="004F01E9">
        <w:rPr>
          <w:noProof/>
        </w:rPr>
        <w:t>skupine 5.</w:t>
      </w:r>
    </w:p>
    <w:p w14:paraId="0C2A78B4" w14:textId="16700304" w:rsidR="002E0711" w:rsidRPr="004F01E9" w:rsidRDefault="002E0711" w:rsidP="002E0711">
      <w:pPr>
        <w:pStyle w:val="Text1"/>
        <w:rPr>
          <w:noProof/>
        </w:rPr>
      </w:pPr>
      <w:r w:rsidRPr="004F01E9">
        <w:rPr>
          <w:noProof/>
        </w:rPr>
        <w:t>3. Hodnota expozície prísľubu na podsúvahovú položku, ako sa uvádza</w:t>
      </w:r>
      <w:r w:rsidR="004F01E9">
        <w:rPr>
          <w:noProof/>
        </w:rPr>
        <w:t xml:space="preserve"> v </w:t>
      </w:r>
      <w:r w:rsidRPr="004F01E9">
        <w:rPr>
          <w:noProof/>
        </w:rPr>
        <w:t>odseku 2, je nižšia</w:t>
      </w:r>
      <w:r w:rsidR="004F01E9">
        <w:rPr>
          <w:noProof/>
        </w:rPr>
        <w:t xml:space="preserve"> z </w:t>
      </w:r>
      <w:r w:rsidRPr="004F01E9">
        <w:rPr>
          <w:noProof/>
        </w:rPr>
        <w:t>nasledujúcich percentuálnych hodnôt nominálnej hodnoty prísľubu po odpočítaní špecifických úprav kreditného rizika</w:t>
      </w:r>
      <w:r w:rsidR="004F01E9">
        <w:rPr>
          <w:noProof/>
        </w:rPr>
        <w:t xml:space="preserve"> a </w:t>
      </w:r>
      <w:r w:rsidRPr="004F01E9">
        <w:rPr>
          <w:noProof/>
        </w:rPr>
        <w:t>súm odpočítaných</w:t>
      </w:r>
      <w:r w:rsidR="004F01E9">
        <w:rPr>
          <w:noProof/>
        </w:rPr>
        <w:t xml:space="preserve"> v </w:t>
      </w:r>
      <w:r w:rsidRPr="004F01E9">
        <w:rPr>
          <w:noProof/>
        </w:rPr>
        <w:t>súlade</w:t>
      </w:r>
      <w:r w:rsidR="004F01E9">
        <w:rPr>
          <w:noProof/>
        </w:rPr>
        <w:t xml:space="preserve"> s </w:t>
      </w:r>
      <w:r w:rsidRPr="004F01E9">
        <w:rPr>
          <w:noProof/>
        </w:rPr>
        <w:t>článkom 36 ods. 1 písm. m):</w:t>
      </w:r>
    </w:p>
    <w:p w14:paraId="54654D42" w14:textId="393308EC" w:rsidR="002E0711" w:rsidRPr="004F01E9" w:rsidRDefault="002E0711" w:rsidP="005A6174">
      <w:pPr>
        <w:pStyle w:val="Point1"/>
        <w:rPr>
          <w:noProof/>
        </w:rPr>
      </w:pPr>
      <w:r w:rsidRPr="004F01E9">
        <w:rPr>
          <w:noProof/>
        </w:rPr>
        <w:t>a)</w:t>
      </w:r>
      <w:r w:rsidRPr="004F01E9">
        <w:rPr>
          <w:noProof/>
        </w:rPr>
        <w:tab/>
        <w:t>percentuálna hodnota uvedená</w:t>
      </w:r>
      <w:r w:rsidR="004F01E9">
        <w:rPr>
          <w:noProof/>
        </w:rPr>
        <w:t xml:space="preserve"> v </w:t>
      </w:r>
      <w:r w:rsidRPr="004F01E9">
        <w:rPr>
          <w:noProof/>
        </w:rPr>
        <w:t>odseku 2, ktorá sa vzťahuje na položku, na ktorú sa viaže prísľub;</w:t>
      </w:r>
    </w:p>
    <w:p w14:paraId="4D51BBD6" w14:textId="338D67C5" w:rsidR="002E0711" w:rsidRPr="004F01E9" w:rsidRDefault="002E0711" w:rsidP="005A6174">
      <w:pPr>
        <w:pStyle w:val="Point1"/>
        <w:rPr>
          <w:noProof/>
        </w:rPr>
      </w:pPr>
      <w:r w:rsidRPr="004F01E9">
        <w:rPr>
          <w:noProof/>
        </w:rPr>
        <w:t>b)</w:t>
      </w:r>
      <w:r w:rsidRPr="004F01E9">
        <w:rPr>
          <w:noProof/>
        </w:rPr>
        <w:tab/>
        <w:t>percentuálna hodnota uvedená</w:t>
      </w:r>
      <w:r w:rsidR="004F01E9">
        <w:rPr>
          <w:noProof/>
        </w:rPr>
        <w:t xml:space="preserve"> v </w:t>
      </w:r>
      <w:r w:rsidRPr="004F01E9">
        <w:rPr>
          <w:noProof/>
        </w:rPr>
        <w:t>odseku 2, ktorá sa vzťahuje na druh prísľubu.</w:t>
      </w:r>
    </w:p>
    <w:p w14:paraId="539FD8EF" w14:textId="5791D332" w:rsidR="002E0711" w:rsidRPr="004F01E9" w:rsidRDefault="002E0711" w:rsidP="002E0711">
      <w:pPr>
        <w:pStyle w:val="Text1"/>
        <w:rPr>
          <w:noProof/>
        </w:rPr>
      </w:pPr>
      <w:r w:rsidRPr="004F01E9">
        <w:rPr>
          <w:noProof/>
        </w:rPr>
        <w:t>4. Pri zmluvných dojednaniach, ktoré ponúka inštitúcia, ale ktoré ešte klient neprijal,</w:t>
      </w:r>
      <w:r w:rsidR="004F01E9">
        <w:rPr>
          <w:noProof/>
        </w:rPr>
        <w:t xml:space="preserve"> a </w:t>
      </w:r>
      <w:r w:rsidRPr="004F01E9">
        <w:rPr>
          <w:noProof/>
        </w:rPr>
        <w:t>ktoré by sa</w:t>
      </w:r>
      <w:r w:rsidR="004F01E9">
        <w:rPr>
          <w:noProof/>
        </w:rPr>
        <w:t xml:space="preserve"> v </w:t>
      </w:r>
      <w:r w:rsidRPr="004F01E9">
        <w:rPr>
          <w:noProof/>
        </w:rPr>
        <w:t>prípade, ak by ich klient prijal, stali prísľubmi,</w:t>
      </w:r>
      <w:r w:rsidR="004F01E9">
        <w:rPr>
          <w:noProof/>
        </w:rPr>
        <w:t xml:space="preserve"> a </w:t>
      </w:r>
      <w:r w:rsidRPr="004F01E9">
        <w:rPr>
          <w:noProof/>
        </w:rPr>
        <w:t>pri zmluvných dojednaniach, ktoré by sa kvalifikovali ako prísľuby, ale spĺňajú podmienky na to, aby sa</w:t>
      </w:r>
      <w:r w:rsidR="004F01E9">
        <w:rPr>
          <w:noProof/>
        </w:rPr>
        <w:t xml:space="preserve"> s </w:t>
      </w:r>
      <w:r w:rsidRPr="004F01E9">
        <w:rPr>
          <w:noProof/>
        </w:rPr>
        <w:t>nimi nezaobchádzalo ako</w:t>
      </w:r>
      <w:r w:rsidR="004F01E9">
        <w:rPr>
          <w:noProof/>
        </w:rPr>
        <w:t xml:space="preserve"> s </w:t>
      </w:r>
      <w:r w:rsidRPr="004F01E9">
        <w:rPr>
          <w:noProof/>
        </w:rPr>
        <w:t>prísľubmi, je percentuálnou hodnotou, ktorá sa vzťahuje na tento druh zmluvného dojednania, tá percentuálna hodnota, ktorá je stanovená</w:t>
      </w:r>
      <w:r w:rsidR="004F01E9">
        <w:rPr>
          <w:noProof/>
        </w:rPr>
        <w:t xml:space="preserve"> v </w:t>
      </w:r>
      <w:r w:rsidRPr="004F01E9">
        <w:rPr>
          <w:noProof/>
        </w:rPr>
        <w:t>súlade</w:t>
      </w:r>
      <w:r w:rsidR="004F01E9">
        <w:rPr>
          <w:noProof/>
        </w:rPr>
        <w:t xml:space="preserve"> s </w:t>
      </w:r>
      <w:r w:rsidRPr="004F01E9">
        <w:rPr>
          <w:noProof/>
        </w:rPr>
        <w:t>odsekom 2.</w:t>
      </w:r>
    </w:p>
    <w:p w14:paraId="36521AA6" w14:textId="2E5FDBC4" w:rsidR="002E0711" w:rsidRPr="00025CB3" w:rsidRDefault="002E0711" w:rsidP="002E0711">
      <w:pPr>
        <w:pStyle w:val="Text1"/>
        <w:rPr>
          <w:noProof/>
          <w:spacing w:val="-4"/>
        </w:rPr>
      </w:pPr>
      <w:r w:rsidRPr="00025CB3">
        <w:rPr>
          <w:noProof/>
          <w:spacing w:val="-4"/>
        </w:rPr>
        <w:t>5. Ak úverová inštitúcia používa súhrnnú metódu nakladania</w:t>
      </w:r>
      <w:r w:rsidR="004F01E9" w:rsidRPr="00025CB3">
        <w:rPr>
          <w:noProof/>
          <w:spacing w:val="-4"/>
        </w:rPr>
        <w:t xml:space="preserve"> s </w:t>
      </w:r>
      <w:r w:rsidRPr="00025CB3">
        <w:rPr>
          <w:noProof/>
          <w:spacing w:val="-4"/>
        </w:rPr>
        <w:t>finančným kolaterálom uvedenú</w:t>
      </w:r>
      <w:r w:rsidR="004F01E9" w:rsidRPr="00025CB3">
        <w:rPr>
          <w:noProof/>
          <w:spacing w:val="-4"/>
        </w:rPr>
        <w:t xml:space="preserve"> v </w:t>
      </w:r>
      <w:r w:rsidRPr="00025CB3">
        <w:rPr>
          <w:noProof/>
          <w:spacing w:val="-4"/>
        </w:rPr>
        <w:t>článku 223, hodnota expozície cenných papierov alebo komodít predaných, poskytnutých alebo požičaných</w:t>
      </w:r>
      <w:r w:rsidR="004F01E9" w:rsidRPr="00025CB3">
        <w:rPr>
          <w:noProof/>
          <w:spacing w:val="-4"/>
        </w:rPr>
        <w:t xml:space="preserve"> v </w:t>
      </w:r>
      <w:r w:rsidRPr="00025CB3">
        <w:rPr>
          <w:noProof/>
          <w:spacing w:val="-4"/>
        </w:rPr>
        <w:t>rámci repo transakcie alebo</w:t>
      </w:r>
      <w:r w:rsidR="004F01E9" w:rsidRPr="00025CB3">
        <w:rPr>
          <w:noProof/>
          <w:spacing w:val="-4"/>
        </w:rPr>
        <w:t xml:space="preserve"> v </w:t>
      </w:r>
      <w:r w:rsidRPr="00025CB3">
        <w:rPr>
          <w:noProof/>
          <w:spacing w:val="-4"/>
        </w:rPr>
        <w:t>rámci transakcie požičiavania alebo vypožičiavania cenných papierov alebo komodít</w:t>
      </w:r>
      <w:r w:rsidR="004F01E9" w:rsidRPr="00025CB3">
        <w:rPr>
          <w:noProof/>
          <w:spacing w:val="-4"/>
        </w:rPr>
        <w:t xml:space="preserve"> a </w:t>
      </w:r>
      <w:r w:rsidRPr="00025CB3">
        <w:rPr>
          <w:noProof/>
          <w:spacing w:val="-4"/>
        </w:rPr>
        <w:t>transakcií požičiavania</w:t>
      </w:r>
      <w:r w:rsidR="004F01E9" w:rsidRPr="00025CB3">
        <w:rPr>
          <w:noProof/>
          <w:spacing w:val="-4"/>
        </w:rPr>
        <w:t xml:space="preserve"> s </w:t>
      </w:r>
      <w:r w:rsidRPr="00025CB3">
        <w:rPr>
          <w:noProof/>
          <w:spacing w:val="-4"/>
        </w:rPr>
        <w:t>dozabezpečením sa zvyšuje</w:t>
      </w:r>
      <w:r w:rsidR="004F01E9" w:rsidRPr="00025CB3">
        <w:rPr>
          <w:noProof/>
          <w:spacing w:val="-4"/>
        </w:rPr>
        <w:t xml:space="preserve"> o </w:t>
      </w:r>
      <w:r w:rsidRPr="00025CB3">
        <w:rPr>
          <w:noProof/>
          <w:spacing w:val="-4"/>
        </w:rPr>
        <w:t>úpravu</w:t>
      </w:r>
      <w:r w:rsidR="004F01E9" w:rsidRPr="00025CB3">
        <w:rPr>
          <w:noProof/>
          <w:spacing w:val="-4"/>
        </w:rPr>
        <w:t xml:space="preserve"> z </w:t>
      </w:r>
      <w:r w:rsidRPr="00025CB3">
        <w:rPr>
          <w:noProof/>
          <w:spacing w:val="-4"/>
        </w:rPr>
        <w:t>dôvodu volatility primeranú pre takéto cenné papiere alebo komodity</w:t>
      </w:r>
      <w:r w:rsidR="004F01E9" w:rsidRPr="00025CB3">
        <w:rPr>
          <w:noProof/>
          <w:spacing w:val="-4"/>
        </w:rPr>
        <w:t xml:space="preserve"> v </w:t>
      </w:r>
      <w:r w:rsidRPr="00025CB3">
        <w:rPr>
          <w:noProof/>
          <w:spacing w:val="-4"/>
        </w:rPr>
        <w:t>súlade</w:t>
      </w:r>
      <w:r w:rsidR="004F01E9" w:rsidRPr="00025CB3">
        <w:rPr>
          <w:noProof/>
          <w:spacing w:val="-4"/>
        </w:rPr>
        <w:t xml:space="preserve"> s </w:t>
      </w:r>
      <w:r w:rsidRPr="00025CB3">
        <w:rPr>
          <w:noProof/>
          <w:spacing w:val="-4"/>
        </w:rPr>
        <w:t>článkami 223</w:t>
      </w:r>
      <w:r w:rsidR="004F01E9" w:rsidRPr="00025CB3">
        <w:rPr>
          <w:noProof/>
          <w:spacing w:val="-4"/>
        </w:rPr>
        <w:t xml:space="preserve"> a </w:t>
      </w:r>
      <w:r w:rsidRPr="00025CB3">
        <w:rPr>
          <w:noProof/>
          <w:spacing w:val="-4"/>
        </w:rPr>
        <w:t>224.</w:t>
      </w:r>
    </w:p>
    <w:p w14:paraId="06D51345" w14:textId="364F95A4" w:rsidR="002E0711" w:rsidRPr="004F01E9" w:rsidRDefault="002E0711" w:rsidP="002E0711">
      <w:pPr>
        <w:pStyle w:val="Text1"/>
        <w:rPr>
          <w:noProof/>
        </w:rPr>
      </w:pPr>
      <w:r w:rsidRPr="004F01E9">
        <w:rPr>
          <w:noProof/>
        </w:rPr>
        <w:t>6. Hodnota expozície derivátového nástroja uvedeného</w:t>
      </w:r>
      <w:r w:rsidR="004F01E9">
        <w:rPr>
          <w:noProof/>
        </w:rPr>
        <w:t xml:space="preserve"> v </w:t>
      </w:r>
      <w:r w:rsidRPr="004F01E9">
        <w:rPr>
          <w:noProof/>
        </w:rPr>
        <w:t>prílohe II sa určuje</w:t>
      </w:r>
      <w:r w:rsidR="004F01E9">
        <w:rPr>
          <w:noProof/>
        </w:rPr>
        <w:t xml:space="preserve"> v </w:t>
      </w:r>
      <w:r w:rsidRPr="004F01E9">
        <w:rPr>
          <w:noProof/>
        </w:rPr>
        <w:t>súlade</w:t>
      </w:r>
      <w:r w:rsidR="004F01E9">
        <w:rPr>
          <w:noProof/>
        </w:rPr>
        <w:t xml:space="preserve"> s </w:t>
      </w:r>
      <w:r w:rsidRPr="004F01E9">
        <w:rPr>
          <w:noProof/>
        </w:rPr>
        <w:t>kapitolou 6 pri zohľadnení účinkov zmlúv</w:t>
      </w:r>
      <w:r w:rsidR="004F01E9">
        <w:rPr>
          <w:noProof/>
        </w:rPr>
        <w:t xml:space="preserve"> o </w:t>
      </w:r>
      <w:r w:rsidRPr="004F01E9">
        <w:rPr>
          <w:noProof/>
        </w:rPr>
        <w:t>novácii</w:t>
      </w:r>
      <w:r w:rsidR="004F01E9">
        <w:rPr>
          <w:noProof/>
        </w:rPr>
        <w:t xml:space="preserve"> a </w:t>
      </w:r>
      <w:r w:rsidRPr="004F01E9">
        <w:rPr>
          <w:noProof/>
        </w:rPr>
        <w:t>iných dohôd</w:t>
      </w:r>
      <w:r w:rsidR="004F01E9">
        <w:rPr>
          <w:noProof/>
        </w:rPr>
        <w:t xml:space="preserve"> o </w:t>
      </w:r>
      <w:r w:rsidRPr="004F01E9">
        <w:rPr>
          <w:noProof/>
        </w:rPr>
        <w:t>vzájomnom započítavaní, ako sa stanovuje</w:t>
      </w:r>
      <w:r w:rsidR="004F01E9">
        <w:rPr>
          <w:noProof/>
        </w:rPr>
        <w:t xml:space="preserve"> v </w:t>
      </w:r>
      <w:r w:rsidRPr="004F01E9">
        <w:rPr>
          <w:noProof/>
        </w:rPr>
        <w:t>uvedenej kapitole. Hodnota expozície repo transakcií, transakcií požičiavania alebo vypožičiavania cenných papierov alebo komodít, transakcií</w:t>
      </w:r>
      <w:r w:rsidR="004F01E9">
        <w:rPr>
          <w:noProof/>
        </w:rPr>
        <w:t xml:space="preserve"> s </w:t>
      </w:r>
      <w:r w:rsidRPr="004F01E9">
        <w:rPr>
          <w:noProof/>
        </w:rPr>
        <w:t>dlhou dobou vyrovnania</w:t>
      </w:r>
      <w:r w:rsidR="004F01E9">
        <w:rPr>
          <w:noProof/>
        </w:rPr>
        <w:t xml:space="preserve"> a </w:t>
      </w:r>
      <w:r w:rsidRPr="004F01E9">
        <w:rPr>
          <w:noProof/>
        </w:rPr>
        <w:t>transakcií požičiavania</w:t>
      </w:r>
      <w:r w:rsidR="004F01E9">
        <w:rPr>
          <w:noProof/>
        </w:rPr>
        <w:t xml:space="preserve"> s </w:t>
      </w:r>
      <w:r w:rsidRPr="004F01E9">
        <w:rPr>
          <w:noProof/>
        </w:rPr>
        <w:t>dozabezpečením sa môže určovať buď</w:t>
      </w:r>
      <w:r w:rsidR="004F01E9">
        <w:rPr>
          <w:noProof/>
        </w:rPr>
        <w:t xml:space="preserve"> v </w:t>
      </w:r>
      <w:r w:rsidRPr="004F01E9">
        <w:rPr>
          <w:noProof/>
        </w:rPr>
        <w:t>súlade</w:t>
      </w:r>
      <w:r w:rsidR="004F01E9">
        <w:rPr>
          <w:noProof/>
        </w:rPr>
        <w:t xml:space="preserve"> s </w:t>
      </w:r>
      <w:r w:rsidRPr="004F01E9">
        <w:rPr>
          <w:noProof/>
        </w:rPr>
        <w:t>kapitolou 4, alebo</w:t>
      </w:r>
      <w:r w:rsidR="004F01E9">
        <w:rPr>
          <w:noProof/>
        </w:rPr>
        <w:t xml:space="preserve"> s </w:t>
      </w:r>
      <w:r w:rsidRPr="004F01E9">
        <w:rPr>
          <w:noProof/>
        </w:rPr>
        <w:t>kapitolou 6.</w:t>
      </w:r>
    </w:p>
    <w:p w14:paraId="3751040D" w14:textId="28422744" w:rsidR="002E0711" w:rsidRPr="004F01E9" w:rsidRDefault="002E0711" w:rsidP="002E0711">
      <w:pPr>
        <w:pStyle w:val="Text1"/>
        <w:rPr>
          <w:noProof/>
        </w:rPr>
      </w:pPr>
      <w:r w:rsidRPr="004F01E9">
        <w:rPr>
          <w:noProof/>
        </w:rPr>
        <w:t>7. Ak je expozícia krytá financovaným kreditným zabezpečením, hodnota expozície sa môže zmeniť</w:t>
      </w:r>
      <w:r w:rsidR="004F01E9">
        <w:rPr>
          <w:noProof/>
        </w:rPr>
        <w:t xml:space="preserve"> v </w:t>
      </w:r>
      <w:r w:rsidRPr="004F01E9">
        <w:rPr>
          <w:noProof/>
        </w:rPr>
        <w:t>súlade</w:t>
      </w:r>
      <w:r w:rsidR="004F01E9">
        <w:rPr>
          <w:noProof/>
        </w:rPr>
        <w:t xml:space="preserve"> s </w:t>
      </w:r>
      <w:r w:rsidRPr="004F01E9">
        <w:rPr>
          <w:noProof/>
        </w:rPr>
        <w:t>kapitolou 4.</w:t>
      </w:r>
    </w:p>
    <w:p w14:paraId="3A15333A" w14:textId="4651DFBD" w:rsidR="002E0711" w:rsidRPr="00025CB3" w:rsidRDefault="002E0711" w:rsidP="002E0711">
      <w:pPr>
        <w:pStyle w:val="Text1"/>
        <w:rPr>
          <w:noProof/>
          <w:spacing w:val="-4"/>
        </w:rPr>
      </w:pPr>
      <w:r w:rsidRPr="00025CB3">
        <w:rPr>
          <w:noProof/>
          <w:spacing w:val="-4"/>
        </w:rPr>
        <w:t>8. Orgán EBA vypracuje návrh regulačných technických predpisov</w:t>
      </w:r>
      <w:r w:rsidR="004F01E9" w:rsidRPr="00025CB3">
        <w:rPr>
          <w:noProof/>
          <w:spacing w:val="-4"/>
        </w:rPr>
        <w:t xml:space="preserve"> s </w:t>
      </w:r>
      <w:r w:rsidRPr="00025CB3">
        <w:rPr>
          <w:noProof/>
          <w:spacing w:val="-4"/>
        </w:rPr>
        <w:t>cieľom presne stanoviť:</w:t>
      </w:r>
    </w:p>
    <w:p w14:paraId="70EDB4CE" w14:textId="0100C20C" w:rsidR="00806B81" w:rsidRPr="004F01E9" w:rsidRDefault="002E0711" w:rsidP="005A6174">
      <w:pPr>
        <w:pStyle w:val="Point1"/>
        <w:rPr>
          <w:noProof/>
        </w:rPr>
      </w:pPr>
      <w:r w:rsidRPr="004F01E9">
        <w:rPr>
          <w:noProof/>
        </w:rPr>
        <w:t>a)</w:t>
      </w:r>
      <w:r w:rsidRPr="004F01E9">
        <w:rPr>
          <w:noProof/>
        </w:rPr>
        <w:tab/>
        <w:t>kritériá, ktoré inštitúcie používajú na priradenie podsúvahových položiek,</w:t>
      </w:r>
      <w:r w:rsidR="004F01E9">
        <w:rPr>
          <w:noProof/>
        </w:rPr>
        <w:t xml:space="preserve"> s </w:t>
      </w:r>
      <w:r w:rsidRPr="004F01E9">
        <w:rPr>
          <w:noProof/>
        </w:rPr>
        <w:t>výnimkou položiek, ktoré sú už zahrnuté</w:t>
      </w:r>
      <w:r w:rsidR="004F01E9">
        <w:rPr>
          <w:noProof/>
        </w:rPr>
        <w:t xml:space="preserve"> v </w:t>
      </w:r>
      <w:r w:rsidRPr="004F01E9">
        <w:rPr>
          <w:noProof/>
        </w:rPr>
        <w:t>prílohe I, do skupín 1 až 5 uvedených</w:t>
      </w:r>
      <w:r w:rsidR="004F01E9">
        <w:rPr>
          <w:noProof/>
        </w:rPr>
        <w:t xml:space="preserve"> v </w:t>
      </w:r>
      <w:r w:rsidRPr="004F01E9">
        <w:rPr>
          <w:noProof/>
        </w:rPr>
        <w:t>prílohe I;</w:t>
      </w:r>
    </w:p>
    <w:p w14:paraId="6FA8ED65" w14:textId="2C4E61BA" w:rsidR="002E0711" w:rsidRPr="004F01E9" w:rsidRDefault="002E0711" w:rsidP="005A6174">
      <w:pPr>
        <w:pStyle w:val="Point1"/>
        <w:rPr>
          <w:noProof/>
        </w:rPr>
      </w:pPr>
      <w:r w:rsidRPr="004F01E9">
        <w:rPr>
          <w:noProof/>
        </w:rPr>
        <w:t>b)</w:t>
      </w:r>
      <w:r w:rsidRPr="004F01E9">
        <w:rPr>
          <w:noProof/>
        </w:rPr>
        <w:tab/>
        <w:t>faktory, ktoré môžu obmedziť schopnosť inštitúcií zrušiť bezpodmienečne zrušiteľné prísľuby uvedené</w:t>
      </w:r>
      <w:r w:rsidR="004F01E9">
        <w:rPr>
          <w:noProof/>
        </w:rPr>
        <w:t xml:space="preserve"> v </w:t>
      </w:r>
      <w:r w:rsidRPr="004F01E9">
        <w:rPr>
          <w:noProof/>
        </w:rPr>
        <w:t>prílohe I;</w:t>
      </w:r>
    </w:p>
    <w:p w14:paraId="27024CE0" w14:textId="0AA5FA55" w:rsidR="00806B81" w:rsidRPr="00025CB3" w:rsidRDefault="002E0711" w:rsidP="005A6174">
      <w:pPr>
        <w:pStyle w:val="Point1"/>
        <w:rPr>
          <w:noProof/>
          <w:spacing w:val="-4"/>
        </w:rPr>
      </w:pPr>
      <w:r w:rsidRPr="004F01E9">
        <w:rPr>
          <w:noProof/>
        </w:rPr>
        <w:t>c)</w:t>
      </w:r>
      <w:r w:rsidRPr="004F01E9">
        <w:rPr>
          <w:noProof/>
        </w:rPr>
        <w:tab/>
      </w:r>
      <w:r w:rsidRPr="00025CB3">
        <w:rPr>
          <w:noProof/>
          <w:spacing w:val="-4"/>
        </w:rPr>
        <w:t>postup informovania orgánu EBA</w:t>
      </w:r>
      <w:r w:rsidR="004F01E9" w:rsidRPr="00025CB3">
        <w:rPr>
          <w:noProof/>
          <w:spacing w:val="-4"/>
        </w:rPr>
        <w:t xml:space="preserve"> o </w:t>
      </w:r>
      <w:r w:rsidRPr="00025CB3">
        <w:rPr>
          <w:noProof/>
          <w:spacing w:val="-4"/>
        </w:rPr>
        <w:t>klasifikácii ostatných podsúvahových položiek inštitúcií</w:t>
      </w:r>
      <w:r w:rsidR="004F01E9" w:rsidRPr="00025CB3">
        <w:rPr>
          <w:noProof/>
          <w:spacing w:val="-4"/>
        </w:rPr>
        <w:t xml:space="preserve"> s </w:t>
      </w:r>
      <w:r w:rsidRPr="00025CB3">
        <w:rPr>
          <w:noProof/>
          <w:spacing w:val="-4"/>
        </w:rPr>
        <w:t>podobnými rizikami, ako sú tie, ktoré sú uvedené</w:t>
      </w:r>
      <w:r w:rsidR="004F01E9" w:rsidRPr="00025CB3">
        <w:rPr>
          <w:noProof/>
          <w:spacing w:val="-4"/>
        </w:rPr>
        <w:t xml:space="preserve"> v </w:t>
      </w:r>
      <w:r w:rsidRPr="00025CB3">
        <w:rPr>
          <w:noProof/>
          <w:spacing w:val="-4"/>
        </w:rPr>
        <w:t>prílohe I.</w:t>
      </w:r>
    </w:p>
    <w:p w14:paraId="56D234BA" w14:textId="29BA7BFC" w:rsidR="002E0711" w:rsidRPr="00025CB3" w:rsidRDefault="002E0711" w:rsidP="002E0711">
      <w:pPr>
        <w:pStyle w:val="Text1"/>
        <w:rPr>
          <w:noProof/>
          <w:spacing w:val="-4"/>
        </w:rPr>
      </w:pPr>
      <w:r w:rsidRPr="00025CB3">
        <w:rPr>
          <w:noProof/>
          <w:spacing w:val="-4"/>
        </w:rPr>
        <w:t>Orgán EBA predloží Komisii uvedený návrh regulačných technických predpisov do [Úrad pre publikácie, vložte dátum = 1 rok po nadobudnutí účinnosti tohto nariadenia].</w:t>
      </w:r>
    </w:p>
    <w:p w14:paraId="593DB4B6" w14:textId="21DE9B49" w:rsidR="002E0711" w:rsidRPr="004F01E9" w:rsidRDefault="002E0711" w:rsidP="002E0711">
      <w:pPr>
        <w:pStyle w:val="Text1"/>
        <w:rPr>
          <w:noProof/>
        </w:rPr>
      </w:pPr>
      <w:r w:rsidRPr="004F01E9">
        <w:rPr>
          <w:noProof/>
        </w:rPr>
        <w:t>Na Komisiu sa deleguje právomoc doplniť toto nariadenie prijatím regulačných technických predpisov uvedených</w:t>
      </w:r>
      <w:r w:rsidR="004F01E9">
        <w:rPr>
          <w:noProof/>
        </w:rPr>
        <w:t xml:space="preserve"> v </w:t>
      </w:r>
      <w:r w:rsidRPr="004F01E9">
        <w:rPr>
          <w:noProof/>
        </w:rPr>
        <w:t>prvom pododseku</w:t>
      </w:r>
      <w:r w:rsidR="004F01E9">
        <w:rPr>
          <w:noProof/>
        </w:rPr>
        <w:t xml:space="preserve"> v </w:t>
      </w:r>
      <w:r w:rsidRPr="004F01E9">
        <w:rPr>
          <w:noProof/>
        </w:rPr>
        <w:t>súlade</w:t>
      </w:r>
      <w:r w:rsidR="004F01E9">
        <w:rPr>
          <w:noProof/>
        </w:rPr>
        <w:t xml:space="preserve"> s </w:t>
      </w:r>
      <w:r w:rsidRPr="004F01E9">
        <w:rPr>
          <w:noProof/>
        </w:rPr>
        <w:t xml:space="preserve">článkami 10 až 14 nariadenia (EÚ) </w:t>
      </w:r>
      <w:r w:rsidR="004F01E9">
        <w:rPr>
          <w:noProof/>
        </w:rPr>
        <w:t>č. </w:t>
      </w:r>
      <w:r w:rsidRPr="004F01E9">
        <w:rPr>
          <w:noProof/>
        </w:rPr>
        <w:t>1093/2010.“</w:t>
      </w:r>
    </w:p>
    <w:p w14:paraId="022BC359" w14:textId="2F323A04" w:rsidR="00806B81" w:rsidRPr="004F01E9" w:rsidRDefault="00B16452" w:rsidP="00B16452">
      <w:pPr>
        <w:pStyle w:val="Point0"/>
        <w:rPr>
          <w:noProof/>
        </w:rPr>
      </w:pPr>
      <w:r w:rsidRPr="00B16452">
        <w:rPr>
          <w:noProof/>
        </w:rPr>
        <w:t>35</w:t>
      </w:r>
      <w:r>
        <w:rPr>
          <w:noProof/>
        </w:rPr>
        <w:t>.</w:t>
      </w:r>
      <w:r w:rsidRPr="00B16452">
        <w:rPr>
          <w:noProof/>
        </w:rPr>
        <w:tab/>
      </w:r>
      <w:r w:rsidR="002E0711" w:rsidRPr="004F01E9">
        <w:rPr>
          <w:noProof/>
        </w:rPr>
        <w:t>V článku 112 sa písmeno k) nahrádza takto:</w:t>
      </w:r>
    </w:p>
    <w:p w14:paraId="5A4D4D4F" w14:textId="0B316CE8" w:rsidR="002E0711" w:rsidRPr="004F01E9" w:rsidRDefault="002E0711" w:rsidP="00806B81">
      <w:pPr>
        <w:pStyle w:val="Text1"/>
        <w:rPr>
          <w:noProof/>
        </w:rPr>
      </w:pPr>
      <w:r w:rsidRPr="004F01E9">
        <w:rPr>
          <w:noProof/>
        </w:rPr>
        <w:t>„k) expozície voči podriadenému dlhu;“.</w:t>
      </w:r>
    </w:p>
    <w:p w14:paraId="629BC5B6" w14:textId="3C7DF511" w:rsidR="002E0711" w:rsidRPr="004F01E9" w:rsidRDefault="00B16452" w:rsidP="00B16452">
      <w:pPr>
        <w:pStyle w:val="Point0"/>
        <w:rPr>
          <w:noProof/>
        </w:rPr>
      </w:pPr>
      <w:r w:rsidRPr="00B16452">
        <w:rPr>
          <w:noProof/>
        </w:rPr>
        <w:t>36</w:t>
      </w:r>
      <w:r>
        <w:rPr>
          <w:noProof/>
        </w:rPr>
        <w:t>.</w:t>
      </w:r>
      <w:r w:rsidRPr="00B16452">
        <w:rPr>
          <w:noProof/>
        </w:rPr>
        <w:tab/>
      </w:r>
      <w:r w:rsidR="002E0711" w:rsidRPr="004F01E9">
        <w:rPr>
          <w:noProof/>
        </w:rPr>
        <w:t>Článok 113 sa mení takto:</w:t>
      </w:r>
    </w:p>
    <w:p w14:paraId="2D5695EB" w14:textId="77777777" w:rsidR="004F01E9" w:rsidRDefault="00806B81" w:rsidP="00806B81">
      <w:pPr>
        <w:pStyle w:val="Point1"/>
        <w:rPr>
          <w:noProof/>
        </w:rPr>
      </w:pPr>
      <w:r w:rsidRPr="004F01E9">
        <w:rPr>
          <w:noProof/>
        </w:rPr>
        <w:t>a)</w:t>
      </w:r>
      <w:r w:rsidRPr="004F01E9">
        <w:rPr>
          <w:noProof/>
        </w:rPr>
        <w:tab/>
        <w:t>Odsek 1 sa nahrádza takto</w:t>
      </w:r>
      <w:r w:rsidR="004F01E9">
        <w:rPr>
          <w:noProof/>
        </w:rPr>
        <w:t>:</w:t>
      </w:r>
    </w:p>
    <w:p w14:paraId="5599131D" w14:textId="349F1426" w:rsidR="002E0711" w:rsidRPr="00025CB3" w:rsidRDefault="002E0711" w:rsidP="00806B81">
      <w:pPr>
        <w:pStyle w:val="Text2"/>
        <w:rPr>
          <w:noProof/>
          <w:spacing w:val="-4"/>
        </w:rPr>
      </w:pPr>
      <w:r w:rsidRPr="00025CB3">
        <w:rPr>
          <w:noProof/>
          <w:spacing w:val="-4"/>
        </w:rPr>
        <w:t>„1. Na výpočet hodnôt rizikovo vážených expozícií sa rizikové váhy uplatňujú na všetky expozície, pokiaľ tieto expozície neboli odpočítané od vlastných zdrojov</w:t>
      </w:r>
      <w:r w:rsidR="004F01E9" w:rsidRPr="00025CB3">
        <w:rPr>
          <w:noProof/>
          <w:spacing w:val="-4"/>
        </w:rPr>
        <w:t xml:space="preserve"> v </w:t>
      </w:r>
      <w:r w:rsidRPr="00025CB3">
        <w:rPr>
          <w:noProof/>
          <w:spacing w:val="-4"/>
        </w:rPr>
        <w:t>súlade</w:t>
      </w:r>
      <w:r w:rsidR="004F01E9" w:rsidRPr="00025CB3">
        <w:rPr>
          <w:noProof/>
          <w:spacing w:val="-4"/>
        </w:rPr>
        <w:t xml:space="preserve"> s </w:t>
      </w:r>
      <w:r w:rsidRPr="00025CB3">
        <w:rPr>
          <w:noProof/>
          <w:spacing w:val="-4"/>
        </w:rPr>
        <w:t>oddielom 2,</w:t>
      </w:r>
      <w:r w:rsidR="004F01E9" w:rsidRPr="00025CB3">
        <w:rPr>
          <w:noProof/>
          <w:spacing w:val="-4"/>
        </w:rPr>
        <w:t xml:space="preserve"> a </w:t>
      </w:r>
      <w:r w:rsidRPr="00025CB3">
        <w:rPr>
          <w:noProof/>
          <w:spacing w:val="-4"/>
        </w:rPr>
        <w:t>to na základe triedy expozícií, do ktorej sú tieto expozície zaradené,</w:t>
      </w:r>
      <w:r w:rsidR="004F01E9" w:rsidRPr="00025CB3">
        <w:rPr>
          <w:noProof/>
          <w:spacing w:val="-4"/>
        </w:rPr>
        <w:t xml:space="preserve"> a v </w:t>
      </w:r>
      <w:r w:rsidRPr="00025CB3">
        <w:rPr>
          <w:noProof/>
          <w:spacing w:val="-4"/>
        </w:rPr>
        <w:t>rozsahu stanovenom</w:t>
      </w:r>
      <w:r w:rsidR="004F01E9" w:rsidRPr="00025CB3">
        <w:rPr>
          <w:noProof/>
          <w:spacing w:val="-4"/>
        </w:rPr>
        <w:t xml:space="preserve"> v </w:t>
      </w:r>
      <w:r w:rsidRPr="00025CB3">
        <w:rPr>
          <w:noProof/>
          <w:spacing w:val="-4"/>
        </w:rPr>
        <w:t>oddiele 2 na základe kreditnej kvality týchto expozícií. Kreditná kvalita sa môže určiť odkazom na ratingové hodnotenia ECAI alebo na ratingové hodnotenia agentúr na podporu exportu</w:t>
      </w:r>
      <w:r w:rsidR="004F01E9" w:rsidRPr="00025CB3">
        <w:rPr>
          <w:noProof/>
          <w:spacing w:val="-4"/>
        </w:rPr>
        <w:t xml:space="preserve"> v </w:t>
      </w:r>
      <w:r w:rsidRPr="00025CB3">
        <w:rPr>
          <w:noProof/>
          <w:spacing w:val="-4"/>
        </w:rPr>
        <w:t>súlade</w:t>
      </w:r>
      <w:r w:rsidR="004F01E9" w:rsidRPr="00025CB3">
        <w:rPr>
          <w:noProof/>
          <w:spacing w:val="-4"/>
        </w:rPr>
        <w:t xml:space="preserve"> s </w:t>
      </w:r>
      <w:r w:rsidRPr="00025CB3">
        <w:rPr>
          <w:noProof/>
          <w:spacing w:val="-4"/>
        </w:rPr>
        <w:t>oddielom 3.</w:t>
      </w:r>
      <w:r w:rsidR="004F01E9" w:rsidRPr="00025CB3">
        <w:rPr>
          <w:noProof/>
          <w:spacing w:val="-4"/>
        </w:rPr>
        <w:t xml:space="preserve"> S </w:t>
      </w:r>
      <w:r w:rsidRPr="00025CB3">
        <w:rPr>
          <w:noProof/>
          <w:spacing w:val="-4"/>
        </w:rPr>
        <w:t>výnimkou expozícií zaradených do tried expozícií stanovených</w:t>
      </w:r>
      <w:r w:rsidR="004F01E9" w:rsidRPr="00025CB3">
        <w:rPr>
          <w:noProof/>
          <w:spacing w:val="-4"/>
        </w:rPr>
        <w:t xml:space="preserve"> v </w:t>
      </w:r>
      <w:r w:rsidRPr="00025CB3">
        <w:rPr>
          <w:noProof/>
          <w:spacing w:val="-4"/>
        </w:rPr>
        <w:t>článku 112 písm. a), b), c)</w:t>
      </w:r>
      <w:r w:rsidR="004F01E9" w:rsidRPr="00025CB3">
        <w:rPr>
          <w:noProof/>
          <w:spacing w:val="-4"/>
        </w:rPr>
        <w:t xml:space="preserve"> a </w:t>
      </w:r>
      <w:r w:rsidRPr="00025CB3">
        <w:rPr>
          <w:noProof/>
          <w:spacing w:val="-4"/>
        </w:rPr>
        <w:t>e), ak posúdenie</w:t>
      </w:r>
      <w:r w:rsidR="004F01E9" w:rsidRPr="00025CB3">
        <w:rPr>
          <w:noProof/>
          <w:spacing w:val="-4"/>
        </w:rPr>
        <w:t xml:space="preserve"> v </w:t>
      </w:r>
      <w:r w:rsidRPr="00025CB3">
        <w:rPr>
          <w:noProof/>
          <w:spacing w:val="-4"/>
        </w:rPr>
        <w:t>súlade</w:t>
      </w:r>
      <w:r w:rsidR="004F01E9" w:rsidRPr="00025CB3">
        <w:rPr>
          <w:noProof/>
          <w:spacing w:val="-4"/>
        </w:rPr>
        <w:t xml:space="preserve"> s </w:t>
      </w:r>
      <w:r w:rsidRPr="00025CB3">
        <w:rPr>
          <w:noProof/>
          <w:spacing w:val="-4"/>
        </w:rPr>
        <w:t xml:space="preserve">článkom 79 písm. b) </w:t>
      </w:r>
      <w:r w:rsidRPr="00025CB3">
        <w:rPr>
          <w:noProof/>
          <w:color w:val="000000"/>
          <w:spacing w:val="-4"/>
          <w:shd w:val="clear" w:color="auto" w:fill="FFFFFF"/>
        </w:rPr>
        <w:t>smernice 2013/36/EÚ</w:t>
      </w:r>
      <w:r w:rsidRPr="00025CB3">
        <w:rPr>
          <w:noProof/>
          <w:spacing w:val="-4"/>
        </w:rPr>
        <w:t xml:space="preserve"> odzrkadľuje vyššie rizikové charakteristiky než tie, ktoré vyplývajú</w:t>
      </w:r>
      <w:r w:rsidR="004F01E9" w:rsidRPr="00025CB3">
        <w:rPr>
          <w:noProof/>
          <w:spacing w:val="-4"/>
        </w:rPr>
        <w:t xml:space="preserve"> z </w:t>
      </w:r>
      <w:r w:rsidRPr="00025CB3">
        <w:rPr>
          <w:noProof/>
          <w:spacing w:val="-4"/>
        </w:rPr>
        <w:t>ratingového hodnotenia nominovanej ECAI alebo agentúry na podporu exportu, inštitúcia priradí rizikovú váhu aspoň</w:t>
      </w:r>
      <w:r w:rsidR="004F01E9" w:rsidRPr="00025CB3">
        <w:rPr>
          <w:noProof/>
          <w:spacing w:val="-4"/>
        </w:rPr>
        <w:t xml:space="preserve"> o </w:t>
      </w:r>
      <w:r w:rsidRPr="00025CB3">
        <w:rPr>
          <w:noProof/>
          <w:spacing w:val="-4"/>
        </w:rPr>
        <w:t>jeden stupeň kreditnej kvality vyšší, než je riziková váha vyplývajúca</w:t>
      </w:r>
      <w:r w:rsidR="004F01E9" w:rsidRPr="00025CB3">
        <w:rPr>
          <w:noProof/>
          <w:spacing w:val="-4"/>
        </w:rPr>
        <w:t xml:space="preserve"> z </w:t>
      </w:r>
      <w:r w:rsidRPr="00025CB3">
        <w:rPr>
          <w:noProof/>
          <w:spacing w:val="-4"/>
        </w:rPr>
        <w:t>ratingového hodnotenia nominovanej ECAI alebo agentúry na podporu exportu.“;</w:t>
      </w:r>
    </w:p>
    <w:p w14:paraId="6C7F2789" w14:textId="6720F928" w:rsidR="002E0711" w:rsidRPr="004F01E9" w:rsidRDefault="00806B81" w:rsidP="00806B81">
      <w:pPr>
        <w:pStyle w:val="Point1"/>
        <w:rPr>
          <w:noProof/>
        </w:rPr>
      </w:pPr>
      <w:r w:rsidRPr="004F01E9">
        <w:rPr>
          <w:noProof/>
        </w:rPr>
        <w:t>b)</w:t>
      </w:r>
      <w:r w:rsidRPr="004F01E9">
        <w:rPr>
          <w:noProof/>
        </w:rPr>
        <w:tab/>
        <w:t>Odsek 3 sa nahrádza takto:</w:t>
      </w:r>
    </w:p>
    <w:p w14:paraId="651C911A" w14:textId="5E8271E2" w:rsidR="002E0711" w:rsidRPr="004F01E9" w:rsidRDefault="002E0711" w:rsidP="00806B81">
      <w:pPr>
        <w:pStyle w:val="Text2"/>
        <w:rPr>
          <w:noProof/>
          <w:color w:val="00B050"/>
        </w:rPr>
      </w:pPr>
      <w:r w:rsidRPr="004F01E9">
        <w:rPr>
          <w:noProof/>
        </w:rPr>
        <w:t>„3. Ak expozícia podlieha kreditnému zabezpečeniu, hodnota expozície alebo riziková váha uplatniteľná na túto expozíciu sa</w:t>
      </w:r>
      <w:r w:rsidR="004F01E9">
        <w:rPr>
          <w:noProof/>
        </w:rPr>
        <w:t xml:space="preserve"> v </w:t>
      </w:r>
      <w:r w:rsidRPr="004F01E9">
        <w:rPr>
          <w:noProof/>
        </w:rPr>
        <w:t>prípade potreby môže zmeniť</w:t>
      </w:r>
      <w:r w:rsidR="004F01E9">
        <w:rPr>
          <w:noProof/>
        </w:rPr>
        <w:t xml:space="preserve"> v </w:t>
      </w:r>
      <w:r w:rsidRPr="004F01E9">
        <w:rPr>
          <w:noProof/>
        </w:rPr>
        <w:t>súlade</w:t>
      </w:r>
      <w:r w:rsidR="004F01E9">
        <w:rPr>
          <w:noProof/>
        </w:rPr>
        <w:t xml:space="preserve"> s </w:t>
      </w:r>
      <w:r w:rsidRPr="004F01E9">
        <w:rPr>
          <w:noProof/>
        </w:rPr>
        <w:t>touto kapitolou</w:t>
      </w:r>
      <w:r w:rsidR="004F01E9">
        <w:rPr>
          <w:noProof/>
        </w:rPr>
        <w:t xml:space="preserve"> a </w:t>
      </w:r>
      <w:r w:rsidRPr="004F01E9">
        <w:rPr>
          <w:noProof/>
        </w:rPr>
        <w:t>kapitolou 4.“</w:t>
      </w:r>
    </w:p>
    <w:p w14:paraId="1F841BAA" w14:textId="2D24F431" w:rsidR="00932F67" w:rsidRPr="004F01E9" w:rsidRDefault="00B16452" w:rsidP="00B16452">
      <w:pPr>
        <w:pStyle w:val="Point0"/>
        <w:rPr>
          <w:noProof/>
        </w:rPr>
      </w:pPr>
      <w:r w:rsidRPr="00B16452">
        <w:rPr>
          <w:noProof/>
        </w:rPr>
        <w:t>37</w:t>
      </w:r>
      <w:r>
        <w:rPr>
          <w:noProof/>
        </w:rPr>
        <w:t>.</w:t>
      </w:r>
      <w:r w:rsidRPr="00B16452">
        <w:rPr>
          <w:noProof/>
        </w:rPr>
        <w:tab/>
      </w:r>
      <w:r w:rsidR="00C84B08" w:rsidRPr="004F01E9">
        <w:rPr>
          <w:noProof/>
        </w:rPr>
        <w:t>V článku 119 sa vypúšťajú odseky 2</w:t>
      </w:r>
      <w:r w:rsidR="004F01E9">
        <w:rPr>
          <w:noProof/>
        </w:rPr>
        <w:t xml:space="preserve"> a </w:t>
      </w:r>
      <w:r w:rsidR="00C84B08" w:rsidRPr="004F01E9">
        <w:rPr>
          <w:noProof/>
        </w:rPr>
        <w:t>3.</w:t>
      </w:r>
    </w:p>
    <w:p w14:paraId="134718FF" w14:textId="0D1DCF2D" w:rsidR="00932F67" w:rsidRPr="004F01E9" w:rsidRDefault="00B16452" w:rsidP="00B16452">
      <w:pPr>
        <w:pStyle w:val="Point0"/>
        <w:rPr>
          <w:noProof/>
        </w:rPr>
      </w:pPr>
      <w:r w:rsidRPr="00B16452">
        <w:rPr>
          <w:noProof/>
        </w:rPr>
        <w:t>38</w:t>
      </w:r>
      <w:r>
        <w:rPr>
          <w:noProof/>
        </w:rPr>
        <w:t>.</w:t>
      </w:r>
      <w:r w:rsidRPr="00B16452">
        <w:rPr>
          <w:noProof/>
        </w:rPr>
        <w:tab/>
      </w:r>
      <w:r w:rsidR="001369D1" w:rsidRPr="004F01E9">
        <w:rPr>
          <w:noProof/>
        </w:rPr>
        <w:t>V článku 120 sa odseky 1</w:t>
      </w:r>
      <w:r w:rsidR="004F01E9">
        <w:rPr>
          <w:noProof/>
        </w:rPr>
        <w:t xml:space="preserve"> a </w:t>
      </w:r>
      <w:r w:rsidR="001369D1" w:rsidRPr="004F01E9">
        <w:rPr>
          <w:noProof/>
        </w:rPr>
        <w:t>2 nahrádzajú takto:</w:t>
      </w:r>
    </w:p>
    <w:p w14:paraId="1CAD372F" w14:textId="74A5C518" w:rsidR="001369D1" w:rsidRPr="004F01E9" w:rsidRDefault="001369D1" w:rsidP="00806B81">
      <w:pPr>
        <w:pStyle w:val="Text1"/>
        <w:rPr>
          <w:noProof/>
        </w:rPr>
      </w:pPr>
      <w:r w:rsidRPr="004F01E9">
        <w:rPr>
          <w:noProof/>
        </w:rPr>
        <w:t>„1. Expozíciám, pre ktoré je</w:t>
      </w:r>
      <w:r w:rsidR="004F01E9">
        <w:rPr>
          <w:noProof/>
        </w:rPr>
        <w:t xml:space="preserve"> k </w:t>
      </w:r>
      <w:r w:rsidRPr="004F01E9">
        <w:rPr>
          <w:noProof/>
        </w:rPr>
        <w:t>dispozícii ratingové hodnotenie nominovanej ECAI, sa priraďuje riziková váha podľa tabuľky 3, ktorá zodpovedá ratingovému hodnoteniu od ECAI</w:t>
      </w:r>
      <w:r w:rsidR="004F01E9">
        <w:rPr>
          <w:noProof/>
        </w:rPr>
        <w:t xml:space="preserve"> v </w:t>
      </w:r>
      <w:r w:rsidRPr="004F01E9">
        <w:rPr>
          <w:noProof/>
        </w:rPr>
        <w:t>súlade</w:t>
      </w:r>
      <w:r w:rsidR="004F01E9">
        <w:rPr>
          <w:noProof/>
        </w:rPr>
        <w:t xml:space="preserve"> s </w:t>
      </w:r>
      <w:r w:rsidRPr="004F01E9">
        <w:rPr>
          <w:noProof/>
        </w:rPr>
        <w:t>článkom 136.</w:t>
      </w:r>
    </w:p>
    <w:p w14:paraId="3C2ACFA8" w14:textId="77777777" w:rsidR="001369D1" w:rsidRPr="004F01E9" w:rsidRDefault="001369D1" w:rsidP="00025CB3">
      <w:pPr>
        <w:pStyle w:val="Text1"/>
        <w:keepNext/>
        <w:keepLines/>
        <w:jc w:val="center"/>
        <w:rPr>
          <w:i/>
          <w:noProof/>
        </w:rPr>
      </w:pPr>
      <w:r w:rsidRPr="004F01E9">
        <w:rPr>
          <w:i/>
          <w:noProof/>
        </w:rPr>
        <w:t>Tabuľka 3</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20" w:type="dxa"/>
          <w:left w:w="20" w:type="dxa"/>
          <w:bottom w:w="20" w:type="dxa"/>
          <w:right w:w="20" w:type="dxa"/>
        </w:tblCellMar>
        <w:tblLook w:val="04A0" w:firstRow="1" w:lastRow="0" w:firstColumn="1" w:lastColumn="0" w:noHBand="0" w:noVBand="1"/>
      </w:tblPr>
      <w:tblGrid>
        <w:gridCol w:w="2322"/>
        <w:gridCol w:w="515"/>
        <w:gridCol w:w="515"/>
        <w:gridCol w:w="515"/>
        <w:gridCol w:w="635"/>
        <w:gridCol w:w="660"/>
        <w:gridCol w:w="635"/>
      </w:tblGrid>
      <w:tr w:rsidR="001369D1" w:rsidRPr="004F01E9" w14:paraId="798A3C75" w14:textId="77777777" w:rsidTr="001369D1">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516D21BE" w14:textId="77777777" w:rsidR="001369D1" w:rsidRPr="004F01E9" w:rsidRDefault="001369D1" w:rsidP="00025CB3">
            <w:pPr>
              <w:keepNext/>
              <w:keepLines/>
              <w:spacing w:before="60" w:after="60" w:line="276" w:lineRule="auto"/>
              <w:jc w:val="center"/>
              <w:rPr>
                <w:rFonts w:eastAsia="Times New Roman"/>
                <w:noProof/>
                <w:color w:val="000000" w:themeColor="text1"/>
              </w:rPr>
            </w:pPr>
            <w:r w:rsidRPr="004F01E9">
              <w:rPr>
                <w:noProof/>
                <w:color w:val="000000" w:themeColor="text1"/>
              </w:rPr>
              <w:t>Stupeň kreditnej kvality</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62B45B53" w14:textId="77777777" w:rsidR="001369D1" w:rsidRPr="004F01E9" w:rsidRDefault="001369D1" w:rsidP="00025CB3">
            <w:pPr>
              <w:keepNext/>
              <w:keepLines/>
              <w:spacing w:before="60" w:after="60" w:line="276" w:lineRule="auto"/>
              <w:jc w:val="center"/>
              <w:rPr>
                <w:rFonts w:eastAsia="Times New Roman"/>
                <w:noProof/>
                <w:color w:val="000000" w:themeColor="text1"/>
              </w:rPr>
            </w:pPr>
            <w:r w:rsidRPr="004F01E9">
              <w:rPr>
                <w:noProof/>
                <w:color w:val="000000" w:themeColor="text1"/>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C206F2C" w14:textId="77777777" w:rsidR="001369D1" w:rsidRPr="004F01E9" w:rsidRDefault="001369D1" w:rsidP="00025CB3">
            <w:pPr>
              <w:keepNext/>
              <w:keepLines/>
              <w:spacing w:before="60" w:after="60" w:line="276" w:lineRule="auto"/>
              <w:jc w:val="center"/>
              <w:rPr>
                <w:rFonts w:eastAsia="Times New Roman"/>
                <w:noProof/>
                <w:color w:val="000000" w:themeColor="text1"/>
              </w:rPr>
            </w:pPr>
            <w:r w:rsidRPr="004F01E9">
              <w:rPr>
                <w:noProof/>
                <w:color w:val="000000" w:themeColor="text1"/>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355B3AA" w14:textId="77777777" w:rsidR="001369D1" w:rsidRPr="004F01E9" w:rsidRDefault="001369D1" w:rsidP="00025CB3">
            <w:pPr>
              <w:keepNext/>
              <w:keepLines/>
              <w:spacing w:before="60" w:after="60" w:line="276" w:lineRule="auto"/>
              <w:jc w:val="center"/>
              <w:rPr>
                <w:rFonts w:eastAsia="Times New Roman"/>
                <w:noProof/>
                <w:color w:val="000000" w:themeColor="text1"/>
              </w:rPr>
            </w:pPr>
            <w:r w:rsidRPr="004F01E9">
              <w:rPr>
                <w:noProof/>
                <w:color w:val="000000" w:themeColor="text1"/>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9DA61F1" w14:textId="77777777" w:rsidR="001369D1" w:rsidRPr="004F01E9" w:rsidRDefault="001369D1" w:rsidP="00025CB3">
            <w:pPr>
              <w:keepNext/>
              <w:keepLines/>
              <w:spacing w:before="60" w:after="60" w:line="276" w:lineRule="auto"/>
              <w:jc w:val="center"/>
              <w:rPr>
                <w:rFonts w:eastAsia="Times New Roman"/>
                <w:noProof/>
                <w:color w:val="000000" w:themeColor="text1"/>
              </w:rPr>
            </w:pPr>
            <w:r w:rsidRPr="004F01E9">
              <w:rPr>
                <w:noProof/>
                <w:color w:val="000000" w:themeColor="text1"/>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Pr>
          <w:p w14:paraId="59EC2494" w14:textId="77777777" w:rsidR="001369D1" w:rsidRPr="004F01E9" w:rsidRDefault="001369D1" w:rsidP="00025CB3">
            <w:pPr>
              <w:keepNext/>
              <w:keepLines/>
              <w:spacing w:before="60" w:after="60" w:line="276" w:lineRule="auto"/>
              <w:jc w:val="center"/>
              <w:rPr>
                <w:rFonts w:eastAsia="Times New Roman"/>
                <w:noProof/>
                <w:color w:val="000000" w:themeColor="text1"/>
              </w:rPr>
            </w:pPr>
            <w:r w:rsidRPr="004F01E9">
              <w:rPr>
                <w:noProof/>
                <w:color w:val="000000" w:themeColor="text1"/>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53442D49" w14:textId="77777777" w:rsidR="001369D1" w:rsidRPr="004F01E9" w:rsidRDefault="001369D1" w:rsidP="00025CB3">
            <w:pPr>
              <w:keepNext/>
              <w:keepLines/>
              <w:spacing w:before="60" w:after="60" w:line="276" w:lineRule="auto"/>
              <w:jc w:val="center"/>
              <w:rPr>
                <w:rFonts w:eastAsia="Times New Roman"/>
                <w:noProof/>
                <w:color w:val="000000" w:themeColor="text1"/>
              </w:rPr>
            </w:pPr>
            <w:r w:rsidRPr="004F01E9">
              <w:rPr>
                <w:noProof/>
                <w:color w:val="000000" w:themeColor="text1"/>
              </w:rPr>
              <w:t>6</w:t>
            </w:r>
          </w:p>
        </w:tc>
      </w:tr>
      <w:tr w:rsidR="001369D1" w:rsidRPr="004F01E9" w14:paraId="3764F795" w14:textId="77777777" w:rsidTr="001369D1">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73E46C5" w14:textId="77777777" w:rsidR="001369D1" w:rsidRPr="004F01E9" w:rsidRDefault="001369D1" w:rsidP="00025CB3">
            <w:pPr>
              <w:keepNext/>
              <w:keepLines/>
              <w:spacing w:before="60" w:after="60" w:line="276" w:lineRule="auto"/>
              <w:jc w:val="center"/>
              <w:rPr>
                <w:rFonts w:eastAsia="Times New Roman"/>
                <w:noProof/>
                <w:color w:val="000000" w:themeColor="text1"/>
              </w:rPr>
            </w:pPr>
            <w:r w:rsidRPr="004F01E9">
              <w:rPr>
                <w:noProof/>
                <w:color w:val="000000" w:themeColor="text1"/>
              </w:rPr>
              <w:t>Riziková váha</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B2DCD8E" w14:textId="1EFD2818" w:rsidR="001369D1" w:rsidRPr="004F01E9" w:rsidRDefault="001369D1" w:rsidP="00025CB3">
            <w:pPr>
              <w:keepNext/>
              <w:keepLines/>
              <w:spacing w:before="60" w:after="60" w:line="276" w:lineRule="auto"/>
              <w:jc w:val="center"/>
              <w:rPr>
                <w:rFonts w:eastAsia="Times New Roman"/>
                <w:noProof/>
                <w:color w:val="000000" w:themeColor="text1"/>
              </w:rPr>
            </w:pPr>
            <w:r w:rsidRPr="004F01E9">
              <w:rPr>
                <w:noProof/>
              </w:rPr>
              <w:t>20</w:t>
            </w:r>
            <w:r w:rsidR="004F01E9">
              <w:rPr>
                <w:noProof/>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6733A031" w14:textId="708B5D34" w:rsidR="001369D1" w:rsidRPr="004F01E9" w:rsidRDefault="001369D1" w:rsidP="00025CB3">
            <w:pPr>
              <w:keepNext/>
              <w:keepLines/>
              <w:spacing w:before="60" w:after="60" w:line="276" w:lineRule="auto"/>
              <w:jc w:val="center"/>
              <w:rPr>
                <w:rFonts w:eastAsia="Times New Roman"/>
                <w:noProof/>
                <w:color w:val="000000" w:themeColor="text1"/>
              </w:rPr>
            </w:pPr>
            <w:r w:rsidRPr="004F01E9">
              <w:rPr>
                <w:noProof/>
              </w:rPr>
              <w:t>30</w:t>
            </w:r>
            <w:r w:rsidR="004F01E9">
              <w:rPr>
                <w:noProof/>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2956F50" w14:textId="272F2402" w:rsidR="001369D1" w:rsidRPr="004F01E9" w:rsidRDefault="001369D1" w:rsidP="00025CB3">
            <w:pPr>
              <w:keepNext/>
              <w:keepLines/>
              <w:spacing w:before="60" w:after="60" w:line="276" w:lineRule="auto"/>
              <w:jc w:val="center"/>
              <w:rPr>
                <w:rFonts w:eastAsia="Times New Roman"/>
                <w:noProof/>
                <w:color w:val="000000" w:themeColor="text1"/>
              </w:rPr>
            </w:pPr>
            <w:r w:rsidRPr="004F01E9">
              <w:rPr>
                <w:noProof/>
              </w:rPr>
              <w:t>50</w:t>
            </w:r>
            <w:r w:rsidR="004F01E9">
              <w:rPr>
                <w:noProof/>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79DC1F09" w14:textId="4E169604" w:rsidR="001369D1" w:rsidRPr="004F01E9" w:rsidRDefault="001369D1" w:rsidP="00025CB3">
            <w:pPr>
              <w:keepNext/>
              <w:keepLines/>
              <w:spacing w:before="60" w:after="60" w:line="276" w:lineRule="auto"/>
              <w:jc w:val="center"/>
              <w:rPr>
                <w:rFonts w:eastAsia="Times New Roman"/>
                <w:noProof/>
                <w:color w:val="000000" w:themeColor="text1"/>
              </w:rPr>
            </w:pPr>
            <w:r w:rsidRPr="004F01E9">
              <w:rPr>
                <w:noProof/>
              </w:rPr>
              <w:t>100</w:t>
            </w:r>
            <w:r w:rsidR="004F01E9">
              <w:rPr>
                <w:noProof/>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Pr>
          <w:p w14:paraId="0C9F8758" w14:textId="527E5353" w:rsidR="001369D1" w:rsidRPr="004F01E9" w:rsidRDefault="001369D1" w:rsidP="00025CB3">
            <w:pPr>
              <w:keepNext/>
              <w:keepLines/>
              <w:spacing w:before="60" w:after="60" w:line="276" w:lineRule="auto"/>
              <w:jc w:val="center"/>
              <w:rPr>
                <w:noProof/>
                <w:szCs w:val="24"/>
              </w:rPr>
            </w:pPr>
            <w:r w:rsidRPr="004F01E9">
              <w:rPr>
                <w:noProof/>
              </w:rPr>
              <w:t>100</w:t>
            </w:r>
            <w:r w:rsidR="004F01E9">
              <w:rPr>
                <w:noProof/>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5F18042C" w14:textId="2C29D55E" w:rsidR="001369D1" w:rsidRPr="004F01E9" w:rsidRDefault="001369D1" w:rsidP="00025CB3">
            <w:pPr>
              <w:keepNext/>
              <w:keepLines/>
              <w:spacing w:before="60" w:after="60" w:line="276" w:lineRule="auto"/>
              <w:jc w:val="center"/>
              <w:rPr>
                <w:rFonts w:eastAsia="Times New Roman"/>
                <w:noProof/>
                <w:color w:val="000000" w:themeColor="text1"/>
              </w:rPr>
            </w:pPr>
            <w:r w:rsidRPr="004F01E9">
              <w:rPr>
                <w:noProof/>
              </w:rPr>
              <w:t>150</w:t>
            </w:r>
            <w:r w:rsidR="004F01E9">
              <w:rPr>
                <w:noProof/>
              </w:rPr>
              <w:t> %</w:t>
            </w:r>
          </w:p>
        </w:tc>
      </w:tr>
    </w:tbl>
    <w:p w14:paraId="377AE2AD" w14:textId="783AAD67" w:rsidR="001369D1" w:rsidRPr="004F01E9" w:rsidRDefault="001369D1" w:rsidP="00025CB3">
      <w:pPr>
        <w:pStyle w:val="Text1"/>
        <w:keepNext/>
        <w:keepLines/>
        <w:rPr>
          <w:noProof/>
        </w:rPr>
      </w:pPr>
      <w:r w:rsidRPr="004F01E9">
        <w:rPr>
          <w:noProof/>
        </w:rPr>
        <w:t>2. Expozíciám</w:t>
      </w:r>
      <w:r w:rsidR="004F01E9">
        <w:rPr>
          <w:noProof/>
        </w:rPr>
        <w:t xml:space="preserve"> s </w:t>
      </w:r>
      <w:r w:rsidRPr="004F01E9">
        <w:rPr>
          <w:noProof/>
        </w:rPr>
        <w:t>pôvodnou splatnosťou tri mesiace alebo menej, pre ktoré je</w:t>
      </w:r>
      <w:r w:rsidR="004F01E9">
        <w:rPr>
          <w:noProof/>
        </w:rPr>
        <w:t xml:space="preserve"> k </w:t>
      </w:r>
      <w:r w:rsidRPr="004F01E9">
        <w:rPr>
          <w:noProof/>
        </w:rPr>
        <w:t>dispozícii ratingové hodnotenie nominovanej ECAI,</w:t>
      </w:r>
      <w:r w:rsidR="004F01E9">
        <w:rPr>
          <w:noProof/>
        </w:rPr>
        <w:t xml:space="preserve"> a </w:t>
      </w:r>
      <w:r w:rsidRPr="004F01E9">
        <w:rPr>
          <w:noProof/>
        </w:rPr>
        <w:t>expozíciám, ktoré vyplývajú</w:t>
      </w:r>
      <w:r w:rsidR="004F01E9">
        <w:rPr>
          <w:noProof/>
        </w:rPr>
        <w:t xml:space="preserve"> z </w:t>
      </w:r>
      <w:r w:rsidRPr="004F01E9">
        <w:rPr>
          <w:noProof/>
        </w:rPr>
        <w:t>pohybu tovaru cez štátne hranice</w:t>
      </w:r>
      <w:r w:rsidR="004F01E9">
        <w:rPr>
          <w:noProof/>
        </w:rPr>
        <w:t xml:space="preserve"> s </w:t>
      </w:r>
      <w:r w:rsidRPr="004F01E9">
        <w:rPr>
          <w:noProof/>
        </w:rPr>
        <w:t>pôvodnou splatnosťou šesť mesiacov alebo menej</w:t>
      </w:r>
      <w:r w:rsidR="004F01E9">
        <w:rPr>
          <w:noProof/>
        </w:rPr>
        <w:t xml:space="preserve"> a </w:t>
      </w:r>
      <w:r w:rsidRPr="004F01E9">
        <w:rPr>
          <w:noProof/>
        </w:rPr>
        <w:t>pre ktoré je</w:t>
      </w:r>
      <w:r w:rsidR="004F01E9">
        <w:rPr>
          <w:noProof/>
        </w:rPr>
        <w:t xml:space="preserve"> k </w:t>
      </w:r>
      <w:r w:rsidRPr="004F01E9">
        <w:rPr>
          <w:noProof/>
        </w:rPr>
        <w:t>dispozícii ratingové hodnotenie nominovanej ECAI, sa priraďuje riziková váha</w:t>
      </w:r>
      <w:r w:rsidR="004F01E9">
        <w:rPr>
          <w:noProof/>
        </w:rPr>
        <w:t xml:space="preserve"> v </w:t>
      </w:r>
      <w:r w:rsidRPr="004F01E9">
        <w:rPr>
          <w:noProof/>
        </w:rPr>
        <w:t>súlade</w:t>
      </w:r>
      <w:r w:rsidR="004F01E9">
        <w:rPr>
          <w:noProof/>
        </w:rPr>
        <w:t xml:space="preserve"> s </w:t>
      </w:r>
      <w:r w:rsidRPr="004F01E9">
        <w:rPr>
          <w:noProof/>
        </w:rPr>
        <w:t>tabuľkou 4, ktorá zodpovedá ratingovému hodnoteniu ECAI</w:t>
      </w:r>
      <w:r w:rsidR="004F01E9">
        <w:rPr>
          <w:noProof/>
        </w:rPr>
        <w:t xml:space="preserve"> v </w:t>
      </w:r>
      <w:r w:rsidRPr="004F01E9">
        <w:rPr>
          <w:noProof/>
        </w:rPr>
        <w:t>súlade</w:t>
      </w:r>
      <w:r w:rsidR="004F01E9">
        <w:rPr>
          <w:noProof/>
        </w:rPr>
        <w:t xml:space="preserve"> s </w:t>
      </w:r>
      <w:r w:rsidRPr="004F01E9">
        <w:rPr>
          <w:noProof/>
        </w:rPr>
        <w:t>článkom 136.</w:t>
      </w:r>
    </w:p>
    <w:p w14:paraId="0056CEA2" w14:textId="77777777" w:rsidR="001369D1" w:rsidRPr="004F01E9" w:rsidRDefault="001369D1" w:rsidP="00806B81">
      <w:pPr>
        <w:pStyle w:val="Text1"/>
        <w:jc w:val="center"/>
        <w:rPr>
          <w:i/>
          <w:noProof/>
        </w:rPr>
      </w:pPr>
      <w:r w:rsidRPr="004F01E9">
        <w:rPr>
          <w:i/>
          <w:noProof/>
        </w:rPr>
        <w:t>Tabuľka 4</w:t>
      </w:r>
    </w:p>
    <w:tbl>
      <w:tblPr>
        <w:tblW w:w="5376" w:type="dxa"/>
        <w:tblInd w:w="1426" w:type="dxa"/>
        <w:tblBorders>
          <w:top w:val="outset" w:sz="6" w:space="0" w:color="auto"/>
          <w:left w:val="outset" w:sz="6" w:space="0" w:color="auto"/>
          <w:bottom w:val="outset" w:sz="6" w:space="0" w:color="auto"/>
          <w:right w:val="outset" w:sz="6" w:space="0" w:color="auto"/>
        </w:tblBorders>
        <w:shd w:val="clear" w:color="auto" w:fill="FFFFFF"/>
        <w:tblCellMar>
          <w:top w:w="20" w:type="dxa"/>
          <w:left w:w="20" w:type="dxa"/>
          <w:bottom w:w="20" w:type="dxa"/>
          <w:right w:w="20" w:type="dxa"/>
        </w:tblCellMar>
        <w:tblLook w:val="04A0" w:firstRow="1" w:lastRow="0" w:firstColumn="1" w:lastColumn="0" w:noHBand="0" w:noVBand="1"/>
      </w:tblPr>
      <w:tblGrid>
        <w:gridCol w:w="1800"/>
        <w:gridCol w:w="551"/>
        <w:gridCol w:w="551"/>
        <w:gridCol w:w="551"/>
        <w:gridCol w:w="551"/>
        <w:gridCol w:w="578"/>
        <w:gridCol w:w="794"/>
      </w:tblGrid>
      <w:tr w:rsidR="001369D1" w:rsidRPr="004F01E9" w14:paraId="76F3F2EE" w14:textId="77777777" w:rsidTr="001369D1">
        <w:trPr>
          <w:trHeight w:val="420"/>
        </w:trPr>
        <w:tc>
          <w:tcPr>
            <w:tcW w:w="1800"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1D41D0C8" w14:textId="77777777" w:rsidR="001369D1" w:rsidRPr="004F01E9" w:rsidRDefault="001369D1" w:rsidP="001369D1">
            <w:pPr>
              <w:spacing w:before="60" w:after="60" w:line="276" w:lineRule="auto"/>
              <w:jc w:val="center"/>
              <w:rPr>
                <w:rFonts w:eastAsia="Times New Roman"/>
                <w:noProof/>
                <w:color w:val="000000" w:themeColor="text1"/>
              </w:rPr>
            </w:pPr>
            <w:r w:rsidRPr="004F01E9">
              <w:rPr>
                <w:noProof/>
                <w:color w:val="000000" w:themeColor="text1"/>
              </w:rPr>
              <w:t>Stupeň kreditnej kvality</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00F3376B" w14:textId="77777777" w:rsidR="001369D1" w:rsidRPr="004F01E9" w:rsidRDefault="001369D1" w:rsidP="001369D1">
            <w:pPr>
              <w:spacing w:before="60" w:after="60" w:line="276" w:lineRule="auto"/>
              <w:jc w:val="center"/>
              <w:rPr>
                <w:rFonts w:eastAsia="Times New Roman"/>
                <w:noProof/>
                <w:color w:val="000000" w:themeColor="text1"/>
              </w:rPr>
            </w:pPr>
            <w:r w:rsidRPr="004F01E9">
              <w:rPr>
                <w:noProof/>
                <w:color w:val="000000" w:themeColor="text1"/>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0DA1AC90" w14:textId="77777777" w:rsidR="001369D1" w:rsidRPr="004F01E9" w:rsidRDefault="001369D1" w:rsidP="001369D1">
            <w:pPr>
              <w:spacing w:before="60" w:after="60" w:line="276" w:lineRule="auto"/>
              <w:jc w:val="center"/>
              <w:rPr>
                <w:rFonts w:eastAsia="Times New Roman"/>
                <w:noProof/>
                <w:color w:val="000000" w:themeColor="text1"/>
              </w:rPr>
            </w:pPr>
            <w:r w:rsidRPr="004F01E9">
              <w:rPr>
                <w:noProof/>
                <w:color w:val="000000" w:themeColor="text1"/>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0E65B5A2" w14:textId="77777777" w:rsidR="001369D1" w:rsidRPr="004F01E9" w:rsidRDefault="001369D1" w:rsidP="001369D1">
            <w:pPr>
              <w:spacing w:before="60" w:after="60" w:line="276" w:lineRule="auto"/>
              <w:jc w:val="center"/>
              <w:rPr>
                <w:rFonts w:eastAsia="Times New Roman"/>
                <w:noProof/>
                <w:color w:val="000000" w:themeColor="text1"/>
              </w:rPr>
            </w:pPr>
            <w:r w:rsidRPr="004F01E9">
              <w:rPr>
                <w:noProof/>
                <w:color w:val="000000" w:themeColor="text1"/>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6EF5B1FF" w14:textId="77777777" w:rsidR="001369D1" w:rsidRPr="004F01E9" w:rsidRDefault="001369D1" w:rsidP="001369D1">
            <w:pPr>
              <w:spacing w:before="60" w:after="60" w:line="276" w:lineRule="auto"/>
              <w:jc w:val="center"/>
              <w:rPr>
                <w:rFonts w:eastAsia="Times New Roman"/>
                <w:noProof/>
                <w:color w:val="000000" w:themeColor="text1"/>
              </w:rPr>
            </w:pPr>
            <w:r w:rsidRPr="004F01E9">
              <w:rPr>
                <w:noProof/>
                <w:color w:val="000000" w:themeColor="text1"/>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Pr>
          <w:p w14:paraId="62BA7749" w14:textId="77777777" w:rsidR="001369D1" w:rsidRPr="004F01E9" w:rsidRDefault="001369D1" w:rsidP="001369D1">
            <w:pPr>
              <w:spacing w:before="60" w:after="60" w:line="276" w:lineRule="auto"/>
              <w:jc w:val="center"/>
              <w:rPr>
                <w:rFonts w:eastAsia="Times New Roman"/>
                <w:noProof/>
                <w:color w:val="000000" w:themeColor="text1"/>
              </w:rPr>
            </w:pPr>
            <w:r w:rsidRPr="004F01E9">
              <w:rPr>
                <w:noProof/>
                <w:color w:val="000000" w:themeColor="text1"/>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267F267B" w14:textId="77777777" w:rsidR="001369D1" w:rsidRPr="004F01E9" w:rsidRDefault="001369D1" w:rsidP="001369D1">
            <w:pPr>
              <w:spacing w:before="60" w:after="60" w:line="276" w:lineRule="auto"/>
              <w:jc w:val="center"/>
              <w:rPr>
                <w:rFonts w:eastAsia="Times New Roman"/>
                <w:noProof/>
                <w:color w:val="000000" w:themeColor="text1"/>
              </w:rPr>
            </w:pPr>
            <w:r w:rsidRPr="004F01E9">
              <w:rPr>
                <w:noProof/>
                <w:color w:val="000000" w:themeColor="text1"/>
              </w:rPr>
              <w:t>6</w:t>
            </w:r>
          </w:p>
        </w:tc>
      </w:tr>
      <w:tr w:rsidR="001369D1" w:rsidRPr="004F01E9" w14:paraId="05DA5CE3" w14:textId="77777777" w:rsidTr="001369D1">
        <w:trPr>
          <w:trHeight w:val="432"/>
        </w:trPr>
        <w:tc>
          <w:tcPr>
            <w:tcW w:w="1800"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07BB81C9" w14:textId="77777777" w:rsidR="001369D1" w:rsidRPr="004F01E9" w:rsidRDefault="001369D1" w:rsidP="001369D1">
            <w:pPr>
              <w:spacing w:before="60" w:after="60" w:line="276" w:lineRule="auto"/>
              <w:jc w:val="center"/>
              <w:rPr>
                <w:rFonts w:eastAsia="Times New Roman"/>
                <w:noProof/>
                <w:color w:val="000000" w:themeColor="text1"/>
              </w:rPr>
            </w:pPr>
            <w:r w:rsidRPr="004F01E9">
              <w:rPr>
                <w:noProof/>
                <w:color w:val="000000" w:themeColor="text1"/>
              </w:rPr>
              <w:t>Riziková váha</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F6EB018" w14:textId="693C1D5F" w:rsidR="001369D1" w:rsidRPr="004F01E9" w:rsidRDefault="001369D1" w:rsidP="001369D1">
            <w:pPr>
              <w:spacing w:before="60" w:after="60" w:line="276" w:lineRule="auto"/>
              <w:jc w:val="center"/>
              <w:rPr>
                <w:rFonts w:eastAsia="Times New Roman"/>
                <w:noProof/>
                <w:color w:val="000000" w:themeColor="text1"/>
              </w:rPr>
            </w:pPr>
            <w:r w:rsidRPr="004F01E9">
              <w:rPr>
                <w:noProof/>
              </w:rPr>
              <w:t>20</w:t>
            </w:r>
            <w:r w:rsidR="004F01E9">
              <w:rPr>
                <w:noProof/>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14666BC7" w14:textId="1FCDDA7B" w:rsidR="001369D1" w:rsidRPr="004F01E9" w:rsidRDefault="001369D1" w:rsidP="001369D1">
            <w:pPr>
              <w:spacing w:before="60" w:after="60" w:line="276" w:lineRule="auto"/>
              <w:jc w:val="center"/>
              <w:rPr>
                <w:rFonts w:eastAsia="Times New Roman"/>
                <w:noProof/>
                <w:color w:val="000000" w:themeColor="text1"/>
              </w:rPr>
            </w:pPr>
            <w:r w:rsidRPr="004F01E9">
              <w:rPr>
                <w:noProof/>
              </w:rPr>
              <w:t>20</w:t>
            </w:r>
            <w:r w:rsidR="004F01E9">
              <w:rPr>
                <w:noProof/>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84169B7" w14:textId="2CDB1C40" w:rsidR="001369D1" w:rsidRPr="004F01E9" w:rsidRDefault="001369D1" w:rsidP="001369D1">
            <w:pPr>
              <w:spacing w:before="60" w:after="60" w:line="276" w:lineRule="auto"/>
              <w:jc w:val="center"/>
              <w:rPr>
                <w:rFonts w:eastAsia="Times New Roman"/>
                <w:noProof/>
                <w:color w:val="000000" w:themeColor="text1"/>
              </w:rPr>
            </w:pPr>
            <w:r w:rsidRPr="004F01E9">
              <w:rPr>
                <w:noProof/>
              </w:rPr>
              <w:t>20</w:t>
            </w:r>
            <w:r w:rsidR="004F01E9">
              <w:rPr>
                <w:noProof/>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08162B4" w14:textId="2328D5C4" w:rsidR="001369D1" w:rsidRPr="004F01E9" w:rsidRDefault="001369D1" w:rsidP="001369D1">
            <w:pPr>
              <w:spacing w:before="60" w:after="60" w:line="276" w:lineRule="auto"/>
              <w:jc w:val="center"/>
              <w:rPr>
                <w:rFonts w:eastAsia="Times New Roman"/>
                <w:noProof/>
                <w:color w:val="000000" w:themeColor="text1"/>
              </w:rPr>
            </w:pPr>
            <w:r w:rsidRPr="004F01E9">
              <w:rPr>
                <w:noProof/>
              </w:rPr>
              <w:t>50</w:t>
            </w:r>
            <w:r w:rsidR="004F01E9">
              <w:rPr>
                <w:noProof/>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Pr>
          <w:p w14:paraId="3EB46955" w14:textId="682E750C" w:rsidR="001369D1" w:rsidRPr="004F01E9" w:rsidRDefault="001369D1" w:rsidP="001369D1">
            <w:pPr>
              <w:spacing w:before="60" w:after="60" w:line="276" w:lineRule="auto"/>
              <w:jc w:val="center"/>
              <w:rPr>
                <w:noProof/>
                <w:szCs w:val="24"/>
              </w:rPr>
            </w:pPr>
            <w:r w:rsidRPr="004F01E9">
              <w:rPr>
                <w:noProof/>
              </w:rPr>
              <w:t>50</w:t>
            </w:r>
            <w:r w:rsidR="004F01E9">
              <w:rPr>
                <w:noProof/>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2A39C8D5" w14:textId="027503B8" w:rsidR="001369D1" w:rsidRPr="004F01E9" w:rsidRDefault="001369D1" w:rsidP="001369D1">
            <w:pPr>
              <w:spacing w:before="60" w:after="60" w:line="276" w:lineRule="auto"/>
              <w:jc w:val="center"/>
              <w:rPr>
                <w:rFonts w:eastAsia="Times New Roman"/>
                <w:noProof/>
                <w:color w:val="000000" w:themeColor="text1"/>
              </w:rPr>
            </w:pPr>
            <w:r w:rsidRPr="004F01E9">
              <w:rPr>
                <w:noProof/>
              </w:rPr>
              <w:t>150</w:t>
            </w:r>
            <w:r w:rsidR="004F01E9">
              <w:rPr>
                <w:noProof/>
              </w:rPr>
              <w:t> %</w:t>
            </w:r>
            <w:r w:rsidRPr="004F01E9">
              <w:rPr>
                <w:noProof/>
              </w:rPr>
              <w:t>“</w:t>
            </w:r>
          </w:p>
        </w:tc>
      </w:tr>
    </w:tbl>
    <w:p w14:paraId="6AB69320" w14:textId="163103BA" w:rsidR="00806B81" w:rsidRPr="004F01E9" w:rsidRDefault="00B16452" w:rsidP="00B16452">
      <w:pPr>
        <w:pStyle w:val="Point0"/>
        <w:rPr>
          <w:noProof/>
        </w:rPr>
      </w:pPr>
      <w:r w:rsidRPr="00B16452">
        <w:rPr>
          <w:noProof/>
        </w:rPr>
        <w:t>39</w:t>
      </w:r>
      <w:r>
        <w:rPr>
          <w:noProof/>
        </w:rPr>
        <w:t>.</w:t>
      </w:r>
      <w:r w:rsidRPr="00B16452">
        <w:rPr>
          <w:noProof/>
        </w:rPr>
        <w:tab/>
      </w:r>
      <w:r w:rsidR="001369D1" w:rsidRPr="004F01E9">
        <w:rPr>
          <w:noProof/>
        </w:rPr>
        <w:t>Článok 121 sa nahrádza takto:</w:t>
      </w:r>
    </w:p>
    <w:p w14:paraId="6EF0D17D" w14:textId="745E8F91" w:rsidR="001369D1" w:rsidRPr="004F01E9" w:rsidRDefault="001369D1" w:rsidP="001369D1">
      <w:pPr>
        <w:pStyle w:val="Titrearticle"/>
        <w:spacing w:before="120"/>
        <w:rPr>
          <w:b/>
          <w:i w:val="0"/>
          <w:noProof/>
        </w:rPr>
      </w:pPr>
      <w:r w:rsidRPr="004F01E9">
        <w:rPr>
          <w:noProof/>
        </w:rPr>
        <w:t xml:space="preserve">„Článok 121 </w:t>
      </w:r>
      <w:r w:rsidRPr="004F01E9">
        <w:rPr>
          <w:noProof/>
        </w:rPr>
        <w:br/>
      </w:r>
      <w:r w:rsidRPr="004F01E9">
        <w:rPr>
          <w:b/>
          <w:i w:val="0"/>
          <w:noProof/>
        </w:rPr>
        <w:t>Expozície voči inštitúciám bez ratingového hodnotenia</w:t>
      </w:r>
    </w:p>
    <w:p w14:paraId="27A19AFA" w14:textId="673FB29E" w:rsidR="001369D1" w:rsidRPr="004F01E9" w:rsidRDefault="001369D1" w:rsidP="001369D1">
      <w:pPr>
        <w:pStyle w:val="Text1"/>
        <w:rPr>
          <w:noProof/>
        </w:rPr>
      </w:pPr>
      <w:r w:rsidRPr="004F01E9">
        <w:rPr>
          <w:noProof/>
        </w:rPr>
        <w:t>1. Expozície voči inštitúciám, pre ktoré nie je</w:t>
      </w:r>
      <w:r w:rsidR="004F01E9">
        <w:rPr>
          <w:noProof/>
        </w:rPr>
        <w:t xml:space="preserve"> k </w:t>
      </w:r>
      <w:r w:rsidRPr="004F01E9">
        <w:rPr>
          <w:noProof/>
        </w:rPr>
        <w:t>dispozícii ratingové hodnotenie nominovanej ECAI, sa zaraďujú do jednej</w:t>
      </w:r>
      <w:r w:rsidR="004F01E9">
        <w:rPr>
          <w:noProof/>
        </w:rPr>
        <w:t xml:space="preserve"> z </w:t>
      </w:r>
      <w:r w:rsidRPr="004F01E9">
        <w:rPr>
          <w:noProof/>
        </w:rPr>
        <w:t>týchto tried:</w:t>
      </w:r>
    </w:p>
    <w:p w14:paraId="7DC33851" w14:textId="77777777" w:rsidR="001369D1" w:rsidRPr="004F01E9" w:rsidRDefault="001369D1" w:rsidP="001369D1">
      <w:pPr>
        <w:pStyle w:val="Point1"/>
        <w:rPr>
          <w:noProof/>
        </w:rPr>
      </w:pPr>
      <w:r w:rsidRPr="004F01E9">
        <w:rPr>
          <w:noProof/>
        </w:rPr>
        <w:t>a)</w:t>
      </w:r>
      <w:r w:rsidRPr="004F01E9">
        <w:rPr>
          <w:noProof/>
        </w:rPr>
        <w:tab/>
        <w:t>ak sú splnené všetky nasledujúce podmienky, expozície voči inštitúciám sa zaradia do triedy A:</w:t>
      </w:r>
    </w:p>
    <w:p w14:paraId="455470EA" w14:textId="7ED5BA18" w:rsidR="001369D1" w:rsidRPr="00025CB3" w:rsidRDefault="001369D1" w:rsidP="001369D1">
      <w:pPr>
        <w:pStyle w:val="Point2"/>
        <w:rPr>
          <w:noProof/>
          <w:spacing w:val="-4"/>
        </w:rPr>
      </w:pPr>
      <w:r w:rsidRPr="004F01E9">
        <w:rPr>
          <w:noProof/>
        </w:rPr>
        <w:t>i)</w:t>
      </w:r>
      <w:r w:rsidRPr="004F01E9">
        <w:rPr>
          <w:noProof/>
        </w:rPr>
        <w:tab/>
      </w:r>
      <w:r w:rsidRPr="00025CB3">
        <w:rPr>
          <w:noProof/>
          <w:spacing w:val="-4"/>
        </w:rPr>
        <w:t>inštitúcia má primeranú kapacitu na včasné splnenie svojich finančných prísľubov vrátane splátok istiny</w:t>
      </w:r>
      <w:r w:rsidR="004F01E9" w:rsidRPr="00025CB3">
        <w:rPr>
          <w:noProof/>
          <w:spacing w:val="-4"/>
        </w:rPr>
        <w:t xml:space="preserve"> a </w:t>
      </w:r>
      <w:r w:rsidRPr="00025CB3">
        <w:rPr>
          <w:noProof/>
          <w:spacing w:val="-4"/>
        </w:rPr>
        <w:t>úrokov počas predpokladanej životnosti aktív alebo expozícií</w:t>
      </w:r>
      <w:r w:rsidR="004F01E9" w:rsidRPr="00025CB3">
        <w:rPr>
          <w:noProof/>
          <w:spacing w:val="-4"/>
        </w:rPr>
        <w:t xml:space="preserve"> a </w:t>
      </w:r>
      <w:r w:rsidRPr="00025CB3">
        <w:rPr>
          <w:noProof/>
          <w:spacing w:val="-4"/>
        </w:rPr>
        <w:t>bez ohľadu na hospodárske cykly</w:t>
      </w:r>
      <w:r w:rsidR="004F01E9" w:rsidRPr="00025CB3">
        <w:rPr>
          <w:noProof/>
          <w:spacing w:val="-4"/>
        </w:rPr>
        <w:t xml:space="preserve"> a </w:t>
      </w:r>
      <w:r w:rsidRPr="00025CB3">
        <w:rPr>
          <w:noProof/>
          <w:spacing w:val="-4"/>
        </w:rPr>
        <w:t>obchodné podmienky;</w:t>
      </w:r>
    </w:p>
    <w:p w14:paraId="57E26567" w14:textId="085F949D" w:rsidR="00932F67" w:rsidRPr="00025CB3" w:rsidRDefault="001369D1" w:rsidP="001369D1">
      <w:pPr>
        <w:pStyle w:val="Point2"/>
        <w:rPr>
          <w:noProof/>
          <w:spacing w:val="-4"/>
        </w:rPr>
      </w:pPr>
      <w:r w:rsidRPr="00025CB3">
        <w:rPr>
          <w:noProof/>
          <w:spacing w:val="-4"/>
        </w:rPr>
        <w:t>ii)</w:t>
      </w:r>
      <w:r w:rsidRPr="00025CB3">
        <w:rPr>
          <w:noProof/>
          <w:spacing w:val="-4"/>
        </w:rPr>
        <w:tab/>
        <w:t>inštitúcia spĺňa alebo prekračuje požiadavku stanovenú</w:t>
      </w:r>
      <w:r w:rsidR="004F01E9" w:rsidRPr="00025CB3">
        <w:rPr>
          <w:noProof/>
          <w:spacing w:val="-4"/>
        </w:rPr>
        <w:t xml:space="preserve"> v </w:t>
      </w:r>
      <w:r w:rsidRPr="00025CB3">
        <w:rPr>
          <w:noProof/>
          <w:spacing w:val="-4"/>
        </w:rPr>
        <w:t>článku 92 ods. 1, osobitné požiadavky na vlastné zdroje uvedené</w:t>
      </w:r>
      <w:r w:rsidR="004F01E9" w:rsidRPr="00025CB3">
        <w:rPr>
          <w:noProof/>
          <w:spacing w:val="-4"/>
        </w:rPr>
        <w:t xml:space="preserve"> v </w:t>
      </w:r>
      <w:r w:rsidRPr="00025CB3">
        <w:rPr>
          <w:noProof/>
          <w:spacing w:val="-4"/>
        </w:rPr>
        <w:t>článku 104a smernice 2013/36/EÚ, požiadavku na kombinovaný vankúš vymedzenú</w:t>
      </w:r>
      <w:r w:rsidR="004F01E9" w:rsidRPr="00025CB3">
        <w:rPr>
          <w:noProof/>
          <w:spacing w:val="-4"/>
        </w:rPr>
        <w:t xml:space="preserve"> v </w:t>
      </w:r>
      <w:r w:rsidRPr="00025CB3">
        <w:rPr>
          <w:noProof/>
          <w:spacing w:val="-4"/>
        </w:rPr>
        <w:t>článku 128 bode 6 smernice 2013/36/EÚ</w:t>
      </w:r>
      <w:r w:rsidR="004F01E9" w:rsidRPr="00025CB3">
        <w:rPr>
          <w:noProof/>
          <w:spacing w:val="-4"/>
        </w:rPr>
        <w:t xml:space="preserve"> a </w:t>
      </w:r>
      <w:r w:rsidRPr="00025CB3">
        <w:rPr>
          <w:noProof/>
          <w:spacing w:val="-4"/>
        </w:rPr>
        <w:t>akékoľvek rovnocenné alebo dodatočné miestne požiadavky</w:t>
      </w:r>
      <w:r w:rsidR="004F01E9" w:rsidRPr="00025CB3">
        <w:rPr>
          <w:noProof/>
          <w:spacing w:val="-4"/>
        </w:rPr>
        <w:t xml:space="preserve"> v </w:t>
      </w:r>
      <w:r w:rsidRPr="00025CB3">
        <w:rPr>
          <w:noProof/>
          <w:spacing w:val="-4"/>
        </w:rPr>
        <w:t>oblasti dohľadu alebo regulácie</w:t>
      </w:r>
      <w:r w:rsidR="004F01E9" w:rsidRPr="00025CB3">
        <w:rPr>
          <w:noProof/>
          <w:spacing w:val="-4"/>
        </w:rPr>
        <w:t xml:space="preserve"> v </w:t>
      </w:r>
      <w:r w:rsidRPr="00025CB3">
        <w:rPr>
          <w:noProof/>
          <w:spacing w:val="-4"/>
        </w:rPr>
        <w:t>tretích krajinách, pokiaľ sú tieto požiadavky uverejnené</w:t>
      </w:r>
      <w:r w:rsidR="004F01E9" w:rsidRPr="00025CB3">
        <w:rPr>
          <w:noProof/>
          <w:spacing w:val="-4"/>
        </w:rPr>
        <w:t xml:space="preserve"> a </w:t>
      </w:r>
      <w:r w:rsidRPr="00025CB3">
        <w:rPr>
          <w:noProof/>
          <w:spacing w:val="-4"/>
        </w:rPr>
        <w:t>majú byť splnené vlastným kapitálom Tier 1, kapitálom Tier 1 alebo vlastnými zdrojmi;</w:t>
      </w:r>
    </w:p>
    <w:p w14:paraId="6D3954EB" w14:textId="78F155AD" w:rsidR="001369D1" w:rsidRPr="004F01E9" w:rsidRDefault="001369D1" w:rsidP="001369D1">
      <w:pPr>
        <w:pStyle w:val="Point2"/>
        <w:rPr>
          <w:noProof/>
        </w:rPr>
      </w:pPr>
      <w:r w:rsidRPr="004F01E9">
        <w:rPr>
          <w:noProof/>
        </w:rPr>
        <w:t>iii)</w:t>
      </w:r>
      <w:r w:rsidRPr="004F01E9">
        <w:rPr>
          <w:noProof/>
        </w:rPr>
        <w:tab/>
        <w:t>informácie</w:t>
      </w:r>
      <w:r w:rsidR="004F01E9">
        <w:rPr>
          <w:noProof/>
        </w:rPr>
        <w:t xml:space="preserve"> o </w:t>
      </w:r>
      <w:r w:rsidRPr="004F01E9">
        <w:rPr>
          <w:noProof/>
        </w:rPr>
        <w:t>požiadavkách uvedených</w:t>
      </w:r>
      <w:r w:rsidR="004F01E9">
        <w:rPr>
          <w:noProof/>
        </w:rPr>
        <w:t xml:space="preserve"> v </w:t>
      </w:r>
      <w:r w:rsidRPr="004F01E9">
        <w:rPr>
          <w:noProof/>
        </w:rPr>
        <w:t>bode ii) sa zverejňujú alebo inak sprístupňujú;</w:t>
      </w:r>
    </w:p>
    <w:p w14:paraId="4B7BA0C0" w14:textId="66012719" w:rsidR="001369D1" w:rsidRPr="004F01E9" w:rsidRDefault="001369D1" w:rsidP="001369D1">
      <w:pPr>
        <w:pStyle w:val="Point2"/>
        <w:rPr>
          <w:noProof/>
        </w:rPr>
      </w:pPr>
      <w:r w:rsidRPr="004F01E9">
        <w:rPr>
          <w:noProof/>
        </w:rPr>
        <w:t>iv)</w:t>
      </w:r>
      <w:r w:rsidRPr="004F01E9">
        <w:rPr>
          <w:noProof/>
        </w:rPr>
        <w:tab/>
        <w:t>v posúdení</w:t>
      </w:r>
      <w:r w:rsidR="004F01E9">
        <w:rPr>
          <w:noProof/>
        </w:rPr>
        <w:t xml:space="preserve"> v </w:t>
      </w:r>
      <w:r w:rsidRPr="004F01E9">
        <w:rPr>
          <w:noProof/>
        </w:rPr>
        <w:t>súlade</w:t>
      </w:r>
      <w:r w:rsidR="004F01E9">
        <w:rPr>
          <w:noProof/>
        </w:rPr>
        <w:t xml:space="preserve"> s </w:t>
      </w:r>
      <w:r w:rsidRPr="004F01E9">
        <w:rPr>
          <w:noProof/>
        </w:rPr>
        <w:t xml:space="preserve">článkom 79 </w:t>
      </w:r>
      <w:r w:rsidRPr="004F01E9">
        <w:rPr>
          <w:noProof/>
          <w:color w:val="000000"/>
          <w:shd w:val="clear" w:color="auto" w:fill="FFFFFF"/>
        </w:rPr>
        <w:t>smernice 2013/36/EÚ</w:t>
      </w:r>
      <w:r w:rsidRPr="004F01E9">
        <w:rPr>
          <w:noProof/>
        </w:rPr>
        <w:t xml:space="preserve"> sa nezistilo, že inštitúcia nespĺňa podmienky stanovené</w:t>
      </w:r>
      <w:r w:rsidR="004F01E9">
        <w:rPr>
          <w:noProof/>
        </w:rPr>
        <w:t xml:space="preserve"> v </w:t>
      </w:r>
      <w:r w:rsidRPr="004F01E9">
        <w:rPr>
          <w:noProof/>
        </w:rPr>
        <w:t>bodoch i)</w:t>
      </w:r>
      <w:r w:rsidR="004F01E9">
        <w:rPr>
          <w:noProof/>
        </w:rPr>
        <w:t xml:space="preserve"> a </w:t>
      </w:r>
      <w:r w:rsidRPr="004F01E9">
        <w:rPr>
          <w:noProof/>
        </w:rPr>
        <w:t>ii);</w:t>
      </w:r>
    </w:p>
    <w:p w14:paraId="60D2B672" w14:textId="73400676" w:rsidR="001369D1" w:rsidRPr="00025CB3" w:rsidRDefault="001369D1" w:rsidP="001369D1">
      <w:pPr>
        <w:pStyle w:val="Point1"/>
        <w:rPr>
          <w:noProof/>
          <w:spacing w:val="-4"/>
        </w:rPr>
      </w:pPr>
      <w:r w:rsidRPr="004F01E9">
        <w:rPr>
          <w:noProof/>
        </w:rPr>
        <w:t>b)</w:t>
      </w:r>
      <w:r w:rsidRPr="004F01E9">
        <w:rPr>
          <w:noProof/>
        </w:rPr>
        <w:tab/>
      </w:r>
      <w:r w:rsidRPr="00025CB3">
        <w:rPr>
          <w:noProof/>
          <w:spacing w:val="-4"/>
        </w:rPr>
        <w:t>ak sú splnené všetky nasledujúce podmienky</w:t>
      </w:r>
      <w:r w:rsidR="004F01E9" w:rsidRPr="00025CB3">
        <w:rPr>
          <w:noProof/>
          <w:spacing w:val="-4"/>
        </w:rPr>
        <w:t xml:space="preserve"> a </w:t>
      </w:r>
      <w:r w:rsidRPr="00025CB3">
        <w:rPr>
          <w:noProof/>
          <w:spacing w:val="-4"/>
        </w:rPr>
        <w:t>nie je splnená aspoň jedna</w:t>
      </w:r>
      <w:r w:rsidR="004F01E9" w:rsidRPr="00025CB3">
        <w:rPr>
          <w:noProof/>
          <w:spacing w:val="-4"/>
        </w:rPr>
        <w:t xml:space="preserve"> z </w:t>
      </w:r>
      <w:r w:rsidRPr="00025CB3">
        <w:rPr>
          <w:noProof/>
          <w:spacing w:val="-4"/>
        </w:rPr>
        <w:t>podmienok uvedených</w:t>
      </w:r>
      <w:r w:rsidR="004F01E9" w:rsidRPr="00025CB3">
        <w:rPr>
          <w:noProof/>
          <w:spacing w:val="-4"/>
        </w:rPr>
        <w:t xml:space="preserve"> v </w:t>
      </w:r>
      <w:r w:rsidRPr="00025CB3">
        <w:rPr>
          <w:noProof/>
          <w:spacing w:val="-4"/>
        </w:rPr>
        <w:t>písmene a), expozície voči inštitúciám sa zaradia do triedy B:</w:t>
      </w:r>
    </w:p>
    <w:p w14:paraId="0EAE254F" w14:textId="77777777" w:rsidR="001369D1" w:rsidRPr="004F01E9" w:rsidRDefault="001369D1" w:rsidP="001369D1">
      <w:pPr>
        <w:pStyle w:val="Point2"/>
        <w:rPr>
          <w:noProof/>
        </w:rPr>
      </w:pPr>
      <w:r w:rsidRPr="004F01E9">
        <w:rPr>
          <w:noProof/>
        </w:rPr>
        <w:t>i)</w:t>
      </w:r>
      <w:r w:rsidRPr="004F01E9">
        <w:rPr>
          <w:noProof/>
        </w:rPr>
        <w:tab/>
        <w:t>inštitúcia je vystavená značnému kreditnému riziku vrátane schopnosti splácať, ktorá závisí od stabilných alebo priaznivých hospodárskych alebo obchodných podmienok;</w:t>
      </w:r>
    </w:p>
    <w:p w14:paraId="49D9FEC5" w14:textId="75661521" w:rsidR="001369D1" w:rsidRPr="004F01E9" w:rsidRDefault="001369D1" w:rsidP="001369D1">
      <w:pPr>
        <w:pStyle w:val="Point2"/>
        <w:rPr>
          <w:noProof/>
        </w:rPr>
      </w:pPr>
      <w:r w:rsidRPr="004F01E9">
        <w:rPr>
          <w:noProof/>
        </w:rPr>
        <w:t>ii)</w:t>
      </w:r>
      <w:r w:rsidRPr="004F01E9">
        <w:rPr>
          <w:noProof/>
        </w:rPr>
        <w:tab/>
        <w:t>inštitúcia spĺňa alebo prekračuje požiadavku stanovenú</w:t>
      </w:r>
      <w:r w:rsidR="004F01E9">
        <w:rPr>
          <w:noProof/>
        </w:rPr>
        <w:t xml:space="preserve"> v </w:t>
      </w:r>
      <w:r w:rsidRPr="004F01E9">
        <w:rPr>
          <w:noProof/>
        </w:rPr>
        <w:t>článku 92 ods. 1, požiadavky uvedené</w:t>
      </w:r>
      <w:r w:rsidR="004F01E9">
        <w:rPr>
          <w:noProof/>
        </w:rPr>
        <w:t xml:space="preserve"> v </w:t>
      </w:r>
      <w:r w:rsidRPr="004F01E9">
        <w:rPr>
          <w:noProof/>
        </w:rPr>
        <w:t>článkoch 458</w:t>
      </w:r>
      <w:r w:rsidR="004F01E9">
        <w:rPr>
          <w:noProof/>
        </w:rPr>
        <w:t xml:space="preserve"> a </w:t>
      </w:r>
      <w:r w:rsidRPr="004F01E9">
        <w:rPr>
          <w:noProof/>
        </w:rPr>
        <w:t>459, osobitné požiadavky na vlastné zdroje uvedené</w:t>
      </w:r>
      <w:r w:rsidR="004F01E9">
        <w:rPr>
          <w:noProof/>
        </w:rPr>
        <w:t xml:space="preserve"> v </w:t>
      </w:r>
      <w:r w:rsidRPr="004F01E9">
        <w:rPr>
          <w:noProof/>
        </w:rPr>
        <w:t>článku 104a smernice 2013/36/EÚ</w:t>
      </w:r>
      <w:r w:rsidR="004F01E9">
        <w:rPr>
          <w:noProof/>
        </w:rPr>
        <w:t xml:space="preserve"> a </w:t>
      </w:r>
      <w:r w:rsidRPr="004F01E9">
        <w:rPr>
          <w:noProof/>
        </w:rPr>
        <w:t>akékoľvek rovnocenné alebo dodatočné miestne požiadavky</w:t>
      </w:r>
      <w:r w:rsidR="004F01E9">
        <w:rPr>
          <w:noProof/>
        </w:rPr>
        <w:t xml:space="preserve"> v </w:t>
      </w:r>
      <w:r w:rsidRPr="004F01E9">
        <w:rPr>
          <w:noProof/>
        </w:rPr>
        <w:t>oblasti dohľadu alebo regulácie, pokiaľ sú tieto požiadavky uverejnené</w:t>
      </w:r>
      <w:r w:rsidR="004F01E9">
        <w:rPr>
          <w:noProof/>
        </w:rPr>
        <w:t xml:space="preserve"> a </w:t>
      </w:r>
      <w:r w:rsidRPr="004F01E9">
        <w:rPr>
          <w:noProof/>
        </w:rPr>
        <w:t>majú byť splnené vlastným kapitálom Tier 1, kapitálom Tier 1</w:t>
      </w:r>
      <w:r w:rsidR="004F01E9">
        <w:rPr>
          <w:noProof/>
        </w:rPr>
        <w:t xml:space="preserve"> a </w:t>
      </w:r>
      <w:r w:rsidRPr="004F01E9">
        <w:rPr>
          <w:noProof/>
        </w:rPr>
        <w:t>vlastnými zdrojmi;</w:t>
      </w:r>
    </w:p>
    <w:p w14:paraId="4B0FB8D0" w14:textId="198899FD" w:rsidR="001369D1" w:rsidRPr="004F01E9" w:rsidRDefault="001369D1" w:rsidP="001369D1">
      <w:pPr>
        <w:pStyle w:val="Point2"/>
        <w:rPr>
          <w:noProof/>
        </w:rPr>
      </w:pPr>
      <w:r w:rsidRPr="004F01E9">
        <w:rPr>
          <w:noProof/>
        </w:rPr>
        <w:t>iii)</w:t>
      </w:r>
      <w:r w:rsidRPr="004F01E9">
        <w:rPr>
          <w:noProof/>
        </w:rPr>
        <w:tab/>
        <w:t>informácie</w:t>
      </w:r>
      <w:r w:rsidR="004F01E9">
        <w:rPr>
          <w:noProof/>
        </w:rPr>
        <w:t xml:space="preserve"> o </w:t>
      </w:r>
      <w:r w:rsidRPr="004F01E9">
        <w:rPr>
          <w:noProof/>
        </w:rPr>
        <w:t>požiadavkách uvedených</w:t>
      </w:r>
      <w:r w:rsidR="004F01E9">
        <w:rPr>
          <w:noProof/>
        </w:rPr>
        <w:t xml:space="preserve"> v </w:t>
      </w:r>
      <w:r w:rsidRPr="004F01E9">
        <w:rPr>
          <w:noProof/>
        </w:rPr>
        <w:t>bode ii) sa zverejňujú alebo inak sprístupňujú;</w:t>
      </w:r>
    </w:p>
    <w:p w14:paraId="62917AAB" w14:textId="516BA244" w:rsidR="00806B81" w:rsidRPr="004F01E9" w:rsidRDefault="001369D1" w:rsidP="001369D1">
      <w:pPr>
        <w:pStyle w:val="Point2"/>
        <w:rPr>
          <w:noProof/>
        </w:rPr>
      </w:pPr>
      <w:r w:rsidRPr="004F01E9">
        <w:rPr>
          <w:noProof/>
        </w:rPr>
        <w:t>iv)</w:t>
      </w:r>
      <w:r w:rsidRPr="004F01E9">
        <w:rPr>
          <w:noProof/>
        </w:rPr>
        <w:tab/>
        <w:t>v posúdení vykonanom</w:t>
      </w:r>
      <w:r w:rsidR="004F01E9">
        <w:rPr>
          <w:noProof/>
        </w:rPr>
        <w:t xml:space="preserve"> v </w:t>
      </w:r>
      <w:r w:rsidRPr="004F01E9">
        <w:rPr>
          <w:noProof/>
        </w:rPr>
        <w:t>súlade</w:t>
      </w:r>
      <w:r w:rsidR="004F01E9">
        <w:rPr>
          <w:noProof/>
        </w:rPr>
        <w:t xml:space="preserve"> s </w:t>
      </w:r>
      <w:r w:rsidRPr="004F01E9">
        <w:rPr>
          <w:noProof/>
        </w:rPr>
        <w:t>článkom 79 smernice 2013/36/EÚ sa nezistilo, že inštitúcia nespĺňa podmienky stanovené</w:t>
      </w:r>
      <w:r w:rsidR="004F01E9">
        <w:rPr>
          <w:noProof/>
        </w:rPr>
        <w:t xml:space="preserve"> v </w:t>
      </w:r>
      <w:r w:rsidRPr="004F01E9">
        <w:rPr>
          <w:noProof/>
        </w:rPr>
        <w:t>bodoch i)</w:t>
      </w:r>
      <w:r w:rsidR="004F01E9">
        <w:rPr>
          <w:noProof/>
        </w:rPr>
        <w:t xml:space="preserve"> a </w:t>
      </w:r>
      <w:r w:rsidRPr="004F01E9">
        <w:rPr>
          <w:noProof/>
        </w:rPr>
        <w:t>ii).</w:t>
      </w:r>
    </w:p>
    <w:p w14:paraId="54105536" w14:textId="10FD8BBE" w:rsidR="001369D1" w:rsidRPr="004F01E9" w:rsidRDefault="001369D1" w:rsidP="001369D1">
      <w:pPr>
        <w:pStyle w:val="Text2"/>
        <w:rPr>
          <w:noProof/>
        </w:rPr>
      </w:pPr>
      <w:r w:rsidRPr="004F01E9">
        <w:rPr>
          <w:noProof/>
        </w:rPr>
        <w:t>Na účely bodu ii) rovnocenné alebo dodatočné miestne požiadavky</w:t>
      </w:r>
      <w:r w:rsidR="004F01E9">
        <w:rPr>
          <w:noProof/>
        </w:rPr>
        <w:t xml:space="preserve"> v </w:t>
      </w:r>
      <w:r w:rsidRPr="004F01E9">
        <w:rPr>
          <w:noProof/>
        </w:rPr>
        <w:t>oblasti dohľadu alebo regulácie nezahŕňajú kapitálové vankúše rovnocenné</w:t>
      </w:r>
      <w:r w:rsidR="004F01E9">
        <w:rPr>
          <w:noProof/>
        </w:rPr>
        <w:t xml:space="preserve"> s </w:t>
      </w:r>
      <w:r w:rsidRPr="004F01E9">
        <w:rPr>
          <w:noProof/>
        </w:rPr>
        <w:t>tými, ktoré sú vymedzené</w:t>
      </w:r>
      <w:r w:rsidR="004F01E9">
        <w:rPr>
          <w:noProof/>
        </w:rPr>
        <w:t xml:space="preserve"> v </w:t>
      </w:r>
      <w:r w:rsidRPr="004F01E9">
        <w:rPr>
          <w:noProof/>
        </w:rPr>
        <w:t>článku 128 smernice 2013/36/EÚ;</w:t>
      </w:r>
    </w:p>
    <w:p w14:paraId="11A1DB27" w14:textId="297C5500" w:rsidR="001369D1" w:rsidRPr="004F01E9" w:rsidRDefault="001369D1" w:rsidP="001369D1">
      <w:pPr>
        <w:pStyle w:val="Point1"/>
        <w:rPr>
          <w:noProof/>
        </w:rPr>
      </w:pPr>
      <w:r w:rsidRPr="004F01E9">
        <w:rPr>
          <w:noProof/>
        </w:rPr>
        <w:t>c)</w:t>
      </w:r>
      <w:r w:rsidRPr="004F01E9">
        <w:rPr>
          <w:noProof/>
        </w:rPr>
        <w:tab/>
        <w:t>ak nie sú splnené podmienky na zaradenie do triedy A alebo triedy B, alebo ak je splnená ktorákoľvek</w:t>
      </w:r>
      <w:r w:rsidR="004F01E9">
        <w:rPr>
          <w:noProof/>
        </w:rPr>
        <w:t xml:space="preserve"> z </w:t>
      </w:r>
      <w:r w:rsidRPr="004F01E9">
        <w:rPr>
          <w:noProof/>
        </w:rPr>
        <w:t>nasledujúcich podmienok, expozície voči inštitúciám sa zaradia do triedy C:</w:t>
      </w:r>
    </w:p>
    <w:p w14:paraId="0961152D" w14:textId="228DFDD9" w:rsidR="001369D1" w:rsidRPr="004F01E9" w:rsidRDefault="001369D1" w:rsidP="001369D1">
      <w:pPr>
        <w:pStyle w:val="Point2"/>
        <w:rPr>
          <w:noProof/>
        </w:rPr>
      </w:pPr>
      <w:r w:rsidRPr="004F01E9">
        <w:rPr>
          <w:noProof/>
        </w:rPr>
        <w:t>i)</w:t>
      </w:r>
      <w:r w:rsidRPr="004F01E9">
        <w:rPr>
          <w:noProof/>
        </w:rPr>
        <w:tab/>
        <w:t>inštitúcia má významné riziká zlyhania</w:t>
      </w:r>
      <w:r w:rsidR="004F01E9">
        <w:rPr>
          <w:noProof/>
        </w:rPr>
        <w:t xml:space="preserve"> a </w:t>
      </w:r>
      <w:r w:rsidRPr="004F01E9">
        <w:rPr>
          <w:noProof/>
        </w:rPr>
        <w:t>obmedzené miery bezpečnosti;</w:t>
      </w:r>
    </w:p>
    <w:p w14:paraId="6C76270D" w14:textId="145C3E32" w:rsidR="001369D1" w:rsidRPr="004F01E9" w:rsidRDefault="001369D1" w:rsidP="001369D1">
      <w:pPr>
        <w:pStyle w:val="Point2"/>
        <w:rPr>
          <w:noProof/>
        </w:rPr>
      </w:pPr>
      <w:r w:rsidRPr="004F01E9">
        <w:rPr>
          <w:noProof/>
        </w:rPr>
        <w:t>ii)</w:t>
      </w:r>
      <w:r w:rsidRPr="004F01E9">
        <w:rPr>
          <w:noProof/>
        </w:rPr>
        <w:tab/>
        <w:t>nepriaznivé obchodné, finančné alebo hospodárske podmienky</w:t>
      </w:r>
      <w:r w:rsidR="004F01E9">
        <w:rPr>
          <w:noProof/>
        </w:rPr>
        <w:t xml:space="preserve"> s </w:t>
      </w:r>
      <w:r w:rsidRPr="004F01E9">
        <w:rPr>
          <w:noProof/>
        </w:rPr>
        <w:t>veľkou pravdepodobnosťou povedú alebo viedli</w:t>
      </w:r>
      <w:r w:rsidR="004F01E9">
        <w:rPr>
          <w:noProof/>
        </w:rPr>
        <w:t xml:space="preserve"> k </w:t>
      </w:r>
      <w:r w:rsidRPr="004F01E9">
        <w:rPr>
          <w:noProof/>
        </w:rPr>
        <w:t>neschopnosti inštitúcie plniť svoje finančné prísľuby;</w:t>
      </w:r>
    </w:p>
    <w:p w14:paraId="0BC51769" w14:textId="51A17B6C" w:rsidR="001369D1" w:rsidRPr="004F01E9" w:rsidRDefault="001369D1" w:rsidP="001369D1">
      <w:pPr>
        <w:pStyle w:val="Point2"/>
        <w:rPr>
          <w:noProof/>
        </w:rPr>
      </w:pPr>
      <w:r w:rsidRPr="004F01E9">
        <w:rPr>
          <w:noProof/>
        </w:rPr>
        <w:t>iii)</w:t>
      </w:r>
      <w:r w:rsidRPr="004F01E9">
        <w:rPr>
          <w:noProof/>
        </w:rPr>
        <w:tab/>
        <w:t>ak sa podľa zákona od inštitúcie vyžaduje auditovaná účtovná závierka, externý audítor vydal záporné audítorské stanovisko alebo vyjadril závažné pochybnosti vo svojej účtovnej závierke alebo auditovaných správach počas predchádzajúcich 12 mesiacov, pokiaľ ide</w:t>
      </w:r>
      <w:r w:rsidR="004F01E9">
        <w:rPr>
          <w:noProof/>
        </w:rPr>
        <w:t xml:space="preserve"> o </w:t>
      </w:r>
      <w:r w:rsidRPr="004F01E9">
        <w:rPr>
          <w:noProof/>
        </w:rPr>
        <w:t>schopnosť inštitúcie pokračovať</w:t>
      </w:r>
      <w:r w:rsidR="004F01E9">
        <w:rPr>
          <w:noProof/>
        </w:rPr>
        <w:t xml:space="preserve"> v </w:t>
      </w:r>
      <w:r w:rsidRPr="004F01E9">
        <w:rPr>
          <w:noProof/>
        </w:rPr>
        <w:t>činnosti ako inštitúcia</w:t>
      </w:r>
      <w:r w:rsidR="004F01E9">
        <w:rPr>
          <w:noProof/>
        </w:rPr>
        <w:t xml:space="preserve"> s </w:t>
      </w:r>
      <w:r w:rsidRPr="004F01E9">
        <w:rPr>
          <w:noProof/>
        </w:rPr>
        <w:t>nepretržitou činnosťou.</w:t>
      </w:r>
    </w:p>
    <w:p w14:paraId="231FCA06" w14:textId="57CFAAFB" w:rsidR="001369D1" w:rsidRPr="004F01E9" w:rsidRDefault="001369D1" w:rsidP="001369D1">
      <w:pPr>
        <w:pStyle w:val="Text1"/>
        <w:rPr>
          <w:noProof/>
        </w:rPr>
      </w:pPr>
      <w:r w:rsidRPr="004F01E9">
        <w:rPr>
          <w:noProof/>
        </w:rPr>
        <w:t>2. Expozíciám zaradeným do tried A, B alebo C</w:t>
      </w:r>
      <w:r w:rsidR="004F01E9">
        <w:rPr>
          <w:noProof/>
        </w:rPr>
        <w:t xml:space="preserve"> v </w:t>
      </w:r>
      <w:r w:rsidRPr="004F01E9">
        <w:rPr>
          <w:noProof/>
        </w:rPr>
        <w:t>súlade</w:t>
      </w:r>
      <w:r w:rsidR="004F01E9">
        <w:rPr>
          <w:noProof/>
        </w:rPr>
        <w:t xml:space="preserve"> s </w:t>
      </w:r>
      <w:r w:rsidRPr="004F01E9">
        <w:rPr>
          <w:noProof/>
        </w:rPr>
        <w:t>odsekom 1 sa priraďuje riziková váha takto:</w:t>
      </w:r>
    </w:p>
    <w:p w14:paraId="15960879" w14:textId="1E70A729" w:rsidR="001369D1" w:rsidRPr="004F01E9" w:rsidRDefault="001369D1" w:rsidP="001369D1">
      <w:pPr>
        <w:pStyle w:val="Point1"/>
        <w:rPr>
          <w:noProof/>
        </w:rPr>
      </w:pPr>
      <w:r w:rsidRPr="004F01E9">
        <w:rPr>
          <w:noProof/>
        </w:rPr>
        <w:t>a)</w:t>
      </w:r>
      <w:r w:rsidRPr="004F01E9">
        <w:rPr>
          <w:noProof/>
        </w:rPr>
        <w:tab/>
        <w:t>expozíciám zaradeným do tried A, B alebo C, ktoré spĺňajú ktorúkoľvek</w:t>
      </w:r>
      <w:r w:rsidR="004F01E9">
        <w:rPr>
          <w:noProof/>
        </w:rPr>
        <w:t xml:space="preserve"> z </w:t>
      </w:r>
      <w:r w:rsidRPr="004F01E9">
        <w:rPr>
          <w:noProof/>
        </w:rPr>
        <w:t>nasledujúcich podmienok, sa priraďuje riziková váha pre krátkodobé expozície</w:t>
      </w:r>
      <w:r w:rsidR="004F01E9">
        <w:rPr>
          <w:noProof/>
        </w:rPr>
        <w:t xml:space="preserve"> v </w:t>
      </w:r>
      <w:r w:rsidRPr="004F01E9">
        <w:rPr>
          <w:noProof/>
        </w:rPr>
        <w:t>súlade</w:t>
      </w:r>
      <w:r w:rsidR="004F01E9">
        <w:rPr>
          <w:noProof/>
        </w:rPr>
        <w:t xml:space="preserve"> s </w:t>
      </w:r>
      <w:r w:rsidRPr="004F01E9">
        <w:rPr>
          <w:noProof/>
        </w:rPr>
        <w:t>tabuľkou 5:</w:t>
      </w:r>
    </w:p>
    <w:p w14:paraId="37CFB797" w14:textId="77777777" w:rsidR="001369D1" w:rsidRPr="004F01E9" w:rsidRDefault="001369D1" w:rsidP="001369D1">
      <w:pPr>
        <w:pStyle w:val="Point2"/>
        <w:rPr>
          <w:noProof/>
        </w:rPr>
      </w:pPr>
      <w:r w:rsidRPr="004F01E9">
        <w:rPr>
          <w:noProof/>
        </w:rPr>
        <w:t>i)</w:t>
      </w:r>
      <w:r w:rsidRPr="004F01E9">
        <w:rPr>
          <w:noProof/>
        </w:rPr>
        <w:tab/>
        <w:t>expozícia má pôvodnú splatnosť tri mesiace alebo menej;</w:t>
      </w:r>
    </w:p>
    <w:p w14:paraId="36C2E716" w14:textId="6BC3E6B8" w:rsidR="001369D1" w:rsidRPr="004F01E9" w:rsidRDefault="001369D1" w:rsidP="001369D1">
      <w:pPr>
        <w:pStyle w:val="Point2"/>
        <w:rPr>
          <w:noProof/>
        </w:rPr>
      </w:pPr>
      <w:r w:rsidRPr="004F01E9">
        <w:rPr>
          <w:noProof/>
        </w:rPr>
        <w:t>ii)</w:t>
      </w:r>
      <w:r w:rsidRPr="004F01E9">
        <w:rPr>
          <w:noProof/>
        </w:rPr>
        <w:tab/>
        <w:t>expozícia má pôvodnú splatnosť šesť mesiacov alebo menej</w:t>
      </w:r>
      <w:r w:rsidR="004F01E9">
        <w:rPr>
          <w:noProof/>
        </w:rPr>
        <w:t xml:space="preserve"> a </w:t>
      </w:r>
      <w:r w:rsidRPr="004F01E9">
        <w:rPr>
          <w:noProof/>
        </w:rPr>
        <w:t>vyplýva</w:t>
      </w:r>
      <w:r w:rsidR="004F01E9">
        <w:rPr>
          <w:noProof/>
        </w:rPr>
        <w:t xml:space="preserve"> z </w:t>
      </w:r>
      <w:r w:rsidRPr="004F01E9">
        <w:rPr>
          <w:noProof/>
        </w:rPr>
        <w:t>pohybu tovaru cez štátne hranice;</w:t>
      </w:r>
    </w:p>
    <w:p w14:paraId="6E27F88D" w14:textId="7E4F45D3" w:rsidR="001369D1" w:rsidRPr="004F01E9" w:rsidRDefault="001369D1" w:rsidP="001369D1">
      <w:pPr>
        <w:pStyle w:val="Point1"/>
        <w:rPr>
          <w:noProof/>
        </w:rPr>
      </w:pPr>
      <w:r w:rsidRPr="004F01E9">
        <w:rPr>
          <w:noProof/>
        </w:rPr>
        <w:t>b)</w:t>
      </w:r>
      <w:r w:rsidRPr="004F01E9">
        <w:rPr>
          <w:noProof/>
        </w:rPr>
        <w:tab/>
        <w:t>expozíciám zaradeným do triedy A, ktoré nie sú krátkodobé, sa priraďuje riziková váha 30</w:t>
      </w:r>
      <w:r w:rsidR="004F01E9">
        <w:rPr>
          <w:noProof/>
        </w:rPr>
        <w:t> %</w:t>
      </w:r>
      <w:r w:rsidRPr="004F01E9">
        <w:rPr>
          <w:noProof/>
        </w:rPr>
        <w:t>, ak sú splnené všetky tieto podmienky:</w:t>
      </w:r>
    </w:p>
    <w:p w14:paraId="0E7736F5" w14:textId="576AD248" w:rsidR="001369D1" w:rsidRPr="004F01E9" w:rsidRDefault="001369D1" w:rsidP="001369D1">
      <w:pPr>
        <w:pStyle w:val="Point2"/>
        <w:rPr>
          <w:noProof/>
        </w:rPr>
      </w:pPr>
      <w:r w:rsidRPr="004F01E9">
        <w:rPr>
          <w:noProof/>
        </w:rPr>
        <w:t>i)</w:t>
      </w:r>
      <w:r w:rsidRPr="004F01E9">
        <w:rPr>
          <w:noProof/>
        </w:rPr>
        <w:tab/>
        <w:t>expozícia nespĺňa žiadnu</w:t>
      </w:r>
      <w:r w:rsidR="004F01E9">
        <w:rPr>
          <w:noProof/>
        </w:rPr>
        <w:t xml:space="preserve"> z </w:t>
      </w:r>
      <w:r w:rsidRPr="004F01E9">
        <w:rPr>
          <w:noProof/>
        </w:rPr>
        <w:t>podmienok stanovených</w:t>
      </w:r>
      <w:r w:rsidR="004F01E9">
        <w:rPr>
          <w:noProof/>
        </w:rPr>
        <w:t xml:space="preserve"> v </w:t>
      </w:r>
      <w:r w:rsidRPr="004F01E9">
        <w:rPr>
          <w:noProof/>
        </w:rPr>
        <w:t>písmene a);</w:t>
      </w:r>
    </w:p>
    <w:p w14:paraId="0E8400B1" w14:textId="48C2C256" w:rsidR="001369D1" w:rsidRPr="004F01E9" w:rsidRDefault="001369D1" w:rsidP="001369D1">
      <w:pPr>
        <w:pStyle w:val="Point2"/>
        <w:rPr>
          <w:noProof/>
        </w:rPr>
      </w:pPr>
      <w:r w:rsidRPr="004F01E9">
        <w:rPr>
          <w:noProof/>
        </w:rPr>
        <w:t>ii)</w:t>
      </w:r>
      <w:r w:rsidRPr="004F01E9">
        <w:rPr>
          <w:noProof/>
        </w:rPr>
        <w:tab/>
        <w:t>podiel vlastného kapitálu Tier 1 inštitúcie sa rovná alebo je vyšší ako 14</w:t>
      </w:r>
      <w:r w:rsidR="004F01E9">
        <w:rPr>
          <w:noProof/>
        </w:rPr>
        <w:t> %</w:t>
      </w:r>
      <w:r w:rsidRPr="004F01E9">
        <w:rPr>
          <w:noProof/>
        </w:rPr>
        <w:t>;</w:t>
      </w:r>
    </w:p>
    <w:p w14:paraId="791B35CD" w14:textId="6BE42616" w:rsidR="001369D1" w:rsidRPr="004F01E9" w:rsidRDefault="001369D1" w:rsidP="001369D1">
      <w:pPr>
        <w:pStyle w:val="Point2"/>
        <w:rPr>
          <w:noProof/>
        </w:rPr>
      </w:pPr>
      <w:r w:rsidRPr="004F01E9">
        <w:rPr>
          <w:noProof/>
        </w:rPr>
        <w:t>iii)</w:t>
      </w:r>
      <w:r w:rsidRPr="004F01E9">
        <w:rPr>
          <w:noProof/>
        </w:rPr>
        <w:tab/>
        <w:t>ukazovateľ finančnej páky inštitúcie je vyšší ako 5</w:t>
      </w:r>
      <w:r w:rsidR="004F01E9">
        <w:rPr>
          <w:noProof/>
        </w:rPr>
        <w:t> %</w:t>
      </w:r>
      <w:r w:rsidRPr="004F01E9">
        <w:rPr>
          <w:noProof/>
        </w:rPr>
        <w:t>;</w:t>
      </w:r>
    </w:p>
    <w:p w14:paraId="23EBFFD2" w14:textId="37804D25" w:rsidR="001369D1" w:rsidRPr="004F01E9" w:rsidRDefault="001369D1" w:rsidP="001369D1">
      <w:pPr>
        <w:pStyle w:val="Point1"/>
        <w:rPr>
          <w:noProof/>
        </w:rPr>
      </w:pPr>
      <w:r w:rsidRPr="004F01E9">
        <w:rPr>
          <w:noProof/>
        </w:rPr>
        <w:t>c)</w:t>
      </w:r>
      <w:r w:rsidRPr="004F01E9">
        <w:rPr>
          <w:noProof/>
        </w:rPr>
        <w:tab/>
        <w:t>expozíciám zaradeným do tried A, B alebo C, ktoré nespĺňajú podmienky uvedené</w:t>
      </w:r>
      <w:r w:rsidR="004F01E9">
        <w:rPr>
          <w:noProof/>
        </w:rPr>
        <w:t xml:space="preserve"> v </w:t>
      </w:r>
      <w:r w:rsidRPr="004F01E9">
        <w:rPr>
          <w:noProof/>
        </w:rPr>
        <w:t>písmene a) alebo b), sa priraďuje riziková váha</w:t>
      </w:r>
      <w:r w:rsidR="004F01E9">
        <w:rPr>
          <w:noProof/>
        </w:rPr>
        <w:t xml:space="preserve"> v </w:t>
      </w:r>
      <w:r w:rsidRPr="004F01E9">
        <w:rPr>
          <w:noProof/>
        </w:rPr>
        <w:t>súlade</w:t>
      </w:r>
      <w:r w:rsidR="004F01E9">
        <w:rPr>
          <w:noProof/>
        </w:rPr>
        <w:t xml:space="preserve"> s </w:t>
      </w:r>
      <w:r w:rsidRPr="004F01E9">
        <w:rPr>
          <w:noProof/>
        </w:rPr>
        <w:t>tabuľkou 5.</w:t>
      </w:r>
    </w:p>
    <w:p w14:paraId="2FC1E8FE" w14:textId="5386DA59" w:rsidR="001369D1" w:rsidRPr="004F01E9" w:rsidRDefault="001369D1" w:rsidP="001369D1">
      <w:pPr>
        <w:pStyle w:val="Text1"/>
        <w:rPr>
          <w:noProof/>
        </w:rPr>
      </w:pPr>
      <w:r w:rsidRPr="004F01E9">
        <w:rPr>
          <w:noProof/>
        </w:rPr>
        <w:t>Ak expozícia voči inštitúcii nie je denominovaná</w:t>
      </w:r>
      <w:r w:rsidR="004F01E9">
        <w:rPr>
          <w:noProof/>
        </w:rPr>
        <w:t xml:space="preserve"> v </w:t>
      </w:r>
      <w:r w:rsidRPr="004F01E9">
        <w:rPr>
          <w:noProof/>
        </w:rPr>
        <w:t>domácej mene jurisdikcie,</w:t>
      </w:r>
      <w:r w:rsidR="004F01E9">
        <w:rPr>
          <w:noProof/>
        </w:rPr>
        <w:t xml:space="preserve"> v </w:t>
      </w:r>
      <w:r w:rsidRPr="004F01E9">
        <w:rPr>
          <w:noProof/>
        </w:rPr>
        <w:t>ktorej má táto inštitúcia sídlo, alebo ak táto inštitúcia zahrnula kreditný záväzok do pobočky</w:t>
      </w:r>
      <w:r w:rsidR="004F01E9">
        <w:rPr>
          <w:noProof/>
        </w:rPr>
        <w:t xml:space="preserve"> v </w:t>
      </w:r>
      <w:r w:rsidRPr="004F01E9">
        <w:rPr>
          <w:noProof/>
        </w:rPr>
        <w:t>inej jurisdikcii</w:t>
      </w:r>
      <w:r w:rsidR="004F01E9">
        <w:rPr>
          <w:noProof/>
        </w:rPr>
        <w:t xml:space="preserve"> a </w:t>
      </w:r>
      <w:r w:rsidRPr="004F01E9">
        <w:rPr>
          <w:noProof/>
        </w:rPr>
        <w:t>expozícia nie je</w:t>
      </w:r>
      <w:r w:rsidR="004F01E9">
        <w:rPr>
          <w:noProof/>
        </w:rPr>
        <w:t xml:space="preserve"> v </w:t>
      </w:r>
      <w:r w:rsidRPr="004F01E9">
        <w:rPr>
          <w:noProof/>
        </w:rPr>
        <w:t>domácej mene jurisdikcie,</w:t>
      </w:r>
      <w:r w:rsidR="004F01E9">
        <w:rPr>
          <w:noProof/>
        </w:rPr>
        <w:t xml:space="preserve"> v </w:t>
      </w:r>
      <w:r w:rsidRPr="004F01E9">
        <w:rPr>
          <w:noProof/>
        </w:rPr>
        <w:t>ktorej pobočka pôsobí, riziková váha priradená</w:t>
      </w:r>
      <w:r w:rsidR="004F01E9">
        <w:rPr>
          <w:noProof/>
        </w:rPr>
        <w:t xml:space="preserve"> v </w:t>
      </w:r>
      <w:r w:rsidRPr="004F01E9">
        <w:rPr>
          <w:noProof/>
        </w:rPr>
        <w:t>súlade</w:t>
      </w:r>
      <w:r w:rsidR="004F01E9">
        <w:rPr>
          <w:noProof/>
        </w:rPr>
        <w:t xml:space="preserve"> s </w:t>
      </w:r>
      <w:r w:rsidRPr="004F01E9">
        <w:rPr>
          <w:noProof/>
        </w:rPr>
        <w:t>písmenami a), b) alebo prípadne c) iným expozíciám, než sú expozície so splatnosťou jeden rok alebo menej, vyplývajúcim zo samolikvidných podmienených položiek týkajúcich sa obchodu, ktoré vyplývajú</w:t>
      </w:r>
      <w:r w:rsidR="004F01E9">
        <w:rPr>
          <w:noProof/>
        </w:rPr>
        <w:t xml:space="preserve"> z </w:t>
      </w:r>
      <w:r w:rsidRPr="004F01E9">
        <w:rPr>
          <w:noProof/>
        </w:rPr>
        <w:t>pohybu tovaru cez štátne hranice, nesmie byť nižšia než riziková váha expozície voči ústrednej vláde krajiny, kde má inštitúcia sídlo.</w:t>
      </w:r>
    </w:p>
    <w:p w14:paraId="3D14199D" w14:textId="77777777" w:rsidR="001369D1" w:rsidRPr="004F01E9" w:rsidRDefault="001369D1" w:rsidP="001369D1">
      <w:pPr>
        <w:pStyle w:val="Text1"/>
        <w:jc w:val="center"/>
        <w:rPr>
          <w:i/>
          <w:noProof/>
        </w:rPr>
      </w:pPr>
      <w:r w:rsidRPr="004F01E9">
        <w:rPr>
          <w:i/>
          <w:noProof/>
        </w:rPr>
        <w:t>Tabuľka 5</w:t>
      </w:r>
    </w:p>
    <w:tbl>
      <w:tblPr>
        <w:tblW w:w="0" w:type="auto"/>
        <w:tblInd w:w="1001" w:type="dxa"/>
        <w:tblBorders>
          <w:top w:val="outset" w:sz="6" w:space="0" w:color="auto"/>
          <w:left w:val="outset" w:sz="6" w:space="0" w:color="auto"/>
          <w:bottom w:val="outset" w:sz="6" w:space="0" w:color="auto"/>
          <w:right w:val="outset" w:sz="6" w:space="0" w:color="auto"/>
        </w:tblBorders>
        <w:shd w:val="clear" w:color="auto" w:fill="FFFFFF"/>
        <w:tblCellMar>
          <w:top w:w="20" w:type="dxa"/>
          <w:left w:w="20" w:type="dxa"/>
          <w:bottom w:w="20" w:type="dxa"/>
          <w:right w:w="20" w:type="dxa"/>
        </w:tblCellMar>
        <w:tblLook w:val="04A0" w:firstRow="1" w:lastRow="0" w:firstColumn="1" w:lastColumn="0" w:noHBand="0" w:noVBand="1"/>
      </w:tblPr>
      <w:tblGrid>
        <w:gridCol w:w="3881"/>
        <w:gridCol w:w="875"/>
        <w:gridCol w:w="862"/>
        <w:gridCol w:w="862"/>
      </w:tblGrid>
      <w:tr w:rsidR="001369D1" w:rsidRPr="004F01E9" w14:paraId="2FF22F73" w14:textId="77777777" w:rsidTr="001369D1">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7275E7F" w14:textId="77777777" w:rsidR="001369D1" w:rsidRPr="004F01E9" w:rsidRDefault="001369D1" w:rsidP="001369D1">
            <w:pPr>
              <w:spacing w:before="60" w:after="60"/>
              <w:rPr>
                <w:rFonts w:ascii="inherit" w:eastAsia="Times New Roman" w:hAnsi="inherit"/>
                <w:noProof/>
                <w:color w:val="000000" w:themeColor="text1"/>
              </w:rPr>
            </w:pPr>
            <w:r w:rsidRPr="004F01E9">
              <w:rPr>
                <w:noProof/>
              </w:rPr>
              <w:t>Posúdenie kreditného rizika</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C610C65" w14:textId="77777777" w:rsidR="001369D1" w:rsidRPr="004F01E9" w:rsidRDefault="001369D1" w:rsidP="001369D1">
            <w:pPr>
              <w:spacing w:before="60" w:after="60"/>
              <w:rPr>
                <w:rFonts w:ascii="inherit" w:eastAsia="Times New Roman" w:hAnsi="inherit"/>
                <w:noProof/>
                <w:color w:val="000000" w:themeColor="text1"/>
              </w:rPr>
            </w:pPr>
            <w:r w:rsidRPr="004F01E9">
              <w:rPr>
                <w:noProof/>
              </w:rPr>
              <w:t>Trieda A</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2256BDD" w14:textId="77777777" w:rsidR="001369D1" w:rsidRPr="004F01E9" w:rsidRDefault="001369D1" w:rsidP="001369D1">
            <w:pPr>
              <w:spacing w:before="60" w:after="60"/>
              <w:rPr>
                <w:rFonts w:ascii="inherit" w:eastAsia="Times New Roman" w:hAnsi="inherit"/>
                <w:noProof/>
                <w:color w:val="000000" w:themeColor="text1"/>
              </w:rPr>
            </w:pPr>
            <w:r w:rsidRPr="004F01E9">
              <w:rPr>
                <w:noProof/>
              </w:rPr>
              <w:t>Trieda B</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0A7C9B7" w14:textId="77777777" w:rsidR="001369D1" w:rsidRPr="004F01E9" w:rsidRDefault="001369D1" w:rsidP="001369D1">
            <w:pPr>
              <w:spacing w:before="60" w:after="60"/>
              <w:rPr>
                <w:rFonts w:ascii="inherit" w:eastAsia="Times New Roman" w:hAnsi="inherit"/>
                <w:noProof/>
                <w:color w:val="000000" w:themeColor="text1"/>
              </w:rPr>
            </w:pPr>
            <w:r w:rsidRPr="004F01E9">
              <w:rPr>
                <w:noProof/>
              </w:rPr>
              <w:t>Trieda C</w:t>
            </w:r>
          </w:p>
        </w:tc>
      </w:tr>
      <w:tr w:rsidR="001369D1" w:rsidRPr="004F01E9" w14:paraId="6D65189C" w14:textId="77777777" w:rsidTr="001369D1">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79130A91" w14:textId="77777777" w:rsidR="001369D1" w:rsidRPr="004F01E9" w:rsidRDefault="001369D1" w:rsidP="001369D1">
            <w:pPr>
              <w:spacing w:before="60" w:after="60"/>
              <w:rPr>
                <w:rFonts w:ascii="inherit" w:eastAsia="Times New Roman" w:hAnsi="inherit"/>
                <w:noProof/>
                <w:color w:val="000000" w:themeColor="text1"/>
              </w:rPr>
            </w:pPr>
            <w:r w:rsidRPr="004F01E9">
              <w:rPr>
                <w:noProof/>
              </w:rPr>
              <w:t>Riziková váha pre krátkodobé expozície</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6A895AED" w14:textId="582AA7EE" w:rsidR="001369D1" w:rsidRPr="004F01E9" w:rsidRDefault="001369D1" w:rsidP="001369D1">
            <w:pPr>
              <w:spacing w:before="60" w:after="60"/>
              <w:rPr>
                <w:rFonts w:ascii="inherit" w:eastAsia="Times New Roman" w:hAnsi="inherit"/>
                <w:noProof/>
                <w:color w:val="000000" w:themeColor="text1"/>
              </w:rPr>
            </w:pPr>
            <w:r w:rsidRPr="004F01E9">
              <w:rPr>
                <w:rFonts w:ascii="inherit" w:hAnsi="inherit"/>
                <w:noProof/>
                <w:color w:val="000000" w:themeColor="text1"/>
              </w:rPr>
              <w:t>20</w:t>
            </w:r>
            <w:r w:rsidR="004F01E9">
              <w:rPr>
                <w:rFonts w:ascii="inherit" w:hAnsi="inherit"/>
                <w:noProof/>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27238D9" w14:textId="036B1CDC" w:rsidR="001369D1" w:rsidRPr="004F01E9" w:rsidRDefault="001369D1" w:rsidP="001369D1">
            <w:pPr>
              <w:spacing w:before="60" w:after="60"/>
              <w:rPr>
                <w:rFonts w:ascii="inherit" w:eastAsia="Times New Roman" w:hAnsi="inherit"/>
                <w:noProof/>
                <w:color w:val="000000" w:themeColor="text1"/>
              </w:rPr>
            </w:pPr>
            <w:r w:rsidRPr="004F01E9">
              <w:rPr>
                <w:rFonts w:ascii="inherit" w:hAnsi="inherit"/>
                <w:noProof/>
                <w:color w:val="000000" w:themeColor="text1"/>
              </w:rPr>
              <w:t>50</w:t>
            </w:r>
            <w:r w:rsidR="004F01E9">
              <w:rPr>
                <w:rFonts w:ascii="inherit" w:hAnsi="inherit"/>
                <w:noProof/>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62FBB53F" w14:textId="66BDCE0A" w:rsidR="001369D1" w:rsidRPr="004F01E9" w:rsidRDefault="001369D1" w:rsidP="001369D1">
            <w:pPr>
              <w:spacing w:before="60" w:after="60"/>
              <w:rPr>
                <w:rFonts w:ascii="inherit" w:eastAsia="Times New Roman" w:hAnsi="inherit"/>
                <w:noProof/>
                <w:color w:val="000000" w:themeColor="text1"/>
              </w:rPr>
            </w:pPr>
            <w:r w:rsidRPr="004F01E9">
              <w:rPr>
                <w:rFonts w:ascii="inherit" w:hAnsi="inherit"/>
                <w:noProof/>
                <w:color w:val="000000" w:themeColor="text1"/>
              </w:rPr>
              <w:t>75</w:t>
            </w:r>
            <w:r w:rsidR="004F01E9">
              <w:rPr>
                <w:rFonts w:ascii="inherit" w:hAnsi="inherit"/>
                <w:noProof/>
                <w:color w:val="000000" w:themeColor="text1"/>
              </w:rPr>
              <w:t> %</w:t>
            </w:r>
          </w:p>
        </w:tc>
      </w:tr>
      <w:tr w:rsidR="001369D1" w:rsidRPr="004F01E9" w14:paraId="363DFC84" w14:textId="77777777" w:rsidTr="001369D1">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14:paraId="5A6E19FF" w14:textId="77777777" w:rsidR="001369D1" w:rsidRPr="004F01E9" w:rsidRDefault="001369D1" w:rsidP="001369D1">
            <w:pPr>
              <w:spacing w:before="60" w:after="60"/>
              <w:rPr>
                <w:noProof/>
              </w:rPr>
            </w:pPr>
            <w:r w:rsidRPr="004F01E9">
              <w:rPr>
                <w:noProof/>
              </w:rPr>
              <w:t>Riziková váha</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14:paraId="4CE83942" w14:textId="0FB63A7A" w:rsidR="001369D1" w:rsidRPr="004F01E9" w:rsidRDefault="001369D1" w:rsidP="001369D1">
            <w:pPr>
              <w:spacing w:before="60" w:after="60"/>
              <w:rPr>
                <w:rFonts w:ascii="inherit" w:eastAsia="Times New Roman" w:hAnsi="inherit"/>
                <w:noProof/>
                <w:color w:val="000000" w:themeColor="text1"/>
              </w:rPr>
            </w:pPr>
            <w:r w:rsidRPr="004F01E9">
              <w:rPr>
                <w:noProof/>
              </w:rPr>
              <w:t>40</w:t>
            </w:r>
            <w:r w:rsidR="004F01E9">
              <w:rPr>
                <w:noProof/>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14:paraId="03E968DB" w14:textId="32F32406" w:rsidR="001369D1" w:rsidRPr="004F01E9" w:rsidRDefault="001369D1" w:rsidP="001369D1">
            <w:pPr>
              <w:spacing w:before="60" w:after="60"/>
              <w:rPr>
                <w:rFonts w:ascii="inherit" w:eastAsia="Times New Roman" w:hAnsi="inherit"/>
                <w:noProof/>
                <w:color w:val="000000" w:themeColor="text1"/>
              </w:rPr>
            </w:pPr>
            <w:r w:rsidRPr="004F01E9">
              <w:rPr>
                <w:noProof/>
              </w:rPr>
              <w:t>75</w:t>
            </w:r>
            <w:r w:rsidR="004F01E9">
              <w:rPr>
                <w:noProof/>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14:paraId="2C683ECD" w14:textId="580D553A" w:rsidR="001369D1" w:rsidRPr="004F01E9" w:rsidRDefault="001369D1" w:rsidP="001369D1">
            <w:pPr>
              <w:spacing w:before="60" w:after="60"/>
              <w:rPr>
                <w:rFonts w:ascii="inherit" w:eastAsia="Times New Roman" w:hAnsi="inherit"/>
                <w:noProof/>
                <w:color w:val="000000" w:themeColor="text1"/>
              </w:rPr>
            </w:pPr>
            <w:r w:rsidRPr="004F01E9">
              <w:rPr>
                <w:noProof/>
              </w:rPr>
              <w:t>150</w:t>
            </w:r>
            <w:r w:rsidR="004F01E9">
              <w:rPr>
                <w:noProof/>
              </w:rPr>
              <w:t> %</w:t>
            </w:r>
          </w:p>
        </w:tc>
      </w:tr>
    </w:tbl>
    <w:p w14:paraId="030D16B8" w14:textId="77777777" w:rsidR="001369D1" w:rsidRPr="004F01E9" w:rsidRDefault="001369D1" w:rsidP="001369D1">
      <w:pPr>
        <w:pStyle w:val="Text1"/>
        <w:rPr>
          <w:noProof/>
        </w:rPr>
      </w:pPr>
      <w:r w:rsidRPr="004F01E9">
        <w:rPr>
          <w:noProof/>
        </w:rPr>
        <w:t>“;</w:t>
      </w:r>
    </w:p>
    <w:p w14:paraId="70E14839" w14:textId="1D660DF5" w:rsidR="00806B81" w:rsidRPr="004F01E9" w:rsidRDefault="00B16452" w:rsidP="00B16452">
      <w:pPr>
        <w:pStyle w:val="Point0"/>
        <w:rPr>
          <w:noProof/>
        </w:rPr>
      </w:pPr>
      <w:r w:rsidRPr="00B16452">
        <w:rPr>
          <w:noProof/>
        </w:rPr>
        <w:t>40</w:t>
      </w:r>
      <w:r>
        <w:rPr>
          <w:noProof/>
        </w:rPr>
        <w:t>.</w:t>
      </w:r>
      <w:r w:rsidRPr="00B16452">
        <w:rPr>
          <w:noProof/>
        </w:rPr>
        <w:tab/>
      </w:r>
      <w:r w:rsidR="001369D1" w:rsidRPr="004F01E9">
        <w:rPr>
          <w:noProof/>
        </w:rPr>
        <w:t>Článok 122 sa mení takto:</w:t>
      </w:r>
    </w:p>
    <w:p w14:paraId="6E6106B1" w14:textId="779E6C87" w:rsidR="00806B81" w:rsidRPr="004F01E9" w:rsidRDefault="00BE2634" w:rsidP="00BE2634">
      <w:pPr>
        <w:pStyle w:val="Point1"/>
        <w:rPr>
          <w:noProof/>
        </w:rPr>
      </w:pPr>
      <w:r w:rsidRPr="004F01E9">
        <w:rPr>
          <w:noProof/>
        </w:rPr>
        <w:t>a)</w:t>
      </w:r>
      <w:r w:rsidRPr="004F01E9">
        <w:rPr>
          <w:noProof/>
        </w:rPr>
        <w:tab/>
        <w:t>V odseku 1 sa tabuľka 6 nahrádza takto:</w:t>
      </w:r>
    </w:p>
    <w:p w14:paraId="7BB6511D" w14:textId="6CBB7414" w:rsidR="001369D1" w:rsidRPr="004F01E9" w:rsidRDefault="001369D1" w:rsidP="00BE2634">
      <w:pPr>
        <w:pStyle w:val="Text1"/>
        <w:jc w:val="center"/>
        <w:rPr>
          <w:noProof/>
        </w:rPr>
      </w:pPr>
      <w:r w:rsidRPr="004F01E9">
        <w:rPr>
          <w:noProof/>
        </w:rPr>
        <w:t>„</w:t>
      </w:r>
      <w:r w:rsidRPr="004F01E9">
        <w:rPr>
          <w:i/>
          <w:noProof/>
        </w:rPr>
        <w:t>Tabuľka 6</w:t>
      </w:r>
    </w:p>
    <w:tbl>
      <w:tblPr>
        <w:tblW w:w="0" w:type="auto"/>
        <w:tblInd w:w="1001" w:type="dxa"/>
        <w:tblBorders>
          <w:top w:val="outset" w:sz="6" w:space="0" w:color="auto"/>
          <w:left w:val="outset" w:sz="6" w:space="0" w:color="auto"/>
          <w:bottom w:val="outset" w:sz="6" w:space="0" w:color="auto"/>
          <w:right w:val="outset" w:sz="6" w:space="0" w:color="auto"/>
        </w:tblBorders>
        <w:shd w:val="clear" w:color="auto" w:fill="FFFFFF"/>
        <w:tblCellMar>
          <w:top w:w="20" w:type="dxa"/>
          <w:left w:w="20" w:type="dxa"/>
          <w:bottom w:w="20" w:type="dxa"/>
          <w:right w:w="20" w:type="dxa"/>
        </w:tblCellMar>
        <w:tblLook w:val="04A0" w:firstRow="1" w:lastRow="0" w:firstColumn="1" w:lastColumn="0" w:noHBand="0" w:noVBand="1"/>
      </w:tblPr>
      <w:tblGrid>
        <w:gridCol w:w="2322"/>
        <w:gridCol w:w="515"/>
        <w:gridCol w:w="515"/>
        <w:gridCol w:w="515"/>
        <w:gridCol w:w="635"/>
        <w:gridCol w:w="635"/>
        <w:gridCol w:w="635"/>
      </w:tblGrid>
      <w:tr w:rsidR="001369D1" w:rsidRPr="004F01E9" w14:paraId="44102835" w14:textId="77777777" w:rsidTr="001369D1">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1C52B914" w14:textId="24AF117B" w:rsidR="001369D1" w:rsidRPr="00B57CF9" w:rsidRDefault="001369D1" w:rsidP="00B57CF9">
            <w:pPr>
              <w:spacing w:before="60" w:after="60"/>
              <w:rPr>
                <w:rFonts w:eastAsia="Times New Roman"/>
                <w:noProof/>
                <w:color w:val="000000" w:themeColor="text1"/>
                <w:szCs w:val="24"/>
              </w:rPr>
            </w:pPr>
            <w:r w:rsidRPr="00B57CF9">
              <w:rPr>
                <w:noProof/>
                <w:color w:val="000000" w:themeColor="text1"/>
                <w:szCs w:val="24"/>
              </w:rPr>
              <w:t>Stupe</w:t>
            </w:r>
            <w:r w:rsidR="00B57CF9" w:rsidRPr="00B57CF9">
              <w:rPr>
                <w:noProof/>
                <w:color w:val="000000" w:themeColor="text1"/>
                <w:szCs w:val="24"/>
              </w:rPr>
              <w:t>ň</w:t>
            </w:r>
            <w:r w:rsidRPr="00B57CF9">
              <w:rPr>
                <w:noProof/>
                <w:color w:val="000000" w:themeColor="text1"/>
                <w:szCs w:val="24"/>
              </w:rPr>
              <w:t xml:space="preserve"> kreditnej kvality</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2C92EB57" w14:textId="77777777" w:rsidR="001369D1" w:rsidRPr="004F01E9" w:rsidRDefault="001369D1" w:rsidP="001369D1">
            <w:pPr>
              <w:spacing w:before="60" w:after="60"/>
              <w:rPr>
                <w:rFonts w:ascii="inherit" w:eastAsia="Times New Roman" w:hAnsi="inherit"/>
                <w:noProof/>
                <w:color w:val="000000" w:themeColor="text1"/>
              </w:rPr>
            </w:pPr>
            <w:r w:rsidRPr="004F01E9">
              <w:rPr>
                <w:rFonts w:ascii="inherit" w:hAnsi="inherit"/>
                <w:noProof/>
                <w:color w:val="000000" w:themeColor="text1"/>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1B5B2F7D" w14:textId="77777777" w:rsidR="001369D1" w:rsidRPr="004F01E9" w:rsidRDefault="001369D1" w:rsidP="001369D1">
            <w:pPr>
              <w:spacing w:before="60" w:after="60"/>
              <w:rPr>
                <w:rFonts w:ascii="inherit" w:eastAsia="Times New Roman" w:hAnsi="inherit"/>
                <w:noProof/>
                <w:color w:val="000000" w:themeColor="text1"/>
              </w:rPr>
            </w:pPr>
            <w:r w:rsidRPr="004F01E9">
              <w:rPr>
                <w:rFonts w:ascii="inherit" w:hAnsi="inherit"/>
                <w:noProof/>
                <w:color w:val="000000" w:themeColor="text1"/>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1439A1CF" w14:textId="77777777" w:rsidR="001369D1" w:rsidRPr="004F01E9" w:rsidRDefault="001369D1" w:rsidP="001369D1">
            <w:pPr>
              <w:spacing w:before="60" w:after="60"/>
              <w:rPr>
                <w:rFonts w:ascii="inherit" w:eastAsia="Times New Roman" w:hAnsi="inherit"/>
                <w:noProof/>
                <w:color w:val="000000" w:themeColor="text1"/>
              </w:rPr>
            </w:pPr>
            <w:r w:rsidRPr="004F01E9">
              <w:rPr>
                <w:rFonts w:ascii="inherit" w:hAnsi="inherit"/>
                <w:noProof/>
                <w:color w:val="000000" w:themeColor="text1"/>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02013C0C" w14:textId="77777777" w:rsidR="001369D1" w:rsidRPr="004F01E9" w:rsidRDefault="001369D1" w:rsidP="001369D1">
            <w:pPr>
              <w:spacing w:before="60" w:after="60"/>
              <w:rPr>
                <w:rFonts w:ascii="inherit" w:eastAsia="Times New Roman" w:hAnsi="inherit"/>
                <w:noProof/>
                <w:color w:val="000000" w:themeColor="text1"/>
              </w:rPr>
            </w:pPr>
            <w:r w:rsidRPr="004F01E9">
              <w:rPr>
                <w:rFonts w:ascii="inherit" w:hAnsi="inherit"/>
                <w:noProof/>
                <w:color w:val="000000" w:themeColor="text1"/>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04695488" w14:textId="77777777" w:rsidR="001369D1" w:rsidRPr="004F01E9" w:rsidRDefault="001369D1" w:rsidP="001369D1">
            <w:pPr>
              <w:spacing w:before="60" w:after="60"/>
              <w:rPr>
                <w:rFonts w:ascii="inherit" w:eastAsia="Times New Roman" w:hAnsi="inherit"/>
                <w:noProof/>
                <w:color w:val="000000" w:themeColor="text1"/>
              </w:rPr>
            </w:pPr>
            <w:r w:rsidRPr="004F01E9">
              <w:rPr>
                <w:rFonts w:ascii="inherit" w:hAnsi="inherit"/>
                <w:noProof/>
                <w:color w:val="000000" w:themeColor="text1"/>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57DC936A" w14:textId="77777777" w:rsidR="001369D1" w:rsidRPr="004F01E9" w:rsidRDefault="001369D1" w:rsidP="001369D1">
            <w:pPr>
              <w:spacing w:before="60" w:after="60"/>
              <w:rPr>
                <w:rFonts w:ascii="inherit" w:eastAsia="Times New Roman" w:hAnsi="inherit"/>
                <w:noProof/>
                <w:color w:val="000000" w:themeColor="text1"/>
              </w:rPr>
            </w:pPr>
            <w:r w:rsidRPr="004F01E9">
              <w:rPr>
                <w:rFonts w:ascii="inherit" w:hAnsi="inherit"/>
                <w:noProof/>
                <w:color w:val="000000" w:themeColor="text1"/>
              </w:rPr>
              <w:t>6</w:t>
            </w:r>
          </w:p>
        </w:tc>
      </w:tr>
      <w:tr w:rsidR="001369D1" w:rsidRPr="004F01E9" w14:paraId="79A33C71" w14:textId="77777777" w:rsidTr="001369D1">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AE35A96" w14:textId="77777777" w:rsidR="001369D1" w:rsidRPr="004F01E9" w:rsidRDefault="001369D1" w:rsidP="001369D1">
            <w:pPr>
              <w:spacing w:before="60" w:after="60"/>
              <w:rPr>
                <w:rFonts w:ascii="inherit" w:eastAsia="Times New Roman" w:hAnsi="inherit"/>
                <w:noProof/>
                <w:color w:val="000000" w:themeColor="text1"/>
              </w:rPr>
            </w:pPr>
            <w:r w:rsidRPr="004F01E9">
              <w:rPr>
                <w:rFonts w:ascii="inherit" w:hAnsi="inherit"/>
                <w:noProof/>
                <w:color w:val="000000" w:themeColor="text1"/>
              </w:rPr>
              <w:t>Riziková váha</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F170475" w14:textId="0E29E81B" w:rsidR="001369D1" w:rsidRPr="004F01E9" w:rsidRDefault="001369D1" w:rsidP="001369D1">
            <w:pPr>
              <w:spacing w:before="60" w:after="60"/>
              <w:rPr>
                <w:rFonts w:ascii="inherit" w:eastAsia="Times New Roman" w:hAnsi="inherit"/>
                <w:noProof/>
                <w:color w:val="000000" w:themeColor="text1"/>
              </w:rPr>
            </w:pPr>
            <w:r w:rsidRPr="004F01E9">
              <w:rPr>
                <w:rFonts w:ascii="inherit" w:hAnsi="inherit"/>
                <w:noProof/>
                <w:color w:val="000000" w:themeColor="text1"/>
              </w:rPr>
              <w:t>20</w:t>
            </w:r>
            <w:r w:rsidR="004F01E9">
              <w:rPr>
                <w:rFonts w:ascii="inherit" w:hAnsi="inherit"/>
                <w:noProof/>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7112DFC8" w14:textId="164B6F73" w:rsidR="001369D1" w:rsidRPr="004F01E9" w:rsidRDefault="001369D1" w:rsidP="001369D1">
            <w:pPr>
              <w:spacing w:before="60" w:after="60"/>
              <w:rPr>
                <w:rFonts w:ascii="inherit" w:eastAsia="Times New Roman" w:hAnsi="inherit"/>
                <w:noProof/>
                <w:color w:val="000000" w:themeColor="text1"/>
              </w:rPr>
            </w:pPr>
            <w:r w:rsidRPr="004F01E9">
              <w:rPr>
                <w:rFonts w:ascii="inherit" w:hAnsi="inherit"/>
                <w:noProof/>
                <w:color w:val="000000" w:themeColor="text1"/>
              </w:rPr>
              <w:t>50</w:t>
            </w:r>
            <w:r w:rsidR="004F01E9">
              <w:rPr>
                <w:rFonts w:ascii="inherit" w:hAnsi="inherit"/>
                <w:noProof/>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7C1FEF58" w14:textId="6B3B76A9" w:rsidR="001369D1" w:rsidRPr="004F01E9" w:rsidRDefault="001369D1" w:rsidP="001369D1">
            <w:pPr>
              <w:spacing w:before="60" w:after="60"/>
              <w:rPr>
                <w:rFonts w:ascii="inherit" w:eastAsia="Times New Roman" w:hAnsi="inherit"/>
                <w:noProof/>
                <w:color w:val="000000" w:themeColor="text1"/>
              </w:rPr>
            </w:pPr>
            <w:r w:rsidRPr="004F01E9">
              <w:rPr>
                <w:rFonts w:ascii="inherit" w:hAnsi="inherit"/>
                <w:noProof/>
                <w:color w:val="000000" w:themeColor="text1"/>
              </w:rPr>
              <w:t>75</w:t>
            </w:r>
            <w:r w:rsidR="004F01E9">
              <w:rPr>
                <w:rFonts w:ascii="inherit" w:hAnsi="inherit"/>
                <w:noProof/>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702DEE30" w14:textId="476C6C25" w:rsidR="001369D1" w:rsidRPr="004F01E9" w:rsidRDefault="001369D1" w:rsidP="001369D1">
            <w:pPr>
              <w:spacing w:before="60" w:after="60"/>
              <w:rPr>
                <w:rFonts w:ascii="inherit" w:eastAsia="Times New Roman" w:hAnsi="inherit"/>
                <w:noProof/>
                <w:color w:val="000000" w:themeColor="text1"/>
              </w:rPr>
            </w:pPr>
            <w:r w:rsidRPr="004F01E9">
              <w:rPr>
                <w:rFonts w:ascii="inherit" w:hAnsi="inherit"/>
                <w:noProof/>
                <w:color w:val="000000" w:themeColor="text1"/>
              </w:rPr>
              <w:t>100</w:t>
            </w:r>
            <w:r w:rsidR="004F01E9">
              <w:rPr>
                <w:rFonts w:ascii="inherit" w:hAnsi="inherit"/>
                <w:noProof/>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2D17A4F2" w14:textId="5D4E1399" w:rsidR="001369D1" w:rsidRPr="004F01E9" w:rsidRDefault="001369D1" w:rsidP="001369D1">
            <w:pPr>
              <w:spacing w:before="60" w:after="60"/>
              <w:rPr>
                <w:rFonts w:ascii="inherit" w:eastAsia="Times New Roman" w:hAnsi="inherit"/>
                <w:noProof/>
                <w:color w:val="000000" w:themeColor="text1"/>
              </w:rPr>
            </w:pPr>
            <w:r w:rsidRPr="004F01E9">
              <w:rPr>
                <w:rFonts w:ascii="inherit" w:hAnsi="inherit"/>
                <w:noProof/>
                <w:color w:val="000000" w:themeColor="text1"/>
              </w:rPr>
              <w:t>150</w:t>
            </w:r>
            <w:r w:rsidR="004F01E9">
              <w:rPr>
                <w:rFonts w:ascii="inherit" w:hAnsi="inherit"/>
                <w:noProof/>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7F1F94FA" w14:textId="5B44C808" w:rsidR="001369D1" w:rsidRPr="004F01E9" w:rsidRDefault="001369D1" w:rsidP="001369D1">
            <w:pPr>
              <w:spacing w:before="60" w:after="60"/>
              <w:rPr>
                <w:rFonts w:ascii="inherit" w:eastAsia="Times New Roman" w:hAnsi="inherit"/>
                <w:noProof/>
                <w:color w:val="000000" w:themeColor="text1"/>
              </w:rPr>
            </w:pPr>
            <w:r w:rsidRPr="004F01E9">
              <w:rPr>
                <w:rFonts w:ascii="inherit" w:hAnsi="inherit"/>
                <w:noProof/>
                <w:color w:val="000000" w:themeColor="text1"/>
              </w:rPr>
              <w:t>150</w:t>
            </w:r>
            <w:r w:rsidR="004F01E9">
              <w:rPr>
                <w:rFonts w:ascii="inherit" w:hAnsi="inherit"/>
                <w:noProof/>
                <w:color w:val="000000" w:themeColor="text1"/>
              </w:rPr>
              <w:t> %</w:t>
            </w:r>
          </w:p>
        </w:tc>
      </w:tr>
    </w:tbl>
    <w:p w14:paraId="0652C48C" w14:textId="46714C8F" w:rsidR="001369D1" w:rsidRPr="004F01E9" w:rsidRDefault="005418E6" w:rsidP="00615061">
      <w:pPr>
        <w:rPr>
          <w:noProof/>
        </w:rPr>
      </w:pPr>
      <w:r w:rsidRPr="004F01E9">
        <w:rPr>
          <w:noProof/>
        </w:rPr>
        <w:t>“;</w:t>
      </w:r>
    </w:p>
    <w:p w14:paraId="304AEE53" w14:textId="4CC2EDA7" w:rsidR="001369D1" w:rsidRPr="004F01E9" w:rsidRDefault="00BE2634" w:rsidP="00BE2634">
      <w:pPr>
        <w:pStyle w:val="Point1"/>
        <w:rPr>
          <w:noProof/>
        </w:rPr>
      </w:pPr>
      <w:r w:rsidRPr="004F01E9">
        <w:rPr>
          <w:noProof/>
        </w:rPr>
        <w:t>b)</w:t>
      </w:r>
      <w:r w:rsidRPr="004F01E9">
        <w:rPr>
          <w:noProof/>
        </w:rPr>
        <w:tab/>
        <w:t>Odsek 2 sa nahrádza takto:</w:t>
      </w:r>
    </w:p>
    <w:p w14:paraId="45A5BA39" w14:textId="315B0B07" w:rsidR="001369D1" w:rsidRPr="004F01E9" w:rsidRDefault="001369D1" w:rsidP="001369D1">
      <w:pPr>
        <w:pStyle w:val="Text1"/>
        <w:rPr>
          <w:noProof/>
        </w:rPr>
      </w:pPr>
      <w:r w:rsidRPr="004F01E9">
        <w:rPr>
          <w:noProof/>
        </w:rPr>
        <w:t>„Expozíciám, pre ktoré nie je</w:t>
      </w:r>
      <w:r w:rsidR="004F01E9">
        <w:rPr>
          <w:noProof/>
        </w:rPr>
        <w:t xml:space="preserve"> k </w:t>
      </w:r>
      <w:r w:rsidRPr="004F01E9">
        <w:rPr>
          <w:noProof/>
        </w:rPr>
        <w:t>dispozícii takéto kreditné hodnotenie, sa priraďuje riziková váha 100</w:t>
      </w:r>
      <w:r w:rsidR="004F01E9">
        <w:rPr>
          <w:noProof/>
        </w:rPr>
        <w:t> %</w:t>
      </w:r>
      <w:r w:rsidRPr="004F01E9">
        <w:rPr>
          <w:noProof/>
        </w:rPr>
        <w:t>.“</w:t>
      </w:r>
    </w:p>
    <w:p w14:paraId="3E373811" w14:textId="7081712E" w:rsidR="00806B81" w:rsidRPr="004F01E9" w:rsidRDefault="00B16452" w:rsidP="00B16452">
      <w:pPr>
        <w:pStyle w:val="Point0"/>
        <w:rPr>
          <w:noProof/>
        </w:rPr>
      </w:pPr>
      <w:r w:rsidRPr="00B16452">
        <w:rPr>
          <w:noProof/>
        </w:rPr>
        <w:t>41</w:t>
      </w:r>
      <w:r>
        <w:rPr>
          <w:noProof/>
        </w:rPr>
        <w:t>.</w:t>
      </w:r>
      <w:r w:rsidRPr="00B16452">
        <w:rPr>
          <w:noProof/>
        </w:rPr>
        <w:tab/>
      </w:r>
      <w:r w:rsidR="001369D1" w:rsidRPr="004F01E9">
        <w:rPr>
          <w:noProof/>
        </w:rPr>
        <w:t>Vkladá sa tento článok 122a:</w:t>
      </w:r>
    </w:p>
    <w:p w14:paraId="6D0AF7B8" w14:textId="3981A8D8" w:rsidR="001369D1" w:rsidRPr="004F01E9" w:rsidRDefault="001369D1" w:rsidP="001369D1">
      <w:pPr>
        <w:pStyle w:val="Titrearticle"/>
        <w:spacing w:before="120"/>
        <w:rPr>
          <w:b/>
          <w:i w:val="0"/>
          <w:noProof/>
        </w:rPr>
      </w:pPr>
      <w:r w:rsidRPr="004F01E9">
        <w:rPr>
          <w:noProof/>
        </w:rPr>
        <w:t xml:space="preserve">„Článok 122a </w:t>
      </w:r>
      <w:r w:rsidRPr="004F01E9">
        <w:rPr>
          <w:noProof/>
        </w:rPr>
        <w:br/>
      </w:r>
      <w:r w:rsidRPr="004F01E9">
        <w:rPr>
          <w:b/>
          <w:i w:val="0"/>
          <w:noProof/>
        </w:rPr>
        <w:t>Expozície vo forme špecializovaného financovania</w:t>
      </w:r>
    </w:p>
    <w:p w14:paraId="66930D9A" w14:textId="350C59D4" w:rsidR="00806B81" w:rsidRPr="004F01E9" w:rsidRDefault="001369D1" w:rsidP="001369D1">
      <w:pPr>
        <w:pStyle w:val="Text1"/>
        <w:rPr>
          <w:noProof/>
        </w:rPr>
      </w:pPr>
      <w:r w:rsidRPr="004F01E9">
        <w:rPr>
          <w:noProof/>
        </w:rPr>
        <w:t>1.</w:t>
      </w:r>
      <w:r w:rsidR="004F01E9">
        <w:rPr>
          <w:noProof/>
        </w:rPr>
        <w:t xml:space="preserve"> V </w:t>
      </w:r>
      <w:r w:rsidRPr="004F01E9">
        <w:rPr>
          <w:noProof/>
        </w:rPr>
        <w:t>rámci triedy expozícií voči podnikateľským subjektom stanovenej</w:t>
      </w:r>
      <w:r w:rsidR="004F01E9">
        <w:rPr>
          <w:noProof/>
        </w:rPr>
        <w:t xml:space="preserve"> v </w:t>
      </w:r>
      <w:r w:rsidRPr="004F01E9">
        <w:rPr>
          <w:noProof/>
        </w:rPr>
        <w:t>článku 112 písm. g) určujú inštitúcie oddelene ako expozície vo forme špecializovaného financovania expozície so všetkými týmito vlastnosťami:</w:t>
      </w:r>
    </w:p>
    <w:p w14:paraId="600A1CC7" w14:textId="1232CEF7" w:rsidR="00806B81" w:rsidRPr="004F01E9" w:rsidRDefault="001369D1" w:rsidP="001369D1">
      <w:pPr>
        <w:pStyle w:val="Point1"/>
        <w:rPr>
          <w:noProof/>
        </w:rPr>
      </w:pPr>
      <w:r w:rsidRPr="004F01E9">
        <w:rPr>
          <w:noProof/>
        </w:rPr>
        <w:t>a)</w:t>
      </w:r>
      <w:r w:rsidRPr="004F01E9">
        <w:rPr>
          <w:noProof/>
        </w:rPr>
        <w:tab/>
        <w:t>expozícia je voči subjektu, ktorý bol vytvorený výhradne na financovanie alebo prevádzkovanie hmotného majetku, alebo je expozícia, ktorá je ekonomicky porovnateľná</w:t>
      </w:r>
      <w:r w:rsidR="004F01E9">
        <w:rPr>
          <w:noProof/>
        </w:rPr>
        <w:t xml:space="preserve"> s </w:t>
      </w:r>
      <w:r w:rsidRPr="004F01E9">
        <w:rPr>
          <w:noProof/>
        </w:rPr>
        <w:t>takouto expozíciou;</w:t>
      </w:r>
    </w:p>
    <w:p w14:paraId="4A2193A7" w14:textId="5D86E20F" w:rsidR="001369D1" w:rsidRPr="004F01E9" w:rsidRDefault="001369D1" w:rsidP="001369D1">
      <w:pPr>
        <w:pStyle w:val="Point1"/>
        <w:rPr>
          <w:noProof/>
        </w:rPr>
      </w:pPr>
      <w:r w:rsidRPr="004F01E9">
        <w:rPr>
          <w:noProof/>
        </w:rPr>
        <w:t>b)</w:t>
      </w:r>
      <w:r w:rsidRPr="004F01E9">
        <w:rPr>
          <w:noProof/>
        </w:rPr>
        <w:tab/>
        <w:t>expozícia nie je zabezpečená nehnuteľným majetkom ani inak nesúvisí</w:t>
      </w:r>
      <w:r w:rsidR="004F01E9">
        <w:rPr>
          <w:noProof/>
        </w:rPr>
        <w:t xml:space="preserve"> s </w:t>
      </w:r>
      <w:r w:rsidRPr="004F01E9">
        <w:rPr>
          <w:noProof/>
        </w:rPr>
        <w:t>financovaním nehnuteľností;</w:t>
      </w:r>
    </w:p>
    <w:p w14:paraId="25B752AE" w14:textId="21EB93C0" w:rsidR="00806B81" w:rsidRPr="004F01E9" w:rsidRDefault="001369D1" w:rsidP="001369D1">
      <w:pPr>
        <w:pStyle w:val="Point1"/>
        <w:rPr>
          <w:noProof/>
        </w:rPr>
      </w:pPr>
      <w:r w:rsidRPr="004F01E9">
        <w:rPr>
          <w:noProof/>
        </w:rPr>
        <w:t>c)</w:t>
      </w:r>
      <w:r w:rsidRPr="004F01E9">
        <w:rPr>
          <w:noProof/>
        </w:rPr>
        <w:tab/>
        <w:t>zmluvné dojednania upravujúce záväzky súvisiace</w:t>
      </w:r>
      <w:r w:rsidR="004F01E9">
        <w:rPr>
          <w:noProof/>
        </w:rPr>
        <w:t xml:space="preserve"> s </w:t>
      </w:r>
      <w:r w:rsidRPr="004F01E9">
        <w:rPr>
          <w:noProof/>
        </w:rPr>
        <w:t>expozíciou poskytujú inštitúcii značný stupeň kontroly nad aktívami</w:t>
      </w:r>
      <w:r w:rsidR="004F01E9">
        <w:rPr>
          <w:noProof/>
        </w:rPr>
        <w:t xml:space="preserve"> a </w:t>
      </w:r>
      <w:r w:rsidRPr="004F01E9">
        <w:rPr>
          <w:noProof/>
        </w:rPr>
        <w:t>príjmom, ktorý produkujú;</w:t>
      </w:r>
    </w:p>
    <w:p w14:paraId="44957A6A" w14:textId="6011EF45" w:rsidR="001369D1" w:rsidRPr="004F01E9" w:rsidRDefault="001369D1" w:rsidP="001369D1">
      <w:pPr>
        <w:pStyle w:val="Point1"/>
        <w:rPr>
          <w:noProof/>
        </w:rPr>
      </w:pPr>
      <w:r w:rsidRPr="004F01E9">
        <w:rPr>
          <w:noProof/>
        </w:rPr>
        <w:t>d)</w:t>
      </w:r>
      <w:r w:rsidRPr="004F01E9">
        <w:rPr>
          <w:noProof/>
        </w:rPr>
        <w:tab/>
        <w:t>primárny zdroj splatenia záväzku súvisiaceho</w:t>
      </w:r>
      <w:r w:rsidR="004F01E9">
        <w:rPr>
          <w:noProof/>
        </w:rPr>
        <w:t xml:space="preserve"> s </w:t>
      </w:r>
      <w:r w:rsidRPr="004F01E9">
        <w:rPr>
          <w:noProof/>
        </w:rPr>
        <w:t>expozíciou je príjem vyprodukovaný aktívami, ktoré sú financované,</w:t>
      </w:r>
      <w:r w:rsidR="004F01E9">
        <w:rPr>
          <w:noProof/>
        </w:rPr>
        <w:t xml:space="preserve"> a </w:t>
      </w:r>
      <w:r w:rsidRPr="004F01E9">
        <w:rPr>
          <w:noProof/>
        </w:rPr>
        <w:t>nie nezávislá kapacita širšej obchodnej spoločnosti.</w:t>
      </w:r>
    </w:p>
    <w:p w14:paraId="3585FB04" w14:textId="22587CA0" w:rsidR="001369D1" w:rsidRPr="004F01E9" w:rsidRDefault="001369D1" w:rsidP="001369D1">
      <w:pPr>
        <w:pStyle w:val="Text1"/>
        <w:rPr>
          <w:noProof/>
          <w:color w:val="000000" w:themeColor="text1"/>
        </w:rPr>
      </w:pPr>
      <w:r w:rsidRPr="004F01E9">
        <w:rPr>
          <w:noProof/>
        </w:rPr>
        <w:t>2. Expozíciám vo forme špecializovaného financovania, pre ktoré je</w:t>
      </w:r>
      <w:r w:rsidR="004F01E9">
        <w:rPr>
          <w:noProof/>
        </w:rPr>
        <w:t xml:space="preserve"> k </w:t>
      </w:r>
      <w:r w:rsidRPr="004F01E9">
        <w:rPr>
          <w:noProof/>
        </w:rPr>
        <w:t>dispozícii priamo použiteľné ratingové hodnotenie nominovanej ECAI, sa priraďuje riziková váha</w:t>
      </w:r>
      <w:r w:rsidR="004F01E9">
        <w:rPr>
          <w:noProof/>
        </w:rPr>
        <w:t xml:space="preserve"> v </w:t>
      </w:r>
      <w:r w:rsidRPr="004F01E9">
        <w:rPr>
          <w:noProof/>
        </w:rPr>
        <w:t>súlade</w:t>
      </w:r>
      <w:r w:rsidR="004F01E9">
        <w:rPr>
          <w:noProof/>
        </w:rPr>
        <w:t xml:space="preserve"> s </w:t>
      </w:r>
      <w:r w:rsidRPr="004F01E9">
        <w:rPr>
          <w:noProof/>
        </w:rPr>
        <w:t>tabuľkou 6aa:</w:t>
      </w:r>
    </w:p>
    <w:p w14:paraId="6FFB9F5E" w14:textId="6324EE1D" w:rsidR="001369D1" w:rsidRPr="004F01E9" w:rsidRDefault="001369D1" w:rsidP="001B604C">
      <w:pPr>
        <w:pStyle w:val="Text1"/>
        <w:jc w:val="center"/>
        <w:rPr>
          <w:i/>
          <w:noProof/>
        </w:rPr>
      </w:pPr>
      <w:r w:rsidRPr="004F01E9">
        <w:rPr>
          <w:i/>
          <w:noProof/>
        </w:rPr>
        <w:t>Tabuľka 6aa</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2"/>
        <w:gridCol w:w="1081"/>
        <w:gridCol w:w="1320"/>
        <w:gridCol w:w="1440"/>
        <w:gridCol w:w="1200"/>
        <w:gridCol w:w="1200"/>
      </w:tblGrid>
      <w:tr w:rsidR="001369D1" w:rsidRPr="004F01E9" w14:paraId="723BDBA1" w14:textId="77777777" w:rsidTr="001369D1">
        <w:trPr>
          <w:trHeight w:hRule="exact" w:val="595"/>
          <w:jc w:val="right"/>
        </w:trPr>
        <w:tc>
          <w:tcPr>
            <w:tcW w:w="1922" w:type="dxa"/>
            <w:tcBorders>
              <w:left w:val="nil"/>
            </w:tcBorders>
          </w:tcPr>
          <w:p w14:paraId="49733719" w14:textId="54700DAE" w:rsidR="001369D1" w:rsidRPr="004F01E9" w:rsidRDefault="001369D1" w:rsidP="001369D1">
            <w:pPr>
              <w:pStyle w:val="TableParagraph"/>
              <w:spacing w:line="240" w:lineRule="auto"/>
              <w:ind w:left="122" w:right="462"/>
              <w:jc w:val="both"/>
              <w:rPr>
                <w:rFonts w:ascii="Times New Roman" w:hAnsi="Times New Roman" w:cs="Times New Roman"/>
                <w:noProof/>
                <w:sz w:val="24"/>
                <w:szCs w:val="24"/>
              </w:rPr>
            </w:pPr>
            <w:r w:rsidRPr="004F01E9">
              <w:rPr>
                <w:rFonts w:ascii="Times New Roman" w:hAnsi="Times New Roman"/>
                <w:noProof/>
                <w:sz w:val="24"/>
                <w:szCs w:val="24"/>
              </w:rPr>
              <w:t>Stupeň kreditnej kvality</w:t>
            </w:r>
          </w:p>
        </w:tc>
        <w:tc>
          <w:tcPr>
            <w:tcW w:w="1081" w:type="dxa"/>
          </w:tcPr>
          <w:p w14:paraId="6415A707" w14:textId="77777777" w:rsidR="001369D1" w:rsidRPr="004F01E9" w:rsidRDefault="001369D1" w:rsidP="001369D1">
            <w:pPr>
              <w:pStyle w:val="TableParagraph"/>
              <w:jc w:val="both"/>
              <w:rPr>
                <w:rFonts w:ascii="Times New Roman" w:hAnsi="Times New Roman" w:cs="Times New Roman"/>
                <w:noProof/>
                <w:sz w:val="24"/>
                <w:szCs w:val="24"/>
              </w:rPr>
            </w:pPr>
            <w:r w:rsidRPr="004F01E9">
              <w:rPr>
                <w:rFonts w:ascii="Times New Roman" w:hAnsi="Times New Roman"/>
                <w:noProof/>
                <w:sz w:val="24"/>
                <w:szCs w:val="24"/>
              </w:rPr>
              <w:t>1</w:t>
            </w:r>
          </w:p>
        </w:tc>
        <w:tc>
          <w:tcPr>
            <w:tcW w:w="1320" w:type="dxa"/>
          </w:tcPr>
          <w:p w14:paraId="2DB5956E" w14:textId="77777777" w:rsidR="001369D1" w:rsidRPr="004F01E9" w:rsidRDefault="001369D1" w:rsidP="001369D1">
            <w:pPr>
              <w:pStyle w:val="TableParagraph"/>
              <w:jc w:val="both"/>
              <w:rPr>
                <w:rFonts w:ascii="Times New Roman" w:hAnsi="Times New Roman" w:cs="Times New Roman"/>
                <w:noProof/>
                <w:sz w:val="24"/>
                <w:szCs w:val="24"/>
              </w:rPr>
            </w:pPr>
            <w:r w:rsidRPr="004F01E9">
              <w:rPr>
                <w:rFonts w:ascii="Times New Roman" w:hAnsi="Times New Roman"/>
                <w:noProof/>
                <w:sz w:val="24"/>
                <w:szCs w:val="24"/>
              </w:rPr>
              <w:t>2</w:t>
            </w:r>
          </w:p>
        </w:tc>
        <w:tc>
          <w:tcPr>
            <w:tcW w:w="1440" w:type="dxa"/>
          </w:tcPr>
          <w:p w14:paraId="2A32674B" w14:textId="77777777" w:rsidR="001369D1" w:rsidRPr="004F01E9" w:rsidRDefault="001369D1" w:rsidP="001369D1">
            <w:pPr>
              <w:pStyle w:val="TableParagraph"/>
              <w:jc w:val="both"/>
              <w:rPr>
                <w:rFonts w:ascii="Times New Roman" w:hAnsi="Times New Roman" w:cs="Times New Roman"/>
                <w:noProof/>
                <w:sz w:val="24"/>
                <w:szCs w:val="24"/>
              </w:rPr>
            </w:pPr>
            <w:r w:rsidRPr="004F01E9">
              <w:rPr>
                <w:rFonts w:ascii="Times New Roman" w:hAnsi="Times New Roman"/>
                <w:noProof/>
                <w:sz w:val="24"/>
                <w:szCs w:val="24"/>
              </w:rPr>
              <w:t>3</w:t>
            </w:r>
          </w:p>
        </w:tc>
        <w:tc>
          <w:tcPr>
            <w:tcW w:w="1200" w:type="dxa"/>
          </w:tcPr>
          <w:p w14:paraId="6AB162EA" w14:textId="77777777" w:rsidR="001369D1" w:rsidRPr="004F01E9" w:rsidRDefault="001369D1" w:rsidP="001369D1">
            <w:pPr>
              <w:pStyle w:val="TableParagraph"/>
              <w:jc w:val="both"/>
              <w:rPr>
                <w:rFonts w:ascii="Times New Roman" w:hAnsi="Times New Roman" w:cs="Times New Roman"/>
                <w:noProof/>
                <w:sz w:val="24"/>
                <w:szCs w:val="24"/>
              </w:rPr>
            </w:pPr>
            <w:r w:rsidRPr="004F01E9">
              <w:rPr>
                <w:rFonts w:ascii="Times New Roman" w:hAnsi="Times New Roman"/>
                <w:noProof/>
                <w:sz w:val="24"/>
                <w:szCs w:val="24"/>
              </w:rPr>
              <w:t>4</w:t>
            </w:r>
          </w:p>
        </w:tc>
        <w:tc>
          <w:tcPr>
            <w:tcW w:w="1200" w:type="dxa"/>
            <w:tcBorders>
              <w:right w:val="nil"/>
            </w:tcBorders>
          </w:tcPr>
          <w:p w14:paraId="322C8D77" w14:textId="77777777" w:rsidR="001369D1" w:rsidRPr="004F01E9" w:rsidRDefault="001369D1" w:rsidP="001369D1">
            <w:pPr>
              <w:pStyle w:val="TableParagraph"/>
              <w:jc w:val="both"/>
              <w:rPr>
                <w:rFonts w:ascii="Times New Roman" w:hAnsi="Times New Roman" w:cs="Times New Roman"/>
                <w:noProof/>
                <w:sz w:val="24"/>
                <w:szCs w:val="24"/>
              </w:rPr>
            </w:pPr>
            <w:r w:rsidRPr="004F01E9">
              <w:rPr>
                <w:rFonts w:ascii="Times New Roman" w:hAnsi="Times New Roman"/>
                <w:noProof/>
                <w:sz w:val="24"/>
                <w:szCs w:val="24"/>
              </w:rPr>
              <w:t>5</w:t>
            </w:r>
          </w:p>
        </w:tc>
      </w:tr>
      <w:tr w:rsidR="001369D1" w:rsidRPr="004F01E9" w14:paraId="7AF15AE2" w14:textId="77777777" w:rsidTr="001369D1">
        <w:trPr>
          <w:trHeight w:hRule="exact" w:val="302"/>
          <w:jc w:val="right"/>
        </w:trPr>
        <w:tc>
          <w:tcPr>
            <w:tcW w:w="1922" w:type="dxa"/>
            <w:tcBorders>
              <w:left w:val="nil"/>
            </w:tcBorders>
          </w:tcPr>
          <w:p w14:paraId="7D65A1AD" w14:textId="77777777" w:rsidR="001369D1" w:rsidRPr="004F01E9" w:rsidRDefault="001369D1" w:rsidP="001369D1">
            <w:pPr>
              <w:pStyle w:val="TableParagraph"/>
              <w:ind w:left="122"/>
              <w:jc w:val="both"/>
              <w:rPr>
                <w:rFonts w:ascii="Times New Roman" w:hAnsi="Times New Roman" w:cs="Times New Roman"/>
                <w:noProof/>
                <w:sz w:val="24"/>
                <w:szCs w:val="24"/>
              </w:rPr>
            </w:pPr>
            <w:r w:rsidRPr="004F01E9">
              <w:rPr>
                <w:rFonts w:ascii="Times New Roman" w:hAnsi="Times New Roman"/>
                <w:noProof/>
                <w:sz w:val="24"/>
                <w:szCs w:val="24"/>
              </w:rPr>
              <w:t>Riziková váha</w:t>
            </w:r>
          </w:p>
        </w:tc>
        <w:tc>
          <w:tcPr>
            <w:tcW w:w="1081" w:type="dxa"/>
          </w:tcPr>
          <w:p w14:paraId="3EF86328" w14:textId="2C59AD1A" w:rsidR="001369D1" w:rsidRPr="004F01E9" w:rsidRDefault="001369D1" w:rsidP="001369D1">
            <w:pPr>
              <w:pStyle w:val="TableParagraph"/>
              <w:jc w:val="both"/>
              <w:rPr>
                <w:rFonts w:ascii="Times New Roman" w:hAnsi="Times New Roman" w:cs="Times New Roman"/>
                <w:noProof/>
                <w:sz w:val="24"/>
                <w:szCs w:val="24"/>
              </w:rPr>
            </w:pPr>
            <w:r w:rsidRPr="004F01E9">
              <w:rPr>
                <w:rFonts w:ascii="Times New Roman" w:hAnsi="Times New Roman"/>
                <w:noProof/>
                <w:sz w:val="24"/>
                <w:szCs w:val="24"/>
              </w:rPr>
              <w:t>20</w:t>
            </w:r>
            <w:r w:rsidR="004F01E9">
              <w:rPr>
                <w:rFonts w:ascii="Times New Roman" w:hAnsi="Times New Roman"/>
                <w:noProof/>
                <w:sz w:val="24"/>
                <w:szCs w:val="24"/>
              </w:rPr>
              <w:t> %</w:t>
            </w:r>
          </w:p>
        </w:tc>
        <w:tc>
          <w:tcPr>
            <w:tcW w:w="1320" w:type="dxa"/>
          </w:tcPr>
          <w:p w14:paraId="5A00D25E" w14:textId="04E2CEA1" w:rsidR="001369D1" w:rsidRPr="004F01E9" w:rsidRDefault="001369D1" w:rsidP="001369D1">
            <w:pPr>
              <w:pStyle w:val="TableParagraph"/>
              <w:jc w:val="both"/>
              <w:rPr>
                <w:rFonts w:ascii="Times New Roman" w:hAnsi="Times New Roman" w:cs="Times New Roman"/>
                <w:noProof/>
                <w:sz w:val="24"/>
                <w:szCs w:val="24"/>
              </w:rPr>
            </w:pPr>
            <w:r w:rsidRPr="004F01E9">
              <w:rPr>
                <w:rFonts w:ascii="Times New Roman" w:hAnsi="Times New Roman"/>
                <w:noProof/>
                <w:sz w:val="24"/>
                <w:szCs w:val="24"/>
              </w:rPr>
              <w:t>50</w:t>
            </w:r>
            <w:r w:rsidR="004F01E9">
              <w:rPr>
                <w:rFonts w:ascii="Times New Roman" w:hAnsi="Times New Roman"/>
                <w:noProof/>
                <w:sz w:val="24"/>
                <w:szCs w:val="24"/>
              </w:rPr>
              <w:t> %</w:t>
            </w:r>
          </w:p>
        </w:tc>
        <w:tc>
          <w:tcPr>
            <w:tcW w:w="1440" w:type="dxa"/>
          </w:tcPr>
          <w:p w14:paraId="6C933C02" w14:textId="68D4BCFD" w:rsidR="001369D1" w:rsidRPr="004F01E9" w:rsidRDefault="001369D1" w:rsidP="001369D1">
            <w:pPr>
              <w:pStyle w:val="TableParagraph"/>
              <w:jc w:val="both"/>
              <w:rPr>
                <w:rFonts w:ascii="Times New Roman" w:hAnsi="Times New Roman" w:cs="Times New Roman"/>
                <w:noProof/>
                <w:sz w:val="24"/>
                <w:szCs w:val="24"/>
              </w:rPr>
            </w:pPr>
            <w:r w:rsidRPr="004F01E9">
              <w:rPr>
                <w:rFonts w:ascii="Times New Roman" w:hAnsi="Times New Roman"/>
                <w:noProof/>
                <w:sz w:val="24"/>
                <w:szCs w:val="24"/>
              </w:rPr>
              <w:t>75</w:t>
            </w:r>
            <w:r w:rsidR="004F01E9">
              <w:rPr>
                <w:rFonts w:ascii="Times New Roman" w:hAnsi="Times New Roman"/>
                <w:noProof/>
                <w:sz w:val="24"/>
                <w:szCs w:val="24"/>
              </w:rPr>
              <w:t> %</w:t>
            </w:r>
          </w:p>
        </w:tc>
        <w:tc>
          <w:tcPr>
            <w:tcW w:w="1200" w:type="dxa"/>
          </w:tcPr>
          <w:p w14:paraId="67720D17" w14:textId="2829415F" w:rsidR="001369D1" w:rsidRPr="004F01E9" w:rsidRDefault="001369D1" w:rsidP="001369D1">
            <w:pPr>
              <w:pStyle w:val="TableParagraph"/>
              <w:jc w:val="both"/>
              <w:rPr>
                <w:rFonts w:ascii="Times New Roman" w:hAnsi="Times New Roman" w:cs="Times New Roman"/>
                <w:noProof/>
                <w:sz w:val="24"/>
                <w:szCs w:val="24"/>
              </w:rPr>
            </w:pPr>
            <w:r w:rsidRPr="004F01E9">
              <w:rPr>
                <w:rFonts w:ascii="Times New Roman" w:hAnsi="Times New Roman"/>
                <w:noProof/>
                <w:sz w:val="24"/>
                <w:szCs w:val="24"/>
              </w:rPr>
              <w:t>100</w:t>
            </w:r>
            <w:r w:rsidR="004F01E9">
              <w:rPr>
                <w:rFonts w:ascii="Times New Roman" w:hAnsi="Times New Roman"/>
                <w:noProof/>
                <w:sz w:val="24"/>
                <w:szCs w:val="24"/>
              </w:rPr>
              <w:t> %</w:t>
            </w:r>
          </w:p>
        </w:tc>
        <w:tc>
          <w:tcPr>
            <w:tcW w:w="1200" w:type="dxa"/>
            <w:tcBorders>
              <w:right w:val="nil"/>
            </w:tcBorders>
          </w:tcPr>
          <w:p w14:paraId="1D6D08A5" w14:textId="7288788B" w:rsidR="001369D1" w:rsidRPr="004F01E9" w:rsidRDefault="001369D1" w:rsidP="001369D1">
            <w:pPr>
              <w:pStyle w:val="TableParagraph"/>
              <w:jc w:val="both"/>
              <w:rPr>
                <w:rFonts w:ascii="Times New Roman" w:hAnsi="Times New Roman" w:cs="Times New Roman"/>
                <w:noProof/>
                <w:sz w:val="24"/>
                <w:szCs w:val="24"/>
              </w:rPr>
            </w:pPr>
            <w:r w:rsidRPr="004F01E9">
              <w:rPr>
                <w:rFonts w:ascii="Times New Roman" w:hAnsi="Times New Roman"/>
                <w:noProof/>
                <w:sz w:val="24"/>
                <w:szCs w:val="24"/>
              </w:rPr>
              <w:t>150</w:t>
            </w:r>
            <w:r w:rsidR="004F01E9">
              <w:rPr>
                <w:rFonts w:ascii="Times New Roman" w:hAnsi="Times New Roman"/>
                <w:noProof/>
                <w:sz w:val="24"/>
                <w:szCs w:val="24"/>
              </w:rPr>
              <w:t> %</w:t>
            </w:r>
          </w:p>
        </w:tc>
      </w:tr>
    </w:tbl>
    <w:p w14:paraId="1838921B" w14:textId="0AA2B916" w:rsidR="001369D1" w:rsidRPr="004F01E9" w:rsidRDefault="001369D1" w:rsidP="001B604C">
      <w:pPr>
        <w:pStyle w:val="Text1"/>
        <w:rPr>
          <w:noProof/>
        </w:rPr>
      </w:pPr>
    </w:p>
    <w:p w14:paraId="4D49CEFA" w14:textId="08CE73B2" w:rsidR="001369D1" w:rsidRPr="004F01E9" w:rsidRDefault="001369D1" w:rsidP="001369D1">
      <w:pPr>
        <w:pStyle w:val="Text1"/>
        <w:rPr>
          <w:noProof/>
          <w:sz w:val="28"/>
          <w:szCs w:val="28"/>
        </w:rPr>
      </w:pPr>
      <w:r w:rsidRPr="004F01E9">
        <w:rPr>
          <w:noProof/>
          <w:color w:val="000000"/>
        </w:rPr>
        <w:t xml:space="preserve">3. </w:t>
      </w:r>
      <w:r w:rsidRPr="004F01E9">
        <w:rPr>
          <w:noProof/>
        </w:rPr>
        <w:t>Expozíciám vo forme špecializovaného financovania, pre ktoré nie je</w:t>
      </w:r>
      <w:r w:rsidR="004F01E9">
        <w:rPr>
          <w:noProof/>
        </w:rPr>
        <w:t xml:space="preserve"> k </w:t>
      </w:r>
      <w:r w:rsidRPr="004F01E9">
        <w:rPr>
          <w:noProof/>
        </w:rPr>
        <w:t>dispozícii priamo uplatniteľné ratingové hodnotenie, sa priraďuje riziková váha takto:</w:t>
      </w:r>
    </w:p>
    <w:p w14:paraId="23963D5D" w14:textId="2E4E4F8F" w:rsidR="001369D1" w:rsidRPr="004F01E9" w:rsidRDefault="001369D1" w:rsidP="001369D1">
      <w:pPr>
        <w:pStyle w:val="Point1"/>
        <w:rPr>
          <w:noProof/>
        </w:rPr>
      </w:pPr>
      <w:r w:rsidRPr="004F01E9">
        <w:rPr>
          <w:noProof/>
        </w:rPr>
        <w:t>a)</w:t>
      </w:r>
      <w:r w:rsidRPr="004F01E9">
        <w:rPr>
          <w:noProof/>
        </w:rPr>
        <w:tab/>
        <w:t>ak je účelom expozície vo forme špecializovaného financovania financovanie nadobudnutia hmotného majetku vrátane lodí, lietadiel, satelitov, železničných vozňov</w:t>
      </w:r>
      <w:r w:rsidR="004F01E9">
        <w:rPr>
          <w:noProof/>
        </w:rPr>
        <w:t xml:space="preserve"> a </w:t>
      </w:r>
      <w:r w:rsidRPr="004F01E9">
        <w:rPr>
          <w:noProof/>
        </w:rPr>
        <w:t>flotíl</w:t>
      </w:r>
      <w:r w:rsidR="004F01E9">
        <w:rPr>
          <w:noProof/>
        </w:rPr>
        <w:t xml:space="preserve"> a </w:t>
      </w:r>
      <w:r w:rsidRPr="004F01E9">
        <w:rPr>
          <w:noProof/>
        </w:rPr>
        <w:t>príjmy, ktoré má tento majetok generovať, sa nadobúdajú</w:t>
      </w:r>
      <w:r w:rsidR="004F01E9">
        <w:rPr>
          <w:noProof/>
        </w:rPr>
        <w:t xml:space="preserve"> v </w:t>
      </w:r>
      <w:r w:rsidRPr="004F01E9">
        <w:rPr>
          <w:noProof/>
        </w:rPr>
        <w:t>podobe peňažných tokov generovaných konkrétnym hmotným majetkom, ktorý bol financovaný</w:t>
      </w:r>
      <w:r w:rsidR="004F01E9">
        <w:rPr>
          <w:noProof/>
        </w:rPr>
        <w:t xml:space="preserve"> a </w:t>
      </w:r>
      <w:r w:rsidRPr="004F01E9">
        <w:rPr>
          <w:noProof/>
        </w:rPr>
        <w:t>založený alebo priradený</w:t>
      </w:r>
      <w:r w:rsidR="004F01E9">
        <w:rPr>
          <w:noProof/>
        </w:rPr>
        <w:t xml:space="preserve"> k </w:t>
      </w:r>
      <w:r w:rsidRPr="004F01E9">
        <w:rPr>
          <w:noProof/>
        </w:rPr>
        <w:t xml:space="preserve">veriteľovi </w:t>
      </w:r>
      <w:r w:rsidRPr="004F01E9">
        <w:rPr>
          <w:noProof/>
          <w:color w:val="FF0000"/>
          <w:szCs w:val="24"/>
        </w:rPr>
        <w:t xml:space="preserve">jednou alebo viacerými tretími stranami </w:t>
      </w:r>
      <w:r w:rsidRPr="004F01E9">
        <w:rPr>
          <w:noProof/>
        </w:rPr>
        <w:t>(„expozície spojené</w:t>
      </w:r>
      <w:r w:rsidR="004F01E9">
        <w:rPr>
          <w:noProof/>
        </w:rPr>
        <w:t xml:space="preserve"> s </w:t>
      </w:r>
      <w:r w:rsidRPr="004F01E9">
        <w:rPr>
          <w:noProof/>
        </w:rPr>
        <w:t>financovaním predmetov“), inštitúcie uplatňujú tieto rizikové váhy:</w:t>
      </w:r>
    </w:p>
    <w:p w14:paraId="4119022C" w14:textId="2D18D548" w:rsidR="00806B81" w:rsidRPr="004F01E9" w:rsidRDefault="001369D1" w:rsidP="001369D1">
      <w:pPr>
        <w:pStyle w:val="Point2"/>
        <w:rPr>
          <w:noProof/>
        </w:rPr>
      </w:pPr>
      <w:r w:rsidRPr="004F01E9">
        <w:rPr>
          <w:noProof/>
        </w:rPr>
        <w:t>i)</w:t>
      </w:r>
      <w:r w:rsidRPr="004F01E9">
        <w:rPr>
          <w:noProof/>
        </w:rPr>
        <w:tab/>
        <w:t>80</w:t>
      </w:r>
      <w:r w:rsidR="004F01E9">
        <w:rPr>
          <w:noProof/>
        </w:rPr>
        <w:t> %</w:t>
      </w:r>
      <w:r w:rsidRPr="004F01E9">
        <w:rPr>
          <w:noProof/>
        </w:rPr>
        <w:t>, ak sa expozícia považuje za expozíciu vysokej kvality pri zohľadnení všetkých týchto kritérií:</w:t>
      </w:r>
    </w:p>
    <w:p w14:paraId="4BB20170" w14:textId="1CB0AE3C" w:rsidR="001369D1" w:rsidRPr="004F01E9" w:rsidRDefault="001369D1" w:rsidP="001369D1">
      <w:pPr>
        <w:pStyle w:val="Tiret3"/>
        <w:rPr>
          <w:noProof/>
        </w:rPr>
      </w:pPr>
      <w:r w:rsidRPr="004F01E9">
        <w:rPr>
          <w:noProof/>
        </w:rPr>
        <w:t>dlžník si dokáže plniť finančné záväzky aj za vážne stresových podmienok vyskytujúcich sa kvôli existencii všetkých týchto znakov:</w:t>
      </w:r>
    </w:p>
    <w:p w14:paraId="06EDF258" w14:textId="3A1047E5" w:rsidR="001369D1" w:rsidRPr="004F01E9" w:rsidRDefault="001369D1" w:rsidP="00107856">
      <w:pPr>
        <w:pStyle w:val="Bullet4"/>
        <w:numPr>
          <w:ilvl w:val="0"/>
          <w:numId w:val="17"/>
        </w:numPr>
        <w:rPr>
          <w:noProof/>
        </w:rPr>
      </w:pPr>
      <w:r w:rsidRPr="004F01E9">
        <w:rPr>
          <w:noProof/>
        </w:rPr>
        <w:t>primeraná hodnota expozície</w:t>
      </w:r>
      <w:r w:rsidR="004F01E9">
        <w:rPr>
          <w:noProof/>
        </w:rPr>
        <w:t xml:space="preserve"> k </w:t>
      </w:r>
      <w:r w:rsidRPr="004F01E9">
        <w:rPr>
          <w:noProof/>
        </w:rPr>
        <w:t>hodnote zabezpečenia expozície;</w:t>
      </w:r>
    </w:p>
    <w:p w14:paraId="7176C679" w14:textId="77777777" w:rsidR="001369D1" w:rsidRPr="004F01E9" w:rsidRDefault="001369D1" w:rsidP="001369D1">
      <w:pPr>
        <w:pStyle w:val="Bullet4"/>
        <w:rPr>
          <w:noProof/>
        </w:rPr>
      </w:pPr>
      <w:r w:rsidRPr="004F01E9">
        <w:rPr>
          <w:noProof/>
        </w:rPr>
        <w:t>konzervatívny profil splácania expozície;</w:t>
      </w:r>
    </w:p>
    <w:p w14:paraId="74A90C1C" w14:textId="0F8BE52B" w:rsidR="001369D1" w:rsidRPr="004F01E9" w:rsidRDefault="001369D1" w:rsidP="001369D1">
      <w:pPr>
        <w:pStyle w:val="Bullet4"/>
        <w:rPr>
          <w:noProof/>
        </w:rPr>
      </w:pPr>
      <w:r w:rsidRPr="004F01E9">
        <w:rPr>
          <w:noProof/>
        </w:rPr>
        <w:t>zodpovedajúca zostávajúca životnosť aktív pri úplnom vyplatení expozície alebo alternatívne uchýlenie sa</w:t>
      </w:r>
      <w:r w:rsidR="004F01E9">
        <w:rPr>
          <w:noProof/>
        </w:rPr>
        <w:t xml:space="preserve"> k </w:t>
      </w:r>
      <w:r w:rsidRPr="004F01E9">
        <w:rPr>
          <w:noProof/>
        </w:rPr>
        <w:t>poskytovateľovi zabezpečenia</w:t>
      </w:r>
      <w:r w:rsidR="004F01E9">
        <w:rPr>
          <w:noProof/>
        </w:rPr>
        <w:t xml:space="preserve"> s </w:t>
      </w:r>
      <w:r w:rsidRPr="004F01E9">
        <w:rPr>
          <w:noProof/>
        </w:rPr>
        <w:t>vysokou úverovou bonitou;</w:t>
      </w:r>
    </w:p>
    <w:p w14:paraId="14428DA1" w14:textId="213405B4" w:rsidR="001369D1" w:rsidRPr="004F01E9" w:rsidRDefault="001369D1" w:rsidP="001369D1">
      <w:pPr>
        <w:pStyle w:val="Bullet4"/>
        <w:rPr>
          <w:noProof/>
        </w:rPr>
      </w:pPr>
      <w:r w:rsidRPr="004F01E9">
        <w:rPr>
          <w:noProof/>
        </w:rPr>
        <w:t>nízke riziko refinancovania expozície dlžníka alebo situácia, keď je takéto riziko primerane zmiernené zodpovedajúcou zostatkovou hodnotou aktív alebo uchýlením sa</w:t>
      </w:r>
      <w:r w:rsidR="004F01E9">
        <w:rPr>
          <w:noProof/>
        </w:rPr>
        <w:t xml:space="preserve"> k </w:t>
      </w:r>
      <w:r w:rsidRPr="004F01E9">
        <w:rPr>
          <w:noProof/>
        </w:rPr>
        <w:t>poskytovateľovi zabezpečenia</w:t>
      </w:r>
      <w:r w:rsidR="004F01E9">
        <w:rPr>
          <w:noProof/>
        </w:rPr>
        <w:t xml:space="preserve"> s </w:t>
      </w:r>
      <w:r w:rsidRPr="004F01E9">
        <w:rPr>
          <w:noProof/>
        </w:rPr>
        <w:t>vysokou úverovou bonitou;</w:t>
      </w:r>
    </w:p>
    <w:p w14:paraId="58400BEA" w14:textId="2A372636" w:rsidR="001369D1" w:rsidRPr="004F01E9" w:rsidRDefault="001369D1" w:rsidP="001369D1">
      <w:pPr>
        <w:pStyle w:val="Bullet4"/>
        <w:rPr>
          <w:noProof/>
        </w:rPr>
      </w:pPr>
      <w:r w:rsidRPr="004F01E9">
        <w:rPr>
          <w:noProof/>
        </w:rPr>
        <w:t>dlžník má zmluvné obmedzenia, pokiaľ ide</w:t>
      </w:r>
      <w:r w:rsidR="004F01E9">
        <w:rPr>
          <w:noProof/>
        </w:rPr>
        <w:t xml:space="preserve"> o </w:t>
      </w:r>
      <w:r w:rsidRPr="004F01E9">
        <w:rPr>
          <w:noProof/>
        </w:rPr>
        <w:t>jeho činnosť</w:t>
      </w:r>
      <w:r w:rsidR="004F01E9">
        <w:rPr>
          <w:noProof/>
        </w:rPr>
        <w:t xml:space="preserve"> a </w:t>
      </w:r>
      <w:r w:rsidRPr="004F01E9">
        <w:rPr>
          <w:noProof/>
        </w:rPr>
        <w:t>štruktúru financovania;</w:t>
      </w:r>
    </w:p>
    <w:p w14:paraId="2C15F337" w14:textId="77777777" w:rsidR="001369D1" w:rsidRPr="004F01E9" w:rsidRDefault="001369D1" w:rsidP="001369D1">
      <w:pPr>
        <w:pStyle w:val="Bullet4"/>
        <w:rPr>
          <w:noProof/>
        </w:rPr>
      </w:pPr>
      <w:r w:rsidRPr="004F01E9">
        <w:rPr>
          <w:noProof/>
        </w:rPr>
        <w:t>dlžník používa deriváty len na účely zmierňovania rizika;</w:t>
      </w:r>
    </w:p>
    <w:p w14:paraId="61204B56" w14:textId="77777777" w:rsidR="001369D1" w:rsidRPr="004F01E9" w:rsidRDefault="001369D1" w:rsidP="001369D1">
      <w:pPr>
        <w:pStyle w:val="Bullet4"/>
        <w:rPr>
          <w:noProof/>
        </w:rPr>
      </w:pPr>
      <w:r w:rsidRPr="004F01E9">
        <w:rPr>
          <w:noProof/>
        </w:rPr>
        <w:t>významné prevádzkové riziká sú vhodne riadené;</w:t>
      </w:r>
    </w:p>
    <w:p w14:paraId="2EF71196" w14:textId="77777777" w:rsidR="001369D1" w:rsidRPr="004F01E9" w:rsidRDefault="001369D1" w:rsidP="001369D1">
      <w:pPr>
        <w:pStyle w:val="Tiret3"/>
        <w:rPr>
          <w:noProof/>
        </w:rPr>
      </w:pPr>
      <w:r w:rsidRPr="004F01E9">
        <w:rPr>
          <w:noProof/>
        </w:rPr>
        <w:t>zmluvné dojednania týkajúce sa aktív poskytujú veriteľom vysoký stupeň ochrany vrátane týchto znakov:</w:t>
      </w:r>
    </w:p>
    <w:p w14:paraId="576A7E2F" w14:textId="41B2D602" w:rsidR="001369D1" w:rsidRPr="004F01E9" w:rsidRDefault="001369D1" w:rsidP="001369D1">
      <w:pPr>
        <w:pStyle w:val="Bullet4"/>
        <w:rPr>
          <w:noProof/>
        </w:rPr>
      </w:pPr>
      <w:r w:rsidRPr="004F01E9">
        <w:rPr>
          <w:noProof/>
        </w:rPr>
        <w:t>veritelia majú právne vymožiteľné prednostné právo na financované aktíva</w:t>
      </w:r>
      <w:r w:rsidR="004F01E9">
        <w:rPr>
          <w:noProof/>
        </w:rPr>
        <w:t xml:space="preserve"> a </w:t>
      </w:r>
      <w:r w:rsidRPr="004F01E9">
        <w:rPr>
          <w:noProof/>
        </w:rPr>
        <w:t>prípadne na príjmy, ktoré generujú;</w:t>
      </w:r>
    </w:p>
    <w:p w14:paraId="2B77B0FC" w14:textId="77777777" w:rsidR="001369D1" w:rsidRPr="004F01E9" w:rsidRDefault="001369D1" w:rsidP="001369D1">
      <w:pPr>
        <w:pStyle w:val="Bullet4"/>
        <w:rPr>
          <w:noProof/>
        </w:rPr>
      </w:pPr>
      <w:r w:rsidRPr="004F01E9">
        <w:rPr>
          <w:noProof/>
        </w:rPr>
        <w:t>existujú zmluvné obmedzenia schopnosti dlžníka zmeniť na aktíve čokoľvek, čo by malo negatívny vplyv na jeho hodnotu;</w:t>
      </w:r>
    </w:p>
    <w:p w14:paraId="29CD7A35" w14:textId="27BC39F5" w:rsidR="001369D1" w:rsidRPr="004F01E9" w:rsidRDefault="001369D1" w:rsidP="001369D1">
      <w:pPr>
        <w:pStyle w:val="Bullet4"/>
        <w:rPr>
          <w:noProof/>
        </w:rPr>
      </w:pPr>
      <w:r w:rsidRPr="004F01E9">
        <w:rPr>
          <w:noProof/>
        </w:rPr>
        <w:t>ak je aktívum vo výstavbe, veritelia majú právne vymožiteľné prednostné právo na aktíva</w:t>
      </w:r>
      <w:r w:rsidR="004F01E9">
        <w:rPr>
          <w:noProof/>
        </w:rPr>
        <w:t xml:space="preserve"> a </w:t>
      </w:r>
      <w:r w:rsidRPr="004F01E9">
        <w:rPr>
          <w:noProof/>
        </w:rPr>
        <w:t>podkladové zmluvy</w:t>
      </w:r>
      <w:r w:rsidR="004F01E9">
        <w:rPr>
          <w:noProof/>
        </w:rPr>
        <w:t xml:space="preserve"> o </w:t>
      </w:r>
      <w:r w:rsidRPr="004F01E9">
        <w:rPr>
          <w:noProof/>
        </w:rPr>
        <w:t>zhotovení;</w:t>
      </w:r>
    </w:p>
    <w:p w14:paraId="4AD601BE" w14:textId="0327F24A" w:rsidR="001369D1" w:rsidRPr="004F01E9" w:rsidRDefault="001369D1" w:rsidP="001369D1">
      <w:pPr>
        <w:pStyle w:val="Tiret3"/>
        <w:rPr>
          <w:noProof/>
        </w:rPr>
      </w:pPr>
      <w:r w:rsidRPr="004F01E9">
        <w:rPr>
          <w:noProof/>
        </w:rPr>
        <w:t>financované aktíva spĺňajú všetky tieto normy, aby mohli fungovať spoľahlivým</w:t>
      </w:r>
      <w:r w:rsidR="004F01E9">
        <w:rPr>
          <w:noProof/>
        </w:rPr>
        <w:t xml:space="preserve"> a </w:t>
      </w:r>
      <w:r w:rsidRPr="004F01E9">
        <w:rPr>
          <w:noProof/>
        </w:rPr>
        <w:t>účinným spôsobom:</w:t>
      </w:r>
    </w:p>
    <w:p w14:paraId="32044E51" w14:textId="7FAE0B82" w:rsidR="00806B81" w:rsidRPr="004F01E9" w:rsidRDefault="001369D1" w:rsidP="001369D1">
      <w:pPr>
        <w:pStyle w:val="Bullet4"/>
        <w:rPr>
          <w:noProof/>
        </w:rPr>
      </w:pPr>
      <w:r w:rsidRPr="004F01E9">
        <w:rPr>
          <w:noProof/>
        </w:rPr>
        <w:t>testuje sa technológia</w:t>
      </w:r>
      <w:r w:rsidR="004F01E9">
        <w:rPr>
          <w:noProof/>
        </w:rPr>
        <w:t xml:space="preserve"> a </w:t>
      </w:r>
      <w:r w:rsidRPr="004F01E9">
        <w:rPr>
          <w:noProof/>
        </w:rPr>
        <w:t>koncepcia aktíva;</w:t>
      </w:r>
    </w:p>
    <w:p w14:paraId="1DEF22A1" w14:textId="3A5F063B" w:rsidR="001369D1" w:rsidRPr="004F01E9" w:rsidRDefault="001369D1" w:rsidP="001369D1">
      <w:pPr>
        <w:pStyle w:val="Bullet4"/>
        <w:rPr>
          <w:noProof/>
        </w:rPr>
      </w:pPr>
      <w:r w:rsidRPr="004F01E9">
        <w:rPr>
          <w:noProof/>
        </w:rPr>
        <w:t>na prevádzku aktív boli získané všetky potrebné povolenia</w:t>
      </w:r>
      <w:r w:rsidR="004F01E9">
        <w:rPr>
          <w:noProof/>
        </w:rPr>
        <w:t xml:space="preserve"> a </w:t>
      </w:r>
      <w:r w:rsidRPr="004F01E9">
        <w:rPr>
          <w:noProof/>
        </w:rPr>
        <w:t>oprávnenia;</w:t>
      </w:r>
    </w:p>
    <w:p w14:paraId="7A10330E" w14:textId="5366C09C" w:rsidR="001369D1" w:rsidRPr="004F01E9" w:rsidRDefault="001369D1" w:rsidP="001369D1">
      <w:pPr>
        <w:pStyle w:val="Bullet4"/>
        <w:rPr>
          <w:noProof/>
        </w:rPr>
      </w:pPr>
      <w:r w:rsidRPr="004F01E9">
        <w:rPr>
          <w:noProof/>
        </w:rPr>
        <w:t>ak je aktívum vo výstavbe, dlžník má primerané ochranné opatrenia týkajúce sa dohodnutých špecifikácií, rozpočtu</w:t>
      </w:r>
      <w:r w:rsidR="004F01E9">
        <w:rPr>
          <w:noProof/>
        </w:rPr>
        <w:t xml:space="preserve"> a </w:t>
      </w:r>
      <w:r w:rsidRPr="004F01E9">
        <w:rPr>
          <w:noProof/>
        </w:rPr>
        <w:t>dátumu dokončenia aktíva vrátane silných záruk dokončenia alebo zapojenia skúseného stavebníka</w:t>
      </w:r>
      <w:r w:rsidR="004F01E9">
        <w:rPr>
          <w:noProof/>
        </w:rPr>
        <w:t xml:space="preserve"> a </w:t>
      </w:r>
      <w:r w:rsidRPr="004F01E9">
        <w:rPr>
          <w:noProof/>
        </w:rPr>
        <w:t>primeraných zmluvných ustanovení</w:t>
      </w:r>
      <w:r w:rsidR="004F01E9">
        <w:rPr>
          <w:noProof/>
        </w:rPr>
        <w:t xml:space="preserve"> o </w:t>
      </w:r>
      <w:r w:rsidRPr="004F01E9">
        <w:rPr>
          <w:noProof/>
        </w:rPr>
        <w:t>náhrade škody;</w:t>
      </w:r>
    </w:p>
    <w:p w14:paraId="5A83A59B" w14:textId="1C7F4A89" w:rsidR="001369D1" w:rsidRPr="004F01E9" w:rsidRDefault="001369D1" w:rsidP="001369D1">
      <w:pPr>
        <w:pStyle w:val="Point2"/>
        <w:rPr>
          <w:noProof/>
        </w:rPr>
      </w:pPr>
      <w:r w:rsidRPr="004F01E9">
        <w:rPr>
          <w:noProof/>
        </w:rPr>
        <w:t>ii)</w:t>
      </w:r>
      <w:r w:rsidRPr="004F01E9">
        <w:rPr>
          <w:noProof/>
        </w:rPr>
        <w:tab/>
        <w:t>100</w:t>
      </w:r>
      <w:r w:rsidR="004F01E9">
        <w:rPr>
          <w:noProof/>
        </w:rPr>
        <w:t> %</w:t>
      </w:r>
      <w:r w:rsidRPr="004F01E9">
        <w:rPr>
          <w:noProof/>
        </w:rPr>
        <w:t>, ak sa expozícia nepovažuje za expozíciu vysokej kvality, ako sa uvádza</w:t>
      </w:r>
      <w:r w:rsidR="004F01E9">
        <w:rPr>
          <w:noProof/>
        </w:rPr>
        <w:t xml:space="preserve"> v </w:t>
      </w:r>
      <w:r w:rsidRPr="004F01E9">
        <w:rPr>
          <w:noProof/>
        </w:rPr>
        <w:t>bode i);</w:t>
      </w:r>
    </w:p>
    <w:p w14:paraId="07751F87" w14:textId="791E1646" w:rsidR="001369D1" w:rsidRPr="004F01E9" w:rsidRDefault="001369D1" w:rsidP="001369D1">
      <w:pPr>
        <w:pStyle w:val="Point1"/>
        <w:rPr>
          <w:noProof/>
        </w:rPr>
      </w:pPr>
      <w:r w:rsidRPr="004F01E9">
        <w:rPr>
          <w:noProof/>
        </w:rPr>
        <w:t>b)</w:t>
      </w:r>
      <w:r w:rsidRPr="004F01E9">
        <w:rPr>
          <w:noProof/>
        </w:rPr>
        <w:tab/>
        <w:t>ak je účelom expozície vo forme špecializovaného financovania zabezpečenie krátkodobého financovania rezerv, zásob alebo pohľadávok komodít obchodovaných na burze vrátane surovej ropy, kovov alebo plodín</w:t>
      </w:r>
      <w:r w:rsidR="004F01E9">
        <w:rPr>
          <w:noProof/>
        </w:rPr>
        <w:t xml:space="preserve"> a </w:t>
      </w:r>
      <w:r w:rsidRPr="004F01E9">
        <w:rPr>
          <w:noProof/>
        </w:rPr>
        <w:t>príjem</w:t>
      </w:r>
      <w:r w:rsidR="004F01E9">
        <w:rPr>
          <w:noProof/>
        </w:rPr>
        <w:t xml:space="preserve"> z </w:t>
      </w:r>
      <w:r w:rsidRPr="004F01E9">
        <w:rPr>
          <w:noProof/>
        </w:rPr>
        <w:t>týchto rezerv, zásob alebo pohľadávok má byť výnosom</w:t>
      </w:r>
      <w:r w:rsidR="004F01E9">
        <w:rPr>
          <w:noProof/>
        </w:rPr>
        <w:t xml:space="preserve"> z </w:t>
      </w:r>
      <w:r w:rsidRPr="004F01E9">
        <w:rPr>
          <w:noProof/>
        </w:rPr>
        <w:t>predaja komodity („expozície spojené</w:t>
      </w:r>
      <w:r w:rsidR="004F01E9">
        <w:rPr>
          <w:noProof/>
        </w:rPr>
        <w:t xml:space="preserve"> s </w:t>
      </w:r>
      <w:r w:rsidRPr="004F01E9">
        <w:rPr>
          <w:noProof/>
        </w:rPr>
        <w:t>financovaním komodít“), inštitúcie uplatňujú rizikovú váhu 100</w:t>
      </w:r>
      <w:r w:rsidR="004F01E9">
        <w:rPr>
          <w:noProof/>
        </w:rPr>
        <w:t> %</w:t>
      </w:r>
      <w:r w:rsidRPr="004F01E9">
        <w:rPr>
          <w:noProof/>
        </w:rPr>
        <w:t>;</w:t>
      </w:r>
    </w:p>
    <w:p w14:paraId="6D7388DE" w14:textId="4C837725" w:rsidR="00806B81" w:rsidRPr="004F01E9" w:rsidRDefault="001369D1" w:rsidP="001369D1">
      <w:pPr>
        <w:pStyle w:val="Point1"/>
        <w:rPr>
          <w:noProof/>
        </w:rPr>
      </w:pPr>
      <w:r w:rsidRPr="004F01E9">
        <w:rPr>
          <w:noProof/>
        </w:rPr>
        <w:t>c)</w:t>
      </w:r>
      <w:r w:rsidRPr="004F01E9">
        <w:rPr>
          <w:noProof/>
        </w:rPr>
        <w:tab/>
        <w:t>ak je účelom expozície špecializovaného financovania financovanie projektu výstavby alebo nadobudnutia veľkých, komplexných</w:t>
      </w:r>
      <w:r w:rsidR="004F01E9">
        <w:rPr>
          <w:noProof/>
        </w:rPr>
        <w:t xml:space="preserve"> a </w:t>
      </w:r>
      <w:r w:rsidRPr="004F01E9">
        <w:rPr>
          <w:noProof/>
        </w:rPr>
        <w:t>drahých zariadení vrátane elektrární, chemických spracovateľských závodov, baní, dopravnej infraštruktúry, environmentálnej</w:t>
      </w:r>
      <w:r w:rsidR="004F01E9">
        <w:rPr>
          <w:noProof/>
        </w:rPr>
        <w:t xml:space="preserve"> a </w:t>
      </w:r>
      <w:r w:rsidRPr="004F01E9">
        <w:rPr>
          <w:noProof/>
        </w:rPr>
        <w:t>telekomunikačnej infraštruktúry</w:t>
      </w:r>
      <w:r w:rsidR="004F01E9">
        <w:rPr>
          <w:noProof/>
        </w:rPr>
        <w:t xml:space="preserve"> a </w:t>
      </w:r>
      <w:r w:rsidRPr="004F01E9">
        <w:rPr>
          <w:noProof/>
        </w:rPr>
        <w:t>príjem, ktorý má projekt generovať, sú peniaze generované zmluvami</w:t>
      </w:r>
      <w:r w:rsidR="004F01E9">
        <w:rPr>
          <w:noProof/>
        </w:rPr>
        <w:t xml:space="preserve"> o </w:t>
      </w:r>
      <w:r w:rsidRPr="004F01E9">
        <w:rPr>
          <w:noProof/>
        </w:rPr>
        <w:t>výstupe zariadenia získaného od jednej alebo viacerých strán, ktoré nie sú pod kontrolou sponzora („expozície spojené</w:t>
      </w:r>
      <w:r w:rsidR="004F01E9">
        <w:rPr>
          <w:noProof/>
        </w:rPr>
        <w:t xml:space="preserve"> s </w:t>
      </w:r>
      <w:r w:rsidRPr="004F01E9">
        <w:rPr>
          <w:noProof/>
        </w:rPr>
        <w:t>financovaním projektov“), inštitúcie uplatňujú tieto rizikové váhy:</w:t>
      </w:r>
    </w:p>
    <w:p w14:paraId="4BAE3F39" w14:textId="268C1972" w:rsidR="001369D1" w:rsidRPr="004F01E9" w:rsidRDefault="001369D1" w:rsidP="001369D1">
      <w:pPr>
        <w:pStyle w:val="Point2"/>
        <w:rPr>
          <w:noProof/>
        </w:rPr>
      </w:pPr>
      <w:r w:rsidRPr="004F01E9">
        <w:rPr>
          <w:noProof/>
        </w:rPr>
        <w:t>i)</w:t>
      </w:r>
      <w:r w:rsidRPr="004F01E9">
        <w:rPr>
          <w:noProof/>
        </w:rPr>
        <w:tab/>
        <w:t>130</w:t>
      </w:r>
      <w:r w:rsidR="004F01E9">
        <w:rPr>
          <w:noProof/>
        </w:rPr>
        <w:t> %</w:t>
      </w:r>
      <w:r w:rsidRPr="004F01E9">
        <w:rPr>
          <w:noProof/>
        </w:rPr>
        <w:t>, ak je projekt,</w:t>
      </w:r>
      <w:r w:rsidR="004F01E9">
        <w:rPr>
          <w:noProof/>
        </w:rPr>
        <w:t xml:space="preserve"> s </w:t>
      </w:r>
      <w:r w:rsidRPr="004F01E9">
        <w:rPr>
          <w:noProof/>
        </w:rPr>
        <w:t>ktorým expozícia súvisí,</w:t>
      </w:r>
      <w:r w:rsidR="004F01E9">
        <w:rPr>
          <w:noProof/>
        </w:rPr>
        <w:t xml:space="preserve"> v </w:t>
      </w:r>
      <w:r w:rsidRPr="004F01E9">
        <w:rPr>
          <w:noProof/>
        </w:rPr>
        <w:t>predoperačnej fáze;</w:t>
      </w:r>
    </w:p>
    <w:p w14:paraId="68C78982" w14:textId="3FDC63AC" w:rsidR="00806B81" w:rsidRPr="004F01E9" w:rsidRDefault="001369D1" w:rsidP="001369D1">
      <w:pPr>
        <w:pStyle w:val="Point2"/>
        <w:rPr>
          <w:noProof/>
        </w:rPr>
      </w:pPr>
      <w:r w:rsidRPr="004F01E9">
        <w:rPr>
          <w:noProof/>
        </w:rPr>
        <w:t>ii)</w:t>
      </w:r>
      <w:r w:rsidRPr="004F01E9">
        <w:rPr>
          <w:noProof/>
        </w:rPr>
        <w:tab/>
        <w:t>za predpokladu, že sa neuplatňuje úprava požiadaviek na vlastné zdroje pre kreditné riziko uvedená</w:t>
      </w:r>
      <w:r w:rsidR="004F01E9">
        <w:rPr>
          <w:noProof/>
        </w:rPr>
        <w:t xml:space="preserve"> v </w:t>
      </w:r>
      <w:r w:rsidRPr="004F01E9">
        <w:rPr>
          <w:noProof/>
        </w:rPr>
        <w:t>článku 501a, 80</w:t>
      </w:r>
      <w:r w:rsidR="004F01E9">
        <w:rPr>
          <w:noProof/>
        </w:rPr>
        <w:t> %</w:t>
      </w:r>
      <w:r w:rsidRPr="004F01E9">
        <w:rPr>
          <w:noProof/>
        </w:rPr>
        <w:t>, ak je projekt,</w:t>
      </w:r>
      <w:r w:rsidR="004F01E9">
        <w:rPr>
          <w:noProof/>
        </w:rPr>
        <w:t xml:space="preserve"> s </w:t>
      </w:r>
      <w:r w:rsidRPr="004F01E9">
        <w:rPr>
          <w:noProof/>
        </w:rPr>
        <w:t>ktorým expozícia súvisí,</w:t>
      </w:r>
      <w:r w:rsidR="004F01E9">
        <w:rPr>
          <w:noProof/>
        </w:rPr>
        <w:t xml:space="preserve"> v </w:t>
      </w:r>
      <w:r w:rsidRPr="004F01E9">
        <w:rPr>
          <w:noProof/>
        </w:rPr>
        <w:t>operačnej fáze</w:t>
      </w:r>
      <w:r w:rsidR="004F01E9">
        <w:rPr>
          <w:noProof/>
        </w:rPr>
        <w:t xml:space="preserve"> a </w:t>
      </w:r>
      <w:r w:rsidRPr="004F01E9">
        <w:rPr>
          <w:noProof/>
        </w:rPr>
        <w:t>expozícia spĺňa všetky tieto kritériá:</w:t>
      </w:r>
    </w:p>
    <w:p w14:paraId="0ABEB690" w14:textId="77777777" w:rsidR="00806B81" w:rsidRPr="004F01E9" w:rsidRDefault="001369D1" w:rsidP="001369D1">
      <w:pPr>
        <w:pStyle w:val="Tiret3"/>
        <w:rPr>
          <w:noProof/>
        </w:rPr>
      </w:pPr>
      <w:r w:rsidRPr="004F01E9">
        <w:rPr>
          <w:noProof/>
        </w:rPr>
        <w:t>existujú zmluvné obmedzenia schopnosti dlžníka vykonávať činnosti, ktoré môžu poškodzovať veriteľov, vrátane obmedzenia, že nový dlh nemožno vydať bez súhlasu existujúcich veriteľov,</w:t>
      </w:r>
    </w:p>
    <w:p w14:paraId="430A93E7" w14:textId="4BD28C07" w:rsidR="00806B81" w:rsidRPr="004F01E9" w:rsidRDefault="001369D1" w:rsidP="001369D1">
      <w:pPr>
        <w:pStyle w:val="Tiret3"/>
        <w:rPr>
          <w:noProof/>
        </w:rPr>
      </w:pPr>
      <w:r w:rsidRPr="004F01E9">
        <w:rPr>
          <w:noProof/>
        </w:rPr>
        <w:t>dlžník má dostatočné rezervné fondy plne financované</w:t>
      </w:r>
      <w:r w:rsidR="004F01E9">
        <w:rPr>
          <w:noProof/>
        </w:rPr>
        <w:t xml:space="preserve"> v </w:t>
      </w:r>
      <w:r w:rsidRPr="004F01E9">
        <w:rPr>
          <w:noProof/>
        </w:rPr>
        <w:t>hotovosti alebo iné finančné mechanizmy</w:t>
      </w:r>
      <w:r w:rsidR="004F01E9">
        <w:rPr>
          <w:noProof/>
        </w:rPr>
        <w:t xml:space="preserve"> s </w:t>
      </w:r>
      <w:r w:rsidRPr="004F01E9">
        <w:rPr>
          <w:noProof/>
        </w:rPr>
        <w:t>ručiteľmi</w:t>
      </w:r>
      <w:r w:rsidR="004F01E9">
        <w:rPr>
          <w:noProof/>
        </w:rPr>
        <w:t xml:space="preserve"> s </w:t>
      </w:r>
      <w:r w:rsidRPr="004F01E9">
        <w:rPr>
          <w:noProof/>
        </w:rPr>
        <w:t>vysokým ratingom na krytie pohotovostného financovania</w:t>
      </w:r>
      <w:r w:rsidR="004F01E9">
        <w:rPr>
          <w:noProof/>
        </w:rPr>
        <w:t xml:space="preserve"> a </w:t>
      </w:r>
      <w:r w:rsidRPr="004F01E9">
        <w:rPr>
          <w:noProof/>
        </w:rPr>
        <w:t>požiadaviek na prevádzkový kapitál počas celej existencie financovaného projektu,</w:t>
      </w:r>
    </w:p>
    <w:p w14:paraId="2BB87F33" w14:textId="70593458" w:rsidR="001369D1" w:rsidRPr="004F01E9" w:rsidRDefault="001369D1" w:rsidP="001369D1">
      <w:pPr>
        <w:pStyle w:val="Tiret3"/>
        <w:rPr>
          <w:noProof/>
        </w:rPr>
      </w:pPr>
      <w:r w:rsidRPr="004F01E9">
        <w:rPr>
          <w:noProof/>
        </w:rPr>
        <w:t>dlžník generuje peňažné toky, ktoré sú predvídateľné</w:t>
      </w:r>
      <w:r w:rsidR="004F01E9">
        <w:rPr>
          <w:noProof/>
        </w:rPr>
        <w:t xml:space="preserve"> a </w:t>
      </w:r>
      <w:r w:rsidRPr="004F01E9">
        <w:rPr>
          <w:noProof/>
        </w:rPr>
        <w:t>pokrýva všetky budúce splátky úverov,</w:t>
      </w:r>
    </w:p>
    <w:p w14:paraId="5FF48258" w14:textId="3227E4B3" w:rsidR="001369D1" w:rsidRPr="004F01E9" w:rsidRDefault="001369D1" w:rsidP="001369D1">
      <w:pPr>
        <w:pStyle w:val="Tiret3"/>
        <w:rPr>
          <w:noProof/>
        </w:rPr>
      </w:pPr>
      <w:r w:rsidRPr="004F01E9">
        <w:rPr>
          <w:noProof/>
        </w:rPr>
        <w:t>zdroj splatenia záväzku závisí od jednej hlavnej protistrany</w:t>
      </w:r>
      <w:r w:rsidR="004F01E9">
        <w:rPr>
          <w:noProof/>
        </w:rPr>
        <w:t xml:space="preserve"> a </w:t>
      </w:r>
      <w:r w:rsidRPr="004F01E9">
        <w:rPr>
          <w:noProof/>
        </w:rPr>
        <w:t>táto hlavná protistrana je jednou</w:t>
      </w:r>
      <w:r w:rsidR="004F01E9">
        <w:rPr>
          <w:noProof/>
        </w:rPr>
        <w:t xml:space="preserve"> z </w:t>
      </w:r>
      <w:r w:rsidRPr="004F01E9">
        <w:rPr>
          <w:noProof/>
        </w:rPr>
        <w:t>týchto subjektov:</w:t>
      </w:r>
    </w:p>
    <w:p w14:paraId="42395A5D" w14:textId="6BCB2842" w:rsidR="001369D1" w:rsidRPr="004F01E9" w:rsidRDefault="001369D1" w:rsidP="001369D1">
      <w:pPr>
        <w:pStyle w:val="Bullet4"/>
        <w:rPr>
          <w:noProof/>
        </w:rPr>
      </w:pPr>
      <w:r w:rsidRPr="004F01E9">
        <w:rPr>
          <w:noProof/>
        </w:rPr>
        <w:t>centrálna banka, ústredná vláda, regionálna vláda alebo miestny orgán za predpokladu, že sa im priradí riziková váha 0</w:t>
      </w:r>
      <w:r w:rsidR="004F01E9">
        <w:rPr>
          <w:noProof/>
        </w:rPr>
        <w:t> %</w:t>
      </w:r>
      <w:r w:rsidRPr="004F01E9">
        <w:rPr>
          <w:noProof/>
        </w:rPr>
        <w:t xml:space="preserve"> podľa článkov 114</w:t>
      </w:r>
      <w:r w:rsidR="004F01E9">
        <w:rPr>
          <w:noProof/>
        </w:rPr>
        <w:t xml:space="preserve"> a </w:t>
      </w:r>
      <w:r w:rsidRPr="004F01E9">
        <w:rPr>
          <w:noProof/>
        </w:rPr>
        <w:t>115 alebo sa im udelí rating ECAI so stupňom kreditnej kvality minimálne 3,</w:t>
      </w:r>
    </w:p>
    <w:p w14:paraId="2D4C66F2" w14:textId="4EBFD876" w:rsidR="001369D1" w:rsidRPr="004F01E9" w:rsidRDefault="001369D1" w:rsidP="001369D1">
      <w:pPr>
        <w:pStyle w:val="Bullet4"/>
        <w:rPr>
          <w:noProof/>
        </w:rPr>
      </w:pPr>
      <w:r w:rsidRPr="004F01E9">
        <w:rPr>
          <w:noProof/>
        </w:rPr>
        <w:t>subjekt verejného sektora za predpokladu, že sa mu priradí riziková váha 20</w:t>
      </w:r>
      <w:r w:rsidR="004F01E9">
        <w:rPr>
          <w:noProof/>
        </w:rPr>
        <w:t> %</w:t>
      </w:r>
      <w:r w:rsidRPr="004F01E9">
        <w:rPr>
          <w:noProof/>
        </w:rPr>
        <w:t xml:space="preserve"> alebo menej podľa článku 116 alebo sa mu udelí rating ECAI so stupňom kreditnej kvality minimálne 3,</w:t>
      </w:r>
      <w:bookmarkStart w:id="2" w:name="OLE_LINK1"/>
      <w:bookmarkEnd w:id="2"/>
    </w:p>
    <w:p w14:paraId="67161E7D" w14:textId="77777777" w:rsidR="001369D1" w:rsidRPr="004F01E9" w:rsidRDefault="001369D1" w:rsidP="001369D1">
      <w:pPr>
        <w:pStyle w:val="Bullet4"/>
        <w:rPr>
          <w:noProof/>
        </w:rPr>
      </w:pPr>
      <w:r w:rsidRPr="004F01E9">
        <w:rPr>
          <w:noProof/>
        </w:rPr>
        <w:t>podnikateľský subjekt, ktorému bol udelený rating od ECAI so stupňom kreditnej kvality minimálne 3.</w:t>
      </w:r>
    </w:p>
    <w:p w14:paraId="569C93AD" w14:textId="128CC97C" w:rsidR="001369D1" w:rsidRPr="004F01E9" w:rsidRDefault="001369D1" w:rsidP="001369D1">
      <w:pPr>
        <w:pStyle w:val="Tiret3"/>
        <w:rPr>
          <w:noProof/>
        </w:rPr>
      </w:pPr>
      <w:r w:rsidRPr="004F01E9">
        <w:rPr>
          <w:noProof/>
        </w:rPr>
        <w:t>zmluvné ustanovenia upravujúce expozíciu voči dlžníkovi poskytujú požičiavajúcej inštitúcii</w:t>
      </w:r>
      <w:r w:rsidR="004F01E9">
        <w:rPr>
          <w:noProof/>
        </w:rPr>
        <w:t xml:space="preserve"> v </w:t>
      </w:r>
      <w:r w:rsidRPr="004F01E9">
        <w:rPr>
          <w:noProof/>
        </w:rPr>
        <w:t>prípade zlyhania dlžníka vysoký stupeň ochrany,</w:t>
      </w:r>
    </w:p>
    <w:p w14:paraId="4FDA2DC3" w14:textId="14979E9E" w:rsidR="001369D1" w:rsidRPr="004F01E9" w:rsidRDefault="001369D1" w:rsidP="001369D1">
      <w:pPr>
        <w:pStyle w:val="Tiret3"/>
        <w:rPr>
          <w:noProof/>
        </w:rPr>
      </w:pPr>
      <w:r w:rsidRPr="004F01E9">
        <w:rPr>
          <w:noProof/>
        </w:rPr>
        <w:t>zmluvné dojednania účinne chránia požičiavajúcu inštitúciu pred stratami vyplývajúcimi</w:t>
      </w:r>
      <w:r w:rsidR="004F01E9">
        <w:rPr>
          <w:noProof/>
        </w:rPr>
        <w:t xml:space="preserve"> z </w:t>
      </w:r>
      <w:r w:rsidRPr="004F01E9">
        <w:rPr>
          <w:noProof/>
        </w:rPr>
        <w:t>ukončenia projektu,</w:t>
      </w:r>
    </w:p>
    <w:p w14:paraId="43D5B0AC" w14:textId="0F665E0A" w:rsidR="00806B81" w:rsidRPr="004F01E9" w:rsidRDefault="001369D1" w:rsidP="001369D1">
      <w:pPr>
        <w:pStyle w:val="Tiret3"/>
        <w:rPr>
          <w:noProof/>
        </w:rPr>
      </w:pPr>
      <w:r w:rsidRPr="004F01E9">
        <w:rPr>
          <w:noProof/>
        </w:rPr>
        <w:t>všetky aktíva</w:t>
      </w:r>
      <w:r w:rsidR="004F01E9">
        <w:rPr>
          <w:noProof/>
        </w:rPr>
        <w:t xml:space="preserve"> a </w:t>
      </w:r>
      <w:r w:rsidRPr="004F01E9">
        <w:rPr>
          <w:noProof/>
        </w:rPr>
        <w:t>zmluvy potrebné na prevádzku projektu boli založené</w:t>
      </w:r>
      <w:r w:rsidR="004F01E9">
        <w:rPr>
          <w:noProof/>
        </w:rPr>
        <w:t xml:space="preserve"> v </w:t>
      </w:r>
      <w:r w:rsidRPr="004F01E9">
        <w:rPr>
          <w:noProof/>
        </w:rPr>
        <w:t>prospech požičiavajúcej inštitúcie</w:t>
      </w:r>
      <w:r w:rsidR="004F01E9">
        <w:rPr>
          <w:noProof/>
        </w:rPr>
        <w:t xml:space="preserve"> v </w:t>
      </w:r>
      <w:r w:rsidRPr="004F01E9">
        <w:rPr>
          <w:noProof/>
        </w:rPr>
        <w:t>rozsahu povolenom uplatniteľným právom,</w:t>
      </w:r>
    </w:p>
    <w:p w14:paraId="1073C5F5" w14:textId="26BDDB60" w:rsidR="001369D1" w:rsidRPr="004F01E9" w:rsidRDefault="001369D1" w:rsidP="001369D1">
      <w:pPr>
        <w:pStyle w:val="Tiret3"/>
        <w:rPr>
          <w:noProof/>
        </w:rPr>
      </w:pPr>
      <w:r w:rsidRPr="004F01E9">
        <w:rPr>
          <w:noProof/>
        </w:rPr>
        <w:t>vlastné imanie je založené</w:t>
      </w:r>
      <w:r w:rsidR="004F01E9">
        <w:rPr>
          <w:noProof/>
        </w:rPr>
        <w:t xml:space="preserve"> v </w:t>
      </w:r>
      <w:r w:rsidRPr="004F01E9">
        <w:rPr>
          <w:noProof/>
        </w:rPr>
        <w:t>prospech požičiavajúcej inštitúcie tak, aby boli schopní prevziať kontrolu nad subjektom dlžníka pri zlyhaní;</w:t>
      </w:r>
    </w:p>
    <w:p w14:paraId="2292710E" w14:textId="1CC16ED7" w:rsidR="00806B81" w:rsidRPr="004F01E9" w:rsidRDefault="001369D1" w:rsidP="001369D1">
      <w:pPr>
        <w:pStyle w:val="Point2"/>
        <w:rPr>
          <w:noProof/>
        </w:rPr>
      </w:pPr>
      <w:r w:rsidRPr="004F01E9">
        <w:rPr>
          <w:noProof/>
        </w:rPr>
        <w:t>iii)</w:t>
      </w:r>
      <w:r w:rsidRPr="004F01E9">
        <w:rPr>
          <w:noProof/>
        </w:rPr>
        <w:tab/>
        <w:t>100</w:t>
      </w:r>
      <w:r w:rsidR="004F01E9">
        <w:rPr>
          <w:noProof/>
        </w:rPr>
        <w:t> %</w:t>
      </w:r>
      <w:r w:rsidRPr="004F01E9">
        <w:rPr>
          <w:noProof/>
        </w:rPr>
        <w:t>, ak je projekt,</w:t>
      </w:r>
      <w:r w:rsidR="004F01E9">
        <w:rPr>
          <w:noProof/>
        </w:rPr>
        <w:t xml:space="preserve"> s </w:t>
      </w:r>
      <w:r w:rsidRPr="004F01E9">
        <w:rPr>
          <w:noProof/>
        </w:rPr>
        <w:t>ktorým expozícia súvisí,</w:t>
      </w:r>
      <w:r w:rsidR="004F01E9">
        <w:rPr>
          <w:noProof/>
        </w:rPr>
        <w:t xml:space="preserve"> v </w:t>
      </w:r>
      <w:r w:rsidRPr="004F01E9">
        <w:rPr>
          <w:noProof/>
        </w:rPr>
        <w:t>operačnej fáze</w:t>
      </w:r>
      <w:r w:rsidR="004F01E9">
        <w:rPr>
          <w:noProof/>
        </w:rPr>
        <w:t xml:space="preserve"> a </w:t>
      </w:r>
      <w:r w:rsidRPr="004F01E9">
        <w:rPr>
          <w:noProof/>
        </w:rPr>
        <w:t>expozícia nespĺňa podmienky stanovené</w:t>
      </w:r>
      <w:r w:rsidR="004F01E9">
        <w:rPr>
          <w:noProof/>
        </w:rPr>
        <w:t xml:space="preserve"> v </w:t>
      </w:r>
      <w:r w:rsidRPr="004F01E9">
        <w:rPr>
          <w:noProof/>
        </w:rPr>
        <w:t>bode ii) tohto pododseku;</w:t>
      </w:r>
    </w:p>
    <w:p w14:paraId="2E765120" w14:textId="76B5412E" w:rsidR="001369D1" w:rsidRPr="004F01E9" w:rsidRDefault="001369D1" w:rsidP="001369D1">
      <w:pPr>
        <w:pStyle w:val="Point1"/>
        <w:rPr>
          <w:noProof/>
        </w:rPr>
      </w:pPr>
      <w:r w:rsidRPr="004F01E9">
        <w:rPr>
          <w:noProof/>
        </w:rPr>
        <w:t>d)</w:t>
      </w:r>
      <w:r w:rsidRPr="004F01E9">
        <w:rPr>
          <w:noProof/>
        </w:rPr>
        <w:tab/>
        <w:t>na účely písmena c) bodu ii) tretej zarážky sa generované peňažné toky nepovažujú za predvídateľné, pokiaľ podstatná časť príjmov nespĺňa jednu alebo viac týchto podmienok:</w:t>
      </w:r>
    </w:p>
    <w:p w14:paraId="0C12F313" w14:textId="4247A2C4" w:rsidR="001369D1" w:rsidRPr="004F01E9" w:rsidRDefault="001369D1" w:rsidP="001369D1">
      <w:pPr>
        <w:pStyle w:val="Point2"/>
        <w:rPr>
          <w:noProof/>
        </w:rPr>
      </w:pPr>
      <w:r w:rsidRPr="004F01E9">
        <w:rPr>
          <w:noProof/>
        </w:rPr>
        <w:t>i)</w:t>
      </w:r>
      <w:r w:rsidRPr="004F01E9">
        <w:rPr>
          <w:noProof/>
        </w:rPr>
        <w:tab/>
        <w:t>ide</w:t>
      </w:r>
      <w:r w:rsidR="004F01E9">
        <w:rPr>
          <w:noProof/>
        </w:rPr>
        <w:t xml:space="preserve"> o </w:t>
      </w:r>
      <w:r w:rsidRPr="004F01E9">
        <w:rPr>
          <w:noProof/>
        </w:rPr>
        <w:t>príjmy na základe dostupnosti;</w:t>
      </w:r>
    </w:p>
    <w:p w14:paraId="4E03C717" w14:textId="77777777" w:rsidR="001369D1" w:rsidRPr="004F01E9" w:rsidRDefault="001369D1" w:rsidP="001369D1">
      <w:pPr>
        <w:pStyle w:val="Point2"/>
        <w:rPr>
          <w:noProof/>
        </w:rPr>
      </w:pPr>
      <w:r w:rsidRPr="004F01E9">
        <w:rPr>
          <w:noProof/>
        </w:rPr>
        <w:t>ii)</w:t>
      </w:r>
      <w:r w:rsidRPr="004F01E9">
        <w:rPr>
          <w:noProof/>
        </w:rPr>
        <w:tab/>
        <w:t>príjmy podliehajú regulovaniu miery návratnosti;</w:t>
      </w:r>
    </w:p>
    <w:p w14:paraId="01F99720" w14:textId="77777777" w:rsidR="001369D1" w:rsidRPr="004F01E9" w:rsidRDefault="001369D1" w:rsidP="001369D1">
      <w:pPr>
        <w:pStyle w:val="Point2"/>
        <w:rPr>
          <w:noProof/>
        </w:rPr>
      </w:pPr>
      <w:r w:rsidRPr="004F01E9">
        <w:rPr>
          <w:noProof/>
        </w:rPr>
        <w:t>iii)</w:t>
      </w:r>
      <w:r w:rsidRPr="004F01E9">
        <w:rPr>
          <w:noProof/>
        </w:rPr>
        <w:tab/>
        <w:t>na príjmy sa vzťahuje zmluva typu zober alebo zaplať;</w:t>
      </w:r>
    </w:p>
    <w:p w14:paraId="5F274AF7" w14:textId="0B097345" w:rsidR="001369D1" w:rsidRPr="004F01E9" w:rsidRDefault="001369D1" w:rsidP="001369D1">
      <w:pPr>
        <w:pStyle w:val="Point1"/>
        <w:rPr>
          <w:noProof/>
        </w:rPr>
      </w:pPr>
      <w:r w:rsidRPr="004F01E9">
        <w:rPr>
          <w:noProof/>
        </w:rPr>
        <w:t>e)</w:t>
      </w:r>
      <w:r w:rsidRPr="004F01E9">
        <w:rPr>
          <w:noProof/>
        </w:rPr>
        <w:tab/>
        <w:t>na účely písmena c) je operačná fáza fázou,</w:t>
      </w:r>
      <w:r w:rsidR="004F01E9">
        <w:rPr>
          <w:noProof/>
        </w:rPr>
        <w:t xml:space="preserve"> v </w:t>
      </w:r>
      <w:r w:rsidRPr="004F01E9">
        <w:rPr>
          <w:noProof/>
        </w:rPr>
        <w:t>ktorej subjekt, ktorý bol osobitne vytvorený na financovanie projektu, spĺňa obe tieto podmienky:</w:t>
      </w:r>
    </w:p>
    <w:p w14:paraId="0173C33F" w14:textId="77777777" w:rsidR="001369D1" w:rsidRPr="004F01E9" w:rsidRDefault="001369D1" w:rsidP="001369D1">
      <w:pPr>
        <w:pStyle w:val="Point2"/>
        <w:rPr>
          <w:noProof/>
        </w:rPr>
      </w:pPr>
      <w:r w:rsidRPr="004F01E9">
        <w:rPr>
          <w:noProof/>
        </w:rPr>
        <w:t>i)</w:t>
      </w:r>
      <w:r w:rsidRPr="004F01E9">
        <w:rPr>
          <w:noProof/>
        </w:rPr>
        <w:tab/>
        <w:t>subjekt má kladný čistý peňažný tok, ktorý je dostatočný na pokrytie všetkých zostávajúcich zmluvných záväzkov;</w:t>
      </w:r>
    </w:p>
    <w:p w14:paraId="51160660" w14:textId="77777777" w:rsidR="001369D1" w:rsidRPr="004F01E9" w:rsidRDefault="001369D1" w:rsidP="001369D1">
      <w:pPr>
        <w:pStyle w:val="Point2"/>
        <w:rPr>
          <w:noProof/>
        </w:rPr>
      </w:pPr>
      <w:r w:rsidRPr="004F01E9">
        <w:rPr>
          <w:noProof/>
        </w:rPr>
        <w:t>ii)</w:t>
      </w:r>
      <w:r w:rsidRPr="004F01E9">
        <w:rPr>
          <w:noProof/>
        </w:rPr>
        <w:tab/>
        <w:t>subjekt má klesajúci dlhodobý dlh.</w:t>
      </w:r>
    </w:p>
    <w:p w14:paraId="54FF7D72" w14:textId="7C19B99B" w:rsidR="001369D1" w:rsidRPr="004F01E9" w:rsidRDefault="001369D1" w:rsidP="001369D1">
      <w:pPr>
        <w:pStyle w:val="Text1"/>
        <w:rPr>
          <w:noProof/>
        </w:rPr>
      </w:pPr>
      <w:r w:rsidRPr="004F01E9">
        <w:rPr>
          <w:noProof/>
        </w:rPr>
        <w:t>4. EBA vypracuje návrh regulačných technických predpisov,</w:t>
      </w:r>
      <w:r w:rsidR="004F01E9">
        <w:rPr>
          <w:noProof/>
        </w:rPr>
        <w:t xml:space="preserve"> v </w:t>
      </w:r>
      <w:r w:rsidRPr="004F01E9">
        <w:rPr>
          <w:noProof/>
        </w:rPr>
        <w:t>ktorých sa presne stanovia podmienky, za ktorých sú splnené kritériá stanovené</w:t>
      </w:r>
      <w:r w:rsidR="004F01E9">
        <w:rPr>
          <w:noProof/>
        </w:rPr>
        <w:t xml:space="preserve"> v </w:t>
      </w:r>
      <w:r w:rsidRPr="004F01E9">
        <w:rPr>
          <w:noProof/>
        </w:rPr>
        <w:t>odseku 3 písm. a) bode i)</w:t>
      </w:r>
      <w:r w:rsidR="004F01E9">
        <w:rPr>
          <w:noProof/>
        </w:rPr>
        <w:t xml:space="preserve"> a v </w:t>
      </w:r>
      <w:r w:rsidRPr="004F01E9">
        <w:rPr>
          <w:noProof/>
        </w:rPr>
        <w:t>písmene c) bode ii).</w:t>
      </w:r>
    </w:p>
    <w:p w14:paraId="687C6B48" w14:textId="1FC94297" w:rsidR="001369D1" w:rsidRPr="004F01E9" w:rsidRDefault="001369D1" w:rsidP="001369D1">
      <w:pPr>
        <w:pStyle w:val="Text1"/>
        <w:rPr>
          <w:noProof/>
          <w:szCs w:val="20"/>
        </w:rPr>
      </w:pPr>
      <w:r w:rsidRPr="004F01E9">
        <w:rPr>
          <w:noProof/>
        </w:rPr>
        <w:t>EBA predloží Komisii uvedený návrh regulačných technických predpisov do [Úrad pre publikácie, vložte dátum = 1 rok po dátume nadobudnutia účinnosti tohto nariadenia].</w:t>
      </w:r>
    </w:p>
    <w:p w14:paraId="082CA671" w14:textId="0BC74014" w:rsidR="001369D1" w:rsidRPr="004F01E9" w:rsidRDefault="001369D1" w:rsidP="001369D1">
      <w:pPr>
        <w:pStyle w:val="Text1"/>
        <w:rPr>
          <w:noProof/>
          <w:szCs w:val="20"/>
        </w:rPr>
      </w:pPr>
      <w:r w:rsidRPr="004F01E9">
        <w:rPr>
          <w:noProof/>
        </w:rPr>
        <w:t>Na Komisiu sa deleguje právomoc prijať regulačné technické predpisy uvedené</w:t>
      </w:r>
      <w:r w:rsidR="004F01E9">
        <w:rPr>
          <w:noProof/>
        </w:rPr>
        <w:t xml:space="preserve"> v </w:t>
      </w:r>
      <w:r w:rsidRPr="004F01E9">
        <w:rPr>
          <w:noProof/>
        </w:rPr>
        <w:t>prvom pododseku</w:t>
      </w:r>
      <w:r w:rsidR="004F01E9">
        <w:rPr>
          <w:noProof/>
        </w:rPr>
        <w:t xml:space="preserve"> v </w:t>
      </w:r>
      <w:r w:rsidRPr="004F01E9">
        <w:rPr>
          <w:noProof/>
        </w:rPr>
        <w:t>súlade</w:t>
      </w:r>
      <w:r w:rsidR="004F01E9">
        <w:rPr>
          <w:noProof/>
        </w:rPr>
        <w:t xml:space="preserve"> s </w:t>
      </w:r>
      <w:r w:rsidRPr="004F01E9">
        <w:rPr>
          <w:noProof/>
        </w:rPr>
        <w:t xml:space="preserve">článkami 10 až 14 nariadenia (EÚ) </w:t>
      </w:r>
      <w:r w:rsidR="004F01E9">
        <w:rPr>
          <w:noProof/>
        </w:rPr>
        <w:t>č. </w:t>
      </w:r>
      <w:r w:rsidRPr="004F01E9">
        <w:rPr>
          <w:noProof/>
        </w:rPr>
        <w:t>1093/2010.“</w:t>
      </w:r>
    </w:p>
    <w:p w14:paraId="21B0DB1F" w14:textId="24ABE729" w:rsidR="00806B81" w:rsidRPr="004F01E9" w:rsidRDefault="00025CB3" w:rsidP="00025CB3">
      <w:pPr>
        <w:pStyle w:val="Point0"/>
        <w:rPr>
          <w:noProof/>
        </w:rPr>
      </w:pPr>
      <w:r>
        <w:rPr>
          <w:noProof/>
        </w:rPr>
        <w:t>42.</w:t>
      </w:r>
      <w:r>
        <w:rPr>
          <w:noProof/>
        </w:rPr>
        <w:tab/>
      </w:r>
      <w:r w:rsidR="001369D1" w:rsidRPr="004F01E9">
        <w:rPr>
          <w:noProof/>
        </w:rPr>
        <w:t>Článok 123 sa nahrádza takto:</w:t>
      </w:r>
    </w:p>
    <w:p w14:paraId="14D85060" w14:textId="7AE0EB53" w:rsidR="001369D1" w:rsidRPr="004F01E9" w:rsidRDefault="001369D1" w:rsidP="001369D1">
      <w:pPr>
        <w:pStyle w:val="Titrearticle"/>
        <w:spacing w:before="120"/>
        <w:rPr>
          <w:b/>
          <w:i w:val="0"/>
          <w:noProof/>
        </w:rPr>
      </w:pPr>
      <w:r w:rsidRPr="004F01E9">
        <w:rPr>
          <w:noProof/>
        </w:rPr>
        <w:t xml:space="preserve">„Článok 123 </w:t>
      </w:r>
      <w:r w:rsidRPr="004F01E9">
        <w:rPr>
          <w:noProof/>
        </w:rPr>
        <w:br/>
      </w:r>
      <w:r w:rsidRPr="004F01E9">
        <w:rPr>
          <w:b/>
          <w:noProof/>
        </w:rPr>
        <w:t>Retailové expozície</w:t>
      </w:r>
    </w:p>
    <w:p w14:paraId="4990327D" w14:textId="77777777" w:rsidR="001369D1" w:rsidRPr="004F01E9" w:rsidRDefault="001369D1" w:rsidP="001369D1">
      <w:pPr>
        <w:pStyle w:val="Text1"/>
        <w:rPr>
          <w:noProof/>
        </w:rPr>
      </w:pPr>
      <w:r w:rsidRPr="004F01E9">
        <w:rPr>
          <w:noProof/>
        </w:rPr>
        <w:t>1. Za retailové expozície sa považujú expozície, ktoré spĺňajú všetky tieto kritériá:</w:t>
      </w:r>
    </w:p>
    <w:p w14:paraId="3BEDC76B" w14:textId="5AF749CE" w:rsidR="001369D1" w:rsidRPr="004F01E9" w:rsidDel="00426970" w:rsidRDefault="001369D1" w:rsidP="001369D1">
      <w:pPr>
        <w:pStyle w:val="Point1"/>
        <w:rPr>
          <w:noProof/>
        </w:rPr>
      </w:pPr>
      <w:r w:rsidRPr="004F01E9">
        <w:rPr>
          <w:noProof/>
        </w:rPr>
        <w:t>a)</w:t>
      </w:r>
      <w:r w:rsidRPr="004F01E9">
        <w:rPr>
          <w:noProof/>
        </w:rPr>
        <w:tab/>
        <w:t>expozícia je jedna</w:t>
      </w:r>
      <w:r w:rsidR="004F01E9">
        <w:rPr>
          <w:noProof/>
        </w:rPr>
        <w:t xml:space="preserve"> z </w:t>
      </w:r>
      <w:r w:rsidRPr="004F01E9">
        <w:rPr>
          <w:noProof/>
        </w:rPr>
        <w:t>týchto expozícií:</w:t>
      </w:r>
    </w:p>
    <w:p w14:paraId="2C081DD4" w14:textId="77777777" w:rsidR="001369D1" w:rsidRPr="004F01E9" w:rsidRDefault="001369D1" w:rsidP="001369D1">
      <w:pPr>
        <w:pStyle w:val="Point2"/>
        <w:rPr>
          <w:noProof/>
        </w:rPr>
      </w:pPr>
      <w:r w:rsidRPr="004F01E9">
        <w:rPr>
          <w:noProof/>
        </w:rPr>
        <w:t>i)</w:t>
      </w:r>
      <w:r w:rsidRPr="004F01E9">
        <w:rPr>
          <w:noProof/>
        </w:rPr>
        <w:tab/>
        <w:t>expozícia voči jednej alebo viacerým fyzickým osobám;</w:t>
      </w:r>
    </w:p>
    <w:p w14:paraId="4E6D0C35" w14:textId="4AEC5A83" w:rsidR="001369D1" w:rsidRPr="004F01E9" w:rsidRDefault="001369D1" w:rsidP="001369D1">
      <w:pPr>
        <w:pStyle w:val="Point2"/>
        <w:rPr>
          <w:noProof/>
        </w:rPr>
      </w:pPr>
      <w:r w:rsidRPr="004F01E9">
        <w:rPr>
          <w:noProof/>
        </w:rPr>
        <w:t>ii)</w:t>
      </w:r>
      <w:r w:rsidRPr="004F01E9">
        <w:rPr>
          <w:noProof/>
        </w:rPr>
        <w:tab/>
        <w:t>expozícia voči MSP</w:t>
      </w:r>
      <w:r w:rsidR="004F01E9">
        <w:rPr>
          <w:noProof/>
        </w:rPr>
        <w:t xml:space="preserve"> v </w:t>
      </w:r>
      <w:r w:rsidRPr="004F01E9">
        <w:rPr>
          <w:noProof/>
        </w:rPr>
        <w:t>zmysle článku 5 bodu 8, ak celková suma, ktorú dlžník alebo skupina prepojených klientov dlhuje inštitúcii, jej materským spoločnostiam</w:t>
      </w:r>
      <w:r w:rsidR="004F01E9">
        <w:rPr>
          <w:noProof/>
        </w:rPr>
        <w:t xml:space="preserve"> a </w:t>
      </w:r>
      <w:r w:rsidRPr="004F01E9">
        <w:rPr>
          <w:noProof/>
        </w:rPr>
        <w:t>jej dcérskym spoločnostiam, vrátane akejkoľvek expozície</w:t>
      </w:r>
      <w:r w:rsidR="004F01E9">
        <w:rPr>
          <w:noProof/>
        </w:rPr>
        <w:t xml:space="preserve"> v </w:t>
      </w:r>
      <w:r w:rsidRPr="004F01E9">
        <w:rPr>
          <w:noProof/>
        </w:rPr>
        <w:t>stave zlyhania, ale</w:t>
      </w:r>
      <w:r w:rsidR="004F01E9">
        <w:rPr>
          <w:noProof/>
        </w:rPr>
        <w:t xml:space="preserve"> s </w:t>
      </w:r>
      <w:r w:rsidRPr="004F01E9">
        <w:rPr>
          <w:noProof/>
        </w:rPr>
        <w:t>výnimkou expozícií zabezpečených nehnuteľným majetkom určeným na bývanie až do výšky hodnoty majetku, nesmie podľa vedomia inštitúcie, ktorá prijme primerané kroky na potvrdenie tejto situácie, presiahnuť 1 milión EUR;</w:t>
      </w:r>
    </w:p>
    <w:p w14:paraId="487A1DF4" w14:textId="6B3DA954" w:rsidR="001369D1" w:rsidRPr="004F01E9" w:rsidRDefault="001369D1" w:rsidP="001369D1">
      <w:pPr>
        <w:pStyle w:val="Point1"/>
        <w:rPr>
          <w:noProof/>
        </w:rPr>
      </w:pPr>
      <w:r w:rsidRPr="004F01E9">
        <w:rPr>
          <w:noProof/>
        </w:rPr>
        <w:t>b)</w:t>
      </w:r>
      <w:r w:rsidRPr="004F01E9">
        <w:rPr>
          <w:noProof/>
        </w:rPr>
        <w:tab/>
        <w:t>expozícia predstavuje jednu</w:t>
      </w:r>
      <w:r w:rsidR="004F01E9">
        <w:rPr>
          <w:noProof/>
        </w:rPr>
        <w:t xml:space="preserve"> z </w:t>
      </w:r>
      <w:r w:rsidRPr="004F01E9">
        <w:rPr>
          <w:noProof/>
        </w:rPr>
        <w:t>významného počtu expozícií</w:t>
      </w:r>
      <w:r w:rsidR="004F01E9">
        <w:rPr>
          <w:noProof/>
        </w:rPr>
        <w:t xml:space="preserve"> s </w:t>
      </w:r>
      <w:r w:rsidRPr="004F01E9">
        <w:rPr>
          <w:noProof/>
        </w:rPr>
        <w:t>podobnými vlastnosťami, vzhľadom na ktoré sú riziká spojené</w:t>
      </w:r>
      <w:r w:rsidR="004F01E9">
        <w:rPr>
          <w:noProof/>
        </w:rPr>
        <w:t xml:space="preserve"> s </w:t>
      </w:r>
      <w:r w:rsidRPr="004F01E9">
        <w:rPr>
          <w:noProof/>
        </w:rPr>
        <w:t>takouto expozíciou podstatne znížené;</w:t>
      </w:r>
    </w:p>
    <w:p w14:paraId="0FDBE52C" w14:textId="697C73AD" w:rsidR="001369D1" w:rsidRPr="004F01E9" w:rsidRDefault="001369D1" w:rsidP="001369D1">
      <w:pPr>
        <w:pStyle w:val="Point1"/>
        <w:rPr>
          <w:noProof/>
        </w:rPr>
      </w:pPr>
      <w:r w:rsidRPr="004F01E9">
        <w:rPr>
          <w:noProof/>
        </w:rPr>
        <w:t>c)</w:t>
      </w:r>
      <w:r w:rsidRPr="004F01E9">
        <w:rPr>
          <w:noProof/>
        </w:rPr>
        <w:tab/>
        <w:t>dotknutá inštitúcia zaobchádza</w:t>
      </w:r>
      <w:r w:rsidR="004F01E9">
        <w:rPr>
          <w:noProof/>
        </w:rPr>
        <w:t xml:space="preserve"> s </w:t>
      </w:r>
      <w:r w:rsidRPr="004F01E9">
        <w:rPr>
          <w:noProof/>
        </w:rPr>
        <w:t>expozíciou vo svojom rámci riadenia rizík</w:t>
      </w:r>
      <w:r w:rsidR="004F01E9">
        <w:rPr>
          <w:noProof/>
        </w:rPr>
        <w:t xml:space="preserve"> a </w:t>
      </w:r>
      <w:r w:rsidRPr="004F01E9">
        <w:rPr>
          <w:noProof/>
        </w:rPr>
        <w:t>riadi expozíciu interne ako retailovú expozíciu</w:t>
      </w:r>
      <w:r w:rsidR="004F01E9">
        <w:rPr>
          <w:noProof/>
        </w:rPr>
        <w:t xml:space="preserve"> v </w:t>
      </w:r>
      <w:r w:rsidRPr="004F01E9">
        <w:rPr>
          <w:noProof/>
        </w:rPr>
        <w:t>priebehu času konzistentne</w:t>
      </w:r>
      <w:r w:rsidR="004F01E9">
        <w:rPr>
          <w:noProof/>
        </w:rPr>
        <w:t xml:space="preserve"> a </w:t>
      </w:r>
      <w:r w:rsidRPr="004F01E9">
        <w:rPr>
          <w:noProof/>
        </w:rPr>
        <w:t>spôsobom, ktorý je podobný zaobchádzaniu inštitúcie</w:t>
      </w:r>
      <w:r w:rsidR="004F01E9">
        <w:rPr>
          <w:noProof/>
        </w:rPr>
        <w:t xml:space="preserve"> s </w:t>
      </w:r>
      <w:r w:rsidRPr="004F01E9">
        <w:rPr>
          <w:noProof/>
        </w:rPr>
        <w:t>inými retailovými expozíciami.</w:t>
      </w:r>
    </w:p>
    <w:p w14:paraId="769F49FF" w14:textId="0CFB3538" w:rsidR="00806B81" w:rsidRPr="004F01E9" w:rsidRDefault="001369D1" w:rsidP="001369D1">
      <w:pPr>
        <w:pStyle w:val="Text1"/>
        <w:rPr>
          <w:noProof/>
        </w:rPr>
      </w:pPr>
      <w:r w:rsidRPr="004F01E9">
        <w:rPr>
          <w:noProof/>
        </w:rPr>
        <w:t>Súčasná hodnota retailových minimálnych platieb</w:t>
      </w:r>
      <w:r w:rsidR="004F01E9">
        <w:rPr>
          <w:noProof/>
        </w:rPr>
        <w:t xml:space="preserve"> z </w:t>
      </w:r>
      <w:r w:rsidRPr="004F01E9">
        <w:rPr>
          <w:noProof/>
        </w:rPr>
        <w:t>prenájmu musí byť prípustná pre zaradenie do triedy retailových expozícií.</w:t>
      </w:r>
    </w:p>
    <w:p w14:paraId="75848654" w14:textId="5D143F0A" w:rsidR="001369D1" w:rsidRPr="004F01E9" w:rsidRDefault="001369D1" w:rsidP="001369D1">
      <w:pPr>
        <w:pStyle w:val="Text1"/>
        <w:rPr>
          <w:noProof/>
        </w:rPr>
      </w:pPr>
      <w:r w:rsidRPr="004F01E9">
        <w:rPr>
          <w:noProof/>
        </w:rPr>
        <w:t>Orgán EBA vydá do [Úrad pre publikácie, vložte dátum = 1 rok po nadobudnutí účinnosti tohto nariadenia]</w:t>
      </w:r>
      <w:r w:rsidR="004F01E9">
        <w:rPr>
          <w:noProof/>
        </w:rPr>
        <w:t xml:space="preserve"> v </w:t>
      </w:r>
      <w:r w:rsidRPr="004F01E9">
        <w:rPr>
          <w:noProof/>
        </w:rPr>
        <w:t>súlade</w:t>
      </w:r>
      <w:r w:rsidR="004F01E9">
        <w:rPr>
          <w:noProof/>
        </w:rPr>
        <w:t xml:space="preserve"> s </w:t>
      </w:r>
      <w:r w:rsidRPr="004F01E9">
        <w:rPr>
          <w:noProof/>
        </w:rPr>
        <w:t xml:space="preserve">článkom 16 nariadenia (EÚ) </w:t>
      </w:r>
      <w:r w:rsidR="004F01E9">
        <w:rPr>
          <w:noProof/>
        </w:rPr>
        <w:t>č. </w:t>
      </w:r>
      <w:r w:rsidRPr="004F01E9">
        <w:rPr>
          <w:noProof/>
        </w:rPr>
        <w:t>1093/2010 usmernenie</w:t>
      </w:r>
      <w:r w:rsidR="004F01E9">
        <w:rPr>
          <w:noProof/>
        </w:rPr>
        <w:t xml:space="preserve"> s </w:t>
      </w:r>
      <w:r w:rsidRPr="004F01E9">
        <w:rPr>
          <w:noProof/>
        </w:rPr>
        <w:t>cieľom presne stanoviť primerané metódy diverzifikácie, na základe ktorých sa má expozícia považovať za jednu</w:t>
      </w:r>
      <w:r w:rsidR="004F01E9">
        <w:rPr>
          <w:noProof/>
        </w:rPr>
        <w:t xml:space="preserve"> z </w:t>
      </w:r>
      <w:r w:rsidRPr="004F01E9">
        <w:rPr>
          <w:noProof/>
        </w:rPr>
        <w:t>významného počtu podobných expozícií, ako sa uvádza</w:t>
      </w:r>
      <w:r w:rsidR="004F01E9">
        <w:rPr>
          <w:noProof/>
        </w:rPr>
        <w:t xml:space="preserve"> v </w:t>
      </w:r>
      <w:r w:rsidRPr="004F01E9">
        <w:rPr>
          <w:noProof/>
        </w:rPr>
        <w:t>písmene b).</w:t>
      </w:r>
    </w:p>
    <w:p w14:paraId="78223E46" w14:textId="77777777" w:rsidR="001369D1" w:rsidRPr="004F01E9" w:rsidRDefault="001369D1" w:rsidP="001369D1">
      <w:pPr>
        <w:pStyle w:val="Text1"/>
        <w:rPr>
          <w:noProof/>
        </w:rPr>
      </w:pPr>
      <w:r w:rsidRPr="004F01E9">
        <w:rPr>
          <w:noProof/>
        </w:rPr>
        <w:t>2. Za retailové expozície sa nepovažujú tieto expozície:</w:t>
      </w:r>
    </w:p>
    <w:p w14:paraId="54BBFAA4" w14:textId="77777777" w:rsidR="001369D1" w:rsidRPr="004F01E9" w:rsidRDefault="001369D1" w:rsidP="001369D1">
      <w:pPr>
        <w:pStyle w:val="Point1"/>
        <w:rPr>
          <w:noProof/>
        </w:rPr>
      </w:pPr>
      <w:r w:rsidRPr="004F01E9">
        <w:rPr>
          <w:noProof/>
        </w:rPr>
        <w:t>a)</w:t>
      </w:r>
      <w:r w:rsidRPr="004F01E9">
        <w:rPr>
          <w:noProof/>
        </w:rPr>
        <w:tab/>
        <w:t>nedlhové expozície vyjadrujúce podriadenú, zostatkovú pohľadávku voči aktívam alebo príjmu emitenta;</w:t>
      </w:r>
    </w:p>
    <w:p w14:paraId="4A8B3F1E" w14:textId="40266696" w:rsidR="001369D1" w:rsidRPr="004F01E9" w:rsidRDefault="001369D1" w:rsidP="001369D1">
      <w:pPr>
        <w:pStyle w:val="Point1"/>
        <w:rPr>
          <w:noProof/>
        </w:rPr>
      </w:pPr>
      <w:r w:rsidRPr="004F01E9">
        <w:rPr>
          <w:noProof/>
        </w:rPr>
        <w:t>b)</w:t>
      </w:r>
      <w:r w:rsidRPr="004F01E9">
        <w:rPr>
          <w:noProof/>
        </w:rPr>
        <w:tab/>
        <w:t>dlhové expozície</w:t>
      </w:r>
      <w:r w:rsidR="004F01E9">
        <w:rPr>
          <w:noProof/>
        </w:rPr>
        <w:t xml:space="preserve"> a </w:t>
      </w:r>
      <w:r w:rsidRPr="004F01E9">
        <w:rPr>
          <w:noProof/>
        </w:rPr>
        <w:t>iné cenné papiere, partnerstvá, deriváty alebo iné prostriedky, ktorých ekonomický význam je podobný expozíciám uvedeným</w:t>
      </w:r>
      <w:r w:rsidR="004F01E9">
        <w:rPr>
          <w:noProof/>
        </w:rPr>
        <w:t xml:space="preserve"> v </w:t>
      </w:r>
      <w:r w:rsidRPr="004F01E9">
        <w:rPr>
          <w:noProof/>
        </w:rPr>
        <w:t>písmene a);</w:t>
      </w:r>
    </w:p>
    <w:p w14:paraId="5B013E0F" w14:textId="77777777" w:rsidR="001369D1" w:rsidRPr="004F01E9" w:rsidRDefault="001369D1" w:rsidP="001369D1">
      <w:pPr>
        <w:pStyle w:val="Point1"/>
        <w:rPr>
          <w:noProof/>
        </w:rPr>
      </w:pPr>
      <w:r w:rsidRPr="004F01E9">
        <w:rPr>
          <w:noProof/>
        </w:rPr>
        <w:t>c)</w:t>
      </w:r>
      <w:r w:rsidRPr="004F01E9">
        <w:rPr>
          <w:noProof/>
        </w:rPr>
        <w:tab/>
        <w:t>všetky ostatné expozície vo forme cenných papierov.</w:t>
      </w:r>
    </w:p>
    <w:p w14:paraId="59B6AF52" w14:textId="3544C2B3" w:rsidR="001369D1" w:rsidRPr="004F01E9" w:rsidRDefault="001369D1" w:rsidP="001369D1">
      <w:pPr>
        <w:pStyle w:val="Text1"/>
        <w:rPr>
          <w:noProof/>
        </w:rPr>
      </w:pPr>
      <w:r w:rsidRPr="004F01E9">
        <w:rPr>
          <w:noProof/>
        </w:rPr>
        <w:t>3. Retailovým expozíciám uvedeným</w:t>
      </w:r>
      <w:r w:rsidR="004F01E9">
        <w:rPr>
          <w:noProof/>
        </w:rPr>
        <w:t xml:space="preserve"> v </w:t>
      </w:r>
      <w:r w:rsidRPr="004F01E9">
        <w:rPr>
          <w:noProof/>
        </w:rPr>
        <w:t>odseku 1 sa priraďuje riziková váha 75</w:t>
      </w:r>
      <w:r w:rsidR="004F01E9">
        <w:rPr>
          <w:noProof/>
        </w:rPr>
        <w:t> % s </w:t>
      </w:r>
      <w:r w:rsidRPr="004F01E9">
        <w:rPr>
          <w:noProof/>
        </w:rPr>
        <w:t>výnimkou expozícií voči transakčnému partnerovi, ktorým sa priraďuje riziková váha 45</w:t>
      </w:r>
      <w:r w:rsidR="004F01E9">
        <w:rPr>
          <w:noProof/>
        </w:rPr>
        <w:t> %</w:t>
      </w:r>
      <w:r w:rsidRPr="004F01E9">
        <w:rPr>
          <w:noProof/>
        </w:rPr>
        <w:t>.</w:t>
      </w:r>
    </w:p>
    <w:p w14:paraId="606EBA48" w14:textId="314199B7" w:rsidR="00806B81" w:rsidRPr="004F01E9" w:rsidRDefault="001369D1" w:rsidP="001369D1">
      <w:pPr>
        <w:pStyle w:val="Text1"/>
        <w:rPr>
          <w:noProof/>
        </w:rPr>
      </w:pPr>
      <w:r w:rsidRPr="004F01E9">
        <w:rPr>
          <w:noProof/>
        </w:rPr>
        <w:t>4. Expozíciám</w:t>
      </w:r>
      <w:r w:rsidR="004F01E9">
        <w:rPr>
          <w:noProof/>
        </w:rPr>
        <w:t xml:space="preserve"> v </w:t>
      </w:r>
      <w:r w:rsidRPr="004F01E9">
        <w:rPr>
          <w:noProof/>
        </w:rPr>
        <w:t>dôsledku úverov, ktoré inštitúcia poskytla dôchodcom alebo zamestnancom</w:t>
      </w:r>
      <w:r w:rsidR="004F01E9">
        <w:rPr>
          <w:noProof/>
        </w:rPr>
        <w:t xml:space="preserve"> s </w:t>
      </w:r>
      <w:r w:rsidRPr="004F01E9">
        <w:rPr>
          <w:noProof/>
        </w:rPr>
        <w:t>trvalou pracovnou zmluvou výmenou za bezpodmienečný prevod časti dôchodku dlžníka alebo platu uvedenej inštitúcii, sa odchylne od odseku 3 priraďuje riziková váha 35</w:t>
      </w:r>
      <w:r w:rsidR="004F01E9">
        <w:rPr>
          <w:noProof/>
        </w:rPr>
        <w:t> %</w:t>
      </w:r>
      <w:r w:rsidRPr="004F01E9">
        <w:rPr>
          <w:noProof/>
        </w:rPr>
        <w:t xml:space="preserve"> za predpokladu, že sú splnené všetky tieto podmienky:</w:t>
      </w:r>
    </w:p>
    <w:p w14:paraId="30C54C2A" w14:textId="77777777" w:rsidR="00806B81" w:rsidRPr="004F01E9" w:rsidRDefault="001369D1" w:rsidP="001369D1">
      <w:pPr>
        <w:pStyle w:val="Point1"/>
        <w:rPr>
          <w:noProof/>
        </w:rPr>
      </w:pPr>
      <w:r w:rsidRPr="004F01E9">
        <w:rPr>
          <w:noProof/>
        </w:rPr>
        <w:t>a)</w:t>
      </w:r>
      <w:r w:rsidRPr="004F01E9">
        <w:rPr>
          <w:noProof/>
        </w:rPr>
        <w:tab/>
        <w:t>dlžník na to, aby splatil úver, bezpodmienečne povolí dôchodkovému fondu alebo zamestnávateľovi vykonávať priame platby inštitúcii odpočítaním mesačných splátok úveru od mesačného dôchodku alebo platu dlžníka;</w:t>
      </w:r>
    </w:p>
    <w:p w14:paraId="046B2641" w14:textId="72BBDEE2" w:rsidR="00806B81" w:rsidRPr="004F01E9" w:rsidRDefault="001369D1" w:rsidP="001369D1">
      <w:pPr>
        <w:pStyle w:val="Point1"/>
        <w:rPr>
          <w:noProof/>
        </w:rPr>
      </w:pPr>
      <w:r w:rsidRPr="004F01E9">
        <w:rPr>
          <w:noProof/>
        </w:rPr>
        <w:t>b)</w:t>
      </w:r>
      <w:r w:rsidRPr="004F01E9">
        <w:rPr>
          <w:noProof/>
        </w:rPr>
        <w:tab/>
        <w:t>riziká úmrtia, práceneschopnosti, nezamestnanosti alebo zníženia čistého mesačného dôchodku alebo platu dlžníka boli riadne pokryté prostredníctvom poistnej zmluvy</w:t>
      </w:r>
      <w:r w:rsidR="004F01E9">
        <w:rPr>
          <w:noProof/>
        </w:rPr>
        <w:t xml:space="preserve"> v </w:t>
      </w:r>
      <w:r w:rsidRPr="004F01E9">
        <w:rPr>
          <w:noProof/>
        </w:rPr>
        <w:t>prospech inštitúcie;</w:t>
      </w:r>
    </w:p>
    <w:p w14:paraId="6061FA67" w14:textId="359D1E90" w:rsidR="00806B81" w:rsidRPr="004F01E9" w:rsidRDefault="001369D1" w:rsidP="001369D1">
      <w:pPr>
        <w:pStyle w:val="Point1"/>
        <w:rPr>
          <w:noProof/>
        </w:rPr>
      </w:pPr>
      <w:r w:rsidRPr="004F01E9">
        <w:rPr>
          <w:noProof/>
        </w:rPr>
        <w:t>c)</w:t>
      </w:r>
      <w:r w:rsidRPr="004F01E9">
        <w:rPr>
          <w:noProof/>
        </w:rPr>
        <w:tab/>
        <w:t>mesačné platby, ktoré má dlžník zaplatiť, týkajúce sa všetkých úverov, ktoré spĺňajú podmienky stanovené</w:t>
      </w:r>
      <w:r w:rsidR="004F01E9">
        <w:rPr>
          <w:noProof/>
        </w:rPr>
        <w:t xml:space="preserve"> v </w:t>
      </w:r>
      <w:r w:rsidRPr="004F01E9">
        <w:rPr>
          <w:noProof/>
        </w:rPr>
        <w:t>písmenách a)</w:t>
      </w:r>
      <w:r w:rsidR="004F01E9">
        <w:rPr>
          <w:noProof/>
        </w:rPr>
        <w:t xml:space="preserve"> a </w:t>
      </w:r>
      <w:r w:rsidRPr="004F01E9">
        <w:rPr>
          <w:noProof/>
        </w:rPr>
        <w:t>b),</w:t>
      </w:r>
      <w:r w:rsidR="004F01E9">
        <w:rPr>
          <w:noProof/>
        </w:rPr>
        <w:t xml:space="preserve"> v </w:t>
      </w:r>
      <w:r w:rsidRPr="004F01E9">
        <w:rPr>
          <w:noProof/>
        </w:rPr>
        <w:t>celkovej hodnote nepresahujú 20</w:t>
      </w:r>
      <w:r w:rsidR="004F01E9">
        <w:rPr>
          <w:noProof/>
        </w:rPr>
        <w:t> %</w:t>
      </w:r>
      <w:r w:rsidRPr="004F01E9">
        <w:rPr>
          <w:noProof/>
        </w:rPr>
        <w:t xml:space="preserve"> čistého mesačného dôchodku alebo platu dlžníka;</w:t>
      </w:r>
    </w:p>
    <w:p w14:paraId="1C2FB27E" w14:textId="3C493ACF" w:rsidR="001369D1" w:rsidRPr="004F01E9" w:rsidRDefault="001369D1" w:rsidP="001369D1">
      <w:pPr>
        <w:pStyle w:val="Point1"/>
        <w:rPr>
          <w:noProof/>
        </w:rPr>
      </w:pPr>
      <w:r w:rsidRPr="004F01E9">
        <w:rPr>
          <w:noProof/>
        </w:rPr>
        <w:t>d)</w:t>
      </w:r>
      <w:r w:rsidRPr="004F01E9">
        <w:rPr>
          <w:noProof/>
        </w:rPr>
        <w:tab/>
        <w:t>maximálna pôvodná splatnosť úveru sa rovná desiatim rokom alebo je kratšia ako desať rokov.“</w:t>
      </w:r>
    </w:p>
    <w:p w14:paraId="6CDF5786" w14:textId="4153BFA7" w:rsidR="001369D1" w:rsidRPr="004F01E9" w:rsidRDefault="00025CB3" w:rsidP="00025CB3">
      <w:pPr>
        <w:pStyle w:val="Point0"/>
        <w:rPr>
          <w:noProof/>
        </w:rPr>
      </w:pPr>
      <w:r>
        <w:rPr>
          <w:noProof/>
        </w:rPr>
        <w:t>43.</w:t>
      </w:r>
      <w:r>
        <w:rPr>
          <w:noProof/>
        </w:rPr>
        <w:tab/>
      </w:r>
      <w:r w:rsidR="001369D1" w:rsidRPr="004F01E9">
        <w:rPr>
          <w:noProof/>
        </w:rPr>
        <w:t>Vkladá sa tento článok 123a:</w:t>
      </w:r>
    </w:p>
    <w:p w14:paraId="4F2DA205" w14:textId="3E13F07E" w:rsidR="001369D1" w:rsidRPr="004F01E9" w:rsidRDefault="001369D1" w:rsidP="001369D1">
      <w:pPr>
        <w:pStyle w:val="Titrearticle"/>
        <w:spacing w:before="120"/>
        <w:rPr>
          <w:b/>
          <w:i w:val="0"/>
          <w:noProof/>
        </w:rPr>
      </w:pPr>
      <w:r w:rsidRPr="004F01E9">
        <w:rPr>
          <w:noProof/>
        </w:rPr>
        <w:t xml:space="preserve">„Článok 123a </w:t>
      </w:r>
      <w:r w:rsidRPr="004F01E9">
        <w:rPr>
          <w:noProof/>
        </w:rPr>
        <w:br/>
      </w:r>
      <w:r w:rsidRPr="004F01E9">
        <w:rPr>
          <w:b/>
          <w:i w:val="0"/>
          <w:noProof/>
        </w:rPr>
        <w:t>Expozície</w:t>
      </w:r>
      <w:r w:rsidR="004F01E9">
        <w:rPr>
          <w:b/>
          <w:i w:val="0"/>
          <w:noProof/>
        </w:rPr>
        <w:t xml:space="preserve"> s </w:t>
      </w:r>
      <w:r w:rsidRPr="004F01E9">
        <w:rPr>
          <w:b/>
          <w:i w:val="0"/>
          <w:noProof/>
        </w:rPr>
        <w:t>nesúladom mien</w:t>
      </w:r>
    </w:p>
    <w:p w14:paraId="24AD7ADA" w14:textId="0D0666DC" w:rsidR="001369D1" w:rsidRPr="004F01E9" w:rsidRDefault="001369D1" w:rsidP="001369D1">
      <w:pPr>
        <w:pStyle w:val="Text1"/>
        <w:rPr>
          <w:noProof/>
        </w:rPr>
      </w:pPr>
      <w:r w:rsidRPr="004F01E9">
        <w:rPr>
          <w:noProof/>
        </w:rPr>
        <w:t>1. Expozície voči fyzickým osobám zaradené do ktorejkoľvek</w:t>
      </w:r>
      <w:r w:rsidR="004F01E9">
        <w:rPr>
          <w:noProof/>
        </w:rPr>
        <w:t xml:space="preserve"> z </w:t>
      </w:r>
      <w:r w:rsidRPr="004F01E9">
        <w:rPr>
          <w:noProof/>
        </w:rPr>
        <w:t>tried expozícií stanovených</w:t>
      </w:r>
      <w:r w:rsidR="004F01E9">
        <w:rPr>
          <w:noProof/>
        </w:rPr>
        <w:t xml:space="preserve"> v </w:t>
      </w:r>
      <w:r w:rsidRPr="004F01E9">
        <w:rPr>
          <w:noProof/>
        </w:rPr>
        <w:t>článku 112 písm. h) alebo i), riziková váha priradená</w:t>
      </w:r>
      <w:r w:rsidR="004F01E9">
        <w:rPr>
          <w:noProof/>
        </w:rPr>
        <w:t xml:space="preserve"> v </w:t>
      </w:r>
      <w:r w:rsidRPr="004F01E9">
        <w:rPr>
          <w:noProof/>
        </w:rPr>
        <w:t>súlade</w:t>
      </w:r>
      <w:r w:rsidR="004F01E9">
        <w:rPr>
          <w:noProof/>
        </w:rPr>
        <w:t xml:space="preserve"> s </w:t>
      </w:r>
      <w:r w:rsidRPr="004F01E9">
        <w:rPr>
          <w:noProof/>
        </w:rPr>
        <w:t>kapitolou 2 sa násobí koeficientom 1,5, pričom výsledná riziková váha nesmie byť vyššia ako 150</w:t>
      </w:r>
      <w:r w:rsidR="004F01E9">
        <w:rPr>
          <w:noProof/>
        </w:rPr>
        <w:t> %</w:t>
      </w:r>
      <w:r w:rsidRPr="004F01E9">
        <w:rPr>
          <w:noProof/>
        </w:rPr>
        <w:t>, ak sú splnené tieto podmienky:</w:t>
      </w:r>
    </w:p>
    <w:p w14:paraId="2E4EB94A" w14:textId="58F80C5B" w:rsidR="001369D1" w:rsidRPr="004F01E9" w:rsidRDefault="001369D1" w:rsidP="001369D1">
      <w:pPr>
        <w:pStyle w:val="Point1"/>
        <w:rPr>
          <w:noProof/>
        </w:rPr>
      </w:pPr>
      <w:r w:rsidRPr="004F01E9">
        <w:rPr>
          <w:noProof/>
        </w:rPr>
        <w:t>a)</w:t>
      </w:r>
      <w:r w:rsidRPr="004F01E9">
        <w:rPr>
          <w:noProof/>
        </w:rPr>
        <w:tab/>
        <w:t>expozícia</w:t>
      </w:r>
      <w:r w:rsidR="004F01E9">
        <w:rPr>
          <w:noProof/>
        </w:rPr>
        <w:t xml:space="preserve"> v </w:t>
      </w:r>
      <w:r w:rsidRPr="004F01E9">
        <w:rPr>
          <w:noProof/>
        </w:rPr>
        <w:t>dôsledku úveru denominovaného</w:t>
      </w:r>
      <w:r w:rsidR="004F01E9">
        <w:rPr>
          <w:noProof/>
        </w:rPr>
        <w:t xml:space="preserve"> v </w:t>
      </w:r>
      <w:r w:rsidRPr="004F01E9">
        <w:rPr>
          <w:noProof/>
        </w:rPr>
        <w:t>mene, ktorá sa líši od meny zdroja príjmu dlžníka;</w:t>
      </w:r>
    </w:p>
    <w:p w14:paraId="1D271949" w14:textId="507D4350" w:rsidR="001369D1" w:rsidRPr="004F01E9" w:rsidRDefault="001369D1" w:rsidP="001369D1">
      <w:pPr>
        <w:pStyle w:val="Point1"/>
        <w:rPr>
          <w:noProof/>
        </w:rPr>
      </w:pPr>
      <w:r w:rsidRPr="004F01E9">
        <w:rPr>
          <w:noProof/>
        </w:rPr>
        <w:t>b)</w:t>
      </w:r>
      <w:r w:rsidRPr="004F01E9">
        <w:rPr>
          <w:noProof/>
        </w:rPr>
        <w:tab/>
        <w:t>dlžník nemá hedžing svojho platobného rizika</w:t>
      </w:r>
      <w:r w:rsidR="004F01E9">
        <w:rPr>
          <w:noProof/>
        </w:rPr>
        <w:t xml:space="preserve"> z </w:t>
      </w:r>
      <w:r w:rsidRPr="004F01E9">
        <w:rPr>
          <w:noProof/>
        </w:rPr>
        <w:t>dôvodu nesúladu mien,</w:t>
      </w:r>
      <w:r w:rsidR="004F01E9">
        <w:rPr>
          <w:noProof/>
        </w:rPr>
        <w:t xml:space="preserve"> a </w:t>
      </w:r>
      <w:r w:rsidRPr="004F01E9">
        <w:rPr>
          <w:noProof/>
        </w:rPr>
        <w:t>to ani prostredníctvom finančného nástroja ani príjmu</w:t>
      </w:r>
      <w:r w:rsidR="004F01E9">
        <w:rPr>
          <w:noProof/>
        </w:rPr>
        <w:t xml:space="preserve"> v </w:t>
      </w:r>
      <w:r w:rsidRPr="004F01E9">
        <w:rPr>
          <w:noProof/>
        </w:rPr>
        <w:t>cudzej mene, ktorý zodpovedá mene expozície, alebo celková hodnota takýchto hedžingov, ktoré má dlžník</w:t>
      </w:r>
      <w:r w:rsidR="004F01E9">
        <w:rPr>
          <w:noProof/>
        </w:rPr>
        <w:t xml:space="preserve"> k </w:t>
      </w:r>
      <w:r w:rsidRPr="004F01E9">
        <w:rPr>
          <w:noProof/>
        </w:rPr>
        <w:t>dispozícii, pokrýva menej ako 90</w:t>
      </w:r>
      <w:r w:rsidR="004F01E9">
        <w:rPr>
          <w:noProof/>
        </w:rPr>
        <w:t> %</w:t>
      </w:r>
      <w:r w:rsidRPr="004F01E9">
        <w:rPr>
          <w:noProof/>
        </w:rPr>
        <w:t xml:space="preserve"> akejkoľvek splátky pre túto expozíciu.</w:t>
      </w:r>
    </w:p>
    <w:p w14:paraId="0001D15A" w14:textId="66B88753" w:rsidR="001369D1" w:rsidRPr="004F01E9" w:rsidRDefault="001369D1" w:rsidP="001369D1">
      <w:pPr>
        <w:pStyle w:val="Text1"/>
        <w:rPr>
          <w:noProof/>
        </w:rPr>
      </w:pPr>
      <w:r w:rsidRPr="004F01E9">
        <w:rPr>
          <w:noProof/>
        </w:rPr>
        <w:t>Ak inštitúcia nie je schopná rozlíšiť tieto expozície</w:t>
      </w:r>
      <w:r w:rsidR="004F01E9">
        <w:rPr>
          <w:noProof/>
        </w:rPr>
        <w:t xml:space="preserve"> s </w:t>
      </w:r>
      <w:r w:rsidRPr="004F01E9">
        <w:rPr>
          <w:noProof/>
        </w:rPr>
        <w:t>nesúladom mien, na všetky nehedžované expozície sa uplatňuje multiplikátor rizikovej váhy 1,5, ak je mena expozícií odlišná od domácej meny krajiny sídla dlžníka.</w:t>
      </w:r>
    </w:p>
    <w:p w14:paraId="60C91647" w14:textId="20F06A66" w:rsidR="001369D1" w:rsidRPr="004F01E9" w:rsidRDefault="001369D1" w:rsidP="001369D1">
      <w:pPr>
        <w:pStyle w:val="Text1"/>
        <w:rPr>
          <w:noProof/>
        </w:rPr>
      </w:pPr>
      <w:r w:rsidRPr="004F01E9">
        <w:rPr>
          <w:noProof/>
        </w:rPr>
        <w:t>2. Na účely tohto článku sa zdrojom príjmu rozumie každý zdroj, ktorý generuje peňažné toky dlžníkovi,</w:t>
      </w:r>
      <w:r w:rsidR="004F01E9">
        <w:rPr>
          <w:noProof/>
        </w:rPr>
        <w:t xml:space="preserve"> a </w:t>
      </w:r>
      <w:r w:rsidRPr="004F01E9">
        <w:rPr>
          <w:noProof/>
        </w:rPr>
        <w:t>to aj</w:t>
      </w:r>
      <w:r w:rsidR="004F01E9">
        <w:rPr>
          <w:noProof/>
        </w:rPr>
        <w:t xml:space="preserve"> z </w:t>
      </w:r>
      <w:r w:rsidRPr="004F01E9">
        <w:rPr>
          <w:noProof/>
        </w:rPr>
        <w:t>remitencií, príjmov</w:t>
      </w:r>
      <w:r w:rsidR="004F01E9">
        <w:rPr>
          <w:noProof/>
        </w:rPr>
        <w:t xml:space="preserve"> z </w:t>
      </w:r>
      <w:r w:rsidRPr="004F01E9">
        <w:rPr>
          <w:noProof/>
        </w:rPr>
        <w:t>prenájmu alebo miezd, pričom sa vylučujú výnosy</w:t>
      </w:r>
      <w:r w:rsidR="004F01E9">
        <w:rPr>
          <w:noProof/>
        </w:rPr>
        <w:t xml:space="preserve"> z </w:t>
      </w:r>
      <w:r w:rsidRPr="004F01E9">
        <w:rPr>
          <w:noProof/>
        </w:rPr>
        <w:t>predaja aktív alebo podobných opatrení</w:t>
      </w:r>
      <w:r w:rsidR="004F01E9">
        <w:rPr>
          <w:noProof/>
        </w:rPr>
        <w:t xml:space="preserve"> s </w:t>
      </w:r>
      <w:r w:rsidRPr="004F01E9">
        <w:rPr>
          <w:noProof/>
        </w:rPr>
        <w:t>regresom zo strany inštitúcie.“</w:t>
      </w:r>
    </w:p>
    <w:p w14:paraId="0B0E46FD" w14:textId="2CFB049F" w:rsidR="00806B81" w:rsidRPr="004F01E9" w:rsidRDefault="00025CB3" w:rsidP="00025CB3">
      <w:pPr>
        <w:pStyle w:val="Point0"/>
        <w:rPr>
          <w:noProof/>
        </w:rPr>
      </w:pPr>
      <w:r>
        <w:rPr>
          <w:noProof/>
        </w:rPr>
        <w:t>44.</w:t>
      </w:r>
      <w:r>
        <w:rPr>
          <w:noProof/>
        </w:rPr>
        <w:tab/>
      </w:r>
      <w:r w:rsidR="001369D1" w:rsidRPr="004F01E9">
        <w:rPr>
          <w:noProof/>
        </w:rPr>
        <w:t>Článok 124 sa nahrádza takto:</w:t>
      </w:r>
    </w:p>
    <w:p w14:paraId="4CCBF057" w14:textId="7BE7EA23" w:rsidR="001369D1" w:rsidRPr="004F01E9" w:rsidRDefault="001369D1" w:rsidP="001369D1">
      <w:pPr>
        <w:pStyle w:val="Titrearticle"/>
        <w:spacing w:before="120"/>
        <w:rPr>
          <w:b/>
          <w:i w:val="0"/>
          <w:noProof/>
        </w:rPr>
      </w:pPr>
      <w:r w:rsidRPr="004F01E9">
        <w:rPr>
          <w:noProof/>
        </w:rPr>
        <w:t xml:space="preserve">„Článok 124 </w:t>
      </w:r>
      <w:r w:rsidRPr="004F01E9">
        <w:rPr>
          <w:noProof/>
        </w:rPr>
        <w:br/>
      </w:r>
      <w:r w:rsidRPr="004F01E9">
        <w:rPr>
          <w:b/>
          <w:i w:val="0"/>
          <w:noProof/>
        </w:rPr>
        <w:t>Expozície zabezpečené hypotékami na nehnuteľný majetok</w:t>
      </w:r>
    </w:p>
    <w:p w14:paraId="46D022E1" w14:textId="0E6825AF" w:rsidR="001369D1" w:rsidRPr="004F01E9" w:rsidRDefault="001369D1" w:rsidP="001369D1">
      <w:pPr>
        <w:pStyle w:val="Text1"/>
        <w:rPr>
          <w:noProof/>
        </w:rPr>
      </w:pPr>
      <w:r w:rsidRPr="004F01E9">
        <w:rPr>
          <w:noProof/>
        </w:rPr>
        <w:t>1.</w:t>
      </w:r>
      <w:r w:rsidR="004F01E9">
        <w:rPr>
          <w:noProof/>
        </w:rPr>
        <w:t xml:space="preserve"> S </w:t>
      </w:r>
      <w:r w:rsidRPr="004F01E9">
        <w:rPr>
          <w:noProof/>
        </w:rPr>
        <w:t>expozíciou, ktorá nie je ADC</w:t>
      </w:r>
      <w:r w:rsidR="004F01E9">
        <w:rPr>
          <w:noProof/>
        </w:rPr>
        <w:t xml:space="preserve"> a </w:t>
      </w:r>
      <w:r w:rsidRPr="004F01E9">
        <w:rPr>
          <w:noProof/>
        </w:rPr>
        <w:t>ktorá nespĺňa všetky podmienky stanovené</w:t>
      </w:r>
      <w:r w:rsidR="004F01E9">
        <w:rPr>
          <w:noProof/>
        </w:rPr>
        <w:t xml:space="preserve"> v </w:t>
      </w:r>
      <w:r w:rsidRPr="004F01E9">
        <w:rPr>
          <w:noProof/>
        </w:rPr>
        <w:t>odseku 3, sa zaobchádza takto:</w:t>
      </w:r>
    </w:p>
    <w:p w14:paraId="39D6F372" w14:textId="0A90ECE6" w:rsidR="001369D1" w:rsidRPr="004F01E9" w:rsidRDefault="001369D1" w:rsidP="001369D1">
      <w:pPr>
        <w:pStyle w:val="Point1"/>
        <w:rPr>
          <w:noProof/>
        </w:rPr>
      </w:pPr>
      <w:r w:rsidRPr="004F01E9">
        <w:rPr>
          <w:noProof/>
        </w:rPr>
        <w:t>a)</w:t>
      </w:r>
      <w:r w:rsidRPr="004F01E9">
        <w:rPr>
          <w:noProof/>
        </w:rPr>
        <w:tab/>
        <w:t>s expozíciou voči nehnuteľnostiam negenerujúcim príjem sa zaobchádza ako</w:t>
      </w:r>
      <w:r w:rsidR="004F01E9">
        <w:rPr>
          <w:noProof/>
        </w:rPr>
        <w:t xml:space="preserve"> s </w:t>
      </w:r>
      <w:r w:rsidRPr="004F01E9">
        <w:rPr>
          <w:noProof/>
        </w:rPr>
        <w:t>expozíciou, ktorá nie je zabezpečená dotknutým nehnuteľným majetkom;</w:t>
      </w:r>
    </w:p>
    <w:p w14:paraId="064630DD" w14:textId="4AEC9E0F" w:rsidR="001369D1" w:rsidRPr="004F01E9" w:rsidRDefault="001369D1" w:rsidP="001369D1">
      <w:pPr>
        <w:pStyle w:val="Point1"/>
        <w:rPr>
          <w:noProof/>
        </w:rPr>
      </w:pPr>
      <w:r w:rsidRPr="004F01E9">
        <w:rPr>
          <w:noProof/>
        </w:rPr>
        <w:t>b)</w:t>
      </w:r>
      <w:r w:rsidRPr="004F01E9">
        <w:rPr>
          <w:noProof/>
        </w:rPr>
        <w:tab/>
        <w:t>expozícia voči nehnuteľnostiam generujúcim príjem má rizikovú váhu 150</w:t>
      </w:r>
      <w:r w:rsidR="004F01E9">
        <w:rPr>
          <w:noProof/>
        </w:rPr>
        <w:t> %</w:t>
      </w:r>
      <w:r w:rsidRPr="004F01E9">
        <w:rPr>
          <w:noProof/>
        </w:rPr>
        <w:t>.</w:t>
      </w:r>
    </w:p>
    <w:p w14:paraId="4DCD3699" w14:textId="64858FD5" w:rsidR="001369D1" w:rsidRPr="004F01E9" w:rsidRDefault="001369D1" w:rsidP="001369D1">
      <w:pPr>
        <w:pStyle w:val="Text1"/>
        <w:rPr>
          <w:noProof/>
        </w:rPr>
      </w:pPr>
      <w:r w:rsidRPr="004F01E9">
        <w:rPr>
          <w:noProof/>
        </w:rPr>
        <w:t>2. Ak sú splnené všetky podmienky stanovené</w:t>
      </w:r>
      <w:r w:rsidR="004F01E9">
        <w:rPr>
          <w:noProof/>
        </w:rPr>
        <w:t xml:space="preserve"> v </w:t>
      </w:r>
      <w:r w:rsidRPr="004F01E9">
        <w:rPr>
          <w:noProof/>
        </w:rPr>
        <w:t>odseku 3,</w:t>
      </w:r>
      <w:r w:rsidR="004F01E9">
        <w:rPr>
          <w:noProof/>
        </w:rPr>
        <w:t xml:space="preserve"> s </w:t>
      </w:r>
      <w:r w:rsidRPr="004F01E9">
        <w:rPr>
          <w:noProof/>
        </w:rPr>
        <w:t>expozíciou zabezpečenou nehnuteľným majetkom, ktorá nie je ADC, sa zaobchádza takto:</w:t>
      </w:r>
    </w:p>
    <w:p w14:paraId="54B45AC8" w14:textId="0CBEF2AD" w:rsidR="001369D1" w:rsidRPr="004F01E9" w:rsidRDefault="001369D1" w:rsidP="001369D1">
      <w:pPr>
        <w:pStyle w:val="Point1"/>
        <w:rPr>
          <w:noProof/>
        </w:rPr>
      </w:pPr>
      <w:r w:rsidRPr="004F01E9">
        <w:rPr>
          <w:noProof/>
        </w:rPr>
        <w:t>a)</w:t>
      </w:r>
      <w:r w:rsidRPr="004F01E9">
        <w:rPr>
          <w:noProof/>
        </w:rPr>
        <w:tab/>
        <w:t>ak je expozícia zabezpečená nehnuteľným majetkom určeným na bývanie, expozícia sa nekvalifikuje ako expozícia IPRE</w:t>
      </w:r>
      <w:r w:rsidR="004F01E9">
        <w:rPr>
          <w:noProof/>
        </w:rPr>
        <w:t xml:space="preserve"> a </w:t>
      </w:r>
      <w:r w:rsidRPr="004F01E9">
        <w:rPr>
          <w:noProof/>
        </w:rPr>
        <w:t>zaobchádza sa</w:t>
      </w:r>
      <w:r w:rsidR="004F01E9">
        <w:rPr>
          <w:noProof/>
        </w:rPr>
        <w:t xml:space="preserve"> s </w:t>
      </w:r>
      <w:r w:rsidRPr="004F01E9">
        <w:rPr>
          <w:noProof/>
        </w:rPr>
        <w:t>ňou</w:t>
      </w:r>
      <w:r w:rsidR="004F01E9">
        <w:rPr>
          <w:noProof/>
        </w:rPr>
        <w:t xml:space="preserve"> v </w:t>
      </w:r>
      <w:r w:rsidRPr="004F01E9">
        <w:rPr>
          <w:noProof/>
        </w:rPr>
        <w:t>súlade</w:t>
      </w:r>
      <w:r w:rsidR="004F01E9">
        <w:rPr>
          <w:noProof/>
        </w:rPr>
        <w:t xml:space="preserve"> s </w:t>
      </w:r>
      <w:r w:rsidRPr="004F01E9">
        <w:rPr>
          <w:noProof/>
        </w:rPr>
        <w:t>článkom 125 ods. 1, ak expozícia spĺňa ktorúkoľvek</w:t>
      </w:r>
      <w:r w:rsidR="004F01E9">
        <w:rPr>
          <w:noProof/>
        </w:rPr>
        <w:t xml:space="preserve"> z </w:t>
      </w:r>
      <w:r w:rsidRPr="004F01E9">
        <w:rPr>
          <w:noProof/>
        </w:rPr>
        <w:t>týchto podmienok:</w:t>
      </w:r>
    </w:p>
    <w:p w14:paraId="260B8446" w14:textId="3BAE2CE1" w:rsidR="001369D1" w:rsidRPr="004F01E9" w:rsidRDefault="001369D1" w:rsidP="001369D1">
      <w:pPr>
        <w:pStyle w:val="Point2"/>
        <w:rPr>
          <w:noProof/>
        </w:rPr>
      </w:pPr>
      <w:r w:rsidRPr="004F01E9">
        <w:rPr>
          <w:noProof/>
        </w:rPr>
        <w:t>i)</w:t>
      </w:r>
      <w:r w:rsidRPr="004F01E9">
        <w:rPr>
          <w:noProof/>
        </w:rPr>
        <w:tab/>
        <w:t>nehnuteľný majetok zabezpečujúci expozíciu je hlavným bydliskom dlžníka,</w:t>
      </w:r>
      <w:r w:rsidR="004F01E9">
        <w:rPr>
          <w:noProof/>
        </w:rPr>
        <w:t xml:space="preserve"> a </w:t>
      </w:r>
      <w:r w:rsidRPr="004F01E9">
        <w:rPr>
          <w:noProof/>
        </w:rPr>
        <w:t>to buď vtedy, keď nehnuteľnosť ako celok tvorí jednu obytnú jednotku, alebo keď je nehnuteľným majetkom zabezpečujúcim expozíciu obytná jednotka, ktorá je oddelenou časťou nehnuteľnosti;</w:t>
      </w:r>
    </w:p>
    <w:p w14:paraId="22DE2E33" w14:textId="3011DA99" w:rsidR="001369D1" w:rsidRPr="004F01E9" w:rsidRDefault="001369D1" w:rsidP="001369D1">
      <w:pPr>
        <w:pStyle w:val="Point2"/>
        <w:rPr>
          <w:noProof/>
        </w:rPr>
      </w:pPr>
      <w:r w:rsidRPr="004F01E9">
        <w:rPr>
          <w:noProof/>
        </w:rPr>
        <w:t>ii)</w:t>
      </w:r>
      <w:r w:rsidRPr="004F01E9">
        <w:rPr>
          <w:noProof/>
        </w:rPr>
        <w:tab/>
        <w:t>expozícia je voči jednotlivcovi</w:t>
      </w:r>
      <w:r w:rsidR="004F01E9">
        <w:rPr>
          <w:noProof/>
        </w:rPr>
        <w:t xml:space="preserve"> a </w:t>
      </w:r>
      <w:r w:rsidRPr="004F01E9">
        <w:rPr>
          <w:noProof/>
        </w:rPr>
        <w:t>je zabezpečená obytnou jednotkou vytvárajúcou príjem,</w:t>
      </w:r>
      <w:r w:rsidR="004F01E9">
        <w:rPr>
          <w:noProof/>
        </w:rPr>
        <w:t xml:space="preserve"> a </w:t>
      </w:r>
      <w:r w:rsidRPr="004F01E9">
        <w:rPr>
          <w:noProof/>
        </w:rPr>
        <w:t>to buď vtedy, keď nehnuteľnosť ako celok predstavuje jednu obytnú jednotku, alebo keď je obytná jednotka oddelenou časťou nehnuteľnosti,</w:t>
      </w:r>
      <w:r w:rsidR="004F01E9">
        <w:rPr>
          <w:noProof/>
        </w:rPr>
        <w:t xml:space="preserve"> a </w:t>
      </w:r>
      <w:r w:rsidRPr="004F01E9">
        <w:rPr>
          <w:noProof/>
        </w:rPr>
        <w:t>celkové expozície inštitúcie voči tomuto jednotlivcovi nie sú zabezpečené viac než štyrmi nehnuteľnosťami vrátane tých, ktoré nie sú nehnuteľnosťami určenými na bývanie alebo ktoré nespĺňajú žiadne</w:t>
      </w:r>
      <w:r w:rsidR="004F01E9">
        <w:rPr>
          <w:noProof/>
        </w:rPr>
        <w:t xml:space="preserve"> z </w:t>
      </w:r>
      <w:r w:rsidRPr="004F01E9">
        <w:rPr>
          <w:noProof/>
        </w:rPr>
        <w:t>kritérií uvedených</w:t>
      </w:r>
      <w:r w:rsidR="004F01E9">
        <w:rPr>
          <w:noProof/>
        </w:rPr>
        <w:t xml:space="preserve"> v </w:t>
      </w:r>
      <w:r w:rsidRPr="004F01E9">
        <w:rPr>
          <w:noProof/>
        </w:rPr>
        <w:t>tomto bode, alebo samostatné obytné jednotky</w:t>
      </w:r>
      <w:r w:rsidR="004F01E9">
        <w:rPr>
          <w:noProof/>
        </w:rPr>
        <w:t xml:space="preserve"> v </w:t>
      </w:r>
      <w:r w:rsidRPr="004F01E9">
        <w:rPr>
          <w:noProof/>
        </w:rPr>
        <w:t>rámci nehnuteľností;</w:t>
      </w:r>
    </w:p>
    <w:p w14:paraId="409F19EB" w14:textId="57EFFDAA" w:rsidR="001369D1" w:rsidRPr="00061692" w:rsidRDefault="001369D1" w:rsidP="001369D1">
      <w:pPr>
        <w:pStyle w:val="Point2"/>
        <w:rPr>
          <w:noProof/>
          <w:spacing w:val="-4"/>
        </w:rPr>
      </w:pPr>
      <w:r w:rsidRPr="004F01E9">
        <w:rPr>
          <w:noProof/>
        </w:rPr>
        <w:t>iii)</w:t>
      </w:r>
      <w:r w:rsidRPr="004F01E9">
        <w:rPr>
          <w:noProof/>
        </w:rPr>
        <w:tab/>
      </w:r>
      <w:r w:rsidRPr="00061692">
        <w:rPr>
          <w:noProof/>
          <w:spacing w:val="-4"/>
        </w:rPr>
        <w:t>expozícia zabezpečená nehnuteľným majetkom určeným na bývanie je voči združeniam alebo družstvám jednotlivcov, ktoré sú regulované zákonom</w:t>
      </w:r>
      <w:r w:rsidR="004F01E9" w:rsidRPr="00061692">
        <w:rPr>
          <w:noProof/>
          <w:spacing w:val="-4"/>
        </w:rPr>
        <w:t xml:space="preserve"> a </w:t>
      </w:r>
      <w:r w:rsidRPr="00061692">
        <w:rPr>
          <w:noProof/>
          <w:spacing w:val="-4"/>
        </w:rPr>
        <w:t>ktoré existujú výlučne na to, aby svojim členom umožňovali používanie hlavného bydliska</w:t>
      </w:r>
      <w:r w:rsidR="004F01E9" w:rsidRPr="00061692">
        <w:rPr>
          <w:noProof/>
          <w:spacing w:val="-4"/>
        </w:rPr>
        <w:t xml:space="preserve"> v </w:t>
      </w:r>
      <w:r w:rsidRPr="00061692">
        <w:rPr>
          <w:noProof/>
          <w:spacing w:val="-4"/>
        </w:rPr>
        <w:t>nehnuteľnosti, ktorou sa zabezpečujú úvery;</w:t>
      </w:r>
    </w:p>
    <w:p w14:paraId="32B21979" w14:textId="383D7F9A" w:rsidR="001369D1" w:rsidRPr="004F01E9" w:rsidRDefault="001369D1" w:rsidP="001369D1">
      <w:pPr>
        <w:pStyle w:val="Point2"/>
        <w:rPr>
          <w:noProof/>
        </w:rPr>
      </w:pPr>
      <w:r w:rsidRPr="004F01E9">
        <w:rPr>
          <w:noProof/>
        </w:rPr>
        <w:t>iv)</w:t>
      </w:r>
      <w:r w:rsidRPr="004F01E9">
        <w:rPr>
          <w:noProof/>
        </w:rPr>
        <w:tab/>
        <w:t>expozícia je zabezpečená nehnuteľným majetkom určeným na bývanie voči verejným bytovým podnikom alebo neziskovým združeniam, ktoré sú regulované zákonom</w:t>
      </w:r>
      <w:r w:rsidR="004F01E9">
        <w:rPr>
          <w:noProof/>
        </w:rPr>
        <w:t xml:space="preserve"> a </w:t>
      </w:r>
      <w:r w:rsidRPr="004F01E9">
        <w:rPr>
          <w:noProof/>
        </w:rPr>
        <w:t>ktoré existujú na sociálne účely</w:t>
      </w:r>
      <w:r w:rsidR="004F01E9">
        <w:rPr>
          <w:noProof/>
        </w:rPr>
        <w:t xml:space="preserve"> a </w:t>
      </w:r>
      <w:r w:rsidRPr="004F01E9">
        <w:rPr>
          <w:noProof/>
        </w:rPr>
        <w:t>na to, aby nájomníkom ponúkali dlhodobé bývanie;</w:t>
      </w:r>
    </w:p>
    <w:p w14:paraId="75880D45" w14:textId="1DE76FE2" w:rsidR="001369D1" w:rsidRPr="004F01E9" w:rsidRDefault="001369D1" w:rsidP="001369D1">
      <w:pPr>
        <w:pStyle w:val="Point1"/>
        <w:rPr>
          <w:noProof/>
        </w:rPr>
      </w:pPr>
      <w:r w:rsidRPr="004F01E9">
        <w:rPr>
          <w:noProof/>
        </w:rPr>
        <w:t>b)</w:t>
      </w:r>
      <w:r w:rsidRPr="004F01E9">
        <w:rPr>
          <w:noProof/>
        </w:rPr>
        <w:tab/>
        <w:t>ak je expozícia zabezpečená nehnuteľným majetkom určeným na bývanie</w:t>
      </w:r>
      <w:r w:rsidR="004F01E9">
        <w:rPr>
          <w:noProof/>
        </w:rPr>
        <w:t xml:space="preserve"> a </w:t>
      </w:r>
      <w:r w:rsidRPr="004F01E9">
        <w:rPr>
          <w:noProof/>
        </w:rPr>
        <w:t>expozícia nespĺňa žiadnu</w:t>
      </w:r>
      <w:r w:rsidR="004F01E9">
        <w:rPr>
          <w:noProof/>
        </w:rPr>
        <w:t xml:space="preserve"> z </w:t>
      </w:r>
      <w:r w:rsidRPr="004F01E9">
        <w:rPr>
          <w:noProof/>
        </w:rPr>
        <w:t>podmienok stanovených</w:t>
      </w:r>
      <w:r w:rsidR="004F01E9">
        <w:rPr>
          <w:noProof/>
        </w:rPr>
        <w:t xml:space="preserve"> v </w:t>
      </w:r>
      <w:r w:rsidRPr="004F01E9">
        <w:rPr>
          <w:noProof/>
        </w:rPr>
        <w:t>písmenách a) bodoch i) až iv),</w:t>
      </w:r>
      <w:r w:rsidR="004F01E9">
        <w:rPr>
          <w:noProof/>
        </w:rPr>
        <w:t xml:space="preserve"> s </w:t>
      </w:r>
      <w:r w:rsidRPr="004F01E9">
        <w:rPr>
          <w:noProof/>
        </w:rPr>
        <w:t>expozíciou sa zaobchádza</w:t>
      </w:r>
      <w:r w:rsidR="004F01E9">
        <w:rPr>
          <w:noProof/>
        </w:rPr>
        <w:t xml:space="preserve"> v </w:t>
      </w:r>
      <w:r w:rsidRPr="004F01E9">
        <w:rPr>
          <w:noProof/>
        </w:rPr>
        <w:t>súlade</w:t>
      </w:r>
      <w:r w:rsidR="004F01E9">
        <w:rPr>
          <w:noProof/>
        </w:rPr>
        <w:t xml:space="preserve"> s </w:t>
      </w:r>
      <w:r w:rsidRPr="004F01E9">
        <w:rPr>
          <w:noProof/>
        </w:rPr>
        <w:t>článkom 125 ods. 2;</w:t>
      </w:r>
    </w:p>
    <w:p w14:paraId="7F7219DB" w14:textId="53661A14" w:rsidR="001369D1" w:rsidRPr="004F01E9" w:rsidRDefault="001369D1" w:rsidP="001369D1">
      <w:pPr>
        <w:pStyle w:val="Point1"/>
        <w:rPr>
          <w:noProof/>
        </w:rPr>
      </w:pPr>
      <w:r w:rsidRPr="004F01E9">
        <w:rPr>
          <w:noProof/>
        </w:rPr>
        <w:t>c)</w:t>
      </w:r>
      <w:r w:rsidRPr="004F01E9">
        <w:rPr>
          <w:noProof/>
        </w:rPr>
        <w:tab/>
        <w:t>ak je expozícia zabezpečená nehnuteľným majetkom určeným na podnikanie,</w:t>
      </w:r>
      <w:r w:rsidR="004F01E9">
        <w:rPr>
          <w:noProof/>
        </w:rPr>
        <w:t xml:space="preserve"> s </w:t>
      </w:r>
      <w:r w:rsidRPr="004F01E9">
        <w:rPr>
          <w:noProof/>
        </w:rPr>
        <w:t>expozíciou sa zaobchádza takto:</w:t>
      </w:r>
    </w:p>
    <w:p w14:paraId="5756E842" w14:textId="06DC1247" w:rsidR="001369D1" w:rsidRPr="004F01E9" w:rsidRDefault="001369D1" w:rsidP="001369D1">
      <w:pPr>
        <w:pStyle w:val="Point2"/>
        <w:rPr>
          <w:noProof/>
        </w:rPr>
      </w:pPr>
      <w:r w:rsidRPr="004F01E9">
        <w:rPr>
          <w:noProof/>
        </w:rPr>
        <w:t>i)</w:t>
      </w:r>
      <w:r w:rsidRPr="004F01E9">
        <w:rPr>
          <w:noProof/>
        </w:rPr>
        <w:tab/>
        <w:t>s expozíciou voči nehnuteľnostiam negenerujúcim príjem sa zaobchádza</w:t>
      </w:r>
      <w:r w:rsidR="004F01E9">
        <w:rPr>
          <w:noProof/>
        </w:rPr>
        <w:t xml:space="preserve"> v </w:t>
      </w:r>
      <w:r w:rsidRPr="004F01E9">
        <w:rPr>
          <w:noProof/>
        </w:rPr>
        <w:t>súlade</w:t>
      </w:r>
      <w:r w:rsidR="004F01E9">
        <w:rPr>
          <w:noProof/>
        </w:rPr>
        <w:t xml:space="preserve"> s </w:t>
      </w:r>
      <w:r w:rsidRPr="004F01E9">
        <w:rPr>
          <w:noProof/>
        </w:rPr>
        <w:t>článkom 126 ods. 1;</w:t>
      </w:r>
    </w:p>
    <w:p w14:paraId="3C191600" w14:textId="34B5188C" w:rsidR="001369D1" w:rsidRPr="004F01E9" w:rsidRDefault="001369D1" w:rsidP="001369D1">
      <w:pPr>
        <w:pStyle w:val="Point2"/>
        <w:rPr>
          <w:noProof/>
        </w:rPr>
      </w:pPr>
      <w:r w:rsidRPr="004F01E9">
        <w:rPr>
          <w:noProof/>
        </w:rPr>
        <w:t>ii)</w:t>
      </w:r>
      <w:r w:rsidRPr="004F01E9">
        <w:rPr>
          <w:noProof/>
        </w:rPr>
        <w:tab/>
        <w:t>s expozíciou voči nehnuteľnostiam generujúcim príjem sa zaobchádza</w:t>
      </w:r>
      <w:r w:rsidR="004F01E9">
        <w:rPr>
          <w:noProof/>
        </w:rPr>
        <w:t xml:space="preserve"> v </w:t>
      </w:r>
      <w:r w:rsidRPr="004F01E9">
        <w:rPr>
          <w:noProof/>
        </w:rPr>
        <w:t>súlade</w:t>
      </w:r>
      <w:r w:rsidR="004F01E9">
        <w:rPr>
          <w:noProof/>
        </w:rPr>
        <w:t xml:space="preserve"> s </w:t>
      </w:r>
      <w:r w:rsidRPr="004F01E9">
        <w:rPr>
          <w:noProof/>
        </w:rPr>
        <w:t>článkom 126 ods. 2.</w:t>
      </w:r>
    </w:p>
    <w:p w14:paraId="296DD8AA" w14:textId="78FF7EA0" w:rsidR="001369D1" w:rsidRPr="004F01E9" w:rsidRDefault="001369D1" w:rsidP="001369D1">
      <w:pPr>
        <w:pStyle w:val="Text1"/>
        <w:rPr>
          <w:noProof/>
        </w:rPr>
      </w:pPr>
      <w:r w:rsidRPr="004F01E9">
        <w:rPr>
          <w:noProof/>
        </w:rPr>
        <w:t>3. Na to, aby expozícia zabezpečená nehnuteľným majetkom bola prípustná na zaobchádzanie stanovené</w:t>
      </w:r>
      <w:r w:rsidR="004F01E9">
        <w:rPr>
          <w:noProof/>
        </w:rPr>
        <w:t xml:space="preserve"> v </w:t>
      </w:r>
      <w:r w:rsidRPr="004F01E9">
        <w:rPr>
          <w:noProof/>
        </w:rPr>
        <w:t>odseku 2, musí spĺňať všetky tieto podmienky:</w:t>
      </w:r>
    </w:p>
    <w:p w14:paraId="761DC35A" w14:textId="17D859EE" w:rsidR="001369D1" w:rsidRPr="00061692" w:rsidRDefault="001369D1" w:rsidP="001369D1">
      <w:pPr>
        <w:pStyle w:val="Point1"/>
        <w:rPr>
          <w:noProof/>
          <w:spacing w:val="-8"/>
        </w:rPr>
      </w:pPr>
      <w:r w:rsidRPr="004F01E9">
        <w:rPr>
          <w:noProof/>
        </w:rPr>
        <w:t>a)</w:t>
      </w:r>
      <w:r w:rsidRPr="004F01E9">
        <w:rPr>
          <w:noProof/>
        </w:rPr>
        <w:tab/>
      </w:r>
      <w:r w:rsidRPr="00061692">
        <w:rPr>
          <w:noProof/>
          <w:spacing w:val="-8"/>
        </w:rPr>
        <w:t>nehnuteľný majetok zabezpečujúci expozíciu spĺňa ktorúkoľvek</w:t>
      </w:r>
      <w:r w:rsidR="004F01E9" w:rsidRPr="00061692">
        <w:rPr>
          <w:noProof/>
          <w:spacing w:val="-8"/>
        </w:rPr>
        <w:t xml:space="preserve"> z </w:t>
      </w:r>
      <w:r w:rsidRPr="00061692">
        <w:rPr>
          <w:noProof/>
          <w:spacing w:val="-8"/>
        </w:rPr>
        <w:t>týchto podmienok:</w:t>
      </w:r>
    </w:p>
    <w:p w14:paraId="6EDC4C7A" w14:textId="77777777" w:rsidR="001369D1" w:rsidRPr="004F01E9" w:rsidRDefault="001369D1" w:rsidP="001369D1">
      <w:pPr>
        <w:pStyle w:val="Point2"/>
        <w:rPr>
          <w:noProof/>
        </w:rPr>
      </w:pPr>
      <w:r w:rsidRPr="004F01E9">
        <w:rPr>
          <w:noProof/>
        </w:rPr>
        <w:t>i)</w:t>
      </w:r>
      <w:r w:rsidRPr="004F01E9">
        <w:rPr>
          <w:noProof/>
        </w:rPr>
        <w:tab/>
        <w:t>nehnuteľný majetok bol úplne dokončený;</w:t>
      </w:r>
    </w:p>
    <w:p w14:paraId="146EDD08" w14:textId="77777777" w:rsidR="001369D1" w:rsidRPr="004F01E9" w:rsidRDefault="001369D1" w:rsidP="001369D1">
      <w:pPr>
        <w:pStyle w:val="Point2"/>
        <w:rPr>
          <w:noProof/>
        </w:rPr>
      </w:pPr>
      <w:r w:rsidRPr="004F01E9">
        <w:rPr>
          <w:noProof/>
        </w:rPr>
        <w:t>ii)</w:t>
      </w:r>
      <w:r w:rsidRPr="004F01E9">
        <w:rPr>
          <w:noProof/>
        </w:rPr>
        <w:tab/>
        <w:t>nehnuteľný majetok tvorí lesná alebo poľnohospodárska pôda;</w:t>
      </w:r>
    </w:p>
    <w:p w14:paraId="7C22475B" w14:textId="0D5F51E4" w:rsidR="001369D1" w:rsidRPr="00061692" w:rsidRDefault="001369D1" w:rsidP="001369D1">
      <w:pPr>
        <w:pStyle w:val="Point2"/>
        <w:rPr>
          <w:noProof/>
        </w:rPr>
      </w:pPr>
      <w:r w:rsidRPr="004F01E9">
        <w:rPr>
          <w:noProof/>
        </w:rPr>
        <w:t>iii)</w:t>
      </w:r>
      <w:r w:rsidRPr="004F01E9">
        <w:rPr>
          <w:noProof/>
        </w:rPr>
        <w:tab/>
      </w:r>
      <w:r w:rsidRPr="00061692">
        <w:rPr>
          <w:noProof/>
        </w:rPr>
        <w:t>nehnuteľný majetok je nehnuteľnosť určená na bývanie vo výstavbe alebo je pozemok, na ktorom sa plánuje výstavba nehnuteľnosti určenej na bývanie, ak tento plán schválili všetky dotknuté orgány</w:t>
      </w:r>
      <w:r w:rsidR="004F01E9" w:rsidRPr="00061692">
        <w:rPr>
          <w:noProof/>
        </w:rPr>
        <w:t xml:space="preserve"> a </w:t>
      </w:r>
      <w:r w:rsidRPr="00061692">
        <w:rPr>
          <w:noProof/>
        </w:rPr>
        <w:t>ak je splnená ktorákoľvek</w:t>
      </w:r>
      <w:r w:rsidR="004F01E9" w:rsidRPr="00061692">
        <w:rPr>
          <w:noProof/>
        </w:rPr>
        <w:t xml:space="preserve"> z </w:t>
      </w:r>
      <w:r w:rsidRPr="00061692">
        <w:rPr>
          <w:noProof/>
        </w:rPr>
        <w:t>týchto podmienok:</w:t>
      </w:r>
    </w:p>
    <w:p w14:paraId="4A186AE4" w14:textId="468E64E6" w:rsidR="001369D1" w:rsidRPr="004F01E9" w:rsidRDefault="001369D1" w:rsidP="001369D1">
      <w:pPr>
        <w:pStyle w:val="Tiret3"/>
        <w:rPr>
          <w:noProof/>
        </w:rPr>
      </w:pPr>
      <w:r w:rsidRPr="004F01E9">
        <w:rPr>
          <w:noProof/>
        </w:rPr>
        <w:t>nehnuteľnosť nemá viac než štyri obytné jednotky</w:t>
      </w:r>
      <w:r w:rsidR="004F01E9">
        <w:rPr>
          <w:noProof/>
        </w:rPr>
        <w:t xml:space="preserve"> a </w:t>
      </w:r>
      <w:r w:rsidRPr="004F01E9">
        <w:rPr>
          <w:noProof/>
        </w:rPr>
        <w:t>bude hlavným bydliskom dlžníka</w:t>
      </w:r>
      <w:r w:rsidR="004F01E9">
        <w:rPr>
          <w:noProof/>
        </w:rPr>
        <w:t xml:space="preserve"> a </w:t>
      </w:r>
      <w:r w:rsidRPr="004F01E9">
        <w:rPr>
          <w:noProof/>
        </w:rPr>
        <w:t>požičiavanie jednotlivcovi nepriamo nefinancuje expozície ADC;</w:t>
      </w:r>
    </w:p>
    <w:p w14:paraId="25C977FC" w14:textId="073E66A6" w:rsidR="001369D1" w:rsidRPr="004F01E9" w:rsidRDefault="001369D1" w:rsidP="001369D1">
      <w:pPr>
        <w:pStyle w:val="Tiret3"/>
        <w:rPr>
          <w:noProof/>
        </w:rPr>
      </w:pPr>
      <w:r w:rsidRPr="004F01E9">
        <w:rPr>
          <w:noProof/>
        </w:rPr>
        <w:t>ústredná vláda, regionálna vláda alebo miestne orgány, alebo subjekt verejného sektora,</w:t>
      </w:r>
      <w:r w:rsidR="004F01E9">
        <w:rPr>
          <w:noProof/>
        </w:rPr>
        <w:t xml:space="preserve"> s </w:t>
      </w:r>
      <w:r w:rsidRPr="004F01E9">
        <w:rPr>
          <w:noProof/>
        </w:rPr>
        <w:t>expozíciami voči ktorým sa zaobchádza</w:t>
      </w:r>
      <w:r w:rsidR="004F01E9">
        <w:rPr>
          <w:noProof/>
        </w:rPr>
        <w:t xml:space="preserve"> v </w:t>
      </w:r>
      <w:r w:rsidRPr="004F01E9">
        <w:rPr>
          <w:noProof/>
        </w:rPr>
        <w:t>súlade</w:t>
      </w:r>
      <w:r w:rsidR="004F01E9">
        <w:rPr>
          <w:noProof/>
        </w:rPr>
        <w:t xml:space="preserve"> s </w:t>
      </w:r>
      <w:r w:rsidRPr="004F01E9">
        <w:rPr>
          <w:noProof/>
        </w:rPr>
        <w:t>článkom 115 ods. 2 resp. článkom 116 ods. 4, majú zákonné právomoci</w:t>
      </w:r>
      <w:r w:rsidR="004F01E9">
        <w:rPr>
          <w:noProof/>
        </w:rPr>
        <w:t xml:space="preserve"> a </w:t>
      </w:r>
      <w:r w:rsidRPr="004F01E9">
        <w:rPr>
          <w:noProof/>
        </w:rPr>
        <w:t>schopnosť zabezpečiť, aby sa nehnuteľnosť vo výstavbe dokončila</w:t>
      </w:r>
      <w:r w:rsidR="004F01E9">
        <w:rPr>
          <w:noProof/>
        </w:rPr>
        <w:t xml:space="preserve"> v </w:t>
      </w:r>
      <w:r w:rsidRPr="004F01E9">
        <w:rPr>
          <w:noProof/>
        </w:rPr>
        <w:t>primeranom časovom rámci</w:t>
      </w:r>
      <w:r w:rsidR="004F01E9">
        <w:rPr>
          <w:noProof/>
        </w:rPr>
        <w:t xml:space="preserve"> a </w:t>
      </w:r>
      <w:r w:rsidRPr="004F01E9">
        <w:rPr>
          <w:noProof/>
        </w:rPr>
        <w:t>sú povinné sa právne záväzným spôsobom zaviazať, že tak urobia, ak by výstavba inak</w:t>
      </w:r>
      <w:r w:rsidR="004F01E9">
        <w:rPr>
          <w:noProof/>
        </w:rPr>
        <w:t xml:space="preserve"> v </w:t>
      </w:r>
      <w:r w:rsidRPr="004F01E9">
        <w:rPr>
          <w:noProof/>
        </w:rPr>
        <w:t>primeranom časovom rámci nebola dokončená, alebo sa už právne záväzným spôsobom tak zaviazali;</w:t>
      </w:r>
    </w:p>
    <w:p w14:paraId="3D0CB924" w14:textId="699B688C" w:rsidR="001369D1" w:rsidRPr="004F01E9" w:rsidRDefault="001369D1" w:rsidP="001369D1">
      <w:pPr>
        <w:pStyle w:val="Point1"/>
        <w:rPr>
          <w:noProof/>
        </w:rPr>
      </w:pPr>
      <w:r w:rsidRPr="004F01E9">
        <w:rPr>
          <w:noProof/>
        </w:rPr>
        <w:t>b)</w:t>
      </w:r>
      <w:r w:rsidRPr="004F01E9">
        <w:rPr>
          <w:noProof/>
        </w:rPr>
        <w:tab/>
        <w:t>expozícia je zabezpečená prednostným záložným právom, ktoré inštitúcia drží na nehnuteľný majetok, alebo inštitúcia drží prvé záložné právo</w:t>
      </w:r>
      <w:r w:rsidR="004F01E9">
        <w:rPr>
          <w:noProof/>
        </w:rPr>
        <w:t xml:space="preserve"> a </w:t>
      </w:r>
      <w:r w:rsidRPr="004F01E9">
        <w:rPr>
          <w:noProof/>
        </w:rPr>
        <w:t>akékoľvek záložné právo nižšieho stupňa</w:t>
      </w:r>
      <w:r w:rsidR="004F01E9">
        <w:rPr>
          <w:noProof/>
        </w:rPr>
        <w:t xml:space="preserve"> v </w:t>
      </w:r>
      <w:r w:rsidRPr="004F01E9">
        <w:rPr>
          <w:noProof/>
        </w:rPr>
        <w:t>danej postupnosti na túto nehnuteľnosť;</w:t>
      </w:r>
    </w:p>
    <w:p w14:paraId="2C277591" w14:textId="77777777" w:rsidR="001369D1" w:rsidRPr="004F01E9" w:rsidRDefault="001369D1" w:rsidP="001369D1">
      <w:pPr>
        <w:pStyle w:val="Point1"/>
        <w:rPr>
          <w:noProof/>
        </w:rPr>
      </w:pPr>
      <w:r w:rsidRPr="004F01E9">
        <w:rPr>
          <w:noProof/>
        </w:rPr>
        <w:t>c)</w:t>
      </w:r>
      <w:r w:rsidRPr="004F01E9">
        <w:rPr>
          <w:noProof/>
        </w:rPr>
        <w:tab/>
        <w:t>hodnota majetku nie je významne závislá od kreditnej kvality dlžníka;</w:t>
      </w:r>
    </w:p>
    <w:p w14:paraId="00D60D34" w14:textId="06A6CEE6" w:rsidR="001369D1" w:rsidRPr="004F01E9" w:rsidRDefault="001369D1" w:rsidP="001369D1">
      <w:pPr>
        <w:pStyle w:val="Point1"/>
        <w:rPr>
          <w:noProof/>
        </w:rPr>
      </w:pPr>
      <w:r w:rsidRPr="004F01E9">
        <w:rPr>
          <w:noProof/>
        </w:rPr>
        <w:t>d)</w:t>
      </w:r>
      <w:r w:rsidRPr="004F01E9">
        <w:rPr>
          <w:noProof/>
        </w:rPr>
        <w:tab/>
        <w:t>všetky informácie požadované pri vzniku expozície</w:t>
      </w:r>
      <w:r w:rsidR="004F01E9">
        <w:rPr>
          <w:noProof/>
        </w:rPr>
        <w:t xml:space="preserve"> a </w:t>
      </w:r>
      <w:r w:rsidRPr="004F01E9">
        <w:rPr>
          <w:noProof/>
        </w:rPr>
        <w:t>na účely monitorovania sú riadne zdokumentované vrátane informácií</w:t>
      </w:r>
      <w:r w:rsidR="004F01E9">
        <w:rPr>
          <w:noProof/>
        </w:rPr>
        <w:t xml:space="preserve"> o </w:t>
      </w:r>
      <w:r w:rsidRPr="004F01E9">
        <w:rPr>
          <w:noProof/>
        </w:rPr>
        <w:t>schopnosti dlžníka splácať</w:t>
      </w:r>
      <w:r w:rsidR="004F01E9">
        <w:rPr>
          <w:noProof/>
        </w:rPr>
        <w:t xml:space="preserve"> a o </w:t>
      </w:r>
      <w:r w:rsidRPr="004F01E9">
        <w:rPr>
          <w:noProof/>
        </w:rPr>
        <w:t>oceňovaní nehnuteľností;</w:t>
      </w:r>
    </w:p>
    <w:p w14:paraId="2EC528FB" w14:textId="0B80EE84" w:rsidR="001369D1" w:rsidRPr="004F01E9" w:rsidRDefault="001369D1" w:rsidP="001369D1">
      <w:pPr>
        <w:pStyle w:val="Point1"/>
        <w:rPr>
          <w:noProof/>
        </w:rPr>
      </w:pPr>
      <w:r w:rsidRPr="004F01E9">
        <w:rPr>
          <w:noProof/>
        </w:rPr>
        <w:t>e)</w:t>
      </w:r>
      <w:r w:rsidRPr="004F01E9">
        <w:rPr>
          <w:noProof/>
        </w:rPr>
        <w:tab/>
        <w:t>sú splnené požiadavky stanovené</w:t>
      </w:r>
      <w:r w:rsidR="004F01E9">
        <w:rPr>
          <w:noProof/>
        </w:rPr>
        <w:t xml:space="preserve"> v </w:t>
      </w:r>
      <w:r w:rsidRPr="004F01E9">
        <w:rPr>
          <w:noProof/>
        </w:rPr>
        <w:t>článku 208</w:t>
      </w:r>
      <w:r w:rsidR="004F01E9">
        <w:rPr>
          <w:noProof/>
        </w:rPr>
        <w:t xml:space="preserve"> a </w:t>
      </w:r>
      <w:r w:rsidRPr="004F01E9">
        <w:rPr>
          <w:noProof/>
        </w:rPr>
        <w:t>pravidlá oceňovania stanovené</w:t>
      </w:r>
      <w:r w:rsidR="004F01E9">
        <w:rPr>
          <w:noProof/>
        </w:rPr>
        <w:t xml:space="preserve"> v </w:t>
      </w:r>
      <w:r w:rsidRPr="004F01E9">
        <w:rPr>
          <w:noProof/>
        </w:rPr>
        <w:t>článku 229 ods. 1.</w:t>
      </w:r>
    </w:p>
    <w:p w14:paraId="16DA0085" w14:textId="77777777" w:rsidR="00806B81" w:rsidRPr="004F01E9" w:rsidRDefault="001369D1" w:rsidP="00804D0B">
      <w:pPr>
        <w:pStyle w:val="Text1"/>
        <w:rPr>
          <w:noProof/>
        </w:rPr>
      </w:pPr>
      <w:r w:rsidRPr="004F01E9">
        <w:rPr>
          <w:noProof/>
        </w:rPr>
        <w:t>Na účely písmena c) smú inštitúcie vylúčiť situácie, keď čisto makroekonomické faktory ovplyvňujú tak hodnotu nehnuteľnosti, ako aj výkonnosť dlžníka.</w:t>
      </w:r>
    </w:p>
    <w:p w14:paraId="18E00C2D" w14:textId="5EC8A6C4" w:rsidR="001369D1" w:rsidRPr="00061692" w:rsidRDefault="001369D1" w:rsidP="001369D1">
      <w:pPr>
        <w:pStyle w:val="Text1"/>
        <w:rPr>
          <w:noProof/>
          <w:spacing w:val="-4"/>
        </w:rPr>
      </w:pPr>
      <w:r w:rsidRPr="00061692">
        <w:rPr>
          <w:noProof/>
          <w:spacing w:val="-4"/>
        </w:rPr>
        <w:t>4. Odchylne od odseku 3 písm. b) sa</w:t>
      </w:r>
      <w:r w:rsidR="004F01E9" w:rsidRPr="00061692">
        <w:rPr>
          <w:noProof/>
          <w:spacing w:val="-4"/>
        </w:rPr>
        <w:t xml:space="preserve"> v </w:t>
      </w:r>
      <w:r w:rsidRPr="00061692">
        <w:rPr>
          <w:noProof/>
          <w:spacing w:val="-4"/>
        </w:rPr>
        <w:t>jurisdikciách,</w:t>
      </w:r>
      <w:r w:rsidR="004F01E9" w:rsidRPr="00061692">
        <w:rPr>
          <w:noProof/>
          <w:spacing w:val="-4"/>
        </w:rPr>
        <w:t xml:space="preserve"> v </w:t>
      </w:r>
      <w:r w:rsidRPr="00061692">
        <w:rPr>
          <w:noProof/>
          <w:spacing w:val="-4"/>
        </w:rPr>
        <w:t>ktorých na základe podriadených záložných práv vzniká držiteľovi nárok na kolaterál, ktorý je právne vymožiteľný</w:t>
      </w:r>
      <w:r w:rsidR="004F01E9" w:rsidRPr="00061692">
        <w:rPr>
          <w:noProof/>
          <w:spacing w:val="-4"/>
        </w:rPr>
        <w:t xml:space="preserve"> a </w:t>
      </w:r>
      <w:r w:rsidRPr="00061692">
        <w:rPr>
          <w:noProof/>
          <w:spacing w:val="-4"/>
        </w:rPr>
        <w:t>predstavuje účinný faktor zmierňujúci kreditné riziko, môžu uznať aj podriadené záložné práva, ktoré má</w:t>
      </w:r>
      <w:r w:rsidR="004F01E9" w:rsidRPr="00061692">
        <w:rPr>
          <w:noProof/>
          <w:spacing w:val="-4"/>
        </w:rPr>
        <w:t xml:space="preserve"> v </w:t>
      </w:r>
      <w:r w:rsidRPr="00061692">
        <w:rPr>
          <w:noProof/>
          <w:spacing w:val="-4"/>
        </w:rPr>
        <w:t>držbe iná inštitúcia než tá, ktorá má</w:t>
      </w:r>
      <w:r w:rsidR="004F01E9" w:rsidRPr="00061692">
        <w:rPr>
          <w:noProof/>
          <w:spacing w:val="-4"/>
        </w:rPr>
        <w:t xml:space="preserve"> v </w:t>
      </w:r>
      <w:r w:rsidRPr="00061692">
        <w:rPr>
          <w:noProof/>
          <w:spacing w:val="-4"/>
        </w:rPr>
        <w:t>držbe nadriadené záložné právo, vrátane prípadov, keď inštitúcia nemá</w:t>
      </w:r>
      <w:r w:rsidR="004F01E9" w:rsidRPr="00061692">
        <w:rPr>
          <w:noProof/>
          <w:spacing w:val="-4"/>
        </w:rPr>
        <w:t xml:space="preserve"> v </w:t>
      </w:r>
      <w:r w:rsidRPr="00061692">
        <w:rPr>
          <w:noProof/>
          <w:spacing w:val="-4"/>
        </w:rPr>
        <w:t>držbe nadriadené záložné právo alebo nemá</w:t>
      </w:r>
      <w:r w:rsidR="004F01E9" w:rsidRPr="00061692">
        <w:rPr>
          <w:noProof/>
          <w:spacing w:val="-4"/>
        </w:rPr>
        <w:t xml:space="preserve"> v </w:t>
      </w:r>
      <w:r w:rsidRPr="00061692">
        <w:rPr>
          <w:noProof/>
          <w:spacing w:val="-4"/>
        </w:rPr>
        <w:t>držbe záložné právo, ktoré má postavenie medzi nadriadeným záložným právom</w:t>
      </w:r>
      <w:r w:rsidR="004F01E9" w:rsidRPr="00061692">
        <w:rPr>
          <w:noProof/>
          <w:spacing w:val="-4"/>
        </w:rPr>
        <w:t xml:space="preserve"> a </w:t>
      </w:r>
      <w:r w:rsidRPr="00061692">
        <w:rPr>
          <w:noProof/>
          <w:spacing w:val="-4"/>
        </w:rPr>
        <w:t>podriadeným záložným právom, ktoré má obidve inštitúcia</w:t>
      </w:r>
      <w:r w:rsidR="004F01E9" w:rsidRPr="00061692">
        <w:rPr>
          <w:noProof/>
          <w:spacing w:val="-4"/>
        </w:rPr>
        <w:t xml:space="preserve"> v </w:t>
      </w:r>
      <w:r w:rsidRPr="00061692">
        <w:rPr>
          <w:noProof/>
          <w:spacing w:val="-4"/>
        </w:rPr>
        <w:t>držbe.</w:t>
      </w:r>
    </w:p>
    <w:p w14:paraId="663FD5B0" w14:textId="77777777" w:rsidR="001369D1" w:rsidRPr="004F01E9" w:rsidRDefault="001369D1" w:rsidP="001369D1">
      <w:pPr>
        <w:pStyle w:val="Text1"/>
        <w:rPr>
          <w:noProof/>
        </w:rPr>
      </w:pPr>
      <w:r w:rsidRPr="004F01E9">
        <w:rPr>
          <w:noProof/>
        </w:rPr>
        <w:t>Na účely prvého pododseku sa pravidlami, ktorými sa riadia záložné práva, zabezpečuje:</w:t>
      </w:r>
    </w:p>
    <w:p w14:paraId="39F5BBBF" w14:textId="0F62A33A" w:rsidR="001369D1" w:rsidRPr="004F01E9" w:rsidRDefault="001369D1" w:rsidP="001369D1">
      <w:pPr>
        <w:pStyle w:val="Point1"/>
        <w:rPr>
          <w:noProof/>
        </w:rPr>
      </w:pPr>
      <w:r w:rsidRPr="004F01E9">
        <w:rPr>
          <w:noProof/>
        </w:rPr>
        <w:t>a)</w:t>
      </w:r>
      <w:r w:rsidRPr="004F01E9">
        <w:rPr>
          <w:noProof/>
        </w:rPr>
        <w:tab/>
        <w:t>že každá inštitúcia, ktorá má</w:t>
      </w:r>
      <w:r w:rsidR="004F01E9">
        <w:rPr>
          <w:noProof/>
        </w:rPr>
        <w:t xml:space="preserve"> v </w:t>
      </w:r>
      <w:r w:rsidRPr="004F01E9">
        <w:rPr>
          <w:noProof/>
        </w:rPr>
        <w:t>držbe záložné právo na nehnuteľnosť, môže iniciovať predaj nehnuteľnosti nezávisle od iných subjektov, ktoré majú</w:t>
      </w:r>
      <w:r w:rsidR="004F01E9">
        <w:rPr>
          <w:noProof/>
        </w:rPr>
        <w:t xml:space="preserve"> v </w:t>
      </w:r>
      <w:r w:rsidRPr="004F01E9">
        <w:rPr>
          <w:noProof/>
        </w:rPr>
        <w:t>držbe záložné právo na nehnuteľnosť;</w:t>
      </w:r>
    </w:p>
    <w:p w14:paraId="23305D10" w14:textId="20DBCECE" w:rsidR="001369D1" w:rsidRPr="004F01E9" w:rsidRDefault="001369D1" w:rsidP="001369D1">
      <w:pPr>
        <w:pStyle w:val="Point1"/>
        <w:rPr>
          <w:noProof/>
        </w:rPr>
      </w:pPr>
      <w:r w:rsidRPr="004F01E9">
        <w:rPr>
          <w:noProof/>
        </w:rPr>
        <w:t>b)</w:t>
      </w:r>
      <w:r w:rsidRPr="004F01E9">
        <w:rPr>
          <w:noProof/>
        </w:rPr>
        <w:tab/>
        <w:t>ak sa predaj nehnuteľnosti neuskutoční prostredníctvom verejnej dražby, subjekty, ktoré majú</w:t>
      </w:r>
      <w:r w:rsidR="004F01E9">
        <w:rPr>
          <w:noProof/>
        </w:rPr>
        <w:t xml:space="preserve"> v </w:t>
      </w:r>
      <w:r w:rsidRPr="004F01E9">
        <w:rPr>
          <w:noProof/>
        </w:rPr>
        <w:t>držbe nadriadené záložné právo, podniknú primerané kroky na získanie reálnej trhovej hodnoty alebo najlepšej ceny, ktorú môžu za daných okolností získať pri vykonávaní kúpnej právomoci samostatne.</w:t>
      </w:r>
    </w:p>
    <w:p w14:paraId="116EFE04" w14:textId="27AE2EC1" w:rsidR="001369D1" w:rsidRPr="004F01E9" w:rsidRDefault="001369D1" w:rsidP="001369D1">
      <w:pPr>
        <w:pStyle w:val="Text1"/>
        <w:rPr>
          <w:noProof/>
        </w:rPr>
      </w:pPr>
      <w:r w:rsidRPr="004F01E9">
        <w:rPr>
          <w:noProof/>
        </w:rPr>
        <w:t>5. Na účely článku 125 ods. 2</w:t>
      </w:r>
      <w:r w:rsidR="004F01E9">
        <w:rPr>
          <w:noProof/>
        </w:rPr>
        <w:t xml:space="preserve"> a </w:t>
      </w:r>
      <w:r w:rsidRPr="004F01E9">
        <w:rPr>
          <w:noProof/>
        </w:rPr>
        <w:t>článku 126 ods. 2 sa pomer hodnoty expozície</w:t>
      </w:r>
      <w:r w:rsidR="004F01E9">
        <w:rPr>
          <w:noProof/>
        </w:rPr>
        <w:t xml:space="preserve"> k </w:t>
      </w:r>
      <w:r w:rsidRPr="004F01E9">
        <w:rPr>
          <w:noProof/>
        </w:rPr>
        <w:t>hodnote zabezpečenia („ukazovateľ ETV“) vypočítava vydelením hrubej hodnoty expozície hodnotou majetku za týchto podmienok:</w:t>
      </w:r>
    </w:p>
    <w:p w14:paraId="6A1392B4" w14:textId="3B23B60B" w:rsidR="001369D1" w:rsidRPr="004F01E9" w:rsidRDefault="001369D1" w:rsidP="001369D1">
      <w:pPr>
        <w:pStyle w:val="Point1"/>
        <w:rPr>
          <w:noProof/>
        </w:rPr>
      </w:pPr>
      <w:r w:rsidRPr="004F01E9">
        <w:rPr>
          <w:noProof/>
        </w:rPr>
        <w:t>a)</w:t>
      </w:r>
      <w:r w:rsidRPr="004F01E9">
        <w:rPr>
          <w:noProof/>
        </w:rPr>
        <w:tab/>
        <w:t>hrubá hodnota expozície sa vypočítava ako nesplatená hodnota kreditného záväzku súvisiaceho</w:t>
      </w:r>
      <w:r w:rsidR="004F01E9">
        <w:rPr>
          <w:noProof/>
        </w:rPr>
        <w:t xml:space="preserve"> s </w:t>
      </w:r>
      <w:r w:rsidRPr="004F01E9">
        <w:rPr>
          <w:noProof/>
        </w:rPr>
        <w:t>expozíciou zabezpečenou nehnuteľným majetkom</w:t>
      </w:r>
      <w:r w:rsidR="004F01E9">
        <w:rPr>
          <w:noProof/>
        </w:rPr>
        <w:t xml:space="preserve"> a </w:t>
      </w:r>
      <w:r w:rsidRPr="004F01E9">
        <w:rPr>
          <w:noProof/>
        </w:rPr>
        <w:t>akákoľvek nevyčerpaná suma, ktorá by po čerpaní zvýšila hodnotu expozície, ktorá je zabezpečená nehnuteľným majetkom;</w:t>
      </w:r>
    </w:p>
    <w:p w14:paraId="0BEFE686" w14:textId="7663F7B4" w:rsidR="001369D1" w:rsidRPr="004F01E9" w:rsidRDefault="001369D1" w:rsidP="001369D1">
      <w:pPr>
        <w:pStyle w:val="Point1"/>
        <w:rPr>
          <w:noProof/>
        </w:rPr>
      </w:pPr>
      <w:r w:rsidRPr="004F01E9">
        <w:rPr>
          <w:noProof/>
        </w:rPr>
        <w:t>b)</w:t>
      </w:r>
      <w:r w:rsidRPr="004F01E9">
        <w:rPr>
          <w:noProof/>
        </w:rPr>
        <w:tab/>
        <w:t>hrubá hodnota expozície sa vypočítava bez zohľadnenia úprav kreditného rizika</w:t>
      </w:r>
      <w:r w:rsidR="004F01E9">
        <w:rPr>
          <w:noProof/>
        </w:rPr>
        <w:t xml:space="preserve"> a </w:t>
      </w:r>
      <w:r w:rsidRPr="004F01E9">
        <w:rPr>
          <w:noProof/>
        </w:rPr>
        <w:t>iných znížení vlastných zdrojov súvisiacich</w:t>
      </w:r>
      <w:r w:rsidR="004F01E9">
        <w:rPr>
          <w:noProof/>
        </w:rPr>
        <w:t xml:space="preserve"> s </w:t>
      </w:r>
      <w:r w:rsidRPr="004F01E9">
        <w:rPr>
          <w:noProof/>
        </w:rPr>
        <w:t>expozíciou alebo akoukoľvek formou financovaného alebo nefinancovaného kreditného zabezpečenia,</w:t>
      </w:r>
      <w:r w:rsidR="004F01E9">
        <w:rPr>
          <w:noProof/>
        </w:rPr>
        <w:t xml:space="preserve"> s </w:t>
      </w:r>
      <w:r w:rsidRPr="004F01E9">
        <w:rPr>
          <w:noProof/>
        </w:rPr>
        <w:t>výnimkou účtov založených vkladov</w:t>
      </w:r>
      <w:r w:rsidR="004F01E9">
        <w:rPr>
          <w:noProof/>
        </w:rPr>
        <w:t xml:space="preserve"> v </w:t>
      </w:r>
      <w:r w:rsidRPr="004F01E9">
        <w:rPr>
          <w:noProof/>
        </w:rPr>
        <w:t>požičiavajúcej inštitúcii, ktoré spĺňajú všetky požiadavky na vzájomné započítavanie</w:t>
      </w:r>
      <w:r w:rsidR="004F01E9">
        <w:rPr>
          <w:noProof/>
        </w:rPr>
        <w:t xml:space="preserve"> v </w:t>
      </w:r>
      <w:r w:rsidRPr="004F01E9">
        <w:rPr>
          <w:noProof/>
        </w:rPr>
        <w:t>súvahe,</w:t>
      </w:r>
      <w:r w:rsidR="004F01E9">
        <w:rPr>
          <w:noProof/>
        </w:rPr>
        <w:t xml:space="preserve"> a </w:t>
      </w:r>
      <w:r w:rsidRPr="004F01E9">
        <w:rPr>
          <w:noProof/>
        </w:rPr>
        <w:t>to buď na základe rámcových dohôd</w:t>
      </w:r>
      <w:r w:rsidR="004F01E9">
        <w:rPr>
          <w:noProof/>
        </w:rPr>
        <w:t xml:space="preserve"> o </w:t>
      </w:r>
      <w:r w:rsidRPr="004F01E9">
        <w:rPr>
          <w:noProof/>
        </w:rPr>
        <w:t>vzájomnom započítavaní</w:t>
      </w:r>
      <w:r w:rsidR="004F01E9">
        <w:rPr>
          <w:noProof/>
        </w:rPr>
        <w:t xml:space="preserve"> v </w:t>
      </w:r>
      <w:r w:rsidRPr="004F01E9">
        <w:rPr>
          <w:noProof/>
        </w:rPr>
        <w:t>súlade</w:t>
      </w:r>
      <w:r w:rsidR="004F01E9">
        <w:rPr>
          <w:noProof/>
        </w:rPr>
        <w:t xml:space="preserve"> s </w:t>
      </w:r>
      <w:r w:rsidRPr="004F01E9">
        <w:rPr>
          <w:noProof/>
        </w:rPr>
        <w:t>článkami 196</w:t>
      </w:r>
      <w:r w:rsidR="004F01E9">
        <w:rPr>
          <w:noProof/>
        </w:rPr>
        <w:t xml:space="preserve"> a </w:t>
      </w:r>
      <w:r w:rsidRPr="004F01E9">
        <w:rPr>
          <w:noProof/>
        </w:rPr>
        <w:t>206, alebo na základe iných dohôd</w:t>
      </w:r>
      <w:r w:rsidR="004F01E9">
        <w:rPr>
          <w:noProof/>
        </w:rPr>
        <w:t xml:space="preserve"> o </w:t>
      </w:r>
      <w:r w:rsidRPr="004F01E9">
        <w:rPr>
          <w:noProof/>
        </w:rPr>
        <w:t>vzájomnom započítavaní</w:t>
      </w:r>
      <w:r w:rsidR="004F01E9">
        <w:rPr>
          <w:noProof/>
        </w:rPr>
        <w:t xml:space="preserve"> v </w:t>
      </w:r>
      <w:r w:rsidRPr="004F01E9">
        <w:rPr>
          <w:noProof/>
        </w:rPr>
        <w:t>súvahe</w:t>
      </w:r>
      <w:r w:rsidR="004F01E9">
        <w:rPr>
          <w:noProof/>
        </w:rPr>
        <w:t xml:space="preserve"> v </w:t>
      </w:r>
      <w:r w:rsidRPr="004F01E9">
        <w:rPr>
          <w:noProof/>
        </w:rPr>
        <w:t>súlade</w:t>
      </w:r>
      <w:r w:rsidR="004F01E9">
        <w:rPr>
          <w:noProof/>
        </w:rPr>
        <w:t xml:space="preserve"> s </w:t>
      </w:r>
      <w:r w:rsidRPr="004F01E9">
        <w:rPr>
          <w:noProof/>
        </w:rPr>
        <w:t>článkami 195</w:t>
      </w:r>
      <w:r w:rsidR="004F01E9">
        <w:rPr>
          <w:noProof/>
        </w:rPr>
        <w:t xml:space="preserve"> a </w:t>
      </w:r>
      <w:r w:rsidRPr="004F01E9">
        <w:rPr>
          <w:noProof/>
        </w:rPr>
        <w:t>205</w:t>
      </w:r>
      <w:r w:rsidR="004F01E9">
        <w:rPr>
          <w:noProof/>
        </w:rPr>
        <w:t xml:space="preserve"> a </w:t>
      </w:r>
      <w:r w:rsidRPr="004F01E9">
        <w:rPr>
          <w:noProof/>
        </w:rPr>
        <w:t>boli bezpodmienečne</w:t>
      </w:r>
      <w:r w:rsidR="004F01E9">
        <w:rPr>
          <w:noProof/>
        </w:rPr>
        <w:t xml:space="preserve"> a </w:t>
      </w:r>
      <w:r w:rsidRPr="004F01E9">
        <w:rPr>
          <w:noProof/>
        </w:rPr>
        <w:t>neodvolateľne založené výhradne na účely splnenia kreditného záväzku súvisiaceho</w:t>
      </w:r>
      <w:r w:rsidR="004F01E9">
        <w:rPr>
          <w:noProof/>
        </w:rPr>
        <w:t xml:space="preserve"> s </w:t>
      </w:r>
      <w:r w:rsidRPr="004F01E9">
        <w:rPr>
          <w:noProof/>
        </w:rPr>
        <w:t>expozíciou zabezpečenou nehnuteľným majetkom;</w:t>
      </w:r>
    </w:p>
    <w:p w14:paraId="0D6B6213" w14:textId="4AFEAC3A" w:rsidR="001369D1" w:rsidRPr="004F01E9" w:rsidRDefault="001369D1" w:rsidP="001369D1">
      <w:pPr>
        <w:pStyle w:val="Point1"/>
        <w:rPr>
          <w:noProof/>
        </w:rPr>
      </w:pPr>
      <w:r w:rsidRPr="004F01E9">
        <w:rPr>
          <w:noProof/>
        </w:rPr>
        <w:t>c)</w:t>
      </w:r>
      <w:r w:rsidRPr="004F01E9">
        <w:rPr>
          <w:noProof/>
        </w:rPr>
        <w:tab/>
        <w:t>expozície,</w:t>
      </w:r>
      <w:r w:rsidR="004F01E9">
        <w:rPr>
          <w:noProof/>
        </w:rPr>
        <w:t xml:space="preserve"> s </w:t>
      </w:r>
      <w:r w:rsidRPr="004F01E9">
        <w:rPr>
          <w:noProof/>
        </w:rPr>
        <w:t>ktorými sa musí zaobchádzať</w:t>
      </w:r>
      <w:r w:rsidR="004F01E9">
        <w:rPr>
          <w:noProof/>
        </w:rPr>
        <w:t xml:space="preserve"> v </w:t>
      </w:r>
      <w:r w:rsidRPr="004F01E9">
        <w:rPr>
          <w:noProof/>
        </w:rPr>
        <w:t>súlade</w:t>
      </w:r>
      <w:r w:rsidR="004F01E9">
        <w:rPr>
          <w:noProof/>
        </w:rPr>
        <w:t xml:space="preserve"> s </w:t>
      </w:r>
      <w:r w:rsidRPr="004F01E9">
        <w:rPr>
          <w:noProof/>
        </w:rPr>
        <w:t>článkom 125 ods. 2 alebo článkom 126 ods. 2, ak má iná strana než inštitúcia</w:t>
      </w:r>
      <w:r w:rsidR="004F01E9">
        <w:rPr>
          <w:noProof/>
        </w:rPr>
        <w:t xml:space="preserve"> v </w:t>
      </w:r>
      <w:r w:rsidRPr="004F01E9">
        <w:rPr>
          <w:noProof/>
        </w:rPr>
        <w:t>držbe nadriadené záložné právo</w:t>
      </w:r>
      <w:r w:rsidR="004F01E9">
        <w:rPr>
          <w:noProof/>
        </w:rPr>
        <w:t xml:space="preserve"> a </w:t>
      </w:r>
      <w:r w:rsidRPr="004F01E9">
        <w:rPr>
          <w:noProof/>
        </w:rPr>
        <w:t>podriadené záložné právo je uznané podľa odseku 4, hrubá hodnota expozície sa vypočítava ako súčet hrubej hodnoty expozície záložného práva inštitúcie</w:t>
      </w:r>
      <w:r w:rsidR="004F01E9">
        <w:rPr>
          <w:noProof/>
        </w:rPr>
        <w:t xml:space="preserve"> a </w:t>
      </w:r>
      <w:r w:rsidRPr="004F01E9">
        <w:rPr>
          <w:noProof/>
        </w:rPr>
        <w:t>hrubých hodnôt expozícií pre všetky ostatné záložné práva</w:t>
      </w:r>
      <w:r w:rsidR="004F01E9">
        <w:rPr>
          <w:noProof/>
        </w:rPr>
        <w:t xml:space="preserve"> s </w:t>
      </w:r>
      <w:r w:rsidRPr="004F01E9">
        <w:rPr>
          <w:noProof/>
        </w:rPr>
        <w:t>rovnocenným alebo vyšším postavením ako záložné právo inštitúcie. Keď nie sú</w:t>
      </w:r>
      <w:r w:rsidR="004F01E9">
        <w:rPr>
          <w:noProof/>
        </w:rPr>
        <w:t xml:space="preserve"> k </w:t>
      </w:r>
      <w:r w:rsidRPr="004F01E9">
        <w:rPr>
          <w:noProof/>
        </w:rPr>
        <w:t>dispozícii dostatočné informácie,</w:t>
      </w:r>
      <w:r w:rsidR="004F01E9">
        <w:rPr>
          <w:noProof/>
        </w:rPr>
        <w:t xml:space="preserve"> z </w:t>
      </w:r>
      <w:r w:rsidRPr="004F01E9">
        <w:rPr>
          <w:noProof/>
        </w:rPr>
        <w:t>ktorých je možné určiť postavenie týchto ostatných záložných práv, inštitúcia by mala</w:t>
      </w:r>
      <w:r w:rsidR="004F01E9">
        <w:rPr>
          <w:noProof/>
        </w:rPr>
        <w:t xml:space="preserve"> s </w:t>
      </w:r>
      <w:r w:rsidRPr="004F01E9">
        <w:rPr>
          <w:noProof/>
        </w:rPr>
        <w:t>týmito záložnými právami zaobchádzať tak, ako keby mali rovnaké postavenie ako podriadené záložné právo</w:t>
      </w:r>
      <w:r w:rsidR="004F01E9">
        <w:rPr>
          <w:noProof/>
        </w:rPr>
        <w:t xml:space="preserve"> v </w:t>
      </w:r>
      <w:r w:rsidRPr="004F01E9">
        <w:rPr>
          <w:noProof/>
        </w:rPr>
        <w:t>držbe inštitúcie. Inštitúcia najprv určuje rizikovú váhu</w:t>
      </w:r>
      <w:r w:rsidR="004F01E9">
        <w:rPr>
          <w:noProof/>
        </w:rPr>
        <w:t xml:space="preserve"> v </w:t>
      </w:r>
      <w:r w:rsidRPr="004F01E9">
        <w:rPr>
          <w:noProof/>
        </w:rPr>
        <w:t>súlade</w:t>
      </w:r>
      <w:r w:rsidR="004F01E9">
        <w:rPr>
          <w:noProof/>
        </w:rPr>
        <w:t xml:space="preserve"> s </w:t>
      </w:r>
      <w:r w:rsidRPr="004F01E9">
        <w:rPr>
          <w:noProof/>
        </w:rPr>
        <w:t>článkom 125 ods. 2 alebo prípadne článkom 126 ods. 2 („základná riziková váha“). Potom upraví túto rizikovú váhu multiplikátorom 1,25 na účely výpočtu rizikovo vážených hodnôt podriadených záložných práv. Ak základná riziková váha zodpovedá najnižšej skupine ukazovateľa ETV, multiplikátor sa nepoužije. Riziková váha vyplývajúca</w:t>
      </w:r>
      <w:r w:rsidR="004F01E9">
        <w:rPr>
          <w:noProof/>
        </w:rPr>
        <w:t xml:space="preserve"> z </w:t>
      </w:r>
      <w:r w:rsidRPr="004F01E9">
        <w:rPr>
          <w:noProof/>
        </w:rPr>
        <w:t>vynásobenia základnej rizikovej váhy hodnotou 1,25 musí byť zhora obmedzená rizikovou váhou, ktorá by sa uplatnila na expozíciu, ak by neboli splnené požiadavky uvedené</w:t>
      </w:r>
      <w:r w:rsidR="004F01E9">
        <w:rPr>
          <w:noProof/>
        </w:rPr>
        <w:t xml:space="preserve"> v </w:t>
      </w:r>
      <w:r w:rsidRPr="004F01E9">
        <w:rPr>
          <w:noProof/>
        </w:rPr>
        <w:t>odseku 3.</w:t>
      </w:r>
    </w:p>
    <w:p w14:paraId="2B806D36" w14:textId="75F15FBC" w:rsidR="00806B81" w:rsidRPr="004F01E9" w:rsidRDefault="001369D1" w:rsidP="00804D0B">
      <w:pPr>
        <w:pStyle w:val="Text1"/>
        <w:rPr>
          <w:noProof/>
        </w:rPr>
      </w:pPr>
      <w:r w:rsidRPr="004F01E9">
        <w:rPr>
          <w:noProof/>
        </w:rPr>
        <w:t>Na účely písmena a), ak má inštitúcia viac než jednu expozíciu zabezpečenú tým istým nehnuteľným majetkom</w:t>
      </w:r>
      <w:r w:rsidR="004F01E9">
        <w:rPr>
          <w:noProof/>
        </w:rPr>
        <w:t xml:space="preserve"> a </w:t>
      </w:r>
      <w:r w:rsidRPr="004F01E9">
        <w:rPr>
          <w:noProof/>
        </w:rPr>
        <w:t>tieto expozície sú zabezpečené záložnými právami na tento nehnuteľný majetok postupne</w:t>
      </w:r>
      <w:r w:rsidR="004F01E9">
        <w:rPr>
          <w:noProof/>
        </w:rPr>
        <w:t xml:space="preserve"> v </w:t>
      </w:r>
      <w:r w:rsidRPr="004F01E9">
        <w:rPr>
          <w:noProof/>
        </w:rPr>
        <w:t>poradí bez akéhokoľvek záložného práva</w:t>
      </w:r>
      <w:r w:rsidR="004F01E9">
        <w:rPr>
          <w:noProof/>
        </w:rPr>
        <w:t xml:space="preserve"> v </w:t>
      </w:r>
      <w:r w:rsidRPr="004F01E9">
        <w:rPr>
          <w:noProof/>
        </w:rPr>
        <w:t>držbe tretej strany</w:t>
      </w:r>
      <w:r w:rsidR="004F01E9">
        <w:rPr>
          <w:noProof/>
        </w:rPr>
        <w:t xml:space="preserve"> s </w:t>
      </w:r>
      <w:r w:rsidRPr="004F01E9">
        <w:rPr>
          <w:noProof/>
        </w:rPr>
        <w:t>postavením medzi nimi,</w:t>
      </w:r>
      <w:r w:rsidR="004F01E9">
        <w:rPr>
          <w:noProof/>
        </w:rPr>
        <w:t xml:space="preserve"> s </w:t>
      </w:r>
      <w:r w:rsidRPr="004F01E9">
        <w:rPr>
          <w:noProof/>
        </w:rPr>
        <w:t>expozíciami sa zaobchádza ako</w:t>
      </w:r>
      <w:r w:rsidR="004F01E9">
        <w:rPr>
          <w:noProof/>
        </w:rPr>
        <w:t xml:space="preserve"> s </w:t>
      </w:r>
      <w:r w:rsidRPr="004F01E9">
        <w:rPr>
          <w:noProof/>
        </w:rPr>
        <w:t>jednou kombinovanou expozíciou</w:t>
      </w:r>
      <w:r w:rsidR="004F01E9">
        <w:rPr>
          <w:noProof/>
        </w:rPr>
        <w:t xml:space="preserve"> a </w:t>
      </w:r>
      <w:r w:rsidRPr="004F01E9">
        <w:rPr>
          <w:noProof/>
        </w:rPr>
        <w:t>hrubé hodnoty expozícií pre jednotlivé expozície sa sčítavajú na účely výpočtu hrubej hodnoty expozície pre jednu kombinovanú expozíciu.</w:t>
      </w:r>
    </w:p>
    <w:p w14:paraId="1203B88D" w14:textId="77777777" w:rsidR="00806B81" w:rsidRPr="004F01E9" w:rsidRDefault="001369D1" w:rsidP="001369D1">
      <w:pPr>
        <w:pStyle w:val="Text1"/>
        <w:rPr>
          <w:noProof/>
        </w:rPr>
      </w:pPr>
      <w:r w:rsidRPr="004F01E9">
        <w:rPr>
          <w:noProof/>
        </w:rPr>
        <w:t>6. Členské štáty určujú orgán zodpovedný za uplatňovanie odseku 7. Uvedený orgán je príslušným orgánom alebo určeným orgánom.</w:t>
      </w:r>
    </w:p>
    <w:p w14:paraId="63F2FA9F" w14:textId="0906E593" w:rsidR="001369D1" w:rsidRPr="004F01E9" w:rsidRDefault="001369D1" w:rsidP="001369D1">
      <w:pPr>
        <w:pStyle w:val="Text1"/>
        <w:rPr>
          <w:noProof/>
        </w:rPr>
      </w:pPr>
      <w:r w:rsidRPr="004F01E9">
        <w:rPr>
          <w:noProof/>
        </w:rPr>
        <w:t>Ak je orgán, ktorý členský štát určil na uplatňovanie tohto článku, príslušným orgánom, tento orgán by mal zabezpečiť, aby boli zodpovedné vnútroštátne úrady</w:t>
      </w:r>
      <w:r w:rsidR="004F01E9">
        <w:rPr>
          <w:noProof/>
        </w:rPr>
        <w:t xml:space="preserve"> a </w:t>
      </w:r>
      <w:r w:rsidRPr="004F01E9">
        <w:rPr>
          <w:noProof/>
        </w:rPr>
        <w:t>orgány, ktoré majú makroprudenciálny mandát, riadne informované</w:t>
      </w:r>
      <w:r w:rsidR="004F01E9">
        <w:rPr>
          <w:noProof/>
        </w:rPr>
        <w:t xml:space="preserve"> o </w:t>
      </w:r>
      <w:r w:rsidRPr="004F01E9">
        <w:rPr>
          <w:noProof/>
        </w:rPr>
        <w:t>úmysle príslušného orgánu uplatniť tento článok</w:t>
      </w:r>
      <w:r w:rsidR="004F01E9">
        <w:rPr>
          <w:noProof/>
        </w:rPr>
        <w:t xml:space="preserve"> a </w:t>
      </w:r>
      <w:r w:rsidRPr="004F01E9">
        <w:rPr>
          <w:noProof/>
        </w:rPr>
        <w:t>boli primerane zapojené do posudzovania obáv týkajúcich sa finančnej stability vo svojom členskom štáte</w:t>
      </w:r>
      <w:r w:rsidR="004F01E9">
        <w:rPr>
          <w:noProof/>
        </w:rPr>
        <w:t xml:space="preserve"> v </w:t>
      </w:r>
      <w:r w:rsidRPr="004F01E9">
        <w:rPr>
          <w:noProof/>
        </w:rPr>
        <w:t>súlade</w:t>
      </w:r>
      <w:r w:rsidR="004F01E9">
        <w:rPr>
          <w:noProof/>
        </w:rPr>
        <w:t xml:space="preserve"> s </w:t>
      </w:r>
      <w:r w:rsidRPr="004F01E9">
        <w:rPr>
          <w:noProof/>
        </w:rPr>
        <w:t>odsekom 6.</w:t>
      </w:r>
    </w:p>
    <w:p w14:paraId="7B858105" w14:textId="66A9C401" w:rsidR="001369D1" w:rsidRPr="004F01E9" w:rsidRDefault="001369D1" w:rsidP="001369D1">
      <w:pPr>
        <w:pStyle w:val="Text1"/>
        <w:rPr>
          <w:noProof/>
        </w:rPr>
      </w:pPr>
      <w:r w:rsidRPr="004F01E9">
        <w:rPr>
          <w:noProof/>
        </w:rPr>
        <w:t>Ak je orgán, ktorý členský štát určil na uplatňovanie tohto článku, iný ako príslušný orgán, členský štát prijme potrebné opatrenia, aby na účely správneho uplatňovania tohto článku zabezpečil riadnu koordináciu</w:t>
      </w:r>
      <w:r w:rsidR="004F01E9">
        <w:rPr>
          <w:noProof/>
        </w:rPr>
        <w:t xml:space="preserve"> a </w:t>
      </w:r>
      <w:r w:rsidRPr="004F01E9">
        <w:rPr>
          <w:noProof/>
        </w:rPr>
        <w:t>výmenu informácií medzi príslušným orgánom</w:t>
      </w:r>
      <w:r w:rsidR="004F01E9">
        <w:rPr>
          <w:noProof/>
        </w:rPr>
        <w:t xml:space="preserve"> a </w:t>
      </w:r>
      <w:r w:rsidRPr="004F01E9">
        <w:rPr>
          <w:noProof/>
        </w:rPr>
        <w:t>určeným orgánom. Od orgánov sa predovšetkým vyžaduje, aby úzko spolupracovali</w:t>
      </w:r>
      <w:r w:rsidR="004F01E9">
        <w:rPr>
          <w:noProof/>
        </w:rPr>
        <w:t xml:space="preserve"> a </w:t>
      </w:r>
      <w:r w:rsidRPr="004F01E9">
        <w:rPr>
          <w:noProof/>
        </w:rPr>
        <w:t>vymieňali si všetky informácie, ktoré by mohli byť potrebné na primerané plnenie povinností uložených určeným orgánom podľa tohto článku. Uvedená spolupráca má za cieľ zabraňovať akémukoľvek duplicitnému alebo nesúladnému opatreniu zo strany príslušného orgánu</w:t>
      </w:r>
      <w:r w:rsidR="004F01E9">
        <w:rPr>
          <w:noProof/>
        </w:rPr>
        <w:t xml:space="preserve"> a </w:t>
      </w:r>
      <w:r w:rsidRPr="004F01E9">
        <w:rPr>
          <w:noProof/>
        </w:rPr>
        <w:t>určeného orgánu, ako aj zabezpečovať riadne zohľadnenie interakcie</w:t>
      </w:r>
      <w:r w:rsidR="004F01E9">
        <w:rPr>
          <w:noProof/>
        </w:rPr>
        <w:t xml:space="preserve"> s </w:t>
      </w:r>
      <w:r w:rsidRPr="004F01E9">
        <w:rPr>
          <w:noProof/>
        </w:rPr>
        <w:t>inými opatreniami, najmä opatreniami prijatými podľa článku 458 tohto nariadenia</w:t>
      </w:r>
      <w:r w:rsidR="004F01E9">
        <w:rPr>
          <w:noProof/>
        </w:rPr>
        <w:t xml:space="preserve"> a </w:t>
      </w:r>
      <w:r w:rsidRPr="004F01E9">
        <w:rPr>
          <w:noProof/>
        </w:rPr>
        <w:t>článku 133 smernice 2013/36/EÚ.</w:t>
      </w:r>
    </w:p>
    <w:p w14:paraId="4BB3A629" w14:textId="56E81086" w:rsidR="001369D1" w:rsidRPr="004F01E9" w:rsidRDefault="001369D1" w:rsidP="001369D1">
      <w:pPr>
        <w:pStyle w:val="Text1"/>
        <w:rPr>
          <w:noProof/>
        </w:rPr>
      </w:pPr>
      <w:r w:rsidRPr="004F01E9">
        <w:rPr>
          <w:noProof/>
        </w:rPr>
        <w:t>7. Na základe údajov zozbieraných podľa článku 430a</w:t>
      </w:r>
      <w:r w:rsidR="004F01E9">
        <w:rPr>
          <w:noProof/>
        </w:rPr>
        <w:t xml:space="preserve"> o </w:t>
      </w:r>
      <w:r w:rsidRPr="004F01E9">
        <w:rPr>
          <w:noProof/>
        </w:rPr>
        <w:t>akýchkoľvek ďalších relevantných ukazovateľoch orgán určený</w:t>
      </w:r>
      <w:r w:rsidR="004F01E9">
        <w:rPr>
          <w:noProof/>
        </w:rPr>
        <w:t xml:space="preserve"> v </w:t>
      </w:r>
      <w:r w:rsidRPr="004F01E9">
        <w:rPr>
          <w:noProof/>
        </w:rPr>
        <w:t>súlade</w:t>
      </w:r>
      <w:r w:rsidR="004F01E9">
        <w:rPr>
          <w:noProof/>
        </w:rPr>
        <w:t xml:space="preserve"> s </w:t>
      </w:r>
      <w:r w:rsidRPr="004F01E9">
        <w:rPr>
          <w:noProof/>
        </w:rPr>
        <w:t>odsekom 6 tohto článku pravidelne</w:t>
      </w:r>
      <w:r w:rsidR="004F01E9">
        <w:rPr>
          <w:noProof/>
        </w:rPr>
        <w:t xml:space="preserve"> a </w:t>
      </w:r>
      <w:r w:rsidRPr="004F01E9">
        <w:rPr>
          <w:noProof/>
        </w:rPr>
        <w:t>aspoň raz ročne posudzuje, či váhy stanovené</w:t>
      </w:r>
      <w:r w:rsidR="004F01E9">
        <w:rPr>
          <w:noProof/>
        </w:rPr>
        <w:t xml:space="preserve"> v </w:t>
      </w:r>
      <w:r w:rsidRPr="004F01E9">
        <w:rPr>
          <w:noProof/>
        </w:rPr>
        <w:t>článkoch 125</w:t>
      </w:r>
      <w:r w:rsidR="004F01E9">
        <w:rPr>
          <w:noProof/>
        </w:rPr>
        <w:t xml:space="preserve"> a </w:t>
      </w:r>
      <w:r w:rsidRPr="004F01E9">
        <w:rPr>
          <w:noProof/>
        </w:rPr>
        <w:t>126 pre expozície zabezpečené nehnuteľným majetkom nachádzajúcim sa na ich území sú primerane založené na:</w:t>
      </w:r>
    </w:p>
    <w:p w14:paraId="45FA4AC9" w14:textId="1EA7B0FC" w:rsidR="001369D1" w:rsidRPr="004F01E9" w:rsidRDefault="001369D1" w:rsidP="001369D1">
      <w:pPr>
        <w:pStyle w:val="Point1"/>
        <w:rPr>
          <w:noProof/>
        </w:rPr>
      </w:pPr>
      <w:r w:rsidRPr="004F01E9">
        <w:rPr>
          <w:noProof/>
        </w:rPr>
        <w:t>a)</w:t>
      </w:r>
      <w:r w:rsidRPr="004F01E9">
        <w:rPr>
          <w:noProof/>
        </w:rPr>
        <w:tab/>
        <w:t>zaznamenanej strate</w:t>
      </w:r>
      <w:r w:rsidR="004F01E9">
        <w:rPr>
          <w:noProof/>
        </w:rPr>
        <w:t xml:space="preserve"> v </w:t>
      </w:r>
      <w:r w:rsidRPr="004F01E9">
        <w:rPr>
          <w:noProof/>
        </w:rPr>
        <w:t>prípade expozícií zabezpečených nehnuteľným majetkom;</w:t>
      </w:r>
    </w:p>
    <w:p w14:paraId="2E13DD55" w14:textId="0C320A88" w:rsidR="001369D1" w:rsidRPr="004F01E9" w:rsidRDefault="001369D1" w:rsidP="001369D1">
      <w:pPr>
        <w:pStyle w:val="Point1"/>
        <w:rPr>
          <w:noProof/>
        </w:rPr>
      </w:pPr>
      <w:r w:rsidRPr="004F01E9">
        <w:rPr>
          <w:noProof/>
        </w:rPr>
        <w:t>b)</w:t>
      </w:r>
      <w:r w:rsidRPr="004F01E9">
        <w:rPr>
          <w:noProof/>
        </w:rPr>
        <w:tab/>
        <w:t>budúcom vývoji trhov</w:t>
      </w:r>
      <w:r w:rsidR="004F01E9">
        <w:rPr>
          <w:noProof/>
        </w:rPr>
        <w:t xml:space="preserve"> s </w:t>
      </w:r>
      <w:r w:rsidRPr="004F01E9">
        <w:rPr>
          <w:noProof/>
        </w:rPr>
        <w:t>nehnuteľným majetkom.</w:t>
      </w:r>
    </w:p>
    <w:p w14:paraId="4B1ED753" w14:textId="5AA917E4" w:rsidR="001369D1" w:rsidRPr="004F01E9" w:rsidRDefault="001369D1" w:rsidP="001369D1">
      <w:pPr>
        <w:pStyle w:val="Text1"/>
        <w:rPr>
          <w:noProof/>
        </w:rPr>
      </w:pPr>
      <w:r w:rsidRPr="004F01E9">
        <w:rPr>
          <w:noProof/>
        </w:rPr>
        <w:t>Ak na základe posúdenia uvedeného</w:t>
      </w:r>
      <w:r w:rsidR="004F01E9">
        <w:rPr>
          <w:noProof/>
        </w:rPr>
        <w:t xml:space="preserve"> v </w:t>
      </w:r>
      <w:r w:rsidRPr="004F01E9">
        <w:rPr>
          <w:noProof/>
        </w:rPr>
        <w:t>prvom pododseku tohto odseku orgán určený</w:t>
      </w:r>
      <w:r w:rsidR="004F01E9">
        <w:rPr>
          <w:noProof/>
        </w:rPr>
        <w:t xml:space="preserve"> v </w:t>
      </w:r>
      <w:r w:rsidRPr="004F01E9">
        <w:rPr>
          <w:noProof/>
        </w:rPr>
        <w:t>súlade</w:t>
      </w:r>
      <w:r w:rsidR="004F01E9">
        <w:rPr>
          <w:noProof/>
        </w:rPr>
        <w:t xml:space="preserve"> s </w:t>
      </w:r>
      <w:r w:rsidRPr="004F01E9">
        <w:rPr>
          <w:noProof/>
        </w:rPr>
        <w:t>odsekom 6 tohto článku dospeje</w:t>
      </w:r>
      <w:r w:rsidR="004F01E9">
        <w:rPr>
          <w:noProof/>
        </w:rPr>
        <w:t xml:space="preserve"> k </w:t>
      </w:r>
      <w:r w:rsidRPr="004F01E9">
        <w:rPr>
          <w:noProof/>
        </w:rPr>
        <w:t>záveru, že rizikové váhy stanovené</w:t>
      </w:r>
      <w:r w:rsidR="004F01E9">
        <w:rPr>
          <w:noProof/>
        </w:rPr>
        <w:t xml:space="preserve"> v </w:t>
      </w:r>
      <w:r w:rsidRPr="004F01E9">
        <w:rPr>
          <w:noProof/>
        </w:rPr>
        <w:t>článku 125 alebo 126 primerane neodrážajú skutočné riziká súvisiace</w:t>
      </w:r>
      <w:r w:rsidR="004F01E9">
        <w:rPr>
          <w:noProof/>
        </w:rPr>
        <w:t xml:space="preserve"> s </w:t>
      </w:r>
      <w:r w:rsidRPr="004F01E9">
        <w:rPr>
          <w:noProof/>
        </w:rPr>
        <w:t>jedným alebo viacerými majetkovými segmentmi expozícií, ktoré sú zabezpečené hypotékami na nehnuteľný majetok určený na bývanie alebo na nehnuteľný majetok určený na podnikanie nachádzajúcimi sa na jednej alebo viacerých častiach územia členského štátu zodpovedného orgánu,</w:t>
      </w:r>
      <w:r w:rsidR="004F01E9">
        <w:rPr>
          <w:noProof/>
        </w:rPr>
        <w:t xml:space="preserve"> a </w:t>
      </w:r>
      <w:r w:rsidRPr="004F01E9">
        <w:rPr>
          <w:noProof/>
        </w:rPr>
        <w:t>ak usúdi, že neprimeranosť rizikových váh by mohla mať nepriaznivý vplyv na súčasnú alebo budúcu finančnú stabilitu</w:t>
      </w:r>
      <w:r w:rsidR="004F01E9">
        <w:rPr>
          <w:noProof/>
        </w:rPr>
        <w:t xml:space="preserve"> v </w:t>
      </w:r>
      <w:r w:rsidRPr="004F01E9">
        <w:rPr>
          <w:noProof/>
        </w:rPr>
        <w:t>jeho členskom štáte, môže zvýšiť rizikové váhy uplatniteľné na takéto expozície</w:t>
      </w:r>
      <w:r w:rsidR="004F01E9">
        <w:rPr>
          <w:noProof/>
        </w:rPr>
        <w:t xml:space="preserve"> v </w:t>
      </w:r>
      <w:r w:rsidRPr="004F01E9">
        <w:rPr>
          <w:noProof/>
        </w:rPr>
        <w:t>rozpätiach stanovených vo štvrtom pododseku tohto odseku alebo uplatniť prísnejšie kritériá, než sú stanovené</w:t>
      </w:r>
      <w:r w:rsidR="004F01E9">
        <w:rPr>
          <w:noProof/>
        </w:rPr>
        <w:t xml:space="preserve"> v </w:t>
      </w:r>
      <w:r w:rsidRPr="004F01E9">
        <w:rPr>
          <w:noProof/>
        </w:rPr>
        <w:t>odseku 3 tohto článku.</w:t>
      </w:r>
    </w:p>
    <w:p w14:paraId="793775FF" w14:textId="2ABCA838" w:rsidR="001369D1" w:rsidRPr="004F01E9" w:rsidRDefault="001369D1" w:rsidP="001369D1">
      <w:pPr>
        <w:pStyle w:val="Text1"/>
        <w:rPr>
          <w:noProof/>
        </w:rPr>
      </w:pPr>
      <w:r w:rsidRPr="004F01E9">
        <w:rPr>
          <w:noProof/>
        </w:rPr>
        <w:t>Orgán určený</w:t>
      </w:r>
      <w:r w:rsidR="004F01E9">
        <w:rPr>
          <w:noProof/>
        </w:rPr>
        <w:t xml:space="preserve"> v </w:t>
      </w:r>
      <w:r w:rsidRPr="004F01E9">
        <w:rPr>
          <w:noProof/>
        </w:rPr>
        <w:t>súlade</w:t>
      </w:r>
      <w:r w:rsidR="004F01E9">
        <w:rPr>
          <w:noProof/>
        </w:rPr>
        <w:t xml:space="preserve"> s </w:t>
      </w:r>
      <w:r w:rsidRPr="004F01E9">
        <w:rPr>
          <w:noProof/>
        </w:rPr>
        <w:t>odsekom 6 tohto článku oznamuje EBA</w:t>
      </w:r>
      <w:r w:rsidR="004F01E9">
        <w:rPr>
          <w:noProof/>
        </w:rPr>
        <w:t xml:space="preserve"> a </w:t>
      </w:r>
      <w:r w:rsidRPr="004F01E9">
        <w:rPr>
          <w:noProof/>
        </w:rPr>
        <w:t>ESRB akékoľvek úpravy rizikových váh</w:t>
      </w:r>
      <w:r w:rsidR="004F01E9">
        <w:rPr>
          <w:noProof/>
        </w:rPr>
        <w:t xml:space="preserve"> a </w:t>
      </w:r>
      <w:r w:rsidRPr="004F01E9">
        <w:rPr>
          <w:noProof/>
        </w:rPr>
        <w:t>kritérií uplatnených podľa tohto odseku. EBA</w:t>
      </w:r>
      <w:r w:rsidR="004F01E9">
        <w:rPr>
          <w:noProof/>
        </w:rPr>
        <w:t xml:space="preserve"> a </w:t>
      </w:r>
      <w:r w:rsidRPr="004F01E9">
        <w:rPr>
          <w:noProof/>
        </w:rPr>
        <w:t>ESRB poskytnú dotknutému členskému štátu svoje stanovisko</w:t>
      </w:r>
      <w:r w:rsidR="004F01E9">
        <w:rPr>
          <w:noProof/>
        </w:rPr>
        <w:t xml:space="preserve"> v </w:t>
      </w:r>
      <w:r w:rsidRPr="004F01E9">
        <w:rPr>
          <w:noProof/>
        </w:rPr>
        <w:t>lehote jedného mesiaca od doručenia takéhoto oznámenia. EBA</w:t>
      </w:r>
      <w:r w:rsidR="004F01E9">
        <w:rPr>
          <w:noProof/>
        </w:rPr>
        <w:t xml:space="preserve"> a </w:t>
      </w:r>
      <w:r w:rsidRPr="004F01E9">
        <w:rPr>
          <w:noProof/>
        </w:rPr>
        <w:t>ESRB zverejňujú rizikové váhy</w:t>
      </w:r>
      <w:r w:rsidR="004F01E9">
        <w:rPr>
          <w:noProof/>
        </w:rPr>
        <w:t xml:space="preserve"> a </w:t>
      </w:r>
      <w:r w:rsidRPr="004F01E9">
        <w:rPr>
          <w:noProof/>
        </w:rPr>
        <w:t>kritériá pre expozície uvedené</w:t>
      </w:r>
      <w:r w:rsidR="004F01E9">
        <w:rPr>
          <w:noProof/>
        </w:rPr>
        <w:t xml:space="preserve"> v </w:t>
      </w:r>
      <w:r w:rsidRPr="004F01E9">
        <w:rPr>
          <w:noProof/>
        </w:rPr>
        <w:t>článkoch 125, 126</w:t>
      </w:r>
      <w:r w:rsidR="004F01E9">
        <w:rPr>
          <w:noProof/>
        </w:rPr>
        <w:t xml:space="preserve"> a </w:t>
      </w:r>
      <w:r w:rsidRPr="004F01E9">
        <w:rPr>
          <w:noProof/>
        </w:rPr>
        <w:t>článku 199 ods. 1 písm. a) tak, ako ich implementoval zodpovedný orgán.</w:t>
      </w:r>
    </w:p>
    <w:p w14:paraId="5FB6B896" w14:textId="12AF9775" w:rsidR="001369D1" w:rsidRPr="004F01E9" w:rsidRDefault="001369D1" w:rsidP="001369D1">
      <w:pPr>
        <w:pStyle w:val="Text1"/>
        <w:rPr>
          <w:noProof/>
        </w:rPr>
      </w:pPr>
      <w:r w:rsidRPr="004F01E9">
        <w:rPr>
          <w:noProof/>
        </w:rPr>
        <w:t>Na účely druhého pododseku tohto odseku môže orgán určený</w:t>
      </w:r>
      <w:r w:rsidR="004F01E9">
        <w:rPr>
          <w:noProof/>
        </w:rPr>
        <w:t xml:space="preserve"> v </w:t>
      </w:r>
      <w:r w:rsidRPr="004F01E9">
        <w:rPr>
          <w:noProof/>
        </w:rPr>
        <w:t>súlade</w:t>
      </w:r>
      <w:r w:rsidR="004F01E9">
        <w:rPr>
          <w:noProof/>
        </w:rPr>
        <w:t xml:space="preserve"> s </w:t>
      </w:r>
      <w:r w:rsidRPr="004F01E9">
        <w:rPr>
          <w:noProof/>
        </w:rPr>
        <w:t>odsekom 6 zvýšiť rizikové váhy stanovené</w:t>
      </w:r>
      <w:r w:rsidR="004F01E9">
        <w:rPr>
          <w:noProof/>
        </w:rPr>
        <w:t xml:space="preserve"> v </w:t>
      </w:r>
      <w:r w:rsidRPr="004F01E9">
        <w:rPr>
          <w:noProof/>
        </w:rPr>
        <w:t>článku 125 ods. 1 písm. a) alebo</w:t>
      </w:r>
      <w:r w:rsidR="004F01E9">
        <w:rPr>
          <w:noProof/>
        </w:rPr>
        <w:t xml:space="preserve"> v </w:t>
      </w:r>
      <w:r w:rsidRPr="004F01E9">
        <w:rPr>
          <w:noProof/>
        </w:rPr>
        <w:t>článku 126 ods. 1 písm. a). Orgán ich nesmie zvýšiť na viac než 150</w:t>
      </w:r>
      <w:r w:rsidR="004F01E9">
        <w:rPr>
          <w:noProof/>
        </w:rPr>
        <w:t> %</w:t>
      </w:r>
      <w:r w:rsidRPr="004F01E9">
        <w:rPr>
          <w:noProof/>
        </w:rPr>
        <w:t>.</w:t>
      </w:r>
    </w:p>
    <w:p w14:paraId="7FD4438E" w14:textId="07624045" w:rsidR="001369D1" w:rsidRPr="004F01E9" w:rsidRDefault="001369D1" w:rsidP="001369D1">
      <w:pPr>
        <w:pStyle w:val="Text1"/>
        <w:rPr>
          <w:noProof/>
        </w:rPr>
      </w:pPr>
      <w:r w:rsidRPr="004F01E9">
        <w:rPr>
          <w:noProof/>
        </w:rPr>
        <w:t>8. Ak orgán určený</w:t>
      </w:r>
      <w:r w:rsidR="004F01E9">
        <w:rPr>
          <w:noProof/>
        </w:rPr>
        <w:t xml:space="preserve"> v </w:t>
      </w:r>
      <w:r w:rsidRPr="004F01E9">
        <w:rPr>
          <w:noProof/>
        </w:rPr>
        <w:t>súlade</w:t>
      </w:r>
      <w:r w:rsidR="004F01E9">
        <w:rPr>
          <w:noProof/>
        </w:rPr>
        <w:t xml:space="preserve"> s </w:t>
      </w:r>
      <w:r w:rsidRPr="004F01E9">
        <w:rPr>
          <w:noProof/>
        </w:rPr>
        <w:t>odsekom 6 stanoví vyššie rizikové váhy alebo prísnejšie kritériá podľa druhého pododseku odseku 2, inštitúcie majú šesťmesačné prechodné obdobie na ich uplatnenie.</w:t>
      </w:r>
    </w:p>
    <w:p w14:paraId="0D30A277" w14:textId="3502F0F2" w:rsidR="001369D1" w:rsidRPr="004F01E9" w:rsidRDefault="001369D1" w:rsidP="001369D1">
      <w:pPr>
        <w:pStyle w:val="Text1"/>
        <w:rPr>
          <w:noProof/>
        </w:rPr>
      </w:pPr>
      <w:r w:rsidRPr="004F01E9">
        <w:rPr>
          <w:noProof/>
        </w:rPr>
        <w:t>9. EBA</w:t>
      </w:r>
      <w:r w:rsidR="004F01E9">
        <w:rPr>
          <w:noProof/>
        </w:rPr>
        <w:t xml:space="preserve"> v </w:t>
      </w:r>
      <w:r w:rsidRPr="004F01E9">
        <w:rPr>
          <w:noProof/>
        </w:rPr>
        <w:t>úzkej spolupráci</w:t>
      </w:r>
      <w:r w:rsidR="004F01E9">
        <w:rPr>
          <w:noProof/>
        </w:rPr>
        <w:t xml:space="preserve"> s </w:t>
      </w:r>
      <w:r w:rsidRPr="004F01E9">
        <w:rPr>
          <w:noProof/>
        </w:rPr>
        <w:t>ESRB vypracuje návrh regulačných technických predpisov</w:t>
      </w:r>
      <w:r w:rsidR="004F01E9">
        <w:rPr>
          <w:noProof/>
        </w:rPr>
        <w:t xml:space="preserve"> s </w:t>
      </w:r>
      <w:r w:rsidRPr="004F01E9">
        <w:rPr>
          <w:noProof/>
        </w:rPr>
        <w:t>cieľom presne stanoviť typy faktorov, ktoré sa majú zohľadniť pri posúdení primeranosti rizikových váh uvedených</w:t>
      </w:r>
      <w:r w:rsidR="004F01E9">
        <w:rPr>
          <w:noProof/>
        </w:rPr>
        <w:t xml:space="preserve"> v </w:t>
      </w:r>
      <w:r w:rsidRPr="004F01E9">
        <w:rPr>
          <w:noProof/>
        </w:rPr>
        <w:t>odseku 7.</w:t>
      </w:r>
    </w:p>
    <w:p w14:paraId="1DD556B8" w14:textId="55055AB3" w:rsidR="001369D1" w:rsidRPr="004F01E9" w:rsidRDefault="001369D1" w:rsidP="001369D1">
      <w:pPr>
        <w:pStyle w:val="Text1"/>
        <w:rPr>
          <w:noProof/>
        </w:rPr>
      </w:pPr>
      <w:r w:rsidRPr="004F01E9">
        <w:rPr>
          <w:noProof/>
        </w:rPr>
        <w:t xml:space="preserve">EBA predloží návrh týchto regulačných technických predpisov Komisii do </w:t>
      </w:r>
      <w:r w:rsidRPr="004F01E9">
        <w:rPr>
          <w:noProof/>
          <w:highlight w:val="yellow"/>
        </w:rPr>
        <w:t>31</w:t>
      </w:r>
      <w:r w:rsidR="004F01E9">
        <w:rPr>
          <w:noProof/>
          <w:highlight w:val="yellow"/>
        </w:rPr>
        <w:t>. decembra</w:t>
      </w:r>
      <w:r w:rsidRPr="004F01E9">
        <w:rPr>
          <w:noProof/>
          <w:highlight w:val="yellow"/>
        </w:rPr>
        <w:t xml:space="preserve"> 2024</w:t>
      </w:r>
      <w:r w:rsidRPr="004F01E9">
        <w:rPr>
          <w:noProof/>
        </w:rPr>
        <w:t>.</w:t>
      </w:r>
    </w:p>
    <w:p w14:paraId="1C6CA01F" w14:textId="1C5218D5" w:rsidR="001369D1" w:rsidRPr="004F01E9" w:rsidRDefault="001369D1" w:rsidP="001369D1">
      <w:pPr>
        <w:pStyle w:val="Text1"/>
        <w:rPr>
          <w:noProof/>
        </w:rPr>
      </w:pPr>
      <w:r w:rsidRPr="004F01E9">
        <w:rPr>
          <w:noProof/>
        </w:rPr>
        <w:t>Na Komisiu sa deleguje právomoc doplniť toto nariadenie prijatím regulačných technických predpisov uvedených</w:t>
      </w:r>
      <w:r w:rsidR="004F01E9">
        <w:rPr>
          <w:noProof/>
        </w:rPr>
        <w:t xml:space="preserve"> v </w:t>
      </w:r>
      <w:r w:rsidRPr="004F01E9">
        <w:rPr>
          <w:noProof/>
        </w:rPr>
        <w:t>prvom pododseku</w:t>
      </w:r>
      <w:r w:rsidR="004F01E9">
        <w:rPr>
          <w:noProof/>
        </w:rPr>
        <w:t xml:space="preserve"> v </w:t>
      </w:r>
      <w:r w:rsidRPr="004F01E9">
        <w:rPr>
          <w:noProof/>
        </w:rPr>
        <w:t>súlade</w:t>
      </w:r>
      <w:r w:rsidR="004F01E9">
        <w:rPr>
          <w:noProof/>
        </w:rPr>
        <w:t xml:space="preserve"> s </w:t>
      </w:r>
      <w:r w:rsidRPr="004F01E9">
        <w:rPr>
          <w:noProof/>
        </w:rPr>
        <w:t xml:space="preserve">článkami 10 až 14 nariadenia (EÚ) </w:t>
      </w:r>
      <w:r w:rsidR="004F01E9">
        <w:rPr>
          <w:noProof/>
        </w:rPr>
        <w:t>č. </w:t>
      </w:r>
      <w:r w:rsidRPr="004F01E9">
        <w:rPr>
          <w:noProof/>
        </w:rPr>
        <w:t>1093/2010.</w:t>
      </w:r>
    </w:p>
    <w:p w14:paraId="0E477F7C" w14:textId="5E6AAE88" w:rsidR="001369D1" w:rsidRPr="004F01E9" w:rsidRDefault="001369D1" w:rsidP="001369D1">
      <w:pPr>
        <w:pStyle w:val="Text1"/>
        <w:rPr>
          <w:noProof/>
        </w:rPr>
      </w:pPr>
      <w:r w:rsidRPr="004F01E9">
        <w:rPr>
          <w:noProof/>
        </w:rPr>
        <w:t>10. ESRB môže prostredníctvom odporúčaní</w:t>
      </w:r>
      <w:r w:rsidR="004F01E9">
        <w:rPr>
          <w:noProof/>
        </w:rPr>
        <w:t xml:space="preserve"> v </w:t>
      </w:r>
      <w:r w:rsidRPr="004F01E9">
        <w:rPr>
          <w:noProof/>
        </w:rPr>
        <w:t>súlade</w:t>
      </w:r>
      <w:r w:rsidR="004F01E9">
        <w:rPr>
          <w:noProof/>
        </w:rPr>
        <w:t xml:space="preserve"> s </w:t>
      </w:r>
      <w:r w:rsidRPr="004F01E9">
        <w:rPr>
          <w:noProof/>
        </w:rPr>
        <w:t xml:space="preserve">článkom 16 nariadenia (EÚ) </w:t>
      </w:r>
      <w:r w:rsidR="004F01E9">
        <w:rPr>
          <w:noProof/>
        </w:rPr>
        <w:t>č. </w:t>
      </w:r>
      <w:r w:rsidRPr="004F01E9">
        <w:rPr>
          <w:noProof/>
        </w:rPr>
        <w:t>1092/2010</w:t>
      </w:r>
      <w:r w:rsidR="004F01E9">
        <w:rPr>
          <w:noProof/>
        </w:rPr>
        <w:t xml:space="preserve"> a v </w:t>
      </w:r>
      <w:r w:rsidRPr="004F01E9">
        <w:rPr>
          <w:noProof/>
        </w:rPr>
        <w:t>úzkej spolupráci</w:t>
      </w:r>
      <w:r w:rsidR="004F01E9">
        <w:rPr>
          <w:noProof/>
        </w:rPr>
        <w:t xml:space="preserve"> s </w:t>
      </w:r>
      <w:r w:rsidRPr="004F01E9">
        <w:rPr>
          <w:noProof/>
        </w:rPr>
        <w:t>EBA poskytnúť orgánom určeným</w:t>
      </w:r>
      <w:r w:rsidR="004F01E9">
        <w:rPr>
          <w:noProof/>
        </w:rPr>
        <w:t xml:space="preserve"> v </w:t>
      </w:r>
      <w:r w:rsidRPr="004F01E9">
        <w:rPr>
          <w:noProof/>
        </w:rPr>
        <w:t>súlade</w:t>
      </w:r>
      <w:r w:rsidR="004F01E9">
        <w:rPr>
          <w:noProof/>
        </w:rPr>
        <w:t xml:space="preserve"> s </w:t>
      </w:r>
      <w:r w:rsidRPr="004F01E9">
        <w:rPr>
          <w:noProof/>
        </w:rPr>
        <w:t>odsekom 6 tohto článku usmernenie, pokiaľ ide o:</w:t>
      </w:r>
    </w:p>
    <w:p w14:paraId="67F270B1" w14:textId="6A54B4E7" w:rsidR="001369D1" w:rsidRPr="004F01E9" w:rsidRDefault="001369D1" w:rsidP="001369D1">
      <w:pPr>
        <w:pStyle w:val="Point1"/>
        <w:rPr>
          <w:noProof/>
        </w:rPr>
      </w:pPr>
      <w:r w:rsidRPr="004F01E9">
        <w:rPr>
          <w:noProof/>
        </w:rPr>
        <w:t>a)</w:t>
      </w:r>
      <w:r w:rsidRPr="004F01E9">
        <w:rPr>
          <w:noProof/>
        </w:rPr>
        <w:tab/>
        <w:t>faktory, ktoré by mohli „nepriaznivo ovplyvniť súčasnú alebo budúcu finančnú stabilitu“ uvedenú</w:t>
      </w:r>
      <w:r w:rsidR="004F01E9">
        <w:rPr>
          <w:noProof/>
        </w:rPr>
        <w:t xml:space="preserve"> v </w:t>
      </w:r>
      <w:r w:rsidRPr="004F01E9">
        <w:rPr>
          <w:noProof/>
        </w:rPr>
        <w:t>odseku 7 druhom pododseku; a</w:t>
      </w:r>
    </w:p>
    <w:p w14:paraId="5ADA1C6D" w14:textId="77777777" w:rsidR="001369D1" w:rsidRPr="004F01E9" w:rsidRDefault="001369D1" w:rsidP="001369D1">
      <w:pPr>
        <w:pStyle w:val="Point1"/>
        <w:rPr>
          <w:noProof/>
        </w:rPr>
      </w:pPr>
      <w:r w:rsidRPr="004F01E9">
        <w:rPr>
          <w:noProof/>
        </w:rPr>
        <w:t>b)</w:t>
      </w:r>
      <w:r w:rsidRPr="004F01E9">
        <w:rPr>
          <w:noProof/>
        </w:rPr>
        <w:tab/>
        <w:t>orientačné referenčné hodnoty, ktoré má orgán určený podľa odseku 6 zohľadniť pri stanovení vyšších rizikových váh.</w:t>
      </w:r>
    </w:p>
    <w:p w14:paraId="7C81718A" w14:textId="72DA9F66" w:rsidR="001369D1" w:rsidRPr="004F01E9" w:rsidRDefault="001369D1" w:rsidP="001369D1">
      <w:pPr>
        <w:pStyle w:val="Text1"/>
        <w:rPr>
          <w:noProof/>
        </w:rPr>
      </w:pPr>
      <w:r w:rsidRPr="004F01E9">
        <w:rPr>
          <w:noProof/>
        </w:rPr>
        <w:t>11. Inštitúcie usadené</w:t>
      </w:r>
      <w:r w:rsidR="004F01E9">
        <w:rPr>
          <w:noProof/>
        </w:rPr>
        <w:t xml:space="preserve"> v </w:t>
      </w:r>
      <w:r w:rsidRPr="004F01E9">
        <w:rPr>
          <w:noProof/>
        </w:rPr>
        <w:t>členskom štáte uplatňujú rizikové váhy</w:t>
      </w:r>
      <w:r w:rsidR="004F01E9">
        <w:rPr>
          <w:noProof/>
        </w:rPr>
        <w:t xml:space="preserve"> a </w:t>
      </w:r>
      <w:r w:rsidRPr="004F01E9">
        <w:rPr>
          <w:noProof/>
        </w:rPr>
        <w:t>kritériá, ktoré stanovili orgány iného členského štátu</w:t>
      </w:r>
      <w:r w:rsidR="004F01E9">
        <w:rPr>
          <w:noProof/>
        </w:rPr>
        <w:t xml:space="preserve"> v </w:t>
      </w:r>
      <w:r w:rsidRPr="004F01E9">
        <w:rPr>
          <w:noProof/>
        </w:rPr>
        <w:t>súlade</w:t>
      </w:r>
      <w:r w:rsidR="004F01E9">
        <w:rPr>
          <w:noProof/>
        </w:rPr>
        <w:t xml:space="preserve"> s </w:t>
      </w:r>
      <w:r w:rsidRPr="004F01E9">
        <w:rPr>
          <w:noProof/>
        </w:rPr>
        <w:t>odsekom 7, na všetky svoje zodpovedajúce expozície zabezpečené hypotékami na nehnuteľný majetok určený na bývanie alebo nehnuteľný majetok určený na podnikanie, ktorý sa nachádza na časti alebo viacerých častiach toho iného členského štátu.“</w:t>
      </w:r>
    </w:p>
    <w:p w14:paraId="68363DAD" w14:textId="2E443965" w:rsidR="00806B81" w:rsidRPr="004F01E9" w:rsidRDefault="00061692" w:rsidP="00061692">
      <w:pPr>
        <w:pStyle w:val="Point0"/>
        <w:rPr>
          <w:noProof/>
        </w:rPr>
      </w:pPr>
      <w:r>
        <w:rPr>
          <w:noProof/>
        </w:rPr>
        <w:t>45.</w:t>
      </w:r>
      <w:r>
        <w:rPr>
          <w:noProof/>
        </w:rPr>
        <w:tab/>
      </w:r>
      <w:r w:rsidR="00456352" w:rsidRPr="004F01E9">
        <w:rPr>
          <w:noProof/>
        </w:rPr>
        <w:t>Článok 125 sa nahrádza takto:</w:t>
      </w:r>
    </w:p>
    <w:p w14:paraId="139B0DA3" w14:textId="2D8F2975" w:rsidR="00456352" w:rsidRPr="004F01E9" w:rsidRDefault="00456352" w:rsidP="00456352">
      <w:pPr>
        <w:pStyle w:val="Titrearticle"/>
        <w:spacing w:before="120"/>
        <w:rPr>
          <w:noProof/>
        </w:rPr>
      </w:pPr>
      <w:r w:rsidRPr="004F01E9">
        <w:rPr>
          <w:noProof/>
        </w:rPr>
        <w:t xml:space="preserve">„Článok 125 </w:t>
      </w:r>
      <w:r w:rsidRPr="004F01E9">
        <w:rPr>
          <w:noProof/>
        </w:rPr>
        <w:br/>
      </w:r>
      <w:r w:rsidRPr="004F01E9">
        <w:rPr>
          <w:b/>
          <w:i w:val="0"/>
          <w:noProof/>
        </w:rPr>
        <w:t>Expozície zabezpečené hypotékami na nehnuteľný majetok určený na bývanie</w:t>
      </w:r>
    </w:p>
    <w:p w14:paraId="3E66D07A" w14:textId="17ABDAF8" w:rsidR="00456352" w:rsidRPr="004F01E9" w:rsidRDefault="00456352" w:rsidP="00456352">
      <w:pPr>
        <w:pStyle w:val="Text1"/>
        <w:rPr>
          <w:noProof/>
        </w:rPr>
      </w:pPr>
      <w:r w:rsidRPr="004F01E9">
        <w:rPr>
          <w:noProof/>
        </w:rPr>
        <w:t>1.</w:t>
      </w:r>
      <w:r w:rsidR="004F01E9">
        <w:rPr>
          <w:noProof/>
        </w:rPr>
        <w:t xml:space="preserve"> S </w:t>
      </w:r>
      <w:r w:rsidRPr="004F01E9">
        <w:rPr>
          <w:noProof/>
        </w:rPr>
        <w:t>expozíciou zabezpečenou nehnuteľným majetkom určeným na bývanie, ktorá spĺňa ktorúkoľvek</w:t>
      </w:r>
      <w:r w:rsidR="004F01E9">
        <w:rPr>
          <w:noProof/>
        </w:rPr>
        <w:t xml:space="preserve"> z </w:t>
      </w:r>
      <w:r w:rsidRPr="004F01E9">
        <w:rPr>
          <w:noProof/>
        </w:rPr>
        <w:t>podmienok stanovených</w:t>
      </w:r>
      <w:r w:rsidR="004F01E9">
        <w:rPr>
          <w:noProof/>
        </w:rPr>
        <w:t xml:space="preserve"> v </w:t>
      </w:r>
      <w:r w:rsidRPr="004F01E9">
        <w:rPr>
          <w:noProof/>
        </w:rPr>
        <w:t>článku 124 ods. 2 písm. a) bodoch i) až iv), sa zaobchádza takto:</w:t>
      </w:r>
    </w:p>
    <w:p w14:paraId="09589CE2" w14:textId="248E7945" w:rsidR="00456352" w:rsidRPr="004F01E9" w:rsidRDefault="00456352" w:rsidP="00456352">
      <w:pPr>
        <w:pStyle w:val="Point1"/>
        <w:rPr>
          <w:noProof/>
        </w:rPr>
      </w:pPr>
      <w:r w:rsidRPr="004F01E9">
        <w:rPr>
          <w:noProof/>
        </w:rPr>
        <w:t>a)</w:t>
      </w:r>
      <w:r w:rsidRPr="004F01E9">
        <w:rPr>
          <w:noProof/>
        </w:rPr>
        <w:tab/>
        <w:t>časti expozície do výšky 55</w:t>
      </w:r>
      <w:r w:rsidR="004F01E9">
        <w:rPr>
          <w:noProof/>
        </w:rPr>
        <w:t> %</w:t>
      </w:r>
      <w:r w:rsidRPr="004F01E9">
        <w:rPr>
          <w:noProof/>
        </w:rPr>
        <w:t xml:space="preserve"> hodnoty majetku zostávajúcej po odpočítaní všetkých záložných práv</w:t>
      </w:r>
      <w:r w:rsidR="004F01E9">
        <w:rPr>
          <w:noProof/>
        </w:rPr>
        <w:t xml:space="preserve"> s </w:t>
      </w:r>
      <w:r w:rsidRPr="004F01E9">
        <w:rPr>
          <w:noProof/>
        </w:rPr>
        <w:t>nadriadeným alebo rovnocenným postavením, ktoré inštitúcia nemá</w:t>
      </w:r>
      <w:r w:rsidR="004F01E9">
        <w:rPr>
          <w:noProof/>
        </w:rPr>
        <w:t xml:space="preserve"> v </w:t>
      </w:r>
      <w:r w:rsidRPr="004F01E9">
        <w:rPr>
          <w:noProof/>
        </w:rPr>
        <w:t>držbe, sa priraďuje riziková váha 20</w:t>
      </w:r>
      <w:r w:rsidR="004F01E9">
        <w:rPr>
          <w:noProof/>
        </w:rPr>
        <w:t> %</w:t>
      </w:r>
      <w:r w:rsidRPr="004F01E9">
        <w:rPr>
          <w:noProof/>
        </w:rPr>
        <w:t>.</w:t>
      </w:r>
    </w:p>
    <w:p w14:paraId="2787454C" w14:textId="5D56F07C" w:rsidR="00456352" w:rsidRPr="00061692" w:rsidRDefault="00456352" w:rsidP="00456352">
      <w:pPr>
        <w:pStyle w:val="Text2"/>
        <w:rPr>
          <w:noProof/>
          <w:spacing w:val="-6"/>
        </w:rPr>
      </w:pPr>
      <w:r w:rsidRPr="00061692">
        <w:rPr>
          <w:noProof/>
          <w:spacing w:val="-6"/>
        </w:rPr>
        <w:t>Na účely tohto písmena, ak</w:t>
      </w:r>
      <w:r w:rsidR="004F01E9" w:rsidRPr="00061692">
        <w:rPr>
          <w:noProof/>
          <w:spacing w:val="-6"/>
        </w:rPr>
        <w:t xml:space="preserve"> v </w:t>
      </w:r>
      <w:r w:rsidRPr="00061692">
        <w:rPr>
          <w:noProof/>
          <w:spacing w:val="-6"/>
        </w:rPr>
        <w:t>súlade</w:t>
      </w:r>
      <w:r w:rsidR="004F01E9" w:rsidRPr="00061692">
        <w:rPr>
          <w:noProof/>
          <w:spacing w:val="-6"/>
        </w:rPr>
        <w:t xml:space="preserve"> s </w:t>
      </w:r>
      <w:r w:rsidRPr="00061692">
        <w:rPr>
          <w:noProof/>
          <w:spacing w:val="-6"/>
        </w:rPr>
        <w:t>článkom 124 ods. 7 príslušný alebo prípadne určený orgán stanovil vyššiu rizikovú váhu alebo nižší percentuálny podiel hodnoty majetku než tie, ktoré sú uvedené</w:t>
      </w:r>
      <w:r w:rsidR="004F01E9" w:rsidRPr="00061692">
        <w:rPr>
          <w:noProof/>
          <w:spacing w:val="-6"/>
        </w:rPr>
        <w:t xml:space="preserve"> v </w:t>
      </w:r>
      <w:r w:rsidRPr="00061692">
        <w:rPr>
          <w:noProof/>
          <w:spacing w:val="-6"/>
        </w:rPr>
        <w:t>tomto písmene, inštitúcie používajú rizikovú váhu</w:t>
      </w:r>
      <w:r w:rsidR="004F01E9" w:rsidRPr="00061692">
        <w:rPr>
          <w:noProof/>
          <w:spacing w:val="-6"/>
        </w:rPr>
        <w:t xml:space="preserve"> a </w:t>
      </w:r>
      <w:r w:rsidRPr="00061692">
        <w:rPr>
          <w:noProof/>
          <w:spacing w:val="-6"/>
        </w:rPr>
        <w:t>percentuálny podiel stanovené</w:t>
      </w:r>
      <w:r w:rsidR="004F01E9" w:rsidRPr="00061692">
        <w:rPr>
          <w:noProof/>
          <w:spacing w:val="-6"/>
        </w:rPr>
        <w:t xml:space="preserve"> v </w:t>
      </w:r>
      <w:r w:rsidRPr="00061692">
        <w:rPr>
          <w:noProof/>
          <w:spacing w:val="-6"/>
        </w:rPr>
        <w:t>súlade</w:t>
      </w:r>
      <w:r w:rsidR="004F01E9" w:rsidRPr="00061692">
        <w:rPr>
          <w:noProof/>
          <w:spacing w:val="-6"/>
        </w:rPr>
        <w:t xml:space="preserve"> s </w:t>
      </w:r>
      <w:r w:rsidRPr="00061692">
        <w:rPr>
          <w:noProof/>
          <w:spacing w:val="-6"/>
        </w:rPr>
        <w:t>článkom 124 ods. 7;</w:t>
      </w:r>
    </w:p>
    <w:p w14:paraId="0B7A3B1F" w14:textId="285B8758" w:rsidR="00456352" w:rsidRPr="004F01E9" w:rsidRDefault="00456352" w:rsidP="00456352">
      <w:pPr>
        <w:pStyle w:val="Point1"/>
        <w:rPr>
          <w:noProof/>
        </w:rPr>
      </w:pPr>
      <w:r w:rsidRPr="004F01E9">
        <w:rPr>
          <w:noProof/>
        </w:rPr>
        <w:t>b)</w:t>
      </w:r>
      <w:r w:rsidRPr="004F01E9">
        <w:rPr>
          <w:noProof/>
        </w:rPr>
        <w:tab/>
        <w:t>so zostávajúcou časťou expozície, ak existuje, sa zaobchádza ako</w:t>
      </w:r>
      <w:r w:rsidR="004F01E9">
        <w:rPr>
          <w:noProof/>
        </w:rPr>
        <w:t xml:space="preserve"> s </w:t>
      </w:r>
      <w:r w:rsidRPr="004F01E9">
        <w:rPr>
          <w:noProof/>
        </w:rPr>
        <w:t>expozíciou, ktorá nie je zabezpečená nehnuteľným majetkom určeným na bývanie.</w:t>
      </w:r>
    </w:p>
    <w:p w14:paraId="6B3AC4D0" w14:textId="287FDAB7" w:rsidR="00456352" w:rsidRPr="004F01E9" w:rsidRDefault="00456352" w:rsidP="00456352">
      <w:pPr>
        <w:pStyle w:val="Text1"/>
        <w:rPr>
          <w:noProof/>
        </w:rPr>
      </w:pPr>
      <w:r w:rsidRPr="004F01E9">
        <w:rPr>
          <w:noProof/>
        </w:rPr>
        <w:t>2. Expozícii zabezpečenej nehnuteľným majetkom určeným na bývanie, ktorá nespĺňa žiadnu</w:t>
      </w:r>
      <w:r w:rsidR="004F01E9">
        <w:rPr>
          <w:noProof/>
        </w:rPr>
        <w:t xml:space="preserve"> z </w:t>
      </w:r>
      <w:r w:rsidRPr="004F01E9">
        <w:rPr>
          <w:noProof/>
        </w:rPr>
        <w:t>podmienok stanovených</w:t>
      </w:r>
      <w:r w:rsidR="004F01E9">
        <w:rPr>
          <w:noProof/>
        </w:rPr>
        <w:t xml:space="preserve"> v </w:t>
      </w:r>
      <w:r w:rsidRPr="004F01E9">
        <w:rPr>
          <w:noProof/>
        </w:rPr>
        <w:t>článku 124 ods. 2 písm. a) bodoch i) až iv), sa priraďuje vyššia spomedzi hodnoty rizikovej váhy stanovenej</w:t>
      </w:r>
      <w:r w:rsidR="004F01E9">
        <w:rPr>
          <w:noProof/>
        </w:rPr>
        <w:t xml:space="preserve"> v </w:t>
      </w:r>
      <w:r w:rsidRPr="004F01E9">
        <w:rPr>
          <w:noProof/>
        </w:rPr>
        <w:t>súlade</w:t>
      </w:r>
      <w:r w:rsidR="004F01E9">
        <w:rPr>
          <w:noProof/>
        </w:rPr>
        <w:t xml:space="preserve"> s </w:t>
      </w:r>
      <w:r w:rsidRPr="004F01E9">
        <w:rPr>
          <w:noProof/>
        </w:rPr>
        <w:t>touto tabuľkou 6aaaa</w:t>
      </w:r>
      <w:r w:rsidR="004F01E9">
        <w:rPr>
          <w:noProof/>
        </w:rPr>
        <w:t xml:space="preserve"> a </w:t>
      </w:r>
      <w:r w:rsidRPr="004F01E9">
        <w:rPr>
          <w:noProof/>
        </w:rPr>
        <w:t>hodnoty rizikovej váhy stanovenej</w:t>
      </w:r>
      <w:r w:rsidR="004F01E9">
        <w:rPr>
          <w:noProof/>
        </w:rPr>
        <w:t xml:space="preserve"> v </w:t>
      </w:r>
      <w:r w:rsidRPr="004F01E9">
        <w:rPr>
          <w:noProof/>
        </w:rPr>
        <w:t>súlade</w:t>
      </w:r>
      <w:r w:rsidR="004F01E9">
        <w:rPr>
          <w:noProof/>
        </w:rPr>
        <w:t xml:space="preserve"> s </w:t>
      </w:r>
      <w:r w:rsidRPr="004F01E9">
        <w:rPr>
          <w:noProof/>
        </w:rPr>
        <w:t>článkom 124 ods. 7:</w:t>
      </w:r>
    </w:p>
    <w:p w14:paraId="489D5460" w14:textId="77777777" w:rsidR="00456352" w:rsidRPr="004F01E9" w:rsidRDefault="00456352" w:rsidP="00456352">
      <w:pPr>
        <w:pStyle w:val="Text1"/>
        <w:jc w:val="center"/>
        <w:rPr>
          <w:i/>
          <w:noProof/>
        </w:rPr>
      </w:pPr>
      <w:r w:rsidRPr="004F01E9">
        <w:rPr>
          <w:i/>
          <w:noProof/>
        </w:rPr>
        <w:t>Tabuľka 6aaa</w:t>
      </w: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8"/>
        <w:gridCol w:w="1311"/>
        <w:gridCol w:w="1310"/>
        <w:gridCol w:w="1308"/>
        <w:gridCol w:w="1310"/>
        <w:gridCol w:w="1311"/>
        <w:gridCol w:w="1310"/>
      </w:tblGrid>
      <w:tr w:rsidR="00456352" w:rsidRPr="004F01E9" w14:paraId="43FA9987" w14:textId="77777777" w:rsidTr="00CC5DE8">
        <w:trPr>
          <w:trHeight w:hRule="exact" w:val="838"/>
        </w:trPr>
        <w:tc>
          <w:tcPr>
            <w:tcW w:w="1308" w:type="dxa"/>
          </w:tcPr>
          <w:p w14:paraId="56887241" w14:textId="69C9BF26" w:rsidR="00456352" w:rsidRPr="004F01E9" w:rsidRDefault="00456352" w:rsidP="00061692">
            <w:pPr>
              <w:widowControl w:val="0"/>
              <w:autoSpaceDE w:val="0"/>
              <w:autoSpaceDN w:val="0"/>
              <w:spacing w:before="146" w:after="0"/>
              <w:jc w:val="left"/>
              <w:rPr>
                <w:rFonts w:eastAsia="Calibri"/>
                <w:noProof/>
              </w:rPr>
            </w:pPr>
            <w:r w:rsidRPr="004F01E9">
              <w:rPr>
                <w:noProof/>
                <w:color w:val="1A1717"/>
              </w:rPr>
              <w:t>ETV</w:t>
            </w:r>
          </w:p>
        </w:tc>
        <w:tc>
          <w:tcPr>
            <w:tcW w:w="1311" w:type="dxa"/>
          </w:tcPr>
          <w:p w14:paraId="4B940580" w14:textId="09DD75C6" w:rsidR="00456352" w:rsidRPr="004F01E9" w:rsidRDefault="00456352" w:rsidP="00061692">
            <w:pPr>
              <w:widowControl w:val="0"/>
              <w:autoSpaceDE w:val="0"/>
              <w:autoSpaceDN w:val="0"/>
              <w:spacing w:before="146" w:after="0"/>
              <w:jc w:val="left"/>
              <w:rPr>
                <w:rFonts w:eastAsia="Calibri"/>
                <w:noProof/>
              </w:rPr>
            </w:pPr>
            <w:r w:rsidRPr="004F01E9">
              <w:rPr>
                <w:noProof/>
                <w:color w:val="1A1717"/>
              </w:rPr>
              <w:t>ETV ≤ 50</w:t>
            </w:r>
            <w:r w:rsidR="004F01E9">
              <w:rPr>
                <w:noProof/>
                <w:color w:val="1A1717"/>
              </w:rPr>
              <w:t> %</w:t>
            </w:r>
          </w:p>
        </w:tc>
        <w:tc>
          <w:tcPr>
            <w:tcW w:w="1310" w:type="dxa"/>
          </w:tcPr>
          <w:p w14:paraId="08A3C9D5" w14:textId="4C24CFBB" w:rsidR="00456352" w:rsidRPr="004F01E9" w:rsidRDefault="00456352" w:rsidP="00061692">
            <w:pPr>
              <w:widowControl w:val="0"/>
              <w:autoSpaceDE w:val="0"/>
              <w:autoSpaceDN w:val="0"/>
              <w:spacing w:before="6" w:after="0" w:line="289" w:lineRule="exact"/>
              <w:jc w:val="left"/>
              <w:rPr>
                <w:rFonts w:eastAsia="Calibri"/>
                <w:noProof/>
              </w:rPr>
            </w:pPr>
            <w:r w:rsidRPr="004F01E9">
              <w:rPr>
                <w:noProof/>
                <w:color w:val="1A1717"/>
              </w:rPr>
              <w:t>50</w:t>
            </w:r>
            <w:r w:rsidR="004F01E9">
              <w:rPr>
                <w:noProof/>
                <w:color w:val="1A1717"/>
              </w:rPr>
              <w:t> %</w:t>
            </w:r>
            <w:r w:rsidRPr="004F01E9">
              <w:rPr>
                <w:noProof/>
                <w:color w:val="1A1717"/>
              </w:rPr>
              <w:t xml:space="preserve"> &lt; ETV</w:t>
            </w:r>
          </w:p>
          <w:p w14:paraId="0E82AB0D" w14:textId="700DD0A7" w:rsidR="00456352" w:rsidRPr="004F01E9" w:rsidRDefault="00456352" w:rsidP="00061692">
            <w:pPr>
              <w:widowControl w:val="0"/>
              <w:autoSpaceDE w:val="0"/>
              <w:autoSpaceDN w:val="0"/>
              <w:spacing w:before="0" w:after="0" w:line="289" w:lineRule="exact"/>
              <w:jc w:val="left"/>
              <w:rPr>
                <w:rFonts w:eastAsia="Calibri"/>
                <w:noProof/>
              </w:rPr>
            </w:pPr>
            <w:r w:rsidRPr="004F01E9">
              <w:rPr>
                <w:noProof/>
                <w:color w:val="1A1717"/>
              </w:rPr>
              <w:t>≤ 60</w:t>
            </w:r>
            <w:r w:rsidR="004F01E9">
              <w:rPr>
                <w:noProof/>
                <w:color w:val="1A1717"/>
              </w:rPr>
              <w:t> %</w:t>
            </w:r>
          </w:p>
        </w:tc>
        <w:tc>
          <w:tcPr>
            <w:tcW w:w="1308" w:type="dxa"/>
          </w:tcPr>
          <w:p w14:paraId="45E8CDD1" w14:textId="77765B58" w:rsidR="00456352" w:rsidRPr="004F01E9" w:rsidRDefault="00456352" w:rsidP="00061692">
            <w:pPr>
              <w:widowControl w:val="0"/>
              <w:autoSpaceDE w:val="0"/>
              <w:autoSpaceDN w:val="0"/>
              <w:spacing w:before="6" w:after="0" w:line="289" w:lineRule="exact"/>
              <w:jc w:val="left"/>
              <w:rPr>
                <w:rFonts w:eastAsia="Calibri"/>
                <w:noProof/>
              </w:rPr>
            </w:pPr>
            <w:r w:rsidRPr="004F01E9">
              <w:rPr>
                <w:noProof/>
                <w:color w:val="1A1717"/>
              </w:rPr>
              <w:t>60</w:t>
            </w:r>
            <w:r w:rsidR="004F01E9">
              <w:rPr>
                <w:noProof/>
                <w:color w:val="1A1717"/>
              </w:rPr>
              <w:t> %</w:t>
            </w:r>
            <w:r w:rsidRPr="004F01E9">
              <w:rPr>
                <w:noProof/>
                <w:color w:val="1A1717"/>
              </w:rPr>
              <w:t xml:space="preserve"> &lt; ETV</w:t>
            </w:r>
          </w:p>
          <w:p w14:paraId="0F2C9854" w14:textId="6A34DCE6" w:rsidR="00456352" w:rsidRPr="004F01E9" w:rsidRDefault="00456352" w:rsidP="00061692">
            <w:pPr>
              <w:widowControl w:val="0"/>
              <w:autoSpaceDE w:val="0"/>
              <w:autoSpaceDN w:val="0"/>
              <w:spacing w:before="0" w:after="0" w:line="289" w:lineRule="exact"/>
              <w:jc w:val="left"/>
              <w:rPr>
                <w:rFonts w:eastAsia="Calibri"/>
                <w:noProof/>
              </w:rPr>
            </w:pPr>
            <w:r w:rsidRPr="004F01E9">
              <w:rPr>
                <w:noProof/>
                <w:color w:val="1A1717"/>
              </w:rPr>
              <w:t>≤ 80</w:t>
            </w:r>
            <w:r w:rsidR="004F01E9">
              <w:rPr>
                <w:noProof/>
                <w:color w:val="1A1717"/>
              </w:rPr>
              <w:t> %</w:t>
            </w:r>
          </w:p>
        </w:tc>
        <w:tc>
          <w:tcPr>
            <w:tcW w:w="1310" w:type="dxa"/>
          </w:tcPr>
          <w:p w14:paraId="3CDC9A58" w14:textId="100B342F" w:rsidR="00456352" w:rsidRPr="004F01E9" w:rsidRDefault="00456352" w:rsidP="00061692">
            <w:pPr>
              <w:widowControl w:val="0"/>
              <w:autoSpaceDE w:val="0"/>
              <w:autoSpaceDN w:val="0"/>
              <w:spacing w:before="6" w:after="0" w:line="289" w:lineRule="exact"/>
              <w:jc w:val="left"/>
              <w:rPr>
                <w:rFonts w:eastAsia="Calibri"/>
                <w:noProof/>
              </w:rPr>
            </w:pPr>
            <w:r w:rsidRPr="004F01E9">
              <w:rPr>
                <w:noProof/>
                <w:color w:val="1A1717"/>
              </w:rPr>
              <w:t>80</w:t>
            </w:r>
            <w:r w:rsidR="004F01E9">
              <w:rPr>
                <w:noProof/>
                <w:color w:val="1A1717"/>
              </w:rPr>
              <w:t> %</w:t>
            </w:r>
            <w:r w:rsidRPr="004F01E9">
              <w:rPr>
                <w:noProof/>
                <w:color w:val="1A1717"/>
              </w:rPr>
              <w:t xml:space="preserve"> &lt; ETV</w:t>
            </w:r>
          </w:p>
          <w:p w14:paraId="7619F4E9" w14:textId="0BC594F9" w:rsidR="00456352" w:rsidRPr="004F01E9" w:rsidRDefault="00456352" w:rsidP="00061692">
            <w:pPr>
              <w:widowControl w:val="0"/>
              <w:autoSpaceDE w:val="0"/>
              <w:autoSpaceDN w:val="0"/>
              <w:spacing w:before="0" w:after="0" w:line="289" w:lineRule="exact"/>
              <w:jc w:val="left"/>
              <w:rPr>
                <w:rFonts w:eastAsia="Calibri"/>
                <w:noProof/>
              </w:rPr>
            </w:pPr>
            <w:r w:rsidRPr="004F01E9">
              <w:rPr>
                <w:noProof/>
                <w:color w:val="1A1717"/>
              </w:rPr>
              <w:t>≤ 90</w:t>
            </w:r>
            <w:r w:rsidR="004F01E9">
              <w:rPr>
                <w:noProof/>
                <w:color w:val="1A1717"/>
              </w:rPr>
              <w:t> %</w:t>
            </w:r>
          </w:p>
        </w:tc>
        <w:tc>
          <w:tcPr>
            <w:tcW w:w="1311" w:type="dxa"/>
          </w:tcPr>
          <w:p w14:paraId="5CD591C5" w14:textId="71DC85DD" w:rsidR="00456352" w:rsidRPr="004F01E9" w:rsidRDefault="00456352" w:rsidP="00061692">
            <w:pPr>
              <w:widowControl w:val="0"/>
              <w:autoSpaceDE w:val="0"/>
              <w:autoSpaceDN w:val="0"/>
              <w:spacing w:before="6" w:after="0" w:line="289" w:lineRule="exact"/>
              <w:jc w:val="left"/>
              <w:rPr>
                <w:rFonts w:eastAsia="Calibri"/>
                <w:noProof/>
              </w:rPr>
            </w:pPr>
            <w:r w:rsidRPr="004F01E9">
              <w:rPr>
                <w:noProof/>
                <w:color w:val="1A1717"/>
              </w:rPr>
              <w:t>90</w:t>
            </w:r>
            <w:r w:rsidR="004F01E9">
              <w:rPr>
                <w:noProof/>
                <w:color w:val="1A1717"/>
              </w:rPr>
              <w:t> %</w:t>
            </w:r>
            <w:r w:rsidRPr="004F01E9">
              <w:rPr>
                <w:noProof/>
                <w:color w:val="1A1717"/>
              </w:rPr>
              <w:t xml:space="preserve"> &lt; ETV</w:t>
            </w:r>
          </w:p>
          <w:p w14:paraId="0846079D" w14:textId="40A7573B" w:rsidR="00456352" w:rsidRPr="004F01E9" w:rsidRDefault="00456352" w:rsidP="00061692">
            <w:pPr>
              <w:widowControl w:val="0"/>
              <w:autoSpaceDE w:val="0"/>
              <w:autoSpaceDN w:val="0"/>
              <w:spacing w:before="0" w:after="0" w:line="289" w:lineRule="exact"/>
              <w:jc w:val="left"/>
              <w:rPr>
                <w:rFonts w:eastAsia="Calibri"/>
                <w:noProof/>
              </w:rPr>
            </w:pPr>
            <w:r w:rsidRPr="004F01E9">
              <w:rPr>
                <w:noProof/>
                <w:color w:val="1A1717"/>
              </w:rPr>
              <w:t>≤ 100</w:t>
            </w:r>
            <w:r w:rsidR="004F01E9">
              <w:rPr>
                <w:noProof/>
                <w:color w:val="1A1717"/>
              </w:rPr>
              <w:t> %</w:t>
            </w:r>
          </w:p>
        </w:tc>
        <w:tc>
          <w:tcPr>
            <w:tcW w:w="1310" w:type="dxa"/>
          </w:tcPr>
          <w:p w14:paraId="019ECBBC" w14:textId="631BFCBF" w:rsidR="00456352" w:rsidRPr="004F01E9" w:rsidRDefault="00456352" w:rsidP="00061692">
            <w:pPr>
              <w:widowControl w:val="0"/>
              <w:autoSpaceDE w:val="0"/>
              <w:autoSpaceDN w:val="0"/>
              <w:spacing w:before="0" w:after="0"/>
              <w:jc w:val="left"/>
              <w:rPr>
                <w:rFonts w:eastAsia="Calibri"/>
                <w:noProof/>
              </w:rPr>
            </w:pPr>
            <w:r w:rsidRPr="004F01E9">
              <w:rPr>
                <w:noProof/>
                <w:color w:val="1A1717"/>
              </w:rPr>
              <w:t>ETV &gt; 100</w:t>
            </w:r>
            <w:r w:rsidR="004F01E9">
              <w:rPr>
                <w:noProof/>
                <w:color w:val="1A1717"/>
              </w:rPr>
              <w:t> %</w:t>
            </w:r>
          </w:p>
        </w:tc>
      </w:tr>
      <w:tr w:rsidR="00456352" w:rsidRPr="004F01E9" w14:paraId="3775B0BC" w14:textId="77777777" w:rsidTr="00CC5DE8">
        <w:trPr>
          <w:trHeight w:hRule="exact" w:val="835"/>
        </w:trPr>
        <w:tc>
          <w:tcPr>
            <w:tcW w:w="1308" w:type="dxa"/>
          </w:tcPr>
          <w:p w14:paraId="7FE0ACA7" w14:textId="77777777" w:rsidR="00456352" w:rsidRPr="004F01E9" w:rsidRDefault="00456352" w:rsidP="00061692">
            <w:pPr>
              <w:widowControl w:val="0"/>
              <w:autoSpaceDE w:val="0"/>
              <w:autoSpaceDN w:val="0"/>
              <w:spacing w:before="0" w:after="0"/>
              <w:jc w:val="left"/>
              <w:rPr>
                <w:rFonts w:eastAsia="Calibri"/>
                <w:noProof/>
              </w:rPr>
            </w:pPr>
            <w:r w:rsidRPr="004F01E9">
              <w:rPr>
                <w:noProof/>
                <w:color w:val="1A1717"/>
              </w:rPr>
              <w:t>Riziková váha</w:t>
            </w:r>
          </w:p>
        </w:tc>
        <w:tc>
          <w:tcPr>
            <w:tcW w:w="1311" w:type="dxa"/>
          </w:tcPr>
          <w:p w14:paraId="694C7B73" w14:textId="1F830F59" w:rsidR="00456352" w:rsidRPr="004F01E9" w:rsidRDefault="00456352" w:rsidP="00061692">
            <w:pPr>
              <w:widowControl w:val="0"/>
              <w:autoSpaceDE w:val="0"/>
              <w:autoSpaceDN w:val="0"/>
              <w:spacing w:before="146" w:after="0"/>
              <w:jc w:val="left"/>
              <w:rPr>
                <w:rFonts w:eastAsia="Calibri"/>
                <w:noProof/>
              </w:rPr>
            </w:pPr>
            <w:r w:rsidRPr="004F01E9">
              <w:rPr>
                <w:noProof/>
                <w:color w:val="1A1717"/>
              </w:rPr>
              <w:t>30</w:t>
            </w:r>
            <w:r w:rsidR="004F01E9">
              <w:rPr>
                <w:noProof/>
                <w:color w:val="1A1717"/>
              </w:rPr>
              <w:t> %</w:t>
            </w:r>
          </w:p>
        </w:tc>
        <w:tc>
          <w:tcPr>
            <w:tcW w:w="1310" w:type="dxa"/>
          </w:tcPr>
          <w:p w14:paraId="3628E37D" w14:textId="03DF4CA2" w:rsidR="00456352" w:rsidRPr="004F01E9" w:rsidRDefault="00456352" w:rsidP="00061692">
            <w:pPr>
              <w:widowControl w:val="0"/>
              <w:autoSpaceDE w:val="0"/>
              <w:autoSpaceDN w:val="0"/>
              <w:spacing w:before="146" w:after="0"/>
              <w:jc w:val="left"/>
              <w:rPr>
                <w:rFonts w:eastAsia="Calibri"/>
                <w:noProof/>
              </w:rPr>
            </w:pPr>
            <w:r w:rsidRPr="004F01E9">
              <w:rPr>
                <w:noProof/>
                <w:color w:val="1A1717"/>
              </w:rPr>
              <w:t>35</w:t>
            </w:r>
            <w:r w:rsidR="004F01E9">
              <w:rPr>
                <w:noProof/>
                <w:color w:val="1A1717"/>
              </w:rPr>
              <w:t> %</w:t>
            </w:r>
          </w:p>
        </w:tc>
        <w:tc>
          <w:tcPr>
            <w:tcW w:w="1308" w:type="dxa"/>
          </w:tcPr>
          <w:p w14:paraId="59ABFDC9" w14:textId="0B445D84" w:rsidR="00456352" w:rsidRPr="004F01E9" w:rsidRDefault="00456352" w:rsidP="00061692">
            <w:pPr>
              <w:widowControl w:val="0"/>
              <w:autoSpaceDE w:val="0"/>
              <w:autoSpaceDN w:val="0"/>
              <w:spacing w:before="146" w:after="0"/>
              <w:jc w:val="left"/>
              <w:rPr>
                <w:rFonts w:eastAsia="Calibri"/>
                <w:noProof/>
              </w:rPr>
            </w:pPr>
            <w:r w:rsidRPr="004F01E9">
              <w:rPr>
                <w:noProof/>
                <w:color w:val="1A1717"/>
              </w:rPr>
              <w:t>45</w:t>
            </w:r>
            <w:r w:rsidR="004F01E9">
              <w:rPr>
                <w:noProof/>
                <w:color w:val="1A1717"/>
              </w:rPr>
              <w:t> %</w:t>
            </w:r>
          </w:p>
        </w:tc>
        <w:tc>
          <w:tcPr>
            <w:tcW w:w="1310" w:type="dxa"/>
          </w:tcPr>
          <w:p w14:paraId="3633FDE2" w14:textId="7DB703BA" w:rsidR="00456352" w:rsidRPr="004F01E9" w:rsidRDefault="00456352" w:rsidP="00061692">
            <w:pPr>
              <w:widowControl w:val="0"/>
              <w:autoSpaceDE w:val="0"/>
              <w:autoSpaceDN w:val="0"/>
              <w:spacing w:before="146" w:after="0"/>
              <w:jc w:val="left"/>
              <w:rPr>
                <w:rFonts w:eastAsia="Calibri"/>
                <w:noProof/>
              </w:rPr>
            </w:pPr>
            <w:r w:rsidRPr="004F01E9">
              <w:rPr>
                <w:noProof/>
                <w:color w:val="1A1717"/>
              </w:rPr>
              <w:t>60</w:t>
            </w:r>
            <w:r w:rsidR="004F01E9">
              <w:rPr>
                <w:noProof/>
                <w:color w:val="1A1717"/>
              </w:rPr>
              <w:t> %</w:t>
            </w:r>
          </w:p>
        </w:tc>
        <w:tc>
          <w:tcPr>
            <w:tcW w:w="1311" w:type="dxa"/>
          </w:tcPr>
          <w:p w14:paraId="039F963B" w14:textId="18ACBF9D" w:rsidR="00456352" w:rsidRPr="004F01E9" w:rsidRDefault="00456352" w:rsidP="00061692">
            <w:pPr>
              <w:widowControl w:val="0"/>
              <w:autoSpaceDE w:val="0"/>
              <w:autoSpaceDN w:val="0"/>
              <w:spacing w:before="146" w:after="0"/>
              <w:jc w:val="left"/>
              <w:rPr>
                <w:rFonts w:eastAsia="Calibri"/>
                <w:noProof/>
              </w:rPr>
            </w:pPr>
            <w:r w:rsidRPr="004F01E9">
              <w:rPr>
                <w:noProof/>
                <w:color w:val="1A1717"/>
              </w:rPr>
              <w:t>75</w:t>
            </w:r>
            <w:r w:rsidR="004F01E9">
              <w:rPr>
                <w:noProof/>
                <w:color w:val="1A1717"/>
              </w:rPr>
              <w:t> %</w:t>
            </w:r>
          </w:p>
        </w:tc>
        <w:tc>
          <w:tcPr>
            <w:tcW w:w="1310" w:type="dxa"/>
          </w:tcPr>
          <w:p w14:paraId="1C5301B8" w14:textId="4361E70D" w:rsidR="00456352" w:rsidRPr="004F01E9" w:rsidRDefault="00456352" w:rsidP="00061692">
            <w:pPr>
              <w:widowControl w:val="0"/>
              <w:autoSpaceDE w:val="0"/>
              <w:autoSpaceDN w:val="0"/>
              <w:spacing w:before="146" w:after="0"/>
              <w:jc w:val="left"/>
              <w:rPr>
                <w:rFonts w:eastAsia="Calibri"/>
                <w:noProof/>
              </w:rPr>
            </w:pPr>
            <w:r w:rsidRPr="004F01E9">
              <w:rPr>
                <w:noProof/>
                <w:color w:val="1A1717"/>
              </w:rPr>
              <w:t>105</w:t>
            </w:r>
            <w:r w:rsidR="004F01E9">
              <w:rPr>
                <w:noProof/>
                <w:color w:val="1A1717"/>
              </w:rPr>
              <w:t> %</w:t>
            </w:r>
          </w:p>
        </w:tc>
      </w:tr>
    </w:tbl>
    <w:p w14:paraId="3909DB50" w14:textId="117BD3A0" w:rsidR="00456352" w:rsidRPr="004F01E9" w:rsidRDefault="00456352" w:rsidP="00456352">
      <w:pPr>
        <w:widowControl w:val="0"/>
        <w:autoSpaceDE w:val="0"/>
        <w:autoSpaceDN w:val="0"/>
        <w:spacing w:before="0" w:after="0"/>
        <w:jc w:val="left"/>
        <w:rPr>
          <w:rFonts w:eastAsia="Calibri"/>
          <w:noProof/>
          <w:szCs w:val="24"/>
        </w:rPr>
      </w:pPr>
    </w:p>
    <w:p w14:paraId="4A2F5CAF" w14:textId="13123AA5" w:rsidR="00456352" w:rsidRPr="00061692" w:rsidRDefault="00456352" w:rsidP="00456352">
      <w:pPr>
        <w:pStyle w:val="Text1"/>
        <w:rPr>
          <w:noProof/>
          <w:spacing w:val="-4"/>
        </w:rPr>
      </w:pPr>
      <w:r w:rsidRPr="00061692">
        <w:rPr>
          <w:noProof/>
          <w:spacing w:val="-4"/>
        </w:rPr>
        <w:t>Odchylne od prvého pododseku tohto odseku môžu inštitúcie uplatniť zaobchádzanie uvedené</w:t>
      </w:r>
      <w:r w:rsidR="004F01E9" w:rsidRPr="00061692">
        <w:rPr>
          <w:noProof/>
          <w:spacing w:val="-4"/>
        </w:rPr>
        <w:t xml:space="preserve"> v </w:t>
      </w:r>
      <w:r w:rsidRPr="00061692">
        <w:rPr>
          <w:noProof/>
          <w:spacing w:val="-4"/>
        </w:rPr>
        <w:t>odseku 1 na expozície zabezpečené nehnuteľným majetkom určeným na bývanie, ktorý sa nachádza na území členského štátu, ak stratovosť takýchto expozícií uverejnených príslušnými orgánmi daného členského štátu</w:t>
      </w:r>
      <w:r w:rsidR="004F01E9" w:rsidRPr="00061692">
        <w:rPr>
          <w:noProof/>
          <w:spacing w:val="-4"/>
        </w:rPr>
        <w:t xml:space="preserve"> v </w:t>
      </w:r>
      <w:r w:rsidRPr="00061692">
        <w:rPr>
          <w:noProof/>
          <w:spacing w:val="-4"/>
        </w:rPr>
        <w:t>súlade</w:t>
      </w:r>
      <w:r w:rsidR="004F01E9" w:rsidRPr="00061692">
        <w:rPr>
          <w:noProof/>
          <w:spacing w:val="-4"/>
        </w:rPr>
        <w:t xml:space="preserve"> s </w:t>
      </w:r>
      <w:r w:rsidRPr="00061692">
        <w:rPr>
          <w:noProof/>
          <w:spacing w:val="-4"/>
        </w:rPr>
        <w:t>článkom 430a ods. 3 nepresahuje žiadny</w:t>
      </w:r>
      <w:r w:rsidR="004F01E9" w:rsidRPr="00061692">
        <w:rPr>
          <w:noProof/>
          <w:spacing w:val="-4"/>
        </w:rPr>
        <w:t xml:space="preserve"> z </w:t>
      </w:r>
      <w:r w:rsidRPr="00061692">
        <w:rPr>
          <w:noProof/>
          <w:spacing w:val="-4"/>
        </w:rPr>
        <w:t>týchto limitov pre straty agregované</w:t>
      </w:r>
      <w:r w:rsidR="004F01E9" w:rsidRPr="00061692">
        <w:rPr>
          <w:noProof/>
          <w:spacing w:val="-4"/>
        </w:rPr>
        <w:t xml:space="preserve"> v </w:t>
      </w:r>
      <w:r w:rsidRPr="00061692">
        <w:rPr>
          <w:noProof/>
          <w:spacing w:val="-4"/>
        </w:rPr>
        <w:t>rámci všetkých inštitúcií</w:t>
      </w:r>
      <w:r w:rsidR="004F01E9" w:rsidRPr="00061692">
        <w:rPr>
          <w:noProof/>
          <w:spacing w:val="-4"/>
        </w:rPr>
        <w:t xml:space="preserve"> s </w:t>
      </w:r>
      <w:r w:rsidRPr="00061692">
        <w:rPr>
          <w:noProof/>
          <w:spacing w:val="-4"/>
        </w:rPr>
        <w:t>takýmito expozíciami existujúcimi</w:t>
      </w:r>
      <w:r w:rsidR="004F01E9" w:rsidRPr="00061692">
        <w:rPr>
          <w:noProof/>
          <w:spacing w:val="-4"/>
        </w:rPr>
        <w:t xml:space="preserve"> v </w:t>
      </w:r>
      <w:r w:rsidRPr="00061692">
        <w:rPr>
          <w:noProof/>
          <w:spacing w:val="-4"/>
        </w:rPr>
        <w:t>predchádzajúcom roku:</w:t>
      </w:r>
    </w:p>
    <w:p w14:paraId="16039080" w14:textId="0179D7F1" w:rsidR="00456352" w:rsidRPr="004F01E9" w:rsidRDefault="00456352" w:rsidP="00456352">
      <w:pPr>
        <w:pStyle w:val="Point1"/>
        <w:rPr>
          <w:noProof/>
        </w:rPr>
      </w:pPr>
      <w:r w:rsidRPr="004F01E9">
        <w:rPr>
          <w:noProof/>
        </w:rPr>
        <w:t>a)</w:t>
      </w:r>
      <w:r w:rsidRPr="004F01E9">
        <w:rPr>
          <w:noProof/>
        </w:rPr>
        <w:tab/>
        <w:t>straty</w:t>
      </w:r>
      <w:r w:rsidR="004F01E9">
        <w:rPr>
          <w:noProof/>
        </w:rPr>
        <w:t xml:space="preserve"> z </w:t>
      </w:r>
      <w:r w:rsidRPr="004F01E9">
        <w:rPr>
          <w:noProof/>
        </w:rPr>
        <w:t>časti expozícií do výšky 55</w:t>
      </w:r>
      <w:r w:rsidR="004F01E9">
        <w:rPr>
          <w:noProof/>
        </w:rPr>
        <w:t> %</w:t>
      </w:r>
      <w:r w:rsidRPr="004F01E9">
        <w:rPr>
          <w:noProof/>
        </w:rPr>
        <w:t xml:space="preserve"> hodnoty majetku nepresahujú 0,3</w:t>
      </w:r>
      <w:r w:rsidR="004F01E9">
        <w:rPr>
          <w:noProof/>
        </w:rPr>
        <w:t> %</w:t>
      </w:r>
      <w:r w:rsidRPr="004F01E9">
        <w:rPr>
          <w:noProof/>
        </w:rPr>
        <w:t xml:space="preserve"> celkovej sumy (v rámci všetkých uvedených expozícií) kreditných záväzkov nesplatených</w:t>
      </w:r>
      <w:r w:rsidR="004F01E9">
        <w:rPr>
          <w:noProof/>
        </w:rPr>
        <w:t xml:space="preserve"> v </w:t>
      </w:r>
      <w:r w:rsidRPr="004F01E9">
        <w:rPr>
          <w:noProof/>
        </w:rPr>
        <w:t>danom roku.</w:t>
      </w:r>
    </w:p>
    <w:p w14:paraId="21CB39B2" w14:textId="4B34F590" w:rsidR="00456352" w:rsidRPr="004F01E9" w:rsidRDefault="00456352" w:rsidP="00456352">
      <w:pPr>
        <w:pStyle w:val="Text2"/>
        <w:rPr>
          <w:noProof/>
        </w:rPr>
      </w:pPr>
      <w:r w:rsidRPr="004F01E9">
        <w:rPr>
          <w:noProof/>
        </w:rPr>
        <w:t>Na účely tohto písmena, ak</w:t>
      </w:r>
      <w:r w:rsidR="004F01E9">
        <w:rPr>
          <w:noProof/>
        </w:rPr>
        <w:t xml:space="preserve"> v </w:t>
      </w:r>
      <w:r w:rsidRPr="004F01E9">
        <w:rPr>
          <w:noProof/>
        </w:rPr>
        <w:t>súlade</w:t>
      </w:r>
      <w:r w:rsidR="004F01E9">
        <w:rPr>
          <w:noProof/>
        </w:rPr>
        <w:t xml:space="preserve"> s </w:t>
      </w:r>
      <w:r w:rsidRPr="004F01E9">
        <w:rPr>
          <w:noProof/>
        </w:rPr>
        <w:t>článkom 124 ods. 7 príslušný alebo prípadne určený orgán stanovil nižší percentuálny podiel hodnoty majetku než ten, ktorý je uvedený</w:t>
      </w:r>
      <w:r w:rsidR="004F01E9">
        <w:rPr>
          <w:noProof/>
        </w:rPr>
        <w:t xml:space="preserve"> v </w:t>
      </w:r>
      <w:r w:rsidRPr="004F01E9">
        <w:rPr>
          <w:noProof/>
        </w:rPr>
        <w:t>tomto písmene, inštitúcie používajú percentuálny podiel stanovený</w:t>
      </w:r>
      <w:r w:rsidR="004F01E9">
        <w:rPr>
          <w:noProof/>
        </w:rPr>
        <w:t xml:space="preserve"> v </w:t>
      </w:r>
      <w:r w:rsidRPr="004F01E9">
        <w:rPr>
          <w:noProof/>
        </w:rPr>
        <w:t>súlade</w:t>
      </w:r>
      <w:r w:rsidR="004F01E9">
        <w:rPr>
          <w:noProof/>
        </w:rPr>
        <w:t xml:space="preserve"> s </w:t>
      </w:r>
      <w:r w:rsidRPr="004F01E9">
        <w:rPr>
          <w:noProof/>
        </w:rPr>
        <w:t>článkom 124 ods. 7;</w:t>
      </w:r>
    </w:p>
    <w:p w14:paraId="0C71282D" w14:textId="03B4703B" w:rsidR="00456352" w:rsidRPr="004F01E9" w:rsidRDefault="00456352" w:rsidP="00456352">
      <w:pPr>
        <w:pStyle w:val="Point1"/>
        <w:rPr>
          <w:noProof/>
        </w:rPr>
      </w:pPr>
      <w:r w:rsidRPr="004F01E9">
        <w:rPr>
          <w:noProof/>
        </w:rPr>
        <w:t>b)</w:t>
      </w:r>
      <w:r w:rsidRPr="004F01E9">
        <w:rPr>
          <w:noProof/>
        </w:rPr>
        <w:tab/>
        <w:t>straty</w:t>
      </w:r>
      <w:r w:rsidR="004F01E9">
        <w:rPr>
          <w:noProof/>
        </w:rPr>
        <w:t xml:space="preserve"> z </w:t>
      </w:r>
      <w:r w:rsidRPr="004F01E9">
        <w:rPr>
          <w:noProof/>
        </w:rPr>
        <w:t>časti expozícií do výšky 100</w:t>
      </w:r>
      <w:r w:rsidR="004F01E9">
        <w:rPr>
          <w:noProof/>
        </w:rPr>
        <w:t> %</w:t>
      </w:r>
      <w:r w:rsidRPr="004F01E9">
        <w:rPr>
          <w:noProof/>
        </w:rPr>
        <w:t xml:space="preserve"> hodnoty majetku nepresahujú 0,5</w:t>
      </w:r>
      <w:r w:rsidR="004F01E9">
        <w:rPr>
          <w:noProof/>
        </w:rPr>
        <w:t> %</w:t>
      </w:r>
      <w:r w:rsidRPr="004F01E9">
        <w:rPr>
          <w:noProof/>
        </w:rPr>
        <w:t xml:space="preserve"> celkovej sumy (v rámci všetkých týchto expozícií) kreditných záväzkov nesplatených</w:t>
      </w:r>
      <w:r w:rsidR="004F01E9">
        <w:rPr>
          <w:noProof/>
        </w:rPr>
        <w:t xml:space="preserve"> v </w:t>
      </w:r>
      <w:r w:rsidRPr="004F01E9">
        <w:rPr>
          <w:noProof/>
        </w:rPr>
        <w:t>danom roku.“</w:t>
      </w:r>
    </w:p>
    <w:p w14:paraId="0B4C6EF2" w14:textId="0D5A0DD9" w:rsidR="00806B81" w:rsidRPr="004F01E9" w:rsidRDefault="00061692" w:rsidP="00061692">
      <w:pPr>
        <w:pStyle w:val="Point0"/>
        <w:rPr>
          <w:noProof/>
        </w:rPr>
      </w:pPr>
      <w:r>
        <w:rPr>
          <w:noProof/>
        </w:rPr>
        <w:t>46.</w:t>
      </w:r>
      <w:r>
        <w:rPr>
          <w:noProof/>
        </w:rPr>
        <w:tab/>
      </w:r>
      <w:r w:rsidR="00456352" w:rsidRPr="004F01E9">
        <w:rPr>
          <w:noProof/>
        </w:rPr>
        <w:t>Článok 126 sa nahrádza takto:</w:t>
      </w:r>
    </w:p>
    <w:p w14:paraId="7AF2CA5D" w14:textId="0B0CF62A" w:rsidR="00456352" w:rsidRPr="004F01E9" w:rsidRDefault="00456352" w:rsidP="00456352">
      <w:pPr>
        <w:pStyle w:val="Titrearticle"/>
        <w:spacing w:before="120"/>
        <w:rPr>
          <w:noProof/>
        </w:rPr>
      </w:pPr>
      <w:r w:rsidRPr="004F01E9">
        <w:rPr>
          <w:noProof/>
        </w:rPr>
        <w:t xml:space="preserve">„Článok 126 </w:t>
      </w:r>
      <w:r w:rsidRPr="004F01E9">
        <w:rPr>
          <w:noProof/>
        </w:rPr>
        <w:br/>
      </w:r>
      <w:r w:rsidRPr="004F01E9">
        <w:rPr>
          <w:b/>
          <w:i w:val="0"/>
          <w:noProof/>
        </w:rPr>
        <w:t>Expozície zabezpečené hypotékami na nehnuteľný majetok určený na podnikanie</w:t>
      </w:r>
    </w:p>
    <w:p w14:paraId="4F4A58E1" w14:textId="7F4A2192" w:rsidR="00456352" w:rsidRPr="004F01E9" w:rsidRDefault="00456352" w:rsidP="00456352">
      <w:pPr>
        <w:pStyle w:val="Text1"/>
        <w:rPr>
          <w:noProof/>
        </w:rPr>
      </w:pPr>
      <w:r w:rsidRPr="004F01E9">
        <w:rPr>
          <w:noProof/>
        </w:rPr>
        <w:t>1.</w:t>
      </w:r>
      <w:r w:rsidR="004F01E9">
        <w:rPr>
          <w:noProof/>
        </w:rPr>
        <w:t xml:space="preserve"> S </w:t>
      </w:r>
      <w:r w:rsidRPr="004F01E9">
        <w:rPr>
          <w:noProof/>
        </w:rPr>
        <w:t>expozíciou uvedenou</w:t>
      </w:r>
      <w:r w:rsidR="004F01E9">
        <w:rPr>
          <w:noProof/>
        </w:rPr>
        <w:t xml:space="preserve"> v </w:t>
      </w:r>
      <w:r w:rsidRPr="004F01E9">
        <w:rPr>
          <w:noProof/>
        </w:rPr>
        <w:t>článku 124 ods. 2 písm. c) bode i) sa zaobchádza takto:</w:t>
      </w:r>
    </w:p>
    <w:p w14:paraId="72409CC2" w14:textId="59383BFA" w:rsidR="00456352" w:rsidRPr="004F01E9" w:rsidRDefault="00456352" w:rsidP="00456352">
      <w:pPr>
        <w:pStyle w:val="Point1"/>
        <w:rPr>
          <w:noProof/>
        </w:rPr>
      </w:pPr>
      <w:r w:rsidRPr="004F01E9">
        <w:rPr>
          <w:noProof/>
        </w:rPr>
        <w:t>a)</w:t>
      </w:r>
      <w:r w:rsidRPr="004F01E9">
        <w:rPr>
          <w:noProof/>
        </w:rPr>
        <w:tab/>
        <w:t>časti expozície do výšky 55</w:t>
      </w:r>
      <w:r w:rsidR="004F01E9">
        <w:rPr>
          <w:noProof/>
        </w:rPr>
        <w:t> %</w:t>
      </w:r>
      <w:r w:rsidRPr="004F01E9">
        <w:rPr>
          <w:noProof/>
        </w:rPr>
        <w:t xml:space="preserve"> hodnoty majetku zníženej</w:t>
      </w:r>
      <w:r w:rsidR="004F01E9">
        <w:rPr>
          <w:noProof/>
        </w:rPr>
        <w:t xml:space="preserve"> o </w:t>
      </w:r>
      <w:r w:rsidRPr="004F01E9">
        <w:rPr>
          <w:noProof/>
        </w:rPr>
        <w:t>všetky záložné práva</w:t>
      </w:r>
      <w:r w:rsidR="004F01E9">
        <w:rPr>
          <w:noProof/>
        </w:rPr>
        <w:t xml:space="preserve"> s </w:t>
      </w:r>
      <w:r w:rsidRPr="004F01E9">
        <w:rPr>
          <w:noProof/>
        </w:rPr>
        <w:t>nadriadeným alebo rovnocenným postavením, ktoré inštitúcia nemá</w:t>
      </w:r>
      <w:r w:rsidR="004F01E9">
        <w:rPr>
          <w:noProof/>
        </w:rPr>
        <w:t xml:space="preserve"> v </w:t>
      </w:r>
      <w:r w:rsidRPr="004F01E9">
        <w:rPr>
          <w:noProof/>
        </w:rPr>
        <w:t>držbe, sa priraďuje riziková váha 60</w:t>
      </w:r>
      <w:r w:rsidR="004F01E9">
        <w:rPr>
          <w:noProof/>
        </w:rPr>
        <w:t> %</w:t>
      </w:r>
      <w:r w:rsidRPr="004F01E9">
        <w:rPr>
          <w:noProof/>
        </w:rPr>
        <w:t>, pokiaľ sa na túto časť expozície nevzťahuje vyššia riziková váha alebo nižší percentuálny podiel hodnoty majetku, ak sa</w:t>
      </w:r>
      <w:r w:rsidR="004F01E9">
        <w:rPr>
          <w:noProof/>
        </w:rPr>
        <w:t xml:space="preserve"> o </w:t>
      </w:r>
      <w:r w:rsidRPr="004F01E9">
        <w:rPr>
          <w:noProof/>
        </w:rPr>
        <w:t>tom rozhodlo</w:t>
      </w:r>
      <w:r w:rsidR="004F01E9">
        <w:rPr>
          <w:noProof/>
        </w:rPr>
        <w:t xml:space="preserve"> v </w:t>
      </w:r>
      <w:r w:rsidRPr="004F01E9">
        <w:rPr>
          <w:noProof/>
        </w:rPr>
        <w:t>súlade</w:t>
      </w:r>
      <w:r w:rsidR="004F01E9">
        <w:rPr>
          <w:noProof/>
        </w:rPr>
        <w:t xml:space="preserve"> s </w:t>
      </w:r>
      <w:r w:rsidRPr="004F01E9">
        <w:rPr>
          <w:noProof/>
        </w:rPr>
        <w:t>článkom 124 ods. 7;</w:t>
      </w:r>
    </w:p>
    <w:p w14:paraId="33CAA355" w14:textId="1987AD7E" w:rsidR="00456352" w:rsidRPr="004F01E9" w:rsidRDefault="00456352" w:rsidP="00456352">
      <w:pPr>
        <w:pStyle w:val="Point1"/>
        <w:rPr>
          <w:noProof/>
        </w:rPr>
      </w:pPr>
      <w:r w:rsidRPr="004F01E9">
        <w:rPr>
          <w:noProof/>
        </w:rPr>
        <w:t>b)</w:t>
      </w:r>
      <w:r w:rsidRPr="004F01E9">
        <w:rPr>
          <w:noProof/>
        </w:rPr>
        <w:tab/>
        <w:t>so zostávajúcou časťou expozície, ak existuje, sa zaobchádza ako</w:t>
      </w:r>
      <w:r w:rsidR="004F01E9">
        <w:rPr>
          <w:noProof/>
        </w:rPr>
        <w:t xml:space="preserve"> s </w:t>
      </w:r>
      <w:r w:rsidRPr="004F01E9">
        <w:rPr>
          <w:noProof/>
        </w:rPr>
        <w:t>expozíciou, ktorá nie je zabezpečená týmto nehnuteľným majetkom.</w:t>
      </w:r>
    </w:p>
    <w:p w14:paraId="7FE8BA3C" w14:textId="48590022" w:rsidR="00456352" w:rsidRPr="004F01E9" w:rsidRDefault="00456352" w:rsidP="00456352">
      <w:pPr>
        <w:pStyle w:val="Text1"/>
        <w:rPr>
          <w:noProof/>
        </w:rPr>
      </w:pPr>
      <w:r w:rsidRPr="004F01E9">
        <w:rPr>
          <w:noProof/>
        </w:rPr>
        <w:t>2. Expozícii uvedenej</w:t>
      </w:r>
      <w:r w:rsidR="004F01E9">
        <w:rPr>
          <w:noProof/>
        </w:rPr>
        <w:t xml:space="preserve"> v </w:t>
      </w:r>
      <w:r w:rsidRPr="004F01E9">
        <w:rPr>
          <w:noProof/>
        </w:rPr>
        <w:t>článku 124 ods. 2 písm. c) bode ii) sa priraďuje vyššia spomedzi hodnoty rizikovej váhy stanovenej</w:t>
      </w:r>
      <w:r w:rsidR="004F01E9">
        <w:rPr>
          <w:noProof/>
        </w:rPr>
        <w:t xml:space="preserve"> v </w:t>
      </w:r>
      <w:r w:rsidRPr="004F01E9">
        <w:rPr>
          <w:noProof/>
        </w:rPr>
        <w:t>súlade</w:t>
      </w:r>
      <w:r w:rsidR="004F01E9">
        <w:rPr>
          <w:noProof/>
        </w:rPr>
        <w:t xml:space="preserve"> s </w:t>
      </w:r>
      <w:r w:rsidRPr="004F01E9">
        <w:rPr>
          <w:noProof/>
        </w:rPr>
        <w:t>tabuľkou 6c</w:t>
      </w:r>
      <w:r w:rsidR="004F01E9">
        <w:rPr>
          <w:noProof/>
        </w:rPr>
        <w:t xml:space="preserve"> a </w:t>
      </w:r>
      <w:r w:rsidRPr="004F01E9">
        <w:rPr>
          <w:noProof/>
        </w:rPr>
        <w:t>hodnoty rizikovej váhy stanovenej</w:t>
      </w:r>
      <w:r w:rsidR="004F01E9">
        <w:rPr>
          <w:noProof/>
        </w:rPr>
        <w:t xml:space="preserve"> v </w:t>
      </w:r>
      <w:r w:rsidRPr="004F01E9">
        <w:rPr>
          <w:noProof/>
        </w:rPr>
        <w:t>súlade</w:t>
      </w:r>
      <w:r w:rsidR="004F01E9">
        <w:rPr>
          <w:noProof/>
        </w:rPr>
        <w:t xml:space="preserve"> s </w:t>
      </w:r>
      <w:r w:rsidRPr="004F01E9">
        <w:rPr>
          <w:noProof/>
        </w:rPr>
        <w:t>článkom 124 ods. 7:</w:t>
      </w:r>
    </w:p>
    <w:p w14:paraId="1E3D7F25" w14:textId="44B7554C" w:rsidR="00456352" w:rsidRPr="004F01E9" w:rsidRDefault="00456352" w:rsidP="001B604C">
      <w:pPr>
        <w:pStyle w:val="Text1"/>
        <w:jc w:val="center"/>
        <w:rPr>
          <w:i/>
          <w:noProof/>
        </w:rPr>
      </w:pPr>
      <w:r w:rsidRPr="004F01E9">
        <w:rPr>
          <w:i/>
          <w:noProof/>
        </w:rPr>
        <w:t>Tabuľka 6c</w:t>
      </w: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2"/>
        <w:gridCol w:w="2290"/>
        <w:gridCol w:w="2292"/>
        <w:gridCol w:w="2290"/>
      </w:tblGrid>
      <w:tr w:rsidR="00456352" w:rsidRPr="004F01E9" w14:paraId="5865BB4E" w14:textId="77777777" w:rsidTr="00CC5DE8">
        <w:trPr>
          <w:trHeight w:hRule="exact" w:val="542"/>
        </w:trPr>
        <w:tc>
          <w:tcPr>
            <w:tcW w:w="2292" w:type="dxa"/>
          </w:tcPr>
          <w:p w14:paraId="0B9D4B38" w14:textId="7BB70711" w:rsidR="00456352" w:rsidRPr="004F01E9" w:rsidRDefault="00456352" w:rsidP="00CC5DE8">
            <w:pPr>
              <w:widowControl w:val="0"/>
              <w:autoSpaceDE w:val="0"/>
              <w:autoSpaceDN w:val="0"/>
              <w:spacing w:before="6" w:after="0"/>
              <w:ind w:left="103"/>
              <w:rPr>
                <w:rFonts w:eastAsia="Calibri"/>
                <w:noProof/>
                <w:szCs w:val="24"/>
              </w:rPr>
            </w:pPr>
          </w:p>
        </w:tc>
        <w:tc>
          <w:tcPr>
            <w:tcW w:w="2290" w:type="dxa"/>
          </w:tcPr>
          <w:p w14:paraId="2C5B61C3" w14:textId="08E8D4BE" w:rsidR="00456352" w:rsidRPr="004F01E9" w:rsidRDefault="00456352" w:rsidP="00CC5DE8">
            <w:pPr>
              <w:widowControl w:val="0"/>
              <w:autoSpaceDE w:val="0"/>
              <w:autoSpaceDN w:val="0"/>
              <w:spacing w:before="6" w:after="0"/>
              <w:ind w:left="103"/>
              <w:rPr>
                <w:rFonts w:eastAsia="Calibri"/>
                <w:noProof/>
              </w:rPr>
            </w:pPr>
            <w:r w:rsidRPr="004F01E9">
              <w:rPr>
                <w:noProof/>
                <w:color w:val="1A1717"/>
              </w:rPr>
              <w:t>ETV ≤ 60</w:t>
            </w:r>
            <w:r w:rsidR="004F01E9">
              <w:rPr>
                <w:noProof/>
                <w:color w:val="1A1717"/>
              </w:rPr>
              <w:t> %</w:t>
            </w:r>
          </w:p>
        </w:tc>
        <w:tc>
          <w:tcPr>
            <w:tcW w:w="2292" w:type="dxa"/>
          </w:tcPr>
          <w:p w14:paraId="48C23514" w14:textId="1052E3A2" w:rsidR="00456352" w:rsidRPr="004F01E9" w:rsidRDefault="00456352" w:rsidP="00CC5DE8">
            <w:pPr>
              <w:widowControl w:val="0"/>
              <w:autoSpaceDE w:val="0"/>
              <w:autoSpaceDN w:val="0"/>
              <w:spacing w:before="6" w:after="0"/>
              <w:ind w:left="103"/>
              <w:rPr>
                <w:rFonts w:eastAsia="Calibri"/>
                <w:noProof/>
              </w:rPr>
            </w:pPr>
            <w:r w:rsidRPr="004F01E9">
              <w:rPr>
                <w:noProof/>
                <w:color w:val="1A1717"/>
              </w:rPr>
              <w:t>60</w:t>
            </w:r>
            <w:r w:rsidR="004F01E9">
              <w:rPr>
                <w:noProof/>
                <w:color w:val="1A1717"/>
              </w:rPr>
              <w:t> %</w:t>
            </w:r>
            <w:r w:rsidRPr="004F01E9">
              <w:rPr>
                <w:noProof/>
                <w:color w:val="1A1717"/>
              </w:rPr>
              <w:t xml:space="preserve"> &lt; ETV ≤ 80</w:t>
            </w:r>
            <w:r w:rsidR="004F01E9">
              <w:rPr>
                <w:noProof/>
                <w:color w:val="1A1717"/>
              </w:rPr>
              <w:t> %</w:t>
            </w:r>
          </w:p>
        </w:tc>
        <w:tc>
          <w:tcPr>
            <w:tcW w:w="2290" w:type="dxa"/>
          </w:tcPr>
          <w:p w14:paraId="5D7B25CB" w14:textId="5699DACE" w:rsidR="00456352" w:rsidRPr="004F01E9" w:rsidRDefault="00456352" w:rsidP="00CC5DE8">
            <w:pPr>
              <w:widowControl w:val="0"/>
              <w:autoSpaceDE w:val="0"/>
              <w:autoSpaceDN w:val="0"/>
              <w:spacing w:before="6" w:after="0"/>
              <w:ind w:left="103"/>
              <w:rPr>
                <w:rFonts w:eastAsia="Calibri"/>
                <w:noProof/>
              </w:rPr>
            </w:pPr>
            <w:r w:rsidRPr="004F01E9">
              <w:rPr>
                <w:noProof/>
                <w:color w:val="1A1717"/>
              </w:rPr>
              <w:t>ETV &gt; 80</w:t>
            </w:r>
            <w:r w:rsidR="004F01E9">
              <w:rPr>
                <w:noProof/>
                <w:color w:val="1A1717"/>
              </w:rPr>
              <w:t> %</w:t>
            </w:r>
          </w:p>
        </w:tc>
      </w:tr>
      <w:tr w:rsidR="00456352" w:rsidRPr="004F01E9" w14:paraId="66BA9CFA" w14:textId="77777777" w:rsidTr="00CC5DE8">
        <w:trPr>
          <w:trHeight w:hRule="exact" w:val="542"/>
        </w:trPr>
        <w:tc>
          <w:tcPr>
            <w:tcW w:w="2292" w:type="dxa"/>
          </w:tcPr>
          <w:p w14:paraId="51CF8204" w14:textId="77777777" w:rsidR="00456352" w:rsidRPr="004F01E9" w:rsidRDefault="00456352" w:rsidP="00CC5DE8">
            <w:pPr>
              <w:widowControl w:val="0"/>
              <w:autoSpaceDE w:val="0"/>
              <w:autoSpaceDN w:val="0"/>
              <w:spacing w:before="6" w:after="0"/>
              <w:ind w:left="103"/>
              <w:rPr>
                <w:rFonts w:eastAsia="Calibri"/>
                <w:noProof/>
              </w:rPr>
            </w:pPr>
            <w:r w:rsidRPr="004F01E9">
              <w:rPr>
                <w:noProof/>
                <w:color w:val="1A1717"/>
              </w:rPr>
              <w:t>Riziková váha</w:t>
            </w:r>
          </w:p>
        </w:tc>
        <w:tc>
          <w:tcPr>
            <w:tcW w:w="2290" w:type="dxa"/>
          </w:tcPr>
          <w:p w14:paraId="20BBB5C3" w14:textId="3283FB9B" w:rsidR="00456352" w:rsidRPr="004F01E9" w:rsidRDefault="00456352" w:rsidP="00CC5DE8">
            <w:pPr>
              <w:widowControl w:val="0"/>
              <w:autoSpaceDE w:val="0"/>
              <w:autoSpaceDN w:val="0"/>
              <w:spacing w:before="6" w:after="0"/>
              <w:ind w:left="103"/>
              <w:rPr>
                <w:rFonts w:eastAsia="Calibri"/>
                <w:noProof/>
              </w:rPr>
            </w:pPr>
            <w:r w:rsidRPr="004F01E9">
              <w:rPr>
                <w:noProof/>
                <w:color w:val="1A1717"/>
              </w:rPr>
              <w:t>70</w:t>
            </w:r>
            <w:r w:rsidR="004F01E9">
              <w:rPr>
                <w:noProof/>
                <w:color w:val="1A1717"/>
              </w:rPr>
              <w:t> %</w:t>
            </w:r>
          </w:p>
        </w:tc>
        <w:tc>
          <w:tcPr>
            <w:tcW w:w="2292" w:type="dxa"/>
          </w:tcPr>
          <w:p w14:paraId="5C38B94D" w14:textId="308AE0AF" w:rsidR="00456352" w:rsidRPr="004F01E9" w:rsidRDefault="00456352" w:rsidP="00CC5DE8">
            <w:pPr>
              <w:widowControl w:val="0"/>
              <w:autoSpaceDE w:val="0"/>
              <w:autoSpaceDN w:val="0"/>
              <w:spacing w:before="6" w:after="0"/>
              <w:ind w:left="103"/>
              <w:rPr>
                <w:rFonts w:eastAsia="Calibri"/>
                <w:noProof/>
              </w:rPr>
            </w:pPr>
            <w:r w:rsidRPr="004F01E9">
              <w:rPr>
                <w:noProof/>
                <w:color w:val="1A1717"/>
              </w:rPr>
              <w:t>90</w:t>
            </w:r>
            <w:r w:rsidR="004F01E9">
              <w:rPr>
                <w:noProof/>
                <w:color w:val="1A1717"/>
              </w:rPr>
              <w:t> %</w:t>
            </w:r>
          </w:p>
        </w:tc>
        <w:tc>
          <w:tcPr>
            <w:tcW w:w="2290" w:type="dxa"/>
          </w:tcPr>
          <w:p w14:paraId="0729B969" w14:textId="0A5F319D" w:rsidR="00456352" w:rsidRPr="004F01E9" w:rsidRDefault="00456352" w:rsidP="00CC5DE8">
            <w:pPr>
              <w:widowControl w:val="0"/>
              <w:autoSpaceDE w:val="0"/>
              <w:autoSpaceDN w:val="0"/>
              <w:spacing w:before="6" w:after="0"/>
              <w:ind w:left="103"/>
              <w:rPr>
                <w:rFonts w:eastAsia="Calibri"/>
                <w:noProof/>
              </w:rPr>
            </w:pPr>
            <w:r w:rsidRPr="004F01E9">
              <w:rPr>
                <w:noProof/>
                <w:color w:val="1A1717"/>
              </w:rPr>
              <w:t>110</w:t>
            </w:r>
            <w:r w:rsidR="004F01E9">
              <w:rPr>
                <w:noProof/>
                <w:color w:val="1A1717"/>
              </w:rPr>
              <w:t> %</w:t>
            </w:r>
          </w:p>
        </w:tc>
      </w:tr>
    </w:tbl>
    <w:p w14:paraId="202506A1" w14:textId="77777777" w:rsidR="00456352" w:rsidRPr="004F01E9" w:rsidRDefault="00456352" w:rsidP="00456352">
      <w:pPr>
        <w:widowControl w:val="0"/>
        <w:autoSpaceDE w:val="0"/>
        <w:autoSpaceDN w:val="0"/>
        <w:spacing w:after="0"/>
        <w:rPr>
          <w:rFonts w:eastAsia="Calibri"/>
          <w:noProof/>
          <w:szCs w:val="24"/>
        </w:rPr>
      </w:pPr>
    </w:p>
    <w:p w14:paraId="477BFFDE" w14:textId="249D1682" w:rsidR="00456352" w:rsidRPr="004F01E9" w:rsidRDefault="00456352" w:rsidP="00456352">
      <w:pPr>
        <w:pStyle w:val="Text1"/>
        <w:rPr>
          <w:noProof/>
        </w:rPr>
      </w:pPr>
      <w:r w:rsidRPr="004F01E9">
        <w:rPr>
          <w:noProof/>
        </w:rPr>
        <w:t>Odchylne od prvého pododseku tohto odseku môžu inštitúcie uplatniť zaobchádzanie uvedené</w:t>
      </w:r>
      <w:r w:rsidR="004F01E9">
        <w:rPr>
          <w:noProof/>
        </w:rPr>
        <w:t xml:space="preserve"> v </w:t>
      </w:r>
      <w:r w:rsidRPr="004F01E9">
        <w:rPr>
          <w:noProof/>
        </w:rPr>
        <w:t>odseku 1 na expozíciu zabezpečenú nehnuteľným majetkom určeným na podnikanie, ktorý sa nachádza na území členského štátu, ak stratovosť takýchto expozícií uverejnených príslušnými orgánmi daného členského štátu</w:t>
      </w:r>
      <w:r w:rsidR="004F01E9">
        <w:rPr>
          <w:noProof/>
        </w:rPr>
        <w:t xml:space="preserve"> v </w:t>
      </w:r>
      <w:r w:rsidRPr="004F01E9">
        <w:rPr>
          <w:noProof/>
        </w:rPr>
        <w:t>súlade</w:t>
      </w:r>
      <w:r w:rsidR="004F01E9">
        <w:rPr>
          <w:noProof/>
        </w:rPr>
        <w:t xml:space="preserve"> s </w:t>
      </w:r>
      <w:r w:rsidRPr="004F01E9">
        <w:rPr>
          <w:noProof/>
        </w:rPr>
        <w:t>článkom 430a ods. 3 nepresahuje žiadny</w:t>
      </w:r>
      <w:r w:rsidR="004F01E9">
        <w:rPr>
          <w:noProof/>
        </w:rPr>
        <w:t xml:space="preserve"> z </w:t>
      </w:r>
      <w:r w:rsidRPr="004F01E9">
        <w:rPr>
          <w:noProof/>
        </w:rPr>
        <w:t>týchto limitov pre straty agregované</w:t>
      </w:r>
      <w:r w:rsidR="004F01E9">
        <w:rPr>
          <w:noProof/>
        </w:rPr>
        <w:t xml:space="preserve"> v </w:t>
      </w:r>
      <w:r w:rsidRPr="004F01E9">
        <w:rPr>
          <w:noProof/>
        </w:rPr>
        <w:t>rámci všetkých takýchto expozícií existujúcich</w:t>
      </w:r>
      <w:r w:rsidR="004F01E9">
        <w:rPr>
          <w:noProof/>
        </w:rPr>
        <w:t xml:space="preserve"> v </w:t>
      </w:r>
      <w:r w:rsidRPr="004F01E9">
        <w:rPr>
          <w:noProof/>
        </w:rPr>
        <w:t>predchádzajúcom roku:</w:t>
      </w:r>
    </w:p>
    <w:p w14:paraId="7B13B605" w14:textId="2FF608AE" w:rsidR="00456352" w:rsidRPr="004F01E9" w:rsidRDefault="00456352" w:rsidP="00456352">
      <w:pPr>
        <w:pStyle w:val="Point1"/>
        <w:rPr>
          <w:noProof/>
        </w:rPr>
      </w:pPr>
      <w:r w:rsidRPr="004F01E9">
        <w:rPr>
          <w:noProof/>
        </w:rPr>
        <w:t>a)</w:t>
      </w:r>
      <w:r w:rsidRPr="004F01E9">
        <w:rPr>
          <w:noProof/>
        </w:rPr>
        <w:tab/>
        <w:t>straty</w:t>
      </w:r>
      <w:r w:rsidR="004F01E9">
        <w:rPr>
          <w:noProof/>
        </w:rPr>
        <w:t xml:space="preserve"> z </w:t>
      </w:r>
      <w:r w:rsidRPr="004F01E9">
        <w:rPr>
          <w:noProof/>
        </w:rPr>
        <w:t>časti expozícií do výšky 55</w:t>
      </w:r>
      <w:r w:rsidR="004F01E9">
        <w:rPr>
          <w:noProof/>
        </w:rPr>
        <w:t> %</w:t>
      </w:r>
      <w:r w:rsidRPr="004F01E9">
        <w:rPr>
          <w:noProof/>
        </w:rPr>
        <w:t xml:space="preserve"> hodnoty majetku nepresahujú 0,3</w:t>
      </w:r>
      <w:r w:rsidR="004F01E9">
        <w:rPr>
          <w:noProof/>
        </w:rPr>
        <w:t> %</w:t>
      </w:r>
      <w:r w:rsidRPr="004F01E9">
        <w:rPr>
          <w:noProof/>
        </w:rPr>
        <w:t xml:space="preserve"> celkovej sumy kreditných záväzkov nesplatených</w:t>
      </w:r>
      <w:r w:rsidR="004F01E9">
        <w:rPr>
          <w:noProof/>
        </w:rPr>
        <w:t xml:space="preserve"> v </w:t>
      </w:r>
      <w:r w:rsidRPr="004F01E9">
        <w:rPr>
          <w:noProof/>
        </w:rPr>
        <w:t>danom roku.</w:t>
      </w:r>
    </w:p>
    <w:p w14:paraId="3E3ADDDF" w14:textId="22D8132C" w:rsidR="00456352" w:rsidRPr="004F01E9" w:rsidRDefault="00456352" w:rsidP="00456352">
      <w:pPr>
        <w:pStyle w:val="Text2"/>
        <w:rPr>
          <w:noProof/>
        </w:rPr>
      </w:pPr>
      <w:r w:rsidRPr="004F01E9">
        <w:rPr>
          <w:noProof/>
        </w:rPr>
        <w:t>Na účely tohto písmena, ak</w:t>
      </w:r>
      <w:r w:rsidR="004F01E9">
        <w:rPr>
          <w:noProof/>
        </w:rPr>
        <w:t xml:space="preserve"> v </w:t>
      </w:r>
      <w:r w:rsidRPr="004F01E9">
        <w:rPr>
          <w:noProof/>
        </w:rPr>
        <w:t>súlade</w:t>
      </w:r>
      <w:r w:rsidR="004F01E9">
        <w:rPr>
          <w:noProof/>
        </w:rPr>
        <w:t xml:space="preserve"> s </w:t>
      </w:r>
      <w:r w:rsidRPr="004F01E9">
        <w:rPr>
          <w:noProof/>
        </w:rPr>
        <w:t>článkom 124 ods. 7 príslušný alebo prípadne určený orgán stanovil nižší percentuálny podiel hodnoty majetku než ten, ktorý je uvedený</w:t>
      </w:r>
      <w:r w:rsidR="004F01E9">
        <w:rPr>
          <w:noProof/>
        </w:rPr>
        <w:t xml:space="preserve"> v </w:t>
      </w:r>
      <w:r w:rsidRPr="004F01E9">
        <w:rPr>
          <w:noProof/>
        </w:rPr>
        <w:t>tomto písmene, inštitúcie používajú percentuálny podiel stanovený</w:t>
      </w:r>
      <w:r w:rsidR="004F01E9">
        <w:rPr>
          <w:noProof/>
        </w:rPr>
        <w:t xml:space="preserve"> v </w:t>
      </w:r>
      <w:r w:rsidRPr="004F01E9">
        <w:rPr>
          <w:noProof/>
        </w:rPr>
        <w:t>súlade</w:t>
      </w:r>
      <w:r w:rsidR="004F01E9">
        <w:rPr>
          <w:noProof/>
        </w:rPr>
        <w:t xml:space="preserve"> s </w:t>
      </w:r>
      <w:r w:rsidRPr="004F01E9">
        <w:rPr>
          <w:noProof/>
        </w:rPr>
        <w:t>článkom 124 ods. 7;</w:t>
      </w:r>
    </w:p>
    <w:p w14:paraId="735E77D2" w14:textId="32077213" w:rsidR="00456352" w:rsidRPr="004F01E9" w:rsidRDefault="00456352" w:rsidP="00456352">
      <w:pPr>
        <w:pStyle w:val="Point1"/>
        <w:rPr>
          <w:noProof/>
        </w:rPr>
      </w:pPr>
      <w:r w:rsidRPr="004F01E9">
        <w:rPr>
          <w:noProof/>
        </w:rPr>
        <w:t>b)</w:t>
      </w:r>
      <w:r w:rsidRPr="004F01E9">
        <w:rPr>
          <w:noProof/>
        </w:rPr>
        <w:tab/>
        <w:t>straty</w:t>
      </w:r>
      <w:r w:rsidR="004F01E9">
        <w:rPr>
          <w:noProof/>
        </w:rPr>
        <w:t xml:space="preserve"> z </w:t>
      </w:r>
      <w:r w:rsidRPr="004F01E9">
        <w:rPr>
          <w:noProof/>
        </w:rPr>
        <w:t>časti expozícií do výšky 100</w:t>
      </w:r>
      <w:r w:rsidR="004F01E9">
        <w:rPr>
          <w:noProof/>
        </w:rPr>
        <w:t> %</w:t>
      </w:r>
      <w:r w:rsidRPr="004F01E9">
        <w:rPr>
          <w:noProof/>
        </w:rPr>
        <w:t xml:space="preserve"> hodnoty majetku nepresahujú 0,5</w:t>
      </w:r>
      <w:r w:rsidR="004F01E9">
        <w:rPr>
          <w:noProof/>
        </w:rPr>
        <w:t> %</w:t>
      </w:r>
      <w:r w:rsidRPr="004F01E9">
        <w:rPr>
          <w:noProof/>
        </w:rPr>
        <w:t xml:space="preserve"> celkovej sumy kreditných záväzkov nesplatených</w:t>
      </w:r>
      <w:r w:rsidR="004F01E9">
        <w:rPr>
          <w:noProof/>
        </w:rPr>
        <w:t xml:space="preserve"> v </w:t>
      </w:r>
      <w:r w:rsidRPr="004F01E9">
        <w:rPr>
          <w:noProof/>
        </w:rPr>
        <w:t>danom roku.“</w:t>
      </w:r>
    </w:p>
    <w:p w14:paraId="732816D8" w14:textId="647E2C3F" w:rsidR="00806B81" w:rsidRPr="004F01E9" w:rsidRDefault="00061692" w:rsidP="00061692">
      <w:pPr>
        <w:pStyle w:val="Point0"/>
        <w:keepNext/>
        <w:keepLines/>
        <w:rPr>
          <w:noProof/>
        </w:rPr>
      </w:pPr>
      <w:r>
        <w:rPr>
          <w:noProof/>
        </w:rPr>
        <w:t>47.</w:t>
      </w:r>
      <w:r>
        <w:rPr>
          <w:noProof/>
        </w:rPr>
        <w:tab/>
      </w:r>
      <w:r w:rsidR="00456352" w:rsidRPr="004F01E9">
        <w:rPr>
          <w:noProof/>
        </w:rPr>
        <w:t>Vkladá sa nový článok 126a:</w:t>
      </w:r>
    </w:p>
    <w:p w14:paraId="2C94432F" w14:textId="205CF155" w:rsidR="00456352" w:rsidRPr="004F01E9" w:rsidRDefault="00456352" w:rsidP="00061692">
      <w:pPr>
        <w:pStyle w:val="Titrearticle"/>
        <w:keepLines/>
        <w:spacing w:before="120"/>
        <w:rPr>
          <w:noProof/>
        </w:rPr>
      </w:pPr>
      <w:r w:rsidRPr="004F01E9">
        <w:rPr>
          <w:noProof/>
        </w:rPr>
        <w:t xml:space="preserve">„Článok126a </w:t>
      </w:r>
      <w:r w:rsidRPr="004F01E9">
        <w:rPr>
          <w:noProof/>
        </w:rPr>
        <w:br/>
      </w:r>
      <w:r w:rsidRPr="004F01E9">
        <w:rPr>
          <w:b/>
          <w:i w:val="0"/>
          <w:noProof/>
        </w:rPr>
        <w:t>Expozície voči nadobudnutiu pozemku, výstavbe</w:t>
      </w:r>
      <w:r w:rsidR="004F01E9">
        <w:rPr>
          <w:b/>
          <w:i w:val="0"/>
          <w:noProof/>
        </w:rPr>
        <w:t xml:space="preserve"> a </w:t>
      </w:r>
      <w:r w:rsidRPr="004F01E9">
        <w:rPr>
          <w:b/>
          <w:i w:val="0"/>
          <w:noProof/>
        </w:rPr>
        <w:t>budovaniu (ADC)</w:t>
      </w:r>
    </w:p>
    <w:p w14:paraId="4EE2353E" w14:textId="154664FF" w:rsidR="00456352" w:rsidRPr="004F01E9" w:rsidRDefault="00456352" w:rsidP="00061692">
      <w:pPr>
        <w:pStyle w:val="Text1"/>
        <w:keepNext/>
        <w:keepLines/>
        <w:rPr>
          <w:noProof/>
        </w:rPr>
      </w:pPr>
      <w:r w:rsidRPr="004F01E9">
        <w:rPr>
          <w:noProof/>
        </w:rPr>
        <w:t>1. Expozícii ADC sa priraďuje riziková váha 150</w:t>
      </w:r>
      <w:r w:rsidR="004F01E9">
        <w:rPr>
          <w:noProof/>
        </w:rPr>
        <w:t> %</w:t>
      </w:r>
      <w:r w:rsidRPr="004F01E9">
        <w:rPr>
          <w:noProof/>
        </w:rPr>
        <w:t>.</w:t>
      </w:r>
    </w:p>
    <w:p w14:paraId="57217D30" w14:textId="55F412B8" w:rsidR="00456352" w:rsidRPr="00061692" w:rsidRDefault="00456352" w:rsidP="00061692">
      <w:pPr>
        <w:pStyle w:val="Text1"/>
        <w:keepNext/>
        <w:keepLines/>
        <w:rPr>
          <w:noProof/>
          <w:spacing w:val="-4"/>
        </w:rPr>
      </w:pPr>
      <w:r w:rsidRPr="00061692">
        <w:rPr>
          <w:noProof/>
          <w:spacing w:val="-4"/>
        </w:rPr>
        <w:t>2. Expozíciám ADC voči nehnuteľnému majetku určenému na bývanie sa však môže priradiť riziková váha 100</w:t>
      </w:r>
      <w:r w:rsidR="004F01E9" w:rsidRPr="00061692">
        <w:rPr>
          <w:noProof/>
          <w:spacing w:val="-4"/>
        </w:rPr>
        <w:t> %</w:t>
      </w:r>
      <w:r w:rsidRPr="00061692">
        <w:rPr>
          <w:noProof/>
          <w:spacing w:val="-4"/>
        </w:rPr>
        <w:t xml:space="preserve"> za predpokladu, že inštitúcia</w:t>
      </w:r>
      <w:r w:rsidR="004F01E9" w:rsidRPr="00061692">
        <w:rPr>
          <w:noProof/>
          <w:spacing w:val="-4"/>
        </w:rPr>
        <w:t xml:space="preserve"> v </w:t>
      </w:r>
      <w:r w:rsidRPr="00061692">
        <w:rPr>
          <w:noProof/>
          <w:spacing w:val="-4"/>
        </w:rPr>
        <w:t>náležitých prípadoch uplatňuje spoľahlivé štandardy pre vznik</w:t>
      </w:r>
      <w:r w:rsidR="004F01E9" w:rsidRPr="00061692">
        <w:rPr>
          <w:noProof/>
          <w:spacing w:val="-4"/>
        </w:rPr>
        <w:t xml:space="preserve"> a </w:t>
      </w:r>
      <w:r w:rsidRPr="00061692">
        <w:rPr>
          <w:noProof/>
          <w:spacing w:val="-4"/>
        </w:rPr>
        <w:t>monitorovanie, ktoré spĺňajú požiadavky článkov 74</w:t>
      </w:r>
      <w:r w:rsidR="004F01E9" w:rsidRPr="00061692">
        <w:rPr>
          <w:noProof/>
          <w:spacing w:val="-4"/>
        </w:rPr>
        <w:t xml:space="preserve"> a </w:t>
      </w:r>
      <w:r w:rsidRPr="00061692">
        <w:rPr>
          <w:noProof/>
          <w:spacing w:val="-4"/>
        </w:rPr>
        <w:t>79 smernice 2013/36/EÚ,</w:t>
      </w:r>
      <w:r w:rsidR="004F01E9" w:rsidRPr="00061692">
        <w:rPr>
          <w:noProof/>
          <w:spacing w:val="-4"/>
        </w:rPr>
        <w:t xml:space="preserve"> a </w:t>
      </w:r>
      <w:r w:rsidRPr="00061692">
        <w:rPr>
          <w:noProof/>
          <w:spacing w:val="-4"/>
        </w:rPr>
        <w:t>ak je splnená aspoň jedna</w:t>
      </w:r>
      <w:r w:rsidR="004F01E9" w:rsidRPr="00061692">
        <w:rPr>
          <w:noProof/>
          <w:spacing w:val="-4"/>
        </w:rPr>
        <w:t xml:space="preserve"> z </w:t>
      </w:r>
      <w:r w:rsidRPr="00061692">
        <w:rPr>
          <w:noProof/>
          <w:spacing w:val="-4"/>
        </w:rPr>
        <w:t>týchto podmienok:</w:t>
      </w:r>
    </w:p>
    <w:p w14:paraId="3ACC8955" w14:textId="5DD52F65" w:rsidR="00456352" w:rsidRPr="00061692" w:rsidRDefault="00456352" w:rsidP="00456352">
      <w:pPr>
        <w:pStyle w:val="Point1"/>
        <w:rPr>
          <w:noProof/>
          <w:spacing w:val="-4"/>
        </w:rPr>
      </w:pPr>
      <w:r w:rsidRPr="00061692">
        <w:rPr>
          <w:noProof/>
          <w:spacing w:val="-4"/>
        </w:rPr>
        <w:t>a)</w:t>
      </w:r>
      <w:r w:rsidRPr="00061692">
        <w:rPr>
          <w:noProof/>
          <w:spacing w:val="-4"/>
        </w:rPr>
        <w:tab/>
        <w:t>významnú časť celkových zmlúv predstavujú právne záväzné predpredajné alebo predlízingové zmluvy,</w:t>
      </w:r>
      <w:r w:rsidR="004F01E9" w:rsidRPr="00061692">
        <w:rPr>
          <w:noProof/>
          <w:spacing w:val="-4"/>
        </w:rPr>
        <w:t xml:space="preserve"> v </w:t>
      </w:r>
      <w:r w:rsidRPr="00061692">
        <w:rPr>
          <w:noProof/>
          <w:spacing w:val="-4"/>
        </w:rPr>
        <w:t>súvislosti</w:t>
      </w:r>
      <w:r w:rsidR="004F01E9" w:rsidRPr="00061692">
        <w:rPr>
          <w:noProof/>
          <w:spacing w:val="-4"/>
        </w:rPr>
        <w:t xml:space="preserve"> s </w:t>
      </w:r>
      <w:r w:rsidRPr="00061692">
        <w:rPr>
          <w:noProof/>
          <w:spacing w:val="-4"/>
        </w:rPr>
        <w:t>ktorými kupujúci alebo nájomca uskutočnil značný hotovostný vklad, ktorý</w:t>
      </w:r>
      <w:r w:rsidR="004F01E9" w:rsidRPr="00061692">
        <w:rPr>
          <w:noProof/>
          <w:spacing w:val="-4"/>
        </w:rPr>
        <w:t xml:space="preserve"> v </w:t>
      </w:r>
      <w:r w:rsidRPr="00061692">
        <w:rPr>
          <w:noProof/>
          <w:spacing w:val="-4"/>
        </w:rPr>
        <w:t>prípade ukončenia zmluvy prepadne;</w:t>
      </w:r>
    </w:p>
    <w:p w14:paraId="53BD5520" w14:textId="75FEE200" w:rsidR="00456352" w:rsidRPr="004F01E9" w:rsidRDefault="00456352" w:rsidP="00456352">
      <w:pPr>
        <w:pStyle w:val="Point1"/>
        <w:rPr>
          <w:noProof/>
        </w:rPr>
      </w:pPr>
      <w:r w:rsidRPr="004F01E9">
        <w:rPr>
          <w:noProof/>
        </w:rPr>
        <w:t>b)</w:t>
      </w:r>
      <w:r w:rsidRPr="004F01E9">
        <w:rPr>
          <w:noProof/>
        </w:rPr>
        <w:tab/>
        <w:t>dlžník má značný kapitál vystavený riziku, ktorý pozostáva zo sumy vlastného imania, ktorú poskytol dlžník, primeranej vo vzťahu</w:t>
      </w:r>
      <w:r w:rsidR="004F01E9">
        <w:rPr>
          <w:noProof/>
        </w:rPr>
        <w:t xml:space="preserve"> k </w:t>
      </w:r>
      <w:r w:rsidRPr="004F01E9">
        <w:rPr>
          <w:noProof/>
        </w:rPr>
        <w:t>odhadovanej hodnote nehnuteľného majetku určeného na bývanie po jeho dokončení.</w:t>
      </w:r>
    </w:p>
    <w:p w14:paraId="21777EE6" w14:textId="25B58C1D" w:rsidR="00456352" w:rsidRPr="004F01E9" w:rsidRDefault="00456352" w:rsidP="00456352">
      <w:pPr>
        <w:pStyle w:val="Text1"/>
        <w:rPr>
          <w:noProof/>
        </w:rPr>
      </w:pPr>
      <w:r w:rsidRPr="004F01E9">
        <w:rPr>
          <w:noProof/>
        </w:rPr>
        <w:t>3. EBA do [Úrad pre publikácie: vložte dátum = 1 rok po nadobudnutí účinnosti] vydá usmernenia,</w:t>
      </w:r>
      <w:r w:rsidR="004F01E9">
        <w:rPr>
          <w:noProof/>
        </w:rPr>
        <w:t xml:space="preserve"> v </w:t>
      </w:r>
      <w:r w:rsidRPr="004F01E9">
        <w:rPr>
          <w:noProof/>
        </w:rPr>
        <w:t>ktorých sa spresnia pojmy „značné peňažné vklady“, „primeraná suma vlastného imania, ktorú poskytol dlžník“, „významná časť celkových zmlúv“</w:t>
      </w:r>
      <w:r w:rsidR="004F01E9">
        <w:rPr>
          <w:noProof/>
        </w:rPr>
        <w:t xml:space="preserve"> a </w:t>
      </w:r>
      <w:r w:rsidRPr="004F01E9">
        <w:rPr>
          <w:noProof/>
        </w:rPr>
        <w:t>„značný kapitál vystavený riziku“.</w:t>
      </w:r>
    </w:p>
    <w:p w14:paraId="004C01F8" w14:textId="2030D55D" w:rsidR="00456352" w:rsidRPr="004F01E9" w:rsidRDefault="00456352" w:rsidP="00456352">
      <w:pPr>
        <w:pStyle w:val="Text1"/>
        <w:rPr>
          <w:noProof/>
        </w:rPr>
      </w:pPr>
      <w:r w:rsidRPr="004F01E9">
        <w:rPr>
          <w:noProof/>
        </w:rPr>
        <w:t>Uvedené usmernenia sa prijímajú</w:t>
      </w:r>
      <w:r w:rsidR="004F01E9">
        <w:rPr>
          <w:noProof/>
        </w:rPr>
        <w:t xml:space="preserve"> v </w:t>
      </w:r>
      <w:r w:rsidRPr="004F01E9">
        <w:rPr>
          <w:noProof/>
        </w:rPr>
        <w:t>súlade</w:t>
      </w:r>
      <w:r w:rsidR="004F01E9">
        <w:rPr>
          <w:noProof/>
        </w:rPr>
        <w:t xml:space="preserve"> s </w:t>
      </w:r>
      <w:r w:rsidRPr="004F01E9">
        <w:rPr>
          <w:noProof/>
        </w:rPr>
        <w:t xml:space="preserve">článkom 16 nariadenia (EÚ) </w:t>
      </w:r>
      <w:r w:rsidR="004F01E9">
        <w:rPr>
          <w:noProof/>
        </w:rPr>
        <w:t>č. </w:t>
      </w:r>
      <w:r w:rsidRPr="004F01E9">
        <w:rPr>
          <w:noProof/>
        </w:rPr>
        <w:t>1093/2010.“</w:t>
      </w:r>
    </w:p>
    <w:p w14:paraId="0720416D" w14:textId="1B32E434" w:rsidR="00806B81" w:rsidRPr="004F01E9" w:rsidRDefault="00061692" w:rsidP="00061692">
      <w:pPr>
        <w:pStyle w:val="Point0"/>
        <w:rPr>
          <w:noProof/>
        </w:rPr>
      </w:pPr>
      <w:r>
        <w:rPr>
          <w:noProof/>
        </w:rPr>
        <w:t>48.</w:t>
      </w:r>
      <w:r>
        <w:rPr>
          <w:noProof/>
        </w:rPr>
        <w:tab/>
      </w:r>
      <w:r w:rsidR="00456352" w:rsidRPr="004F01E9">
        <w:rPr>
          <w:noProof/>
        </w:rPr>
        <w:t>Článok 127 sa mení takto:</w:t>
      </w:r>
    </w:p>
    <w:p w14:paraId="79892F71" w14:textId="246C1E2E" w:rsidR="00456352" w:rsidRPr="004F01E9" w:rsidRDefault="00D20958" w:rsidP="00D20958">
      <w:pPr>
        <w:pStyle w:val="Point1"/>
        <w:rPr>
          <w:noProof/>
        </w:rPr>
      </w:pPr>
      <w:r w:rsidRPr="004F01E9">
        <w:rPr>
          <w:noProof/>
        </w:rPr>
        <w:t>a)</w:t>
      </w:r>
      <w:r w:rsidRPr="004F01E9">
        <w:rPr>
          <w:noProof/>
        </w:rPr>
        <w:tab/>
        <w:t>V odseku 1 sa dopĺňa tento pododsek:</w:t>
      </w:r>
    </w:p>
    <w:p w14:paraId="1EEE0D0C" w14:textId="10C24332" w:rsidR="00456352" w:rsidRPr="004F01E9" w:rsidRDefault="00456352" w:rsidP="00456352">
      <w:pPr>
        <w:pStyle w:val="Text2"/>
        <w:rPr>
          <w:noProof/>
        </w:rPr>
      </w:pPr>
      <w:r w:rsidRPr="004F01E9">
        <w:rPr>
          <w:noProof/>
        </w:rPr>
        <w:t>„Na účely výpočtu súčtu špecifických úprav kreditného rizika uvedených</w:t>
      </w:r>
      <w:r w:rsidR="004F01E9">
        <w:rPr>
          <w:noProof/>
        </w:rPr>
        <w:t xml:space="preserve"> v </w:t>
      </w:r>
      <w:r w:rsidRPr="004F01E9">
        <w:rPr>
          <w:noProof/>
        </w:rPr>
        <w:t>tomto odseku inštitúcie zahŕňajú do výpočtu akýkoľvek kladný rozdiel medzi sumou, ktorú dlžník dlhuje</w:t>
      </w:r>
      <w:r w:rsidR="004F01E9">
        <w:rPr>
          <w:noProof/>
        </w:rPr>
        <w:t xml:space="preserve"> v </w:t>
      </w:r>
      <w:r w:rsidRPr="004F01E9">
        <w:rPr>
          <w:noProof/>
        </w:rPr>
        <w:t>súvislosti</w:t>
      </w:r>
      <w:r w:rsidR="004F01E9">
        <w:rPr>
          <w:noProof/>
        </w:rPr>
        <w:t xml:space="preserve"> s </w:t>
      </w:r>
      <w:r w:rsidRPr="004F01E9">
        <w:rPr>
          <w:noProof/>
        </w:rPr>
        <w:t>expozíciou, na jednej strane</w:t>
      </w:r>
      <w:r w:rsidR="004F01E9">
        <w:rPr>
          <w:noProof/>
        </w:rPr>
        <w:t xml:space="preserve"> a </w:t>
      </w:r>
      <w:r w:rsidRPr="004F01E9">
        <w:rPr>
          <w:noProof/>
        </w:rPr>
        <w:t>súčtom:</w:t>
      </w:r>
    </w:p>
    <w:p w14:paraId="04895CC7" w14:textId="34E6C578" w:rsidR="00806B81" w:rsidRPr="00061692" w:rsidRDefault="00456352" w:rsidP="00456352">
      <w:pPr>
        <w:pStyle w:val="Text2"/>
        <w:rPr>
          <w:noProof/>
          <w:spacing w:val="-8"/>
        </w:rPr>
      </w:pPr>
      <w:r w:rsidRPr="00061692">
        <w:rPr>
          <w:noProof/>
          <w:spacing w:val="-8"/>
        </w:rPr>
        <w:t>i) dodatočného zníženia vlastných zdrojov, ak bola expozícia odpísaná</w:t>
      </w:r>
      <w:r w:rsidR="004F01E9" w:rsidRPr="00061692">
        <w:rPr>
          <w:noProof/>
          <w:spacing w:val="-8"/>
        </w:rPr>
        <w:t xml:space="preserve"> v </w:t>
      </w:r>
      <w:r w:rsidRPr="00061692">
        <w:rPr>
          <w:noProof/>
          <w:spacing w:val="-8"/>
        </w:rPr>
        <w:t>plnej výške;</w:t>
      </w:r>
    </w:p>
    <w:p w14:paraId="517BBF09" w14:textId="039F4D16" w:rsidR="00456352" w:rsidRPr="004F01E9" w:rsidRDefault="00456352" w:rsidP="00456352">
      <w:pPr>
        <w:pStyle w:val="Text2"/>
        <w:rPr>
          <w:noProof/>
        </w:rPr>
      </w:pPr>
      <w:r w:rsidRPr="004F01E9">
        <w:rPr>
          <w:noProof/>
        </w:rPr>
        <w:t>ii) akýchkoľvek už existujúcich znížení vlastných zdrojov súvisiacich</w:t>
      </w:r>
      <w:r w:rsidR="004F01E9">
        <w:rPr>
          <w:noProof/>
        </w:rPr>
        <w:t xml:space="preserve"> s </w:t>
      </w:r>
      <w:r w:rsidRPr="004F01E9">
        <w:rPr>
          <w:noProof/>
        </w:rPr>
        <w:t>uvedenou expozíciou na strane druhej.“;</w:t>
      </w:r>
    </w:p>
    <w:p w14:paraId="135C95F6" w14:textId="6581D8BE" w:rsidR="00456352" w:rsidRPr="004F01E9" w:rsidRDefault="00D20958" w:rsidP="00D20958">
      <w:pPr>
        <w:pStyle w:val="Point1"/>
        <w:rPr>
          <w:noProof/>
        </w:rPr>
      </w:pPr>
      <w:r w:rsidRPr="004F01E9">
        <w:rPr>
          <w:noProof/>
        </w:rPr>
        <w:t>b)</w:t>
      </w:r>
      <w:r w:rsidRPr="004F01E9">
        <w:rPr>
          <w:noProof/>
        </w:rPr>
        <w:tab/>
        <w:t>Odsek 2 sa nahrádza takto:</w:t>
      </w:r>
    </w:p>
    <w:p w14:paraId="61F1C21A" w14:textId="01F84AAB" w:rsidR="00456352" w:rsidRPr="00061692" w:rsidRDefault="00456352" w:rsidP="00456352">
      <w:pPr>
        <w:pStyle w:val="Text2"/>
        <w:rPr>
          <w:noProof/>
          <w:spacing w:val="-6"/>
        </w:rPr>
      </w:pPr>
      <w:r w:rsidRPr="00061692">
        <w:rPr>
          <w:noProof/>
          <w:spacing w:val="-6"/>
        </w:rPr>
        <w:t>„2. Na účely stanovenia zabezpečenej časti expozície</w:t>
      </w:r>
      <w:r w:rsidR="004F01E9" w:rsidRPr="00061692">
        <w:rPr>
          <w:noProof/>
          <w:spacing w:val="-6"/>
        </w:rPr>
        <w:t xml:space="preserve"> v </w:t>
      </w:r>
      <w:r w:rsidRPr="00061692">
        <w:rPr>
          <w:noProof/>
          <w:spacing w:val="-6"/>
        </w:rPr>
        <w:t>stave zlyhania sú kolaterál</w:t>
      </w:r>
      <w:r w:rsidR="004F01E9" w:rsidRPr="00061692">
        <w:rPr>
          <w:noProof/>
          <w:spacing w:val="-6"/>
        </w:rPr>
        <w:t xml:space="preserve"> a </w:t>
      </w:r>
      <w:r w:rsidRPr="00061692">
        <w:rPr>
          <w:noProof/>
          <w:spacing w:val="-6"/>
        </w:rPr>
        <w:t>záruky prípustné na účely zmierňovania kreditného rizika</w:t>
      </w:r>
      <w:r w:rsidR="004F01E9" w:rsidRPr="00061692">
        <w:rPr>
          <w:noProof/>
          <w:spacing w:val="-6"/>
        </w:rPr>
        <w:t xml:space="preserve"> v </w:t>
      </w:r>
      <w:r w:rsidRPr="00061692">
        <w:rPr>
          <w:noProof/>
          <w:spacing w:val="-6"/>
        </w:rPr>
        <w:t>súlade</w:t>
      </w:r>
      <w:r w:rsidR="004F01E9" w:rsidRPr="00061692">
        <w:rPr>
          <w:noProof/>
          <w:spacing w:val="-6"/>
        </w:rPr>
        <w:t xml:space="preserve"> s </w:t>
      </w:r>
      <w:r w:rsidRPr="00061692">
        <w:rPr>
          <w:noProof/>
          <w:spacing w:val="-6"/>
        </w:rPr>
        <w:t>kapitolou 4.“;</w:t>
      </w:r>
    </w:p>
    <w:p w14:paraId="12B04114" w14:textId="2566CE82" w:rsidR="00456352" w:rsidRPr="004F01E9" w:rsidRDefault="00D20958" w:rsidP="00D20958">
      <w:pPr>
        <w:pStyle w:val="Point1"/>
        <w:rPr>
          <w:noProof/>
        </w:rPr>
      </w:pPr>
      <w:r w:rsidRPr="004F01E9">
        <w:rPr>
          <w:noProof/>
        </w:rPr>
        <w:t>c)</w:t>
      </w:r>
      <w:r w:rsidRPr="004F01E9">
        <w:rPr>
          <w:noProof/>
        </w:rPr>
        <w:tab/>
        <w:t>Odsek 3 sa nahrádza takto:</w:t>
      </w:r>
    </w:p>
    <w:p w14:paraId="0EBD69BF" w14:textId="17A48866" w:rsidR="00456352" w:rsidRPr="00061692" w:rsidRDefault="00456352" w:rsidP="00456352">
      <w:pPr>
        <w:pStyle w:val="Text2"/>
        <w:rPr>
          <w:noProof/>
          <w:spacing w:val="-4"/>
        </w:rPr>
      </w:pPr>
      <w:r w:rsidRPr="00061692">
        <w:rPr>
          <w:noProof/>
          <w:spacing w:val="-4"/>
        </w:rPr>
        <w:t>„3. Ak došlo</w:t>
      </w:r>
      <w:r w:rsidR="004F01E9" w:rsidRPr="00061692">
        <w:rPr>
          <w:noProof/>
          <w:spacing w:val="-4"/>
        </w:rPr>
        <w:t xml:space="preserve"> k </w:t>
      </w:r>
      <w:r w:rsidRPr="00061692">
        <w:rPr>
          <w:noProof/>
          <w:spacing w:val="-4"/>
        </w:rPr>
        <w:t>zlyhaniu</w:t>
      </w:r>
      <w:r w:rsidR="004F01E9" w:rsidRPr="00061692">
        <w:rPr>
          <w:noProof/>
          <w:spacing w:val="-4"/>
        </w:rPr>
        <w:t xml:space="preserve"> v </w:t>
      </w:r>
      <w:r w:rsidRPr="00061692">
        <w:rPr>
          <w:noProof/>
          <w:spacing w:val="-4"/>
        </w:rPr>
        <w:t>súlade</w:t>
      </w:r>
      <w:r w:rsidR="004F01E9" w:rsidRPr="00061692">
        <w:rPr>
          <w:noProof/>
          <w:spacing w:val="-4"/>
        </w:rPr>
        <w:t xml:space="preserve"> s </w:t>
      </w:r>
      <w:r w:rsidRPr="00061692">
        <w:rPr>
          <w:noProof/>
          <w:spacing w:val="-4"/>
        </w:rPr>
        <w:t>článkom 178, hodnote expozície zostávajúcej po špecifických úpravách kreditného rizika expozícií voči nehnuteľnostiam negenerujúcim príjem, ktoré sú zabezpečené nehnuteľným majetkom určeným na bývanie</w:t>
      </w:r>
      <w:r w:rsidR="004F01E9" w:rsidRPr="00061692">
        <w:rPr>
          <w:noProof/>
          <w:spacing w:val="-4"/>
        </w:rPr>
        <w:t xml:space="preserve"> v </w:t>
      </w:r>
      <w:r w:rsidRPr="00061692">
        <w:rPr>
          <w:noProof/>
          <w:spacing w:val="-4"/>
        </w:rPr>
        <w:t>súlade</w:t>
      </w:r>
      <w:r w:rsidR="004F01E9" w:rsidRPr="00061692">
        <w:rPr>
          <w:noProof/>
          <w:spacing w:val="-4"/>
        </w:rPr>
        <w:t xml:space="preserve"> s </w:t>
      </w:r>
      <w:r w:rsidRPr="00061692">
        <w:rPr>
          <w:noProof/>
          <w:spacing w:val="-4"/>
        </w:rPr>
        <w:t>článkom 125 alebo nehnuteľným majetkom určeným na podnikanie</w:t>
      </w:r>
      <w:r w:rsidR="004F01E9" w:rsidRPr="00061692">
        <w:rPr>
          <w:noProof/>
          <w:spacing w:val="-4"/>
        </w:rPr>
        <w:t xml:space="preserve"> v </w:t>
      </w:r>
      <w:r w:rsidRPr="00061692">
        <w:rPr>
          <w:noProof/>
          <w:spacing w:val="-4"/>
        </w:rPr>
        <w:t>súlade</w:t>
      </w:r>
      <w:r w:rsidR="004F01E9" w:rsidRPr="00061692">
        <w:rPr>
          <w:noProof/>
          <w:spacing w:val="-4"/>
        </w:rPr>
        <w:t xml:space="preserve"> s </w:t>
      </w:r>
      <w:r w:rsidRPr="00061692">
        <w:rPr>
          <w:noProof/>
          <w:spacing w:val="-4"/>
        </w:rPr>
        <w:t>článkom 126, sa priraďuje riziková váha 100</w:t>
      </w:r>
      <w:r w:rsidR="004F01E9" w:rsidRPr="00061692">
        <w:rPr>
          <w:noProof/>
          <w:spacing w:val="-4"/>
        </w:rPr>
        <w:t> %</w:t>
      </w:r>
      <w:r w:rsidRPr="00061692">
        <w:rPr>
          <w:noProof/>
          <w:spacing w:val="-4"/>
        </w:rPr>
        <w:t>.“;</w:t>
      </w:r>
    </w:p>
    <w:p w14:paraId="138E70D2" w14:textId="7972A66D" w:rsidR="00456352" w:rsidRPr="004F01E9" w:rsidRDefault="00D20958" w:rsidP="00D20958">
      <w:pPr>
        <w:pStyle w:val="Point1"/>
        <w:rPr>
          <w:noProof/>
        </w:rPr>
      </w:pPr>
      <w:r w:rsidRPr="004F01E9">
        <w:rPr>
          <w:noProof/>
        </w:rPr>
        <w:t>d)</w:t>
      </w:r>
      <w:r w:rsidRPr="004F01E9">
        <w:rPr>
          <w:noProof/>
        </w:rPr>
        <w:tab/>
        <w:t>Odsek 4 sa vypúšťa.</w:t>
      </w:r>
    </w:p>
    <w:p w14:paraId="5C9E09CB" w14:textId="637DE7B1" w:rsidR="00806B81" w:rsidRPr="004F01E9" w:rsidRDefault="00061692" w:rsidP="00061692">
      <w:pPr>
        <w:pStyle w:val="Point0"/>
        <w:keepNext/>
        <w:keepLines/>
        <w:rPr>
          <w:noProof/>
        </w:rPr>
      </w:pPr>
      <w:r>
        <w:rPr>
          <w:noProof/>
        </w:rPr>
        <w:t>49.</w:t>
      </w:r>
      <w:r>
        <w:rPr>
          <w:noProof/>
        </w:rPr>
        <w:tab/>
      </w:r>
      <w:r w:rsidR="00456352" w:rsidRPr="004F01E9">
        <w:rPr>
          <w:noProof/>
        </w:rPr>
        <w:t>Článok 128 sa nahrádza takto:</w:t>
      </w:r>
    </w:p>
    <w:p w14:paraId="2036F0AC" w14:textId="4F35C39C" w:rsidR="00456352" w:rsidRPr="004F01E9" w:rsidRDefault="00456352" w:rsidP="00061692">
      <w:pPr>
        <w:pStyle w:val="Titrearticle"/>
        <w:keepLines/>
        <w:rPr>
          <w:b/>
          <w:i w:val="0"/>
          <w:noProof/>
        </w:rPr>
      </w:pPr>
      <w:r w:rsidRPr="004F01E9">
        <w:rPr>
          <w:noProof/>
        </w:rPr>
        <w:t xml:space="preserve">„Článok 128 </w:t>
      </w:r>
      <w:r w:rsidRPr="004F01E9">
        <w:rPr>
          <w:noProof/>
        </w:rPr>
        <w:br/>
      </w:r>
      <w:r w:rsidRPr="004F01E9">
        <w:rPr>
          <w:b/>
          <w:i w:val="0"/>
          <w:noProof/>
        </w:rPr>
        <w:t>Expozície voči podriadenému dlhu</w:t>
      </w:r>
    </w:p>
    <w:p w14:paraId="76BBC7DA" w14:textId="6C23A003" w:rsidR="00456352" w:rsidRPr="004F01E9" w:rsidRDefault="00456352" w:rsidP="00061692">
      <w:pPr>
        <w:pStyle w:val="Text1"/>
        <w:keepNext/>
        <w:keepLines/>
        <w:rPr>
          <w:noProof/>
        </w:rPr>
      </w:pPr>
      <w:r w:rsidRPr="004F01E9">
        <w:rPr>
          <w:noProof/>
        </w:rPr>
        <w:t>1.</w:t>
      </w:r>
      <w:r w:rsidR="004F01E9">
        <w:rPr>
          <w:noProof/>
        </w:rPr>
        <w:t xml:space="preserve"> S </w:t>
      </w:r>
      <w:r w:rsidRPr="004F01E9">
        <w:rPr>
          <w:noProof/>
        </w:rPr>
        <w:t>týmito expozíciami sa zaobchádza ako</w:t>
      </w:r>
      <w:r w:rsidR="004F01E9">
        <w:rPr>
          <w:noProof/>
        </w:rPr>
        <w:t xml:space="preserve"> s </w:t>
      </w:r>
      <w:r w:rsidRPr="004F01E9">
        <w:rPr>
          <w:noProof/>
        </w:rPr>
        <w:t>expozíciami voči podriadenému dlhu:</w:t>
      </w:r>
    </w:p>
    <w:p w14:paraId="1CEF0071" w14:textId="77777777" w:rsidR="00456352" w:rsidRPr="004F01E9" w:rsidRDefault="00456352" w:rsidP="00061692">
      <w:pPr>
        <w:pStyle w:val="Point1"/>
        <w:keepNext/>
        <w:keepLines/>
        <w:rPr>
          <w:noProof/>
        </w:rPr>
      </w:pPr>
      <w:r w:rsidRPr="004F01E9">
        <w:rPr>
          <w:noProof/>
        </w:rPr>
        <w:t>a)</w:t>
      </w:r>
      <w:r w:rsidRPr="004F01E9">
        <w:rPr>
          <w:noProof/>
        </w:rPr>
        <w:tab/>
        <w:t>dlhové expozície, ktoré sú podriadené pohľadávkam iného veriteľa;</w:t>
      </w:r>
    </w:p>
    <w:p w14:paraId="17F0A779" w14:textId="587459AE" w:rsidR="00456352" w:rsidRPr="004F01E9" w:rsidRDefault="00456352" w:rsidP="00456352">
      <w:pPr>
        <w:pStyle w:val="Point1"/>
        <w:rPr>
          <w:noProof/>
        </w:rPr>
      </w:pPr>
      <w:r w:rsidRPr="004F01E9">
        <w:rPr>
          <w:noProof/>
        </w:rPr>
        <w:t>b)</w:t>
      </w:r>
      <w:r w:rsidRPr="004F01E9">
        <w:rPr>
          <w:noProof/>
        </w:rPr>
        <w:tab/>
        <w:t>nástroje vlastných zdrojov, pokiaľ sa tieto nástroje nepovažujú za kapitálové expozície</w:t>
      </w:r>
      <w:r w:rsidR="004F01E9">
        <w:rPr>
          <w:noProof/>
        </w:rPr>
        <w:t xml:space="preserve"> v </w:t>
      </w:r>
      <w:r w:rsidRPr="004F01E9">
        <w:rPr>
          <w:noProof/>
        </w:rPr>
        <w:t>súlade</w:t>
      </w:r>
      <w:r w:rsidR="004F01E9">
        <w:rPr>
          <w:noProof/>
        </w:rPr>
        <w:t xml:space="preserve"> s </w:t>
      </w:r>
      <w:r w:rsidRPr="004F01E9">
        <w:rPr>
          <w:noProof/>
        </w:rPr>
        <w:t>článkom 133 ods. 1,</w:t>
      </w:r>
    </w:p>
    <w:p w14:paraId="06559E2F" w14:textId="7F6FBE64" w:rsidR="00456352" w:rsidRPr="004F01E9" w:rsidRDefault="00456352" w:rsidP="00456352">
      <w:pPr>
        <w:pStyle w:val="Point1"/>
        <w:rPr>
          <w:noProof/>
        </w:rPr>
      </w:pPr>
      <w:r w:rsidRPr="004F01E9">
        <w:rPr>
          <w:noProof/>
        </w:rPr>
        <w:t>c)</w:t>
      </w:r>
      <w:r w:rsidRPr="004F01E9">
        <w:rPr>
          <w:noProof/>
        </w:rPr>
        <w:tab/>
        <w:t>nástroje záväzkov, ktoré spĺňajú podmienky stanovené</w:t>
      </w:r>
      <w:r w:rsidR="004F01E9">
        <w:rPr>
          <w:noProof/>
        </w:rPr>
        <w:t xml:space="preserve"> v </w:t>
      </w:r>
      <w:r w:rsidRPr="004F01E9">
        <w:rPr>
          <w:noProof/>
        </w:rPr>
        <w:t>článku 72b.</w:t>
      </w:r>
    </w:p>
    <w:p w14:paraId="1DA220A8" w14:textId="20555886" w:rsidR="00456352" w:rsidRPr="004F01E9" w:rsidRDefault="00456352" w:rsidP="00456352">
      <w:pPr>
        <w:pStyle w:val="Text1"/>
        <w:rPr>
          <w:noProof/>
        </w:rPr>
      </w:pPr>
      <w:r w:rsidRPr="004F01E9">
        <w:rPr>
          <w:noProof/>
        </w:rPr>
        <w:t>2. Expozíciám podriadeného dlhu sa priraďuje riziková váha 150</w:t>
      </w:r>
      <w:r w:rsidR="004F01E9">
        <w:rPr>
          <w:noProof/>
        </w:rPr>
        <w:t> %</w:t>
      </w:r>
      <w:r w:rsidRPr="004F01E9">
        <w:rPr>
          <w:noProof/>
        </w:rPr>
        <w:t>, pokiaľ sa tieto expozície podriadeného dlhu nemusia odpočítať</w:t>
      </w:r>
      <w:r w:rsidR="004F01E9">
        <w:rPr>
          <w:noProof/>
        </w:rPr>
        <w:t xml:space="preserve"> v </w:t>
      </w:r>
      <w:r w:rsidRPr="004F01E9">
        <w:rPr>
          <w:noProof/>
        </w:rPr>
        <w:t>súlade</w:t>
      </w:r>
      <w:r w:rsidR="004F01E9">
        <w:rPr>
          <w:noProof/>
        </w:rPr>
        <w:t xml:space="preserve"> s </w:t>
      </w:r>
      <w:r w:rsidRPr="004F01E9">
        <w:rPr>
          <w:noProof/>
        </w:rPr>
        <w:t>druhou časťou tohto nariadenia.“</w:t>
      </w:r>
    </w:p>
    <w:p w14:paraId="4C1EA988" w14:textId="3335372A" w:rsidR="004F01E9" w:rsidRDefault="00061692" w:rsidP="00061692">
      <w:pPr>
        <w:pStyle w:val="Point0"/>
        <w:rPr>
          <w:noProof/>
        </w:rPr>
      </w:pPr>
      <w:r>
        <w:rPr>
          <w:noProof/>
        </w:rPr>
        <w:t>50.</w:t>
      </w:r>
      <w:r>
        <w:rPr>
          <w:noProof/>
        </w:rPr>
        <w:tab/>
      </w:r>
      <w:r w:rsidR="00D237A0" w:rsidRPr="004F01E9">
        <w:rPr>
          <w:noProof/>
        </w:rPr>
        <w:t>V článku 129 ods. 3 sa dopĺňa tento pododsek</w:t>
      </w:r>
      <w:r w:rsidR="004F01E9">
        <w:rPr>
          <w:noProof/>
        </w:rPr>
        <w:t>:</w:t>
      </w:r>
    </w:p>
    <w:p w14:paraId="166C1D4A" w14:textId="644BEDB8" w:rsidR="00D237A0" w:rsidRPr="004F01E9" w:rsidRDefault="00D237A0" w:rsidP="00D237A0">
      <w:pPr>
        <w:pStyle w:val="Text1"/>
        <w:rPr>
          <w:noProof/>
        </w:rPr>
      </w:pPr>
      <w:r w:rsidRPr="004F01E9">
        <w:rPr>
          <w:noProof/>
        </w:rPr>
        <w:t>„Odchylne od prvého pododseku môžu príslušné orgány určené podľa článku 18 ods. 2 smernice (EÚ) 2019/2162 na účely ocenenia nehnuteľného majetku povoliť, aby sa tento nehnuteľný majetok oceňoval na úrovni trhovej hodnoty alebo na nižšej úrovni, alebo</w:t>
      </w:r>
      <w:r w:rsidR="004F01E9">
        <w:rPr>
          <w:noProof/>
        </w:rPr>
        <w:t xml:space="preserve"> v </w:t>
      </w:r>
      <w:r w:rsidRPr="004F01E9">
        <w:rPr>
          <w:noProof/>
        </w:rPr>
        <w:t>tých členských štátoch, ktoré</w:t>
      </w:r>
      <w:r w:rsidR="004F01E9">
        <w:rPr>
          <w:noProof/>
        </w:rPr>
        <w:t xml:space="preserve"> v </w:t>
      </w:r>
      <w:r w:rsidRPr="004F01E9">
        <w:rPr>
          <w:noProof/>
        </w:rPr>
        <w:t>štatutárnych alebo regulatórnych ustanoveniach stanovili prísne kritériá na posúdenie hodnoty poskytnutého hypotekárneho financovania, na úrovni hodnoty poskytnutého hypotekárneho financovania na tento nehnuteľný majetok bez uplatnenia obmedzení stanovených</w:t>
      </w:r>
      <w:r w:rsidR="004F01E9">
        <w:rPr>
          <w:noProof/>
        </w:rPr>
        <w:t xml:space="preserve"> v </w:t>
      </w:r>
      <w:r w:rsidRPr="004F01E9">
        <w:rPr>
          <w:noProof/>
        </w:rPr>
        <w:t>článku 208 ods. 3 písm. b).“</w:t>
      </w:r>
    </w:p>
    <w:p w14:paraId="6FCB8D9E" w14:textId="2346731A" w:rsidR="00456352" w:rsidRPr="004F01E9" w:rsidRDefault="00061692" w:rsidP="00061692">
      <w:pPr>
        <w:pStyle w:val="Point0"/>
        <w:rPr>
          <w:noProof/>
        </w:rPr>
      </w:pPr>
      <w:r>
        <w:rPr>
          <w:noProof/>
        </w:rPr>
        <w:t>51.</w:t>
      </w:r>
      <w:r>
        <w:rPr>
          <w:noProof/>
        </w:rPr>
        <w:tab/>
      </w:r>
      <w:r w:rsidR="00456352" w:rsidRPr="004F01E9">
        <w:rPr>
          <w:noProof/>
        </w:rPr>
        <w:t>V článku 131 sa tabuľka 7 nahrádza takto:</w:t>
      </w:r>
    </w:p>
    <w:p w14:paraId="6F04D644" w14:textId="77777777" w:rsidR="00456352" w:rsidRPr="004F01E9" w:rsidRDefault="00456352" w:rsidP="00D20958">
      <w:pPr>
        <w:pStyle w:val="Text1"/>
        <w:jc w:val="center"/>
        <w:rPr>
          <w:noProof/>
        </w:rPr>
      </w:pPr>
      <w:r w:rsidRPr="004F01E9">
        <w:rPr>
          <w:noProof/>
        </w:rPr>
        <w:t>„</w:t>
      </w:r>
      <w:r w:rsidRPr="004F01E9">
        <w:rPr>
          <w:i/>
          <w:noProof/>
        </w:rPr>
        <w:t>Tabuľka 7</w:t>
      </w:r>
    </w:p>
    <w:tbl>
      <w:tblPr>
        <w:tblW w:w="0" w:type="auto"/>
        <w:tblInd w:w="1001" w:type="dxa"/>
        <w:tblBorders>
          <w:top w:val="outset" w:sz="6" w:space="0" w:color="auto"/>
          <w:left w:val="outset" w:sz="6" w:space="0" w:color="auto"/>
          <w:bottom w:val="outset" w:sz="6" w:space="0" w:color="auto"/>
          <w:right w:val="outset" w:sz="6" w:space="0" w:color="auto"/>
        </w:tblBorders>
        <w:shd w:val="clear" w:color="auto" w:fill="FFFFFF"/>
        <w:tblCellMar>
          <w:top w:w="20" w:type="dxa"/>
          <w:left w:w="20" w:type="dxa"/>
          <w:bottom w:w="20" w:type="dxa"/>
          <w:right w:w="20" w:type="dxa"/>
        </w:tblCellMar>
        <w:tblLook w:val="04A0" w:firstRow="1" w:lastRow="0" w:firstColumn="1" w:lastColumn="0" w:noHBand="0" w:noVBand="1"/>
      </w:tblPr>
      <w:tblGrid>
        <w:gridCol w:w="2322"/>
        <w:gridCol w:w="515"/>
        <w:gridCol w:w="515"/>
        <w:gridCol w:w="515"/>
        <w:gridCol w:w="515"/>
        <w:gridCol w:w="540"/>
        <w:gridCol w:w="635"/>
      </w:tblGrid>
      <w:tr w:rsidR="00456352" w:rsidRPr="004F01E9" w14:paraId="3B47584C" w14:textId="77777777" w:rsidTr="00CC5DE8">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279CCFE3" w14:textId="77777777" w:rsidR="00456352" w:rsidRPr="004F01E9" w:rsidRDefault="00456352" w:rsidP="00CC5DE8">
            <w:pPr>
              <w:spacing w:before="60" w:after="60" w:line="276" w:lineRule="auto"/>
              <w:jc w:val="left"/>
              <w:rPr>
                <w:rFonts w:eastAsia="Times New Roman"/>
                <w:noProof/>
                <w:color w:val="000000" w:themeColor="text1"/>
              </w:rPr>
            </w:pPr>
            <w:r w:rsidRPr="004F01E9">
              <w:rPr>
                <w:noProof/>
                <w:color w:val="000000" w:themeColor="text1"/>
              </w:rPr>
              <w:t>Stupeň kreditnej kvality</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5E00192" w14:textId="77777777" w:rsidR="00456352" w:rsidRPr="004F01E9" w:rsidRDefault="00456352" w:rsidP="00CC5DE8">
            <w:pPr>
              <w:spacing w:before="60" w:after="60" w:line="276" w:lineRule="auto"/>
              <w:jc w:val="left"/>
              <w:rPr>
                <w:rFonts w:eastAsia="Times New Roman"/>
                <w:noProof/>
                <w:color w:val="000000" w:themeColor="text1"/>
              </w:rPr>
            </w:pPr>
            <w:r w:rsidRPr="004F01E9">
              <w:rPr>
                <w:noProof/>
                <w:color w:val="000000" w:themeColor="text1"/>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DA90A2B" w14:textId="77777777" w:rsidR="00456352" w:rsidRPr="004F01E9" w:rsidRDefault="00456352" w:rsidP="00CC5DE8">
            <w:pPr>
              <w:spacing w:before="60" w:after="60" w:line="276" w:lineRule="auto"/>
              <w:jc w:val="left"/>
              <w:rPr>
                <w:rFonts w:eastAsia="Times New Roman"/>
                <w:noProof/>
                <w:color w:val="000000" w:themeColor="text1"/>
              </w:rPr>
            </w:pPr>
            <w:r w:rsidRPr="004F01E9">
              <w:rPr>
                <w:noProof/>
                <w:color w:val="000000" w:themeColor="text1"/>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18F7DC14" w14:textId="77777777" w:rsidR="00456352" w:rsidRPr="004F01E9" w:rsidRDefault="00456352" w:rsidP="00CC5DE8">
            <w:pPr>
              <w:spacing w:before="60" w:after="60" w:line="276" w:lineRule="auto"/>
              <w:jc w:val="left"/>
              <w:rPr>
                <w:rFonts w:eastAsia="Times New Roman"/>
                <w:noProof/>
                <w:color w:val="000000" w:themeColor="text1"/>
              </w:rPr>
            </w:pPr>
            <w:r w:rsidRPr="004F01E9">
              <w:rPr>
                <w:noProof/>
                <w:color w:val="000000" w:themeColor="text1"/>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77C2B78A" w14:textId="77777777" w:rsidR="00456352" w:rsidRPr="004F01E9" w:rsidRDefault="00456352" w:rsidP="00CC5DE8">
            <w:pPr>
              <w:spacing w:before="60" w:after="60" w:line="276" w:lineRule="auto"/>
              <w:jc w:val="left"/>
              <w:rPr>
                <w:rFonts w:eastAsia="Times New Roman"/>
                <w:noProof/>
                <w:color w:val="000000" w:themeColor="text1"/>
              </w:rPr>
            </w:pPr>
            <w:r w:rsidRPr="004F01E9">
              <w:rPr>
                <w:noProof/>
                <w:color w:val="000000" w:themeColor="text1"/>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Pr>
          <w:p w14:paraId="040825E4" w14:textId="77777777" w:rsidR="00456352" w:rsidRPr="004F01E9" w:rsidRDefault="00456352" w:rsidP="00CC5DE8">
            <w:pPr>
              <w:spacing w:before="60" w:after="60" w:line="276" w:lineRule="auto"/>
              <w:jc w:val="left"/>
              <w:rPr>
                <w:rFonts w:eastAsia="Times New Roman"/>
                <w:noProof/>
                <w:color w:val="000000" w:themeColor="text1"/>
              </w:rPr>
            </w:pPr>
            <w:r w:rsidRPr="004F01E9">
              <w:rPr>
                <w:noProof/>
                <w:color w:val="000000" w:themeColor="text1"/>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7A25FF0" w14:textId="77777777" w:rsidR="00456352" w:rsidRPr="004F01E9" w:rsidRDefault="00456352" w:rsidP="00CC5DE8">
            <w:pPr>
              <w:spacing w:before="60" w:after="60" w:line="276" w:lineRule="auto"/>
              <w:jc w:val="left"/>
              <w:rPr>
                <w:rFonts w:eastAsia="Times New Roman"/>
                <w:noProof/>
                <w:color w:val="000000" w:themeColor="text1"/>
              </w:rPr>
            </w:pPr>
            <w:r w:rsidRPr="004F01E9">
              <w:rPr>
                <w:noProof/>
                <w:color w:val="000000" w:themeColor="text1"/>
              </w:rPr>
              <w:t>6</w:t>
            </w:r>
          </w:p>
        </w:tc>
      </w:tr>
      <w:tr w:rsidR="00456352" w:rsidRPr="004F01E9" w14:paraId="678B86D2" w14:textId="77777777" w:rsidTr="00CC5DE8">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B133AD8" w14:textId="77777777" w:rsidR="00456352" w:rsidRPr="004F01E9" w:rsidRDefault="00456352" w:rsidP="00CC5DE8">
            <w:pPr>
              <w:spacing w:before="60" w:after="60" w:line="276" w:lineRule="auto"/>
              <w:jc w:val="left"/>
              <w:rPr>
                <w:rFonts w:eastAsia="Times New Roman"/>
                <w:noProof/>
                <w:color w:val="000000" w:themeColor="text1"/>
              </w:rPr>
            </w:pPr>
            <w:r w:rsidRPr="004F01E9">
              <w:rPr>
                <w:noProof/>
                <w:color w:val="000000" w:themeColor="text1"/>
              </w:rPr>
              <w:t>Riziková váha</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6BC54523" w14:textId="62773B40" w:rsidR="00456352" w:rsidRPr="004F01E9" w:rsidRDefault="00456352" w:rsidP="00CC5DE8">
            <w:pPr>
              <w:spacing w:before="60" w:after="60" w:line="276" w:lineRule="auto"/>
              <w:jc w:val="left"/>
              <w:rPr>
                <w:rFonts w:eastAsia="Times New Roman"/>
                <w:noProof/>
                <w:color w:val="000000" w:themeColor="text1"/>
              </w:rPr>
            </w:pPr>
            <w:r w:rsidRPr="004F01E9">
              <w:rPr>
                <w:noProof/>
              </w:rPr>
              <w:t>20</w:t>
            </w:r>
            <w:r w:rsidR="004F01E9">
              <w:rPr>
                <w:noProof/>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09FA334C" w14:textId="2587FD3B" w:rsidR="00456352" w:rsidRPr="004F01E9" w:rsidRDefault="00456352" w:rsidP="00CC5DE8">
            <w:pPr>
              <w:spacing w:before="60" w:after="60" w:line="276" w:lineRule="auto"/>
              <w:jc w:val="left"/>
              <w:rPr>
                <w:rFonts w:eastAsia="Times New Roman"/>
                <w:noProof/>
                <w:color w:val="000000" w:themeColor="text1"/>
              </w:rPr>
            </w:pPr>
            <w:r w:rsidRPr="004F01E9">
              <w:rPr>
                <w:noProof/>
              </w:rPr>
              <w:t>20</w:t>
            </w:r>
            <w:r w:rsidR="004F01E9">
              <w:rPr>
                <w:noProof/>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5E8EAD85" w14:textId="496E90E1" w:rsidR="00456352" w:rsidRPr="004F01E9" w:rsidRDefault="00456352" w:rsidP="00CC5DE8">
            <w:pPr>
              <w:spacing w:before="60" w:after="60" w:line="276" w:lineRule="auto"/>
              <w:jc w:val="left"/>
              <w:rPr>
                <w:rFonts w:eastAsia="Times New Roman"/>
                <w:noProof/>
                <w:color w:val="000000" w:themeColor="text1"/>
              </w:rPr>
            </w:pPr>
            <w:r w:rsidRPr="004F01E9">
              <w:rPr>
                <w:noProof/>
              </w:rPr>
              <w:t>20</w:t>
            </w:r>
            <w:r w:rsidR="004F01E9">
              <w:rPr>
                <w:noProof/>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22A3A906" w14:textId="1D3CB63B" w:rsidR="00456352" w:rsidRPr="004F01E9" w:rsidRDefault="00456352" w:rsidP="00CC5DE8">
            <w:pPr>
              <w:spacing w:before="60" w:after="60" w:line="276" w:lineRule="auto"/>
              <w:jc w:val="left"/>
              <w:rPr>
                <w:rFonts w:eastAsia="Times New Roman"/>
                <w:noProof/>
                <w:color w:val="000000" w:themeColor="text1"/>
              </w:rPr>
            </w:pPr>
            <w:r w:rsidRPr="004F01E9">
              <w:rPr>
                <w:noProof/>
              </w:rPr>
              <w:t>50</w:t>
            </w:r>
            <w:r w:rsidR="004F01E9">
              <w:rPr>
                <w:noProof/>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Pr>
          <w:p w14:paraId="7B981F9F" w14:textId="3A504D39" w:rsidR="00456352" w:rsidRPr="004F01E9" w:rsidRDefault="00456352" w:rsidP="00CC5DE8">
            <w:pPr>
              <w:spacing w:before="60" w:after="60" w:line="276" w:lineRule="auto"/>
              <w:jc w:val="left"/>
              <w:rPr>
                <w:noProof/>
                <w:szCs w:val="24"/>
              </w:rPr>
            </w:pPr>
            <w:r w:rsidRPr="004F01E9">
              <w:rPr>
                <w:noProof/>
              </w:rPr>
              <w:t>50</w:t>
            </w:r>
            <w:r w:rsidR="004F01E9">
              <w:rPr>
                <w:noProof/>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16020BCD" w14:textId="24F20688" w:rsidR="00456352" w:rsidRPr="004F01E9" w:rsidRDefault="00456352" w:rsidP="00CC5DE8">
            <w:pPr>
              <w:spacing w:before="60" w:after="60" w:line="276" w:lineRule="auto"/>
              <w:jc w:val="left"/>
              <w:rPr>
                <w:rFonts w:eastAsia="Times New Roman"/>
                <w:noProof/>
                <w:color w:val="000000" w:themeColor="text1"/>
              </w:rPr>
            </w:pPr>
            <w:r w:rsidRPr="004F01E9">
              <w:rPr>
                <w:noProof/>
              </w:rPr>
              <w:t>150</w:t>
            </w:r>
            <w:r w:rsidR="004F01E9">
              <w:rPr>
                <w:noProof/>
              </w:rPr>
              <w:t> %</w:t>
            </w:r>
          </w:p>
        </w:tc>
      </w:tr>
    </w:tbl>
    <w:p w14:paraId="6EC00DD6" w14:textId="75718600" w:rsidR="00456352" w:rsidRPr="004F01E9" w:rsidRDefault="00D20958" w:rsidP="00D20958">
      <w:pPr>
        <w:pStyle w:val="Text1"/>
        <w:rPr>
          <w:noProof/>
        </w:rPr>
      </w:pPr>
      <w:r w:rsidRPr="004F01E9">
        <w:rPr>
          <w:noProof/>
        </w:rPr>
        <w:t>.“</w:t>
      </w:r>
    </w:p>
    <w:p w14:paraId="6595A8A4" w14:textId="565B5402" w:rsidR="00806B81" w:rsidRPr="004F01E9" w:rsidRDefault="00061692" w:rsidP="00061692">
      <w:pPr>
        <w:pStyle w:val="Point0"/>
        <w:rPr>
          <w:noProof/>
        </w:rPr>
      </w:pPr>
      <w:r>
        <w:rPr>
          <w:noProof/>
        </w:rPr>
        <w:t>52.</w:t>
      </w:r>
      <w:r>
        <w:rPr>
          <w:noProof/>
        </w:rPr>
        <w:tab/>
      </w:r>
      <w:r w:rsidR="00456352" w:rsidRPr="004F01E9">
        <w:rPr>
          <w:noProof/>
        </w:rPr>
        <w:t>Článok 133 sa nahrádza takto:</w:t>
      </w:r>
    </w:p>
    <w:p w14:paraId="1CA1B5DA" w14:textId="6236A646" w:rsidR="00456352" w:rsidRPr="004F01E9" w:rsidRDefault="00456352" w:rsidP="00456352">
      <w:pPr>
        <w:pStyle w:val="Titrearticle"/>
        <w:spacing w:before="120"/>
        <w:rPr>
          <w:b/>
          <w:i w:val="0"/>
          <w:noProof/>
        </w:rPr>
      </w:pPr>
      <w:r w:rsidRPr="004F01E9">
        <w:rPr>
          <w:noProof/>
        </w:rPr>
        <w:t xml:space="preserve">„Článok 133 </w:t>
      </w:r>
      <w:r w:rsidRPr="004F01E9">
        <w:rPr>
          <w:noProof/>
        </w:rPr>
        <w:br/>
      </w:r>
      <w:r w:rsidRPr="004F01E9">
        <w:rPr>
          <w:b/>
          <w:i w:val="0"/>
          <w:noProof/>
        </w:rPr>
        <w:t>Kapitálové expozície</w:t>
      </w:r>
    </w:p>
    <w:p w14:paraId="02CA393A" w14:textId="77777777" w:rsidR="00456352" w:rsidRPr="004F01E9" w:rsidRDefault="00456352" w:rsidP="00456352">
      <w:pPr>
        <w:pStyle w:val="Text1"/>
        <w:rPr>
          <w:noProof/>
        </w:rPr>
      </w:pPr>
      <w:r w:rsidRPr="004F01E9">
        <w:rPr>
          <w:noProof/>
        </w:rPr>
        <w:t>1. Ako kapitálové expozície sa klasifikujú všetky tieto položky:</w:t>
      </w:r>
    </w:p>
    <w:p w14:paraId="23020F0F" w14:textId="77777777" w:rsidR="00456352" w:rsidRPr="004F01E9" w:rsidRDefault="00456352" w:rsidP="00456352">
      <w:pPr>
        <w:pStyle w:val="Point1"/>
        <w:rPr>
          <w:noProof/>
        </w:rPr>
      </w:pPr>
      <w:r w:rsidRPr="004F01E9">
        <w:rPr>
          <w:noProof/>
        </w:rPr>
        <w:t>a)</w:t>
      </w:r>
      <w:r w:rsidRPr="004F01E9">
        <w:rPr>
          <w:noProof/>
        </w:rPr>
        <w:tab/>
        <w:t>expozície, ktoré spĺňajú všetky tieto podmienky:</w:t>
      </w:r>
    </w:p>
    <w:p w14:paraId="210873A4" w14:textId="1B9683AD" w:rsidR="00456352" w:rsidRPr="004F01E9" w:rsidRDefault="00456352" w:rsidP="00456352">
      <w:pPr>
        <w:pStyle w:val="Point2"/>
        <w:rPr>
          <w:noProof/>
        </w:rPr>
      </w:pPr>
      <w:r w:rsidRPr="004F01E9">
        <w:rPr>
          <w:noProof/>
        </w:rPr>
        <w:t>i)</w:t>
      </w:r>
      <w:r w:rsidRPr="004F01E9">
        <w:rPr>
          <w:noProof/>
        </w:rPr>
        <w:tab/>
        <w:t>expozícia je nesplatiteľná</w:t>
      </w:r>
      <w:r w:rsidR="004F01E9">
        <w:rPr>
          <w:noProof/>
        </w:rPr>
        <w:t xml:space="preserve"> v </w:t>
      </w:r>
      <w:r w:rsidRPr="004F01E9">
        <w:rPr>
          <w:noProof/>
        </w:rPr>
        <w:t>tom zmysle, že návratnosť investovaných finančných prostriedkov možno dosiahnuť len predajom investície alebo predajom práv na investíciu, alebo likvidáciou emitenta;</w:t>
      </w:r>
    </w:p>
    <w:p w14:paraId="5C49261B" w14:textId="77777777" w:rsidR="00456352" w:rsidRPr="004F01E9" w:rsidRDefault="00456352" w:rsidP="00456352">
      <w:pPr>
        <w:pStyle w:val="Point2"/>
        <w:rPr>
          <w:noProof/>
        </w:rPr>
      </w:pPr>
      <w:r w:rsidRPr="004F01E9">
        <w:rPr>
          <w:noProof/>
        </w:rPr>
        <w:t>ii)</w:t>
      </w:r>
      <w:r w:rsidRPr="004F01E9">
        <w:rPr>
          <w:noProof/>
        </w:rPr>
        <w:tab/>
        <w:t>expozícia nepredstavuje záväzok na strane emitenta</w:t>
      </w:r>
    </w:p>
    <w:p w14:paraId="7D47B73E" w14:textId="77777777" w:rsidR="00456352" w:rsidRPr="004F01E9" w:rsidRDefault="00456352" w:rsidP="00456352">
      <w:pPr>
        <w:pStyle w:val="Point2"/>
        <w:rPr>
          <w:noProof/>
        </w:rPr>
      </w:pPr>
      <w:r w:rsidRPr="004F01E9">
        <w:rPr>
          <w:noProof/>
        </w:rPr>
        <w:t>a iii)</w:t>
      </w:r>
      <w:r w:rsidRPr="004F01E9">
        <w:rPr>
          <w:noProof/>
        </w:rPr>
        <w:tab/>
        <w:t>expozícia vyjadruje zostatkovú pohľadávku voči aktívam alebo príjmu emitenta;</w:t>
      </w:r>
    </w:p>
    <w:p w14:paraId="434DB2C5" w14:textId="77777777" w:rsidR="00456352" w:rsidRPr="004F01E9" w:rsidRDefault="00456352" w:rsidP="00456352">
      <w:pPr>
        <w:pStyle w:val="Point1"/>
        <w:rPr>
          <w:noProof/>
        </w:rPr>
      </w:pPr>
      <w:r w:rsidRPr="004F01E9">
        <w:rPr>
          <w:noProof/>
        </w:rPr>
        <w:t>b)</w:t>
      </w:r>
      <w:r w:rsidRPr="004F01E9">
        <w:rPr>
          <w:noProof/>
        </w:rPr>
        <w:tab/>
        <w:t>nástroje, ktoré by sa kvalifikovali ako položky kapitálu Tier 1, ak by ich emitovala inštitúcia;</w:t>
      </w:r>
    </w:p>
    <w:p w14:paraId="16D0031D" w14:textId="380A4ADD" w:rsidR="00456352" w:rsidRPr="004F01E9" w:rsidRDefault="00456352" w:rsidP="00456352">
      <w:pPr>
        <w:pStyle w:val="Point1"/>
        <w:rPr>
          <w:noProof/>
        </w:rPr>
      </w:pPr>
      <w:r w:rsidRPr="004F01E9">
        <w:rPr>
          <w:noProof/>
        </w:rPr>
        <w:t>c)</w:t>
      </w:r>
      <w:r w:rsidRPr="004F01E9">
        <w:rPr>
          <w:noProof/>
        </w:rPr>
        <w:tab/>
        <w:t>nástroje, ktoré predstavujú záväzok na strane emitenta</w:t>
      </w:r>
      <w:r w:rsidR="004F01E9">
        <w:rPr>
          <w:noProof/>
        </w:rPr>
        <w:t xml:space="preserve"> a </w:t>
      </w:r>
      <w:r w:rsidRPr="004F01E9">
        <w:rPr>
          <w:noProof/>
        </w:rPr>
        <w:t>spĺňajú ktorúkoľvek</w:t>
      </w:r>
      <w:r w:rsidR="004F01E9">
        <w:rPr>
          <w:noProof/>
        </w:rPr>
        <w:t xml:space="preserve"> z </w:t>
      </w:r>
      <w:r w:rsidRPr="004F01E9">
        <w:rPr>
          <w:noProof/>
        </w:rPr>
        <w:t>týchto podmienok:</w:t>
      </w:r>
    </w:p>
    <w:p w14:paraId="45143751" w14:textId="77777777" w:rsidR="00456352" w:rsidRPr="004F01E9" w:rsidRDefault="00456352" w:rsidP="00456352">
      <w:pPr>
        <w:pStyle w:val="Point2"/>
        <w:rPr>
          <w:noProof/>
        </w:rPr>
      </w:pPr>
      <w:r w:rsidRPr="004F01E9">
        <w:rPr>
          <w:noProof/>
        </w:rPr>
        <w:t>i)</w:t>
      </w:r>
      <w:r w:rsidRPr="004F01E9">
        <w:rPr>
          <w:noProof/>
        </w:rPr>
        <w:tab/>
        <w:t>emitent môže odložiť vyrovnanie záväzku na neurčito;</w:t>
      </w:r>
    </w:p>
    <w:p w14:paraId="339AF8B7" w14:textId="77777777" w:rsidR="00456352" w:rsidRPr="004F01E9" w:rsidRDefault="00456352" w:rsidP="00456352">
      <w:pPr>
        <w:pStyle w:val="Point2"/>
        <w:rPr>
          <w:noProof/>
        </w:rPr>
      </w:pPr>
      <w:r w:rsidRPr="004F01E9">
        <w:rPr>
          <w:noProof/>
        </w:rPr>
        <w:t>ii)</w:t>
      </w:r>
      <w:r w:rsidRPr="004F01E9">
        <w:rPr>
          <w:noProof/>
        </w:rPr>
        <w:tab/>
        <w:t>záväzok si vyžaduje, resp. podľa vlastného uváženia emitenta umožňuje vyrovnanie emisiou pevne stanoveného počtu akcií emitenta;</w:t>
      </w:r>
    </w:p>
    <w:p w14:paraId="5B445999" w14:textId="735E8F70" w:rsidR="00456352" w:rsidRPr="004F01E9" w:rsidRDefault="00456352" w:rsidP="00456352">
      <w:pPr>
        <w:pStyle w:val="Point2"/>
        <w:rPr>
          <w:noProof/>
        </w:rPr>
      </w:pPr>
      <w:r w:rsidRPr="004F01E9">
        <w:rPr>
          <w:noProof/>
        </w:rPr>
        <w:t>iii)</w:t>
      </w:r>
      <w:r w:rsidRPr="004F01E9">
        <w:rPr>
          <w:noProof/>
        </w:rPr>
        <w:tab/>
        <w:t>záväzok si vyžaduje, resp. podľa vlastného uváženia emitenta umožňuje vyrovnanie emisiou variabilného počtu akcií emitenta</w:t>
      </w:r>
      <w:r w:rsidR="004F01E9">
        <w:rPr>
          <w:noProof/>
        </w:rPr>
        <w:t xml:space="preserve"> a </w:t>
      </w:r>
      <w:r w:rsidRPr="004F01E9">
        <w:rPr>
          <w:noProof/>
        </w:rPr>
        <w:t xml:space="preserve">akákoľvek zmena hodnoty záväzku je </w:t>
      </w:r>
      <w:r w:rsidRPr="004F01E9">
        <w:rPr>
          <w:i/>
          <w:noProof/>
        </w:rPr>
        <w:t>ceteris paribus</w:t>
      </w:r>
      <w:r w:rsidRPr="004F01E9">
        <w:rPr>
          <w:noProof/>
        </w:rPr>
        <w:t xml:space="preserve"> priraditeľná</w:t>
      </w:r>
      <w:r w:rsidR="004F01E9">
        <w:rPr>
          <w:noProof/>
        </w:rPr>
        <w:t xml:space="preserve"> k </w:t>
      </w:r>
      <w:r w:rsidRPr="004F01E9">
        <w:rPr>
          <w:noProof/>
        </w:rPr>
        <w:t>zmene hodnoty pevne stanoveného počtu akcií emitenta, je</w:t>
      </w:r>
      <w:r w:rsidR="004F01E9">
        <w:rPr>
          <w:noProof/>
        </w:rPr>
        <w:t xml:space="preserve"> s </w:t>
      </w:r>
      <w:r w:rsidRPr="004F01E9">
        <w:rPr>
          <w:noProof/>
        </w:rPr>
        <w:t>ňou porovnateľná</w:t>
      </w:r>
      <w:r w:rsidR="004F01E9">
        <w:rPr>
          <w:noProof/>
        </w:rPr>
        <w:t xml:space="preserve"> a </w:t>
      </w:r>
      <w:r w:rsidRPr="004F01E9">
        <w:rPr>
          <w:noProof/>
        </w:rPr>
        <w:t>má rovnaké smerovanie;</w:t>
      </w:r>
    </w:p>
    <w:p w14:paraId="682E299B" w14:textId="65A1706B" w:rsidR="00456352" w:rsidRPr="004F01E9" w:rsidRDefault="00456352" w:rsidP="00456352">
      <w:pPr>
        <w:pStyle w:val="Point2"/>
        <w:rPr>
          <w:noProof/>
        </w:rPr>
      </w:pPr>
      <w:r w:rsidRPr="004F01E9">
        <w:rPr>
          <w:noProof/>
        </w:rPr>
        <w:t>iv)</w:t>
      </w:r>
      <w:r w:rsidRPr="004F01E9">
        <w:rPr>
          <w:noProof/>
        </w:rPr>
        <w:tab/>
        <w:t>držiteľ nástroja má možnosť požadovať vyrovnanie záväzku</w:t>
      </w:r>
      <w:r w:rsidR="004F01E9">
        <w:rPr>
          <w:noProof/>
        </w:rPr>
        <w:t xml:space="preserve"> v </w:t>
      </w:r>
      <w:r w:rsidRPr="004F01E9">
        <w:rPr>
          <w:noProof/>
        </w:rPr>
        <w:t>akciách, pokiaľ nie je splnená jedna</w:t>
      </w:r>
      <w:r w:rsidR="004F01E9">
        <w:rPr>
          <w:noProof/>
        </w:rPr>
        <w:t xml:space="preserve"> z </w:t>
      </w:r>
      <w:r w:rsidRPr="004F01E9">
        <w:rPr>
          <w:noProof/>
        </w:rPr>
        <w:t>týchto podmienok:</w:t>
      </w:r>
    </w:p>
    <w:p w14:paraId="4DFF1625" w14:textId="020578A6" w:rsidR="00456352" w:rsidRPr="004F01E9" w:rsidRDefault="00456352" w:rsidP="00456352">
      <w:pPr>
        <w:pStyle w:val="Tiret3"/>
        <w:rPr>
          <w:noProof/>
        </w:rPr>
      </w:pPr>
      <w:r w:rsidRPr="004F01E9">
        <w:rPr>
          <w:noProof/>
        </w:rPr>
        <w:t>v prípade obchodovaného nástroja inštitúcia preukázala</w:t>
      </w:r>
      <w:r w:rsidR="004F01E9">
        <w:rPr>
          <w:noProof/>
        </w:rPr>
        <w:t xml:space="preserve"> k </w:t>
      </w:r>
      <w:r w:rsidRPr="004F01E9">
        <w:rPr>
          <w:noProof/>
        </w:rPr>
        <w:t>spokojnosti príslušného orgánu, že</w:t>
      </w:r>
      <w:r w:rsidR="004F01E9">
        <w:rPr>
          <w:noProof/>
        </w:rPr>
        <w:t xml:space="preserve"> s </w:t>
      </w:r>
      <w:r w:rsidRPr="004F01E9">
        <w:rPr>
          <w:noProof/>
        </w:rPr>
        <w:t>nástrojom sa na trhu obchoduje viac ako</w:t>
      </w:r>
      <w:r w:rsidR="004F01E9">
        <w:rPr>
          <w:noProof/>
        </w:rPr>
        <w:t xml:space="preserve"> s </w:t>
      </w:r>
      <w:r w:rsidRPr="004F01E9">
        <w:rPr>
          <w:noProof/>
        </w:rPr>
        <w:t>dlhom emitenta než ako</w:t>
      </w:r>
      <w:r w:rsidR="004F01E9">
        <w:rPr>
          <w:noProof/>
        </w:rPr>
        <w:t xml:space="preserve"> s </w:t>
      </w:r>
      <w:r w:rsidRPr="004F01E9">
        <w:rPr>
          <w:noProof/>
        </w:rPr>
        <w:t>jeho vlastným imaním;</w:t>
      </w:r>
    </w:p>
    <w:p w14:paraId="4E01666D" w14:textId="315BB0AA" w:rsidR="00456352" w:rsidRPr="004F01E9" w:rsidRDefault="00456352" w:rsidP="00456352">
      <w:pPr>
        <w:pStyle w:val="Tiret3"/>
        <w:rPr>
          <w:noProof/>
        </w:rPr>
      </w:pPr>
      <w:r w:rsidRPr="004F01E9">
        <w:rPr>
          <w:noProof/>
        </w:rPr>
        <w:t>v prípade neobchodovaných nástrojov inštitúcia preukázala</w:t>
      </w:r>
      <w:r w:rsidR="004F01E9">
        <w:rPr>
          <w:noProof/>
        </w:rPr>
        <w:t xml:space="preserve"> k </w:t>
      </w:r>
      <w:r w:rsidRPr="004F01E9">
        <w:rPr>
          <w:noProof/>
        </w:rPr>
        <w:t>spokojnosti príslušného orgánu, že</w:t>
      </w:r>
      <w:r w:rsidR="004F01E9">
        <w:rPr>
          <w:noProof/>
        </w:rPr>
        <w:t xml:space="preserve"> s </w:t>
      </w:r>
      <w:r w:rsidRPr="004F01E9">
        <w:rPr>
          <w:noProof/>
        </w:rPr>
        <w:t>nástrojom by sa malo zaobchádzať ako</w:t>
      </w:r>
      <w:r w:rsidR="004F01E9">
        <w:rPr>
          <w:noProof/>
        </w:rPr>
        <w:t xml:space="preserve"> s </w:t>
      </w:r>
      <w:r w:rsidRPr="004F01E9">
        <w:rPr>
          <w:noProof/>
        </w:rPr>
        <w:t>dlhovou pozíciou.</w:t>
      </w:r>
    </w:p>
    <w:p w14:paraId="26C34D66" w14:textId="5870A3FB" w:rsidR="00456352" w:rsidRPr="004F01E9" w:rsidRDefault="00456352" w:rsidP="00456352">
      <w:pPr>
        <w:pStyle w:val="Text2"/>
        <w:rPr>
          <w:noProof/>
        </w:rPr>
      </w:pPr>
      <w:r w:rsidRPr="004F01E9">
        <w:rPr>
          <w:noProof/>
        </w:rPr>
        <w:t>Na účely písmena c) bodu iii) sú zahrnuté záväzky, ktoré si vyžadujú alebo umožňujú vyrovnanie emisiou variabilného počtu akcií emitenta,</w:t>
      </w:r>
      <w:r w:rsidR="004F01E9">
        <w:rPr>
          <w:noProof/>
        </w:rPr>
        <w:t xml:space="preserve"> v </w:t>
      </w:r>
      <w:r w:rsidRPr="004F01E9">
        <w:rPr>
          <w:noProof/>
        </w:rPr>
        <w:t>prípade ktorých sa zmena peňažnej hodnoty záväzku rovná zmene reálnej hodnoty pevne stanoveného počtu akcií vynásobenej určeným koeficientom, pričom koeficient aj referenčný počet akcií sú pevne stanovené.</w:t>
      </w:r>
    </w:p>
    <w:p w14:paraId="2D7D07D0" w14:textId="75E0F2D0" w:rsidR="00456352" w:rsidRPr="004F01E9" w:rsidRDefault="00456352" w:rsidP="00456352">
      <w:pPr>
        <w:pStyle w:val="Text2"/>
        <w:rPr>
          <w:noProof/>
        </w:rPr>
      </w:pPr>
      <w:r w:rsidRPr="004F01E9">
        <w:rPr>
          <w:noProof/>
        </w:rPr>
        <w:t>Na účely bodu iv), ak je splnená jedna</w:t>
      </w:r>
      <w:r w:rsidR="004F01E9">
        <w:rPr>
          <w:noProof/>
        </w:rPr>
        <w:t xml:space="preserve"> z </w:t>
      </w:r>
      <w:r w:rsidRPr="004F01E9">
        <w:rPr>
          <w:noProof/>
        </w:rPr>
        <w:t>podmienok stanovených</w:t>
      </w:r>
      <w:r w:rsidR="004F01E9">
        <w:rPr>
          <w:noProof/>
        </w:rPr>
        <w:t xml:space="preserve"> v </w:t>
      </w:r>
      <w:r w:rsidRPr="004F01E9">
        <w:rPr>
          <w:noProof/>
        </w:rPr>
        <w:t>uvedenom bode, inštitúcia môže rozložiť riziká na regulačné účely,</w:t>
      </w:r>
      <w:r w:rsidR="004F01E9">
        <w:rPr>
          <w:noProof/>
        </w:rPr>
        <w:t xml:space="preserve"> a </w:t>
      </w:r>
      <w:r w:rsidRPr="004F01E9">
        <w:rPr>
          <w:noProof/>
        </w:rPr>
        <w:t>to</w:t>
      </w:r>
      <w:r w:rsidR="004F01E9">
        <w:rPr>
          <w:noProof/>
        </w:rPr>
        <w:t xml:space="preserve"> s </w:t>
      </w:r>
      <w:r w:rsidRPr="004F01E9">
        <w:rPr>
          <w:noProof/>
        </w:rPr>
        <w:t>výhradou predchádzajúceho povolenia príslušného orgánu;</w:t>
      </w:r>
    </w:p>
    <w:p w14:paraId="30A19486" w14:textId="36A95F79" w:rsidR="00456352" w:rsidRPr="004F01E9" w:rsidRDefault="00456352" w:rsidP="00456352">
      <w:pPr>
        <w:pStyle w:val="Point1"/>
        <w:rPr>
          <w:noProof/>
        </w:rPr>
      </w:pPr>
      <w:r w:rsidRPr="004F01E9">
        <w:rPr>
          <w:noProof/>
        </w:rPr>
        <w:t>d)</w:t>
      </w:r>
      <w:r w:rsidRPr="004F01E9">
        <w:rPr>
          <w:noProof/>
        </w:rPr>
        <w:tab/>
        <w:t>dlhové záväzky</w:t>
      </w:r>
      <w:r w:rsidR="004F01E9">
        <w:rPr>
          <w:noProof/>
        </w:rPr>
        <w:t xml:space="preserve"> a </w:t>
      </w:r>
      <w:r w:rsidRPr="004F01E9">
        <w:rPr>
          <w:noProof/>
        </w:rPr>
        <w:t>iné cenné papiere, partnerstvá, deriváty alebo iné prostriedky štruktúrované tak, že ekonomická podstata je podobná expozíciám uvedeným</w:t>
      </w:r>
      <w:r w:rsidR="004F01E9">
        <w:rPr>
          <w:noProof/>
        </w:rPr>
        <w:t xml:space="preserve"> v </w:t>
      </w:r>
      <w:r w:rsidRPr="004F01E9">
        <w:rPr>
          <w:noProof/>
        </w:rPr>
        <w:t>písmenách a), b)</w:t>
      </w:r>
      <w:r w:rsidR="004F01E9">
        <w:rPr>
          <w:noProof/>
        </w:rPr>
        <w:t xml:space="preserve"> a </w:t>
      </w:r>
      <w:r w:rsidRPr="004F01E9">
        <w:rPr>
          <w:noProof/>
        </w:rPr>
        <w:t>c), vrátane záväzkov, pri ktorých je výnos spojený</w:t>
      </w:r>
      <w:r w:rsidR="004F01E9">
        <w:rPr>
          <w:noProof/>
        </w:rPr>
        <w:t xml:space="preserve"> s </w:t>
      </w:r>
      <w:r w:rsidRPr="004F01E9">
        <w:rPr>
          <w:noProof/>
        </w:rPr>
        <w:t>výnosom</w:t>
      </w:r>
      <w:r w:rsidR="004F01E9">
        <w:rPr>
          <w:noProof/>
        </w:rPr>
        <w:t xml:space="preserve"> z </w:t>
      </w:r>
      <w:r w:rsidRPr="004F01E9">
        <w:rPr>
          <w:noProof/>
        </w:rPr>
        <w:t>kapitálových cenných papierov;</w:t>
      </w:r>
    </w:p>
    <w:p w14:paraId="41CBA9FA" w14:textId="7583FD54" w:rsidR="00456352" w:rsidRPr="004F01E9" w:rsidRDefault="00456352" w:rsidP="00456352">
      <w:pPr>
        <w:pStyle w:val="Point1"/>
        <w:rPr>
          <w:noProof/>
        </w:rPr>
      </w:pPr>
      <w:r w:rsidRPr="004F01E9">
        <w:rPr>
          <w:noProof/>
        </w:rPr>
        <w:t>e)</w:t>
      </w:r>
      <w:r w:rsidRPr="004F01E9">
        <w:rPr>
          <w:noProof/>
        </w:rPr>
        <w:tab/>
        <w:t>kapitálové expozície, ktoré sa zaznamenávajú ako úver, ale vyplývajú zo swapu dlhu za kapitálový podiel uskutočneného</w:t>
      </w:r>
      <w:r w:rsidR="004F01E9">
        <w:rPr>
          <w:noProof/>
        </w:rPr>
        <w:t xml:space="preserve"> v </w:t>
      </w:r>
      <w:r w:rsidRPr="004F01E9">
        <w:rPr>
          <w:noProof/>
        </w:rPr>
        <w:t>rámci riadnej realizácie alebo reštrukturalizácie dlhu.</w:t>
      </w:r>
    </w:p>
    <w:p w14:paraId="3D44B8BB" w14:textId="02705E12" w:rsidR="00456352" w:rsidRPr="004F01E9" w:rsidRDefault="00456352" w:rsidP="00456352">
      <w:pPr>
        <w:pStyle w:val="Text1"/>
        <w:rPr>
          <w:noProof/>
        </w:rPr>
      </w:pPr>
      <w:r w:rsidRPr="004F01E9">
        <w:rPr>
          <w:noProof/>
        </w:rPr>
        <w:t>2.</w:t>
      </w:r>
      <w:r w:rsidR="004F01E9">
        <w:rPr>
          <w:noProof/>
        </w:rPr>
        <w:t xml:space="preserve"> S </w:t>
      </w:r>
      <w:r w:rsidRPr="004F01E9">
        <w:rPr>
          <w:noProof/>
        </w:rPr>
        <w:t>kapitálovými investíciami sa nezaobchádza ako</w:t>
      </w:r>
      <w:r w:rsidR="004F01E9">
        <w:rPr>
          <w:noProof/>
        </w:rPr>
        <w:t xml:space="preserve"> s </w:t>
      </w:r>
      <w:r w:rsidRPr="004F01E9">
        <w:rPr>
          <w:noProof/>
        </w:rPr>
        <w:t>kapitálovými expozíciami</w:t>
      </w:r>
      <w:r w:rsidR="004F01E9">
        <w:rPr>
          <w:noProof/>
        </w:rPr>
        <w:t xml:space="preserve"> v </w:t>
      </w:r>
      <w:r w:rsidRPr="004F01E9">
        <w:rPr>
          <w:noProof/>
        </w:rPr>
        <w:t>žiadnom</w:t>
      </w:r>
      <w:r w:rsidR="004F01E9">
        <w:rPr>
          <w:noProof/>
        </w:rPr>
        <w:t xml:space="preserve"> z </w:t>
      </w:r>
      <w:r w:rsidRPr="004F01E9">
        <w:rPr>
          <w:noProof/>
        </w:rPr>
        <w:t>týchto prípadov:</w:t>
      </w:r>
    </w:p>
    <w:p w14:paraId="106FC0C4" w14:textId="5B939517" w:rsidR="00456352" w:rsidRPr="004F01E9" w:rsidRDefault="00456352" w:rsidP="00456352">
      <w:pPr>
        <w:pStyle w:val="Point1"/>
        <w:rPr>
          <w:noProof/>
        </w:rPr>
      </w:pPr>
      <w:r w:rsidRPr="004F01E9">
        <w:rPr>
          <w:noProof/>
        </w:rPr>
        <w:t>a)</w:t>
      </w:r>
      <w:r w:rsidRPr="004F01E9">
        <w:rPr>
          <w:noProof/>
        </w:rPr>
        <w:tab/>
        <w:t>kapitálové investície sú štruktúrované tak, aby ich ekonomická podstata bola podobná ekonomickej podstate držaných dlhových nástrojov, ktoré nespĺňajú kritériá uvedené</w:t>
      </w:r>
      <w:r w:rsidR="004F01E9">
        <w:rPr>
          <w:noProof/>
        </w:rPr>
        <w:t xml:space="preserve"> v </w:t>
      </w:r>
      <w:r w:rsidRPr="004F01E9">
        <w:rPr>
          <w:noProof/>
        </w:rPr>
        <w:t>žiadnom</w:t>
      </w:r>
      <w:r w:rsidR="004F01E9">
        <w:rPr>
          <w:noProof/>
        </w:rPr>
        <w:t xml:space="preserve"> z </w:t>
      </w:r>
      <w:r w:rsidRPr="004F01E9">
        <w:rPr>
          <w:noProof/>
        </w:rPr>
        <w:t>písmen</w:t>
      </w:r>
      <w:r w:rsidR="004F01E9">
        <w:rPr>
          <w:noProof/>
        </w:rPr>
        <w:t xml:space="preserve"> v </w:t>
      </w:r>
      <w:r w:rsidRPr="004F01E9">
        <w:rPr>
          <w:noProof/>
        </w:rPr>
        <w:t>odseku 1;</w:t>
      </w:r>
    </w:p>
    <w:p w14:paraId="2A42E916" w14:textId="77777777" w:rsidR="00456352" w:rsidRPr="004F01E9" w:rsidRDefault="00456352" w:rsidP="00456352">
      <w:pPr>
        <w:pStyle w:val="Point1"/>
        <w:rPr>
          <w:noProof/>
        </w:rPr>
      </w:pPr>
      <w:r w:rsidRPr="004F01E9">
        <w:rPr>
          <w:noProof/>
        </w:rPr>
        <w:t>b)</w:t>
      </w:r>
      <w:r w:rsidRPr="004F01E9">
        <w:rPr>
          <w:noProof/>
        </w:rPr>
        <w:tab/>
        <w:t>kapitálové investície predstavujú sekuritizačné expozície.</w:t>
      </w:r>
    </w:p>
    <w:p w14:paraId="63F4A836" w14:textId="0CA7C6DC" w:rsidR="00456352" w:rsidRPr="004F01E9" w:rsidRDefault="00456352" w:rsidP="00456352">
      <w:pPr>
        <w:pStyle w:val="Text1"/>
        <w:rPr>
          <w:noProof/>
        </w:rPr>
      </w:pPr>
      <w:r w:rsidRPr="004F01E9">
        <w:rPr>
          <w:noProof/>
        </w:rPr>
        <w:t>3. Kapitálovým expozíciám okrem tých, ktoré sú uvedené</w:t>
      </w:r>
      <w:r w:rsidR="004F01E9">
        <w:rPr>
          <w:noProof/>
        </w:rPr>
        <w:t xml:space="preserve"> v </w:t>
      </w:r>
      <w:r w:rsidRPr="004F01E9">
        <w:rPr>
          <w:noProof/>
        </w:rPr>
        <w:t>odsekoch 4 až 7, sa priraďuje riziková váha 250</w:t>
      </w:r>
      <w:r w:rsidR="004F01E9">
        <w:rPr>
          <w:noProof/>
        </w:rPr>
        <w:t> %</w:t>
      </w:r>
      <w:r w:rsidRPr="004F01E9">
        <w:rPr>
          <w:noProof/>
        </w:rPr>
        <w:t>, pokiaľ sa nevyžaduje, aby sa tieto expozície odpočítali alebo rizikovo vážili</w:t>
      </w:r>
      <w:r w:rsidR="004F01E9">
        <w:rPr>
          <w:noProof/>
        </w:rPr>
        <w:t xml:space="preserve"> v </w:t>
      </w:r>
      <w:r w:rsidRPr="004F01E9">
        <w:rPr>
          <w:noProof/>
        </w:rPr>
        <w:t>súlade</w:t>
      </w:r>
      <w:r w:rsidR="004F01E9">
        <w:rPr>
          <w:noProof/>
        </w:rPr>
        <w:t xml:space="preserve"> s </w:t>
      </w:r>
      <w:r w:rsidRPr="004F01E9">
        <w:rPr>
          <w:noProof/>
        </w:rPr>
        <w:t>druhou časťou.</w:t>
      </w:r>
    </w:p>
    <w:p w14:paraId="3BE61ACD" w14:textId="48E6B0C3" w:rsidR="00456352" w:rsidRPr="004F01E9" w:rsidRDefault="00456352" w:rsidP="00456352">
      <w:pPr>
        <w:pStyle w:val="Text1"/>
        <w:rPr>
          <w:noProof/>
        </w:rPr>
      </w:pPr>
      <w:r w:rsidRPr="004F01E9">
        <w:rPr>
          <w:noProof/>
        </w:rPr>
        <w:t>4. Týmto kapitálovým expozíciám voči nekótovaným spoločnostiam sa priraďuje riziková váha 400</w:t>
      </w:r>
      <w:r w:rsidR="004F01E9">
        <w:rPr>
          <w:noProof/>
        </w:rPr>
        <w:t> %</w:t>
      </w:r>
      <w:r w:rsidRPr="004F01E9">
        <w:rPr>
          <w:noProof/>
        </w:rPr>
        <w:t>, pokiaľ sa nevyžaduje, aby sa tieto expozície odpočítali alebo rizikovo vážili</w:t>
      </w:r>
      <w:r w:rsidR="004F01E9">
        <w:rPr>
          <w:noProof/>
        </w:rPr>
        <w:t xml:space="preserve"> v </w:t>
      </w:r>
      <w:r w:rsidRPr="004F01E9">
        <w:rPr>
          <w:noProof/>
        </w:rPr>
        <w:t>súlade</w:t>
      </w:r>
      <w:r w:rsidR="004F01E9">
        <w:rPr>
          <w:noProof/>
        </w:rPr>
        <w:t xml:space="preserve"> s </w:t>
      </w:r>
      <w:r w:rsidRPr="004F01E9">
        <w:rPr>
          <w:noProof/>
        </w:rPr>
        <w:t>druhou časťou:</w:t>
      </w:r>
    </w:p>
    <w:p w14:paraId="059EF5A1" w14:textId="77777777" w:rsidR="00456352" w:rsidRPr="004F01E9" w:rsidRDefault="00456352" w:rsidP="00456352">
      <w:pPr>
        <w:pStyle w:val="Point1"/>
        <w:rPr>
          <w:noProof/>
        </w:rPr>
      </w:pPr>
      <w:r w:rsidRPr="004F01E9">
        <w:rPr>
          <w:noProof/>
        </w:rPr>
        <w:t>a)</w:t>
      </w:r>
      <w:r w:rsidRPr="004F01E9">
        <w:rPr>
          <w:noProof/>
        </w:rPr>
        <w:tab/>
        <w:t>investície na účely krátkodobého ďalšieho predaja;</w:t>
      </w:r>
    </w:p>
    <w:p w14:paraId="3E41DC15" w14:textId="215B7802" w:rsidR="00456352" w:rsidRPr="004F01E9" w:rsidRDefault="00456352" w:rsidP="00456352">
      <w:pPr>
        <w:pStyle w:val="Point1"/>
        <w:rPr>
          <w:noProof/>
        </w:rPr>
      </w:pPr>
      <w:r w:rsidRPr="004F01E9">
        <w:rPr>
          <w:noProof/>
        </w:rPr>
        <w:t>b)</w:t>
      </w:r>
      <w:r w:rsidRPr="004F01E9">
        <w:rPr>
          <w:noProof/>
        </w:rPr>
        <w:tab/>
        <w:t>investície do spoločností</w:t>
      </w:r>
      <w:r w:rsidR="004F01E9">
        <w:rPr>
          <w:noProof/>
        </w:rPr>
        <w:t xml:space="preserve"> s </w:t>
      </w:r>
      <w:r w:rsidRPr="004F01E9">
        <w:rPr>
          <w:noProof/>
        </w:rPr>
        <w:t>rizikovým kapitálom alebo podobné investície, ktoré sa nadobudnú</w:t>
      </w:r>
      <w:r w:rsidR="004F01E9">
        <w:rPr>
          <w:noProof/>
        </w:rPr>
        <w:t xml:space="preserve"> v </w:t>
      </w:r>
      <w:r w:rsidRPr="004F01E9">
        <w:rPr>
          <w:noProof/>
        </w:rPr>
        <w:t>očakávaní významných krátkodobých kapitálových ziskov.</w:t>
      </w:r>
    </w:p>
    <w:p w14:paraId="7FA4ED1D" w14:textId="5DB41E7C" w:rsidR="00456352" w:rsidRPr="00061692" w:rsidRDefault="00456352" w:rsidP="00456352">
      <w:pPr>
        <w:pStyle w:val="Text1"/>
        <w:rPr>
          <w:noProof/>
          <w:spacing w:val="-4"/>
        </w:rPr>
      </w:pPr>
      <w:r w:rsidRPr="00061692">
        <w:rPr>
          <w:noProof/>
          <w:spacing w:val="-4"/>
        </w:rPr>
        <w:t>Odchylne od prvého pododseku sa dlhodobým kapitálovým investíciám vrátane investícií do kapitálových cenných papierov podnikových klientov,</w:t>
      </w:r>
      <w:r w:rsidR="004F01E9" w:rsidRPr="00061692">
        <w:rPr>
          <w:noProof/>
          <w:spacing w:val="-4"/>
        </w:rPr>
        <w:t xml:space="preserve"> s </w:t>
      </w:r>
      <w:r w:rsidRPr="00061692">
        <w:rPr>
          <w:noProof/>
          <w:spacing w:val="-4"/>
        </w:rPr>
        <w:t>ktorými inštitúcia má alebo zamýšľa nadviazať dlhodobý obchodný vzťah, ako aj spoločnostiam</w:t>
      </w:r>
      <w:r w:rsidR="004F01E9" w:rsidRPr="00061692">
        <w:rPr>
          <w:noProof/>
          <w:spacing w:val="-4"/>
        </w:rPr>
        <w:t xml:space="preserve"> s </w:t>
      </w:r>
      <w:r w:rsidRPr="00061692">
        <w:rPr>
          <w:noProof/>
          <w:spacing w:val="-4"/>
        </w:rPr>
        <w:t>rizikovým kapitálom</w:t>
      </w:r>
      <w:r w:rsidR="004F01E9" w:rsidRPr="00061692">
        <w:rPr>
          <w:noProof/>
          <w:spacing w:val="-4"/>
        </w:rPr>
        <w:t xml:space="preserve"> a </w:t>
      </w:r>
      <w:r w:rsidRPr="00061692">
        <w:rPr>
          <w:noProof/>
          <w:spacing w:val="-4"/>
        </w:rPr>
        <w:t>swapom dlhu za kapitálový podiel na účely reštrukturalizácie podnikov priraďuje riziková váha</w:t>
      </w:r>
      <w:r w:rsidR="004F01E9" w:rsidRPr="00061692">
        <w:rPr>
          <w:noProof/>
          <w:spacing w:val="-4"/>
        </w:rPr>
        <w:t xml:space="preserve"> v </w:t>
      </w:r>
      <w:r w:rsidRPr="00061692">
        <w:rPr>
          <w:noProof/>
          <w:spacing w:val="-4"/>
        </w:rPr>
        <w:t>súlade</w:t>
      </w:r>
      <w:r w:rsidR="004F01E9" w:rsidRPr="00061692">
        <w:rPr>
          <w:noProof/>
          <w:spacing w:val="-4"/>
        </w:rPr>
        <w:t xml:space="preserve"> s </w:t>
      </w:r>
      <w:r w:rsidRPr="00061692">
        <w:rPr>
          <w:noProof/>
          <w:spacing w:val="-4"/>
        </w:rPr>
        <w:t>odsekom 3 alebo prípadne odsekom 5. Dlhodobá kapitálová investícia je na účely tohto článku taká kapitálová investícia, ktorá je</w:t>
      </w:r>
      <w:r w:rsidR="004F01E9" w:rsidRPr="00061692">
        <w:rPr>
          <w:noProof/>
          <w:spacing w:val="-4"/>
        </w:rPr>
        <w:t xml:space="preserve"> v </w:t>
      </w:r>
      <w:r w:rsidRPr="00061692">
        <w:rPr>
          <w:noProof/>
          <w:spacing w:val="-4"/>
        </w:rPr>
        <w:t>držbe tri roky alebo dlhšie alebo ktorá vznikla</w:t>
      </w:r>
      <w:r w:rsidR="004F01E9" w:rsidRPr="00061692">
        <w:rPr>
          <w:noProof/>
          <w:spacing w:val="-4"/>
        </w:rPr>
        <w:t xml:space="preserve"> s </w:t>
      </w:r>
      <w:r w:rsidRPr="00061692">
        <w:rPr>
          <w:noProof/>
          <w:spacing w:val="-4"/>
        </w:rPr>
        <w:t>úmyslom, že bude</w:t>
      </w:r>
      <w:r w:rsidR="004F01E9" w:rsidRPr="00061692">
        <w:rPr>
          <w:noProof/>
          <w:spacing w:val="-4"/>
        </w:rPr>
        <w:t xml:space="preserve"> v </w:t>
      </w:r>
      <w:r w:rsidRPr="00061692">
        <w:rPr>
          <w:noProof/>
          <w:spacing w:val="-4"/>
        </w:rPr>
        <w:t>držbe tri roky alebo dlhšie,</w:t>
      </w:r>
      <w:r w:rsidR="004F01E9" w:rsidRPr="00061692">
        <w:rPr>
          <w:noProof/>
          <w:spacing w:val="-4"/>
        </w:rPr>
        <w:t xml:space="preserve"> a </w:t>
      </w:r>
      <w:r w:rsidRPr="00061692">
        <w:rPr>
          <w:noProof/>
          <w:spacing w:val="-4"/>
        </w:rPr>
        <w:t>ktorú schválil vrcholový manažment inštitúcie.</w:t>
      </w:r>
    </w:p>
    <w:p w14:paraId="26E908E3" w14:textId="144B68F9" w:rsidR="00806B81" w:rsidRPr="00061692" w:rsidRDefault="00456352" w:rsidP="00456352">
      <w:pPr>
        <w:pStyle w:val="Text1"/>
        <w:rPr>
          <w:noProof/>
          <w:spacing w:val="-10"/>
        </w:rPr>
      </w:pPr>
      <w:r w:rsidRPr="00061692">
        <w:rPr>
          <w:noProof/>
          <w:spacing w:val="-10"/>
        </w:rPr>
        <w:t xml:space="preserve">5. </w:t>
      </w:r>
      <w:r w:rsidRPr="00061692">
        <w:rPr>
          <w:noProof/>
          <w:color w:val="000000"/>
          <w:spacing w:val="-10"/>
          <w:shd w:val="clear" w:color="auto" w:fill="FFFFFF"/>
        </w:rPr>
        <w:t xml:space="preserve">Inštitúcie, ktoré získali predchádzajúce povolenie príslušných orgánov, môžu </w:t>
      </w:r>
      <w:r w:rsidRPr="00061692">
        <w:rPr>
          <w:noProof/>
          <w:spacing w:val="-10"/>
        </w:rPr>
        <w:t>priradiť rizikovú váhu 100</w:t>
      </w:r>
      <w:r w:rsidR="004F01E9" w:rsidRPr="00061692">
        <w:rPr>
          <w:noProof/>
          <w:spacing w:val="-10"/>
        </w:rPr>
        <w:t> %</w:t>
      </w:r>
      <w:r w:rsidRPr="00061692">
        <w:rPr>
          <w:noProof/>
          <w:spacing w:val="-10"/>
        </w:rPr>
        <w:t xml:space="preserve"> kapitálovým expozíciám, ktoré vznikli</w:t>
      </w:r>
      <w:r w:rsidR="004F01E9" w:rsidRPr="00061692">
        <w:rPr>
          <w:noProof/>
          <w:spacing w:val="-10"/>
        </w:rPr>
        <w:t xml:space="preserve"> v </w:t>
      </w:r>
      <w:r w:rsidRPr="00061692">
        <w:rPr>
          <w:noProof/>
          <w:spacing w:val="-10"/>
        </w:rPr>
        <w:t>rámci legislatívnych programov na podporu určených odvetví hospodárstva, ktoré spĺňajú všetky tieto podmienky:</w:t>
      </w:r>
    </w:p>
    <w:p w14:paraId="50BE1FB0" w14:textId="245B6627" w:rsidR="00456352" w:rsidRPr="004F01E9" w:rsidRDefault="00B16452" w:rsidP="00B16452">
      <w:pPr>
        <w:pStyle w:val="Point1"/>
        <w:rPr>
          <w:noProof/>
        </w:rPr>
      </w:pPr>
      <w:r w:rsidRPr="00B16452">
        <w:rPr>
          <w:noProof/>
        </w:rPr>
        <w:t>a)</w:t>
      </w:r>
      <w:r w:rsidRPr="00B16452">
        <w:rPr>
          <w:noProof/>
        </w:rPr>
        <w:tab/>
      </w:r>
      <w:r w:rsidR="00456352" w:rsidRPr="004F01E9">
        <w:rPr>
          <w:noProof/>
        </w:rPr>
        <w:t>legislatívne programy poskytujú významné dotácie na investovanie inštitúcii,</w:t>
      </w:r>
      <w:r w:rsidR="004F01E9">
        <w:rPr>
          <w:noProof/>
        </w:rPr>
        <w:t xml:space="preserve"> a </w:t>
      </w:r>
      <w:r w:rsidR="00456352" w:rsidRPr="004F01E9">
        <w:rPr>
          <w:noProof/>
        </w:rPr>
        <w:t>to aj vo forme záruk poskytnutých multilaterálnymi rozvojovými bankami, verejnými rozvojovými úverovými inštitúciami</w:t>
      </w:r>
      <w:r w:rsidR="004F01E9">
        <w:rPr>
          <w:noProof/>
        </w:rPr>
        <w:t xml:space="preserve"> v </w:t>
      </w:r>
      <w:r w:rsidR="00456352" w:rsidRPr="004F01E9">
        <w:rPr>
          <w:noProof/>
        </w:rPr>
        <w:t>zmysle vymedzenia</w:t>
      </w:r>
      <w:r w:rsidR="004F01E9">
        <w:rPr>
          <w:noProof/>
        </w:rPr>
        <w:t xml:space="preserve"> v </w:t>
      </w:r>
      <w:r w:rsidR="00456352" w:rsidRPr="004F01E9">
        <w:rPr>
          <w:noProof/>
        </w:rPr>
        <w:t>článku 429a ods. 2 alebo medzinárodnými organizáciami;</w:t>
      </w:r>
    </w:p>
    <w:p w14:paraId="28D2797B" w14:textId="6D47DDDA" w:rsidR="00456352" w:rsidRPr="004F01E9" w:rsidRDefault="00B16452" w:rsidP="00B16452">
      <w:pPr>
        <w:pStyle w:val="Point1"/>
        <w:rPr>
          <w:noProof/>
        </w:rPr>
      </w:pPr>
      <w:r w:rsidRPr="00B16452">
        <w:rPr>
          <w:noProof/>
        </w:rPr>
        <w:t>b)</w:t>
      </w:r>
      <w:r w:rsidRPr="00B16452">
        <w:rPr>
          <w:noProof/>
        </w:rPr>
        <w:tab/>
      </w:r>
      <w:r w:rsidR="00456352" w:rsidRPr="004F01E9">
        <w:rPr>
          <w:noProof/>
        </w:rPr>
        <w:t>legislatívne programy zahŕňajú určitú formu vládneho dozoru;</w:t>
      </w:r>
    </w:p>
    <w:p w14:paraId="2D8B35A8" w14:textId="52C54021" w:rsidR="00456352" w:rsidRPr="00061692" w:rsidRDefault="00B16452" w:rsidP="00B16452">
      <w:pPr>
        <w:pStyle w:val="Point1"/>
        <w:rPr>
          <w:noProof/>
          <w:spacing w:val="-4"/>
        </w:rPr>
      </w:pPr>
      <w:r w:rsidRPr="00B16452">
        <w:rPr>
          <w:noProof/>
        </w:rPr>
        <w:t>c)</w:t>
      </w:r>
      <w:r w:rsidRPr="00B16452">
        <w:rPr>
          <w:noProof/>
        </w:rPr>
        <w:tab/>
      </w:r>
      <w:r w:rsidR="00456352" w:rsidRPr="00061692">
        <w:rPr>
          <w:noProof/>
          <w:spacing w:val="-4"/>
        </w:rPr>
        <w:t>takéto kapitálové expozície súhrnne nepresahujú 10</w:t>
      </w:r>
      <w:r w:rsidR="004F01E9" w:rsidRPr="00061692">
        <w:rPr>
          <w:noProof/>
          <w:spacing w:val="-4"/>
        </w:rPr>
        <w:t> %</w:t>
      </w:r>
      <w:r w:rsidR="00456352" w:rsidRPr="00061692">
        <w:rPr>
          <w:noProof/>
          <w:spacing w:val="-4"/>
        </w:rPr>
        <w:t xml:space="preserve"> vlastných zdrojov inštitúcií.</w:t>
      </w:r>
    </w:p>
    <w:p w14:paraId="50963CEE" w14:textId="37A9D564" w:rsidR="00456352" w:rsidRPr="00061692" w:rsidRDefault="00456352" w:rsidP="00456352">
      <w:pPr>
        <w:pStyle w:val="Text1"/>
        <w:rPr>
          <w:noProof/>
          <w:spacing w:val="-4"/>
          <w:szCs w:val="24"/>
        </w:rPr>
      </w:pPr>
      <w:r w:rsidRPr="00061692">
        <w:rPr>
          <w:noProof/>
          <w:spacing w:val="-4"/>
        </w:rPr>
        <w:t>6. Kapitálovým expozíciám voči centrálnym bankám sa priraďuje riziková váha 100</w:t>
      </w:r>
      <w:r w:rsidR="004F01E9" w:rsidRPr="00061692">
        <w:rPr>
          <w:noProof/>
          <w:spacing w:val="-4"/>
        </w:rPr>
        <w:t> %</w:t>
      </w:r>
      <w:r w:rsidRPr="00061692">
        <w:rPr>
          <w:noProof/>
          <w:spacing w:val="-4"/>
        </w:rPr>
        <w:t>.</w:t>
      </w:r>
    </w:p>
    <w:p w14:paraId="2EAC5A91" w14:textId="1908BCA7" w:rsidR="00456352" w:rsidRPr="004F01E9" w:rsidRDefault="00456352" w:rsidP="00456352">
      <w:pPr>
        <w:pStyle w:val="Text1"/>
        <w:rPr>
          <w:noProof/>
          <w:szCs w:val="24"/>
        </w:rPr>
      </w:pPr>
      <w:r w:rsidRPr="004F01E9">
        <w:rPr>
          <w:noProof/>
        </w:rPr>
        <w:t>7. Kapitálovým expozíciám, ktoré sa zaznamenávajú ako úver, ale vyplývajú zo swapu dlhu za kapitálový podiel uskutočneného</w:t>
      </w:r>
      <w:r w:rsidR="004F01E9">
        <w:rPr>
          <w:noProof/>
        </w:rPr>
        <w:t xml:space="preserve"> v </w:t>
      </w:r>
      <w:r w:rsidRPr="004F01E9">
        <w:rPr>
          <w:noProof/>
        </w:rPr>
        <w:t>rámci riadnej realizácie alebo reštrukturalizácie dlhu, sa nepriraďuje riziková váha nižšia ako riziková váha, ktorá by sa uplatnila, keby kapitálové podiely zostali</w:t>
      </w:r>
      <w:r w:rsidR="004F01E9">
        <w:rPr>
          <w:noProof/>
        </w:rPr>
        <w:t xml:space="preserve"> v </w:t>
      </w:r>
      <w:r w:rsidRPr="004F01E9">
        <w:rPr>
          <w:noProof/>
        </w:rPr>
        <w:t>dlhovom portfóliu.“</w:t>
      </w:r>
    </w:p>
    <w:p w14:paraId="6F28AD9F" w14:textId="3174A3C3" w:rsidR="00806B81" w:rsidRPr="004F01E9" w:rsidRDefault="00B16452" w:rsidP="00B16452">
      <w:pPr>
        <w:pStyle w:val="Point0"/>
        <w:rPr>
          <w:noProof/>
        </w:rPr>
      </w:pPr>
      <w:r w:rsidRPr="00B16452">
        <w:rPr>
          <w:noProof/>
        </w:rPr>
        <w:t>53</w:t>
      </w:r>
      <w:r>
        <w:rPr>
          <w:noProof/>
        </w:rPr>
        <w:t>.</w:t>
      </w:r>
      <w:r w:rsidRPr="00B16452">
        <w:rPr>
          <w:noProof/>
        </w:rPr>
        <w:tab/>
      </w:r>
      <w:r w:rsidR="00456352" w:rsidRPr="004F01E9">
        <w:rPr>
          <w:noProof/>
        </w:rPr>
        <w:t>Článok 134 sa mení takto:</w:t>
      </w:r>
    </w:p>
    <w:p w14:paraId="208A1D5B" w14:textId="17C67428" w:rsidR="00456352" w:rsidRPr="004F01E9" w:rsidRDefault="00210583" w:rsidP="00210583">
      <w:pPr>
        <w:pStyle w:val="Point1"/>
        <w:rPr>
          <w:noProof/>
        </w:rPr>
      </w:pPr>
      <w:r w:rsidRPr="004F01E9">
        <w:rPr>
          <w:noProof/>
        </w:rPr>
        <w:t>a)</w:t>
      </w:r>
      <w:r w:rsidRPr="004F01E9">
        <w:rPr>
          <w:noProof/>
        </w:rPr>
        <w:tab/>
        <w:t>Odsek 3 sa nahrádza takto:</w:t>
      </w:r>
    </w:p>
    <w:p w14:paraId="6D94E0E1" w14:textId="6D70A68D" w:rsidR="00456352" w:rsidRPr="004F01E9" w:rsidRDefault="00456352" w:rsidP="00456352">
      <w:pPr>
        <w:pStyle w:val="Text2"/>
        <w:rPr>
          <w:noProof/>
        </w:rPr>
      </w:pPr>
      <w:r w:rsidRPr="004F01E9">
        <w:rPr>
          <w:noProof/>
        </w:rPr>
        <w:t>„3. Hotovostným prostriedkom na ceste sa priraďuje riziková váha 20</w:t>
      </w:r>
      <w:r w:rsidR="004F01E9">
        <w:rPr>
          <w:noProof/>
        </w:rPr>
        <w:t> %</w:t>
      </w:r>
      <w:r w:rsidRPr="004F01E9">
        <w:rPr>
          <w:noProof/>
        </w:rPr>
        <w:t>. Hotovosti vo vlastníctve</w:t>
      </w:r>
      <w:r w:rsidR="004F01E9">
        <w:rPr>
          <w:noProof/>
        </w:rPr>
        <w:t xml:space="preserve"> a </w:t>
      </w:r>
      <w:r w:rsidRPr="004F01E9">
        <w:rPr>
          <w:noProof/>
        </w:rPr>
        <w:t>držbe inštitúcie alebo na ceste</w:t>
      </w:r>
      <w:r w:rsidR="004F01E9">
        <w:rPr>
          <w:noProof/>
        </w:rPr>
        <w:t xml:space="preserve"> a </w:t>
      </w:r>
      <w:r w:rsidRPr="004F01E9">
        <w:rPr>
          <w:noProof/>
        </w:rPr>
        <w:t>rovnocenným hotovostným prostriedkom sa priraďuje riziková váha 0</w:t>
      </w:r>
      <w:r w:rsidR="004F01E9">
        <w:rPr>
          <w:noProof/>
        </w:rPr>
        <w:t> %</w:t>
      </w:r>
      <w:r w:rsidRPr="004F01E9">
        <w:rPr>
          <w:noProof/>
        </w:rPr>
        <w:t>.“;</w:t>
      </w:r>
    </w:p>
    <w:p w14:paraId="03841A1E" w14:textId="3A8F5E4F" w:rsidR="00456352" w:rsidRPr="004F01E9" w:rsidRDefault="00210583" w:rsidP="00210583">
      <w:pPr>
        <w:pStyle w:val="Point1"/>
        <w:rPr>
          <w:noProof/>
        </w:rPr>
      </w:pPr>
      <w:r w:rsidRPr="004F01E9">
        <w:rPr>
          <w:noProof/>
        </w:rPr>
        <w:t>b)</w:t>
      </w:r>
      <w:r w:rsidRPr="004F01E9">
        <w:rPr>
          <w:noProof/>
        </w:rPr>
        <w:tab/>
        <w:t>Dopĺňa sa tento odsek 8:</w:t>
      </w:r>
    </w:p>
    <w:p w14:paraId="7DEAA678" w14:textId="7974F9D3" w:rsidR="00456352" w:rsidRPr="004F01E9" w:rsidRDefault="00456352" w:rsidP="00456352">
      <w:pPr>
        <w:pStyle w:val="Text2"/>
        <w:rPr>
          <w:noProof/>
        </w:rPr>
      </w:pPr>
      <w:r w:rsidRPr="004F01E9">
        <w:rPr>
          <w:noProof/>
        </w:rPr>
        <w:t>„8. Hodnote expozície akejkoľvek inej položky, pre ktorú sa</w:t>
      </w:r>
      <w:r w:rsidR="004F01E9">
        <w:rPr>
          <w:noProof/>
        </w:rPr>
        <w:t xml:space="preserve"> v </w:t>
      </w:r>
      <w:r w:rsidRPr="004F01E9">
        <w:rPr>
          <w:noProof/>
        </w:rPr>
        <w:t>kapitole 2 neuvádza žiadna riziková váha, sa priraďuje riziková váha 100</w:t>
      </w:r>
      <w:r w:rsidR="004F01E9">
        <w:rPr>
          <w:noProof/>
        </w:rPr>
        <w:t> %</w:t>
      </w:r>
      <w:r w:rsidRPr="004F01E9">
        <w:rPr>
          <w:noProof/>
        </w:rPr>
        <w:t>.“</w:t>
      </w:r>
    </w:p>
    <w:p w14:paraId="2E0144ED" w14:textId="5227EB96" w:rsidR="00456352" w:rsidRPr="004F01E9" w:rsidRDefault="00B16452" w:rsidP="00B16452">
      <w:pPr>
        <w:pStyle w:val="Point0"/>
        <w:rPr>
          <w:noProof/>
        </w:rPr>
      </w:pPr>
      <w:r w:rsidRPr="00B16452">
        <w:rPr>
          <w:noProof/>
        </w:rPr>
        <w:t>54</w:t>
      </w:r>
      <w:r>
        <w:rPr>
          <w:noProof/>
        </w:rPr>
        <w:t>.</w:t>
      </w:r>
      <w:r w:rsidRPr="00B16452">
        <w:rPr>
          <w:noProof/>
        </w:rPr>
        <w:tab/>
      </w:r>
      <w:r w:rsidR="00456352" w:rsidRPr="004F01E9">
        <w:rPr>
          <w:noProof/>
        </w:rPr>
        <w:t>V článku 135 sa dopĺňa tento odsek 3:</w:t>
      </w:r>
    </w:p>
    <w:p w14:paraId="01BE1157" w14:textId="18461CDB" w:rsidR="00456352" w:rsidRPr="004F01E9" w:rsidRDefault="00456352" w:rsidP="00456352">
      <w:pPr>
        <w:pStyle w:val="Text1"/>
        <w:rPr>
          <w:noProof/>
        </w:rPr>
      </w:pPr>
      <w:r w:rsidRPr="004F01E9">
        <w:rPr>
          <w:noProof/>
        </w:rPr>
        <w:t>„3. EBA, EIOPA</w:t>
      </w:r>
      <w:r w:rsidR="004F01E9">
        <w:rPr>
          <w:noProof/>
        </w:rPr>
        <w:t xml:space="preserve"> a </w:t>
      </w:r>
      <w:r w:rsidRPr="004F01E9">
        <w:rPr>
          <w:noProof/>
        </w:rPr>
        <w:t>ESMA do [</w:t>
      </w:r>
      <w:r w:rsidRPr="004F01E9">
        <w:rPr>
          <w:noProof/>
          <w:color w:val="000000"/>
        </w:rPr>
        <w:t xml:space="preserve">Úrad pre publikácie: vložte dátum = </w:t>
      </w:r>
      <w:r w:rsidRPr="004F01E9">
        <w:rPr>
          <w:noProof/>
        </w:rPr>
        <w:t>1 rok po nadobudnutí účinnosti] vypracujú správu</w:t>
      </w:r>
      <w:r w:rsidR="004F01E9">
        <w:rPr>
          <w:noProof/>
        </w:rPr>
        <w:t xml:space="preserve"> o </w:t>
      </w:r>
      <w:r w:rsidRPr="004F01E9">
        <w:rPr>
          <w:noProof/>
        </w:rPr>
        <w:t>prekážkach brániacich dostupnosti ratingových hodnotení od ECAI, najmä pre podnikateľské subjekty,</w:t>
      </w:r>
      <w:r w:rsidR="004F01E9">
        <w:rPr>
          <w:noProof/>
        </w:rPr>
        <w:t xml:space="preserve"> a o </w:t>
      </w:r>
      <w:r w:rsidRPr="004F01E9">
        <w:rPr>
          <w:noProof/>
        </w:rPr>
        <w:t>možných opatreniach na ich riešenie, pričom zohľadnia rozdiely medzi hospodárskymi odvetviami</w:t>
      </w:r>
      <w:r w:rsidR="004F01E9">
        <w:rPr>
          <w:noProof/>
        </w:rPr>
        <w:t xml:space="preserve"> a </w:t>
      </w:r>
      <w:r w:rsidRPr="004F01E9">
        <w:rPr>
          <w:noProof/>
        </w:rPr>
        <w:t>geografickými oblasťami.“</w:t>
      </w:r>
    </w:p>
    <w:p w14:paraId="73ABF6E4" w14:textId="5EDF16CB" w:rsidR="00456352" w:rsidRPr="004F01E9" w:rsidRDefault="00B16452" w:rsidP="00061692">
      <w:pPr>
        <w:pStyle w:val="Point0"/>
        <w:keepNext/>
        <w:keepLines/>
        <w:rPr>
          <w:noProof/>
        </w:rPr>
      </w:pPr>
      <w:r w:rsidRPr="00B16452">
        <w:rPr>
          <w:noProof/>
        </w:rPr>
        <w:t>55</w:t>
      </w:r>
      <w:r>
        <w:rPr>
          <w:noProof/>
        </w:rPr>
        <w:t>.</w:t>
      </w:r>
      <w:r w:rsidRPr="00B16452">
        <w:rPr>
          <w:noProof/>
        </w:rPr>
        <w:tab/>
      </w:r>
      <w:r w:rsidR="00456352" w:rsidRPr="004F01E9">
        <w:rPr>
          <w:noProof/>
        </w:rPr>
        <w:t>Článok 138 sa mení takto:</w:t>
      </w:r>
    </w:p>
    <w:p w14:paraId="07671172" w14:textId="26611930" w:rsidR="00806B81" w:rsidRPr="004F01E9" w:rsidRDefault="00210583" w:rsidP="00061692">
      <w:pPr>
        <w:pStyle w:val="Point1"/>
        <w:keepNext/>
        <w:keepLines/>
        <w:rPr>
          <w:noProof/>
        </w:rPr>
      </w:pPr>
      <w:r w:rsidRPr="004F01E9">
        <w:rPr>
          <w:noProof/>
        </w:rPr>
        <w:t>a)</w:t>
      </w:r>
      <w:r w:rsidRPr="004F01E9">
        <w:rPr>
          <w:noProof/>
        </w:rPr>
        <w:tab/>
        <w:t>Dopĺňa sa toto písmeno g):</w:t>
      </w:r>
    </w:p>
    <w:p w14:paraId="4B54AAAB" w14:textId="754392F4" w:rsidR="00456352" w:rsidRPr="004F01E9" w:rsidRDefault="00456352" w:rsidP="00061692">
      <w:pPr>
        <w:pStyle w:val="Text2"/>
        <w:keepNext/>
        <w:keepLines/>
        <w:rPr>
          <w:noProof/>
        </w:rPr>
      </w:pPr>
      <w:r w:rsidRPr="004F01E9">
        <w:rPr>
          <w:noProof/>
        </w:rPr>
        <w:t>„g) inštitúcia nepoužíva ratingové hodnotenie od ECAI vo vzťahu</w:t>
      </w:r>
      <w:r w:rsidR="004F01E9">
        <w:rPr>
          <w:noProof/>
        </w:rPr>
        <w:t xml:space="preserve"> k </w:t>
      </w:r>
      <w:r w:rsidRPr="004F01E9">
        <w:rPr>
          <w:noProof/>
        </w:rPr>
        <w:t>inštitúcii, ktorá zahŕňa predpoklady implicitnej vládnej podpory, pokiaľ sa príslušné ratingové hodnotenie ECAI nevzťahuje na inštitúciu, ktorú vlastnia alebo ktorú zriadili</w:t>
      </w:r>
      <w:r w:rsidR="004F01E9">
        <w:rPr>
          <w:noProof/>
        </w:rPr>
        <w:t xml:space="preserve"> a </w:t>
      </w:r>
      <w:r w:rsidRPr="004F01E9">
        <w:rPr>
          <w:noProof/>
        </w:rPr>
        <w:t>sponzorujú ústredné vlády, regionálne vlády alebo miestne orgány.“;</w:t>
      </w:r>
    </w:p>
    <w:p w14:paraId="2DDEE409" w14:textId="17D59EB5" w:rsidR="00806B81" w:rsidRPr="004F01E9" w:rsidRDefault="00210583" w:rsidP="00210583">
      <w:pPr>
        <w:pStyle w:val="Point1"/>
        <w:rPr>
          <w:noProof/>
        </w:rPr>
      </w:pPr>
      <w:r w:rsidRPr="004F01E9">
        <w:rPr>
          <w:noProof/>
        </w:rPr>
        <w:t>b)</w:t>
      </w:r>
      <w:r w:rsidRPr="004F01E9">
        <w:rPr>
          <w:noProof/>
        </w:rPr>
        <w:tab/>
        <w:t>Dopĺňa sa tento pododsek:</w:t>
      </w:r>
    </w:p>
    <w:p w14:paraId="2BDDB560" w14:textId="362D52D8" w:rsidR="00456352" w:rsidRPr="00061692" w:rsidRDefault="00456352" w:rsidP="00210583">
      <w:pPr>
        <w:pStyle w:val="Text2"/>
        <w:rPr>
          <w:noProof/>
          <w:spacing w:val="-4"/>
        </w:rPr>
      </w:pPr>
      <w:r w:rsidRPr="00061692">
        <w:rPr>
          <w:noProof/>
          <w:spacing w:val="-4"/>
        </w:rPr>
        <w:t>„Na účely písmena g) sa</w:t>
      </w:r>
      <w:r w:rsidR="004F01E9" w:rsidRPr="00061692">
        <w:rPr>
          <w:noProof/>
          <w:spacing w:val="-4"/>
        </w:rPr>
        <w:t xml:space="preserve"> v </w:t>
      </w:r>
      <w:r w:rsidRPr="00061692">
        <w:rPr>
          <w:noProof/>
          <w:spacing w:val="-4"/>
        </w:rPr>
        <w:t>prípade inštitúcií, ktoré nie sú inštitúciami vlastnenými alebo zriadenými</w:t>
      </w:r>
      <w:r w:rsidR="004F01E9" w:rsidRPr="00061692">
        <w:rPr>
          <w:noProof/>
          <w:spacing w:val="-4"/>
        </w:rPr>
        <w:t xml:space="preserve"> a </w:t>
      </w:r>
      <w:r w:rsidRPr="00061692">
        <w:rPr>
          <w:noProof/>
          <w:spacing w:val="-4"/>
        </w:rPr>
        <w:t>sponzorovanými ústrednými vládami, regionálnymi vládami alebo miestnymi orgánmi, pre ktoré existujú len ratingové hodnotenia od ECAI, ktoré zahŕňajú predpoklady implicitnej vládnej podpory,</w:t>
      </w:r>
      <w:r w:rsidR="004F01E9" w:rsidRPr="00061692">
        <w:rPr>
          <w:noProof/>
          <w:spacing w:val="-4"/>
        </w:rPr>
        <w:t xml:space="preserve"> s </w:t>
      </w:r>
      <w:r w:rsidRPr="00061692">
        <w:rPr>
          <w:noProof/>
          <w:spacing w:val="-4"/>
        </w:rPr>
        <w:t>expozíciami voči takýmto inštitúciám zaobchádza ako</w:t>
      </w:r>
      <w:r w:rsidR="004F01E9" w:rsidRPr="00061692">
        <w:rPr>
          <w:noProof/>
          <w:spacing w:val="-4"/>
        </w:rPr>
        <w:t xml:space="preserve"> s </w:t>
      </w:r>
      <w:r w:rsidRPr="00061692">
        <w:rPr>
          <w:noProof/>
          <w:spacing w:val="-4"/>
        </w:rPr>
        <w:t>expozíciami voči inštitúciám bez ratingového hodnotenia</w:t>
      </w:r>
      <w:r w:rsidR="004F01E9" w:rsidRPr="00061692">
        <w:rPr>
          <w:noProof/>
          <w:spacing w:val="-4"/>
        </w:rPr>
        <w:t xml:space="preserve"> v </w:t>
      </w:r>
      <w:r w:rsidRPr="00061692">
        <w:rPr>
          <w:noProof/>
          <w:spacing w:val="-4"/>
        </w:rPr>
        <w:t>súlade</w:t>
      </w:r>
      <w:r w:rsidR="004F01E9" w:rsidRPr="00061692">
        <w:rPr>
          <w:noProof/>
          <w:spacing w:val="-4"/>
        </w:rPr>
        <w:t xml:space="preserve"> s </w:t>
      </w:r>
      <w:r w:rsidRPr="00061692">
        <w:rPr>
          <w:noProof/>
          <w:spacing w:val="-4"/>
        </w:rPr>
        <w:t>článkom 121.</w:t>
      </w:r>
    </w:p>
    <w:p w14:paraId="7383F5B2" w14:textId="4CBC0E54" w:rsidR="00456352" w:rsidRPr="004F01E9" w:rsidRDefault="00456352" w:rsidP="00210583">
      <w:pPr>
        <w:pStyle w:val="Text2"/>
        <w:rPr>
          <w:noProof/>
        </w:rPr>
      </w:pPr>
      <w:r w:rsidRPr="004F01E9">
        <w:rPr>
          <w:noProof/>
        </w:rPr>
        <w:t>Implicitná vládna podpora znamená, že ústredná vláda, regionálna vláda alebo miestny orgán podniknú kroky</w:t>
      </w:r>
      <w:r w:rsidR="004F01E9">
        <w:rPr>
          <w:noProof/>
        </w:rPr>
        <w:t xml:space="preserve"> s </w:t>
      </w:r>
      <w:r w:rsidRPr="004F01E9">
        <w:rPr>
          <w:noProof/>
        </w:rPr>
        <w:t>cieľom zabrániť tomu, aby veritelia inštitúcie utrpeli straty</w:t>
      </w:r>
      <w:r w:rsidR="004F01E9">
        <w:rPr>
          <w:noProof/>
        </w:rPr>
        <w:t xml:space="preserve"> v </w:t>
      </w:r>
      <w:r w:rsidRPr="004F01E9">
        <w:rPr>
          <w:noProof/>
        </w:rPr>
        <w:t>prípade zlyhania inštitúcie alebo jej ťažkostí.“</w:t>
      </w:r>
    </w:p>
    <w:p w14:paraId="19AA59C9" w14:textId="77F7EFC8" w:rsidR="00806B81" w:rsidRPr="004F01E9" w:rsidRDefault="00B16452" w:rsidP="00B16452">
      <w:pPr>
        <w:pStyle w:val="Point0"/>
        <w:rPr>
          <w:noProof/>
        </w:rPr>
      </w:pPr>
      <w:r w:rsidRPr="00B16452">
        <w:rPr>
          <w:noProof/>
        </w:rPr>
        <w:t>56</w:t>
      </w:r>
      <w:r>
        <w:rPr>
          <w:noProof/>
        </w:rPr>
        <w:t>.</w:t>
      </w:r>
      <w:r w:rsidRPr="00B16452">
        <w:rPr>
          <w:noProof/>
        </w:rPr>
        <w:tab/>
      </w:r>
      <w:r w:rsidR="00456352" w:rsidRPr="004F01E9">
        <w:rPr>
          <w:noProof/>
        </w:rPr>
        <w:t>V článku 139 ods. 2 sa písmená a)</w:t>
      </w:r>
      <w:r w:rsidR="004F01E9">
        <w:rPr>
          <w:noProof/>
        </w:rPr>
        <w:t xml:space="preserve"> a </w:t>
      </w:r>
      <w:r w:rsidR="00456352" w:rsidRPr="004F01E9">
        <w:rPr>
          <w:noProof/>
        </w:rPr>
        <w:t>b) nahrádzajú takto:</w:t>
      </w:r>
    </w:p>
    <w:p w14:paraId="41E19A55" w14:textId="20158186" w:rsidR="00456352" w:rsidRPr="00061692" w:rsidRDefault="00456352" w:rsidP="00615061">
      <w:pPr>
        <w:pStyle w:val="Text1"/>
        <w:rPr>
          <w:noProof/>
          <w:spacing w:val="-10"/>
        </w:rPr>
      </w:pPr>
      <w:r w:rsidRPr="00061692">
        <w:rPr>
          <w:noProof/>
          <w:spacing w:val="-10"/>
        </w:rPr>
        <w:t>„a) ratingové hodnotenie vytvára vyššiu rizikovú váhu, než by bola</w:t>
      </w:r>
      <w:r w:rsidR="004F01E9" w:rsidRPr="00061692">
        <w:rPr>
          <w:noProof/>
          <w:spacing w:val="-10"/>
        </w:rPr>
        <w:t xml:space="preserve"> v </w:t>
      </w:r>
      <w:r w:rsidRPr="00061692">
        <w:rPr>
          <w:noProof/>
          <w:spacing w:val="-10"/>
        </w:rPr>
        <w:t>prípade, keď sa</w:t>
      </w:r>
      <w:r w:rsidR="004F01E9" w:rsidRPr="00061692">
        <w:rPr>
          <w:noProof/>
          <w:spacing w:val="-10"/>
        </w:rPr>
        <w:t xml:space="preserve"> s </w:t>
      </w:r>
      <w:r w:rsidRPr="00061692">
        <w:rPr>
          <w:noProof/>
          <w:spacing w:val="-10"/>
        </w:rPr>
        <w:t>expozíciou zaobchádza ako</w:t>
      </w:r>
      <w:r w:rsidR="004F01E9" w:rsidRPr="00061692">
        <w:rPr>
          <w:noProof/>
          <w:spacing w:val="-10"/>
        </w:rPr>
        <w:t xml:space="preserve"> s </w:t>
      </w:r>
      <w:r w:rsidRPr="00061692">
        <w:rPr>
          <w:noProof/>
          <w:spacing w:val="-10"/>
        </w:rPr>
        <w:t>expozíciou bez ratingového hodnotenia,</w:t>
      </w:r>
      <w:r w:rsidR="004F01E9" w:rsidRPr="00061692">
        <w:rPr>
          <w:noProof/>
          <w:spacing w:val="-10"/>
        </w:rPr>
        <w:t xml:space="preserve"> a </w:t>
      </w:r>
      <w:r w:rsidRPr="00061692">
        <w:rPr>
          <w:noProof/>
          <w:spacing w:val="-10"/>
        </w:rPr>
        <w:t>príslušná expozícia:</w:t>
      </w:r>
    </w:p>
    <w:p w14:paraId="06EA825A" w14:textId="1B905A97" w:rsidR="00456352" w:rsidRPr="004F01E9" w:rsidRDefault="00210583" w:rsidP="00210583">
      <w:pPr>
        <w:pStyle w:val="Point1"/>
        <w:rPr>
          <w:noProof/>
        </w:rPr>
      </w:pPr>
      <w:r w:rsidRPr="004F01E9">
        <w:rPr>
          <w:noProof/>
        </w:rPr>
        <w:t>i)</w:t>
      </w:r>
      <w:r w:rsidRPr="004F01E9">
        <w:rPr>
          <w:noProof/>
        </w:rPr>
        <w:tab/>
        <w:t>nie je expozíciou vo forme špecializovaného financovania;</w:t>
      </w:r>
    </w:p>
    <w:p w14:paraId="6D977781" w14:textId="2C3FB3E2" w:rsidR="00456352" w:rsidRPr="004F01E9" w:rsidRDefault="00210583" w:rsidP="00210583">
      <w:pPr>
        <w:pStyle w:val="Point1"/>
        <w:rPr>
          <w:noProof/>
        </w:rPr>
      </w:pPr>
      <w:r w:rsidRPr="004F01E9">
        <w:rPr>
          <w:noProof/>
        </w:rPr>
        <w:t>ii)</w:t>
      </w:r>
      <w:r w:rsidRPr="004F01E9">
        <w:rPr>
          <w:noProof/>
        </w:rPr>
        <w:tab/>
        <w:t>má vo všetkých ohľadoch rovnocenné alebo podriadené postavenie vo vzťahu ku konkrétnemu emisnému programu alebo facilite alebo prípadne vo vzťahu</w:t>
      </w:r>
      <w:r w:rsidR="004F01E9">
        <w:rPr>
          <w:noProof/>
        </w:rPr>
        <w:t xml:space="preserve"> k </w:t>
      </w:r>
      <w:r w:rsidRPr="004F01E9">
        <w:rPr>
          <w:noProof/>
        </w:rPr>
        <w:t>nadriadeným nezabezpečeným expozíciám daného emitenta;</w:t>
      </w:r>
    </w:p>
    <w:p w14:paraId="66D094A2" w14:textId="25714E32" w:rsidR="00456352" w:rsidRPr="004F01E9" w:rsidRDefault="00456352" w:rsidP="00615061">
      <w:pPr>
        <w:pStyle w:val="Text1"/>
        <w:rPr>
          <w:noProof/>
        </w:rPr>
      </w:pPr>
      <w:r w:rsidRPr="004F01E9">
        <w:rPr>
          <w:noProof/>
        </w:rPr>
        <w:t>b) ratingové hodnotenie vytvára nižšiu rizikovú váhu</w:t>
      </w:r>
      <w:r w:rsidR="004F01E9">
        <w:rPr>
          <w:noProof/>
        </w:rPr>
        <w:t xml:space="preserve"> a </w:t>
      </w:r>
      <w:r w:rsidRPr="004F01E9">
        <w:rPr>
          <w:noProof/>
        </w:rPr>
        <w:t>príslušná expozícia:</w:t>
      </w:r>
    </w:p>
    <w:p w14:paraId="6AE305F5" w14:textId="76E5C4B3" w:rsidR="00456352" w:rsidRPr="004F01E9" w:rsidRDefault="00210583" w:rsidP="00210583">
      <w:pPr>
        <w:pStyle w:val="Point1"/>
        <w:rPr>
          <w:noProof/>
          <w:sz w:val="16"/>
        </w:rPr>
      </w:pPr>
      <w:r w:rsidRPr="004F01E9">
        <w:rPr>
          <w:noProof/>
        </w:rPr>
        <w:t>i)</w:t>
      </w:r>
      <w:r w:rsidRPr="004F01E9">
        <w:rPr>
          <w:noProof/>
        </w:rPr>
        <w:tab/>
        <w:t>nie je expozíciou vo forme špecializovaného financovania;</w:t>
      </w:r>
    </w:p>
    <w:p w14:paraId="2268728E" w14:textId="3BF3FB6E" w:rsidR="00456352" w:rsidRPr="004F01E9" w:rsidRDefault="00210583" w:rsidP="00210583">
      <w:pPr>
        <w:pStyle w:val="Point1"/>
        <w:rPr>
          <w:noProof/>
        </w:rPr>
      </w:pPr>
      <w:r w:rsidRPr="004F01E9">
        <w:rPr>
          <w:noProof/>
        </w:rPr>
        <w:t>ii)</w:t>
      </w:r>
      <w:r w:rsidRPr="004F01E9">
        <w:rPr>
          <w:noProof/>
        </w:rPr>
        <w:tab/>
        <w:t>má vo všetkých ohľadoch rovnocenné alebo nadriadené postavenie vo vzťahu ku konkrétnemu emisnému programu alebo facilite alebo prípadne vo vzťahu</w:t>
      </w:r>
      <w:r w:rsidR="004F01E9">
        <w:rPr>
          <w:noProof/>
        </w:rPr>
        <w:t xml:space="preserve"> k </w:t>
      </w:r>
      <w:r w:rsidRPr="004F01E9">
        <w:rPr>
          <w:noProof/>
        </w:rPr>
        <w:t>nadriadeným nezabezpečeným expozíciám daného emitenta.“</w:t>
      </w:r>
    </w:p>
    <w:p w14:paraId="1BFF7074" w14:textId="6068F1C8" w:rsidR="00456352" w:rsidRPr="004F01E9" w:rsidRDefault="00B16452" w:rsidP="00B16452">
      <w:pPr>
        <w:pStyle w:val="Point0"/>
        <w:rPr>
          <w:noProof/>
        </w:rPr>
      </w:pPr>
      <w:r w:rsidRPr="00B16452">
        <w:rPr>
          <w:noProof/>
        </w:rPr>
        <w:t>57</w:t>
      </w:r>
      <w:r>
        <w:rPr>
          <w:noProof/>
        </w:rPr>
        <w:t>.</w:t>
      </w:r>
      <w:r w:rsidRPr="00B16452">
        <w:rPr>
          <w:noProof/>
        </w:rPr>
        <w:tab/>
      </w:r>
      <w:r w:rsidR="00456352" w:rsidRPr="004F01E9">
        <w:rPr>
          <w:noProof/>
        </w:rPr>
        <w:t>Článok 141 sa nahrádza takto:</w:t>
      </w:r>
    </w:p>
    <w:p w14:paraId="3189D4D4" w14:textId="3072A30F" w:rsidR="00456352" w:rsidRPr="004F01E9" w:rsidRDefault="00456352" w:rsidP="00456352">
      <w:pPr>
        <w:pStyle w:val="Titrearticle"/>
        <w:spacing w:beforeLines="120" w:before="288"/>
        <w:rPr>
          <w:b/>
          <w:i w:val="0"/>
          <w:noProof/>
        </w:rPr>
      </w:pPr>
      <w:r w:rsidRPr="004F01E9">
        <w:rPr>
          <w:noProof/>
        </w:rPr>
        <w:t xml:space="preserve">„Článok 141 </w:t>
      </w:r>
      <w:r w:rsidRPr="004F01E9">
        <w:rPr>
          <w:noProof/>
        </w:rPr>
        <w:br/>
      </w:r>
      <w:r w:rsidRPr="004F01E9">
        <w:rPr>
          <w:b/>
          <w:i w:val="0"/>
          <w:noProof/>
        </w:rPr>
        <w:t>Položky</w:t>
      </w:r>
      <w:r w:rsidR="004F01E9">
        <w:rPr>
          <w:b/>
          <w:i w:val="0"/>
          <w:noProof/>
        </w:rPr>
        <w:t xml:space="preserve"> v </w:t>
      </w:r>
      <w:r w:rsidRPr="004F01E9">
        <w:rPr>
          <w:b/>
          <w:i w:val="0"/>
          <w:noProof/>
        </w:rPr>
        <w:t>domácej</w:t>
      </w:r>
      <w:r w:rsidR="004F01E9">
        <w:rPr>
          <w:b/>
          <w:i w:val="0"/>
          <w:noProof/>
        </w:rPr>
        <w:t xml:space="preserve"> a </w:t>
      </w:r>
      <w:r w:rsidRPr="004F01E9">
        <w:rPr>
          <w:b/>
          <w:i w:val="0"/>
          <w:noProof/>
        </w:rPr>
        <w:t>cudzej mene</w:t>
      </w:r>
    </w:p>
    <w:p w14:paraId="0FB695D2" w14:textId="44426256" w:rsidR="00456352" w:rsidRPr="004F01E9" w:rsidRDefault="00456352" w:rsidP="00456352">
      <w:pPr>
        <w:pStyle w:val="Text1"/>
        <w:rPr>
          <w:noProof/>
        </w:rPr>
      </w:pPr>
      <w:r w:rsidRPr="004F01E9">
        <w:rPr>
          <w:noProof/>
        </w:rPr>
        <w:t>1. Ratingové hodnotenie, ktoré sa vzťahuje na položku denominovanú</w:t>
      </w:r>
      <w:r w:rsidR="004F01E9">
        <w:rPr>
          <w:noProof/>
        </w:rPr>
        <w:t xml:space="preserve"> v </w:t>
      </w:r>
      <w:r w:rsidRPr="004F01E9">
        <w:rPr>
          <w:noProof/>
        </w:rPr>
        <w:t>domácej mene dlžníka, sa nepoužíva na odvodenie rizikovej váhy pre expozíciu voči tomu istému dlžníkovi, ktorá je denominovaná</w:t>
      </w:r>
      <w:r w:rsidR="004F01E9">
        <w:rPr>
          <w:noProof/>
        </w:rPr>
        <w:t xml:space="preserve"> v </w:t>
      </w:r>
      <w:r w:rsidRPr="004F01E9">
        <w:rPr>
          <w:noProof/>
        </w:rPr>
        <w:t>cudzej mene.</w:t>
      </w:r>
    </w:p>
    <w:p w14:paraId="6A9E53BB" w14:textId="76D0F67B" w:rsidR="00456352" w:rsidRPr="00061692" w:rsidRDefault="00456352" w:rsidP="00456352">
      <w:pPr>
        <w:pStyle w:val="Text1"/>
        <w:rPr>
          <w:noProof/>
          <w:spacing w:val="-10"/>
        </w:rPr>
      </w:pPr>
      <w:r w:rsidRPr="00061692">
        <w:rPr>
          <w:noProof/>
          <w:spacing w:val="-10"/>
        </w:rPr>
        <w:t>2. Odchylne od odseku 1, ak expozícia vzniká</w:t>
      </w:r>
      <w:r w:rsidR="004F01E9" w:rsidRPr="00061692">
        <w:rPr>
          <w:noProof/>
          <w:spacing w:val="-10"/>
        </w:rPr>
        <w:t xml:space="preserve"> v </w:t>
      </w:r>
      <w:r w:rsidRPr="00061692">
        <w:rPr>
          <w:noProof/>
          <w:spacing w:val="-10"/>
        </w:rPr>
        <w:t>dôsledku účasti inštitúcie na úvere, ktorý poskytla alebo zaručila voči riziku konvertibility</w:t>
      </w:r>
      <w:r w:rsidR="004F01E9" w:rsidRPr="00061692">
        <w:rPr>
          <w:noProof/>
          <w:spacing w:val="-10"/>
        </w:rPr>
        <w:t xml:space="preserve"> a </w:t>
      </w:r>
      <w:r w:rsidRPr="00061692">
        <w:rPr>
          <w:noProof/>
          <w:spacing w:val="-10"/>
        </w:rPr>
        <w:t>prevodu multilaterálna rozvojová banka uvedená</w:t>
      </w:r>
      <w:r w:rsidR="004F01E9" w:rsidRPr="00061692">
        <w:rPr>
          <w:noProof/>
          <w:spacing w:val="-10"/>
        </w:rPr>
        <w:t xml:space="preserve"> v </w:t>
      </w:r>
      <w:r w:rsidRPr="00061692">
        <w:rPr>
          <w:noProof/>
          <w:spacing w:val="-10"/>
        </w:rPr>
        <w:t>článku 117 ods. 2, ktorej postavenie prednostného veriteľa je uznané na trhu, možno ratingové hodnotenie položky dlžníka</w:t>
      </w:r>
      <w:r w:rsidR="004F01E9" w:rsidRPr="00061692">
        <w:rPr>
          <w:noProof/>
          <w:spacing w:val="-10"/>
        </w:rPr>
        <w:t xml:space="preserve"> v </w:t>
      </w:r>
      <w:r w:rsidRPr="00061692">
        <w:rPr>
          <w:noProof/>
          <w:spacing w:val="-10"/>
        </w:rPr>
        <w:t>domácej mene použiť na odvodenie rizikovej váhy pre expozíciu voči tomu istému dlžníkovi, ktorá je denominovaná</w:t>
      </w:r>
      <w:r w:rsidR="004F01E9" w:rsidRPr="00061692">
        <w:rPr>
          <w:noProof/>
          <w:spacing w:val="-10"/>
        </w:rPr>
        <w:t xml:space="preserve"> v </w:t>
      </w:r>
      <w:r w:rsidRPr="00061692">
        <w:rPr>
          <w:noProof/>
          <w:spacing w:val="-10"/>
        </w:rPr>
        <w:t>cudzej mene.</w:t>
      </w:r>
    </w:p>
    <w:p w14:paraId="56FF20D9" w14:textId="3B29A05E" w:rsidR="00456352" w:rsidRPr="00061692" w:rsidRDefault="00456352" w:rsidP="00456352">
      <w:pPr>
        <w:pStyle w:val="Text1"/>
        <w:rPr>
          <w:noProof/>
          <w:spacing w:val="-4"/>
        </w:rPr>
      </w:pPr>
      <w:r w:rsidRPr="00061692">
        <w:rPr>
          <w:noProof/>
          <w:spacing w:val="-4"/>
        </w:rPr>
        <w:t>Na účely prvého pododseku, ak je expozícia denominovaná</w:t>
      </w:r>
      <w:r w:rsidR="004F01E9" w:rsidRPr="00061692">
        <w:rPr>
          <w:noProof/>
          <w:spacing w:val="-4"/>
        </w:rPr>
        <w:t xml:space="preserve"> v </w:t>
      </w:r>
      <w:r w:rsidRPr="00061692">
        <w:rPr>
          <w:noProof/>
          <w:spacing w:val="-4"/>
        </w:rPr>
        <w:t>cudzej mene zaručená voči riziku konvertibility</w:t>
      </w:r>
      <w:r w:rsidR="004F01E9" w:rsidRPr="00061692">
        <w:rPr>
          <w:noProof/>
          <w:spacing w:val="-4"/>
        </w:rPr>
        <w:t xml:space="preserve"> a </w:t>
      </w:r>
      <w:r w:rsidRPr="00061692">
        <w:rPr>
          <w:noProof/>
          <w:spacing w:val="-4"/>
        </w:rPr>
        <w:t>prevodu, ratingové hodnotenie položky dlžníka</w:t>
      </w:r>
      <w:r w:rsidR="004F01E9" w:rsidRPr="00061692">
        <w:rPr>
          <w:noProof/>
          <w:spacing w:val="-4"/>
        </w:rPr>
        <w:t xml:space="preserve"> v </w:t>
      </w:r>
      <w:r w:rsidRPr="00061692">
        <w:rPr>
          <w:noProof/>
          <w:spacing w:val="-4"/>
        </w:rPr>
        <w:t>domácej mene sa môže použiť na účely váženia rizika len</w:t>
      </w:r>
      <w:r w:rsidR="004F01E9" w:rsidRPr="00061692">
        <w:rPr>
          <w:noProof/>
          <w:spacing w:val="-4"/>
        </w:rPr>
        <w:t xml:space="preserve"> v </w:t>
      </w:r>
      <w:r w:rsidRPr="00061692">
        <w:rPr>
          <w:noProof/>
          <w:spacing w:val="-4"/>
        </w:rPr>
        <w:t>rámci zaručenej časti tejto expozície. Časť tejto expozície, ktorá nie je zaručená, je rizikovo vážená na základe ratingového hodnotenia dlžníka, ktoré sa vzťahuje na položku denominovanú</w:t>
      </w:r>
      <w:r w:rsidR="004F01E9" w:rsidRPr="00061692">
        <w:rPr>
          <w:noProof/>
          <w:spacing w:val="-4"/>
        </w:rPr>
        <w:t xml:space="preserve"> v </w:t>
      </w:r>
      <w:r w:rsidRPr="00061692">
        <w:rPr>
          <w:noProof/>
          <w:spacing w:val="-4"/>
        </w:rPr>
        <w:t>danej cudzej mene.“</w:t>
      </w:r>
    </w:p>
    <w:p w14:paraId="149BFE99" w14:textId="3F582703" w:rsidR="00456352" w:rsidRPr="004F01E9" w:rsidRDefault="00B16452" w:rsidP="00B16452">
      <w:pPr>
        <w:pStyle w:val="Point0"/>
        <w:rPr>
          <w:noProof/>
        </w:rPr>
      </w:pPr>
      <w:r w:rsidRPr="00B16452">
        <w:rPr>
          <w:noProof/>
        </w:rPr>
        <w:t>58</w:t>
      </w:r>
      <w:r>
        <w:rPr>
          <w:noProof/>
        </w:rPr>
        <w:t>.</w:t>
      </w:r>
      <w:r w:rsidRPr="00B16452">
        <w:rPr>
          <w:noProof/>
        </w:rPr>
        <w:tab/>
      </w:r>
      <w:r w:rsidR="00456352" w:rsidRPr="004F01E9">
        <w:rPr>
          <w:noProof/>
        </w:rPr>
        <w:t>V článku 142 sa odsek 1 mení takto:</w:t>
      </w:r>
    </w:p>
    <w:p w14:paraId="3F82FE49" w14:textId="191561DC" w:rsidR="00456352" w:rsidRPr="004F01E9" w:rsidRDefault="008E3B78" w:rsidP="008E3B78">
      <w:pPr>
        <w:pStyle w:val="Point1"/>
        <w:rPr>
          <w:noProof/>
        </w:rPr>
      </w:pPr>
      <w:r w:rsidRPr="004F01E9">
        <w:rPr>
          <w:noProof/>
        </w:rPr>
        <w:t>a)</w:t>
      </w:r>
      <w:r w:rsidRPr="004F01E9">
        <w:rPr>
          <w:noProof/>
        </w:rPr>
        <w:tab/>
        <w:t>Vkladajú sa tieto body 1a až 1e:</w:t>
      </w:r>
    </w:p>
    <w:p w14:paraId="1F621408" w14:textId="7E8139E7" w:rsidR="00456352" w:rsidRPr="004F01E9" w:rsidRDefault="00456352" w:rsidP="00615061">
      <w:pPr>
        <w:pStyle w:val="Text2"/>
        <w:rPr>
          <w:noProof/>
        </w:rPr>
      </w:pPr>
      <w:r w:rsidRPr="004F01E9">
        <w:rPr>
          <w:noProof/>
        </w:rPr>
        <w:t>„1a) „trieda expozícií’ je ktorákoľvek</w:t>
      </w:r>
      <w:r w:rsidR="004F01E9">
        <w:rPr>
          <w:noProof/>
        </w:rPr>
        <w:t xml:space="preserve"> z </w:t>
      </w:r>
      <w:r w:rsidRPr="004F01E9">
        <w:rPr>
          <w:noProof/>
        </w:rPr>
        <w:t>tried expozícií uvedených</w:t>
      </w:r>
      <w:r w:rsidR="004F01E9">
        <w:rPr>
          <w:noProof/>
        </w:rPr>
        <w:t xml:space="preserve"> v </w:t>
      </w:r>
      <w:r w:rsidRPr="004F01E9">
        <w:rPr>
          <w:noProof/>
        </w:rPr>
        <w:t>článku 147 ods. 2 písm. a), písm. a1) bode i), písm. a1) bode ii), písm. b), písm. c) bode i), písm. c) bode ii), písm. c) bode iii), písm. d) bode i), písm. d) bode ii), písm. d) bode iii), písm. d) bode iv), písm. e), písm. e1), písm. f)</w:t>
      </w:r>
      <w:r w:rsidR="004F01E9">
        <w:rPr>
          <w:noProof/>
        </w:rPr>
        <w:t xml:space="preserve"> a </w:t>
      </w:r>
      <w:r w:rsidRPr="004F01E9">
        <w:rPr>
          <w:noProof/>
        </w:rPr>
        <w:t>písm. g);</w:t>
      </w:r>
    </w:p>
    <w:p w14:paraId="10A744C3" w14:textId="4E373FC4" w:rsidR="00456352" w:rsidRPr="004F01E9" w:rsidRDefault="00456352" w:rsidP="00615061">
      <w:pPr>
        <w:pStyle w:val="Text2"/>
        <w:rPr>
          <w:noProof/>
        </w:rPr>
      </w:pPr>
      <w:r w:rsidRPr="004F01E9">
        <w:rPr>
          <w:noProof/>
        </w:rPr>
        <w:t>1b) „trieda expozícií voči podnikateľským subjektom“ je ktorákoľvek</w:t>
      </w:r>
      <w:r w:rsidR="004F01E9">
        <w:rPr>
          <w:noProof/>
        </w:rPr>
        <w:t xml:space="preserve"> z </w:t>
      </w:r>
      <w:r w:rsidRPr="004F01E9">
        <w:rPr>
          <w:noProof/>
        </w:rPr>
        <w:t>tried expozícií uvedených</w:t>
      </w:r>
      <w:r w:rsidR="004F01E9">
        <w:rPr>
          <w:noProof/>
        </w:rPr>
        <w:t xml:space="preserve"> v </w:t>
      </w:r>
      <w:r w:rsidRPr="004F01E9">
        <w:rPr>
          <w:noProof/>
        </w:rPr>
        <w:t>článku 147 ods. 2 písm. c) bode i), písm. c) bode ii)</w:t>
      </w:r>
      <w:r w:rsidR="004F01E9">
        <w:rPr>
          <w:noProof/>
        </w:rPr>
        <w:t xml:space="preserve"> a </w:t>
      </w:r>
      <w:r w:rsidRPr="004F01E9">
        <w:rPr>
          <w:noProof/>
        </w:rPr>
        <w:t>písm. c) bode iii);</w:t>
      </w:r>
    </w:p>
    <w:p w14:paraId="7C0595BF" w14:textId="704BD459" w:rsidR="00456352" w:rsidRPr="004F01E9" w:rsidRDefault="00456352" w:rsidP="00615061">
      <w:pPr>
        <w:pStyle w:val="Text2"/>
        <w:rPr>
          <w:noProof/>
        </w:rPr>
      </w:pPr>
      <w:r w:rsidRPr="004F01E9">
        <w:rPr>
          <w:noProof/>
        </w:rPr>
        <w:t>1c) „expozícia voči podnikateľským subjektom“ je ktorákoľvek expozícia priradená do tried expozícií uvedených</w:t>
      </w:r>
      <w:r w:rsidR="004F01E9">
        <w:rPr>
          <w:noProof/>
        </w:rPr>
        <w:t xml:space="preserve"> v </w:t>
      </w:r>
      <w:r w:rsidRPr="004F01E9">
        <w:rPr>
          <w:noProof/>
        </w:rPr>
        <w:t>článku 147 ods. 2 písm. c) bode i), písm. c) bode ii)</w:t>
      </w:r>
      <w:r w:rsidR="004F01E9">
        <w:rPr>
          <w:noProof/>
        </w:rPr>
        <w:t xml:space="preserve"> a </w:t>
      </w:r>
      <w:r w:rsidRPr="004F01E9">
        <w:rPr>
          <w:noProof/>
        </w:rPr>
        <w:t>písm. c) bode iii);</w:t>
      </w:r>
    </w:p>
    <w:p w14:paraId="7D4EC754" w14:textId="2EA0F5A9" w:rsidR="00456352" w:rsidRPr="004F01E9" w:rsidRDefault="00456352" w:rsidP="00615061">
      <w:pPr>
        <w:pStyle w:val="Text2"/>
        <w:rPr>
          <w:noProof/>
        </w:rPr>
      </w:pPr>
      <w:r w:rsidRPr="004F01E9">
        <w:rPr>
          <w:noProof/>
        </w:rPr>
        <w:t>1d) „trieda retailových expozícií“ je ktorákoľvek</w:t>
      </w:r>
      <w:r w:rsidR="004F01E9">
        <w:rPr>
          <w:noProof/>
        </w:rPr>
        <w:t xml:space="preserve"> z </w:t>
      </w:r>
      <w:r w:rsidRPr="004F01E9">
        <w:rPr>
          <w:noProof/>
        </w:rPr>
        <w:t>tried expozícií uvedených</w:t>
      </w:r>
      <w:r w:rsidR="004F01E9">
        <w:rPr>
          <w:noProof/>
        </w:rPr>
        <w:t xml:space="preserve"> v </w:t>
      </w:r>
      <w:r w:rsidRPr="004F01E9">
        <w:rPr>
          <w:noProof/>
        </w:rPr>
        <w:t>článku 147 ods. 2 písm. d) bode i), písm. d) bode ii), písm. d) bode iii)</w:t>
      </w:r>
      <w:r w:rsidR="004F01E9">
        <w:rPr>
          <w:noProof/>
        </w:rPr>
        <w:t xml:space="preserve"> a </w:t>
      </w:r>
      <w:r w:rsidRPr="004F01E9">
        <w:rPr>
          <w:noProof/>
        </w:rPr>
        <w:t>písm. d) bode iv);</w:t>
      </w:r>
    </w:p>
    <w:p w14:paraId="3AA60614" w14:textId="5BDE4842" w:rsidR="00806B81" w:rsidRPr="004F01E9" w:rsidRDefault="00456352" w:rsidP="00615061">
      <w:pPr>
        <w:pStyle w:val="Text2"/>
        <w:rPr>
          <w:noProof/>
        </w:rPr>
      </w:pPr>
      <w:r w:rsidRPr="004F01E9">
        <w:rPr>
          <w:noProof/>
        </w:rPr>
        <w:t>1e) „retailová expozícia“ je ktorákoľvek expozícia priradená do tried expozícií uvedených</w:t>
      </w:r>
      <w:r w:rsidR="004F01E9">
        <w:rPr>
          <w:noProof/>
        </w:rPr>
        <w:t xml:space="preserve"> v </w:t>
      </w:r>
      <w:r w:rsidRPr="004F01E9">
        <w:rPr>
          <w:noProof/>
        </w:rPr>
        <w:t>článku 147 ods. 2 písm. d) bode i), písm. d) bode ii), písm. d) bode iii)</w:t>
      </w:r>
      <w:r w:rsidR="004F01E9">
        <w:rPr>
          <w:noProof/>
        </w:rPr>
        <w:t xml:space="preserve"> a </w:t>
      </w:r>
      <w:r w:rsidRPr="004F01E9">
        <w:rPr>
          <w:noProof/>
        </w:rPr>
        <w:t>písm. d) bode iv);“;</w:t>
      </w:r>
    </w:p>
    <w:p w14:paraId="4546588A" w14:textId="3896AF1D" w:rsidR="00456352" w:rsidRPr="004F01E9" w:rsidRDefault="008E3B78" w:rsidP="008E3B78">
      <w:pPr>
        <w:pStyle w:val="Point1"/>
        <w:rPr>
          <w:noProof/>
        </w:rPr>
      </w:pPr>
      <w:r w:rsidRPr="004F01E9">
        <w:rPr>
          <w:noProof/>
        </w:rPr>
        <w:t>b)</w:t>
      </w:r>
      <w:r w:rsidRPr="004F01E9">
        <w:rPr>
          <w:noProof/>
        </w:rPr>
        <w:tab/>
        <w:t>Bod 2 sa nahrádza takto:</w:t>
      </w:r>
    </w:p>
    <w:p w14:paraId="36BF7290" w14:textId="48C6C946" w:rsidR="00456352" w:rsidRPr="004F01E9" w:rsidRDefault="00CC5DE8" w:rsidP="00615061">
      <w:pPr>
        <w:pStyle w:val="Text2"/>
        <w:rPr>
          <w:noProof/>
        </w:rPr>
      </w:pPr>
      <w:r w:rsidRPr="004F01E9">
        <w:rPr>
          <w:noProof/>
        </w:rPr>
        <w:t>„2) „druh expozícií“ je skupina homogénne riadených expozícií</w:t>
      </w:r>
      <w:r w:rsidR="004F01E9">
        <w:rPr>
          <w:noProof/>
        </w:rPr>
        <w:t xml:space="preserve"> v </w:t>
      </w:r>
      <w:r w:rsidRPr="004F01E9">
        <w:rPr>
          <w:noProof/>
        </w:rPr>
        <w:t>rámci triedy expozícií, ktoré sa môžu obmedzovať na jediný subjekt alebo jediný podsúbor subjektov</w:t>
      </w:r>
      <w:r w:rsidR="004F01E9">
        <w:rPr>
          <w:noProof/>
        </w:rPr>
        <w:t xml:space="preserve"> v </w:t>
      </w:r>
      <w:r w:rsidRPr="004F01E9">
        <w:rPr>
          <w:noProof/>
        </w:rPr>
        <w:t>rámci skupiny za predpokladu, že ten istý druh expozícií sa</w:t>
      </w:r>
      <w:r w:rsidR="004F01E9">
        <w:rPr>
          <w:noProof/>
        </w:rPr>
        <w:t xml:space="preserve"> v </w:t>
      </w:r>
      <w:r w:rsidRPr="004F01E9">
        <w:rPr>
          <w:noProof/>
        </w:rPr>
        <w:t>iných subjektoch skupiny riadi odlišne;“;</w:t>
      </w:r>
    </w:p>
    <w:p w14:paraId="1FE433D4" w14:textId="46849C19" w:rsidR="00806B81" w:rsidRPr="004F01E9" w:rsidRDefault="008E3B78" w:rsidP="008E3B78">
      <w:pPr>
        <w:pStyle w:val="Point1"/>
        <w:rPr>
          <w:noProof/>
        </w:rPr>
      </w:pPr>
      <w:r w:rsidRPr="004F01E9">
        <w:rPr>
          <w:noProof/>
        </w:rPr>
        <w:t>c)</w:t>
      </w:r>
      <w:r w:rsidRPr="004F01E9">
        <w:rPr>
          <w:noProof/>
        </w:rPr>
        <w:tab/>
        <w:t>Body 4</w:t>
      </w:r>
      <w:r w:rsidR="004F01E9">
        <w:rPr>
          <w:noProof/>
        </w:rPr>
        <w:t xml:space="preserve"> a </w:t>
      </w:r>
      <w:r w:rsidRPr="004F01E9">
        <w:rPr>
          <w:noProof/>
        </w:rPr>
        <w:t>5 nahrádzajú takto:</w:t>
      </w:r>
    </w:p>
    <w:p w14:paraId="7035D1F2" w14:textId="1B0B69BD" w:rsidR="00456352" w:rsidRPr="004F01E9" w:rsidRDefault="00456352" w:rsidP="00615061">
      <w:pPr>
        <w:pStyle w:val="Text2"/>
        <w:rPr>
          <w:noProof/>
        </w:rPr>
      </w:pPr>
      <w:r w:rsidRPr="004F01E9">
        <w:rPr>
          <w:noProof/>
        </w:rPr>
        <w:t>„4)</w:t>
      </w:r>
      <w:r w:rsidRPr="004F01E9">
        <w:rPr>
          <w:noProof/>
        </w:rPr>
        <w:tab/>
        <w:t>„veľký regulovaný subjekt finančného sektora“ je subjekt finančného sektora, ktorý spĺňa všetky tieto podmienky:</w:t>
      </w:r>
    </w:p>
    <w:p w14:paraId="5BC42F2B" w14:textId="3BAAA7B8" w:rsidR="00456352" w:rsidRPr="00061692" w:rsidRDefault="008E3B78" w:rsidP="008E3B78">
      <w:pPr>
        <w:pStyle w:val="Point2"/>
        <w:rPr>
          <w:noProof/>
          <w:spacing w:val="-4"/>
        </w:rPr>
      </w:pPr>
      <w:r w:rsidRPr="004F01E9">
        <w:rPr>
          <w:noProof/>
        </w:rPr>
        <w:t>a)</w:t>
      </w:r>
      <w:r w:rsidRPr="004F01E9">
        <w:rPr>
          <w:noProof/>
        </w:rPr>
        <w:tab/>
      </w:r>
      <w:r w:rsidRPr="00061692">
        <w:rPr>
          <w:noProof/>
          <w:spacing w:val="-4"/>
        </w:rPr>
        <w:t>celkové aktíva subjektu – alebo celkové aktíva jeho materskej spoločnosti, ak daný subjekt má materskú spoločnosť – vypočítané na individuálnom alebo konsolidovanom základe sú vyššie alebo rovné 70 miliardám EUR, pričom na stanovenie hodnoty aktív sa použije najnovšia auditovaná účtovná závierka alebo konsolidovaná účtovná závierka;</w:t>
      </w:r>
    </w:p>
    <w:p w14:paraId="35B83214" w14:textId="332D6802" w:rsidR="00806B81" w:rsidRPr="004F01E9" w:rsidRDefault="008E3B78" w:rsidP="008E3B78">
      <w:pPr>
        <w:pStyle w:val="Point2"/>
        <w:rPr>
          <w:noProof/>
        </w:rPr>
      </w:pPr>
      <w:r w:rsidRPr="004F01E9">
        <w:rPr>
          <w:noProof/>
        </w:rPr>
        <w:t>b)</w:t>
      </w:r>
      <w:r w:rsidRPr="004F01E9">
        <w:rPr>
          <w:noProof/>
        </w:rPr>
        <w:tab/>
        <w:t>subjekt podlieha prudenciálnej regulácii, priamo na individuálnom alebo konsolidovanom základe, alebo nepriamo</w:t>
      </w:r>
      <w:r w:rsidR="004F01E9">
        <w:rPr>
          <w:noProof/>
        </w:rPr>
        <w:t xml:space="preserve"> v </w:t>
      </w:r>
      <w:r w:rsidRPr="004F01E9">
        <w:rPr>
          <w:noProof/>
        </w:rPr>
        <w:t>rámci prudenciálnej konsolidácie jeho materskej spoločnosti,</w:t>
      </w:r>
      <w:r w:rsidR="004F01E9">
        <w:rPr>
          <w:noProof/>
        </w:rPr>
        <w:t xml:space="preserve"> v </w:t>
      </w:r>
      <w:r w:rsidRPr="004F01E9">
        <w:rPr>
          <w:noProof/>
        </w:rPr>
        <w:t>súlade</w:t>
      </w:r>
      <w:r w:rsidR="004F01E9">
        <w:rPr>
          <w:noProof/>
        </w:rPr>
        <w:t xml:space="preserve"> s </w:t>
      </w:r>
      <w:r w:rsidRPr="004F01E9">
        <w:rPr>
          <w:noProof/>
        </w:rPr>
        <w:t>týmto nariadením, nariadením (EÚ) 2019/2033, smernicou 2009/138/ES alebo právnymi požiadavkami na prudenciálnu konsolidáciu tretej krajiny, ktoré sú prinajmenšom rovnocenné</w:t>
      </w:r>
      <w:r w:rsidR="004F01E9">
        <w:rPr>
          <w:noProof/>
        </w:rPr>
        <w:t xml:space="preserve"> s </w:t>
      </w:r>
      <w:r w:rsidRPr="004F01E9">
        <w:rPr>
          <w:noProof/>
        </w:rPr>
        <w:t>uvedenými aktmi Únie;</w:t>
      </w:r>
    </w:p>
    <w:p w14:paraId="43606224" w14:textId="2E8BE765" w:rsidR="00456352" w:rsidRPr="004F01E9" w:rsidRDefault="00456352" w:rsidP="00615061">
      <w:pPr>
        <w:pStyle w:val="Text2"/>
        <w:rPr>
          <w:noProof/>
        </w:rPr>
      </w:pPr>
      <w:r w:rsidRPr="004F01E9">
        <w:rPr>
          <w:noProof/>
        </w:rPr>
        <w:t>5) „neregulovaný subjekt finančného sektora“ je subjekt finančného sektora, ktorý nespĺňa podmienku uvedenú</w:t>
      </w:r>
      <w:r w:rsidR="004F01E9">
        <w:rPr>
          <w:noProof/>
        </w:rPr>
        <w:t xml:space="preserve"> v </w:t>
      </w:r>
      <w:r w:rsidRPr="004F01E9">
        <w:rPr>
          <w:noProof/>
        </w:rPr>
        <w:t>bode 4 písm. b);“;</w:t>
      </w:r>
    </w:p>
    <w:p w14:paraId="63A1E5CE" w14:textId="4B7CD2FA" w:rsidR="00456352" w:rsidRPr="004F01E9" w:rsidRDefault="008E3B78" w:rsidP="008E3B78">
      <w:pPr>
        <w:pStyle w:val="Point1"/>
        <w:rPr>
          <w:noProof/>
        </w:rPr>
      </w:pPr>
      <w:r w:rsidRPr="004F01E9">
        <w:rPr>
          <w:noProof/>
        </w:rPr>
        <w:t>d)</w:t>
      </w:r>
      <w:r w:rsidRPr="004F01E9">
        <w:rPr>
          <w:noProof/>
        </w:rPr>
        <w:tab/>
        <w:t>Vkladá sa tento bod 5a:</w:t>
      </w:r>
    </w:p>
    <w:p w14:paraId="54F9EACC" w14:textId="455FD465" w:rsidR="00456352" w:rsidRPr="004F01E9" w:rsidRDefault="00B07194" w:rsidP="00615061">
      <w:pPr>
        <w:pStyle w:val="Text2"/>
        <w:rPr>
          <w:noProof/>
        </w:rPr>
      </w:pPr>
      <w:r w:rsidRPr="004F01E9">
        <w:rPr>
          <w:noProof/>
        </w:rPr>
        <w:t>„5a)</w:t>
      </w:r>
      <w:r w:rsidRPr="004F01E9">
        <w:rPr>
          <w:noProof/>
        </w:rPr>
        <w:tab/>
        <w:t>„veľký podnik“ je akýkoľvek podnikateľský subjekt, ktorého konsolidovaný ročný obrat je viac než 500 miliónov EUR alebo ktorý patrí do skupiny,</w:t>
      </w:r>
      <w:r w:rsidR="004F01E9">
        <w:rPr>
          <w:noProof/>
        </w:rPr>
        <w:t xml:space="preserve"> v </w:t>
      </w:r>
      <w:r w:rsidRPr="004F01E9">
        <w:rPr>
          <w:noProof/>
        </w:rPr>
        <w:t>rámci ktorej celkový ročný obrat konsolidovanej skupiny je viac než 500 miliónov EUR;“;</w:t>
      </w:r>
    </w:p>
    <w:p w14:paraId="12B18195" w14:textId="7F96EFB0" w:rsidR="00456352" w:rsidRPr="004F01E9" w:rsidRDefault="008E3B78" w:rsidP="008E3B78">
      <w:pPr>
        <w:pStyle w:val="Point1"/>
        <w:rPr>
          <w:noProof/>
        </w:rPr>
      </w:pPr>
      <w:r w:rsidRPr="004F01E9">
        <w:rPr>
          <w:noProof/>
        </w:rPr>
        <w:t>e)</w:t>
      </w:r>
      <w:r w:rsidRPr="004F01E9">
        <w:rPr>
          <w:noProof/>
        </w:rPr>
        <w:tab/>
        <w:t>Dopĺňajú sa tieto body 8 až 12:</w:t>
      </w:r>
    </w:p>
    <w:p w14:paraId="3EC4F311" w14:textId="00106C19" w:rsidR="00456352" w:rsidRPr="00061692" w:rsidRDefault="00456352" w:rsidP="00615061">
      <w:pPr>
        <w:pStyle w:val="Text2"/>
        <w:rPr>
          <w:noProof/>
          <w:spacing w:val="-10"/>
        </w:rPr>
      </w:pPr>
      <w:r w:rsidRPr="00061692">
        <w:rPr>
          <w:noProof/>
          <w:spacing w:val="-10"/>
        </w:rPr>
        <w:t>„8) „prístup modelovania úpravy PD/LGD“ je modelovanie úpravy LGD alebo modelovanie úpravy PD aj LGD podkladovej expozície</w:t>
      </w:r>
      <w:r w:rsidR="004F01E9" w:rsidRPr="00061692">
        <w:rPr>
          <w:noProof/>
          <w:spacing w:val="-10"/>
        </w:rPr>
        <w:t xml:space="preserve"> v </w:t>
      </w:r>
      <w:r w:rsidRPr="00061692">
        <w:rPr>
          <w:noProof/>
          <w:spacing w:val="-10"/>
        </w:rPr>
        <w:t>súlade</w:t>
      </w:r>
      <w:r w:rsidR="004F01E9" w:rsidRPr="00061692">
        <w:rPr>
          <w:noProof/>
          <w:spacing w:val="-10"/>
        </w:rPr>
        <w:t xml:space="preserve"> s </w:t>
      </w:r>
      <w:r w:rsidRPr="00061692">
        <w:rPr>
          <w:noProof/>
          <w:spacing w:val="-10"/>
        </w:rPr>
        <w:t>článkom 183 ods. 1a;</w:t>
      </w:r>
    </w:p>
    <w:p w14:paraId="24ADA706" w14:textId="77777777" w:rsidR="00456352" w:rsidRPr="00061692" w:rsidRDefault="00456352" w:rsidP="00615061">
      <w:pPr>
        <w:pStyle w:val="Text2"/>
        <w:rPr>
          <w:noProof/>
          <w:spacing w:val="-6"/>
        </w:rPr>
      </w:pPr>
      <w:r w:rsidRPr="00061692">
        <w:rPr>
          <w:noProof/>
          <w:spacing w:val="-6"/>
        </w:rPr>
        <w:t>9) „spodná hodnota rizikovej váhy poskytovateľa zabezpečenia“ je riziková váha uplatniteľná na porovnateľnú priamu expozíciu voči poskytovateľovi zabezpečenia;</w:t>
      </w:r>
    </w:p>
    <w:p w14:paraId="34ED4E79" w14:textId="0C38FF4A" w:rsidR="00456352" w:rsidRPr="004F01E9" w:rsidRDefault="00456352" w:rsidP="00615061">
      <w:pPr>
        <w:pStyle w:val="Text2"/>
        <w:rPr>
          <w:noProof/>
        </w:rPr>
      </w:pPr>
      <w:r w:rsidRPr="004F01E9">
        <w:rPr>
          <w:noProof/>
        </w:rPr>
        <w:t>10)</w:t>
      </w:r>
      <w:r w:rsidR="004F01E9">
        <w:rPr>
          <w:noProof/>
        </w:rPr>
        <w:t xml:space="preserve"> v </w:t>
      </w:r>
      <w:r w:rsidRPr="004F01E9">
        <w:rPr>
          <w:noProof/>
        </w:rPr>
        <w:t>prípade expozície, na ktorú inštitúcia uplatňuje prístup interných ratingov pomocou vlastných odhadov LGD podľa článku 143, „uznané“ nefinancované kreditné zabezpečenie je nefinancované kreditné zabezpečenie, ktorého účinok na výpočet hodnoty rizikovo váženej expozície alebo výšky očakávanej straty podkladovej expozície sa</w:t>
      </w:r>
      <w:r w:rsidR="004F01E9">
        <w:rPr>
          <w:noProof/>
        </w:rPr>
        <w:t xml:space="preserve"> v </w:t>
      </w:r>
      <w:r w:rsidRPr="004F01E9">
        <w:rPr>
          <w:noProof/>
        </w:rPr>
        <w:t>súlade</w:t>
      </w:r>
      <w:r w:rsidR="004F01E9">
        <w:rPr>
          <w:noProof/>
        </w:rPr>
        <w:t xml:space="preserve"> s </w:t>
      </w:r>
      <w:r w:rsidRPr="004F01E9">
        <w:rPr>
          <w:noProof/>
        </w:rPr>
        <w:t>článkom 108 ods. 2a zohľadňuje prostredníctvom jednej</w:t>
      </w:r>
      <w:r w:rsidR="004F01E9">
        <w:rPr>
          <w:noProof/>
        </w:rPr>
        <w:t xml:space="preserve"> z </w:t>
      </w:r>
      <w:r w:rsidRPr="004F01E9">
        <w:rPr>
          <w:noProof/>
        </w:rPr>
        <w:t>týchto metód:</w:t>
      </w:r>
    </w:p>
    <w:p w14:paraId="0EE841C4" w14:textId="3108DDCF" w:rsidR="00456352" w:rsidRPr="004F01E9" w:rsidRDefault="00456352" w:rsidP="00B07194">
      <w:pPr>
        <w:pStyle w:val="Point2"/>
        <w:rPr>
          <w:noProof/>
        </w:rPr>
      </w:pPr>
      <w:r w:rsidRPr="004F01E9">
        <w:rPr>
          <w:noProof/>
        </w:rPr>
        <w:t>a)</w:t>
      </w:r>
      <w:r w:rsidRPr="004F01E9">
        <w:rPr>
          <w:noProof/>
        </w:rPr>
        <w:tab/>
        <w:t>prístupu modelovania úpravy PD/LGD;</w:t>
      </w:r>
    </w:p>
    <w:p w14:paraId="7F2FAC74" w14:textId="251F28E5" w:rsidR="00456352" w:rsidRPr="004F01E9" w:rsidRDefault="00456352" w:rsidP="00B07194">
      <w:pPr>
        <w:pStyle w:val="Point2"/>
        <w:rPr>
          <w:noProof/>
        </w:rPr>
      </w:pPr>
      <w:r w:rsidRPr="004F01E9">
        <w:rPr>
          <w:noProof/>
        </w:rPr>
        <w:t>b)</w:t>
      </w:r>
      <w:r w:rsidRPr="004F01E9">
        <w:rPr>
          <w:noProof/>
        </w:rPr>
        <w:tab/>
        <w:t>prístupu substitúcie parametrov rizika podľa A-IRB</w:t>
      </w:r>
      <w:r w:rsidR="004F01E9">
        <w:rPr>
          <w:noProof/>
        </w:rPr>
        <w:t xml:space="preserve"> v </w:t>
      </w:r>
      <w:r w:rsidRPr="004F01E9">
        <w:rPr>
          <w:noProof/>
        </w:rPr>
        <w:t>súlade</w:t>
      </w:r>
      <w:r w:rsidR="004F01E9">
        <w:rPr>
          <w:noProof/>
        </w:rPr>
        <w:t xml:space="preserve"> s </w:t>
      </w:r>
      <w:r w:rsidRPr="004F01E9">
        <w:rPr>
          <w:noProof/>
        </w:rPr>
        <w:t>článkom 192 ods. 8;</w:t>
      </w:r>
    </w:p>
    <w:p w14:paraId="62F7DD71" w14:textId="749D649C" w:rsidR="00456352" w:rsidRPr="004F01E9" w:rsidRDefault="00456352" w:rsidP="00615061">
      <w:pPr>
        <w:pStyle w:val="Text2"/>
        <w:rPr>
          <w:noProof/>
        </w:rPr>
      </w:pPr>
      <w:r w:rsidRPr="004F01E9">
        <w:rPr>
          <w:noProof/>
        </w:rPr>
        <w:t>11) „SA-CCF“ je percentuálny podiel uplatniteľný podľa kapitoly 2, prostredníctvom ktorého sa nominálna hodnota podsúvahovej položky násobí</w:t>
      </w:r>
      <w:r w:rsidR="004F01E9">
        <w:rPr>
          <w:noProof/>
        </w:rPr>
        <w:t xml:space="preserve"> s </w:t>
      </w:r>
      <w:r w:rsidRPr="004F01E9">
        <w:rPr>
          <w:noProof/>
        </w:rPr>
        <w:t>cieľom vypočítať jej hodnotu expozície</w:t>
      </w:r>
      <w:r w:rsidR="004F01E9">
        <w:rPr>
          <w:noProof/>
        </w:rPr>
        <w:t xml:space="preserve"> v </w:t>
      </w:r>
      <w:r w:rsidRPr="004F01E9">
        <w:rPr>
          <w:noProof/>
        </w:rPr>
        <w:t>súlade</w:t>
      </w:r>
      <w:r w:rsidR="004F01E9">
        <w:rPr>
          <w:noProof/>
        </w:rPr>
        <w:t xml:space="preserve"> s </w:t>
      </w:r>
      <w:r w:rsidRPr="004F01E9">
        <w:rPr>
          <w:noProof/>
        </w:rPr>
        <w:t>článkom 111 ods. 2;</w:t>
      </w:r>
    </w:p>
    <w:p w14:paraId="59F72944" w14:textId="77777777" w:rsidR="00456352" w:rsidRPr="004F01E9" w:rsidRDefault="00456352" w:rsidP="00615061">
      <w:pPr>
        <w:pStyle w:val="Text2"/>
        <w:rPr>
          <w:noProof/>
        </w:rPr>
      </w:pPr>
      <w:r w:rsidRPr="004F01E9">
        <w:rPr>
          <w:noProof/>
        </w:rPr>
        <w:t>12) „IRB-CCF“ sú vlastné odhady CCF.“</w:t>
      </w:r>
    </w:p>
    <w:p w14:paraId="79F70126" w14:textId="73591324" w:rsidR="00456352" w:rsidRPr="004F01E9" w:rsidRDefault="00B16452" w:rsidP="00B16452">
      <w:pPr>
        <w:pStyle w:val="Point0"/>
        <w:rPr>
          <w:noProof/>
        </w:rPr>
      </w:pPr>
      <w:r w:rsidRPr="00B16452">
        <w:rPr>
          <w:noProof/>
        </w:rPr>
        <w:t>59</w:t>
      </w:r>
      <w:r>
        <w:rPr>
          <w:noProof/>
        </w:rPr>
        <w:t>.</w:t>
      </w:r>
      <w:r w:rsidRPr="00B16452">
        <w:rPr>
          <w:noProof/>
        </w:rPr>
        <w:tab/>
      </w:r>
      <w:r w:rsidR="00456352" w:rsidRPr="004F01E9">
        <w:rPr>
          <w:noProof/>
        </w:rPr>
        <w:t>Článok 143 sa mení takto:</w:t>
      </w:r>
    </w:p>
    <w:p w14:paraId="13F3FAC8" w14:textId="54FD8CCD" w:rsidR="00456352" w:rsidRPr="004F01E9" w:rsidRDefault="00B07194" w:rsidP="00B07194">
      <w:pPr>
        <w:pStyle w:val="Point1"/>
        <w:rPr>
          <w:noProof/>
        </w:rPr>
      </w:pPr>
      <w:r w:rsidRPr="004F01E9">
        <w:rPr>
          <w:noProof/>
        </w:rPr>
        <w:t>a)</w:t>
      </w:r>
      <w:r w:rsidRPr="004F01E9">
        <w:rPr>
          <w:noProof/>
        </w:rPr>
        <w:tab/>
        <w:t>Odsek 2 sa nahrádza takto:</w:t>
      </w:r>
    </w:p>
    <w:p w14:paraId="11E87465" w14:textId="435F5027" w:rsidR="00456352" w:rsidRPr="004F01E9" w:rsidRDefault="00456352" w:rsidP="00456352">
      <w:pPr>
        <w:pStyle w:val="Text2"/>
        <w:rPr>
          <w:noProof/>
        </w:rPr>
      </w:pPr>
      <w:r w:rsidRPr="004F01E9">
        <w:rPr>
          <w:noProof/>
        </w:rPr>
        <w:t>„2. Predchádzajúce povolenie na používanie prístupu IRB vrátane vlastných odhadov LGD</w:t>
      </w:r>
      <w:r w:rsidR="004F01E9">
        <w:rPr>
          <w:noProof/>
        </w:rPr>
        <w:t xml:space="preserve"> a </w:t>
      </w:r>
      <w:r w:rsidRPr="004F01E9">
        <w:rPr>
          <w:noProof/>
        </w:rPr>
        <w:t>CCF sa vyžaduje pre každú triedu expozícií</w:t>
      </w:r>
      <w:r w:rsidR="004F01E9">
        <w:rPr>
          <w:noProof/>
        </w:rPr>
        <w:t xml:space="preserve"> a </w:t>
      </w:r>
      <w:r w:rsidRPr="004F01E9">
        <w:rPr>
          <w:noProof/>
        </w:rPr>
        <w:t>pre každý ratingový systém</w:t>
      </w:r>
      <w:r w:rsidR="004F01E9">
        <w:rPr>
          <w:noProof/>
        </w:rPr>
        <w:t xml:space="preserve"> a </w:t>
      </w:r>
      <w:r w:rsidRPr="004F01E9">
        <w:rPr>
          <w:noProof/>
        </w:rPr>
        <w:t>pre každý použitý prístup</w:t>
      </w:r>
      <w:r w:rsidR="004F01E9">
        <w:rPr>
          <w:noProof/>
        </w:rPr>
        <w:t xml:space="preserve"> k </w:t>
      </w:r>
      <w:r w:rsidRPr="004F01E9">
        <w:rPr>
          <w:noProof/>
        </w:rPr>
        <w:t>odhadovaniu LGD</w:t>
      </w:r>
      <w:r w:rsidR="004F01E9">
        <w:rPr>
          <w:noProof/>
        </w:rPr>
        <w:t xml:space="preserve"> a </w:t>
      </w:r>
      <w:r w:rsidRPr="004F01E9">
        <w:rPr>
          <w:noProof/>
        </w:rPr>
        <w:t>CCF.“;</w:t>
      </w:r>
    </w:p>
    <w:p w14:paraId="1DC600D7" w14:textId="2BCA9128" w:rsidR="00456352" w:rsidRPr="004F01E9" w:rsidRDefault="00B07194" w:rsidP="00B07194">
      <w:pPr>
        <w:pStyle w:val="Point1"/>
        <w:rPr>
          <w:noProof/>
        </w:rPr>
      </w:pPr>
      <w:r w:rsidRPr="004F01E9">
        <w:rPr>
          <w:noProof/>
        </w:rPr>
        <w:t>b)</w:t>
      </w:r>
      <w:r w:rsidRPr="004F01E9">
        <w:rPr>
          <w:noProof/>
        </w:rPr>
        <w:tab/>
        <w:t>V odseku 3 prvom pododseku sa písmená a)</w:t>
      </w:r>
      <w:r w:rsidR="004F01E9">
        <w:rPr>
          <w:noProof/>
        </w:rPr>
        <w:t xml:space="preserve"> a </w:t>
      </w:r>
      <w:r w:rsidRPr="004F01E9">
        <w:rPr>
          <w:noProof/>
        </w:rPr>
        <w:t>b) nahrádzajú takto:</w:t>
      </w:r>
    </w:p>
    <w:p w14:paraId="501AE9C8" w14:textId="3860D156" w:rsidR="00456352" w:rsidRPr="004F01E9" w:rsidRDefault="00456352" w:rsidP="00615061">
      <w:pPr>
        <w:pStyle w:val="Text2"/>
        <w:rPr>
          <w:noProof/>
        </w:rPr>
      </w:pPr>
      <w:r w:rsidRPr="004F01E9">
        <w:rPr>
          <w:noProof/>
        </w:rPr>
        <w:t>„a) závažné zmeny</w:t>
      </w:r>
      <w:r w:rsidR="004F01E9">
        <w:rPr>
          <w:noProof/>
        </w:rPr>
        <w:t xml:space="preserve"> v </w:t>
      </w:r>
      <w:r w:rsidRPr="004F01E9">
        <w:rPr>
          <w:noProof/>
        </w:rPr>
        <w:t>rozsahu uplatňovania ratingového systému, na ktorého používanie inštitúcia získala povolenie;</w:t>
      </w:r>
    </w:p>
    <w:p w14:paraId="338787E8" w14:textId="77777777" w:rsidR="00456352" w:rsidRPr="004F01E9" w:rsidRDefault="00456352" w:rsidP="00615061">
      <w:pPr>
        <w:pStyle w:val="Text2"/>
        <w:rPr>
          <w:noProof/>
        </w:rPr>
      </w:pPr>
      <w:r w:rsidRPr="004F01E9">
        <w:rPr>
          <w:noProof/>
        </w:rPr>
        <w:t>b) závažné zmeny ratingového systému, na ktorého používanie inštitúcia získala povolenie.“;</w:t>
      </w:r>
    </w:p>
    <w:p w14:paraId="7175987C" w14:textId="5AF420FE" w:rsidR="00456352" w:rsidRPr="004F01E9" w:rsidRDefault="00B07194" w:rsidP="00B07194">
      <w:pPr>
        <w:pStyle w:val="Point1"/>
        <w:rPr>
          <w:noProof/>
        </w:rPr>
      </w:pPr>
      <w:r w:rsidRPr="004F01E9">
        <w:rPr>
          <w:noProof/>
        </w:rPr>
        <w:t>c)</w:t>
      </w:r>
      <w:r w:rsidRPr="004F01E9">
        <w:rPr>
          <w:noProof/>
        </w:rPr>
        <w:tab/>
        <w:t>Odseky 4</w:t>
      </w:r>
      <w:r w:rsidR="004F01E9">
        <w:rPr>
          <w:noProof/>
        </w:rPr>
        <w:t xml:space="preserve"> a </w:t>
      </w:r>
      <w:r w:rsidRPr="004F01E9">
        <w:rPr>
          <w:noProof/>
        </w:rPr>
        <w:t>5 sa nahrádzajú takto:</w:t>
      </w:r>
    </w:p>
    <w:p w14:paraId="4767B8A5" w14:textId="77777777" w:rsidR="00456352" w:rsidRPr="00061692" w:rsidRDefault="00456352" w:rsidP="00456352">
      <w:pPr>
        <w:pStyle w:val="Text2"/>
        <w:rPr>
          <w:noProof/>
          <w:spacing w:val="-4"/>
        </w:rPr>
      </w:pPr>
      <w:r w:rsidRPr="00061692">
        <w:rPr>
          <w:noProof/>
          <w:spacing w:val="-4"/>
        </w:rPr>
        <w:t>„4. Inštitúcie oznamujú príslušným orgánom všetky zmeny ratingových systémov.</w:t>
      </w:r>
    </w:p>
    <w:p w14:paraId="7123657C" w14:textId="136DAB9F" w:rsidR="00456352" w:rsidRPr="00061692" w:rsidRDefault="00456352" w:rsidP="00CC5DE8">
      <w:pPr>
        <w:pStyle w:val="Text2"/>
        <w:rPr>
          <w:noProof/>
          <w:spacing w:val="-4"/>
        </w:rPr>
      </w:pPr>
      <w:r w:rsidRPr="00061692">
        <w:rPr>
          <w:noProof/>
          <w:spacing w:val="-4"/>
        </w:rPr>
        <w:t>5. EBA vypracuje návrh regulačných technických predpisov</w:t>
      </w:r>
      <w:r w:rsidR="004F01E9" w:rsidRPr="00061692">
        <w:rPr>
          <w:noProof/>
          <w:spacing w:val="-4"/>
        </w:rPr>
        <w:t xml:space="preserve"> s </w:t>
      </w:r>
      <w:r w:rsidRPr="00061692">
        <w:rPr>
          <w:noProof/>
          <w:spacing w:val="-4"/>
        </w:rPr>
        <w:t>cieľom presne stanoviť podmienky pre posúdenie závažnosti používania exitujúceho ratingového systému</w:t>
      </w:r>
      <w:r w:rsidR="004F01E9" w:rsidRPr="00061692">
        <w:rPr>
          <w:noProof/>
          <w:spacing w:val="-4"/>
        </w:rPr>
        <w:t xml:space="preserve"> v </w:t>
      </w:r>
      <w:r w:rsidRPr="00061692">
        <w:rPr>
          <w:noProof/>
          <w:spacing w:val="-4"/>
        </w:rPr>
        <w:t>prípade iných dodatočných expozícií, na ktoré sa už neuplatňuje tento ratingový systém,</w:t>
      </w:r>
      <w:r w:rsidR="004F01E9" w:rsidRPr="00061692">
        <w:rPr>
          <w:noProof/>
          <w:spacing w:val="-4"/>
        </w:rPr>
        <w:t xml:space="preserve"> a </w:t>
      </w:r>
      <w:r w:rsidRPr="00061692">
        <w:rPr>
          <w:noProof/>
          <w:spacing w:val="-4"/>
        </w:rPr>
        <w:t>zmien ratingových systémov podľa prístupu IRB.</w:t>
      </w:r>
    </w:p>
    <w:p w14:paraId="75F93430" w14:textId="77B74786" w:rsidR="00456352" w:rsidRPr="00061692" w:rsidRDefault="00456352" w:rsidP="00456352">
      <w:pPr>
        <w:pStyle w:val="Text2"/>
        <w:rPr>
          <w:noProof/>
          <w:spacing w:val="-4"/>
        </w:rPr>
      </w:pPr>
      <w:r w:rsidRPr="00061692">
        <w:rPr>
          <w:noProof/>
          <w:spacing w:val="-4"/>
        </w:rPr>
        <w:t>EBA predloží Komisii uvedený návrh regulačných technických predpisov do [Úrad pre publikácie: vložte dátum = 18 mesiacov po nadobudnutí účinnosti tohto pozmeňujúceho nariadenia].</w:t>
      </w:r>
    </w:p>
    <w:p w14:paraId="7454163D" w14:textId="2A48A514" w:rsidR="00456352" w:rsidRPr="00061692" w:rsidRDefault="00456352" w:rsidP="00456352">
      <w:pPr>
        <w:pStyle w:val="Text2"/>
        <w:rPr>
          <w:noProof/>
          <w:spacing w:val="-4"/>
        </w:rPr>
      </w:pPr>
      <w:r w:rsidRPr="00061692">
        <w:rPr>
          <w:noProof/>
          <w:spacing w:val="-4"/>
        </w:rPr>
        <w:t>Na Komisiu sa deleguje právomoc prijať regulačné technické predpisy uvedené</w:t>
      </w:r>
      <w:r w:rsidR="004F01E9" w:rsidRPr="00061692">
        <w:rPr>
          <w:noProof/>
          <w:spacing w:val="-4"/>
        </w:rPr>
        <w:t xml:space="preserve"> v </w:t>
      </w:r>
      <w:r w:rsidRPr="00061692">
        <w:rPr>
          <w:noProof/>
          <w:spacing w:val="-4"/>
        </w:rPr>
        <w:t>prvom pododseku</w:t>
      </w:r>
      <w:r w:rsidR="004F01E9" w:rsidRPr="00061692">
        <w:rPr>
          <w:noProof/>
          <w:spacing w:val="-4"/>
        </w:rPr>
        <w:t xml:space="preserve"> v </w:t>
      </w:r>
      <w:r w:rsidRPr="00061692">
        <w:rPr>
          <w:noProof/>
          <w:spacing w:val="-4"/>
        </w:rPr>
        <w:t>súlade</w:t>
      </w:r>
      <w:r w:rsidR="004F01E9" w:rsidRPr="00061692">
        <w:rPr>
          <w:noProof/>
          <w:spacing w:val="-4"/>
        </w:rPr>
        <w:t xml:space="preserve"> s </w:t>
      </w:r>
      <w:r w:rsidRPr="00061692">
        <w:rPr>
          <w:noProof/>
          <w:spacing w:val="-4"/>
        </w:rPr>
        <w:t xml:space="preserve">článkami 10 až 14 nariadenia (EÚ) </w:t>
      </w:r>
      <w:r w:rsidR="004F01E9" w:rsidRPr="00061692">
        <w:rPr>
          <w:noProof/>
          <w:spacing w:val="-4"/>
        </w:rPr>
        <w:t>č. </w:t>
      </w:r>
      <w:r w:rsidRPr="00061692">
        <w:rPr>
          <w:noProof/>
          <w:spacing w:val="-4"/>
        </w:rPr>
        <w:t>1093/2010.“</w:t>
      </w:r>
    </w:p>
    <w:p w14:paraId="58E6054A" w14:textId="2DFF6745" w:rsidR="00456352" w:rsidRPr="004F01E9" w:rsidRDefault="00B16452" w:rsidP="00061692">
      <w:pPr>
        <w:pStyle w:val="Point0"/>
        <w:keepNext/>
        <w:keepLines/>
        <w:rPr>
          <w:noProof/>
        </w:rPr>
      </w:pPr>
      <w:r w:rsidRPr="00B16452">
        <w:rPr>
          <w:noProof/>
        </w:rPr>
        <w:t>60</w:t>
      </w:r>
      <w:r>
        <w:rPr>
          <w:noProof/>
        </w:rPr>
        <w:t>.</w:t>
      </w:r>
      <w:r w:rsidRPr="00B16452">
        <w:rPr>
          <w:noProof/>
        </w:rPr>
        <w:tab/>
      </w:r>
      <w:r w:rsidR="00456352" w:rsidRPr="004F01E9">
        <w:rPr>
          <w:noProof/>
        </w:rPr>
        <w:t>V článku 144 ods. 1 sa prvý pododsek mení takto:</w:t>
      </w:r>
    </w:p>
    <w:p w14:paraId="0B65CDB7" w14:textId="651B59AD" w:rsidR="00456352" w:rsidRPr="004F01E9" w:rsidRDefault="00B07194" w:rsidP="00061692">
      <w:pPr>
        <w:pStyle w:val="Point1"/>
        <w:keepNext/>
        <w:keepLines/>
        <w:rPr>
          <w:noProof/>
        </w:rPr>
      </w:pPr>
      <w:r w:rsidRPr="004F01E9">
        <w:rPr>
          <w:noProof/>
        </w:rPr>
        <w:t>a)</w:t>
      </w:r>
      <w:r w:rsidRPr="004F01E9">
        <w:rPr>
          <w:noProof/>
        </w:rPr>
        <w:tab/>
        <w:t>Písmeno f) sa nahrádza takto:</w:t>
      </w:r>
    </w:p>
    <w:p w14:paraId="5B91932F" w14:textId="30468944" w:rsidR="00456352" w:rsidRPr="004F01E9" w:rsidRDefault="00456352" w:rsidP="00061692">
      <w:pPr>
        <w:pStyle w:val="Text2"/>
        <w:keepNext/>
        <w:keepLines/>
        <w:rPr>
          <w:noProof/>
        </w:rPr>
      </w:pPr>
      <w:r w:rsidRPr="004F01E9">
        <w:rPr>
          <w:noProof/>
        </w:rPr>
        <w:t>„f)</w:t>
      </w:r>
      <w:r w:rsidRPr="004F01E9">
        <w:rPr>
          <w:noProof/>
        </w:rPr>
        <w:tab/>
        <w:t>inštitúcia zvalidovala každý ratingový systém počas primeraného časového obdobia pred udelením povolenia na používanie tohto ratingového systému, počas uvedeného obdobia posúdila, či je ratingový systém vhodný pre rozsah uplatňovania ratingového systému,</w:t>
      </w:r>
      <w:r w:rsidR="004F01E9">
        <w:rPr>
          <w:noProof/>
        </w:rPr>
        <w:t xml:space="preserve"> a </w:t>
      </w:r>
      <w:r w:rsidRPr="004F01E9">
        <w:rPr>
          <w:noProof/>
        </w:rPr>
        <w:t>na základe svojho posúdenia vykonala</w:t>
      </w:r>
      <w:r w:rsidR="004F01E9">
        <w:rPr>
          <w:noProof/>
        </w:rPr>
        <w:t xml:space="preserve"> v </w:t>
      </w:r>
      <w:r w:rsidRPr="004F01E9">
        <w:rPr>
          <w:noProof/>
        </w:rPr>
        <w:t>týchto ratingových systémoch potrebné zmeny;“;</w:t>
      </w:r>
    </w:p>
    <w:p w14:paraId="7AC86AA1" w14:textId="4E232B95" w:rsidR="00456352" w:rsidRPr="004F01E9" w:rsidRDefault="00B07194" w:rsidP="00B07194">
      <w:pPr>
        <w:pStyle w:val="Point1"/>
        <w:rPr>
          <w:noProof/>
        </w:rPr>
      </w:pPr>
      <w:r w:rsidRPr="004F01E9">
        <w:rPr>
          <w:noProof/>
        </w:rPr>
        <w:t>b)</w:t>
      </w:r>
      <w:r w:rsidRPr="004F01E9">
        <w:rPr>
          <w:noProof/>
        </w:rPr>
        <w:tab/>
        <w:t>Písmeno h) sa nahrádza takto:</w:t>
      </w:r>
    </w:p>
    <w:p w14:paraId="75AFACA7" w14:textId="0CA2FA47" w:rsidR="00456352" w:rsidRPr="004F01E9" w:rsidRDefault="00456352" w:rsidP="00615061">
      <w:pPr>
        <w:pStyle w:val="Text2"/>
        <w:rPr>
          <w:noProof/>
        </w:rPr>
      </w:pPr>
      <w:r w:rsidRPr="004F01E9">
        <w:rPr>
          <w:noProof/>
        </w:rPr>
        <w:t>„h)</w:t>
      </w:r>
      <w:r w:rsidRPr="004F01E9">
        <w:rPr>
          <w:noProof/>
        </w:rPr>
        <w:tab/>
        <w:t>inštitúcia zaradila</w:t>
      </w:r>
      <w:r w:rsidR="004F01E9">
        <w:rPr>
          <w:noProof/>
        </w:rPr>
        <w:t xml:space="preserve"> a </w:t>
      </w:r>
      <w:r w:rsidRPr="004F01E9">
        <w:rPr>
          <w:noProof/>
        </w:rPr>
        <w:t>naďalej zaraďuje každú expozíciu</w:t>
      </w:r>
      <w:r w:rsidR="004F01E9">
        <w:rPr>
          <w:noProof/>
        </w:rPr>
        <w:t xml:space="preserve"> v </w:t>
      </w:r>
      <w:r w:rsidRPr="004F01E9">
        <w:rPr>
          <w:noProof/>
        </w:rPr>
        <w:t>rozsahu uplatňovania ratingového systému do ratingového stupňa alebo skupiny tohto ratingového systému;“;</w:t>
      </w:r>
    </w:p>
    <w:p w14:paraId="6F7F80C5" w14:textId="217BDDE5" w:rsidR="00456352" w:rsidRPr="004F01E9" w:rsidRDefault="00B07194" w:rsidP="00B07194">
      <w:pPr>
        <w:pStyle w:val="Point1"/>
        <w:rPr>
          <w:noProof/>
        </w:rPr>
      </w:pPr>
      <w:r w:rsidRPr="004F01E9">
        <w:rPr>
          <w:noProof/>
        </w:rPr>
        <w:t>c)</w:t>
      </w:r>
      <w:r w:rsidRPr="004F01E9">
        <w:rPr>
          <w:noProof/>
        </w:rPr>
        <w:tab/>
        <w:t>Odsek 2 sa nahrádza takto:</w:t>
      </w:r>
    </w:p>
    <w:p w14:paraId="097BFA62" w14:textId="40ABDC77" w:rsidR="00456352" w:rsidRPr="00061692" w:rsidRDefault="00456352" w:rsidP="00456352">
      <w:pPr>
        <w:pStyle w:val="Text2"/>
        <w:rPr>
          <w:noProof/>
          <w:spacing w:val="-4"/>
        </w:rPr>
      </w:pPr>
      <w:r w:rsidRPr="00061692">
        <w:rPr>
          <w:noProof/>
          <w:spacing w:val="-4"/>
        </w:rPr>
        <w:t>„2. EBA vypracuje návrh regulačných technických predpisov</w:t>
      </w:r>
      <w:r w:rsidR="004F01E9" w:rsidRPr="00061692">
        <w:rPr>
          <w:noProof/>
          <w:spacing w:val="-4"/>
        </w:rPr>
        <w:t xml:space="preserve"> s </w:t>
      </w:r>
      <w:r w:rsidRPr="00061692">
        <w:rPr>
          <w:noProof/>
          <w:spacing w:val="-4"/>
        </w:rPr>
        <w:t>cieľom presne stanoviť metodiku posudzovania, ktorú príslušné orgány dodržiavajú pri posudzovaní, či inštitúcia pri používaní prístupu IRB dodržiava dané požiadavky.</w:t>
      </w:r>
    </w:p>
    <w:p w14:paraId="74413BF8" w14:textId="35D0E750" w:rsidR="00456352" w:rsidRPr="004F01E9" w:rsidRDefault="00456352" w:rsidP="00456352">
      <w:pPr>
        <w:pStyle w:val="Text2"/>
        <w:rPr>
          <w:noProof/>
        </w:rPr>
      </w:pPr>
      <w:r w:rsidRPr="004F01E9">
        <w:rPr>
          <w:noProof/>
        </w:rPr>
        <w:t>EBA predloží uvedený návrh regulačných technických predpisov Komisii do 31</w:t>
      </w:r>
      <w:r w:rsidR="004F01E9">
        <w:rPr>
          <w:noProof/>
        </w:rPr>
        <w:t>. decembra</w:t>
      </w:r>
      <w:r w:rsidRPr="004F01E9">
        <w:rPr>
          <w:noProof/>
        </w:rPr>
        <w:t xml:space="preserve"> 2025.</w:t>
      </w:r>
    </w:p>
    <w:p w14:paraId="05A6860B" w14:textId="3600AC3A" w:rsidR="00456352" w:rsidRPr="00061692" w:rsidRDefault="00456352" w:rsidP="00456352">
      <w:pPr>
        <w:pStyle w:val="Text2"/>
        <w:rPr>
          <w:noProof/>
          <w:spacing w:val="-4"/>
        </w:rPr>
      </w:pPr>
      <w:r w:rsidRPr="00061692">
        <w:rPr>
          <w:noProof/>
          <w:spacing w:val="-4"/>
        </w:rPr>
        <w:t>Na Komisiu sa deleguje právomoc prijať regulačné technické predpisy uvedené</w:t>
      </w:r>
      <w:r w:rsidR="004F01E9" w:rsidRPr="00061692">
        <w:rPr>
          <w:noProof/>
          <w:spacing w:val="-4"/>
        </w:rPr>
        <w:t xml:space="preserve"> v </w:t>
      </w:r>
      <w:r w:rsidRPr="00061692">
        <w:rPr>
          <w:noProof/>
          <w:spacing w:val="-4"/>
        </w:rPr>
        <w:t>prvom pododseku</w:t>
      </w:r>
      <w:r w:rsidR="004F01E9" w:rsidRPr="00061692">
        <w:rPr>
          <w:noProof/>
          <w:spacing w:val="-4"/>
        </w:rPr>
        <w:t xml:space="preserve"> v </w:t>
      </w:r>
      <w:r w:rsidRPr="00061692">
        <w:rPr>
          <w:noProof/>
          <w:spacing w:val="-4"/>
        </w:rPr>
        <w:t>súlade</w:t>
      </w:r>
      <w:r w:rsidR="004F01E9" w:rsidRPr="00061692">
        <w:rPr>
          <w:noProof/>
          <w:spacing w:val="-4"/>
        </w:rPr>
        <w:t xml:space="preserve"> s </w:t>
      </w:r>
      <w:r w:rsidRPr="00061692">
        <w:rPr>
          <w:noProof/>
          <w:spacing w:val="-4"/>
        </w:rPr>
        <w:t xml:space="preserve">článkami 10 až 14 nariadenia (EÚ) </w:t>
      </w:r>
      <w:r w:rsidR="004F01E9" w:rsidRPr="00061692">
        <w:rPr>
          <w:noProof/>
          <w:spacing w:val="-4"/>
        </w:rPr>
        <w:t>č. </w:t>
      </w:r>
      <w:r w:rsidRPr="00061692">
        <w:rPr>
          <w:noProof/>
          <w:spacing w:val="-4"/>
        </w:rPr>
        <w:t>1093/2010.“</w:t>
      </w:r>
    </w:p>
    <w:p w14:paraId="60710BAB" w14:textId="1BD5ED85" w:rsidR="00456352" w:rsidRPr="004F01E9" w:rsidRDefault="00B16452" w:rsidP="00B16452">
      <w:pPr>
        <w:pStyle w:val="Point0"/>
        <w:rPr>
          <w:noProof/>
        </w:rPr>
      </w:pPr>
      <w:r w:rsidRPr="00B16452">
        <w:rPr>
          <w:noProof/>
        </w:rPr>
        <w:t>61</w:t>
      </w:r>
      <w:r>
        <w:rPr>
          <w:noProof/>
        </w:rPr>
        <w:t>.</w:t>
      </w:r>
      <w:r w:rsidRPr="00B16452">
        <w:rPr>
          <w:noProof/>
        </w:rPr>
        <w:tab/>
      </w:r>
      <w:r w:rsidR="00456352" w:rsidRPr="004F01E9">
        <w:rPr>
          <w:noProof/>
        </w:rPr>
        <w:t>Článok 147 sa mení takto:</w:t>
      </w:r>
    </w:p>
    <w:p w14:paraId="6BD97762" w14:textId="033663BD" w:rsidR="00456352" w:rsidRPr="004F01E9" w:rsidRDefault="00B07194" w:rsidP="00B07194">
      <w:pPr>
        <w:pStyle w:val="Point1"/>
        <w:rPr>
          <w:noProof/>
        </w:rPr>
      </w:pPr>
      <w:r w:rsidRPr="004F01E9">
        <w:rPr>
          <w:noProof/>
        </w:rPr>
        <w:t>a)</w:t>
      </w:r>
      <w:r w:rsidRPr="004F01E9">
        <w:rPr>
          <w:noProof/>
        </w:rPr>
        <w:tab/>
        <w:t>Odsek 2 sa nahrádza takto:</w:t>
      </w:r>
    </w:p>
    <w:p w14:paraId="10C5E9C2" w14:textId="66E6C94D" w:rsidR="00456352" w:rsidRPr="004F01E9" w:rsidRDefault="00456352" w:rsidP="00456352">
      <w:pPr>
        <w:pStyle w:val="Text2"/>
        <w:rPr>
          <w:noProof/>
        </w:rPr>
      </w:pPr>
      <w:r w:rsidRPr="004F01E9">
        <w:rPr>
          <w:noProof/>
        </w:rPr>
        <w:t>„2. Každá expozícia sa zaraďuje do jednej</w:t>
      </w:r>
      <w:r w:rsidR="004F01E9">
        <w:rPr>
          <w:noProof/>
        </w:rPr>
        <w:t xml:space="preserve"> z </w:t>
      </w:r>
      <w:r w:rsidRPr="004F01E9">
        <w:rPr>
          <w:noProof/>
        </w:rPr>
        <w:t>týchto tried expozícií:</w:t>
      </w:r>
    </w:p>
    <w:p w14:paraId="13A57465" w14:textId="30D2AD68" w:rsidR="00456352" w:rsidRPr="004F01E9" w:rsidRDefault="00456352" w:rsidP="00B07194">
      <w:pPr>
        <w:pStyle w:val="Point2"/>
        <w:rPr>
          <w:noProof/>
        </w:rPr>
      </w:pPr>
      <w:r w:rsidRPr="004F01E9">
        <w:rPr>
          <w:noProof/>
        </w:rPr>
        <w:t>a)</w:t>
      </w:r>
      <w:r w:rsidRPr="004F01E9">
        <w:rPr>
          <w:noProof/>
        </w:rPr>
        <w:tab/>
        <w:t>expozície voči ústredným vládam</w:t>
      </w:r>
      <w:r w:rsidR="004F01E9">
        <w:rPr>
          <w:noProof/>
        </w:rPr>
        <w:t xml:space="preserve"> a </w:t>
      </w:r>
      <w:r w:rsidRPr="004F01E9">
        <w:rPr>
          <w:noProof/>
        </w:rPr>
        <w:t>centrálnym bankám;</w:t>
      </w:r>
    </w:p>
    <w:p w14:paraId="47356DDB" w14:textId="28DC2C7F" w:rsidR="00806B81" w:rsidRPr="004F01E9" w:rsidRDefault="00456352" w:rsidP="00B07194">
      <w:pPr>
        <w:pStyle w:val="Point2"/>
        <w:rPr>
          <w:noProof/>
        </w:rPr>
      </w:pPr>
      <w:r w:rsidRPr="004F01E9">
        <w:rPr>
          <w:noProof/>
        </w:rPr>
        <w:t>a1)</w:t>
      </w:r>
      <w:r w:rsidRPr="004F01E9">
        <w:rPr>
          <w:noProof/>
        </w:rPr>
        <w:tab/>
        <w:t>expozície voči regionálnym</w:t>
      </w:r>
      <w:r w:rsidR="004F01E9">
        <w:rPr>
          <w:noProof/>
        </w:rPr>
        <w:t xml:space="preserve"> a </w:t>
      </w:r>
      <w:r w:rsidRPr="004F01E9">
        <w:rPr>
          <w:noProof/>
        </w:rPr>
        <w:t>miestnym orgánom</w:t>
      </w:r>
      <w:r w:rsidR="004F01E9">
        <w:rPr>
          <w:noProof/>
        </w:rPr>
        <w:t xml:space="preserve"> a </w:t>
      </w:r>
      <w:r w:rsidRPr="004F01E9">
        <w:rPr>
          <w:noProof/>
        </w:rPr>
        <w:t>subjektom verejného sektora („RGLA-PSE“), ktoré sú rozdelené do týchto tried expozícií:</w:t>
      </w:r>
    </w:p>
    <w:p w14:paraId="395FC8AD" w14:textId="2306B9D8" w:rsidR="00456352" w:rsidRPr="004F01E9" w:rsidRDefault="00456352" w:rsidP="00B07194">
      <w:pPr>
        <w:pStyle w:val="Point3"/>
        <w:rPr>
          <w:noProof/>
        </w:rPr>
      </w:pPr>
      <w:r w:rsidRPr="004F01E9">
        <w:rPr>
          <w:noProof/>
        </w:rPr>
        <w:t>i)</w:t>
      </w:r>
      <w:r w:rsidRPr="004F01E9">
        <w:rPr>
          <w:noProof/>
        </w:rPr>
        <w:tab/>
        <w:t>expozície voči regionálnym</w:t>
      </w:r>
      <w:r w:rsidR="004F01E9">
        <w:rPr>
          <w:noProof/>
        </w:rPr>
        <w:t xml:space="preserve"> a </w:t>
      </w:r>
      <w:r w:rsidRPr="004F01E9">
        <w:rPr>
          <w:noProof/>
        </w:rPr>
        <w:t>miestnym orgánom („RGLA“);</w:t>
      </w:r>
    </w:p>
    <w:p w14:paraId="2AA26BEA" w14:textId="77777777" w:rsidR="00456352" w:rsidRPr="004F01E9" w:rsidRDefault="00456352" w:rsidP="00B07194">
      <w:pPr>
        <w:pStyle w:val="Point3"/>
        <w:rPr>
          <w:noProof/>
        </w:rPr>
      </w:pPr>
      <w:r w:rsidRPr="004F01E9">
        <w:rPr>
          <w:noProof/>
        </w:rPr>
        <w:t>ii)</w:t>
      </w:r>
      <w:r w:rsidRPr="004F01E9">
        <w:rPr>
          <w:noProof/>
        </w:rPr>
        <w:tab/>
        <w:t>expozície voči subjektom verejného sektora („PSE“);</w:t>
      </w:r>
    </w:p>
    <w:p w14:paraId="3412CC65" w14:textId="77777777" w:rsidR="00456352" w:rsidRPr="004F01E9" w:rsidRDefault="00456352" w:rsidP="00B07194">
      <w:pPr>
        <w:pStyle w:val="Point2"/>
        <w:rPr>
          <w:noProof/>
        </w:rPr>
      </w:pPr>
      <w:r w:rsidRPr="004F01E9">
        <w:rPr>
          <w:noProof/>
        </w:rPr>
        <w:t>b)</w:t>
      </w:r>
      <w:r w:rsidRPr="004F01E9">
        <w:rPr>
          <w:noProof/>
        </w:rPr>
        <w:tab/>
        <w:t>expozície voči inštitúciám;</w:t>
      </w:r>
    </w:p>
    <w:p w14:paraId="5038171B" w14:textId="77777777" w:rsidR="00456352" w:rsidRPr="004F01E9" w:rsidRDefault="00456352" w:rsidP="00B07194">
      <w:pPr>
        <w:pStyle w:val="Point2"/>
        <w:rPr>
          <w:noProof/>
        </w:rPr>
      </w:pPr>
      <w:r w:rsidRPr="004F01E9">
        <w:rPr>
          <w:noProof/>
        </w:rPr>
        <w:t>c)</w:t>
      </w:r>
      <w:r w:rsidRPr="004F01E9">
        <w:rPr>
          <w:noProof/>
        </w:rPr>
        <w:tab/>
        <w:t>expozície voči podnikateľským subjektom, ktoré sú rozdelené do týchto tried expozícií:</w:t>
      </w:r>
    </w:p>
    <w:p w14:paraId="12DB4D8A" w14:textId="77777777" w:rsidR="00456352" w:rsidRPr="004F01E9" w:rsidRDefault="00456352" w:rsidP="00B07194">
      <w:pPr>
        <w:pStyle w:val="Point3"/>
        <w:rPr>
          <w:noProof/>
        </w:rPr>
      </w:pPr>
      <w:r w:rsidRPr="004F01E9">
        <w:rPr>
          <w:noProof/>
        </w:rPr>
        <w:t>i)</w:t>
      </w:r>
      <w:r w:rsidRPr="004F01E9">
        <w:rPr>
          <w:noProof/>
        </w:rPr>
        <w:tab/>
        <w:t>všeobecné expozície voči podnikateľským subjektom;</w:t>
      </w:r>
    </w:p>
    <w:p w14:paraId="023A5BBD" w14:textId="77777777" w:rsidR="00456352" w:rsidRPr="004F01E9" w:rsidRDefault="00456352" w:rsidP="00B07194">
      <w:pPr>
        <w:pStyle w:val="Point3"/>
        <w:rPr>
          <w:noProof/>
        </w:rPr>
      </w:pPr>
      <w:r w:rsidRPr="004F01E9">
        <w:rPr>
          <w:noProof/>
        </w:rPr>
        <w:t>ii)</w:t>
      </w:r>
      <w:r w:rsidRPr="004F01E9">
        <w:rPr>
          <w:noProof/>
        </w:rPr>
        <w:tab/>
        <w:t>expozície vo forme špecializovaného financovania („SL“);</w:t>
      </w:r>
    </w:p>
    <w:p w14:paraId="13DE0268" w14:textId="77777777" w:rsidR="00456352" w:rsidRPr="004F01E9" w:rsidRDefault="00456352" w:rsidP="00B07194">
      <w:pPr>
        <w:pStyle w:val="Point3"/>
        <w:rPr>
          <w:noProof/>
        </w:rPr>
      </w:pPr>
      <w:r w:rsidRPr="004F01E9">
        <w:rPr>
          <w:noProof/>
        </w:rPr>
        <w:t>iii)</w:t>
      </w:r>
      <w:r w:rsidRPr="004F01E9">
        <w:rPr>
          <w:noProof/>
        </w:rPr>
        <w:tab/>
        <w:t>podnikové odkúpené pohľadávky;</w:t>
      </w:r>
    </w:p>
    <w:p w14:paraId="470F11B8" w14:textId="77777777" w:rsidR="00456352" w:rsidRPr="004F01E9" w:rsidRDefault="00456352" w:rsidP="00B07194">
      <w:pPr>
        <w:pStyle w:val="Point2"/>
        <w:rPr>
          <w:noProof/>
        </w:rPr>
      </w:pPr>
      <w:r w:rsidRPr="004F01E9">
        <w:rPr>
          <w:noProof/>
        </w:rPr>
        <w:t>d)</w:t>
      </w:r>
      <w:r w:rsidRPr="004F01E9">
        <w:rPr>
          <w:noProof/>
        </w:rPr>
        <w:tab/>
        <w:t>retailové expozície, ktoré sú rozdelené do týchto tried expozícií:</w:t>
      </w:r>
    </w:p>
    <w:p w14:paraId="2827AAB1" w14:textId="77777777" w:rsidR="00456352" w:rsidRPr="004F01E9" w:rsidRDefault="00456352" w:rsidP="00B07194">
      <w:pPr>
        <w:pStyle w:val="Point3"/>
        <w:rPr>
          <w:noProof/>
        </w:rPr>
      </w:pPr>
      <w:r w:rsidRPr="004F01E9">
        <w:rPr>
          <w:noProof/>
        </w:rPr>
        <w:t>i)</w:t>
      </w:r>
      <w:r w:rsidRPr="004F01E9">
        <w:rPr>
          <w:noProof/>
        </w:rPr>
        <w:tab/>
        <w:t>kvalifikované revolvingové retailové expozície („QRRE“);</w:t>
      </w:r>
    </w:p>
    <w:p w14:paraId="14CC22E4" w14:textId="77777777" w:rsidR="00456352" w:rsidRPr="004F01E9" w:rsidRDefault="00456352" w:rsidP="00B07194">
      <w:pPr>
        <w:pStyle w:val="Point3"/>
        <w:rPr>
          <w:noProof/>
        </w:rPr>
      </w:pPr>
      <w:r w:rsidRPr="004F01E9">
        <w:rPr>
          <w:noProof/>
        </w:rPr>
        <w:t>ii)</w:t>
      </w:r>
      <w:r w:rsidRPr="004F01E9">
        <w:rPr>
          <w:noProof/>
        </w:rPr>
        <w:tab/>
        <w:t>retailové expozície zabezpečené nehnuteľným majetkom určeným na bývanie;</w:t>
      </w:r>
    </w:p>
    <w:p w14:paraId="76634F74" w14:textId="77777777" w:rsidR="00456352" w:rsidRPr="004F01E9" w:rsidRDefault="00456352" w:rsidP="00B07194">
      <w:pPr>
        <w:pStyle w:val="Point3"/>
        <w:rPr>
          <w:noProof/>
        </w:rPr>
      </w:pPr>
      <w:r w:rsidRPr="004F01E9">
        <w:rPr>
          <w:noProof/>
        </w:rPr>
        <w:t>iii)</w:t>
      </w:r>
      <w:r w:rsidRPr="004F01E9">
        <w:rPr>
          <w:noProof/>
        </w:rPr>
        <w:tab/>
        <w:t>retailové odkúpené pohľadávky;</w:t>
      </w:r>
    </w:p>
    <w:p w14:paraId="5AEC120B" w14:textId="77777777" w:rsidR="00456352" w:rsidRPr="004F01E9" w:rsidRDefault="00456352" w:rsidP="00B07194">
      <w:pPr>
        <w:pStyle w:val="Point3"/>
        <w:rPr>
          <w:noProof/>
        </w:rPr>
      </w:pPr>
      <w:r w:rsidRPr="004F01E9">
        <w:rPr>
          <w:noProof/>
        </w:rPr>
        <w:t>iv)</w:t>
      </w:r>
      <w:r w:rsidRPr="004F01E9">
        <w:rPr>
          <w:noProof/>
        </w:rPr>
        <w:tab/>
        <w:t>iné retailové expozície;</w:t>
      </w:r>
    </w:p>
    <w:p w14:paraId="2D7D2868" w14:textId="77777777" w:rsidR="00456352" w:rsidRPr="004F01E9" w:rsidRDefault="00456352" w:rsidP="00B07194">
      <w:pPr>
        <w:pStyle w:val="Point2"/>
        <w:rPr>
          <w:noProof/>
        </w:rPr>
      </w:pPr>
      <w:r w:rsidRPr="004F01E9">
        <w:rPr>
          <w:noProof/>
        </w:rPr>
        <w:t>e)</w:t>
      </w:r>
      <w:r w:rsidRPr="004F01E9">
        <w:rPr>
          <w:noProof/>
        </w:rPr>
        <w:tab/>
        <w:t>kapitálové expozície;</w:t>
      </w:r>
    </w:p>
    <w:p w14:paraId="3583F3A6" w14:textId="1539F62B" w:rsidR="00456352" w:rsidRPr="004F01E9" w:rsidRDefault="00456352" w:rsidP="00B07194">
      <w:pPr>
        <w:pStyle w:val="Point2"/>
        <w:rPr>
          <w:noProof/>
        </w:rPr>
      </w:pPr>
      <w:r w:rsidRPr="004F01E9">
        <w:rPr>
          <w:noProof/>
        </w:rPr>
        <w:t>e1)</w:t>
      </w:r>
      <w:r w:rsidRPr="004F01E9">
        <w:rPr>
          <w:noProof/>
        </w:rPr>
        <w:tab/>
        <w:t>expozície vo forme podielov na majetku</w:t>
      </w:r>
      <w:r w:rsidR="004F01E9">
        <w:rPr>
          <w:noProof/>
        </w:rPr>
        <w:t xml:space="preserve"> v </w:t>
      </w:r>
      <w:r w:rsidRPr="004F01E9">
        <w:rPr>
          <w:noProof/>
        </w:rPr>
        <w:t>PKI;</w:t>
      </w:r>
    </w:p>
    <w:p w14:paraId="2227074A" w14:textId="77777777" w:rsidR="00456352" w:rsidRPr="004F01E9" w:rsidRDefault="00456352" w:rsidP="00B07194">
      <w:pPr>
        <w:pStyle w:val="Point2"/>
        <w:rPr>
          <w:noProof/>
        </w:rPr>
      </w:pPr>
      <w:r w:rsidRPr="004F01E9">
        <w:rPr>
          <w:noProof/>
        </w:rPr>
        <w:t>f)</w:t>
      </w:r>
      <w:r w:rsidRPr="004F01E9">
        <w:rPr>
          <w:noProof/>
        </w:rPr>
        <w:tab/>
        <w:t>položky predstavujúce sekuritizačné pozície;</w:t>
      </w:r>
    </w:p>
    <w:p w14:paraId="4E4F6F82" w14:textId="77777777" w:rsidR="00456352" w:rsidRPr="004F01E9" w:rsidRDefault="00456352" w:rsidP="00B07194">
      <w:pPr>
        <w:pStyle w:val="Point2"/>
        <w:rPr>
          <w:noProof/>
        </w:rPr>
      </w:pPr>
      <w:r w:rsidRPr="004F01E9">
        <w:rPr>
          <w:noProof/>
        </w:rPr>
        <w:t>g)</w:t>
      </w:r>
      <w:r w:rsidRPr="004F01E9">
        <w:rPr>
          <w:noProof/>
        </w:rPr>
        <w:tab/>
        <w:t>ostatné aktíva, ktoré nemajú povahu kreditného záväzku.“;</w:t>
      </w:r>
    </w:p>
    <w:p w14:paraId="5875AEF5" w14:textId="796A85AB" w:rsidR="00456352" w:rsidRPr="004F01E9" w:rsidRDefault="00B07194" w:rsidP="00B07194">
      <w:pPr>
        <w:pStyle w:val="Point1"/>
        <w:rPr>
          <w:noProof/>
        </w:rPr>
      </w:pPr>
      <w:r w:rsidRPr="004F01E9">
        <w:rPr>
          <w:noProof/>
        </w:rPr>
        <w:t>b)</w:t>
      </w:r>
      <w:r w:rsidRPr="004F01E9">
        <w:rPr>
          <w:noProof/>
        </w:rPr>
        <w:tab/>
        <w:t>V odseku 3 sa vypúšťa písmeno a);</w:t>
      </w:r>
    </w:p>
    <w:p w14:paraId="35C5D9F3" w14:textId="564652F6" w:rsidR="00456352" w:rsidRPr="004F01E9" w:rsidRDefault="00B07194" w:rsidP="00B07194">
      <w:pPr>
        <w:pStyle w:val="Point1"/>
        <w:rPr>
          <w:noProof/>
        </w:rPr>
      </w:pPr>
      <w:r w:rsidRPr="004F01E9">
        <w:rPr>
          <w:noProof/>
        </w:rPr>
        <w:t>c)</w:t>
      </w:r>
      <w:r w:rsidRPr="004F01E9">
        <w:rPr>
          <w:noProof/>
        </w:rPr>
        <w:tab/>
        <w:t>Vkladá sa tento odsek 3a:</w:t>
      </w:r>
    </w:p>
    <w:p w14:paraId="02471D2B" w14:textId="4AFEA116" w:rsidR="00456352" w:rsidRPr="004F01E9" w:rsidRDefault="00456352" w:rsidP="00456352">
      <w:pPr>
        <w:pStyle w:val="Text2"/>
        <w:rPr>
          <w:noProof/>
        </w:rPr>
      </w:pPr>
      <w:r w:rsidRPr="004F01E9">
        <w:rPr>
          <w:noProof/>
        </w:rPr>
        <w:t>„3a.</w:t>
      </w:r>
      <w:r w:rsidRPr="004F01E9">
        <w:rPr>
          <w:noProof/>
        </w:rPr>
        <w:tab/>
        <w:t>Expozície voči regionálnym vládam, miestnym orgánom alebo subjektom verejného sektora sa zaraďujú do triedy expozícií uvedenej</w:t>
      </w:r>
      <w:r w:rsidR="004F01E9">
        <w:rPr>
          <w:noProof/>
        </w:rPr>
        <w:t xml:space="preserve"> v </w:t>
      </w:r>
      <w:r w:rsidRPr="004F01E9">
        <w:rPr>
          <w:noProof/>
        </w:rPr>
        <w:t>odseku 2 písm. a1) bez ohľadu na zaobchádzanie, ktoré by sa na tieto expozície uplatňovalo podľa článkov 115 alebo 116.“;</w:t>
      </w:r>
    </w:p>
    <w:p w14:paraId="7D369E95" w14:textId="2BD82239" w:rsidR="00456352" w:rsidRPr="004F01E9" w:rsidRDefault="00B07194" w:rsidP="00B77426">
      <w:pPr>
        <w:pStyle w:val="Point1"/>
        <w:rPr>
          <w:noProof/>
        </w:rPr>
      </w:pPr>
      <w:r w:rsidRPr="004F01E9">
        <w:rPr>
          <w:noProof/>
        </w:rPr>
        <w:t>d)</w:t>
      </w:r>
      <w:r w:rsidRPr="004F01E9">
        <w:rPr>
          <w:noProof/>
        </w:rPr>
        <w:tab/>
        <w:t>V odseku 4 sa vypúšťajú písmená a)</w:t>
      </w:r>
      <w:r w:rsidR="004F01E9">
        <w:rPr>
          <w:noProof/>
        </w:rPr>
        <w:t xml:space="preserve"> a </w:t>
      </w:r>
      <w:r w:rsidRPr="004F01E9">
        <w:rPr>
          <w:noProof/>
        </w:rPr>
        <w:t>b);</w:t>
      </w:r>
    </w:p>
    <w:p w14:paraId="336EC187" w14:textId="67FDBA30" w:rsidR="00456352" w:rsidRPr="004F01E9" w:rsidRDefault="00B07194" w:rsidP="00B77426">
      <w:pPr>
        <w:pStyle w:val="Point1"/>
        <w:rPr>
          <w:noProof/>
        </w:rPr>
      </w:pPr>
      <w:r w:rsidRPr="004F01E9">
        <w:rPr>
          <w:noProof/>
        </w:rPr>
        <w:t>e)</w:t>
      </w:r>
      <w:r w:rsidRPr="004F01E9">
        <w:rPr>
          <w:noProof/>
        </w:rPr>
        <w:tab/>
        <w:t>Odsek 5 sa mení takto:</w:t>
      </w:r>
    </w:p>
    <w:p w14:paraId="3848AFD3" w14:textId="77777777" w:rsidR="00806B81" w:rsidRPr="004F01E9" w:rsidRDefault="00456352" w:rsidP="00456352">
      <w:pPr>
        <w:pStyle w:val="Point2"/>
        <w:rPr>
          <w:noProof/>
        </w:rPr>
      </w:pPr>
      <w:r w:rsidRPr="004F01E9">
        <w:rPr>
          <w:noProof/>
        </w:rPr>
        <w:t>i)</w:t>
      </w:r>
      <w:r w:rsidRPr="004F01E9">
        <w:rPr>
          <w:noProof/>
        </w:rPr>
        <w:tab/>
        <w:t>V písmene a) sa bod ii) nahrádza takto:</w:t>
      </w:r>
    </w:p>
    <w:p w14:paraId="039AC86B" w14:textId="39C6C8FB" w:rsidR="00456352" w:rsidRPr="004F01E9" w:rsidRDefault="00456352" w:rsidP="00615061">
      <w:pPr>
        <w:pStyle w:val="Text3"/>
        <w:rPr>
          <w:noProof/>
        </w:rPr>
      </w:pPr>
      <w:r w:rsidRPr="004F01E9">
        <w:rPr>
          <w:noProof/>
        </w:rPr>
        <w:t>„ii) expozíciami voči MSP</w:t>
      </w:r>
      <w:r w:rsidR="004F01E9">
        <w:rPr>
          <w:noProof/>
        </w:rPr>
        <w:t xml:space="preserve"> v </w:t>
      </w:r>
      <w:r w:rsidRPr="004F01E9">
        <w:rPr>
          <w:noProof/>
        </w:rPr>
        <w:t>zmysle článku 5 bodu 8 za predpokladu, že celková suma, ktorú klient alebo skupina prepojených klientov dlží inštitúcii</w:t>
      </w:r>
      <w:r w:rsidR="004F01E9">
        <w:rPr>
          <w:noProof/>
        </w:rPr>
        <w:t xml:space="preserve"> a </w:t>
      </w:r>
      <w:r w:rsidRPr="004F01E9">
        <w:rPr>
          <w:noProof/>
        </w:rPr>
        <w:t>materským spoločnostiam</w:t>
      </w:r>
      <w:r w:rsidR="004F01E9">
        <w:rPr>
          <w:noProof/>
        </w:rPr>
        <w:t xml:space="preserve"> a </w:t>
      </w:r>
      <w:r w:rsidRPr="004F01E9">
        <w:rPr>
          <w:noProof/>
        </w:rPr>
        <w:t>jej dcérskym spoločnostiam vrátane akejkoľvek expozície</w:t>
      </w:r>
      <w:r w:rsidR="004F01E9">
        <w:rPr>
          <w:noProof/>
        </w:rPr>
        <w:t xml:space="preserve"> v </w:t>
      </w:r>
      <w:r w:rsidRPr="004F01E9">
        <w:rPr>
          <w:noProof/>
        </w:rPr>
        <w:t>stave zlyhania, ale okrem expozícií zabezpečených nehnuteľným majetkom určeným na bývanie do výšky hodnoty majetku, nepresahuje 1 milión EUR podľa vedomia inštitúcie, ktorá prijme primerané kroky na overenie výšky tejto expozície;</w:t>
      </w:r>
    </w:p>
    <w:p w14:paraId="64075728" w14:textId="35E5FE35" w:rsidR="00456352" w:rsidRPr="004F01E9" w:rsidRDefault="00456352" w:rsidP="00615061">
      <w:pPr>
        <w:pStyle w:val="Text3"/>
        <w:rPr>
          <w:noProof/>
        </w:rPr>
      </w:pPr>
      <w:r w:rsidRPr="004F01E9">
        <w:rPr>
          <w:noProof/>
        </w:rPr>
        <w:t>iii) expozíciami zabezpečenými nehnuteľným majetkom určeným na bývanie vrátane prvých</w:t>
      </w:r>
      <w:r w:rsidR="004F01E9">
        <w:rPr>
          <w:noProof/>
        </w:rPr>
        <w:t xml:space="preserve"> a </w:t>
      </w:r>
      <w:r w:rsidRPr="004F01E9">
        <w:rPr>
          <w:noProof/>
        </w:rPr>
        <w:t>následných záložných práv, termínovaných úverov, revolvingových hypotekárnych úverových liniek</w:t>
      </w:r>
      <w:r w:rsidR="004F01E9">
        <w:rPr>
          <w:noProof/>
        </w:rPr>
        <w:t xml:space="preserve"> a </w:t>
      </w:r>
      <w:r w:rsidRPr="004F01E9">
        <w:rPr>
          <w:noProof/>
        </w:rPr>
        <w:t>expozícií uvedených</w:t>
      </w:r>
      <w:r w:rsidR="004F01E9">
        <w:rPr>
          <w:noProof/>
        </w:rPr>
        <w:t xml:space="preserve"> v </w:t>
      </w:r>
      <w:r w:rsidRPr="004F01E9">
        <w:rPr>
          <w:noProof/>
        </w:rPr>
        <w:t>článku 108 ods. 3</w:t>
      </w:r>
      <w:r w:rsidR="004F01E9">
        <w:rPr>
          <w:noProof/>
        </w:rPr>
        <w:t xml:space="preserve"> a </w:t>
      </w:r>
      <w:r w:rsidRPr="004F01E9">
        <w:rPr>
          <w:noProof/>
        </w:rPr>
        <w:t>4 bez ohľadu na veľkosť expozície za predpokladu, že expozícia je jednou</w:t>
      </w:r>
      <w:r w:rsidR="004F01E9">
        <w:rPr>
          <w:noProof/>
        </w:rPr>
        <w:t xml:space="preserve"> z </w:t>
      </w:r>
      <w:r w:rsidRPr="004F01E9">
        <w:rPr>
          <w:noProof/>
        </w:rPr>
        <w:t>týchto expozícií:</w:t>
      </w:r>
    </w:p>
    <w:p w14:paraId="3062AA0F" w14:textId="77777777" w:rsidR="00806B81" w:rsidRPr="004F01E9" w:rsidRDefault="00456352" w:rsidP="00B77426">
      <w:pPr>
        <w:pStyle w:val="Tiret3"/>
        <w:rPr>
          <w:noProof/>
        </w:rPr>
      </w:pPr>
      <w:r w:rsidRPr="004F01E9">
        <w:rPr>
          <w:noProof/>
        </w:rPr>
        <w:t>expozícia voči fyzickej osobe;</w:t>
      </w:r>
    </w:p>
    <w:p w14:paraId="1FB63F00" w14:textId="28B51BF3" w:rsidR="00456352" w:rsidRPr="004F01E9" w:rsidRDefault="00456352" w:rsidP="00B77426">
      <w:pPr>
        <w:pStyle w:val="Tiret3"/>
        <w:rPr>
          <w:noProof/>
        </w:rPr>
      </w:pPr>
      <w:r w:rsidRPr="004F01E9">
        <w:rPr>
          <w:noProof/>
        </w:rPr>
        <w:t>expozícia voči združeniam alebo družstvám jednotlivcov, ktoré sú regulované podľa vnútroštátneho práva</w:t>
      </w:r>
      <w:r w:rsidR="004F01E9">
        <w:rPr>
          <w:noProof/>
        </w:rPr>
        <w:t xml:space="preserve"> a </w:t>
      </w:r>
      <w:r w:rsidRPr="004F01E9">
        <w:rPr>
          <w:noProof/>
        </w:rPr>
        <w:t>existujú za jediným účelom, ktorým je umožniť svojim členom využívať nehnuteľný majetok, ktorým je úver zabezpečený, ako hlavné bydlisko;“;</w:t>
      </w:r>
    </w:p>
    <w:p w14:paraId="2D9B95A7" w14:textId="77777777" w:rsidR="00456352" w:rsidRPr="004F01E9" w:rsidRDefault="00456352" w:rsidP="00456352">
      <w:pPr>
        <w:pStyle w:val="Point2"/>
        <w:rPr>
          <w:noProof/>
        </w:rPr>
      </w:pPr>
      <w:r w:rsidRPr="004F01E9">
        <w:rPr>
          <w:noProof/>
        </w:rPr>
        <w:t>ii)</w:t>
      </w:r>
      <w:r w:rsidRPr="004F01E9">
        <w:rPr>
          <w:noProof/>
        </w:rPr>
        <w:tab/>
        <w:t>Dopĺňajú sa tieto pododseky:</w:t>
      </w:r>
    </w:p>
    <w:p w14:paraId="44C8F96A" w14:textId="65E4CBF5" w:rsidR="00456352" w:rsidRPr="004F01E9" w:rsidRDefault="00456352" w:rsidP="00456352">
      <w:pPr>
        <w:pStyle w:val="Text3"/>
        <w:rPr>
          <w:noProof/>
        </w:rPr>
      </w:pPr>
      <w:r w:rsidRPr="004F01E9">
        <w:rPr>
          <w:noProof/>
        </w:rPr>
        <w:t>„Expozície, ktoré spĺňajú všetky podmienky stanovené</w:t>
      </w:r>
      <w:r w:rsidR="004F01E9">
        <w:rPr>
          <w:noProof/>
        </w:rPr>
        <w:t xml:space="preserve"> v </w:t>
      </w:r>
      <w:r w:rsidRPr="004F01E9">
        <w:rPr>
          <w:noProof/>
        </w:rPr>
        <w:t>písmene a) bode iii)</w:t>
      </w:r>
      <w:r w:rsidR="004F01E9">
        <w:rPr>
          <w:noProof/>
        </w:rPr>
        <w:t xml:space="preserve"> a </w:t>
      </w:r>
      <w:r w:rsidRPr="004F01E9">
        <w:rPr>
          <w:noProof/>
        </w:rPr>
        <w:t>písmenách b), c)</w:t>
      </w:r>
      <w:r w:rsidR="004F01E9">
        <w:rPr>
          <w:noProof/>
        </w:rPr>
        <w:t xml:space="preserve"> a </w:t>
      </w:r>
      <w:r w:rsidRPr="004F01E9">
        <w:rPr>
          <w:noProof/>
        </w:rPr>
        <w:t>d), sa zaraďujú do triedy expozícií „retailové expozície zabezpečené nehnuteľným majetkom určeným na bývanie“, ako sa uvádza</w:t>
      </w:r>
      <w:r w:rsidR="004F01E9">
        <w:rPr>
          <w:noProof/>
        </w:rPr>
        <w:t xml:space="preserve"> v </w:t>
      </w:r>
      <w:r w:rsidRPr="004F01E9">
        <w:rPr>
          <w:noProof/>
        </w:rPr>
        <w:t>odseku 2 písm. d) bode ii).</w:t>
      </w:r>
    </w:p>
    <w:p w14:paraId="6D1537DD" w14:textId="3B7D7030" w:rsidR="00456352" w:rsidRPr="004F01E9" w:rsidRDefault="00456352" w:rsidP="00456352">
      <w:pPr>
        <w:pStyle w:val="Text3"/>
        <w:rPr>
          <w:noProof/>
        </w:rPr>
      </w:pPr>
      <w:r w:rsidRPr="004F01E9">
        <w:rPr>
          <w:noProof/>
        </w:rPr>
        <w:t>Odchylne od tretieho pododseku môžu príslušné orgány</w:t>
      </w:r>
      <w:r w:rsidR="004F01E9">
        <w:rPr>
          <w:noProof/>
        </w:rPr>
        <w:t xml:space="preserve"> z </w:t>
      </w:r>
      <w:r w:rsidRPr="004F01E9">
        <w:rPr>
          <w:noProof/>
        </w:rPr>
        <w:t>triedy expozícií „retailové expozície zabezpečené nehnuteľným majetkom určeným na bývanie“, ako sa uvádza</w:t>
      </w:r>
      <w:r w:rsidR="004F01E9">
        <w:rPr>
          <w:noProof/>
        </w:rPr>
        <w:t xml:space="preserve"> v </w:t>
      </w:r>
      <w:r w:rsidRPr="004F01E9">
        <w:rPr>
          <w:noProof/>
        </w:rPr>
        <w:t>odseku 2 písm. d) bode ii), vylúčiť úvery fyzickým osobám, ktoré zaťažili hypotékou viac než štyri nehnuteľnosti alebo bytové jednotky,</w:t>
      </w:r>
      <w:r w:rsidR="004F01E9">
        <w:rPr>
          <w:noProof/>
        </w:rPr>
        <w:t xml:space="preserve"> a </w:t>
      </w:r>
      <w:r w:rsidRPr="004F01E9">
        <w:rPr>
          <w:noProof/>
        </w:rPr>
        <w:t>zaradiť tieto úvery do triedy expozícií voči podnikateľským subjektom.“;</w:t>
      </w:r>
    </w:p>
    <w:p w14:paraId="620D09C0" w14:textId="77777777" w:rsidR="00456352" w:rsidRPr="004F01E9" w:rsidRDefault="00456352" w:rsidP="0059109E">
      <w:pPr>
        <w:pStyle w:val="Point2"/>
        <w:keepNext/>
        <w:keepLines/>
        <w:rPr>
          <w:noProof/>
        </w:rPr>
      </w:pPr>
      <w:r w:rsidRPr="004F01E9">
        <w:rPr>
          <w:noProof/>
        </w:rPr>
        <w:t>iii)</w:t>
      </w:r>
      <w:r w:rsidRPr="004F01E9">
        <w:rPr>
          <w:noProof/>
        </w:rPr>
        <w:tab/>
        <w:t>Vkladá sa tento odsek 5 a:</w:t>
      </w:r>
    </w:p>
    <w:p w14:paraId="293BFD51" w14:textId="0CFB2A9D" w:rsidR="00456352" w:rsidRPr="004F01E9" w:rsidRDefault="00456352" w:rsidP="0059109E">
      <w:pPr>
        <w:pStyle w:val="Text3"/>
        <w:keepNext/>
        <w:keepLines/>
        <w:rPr>
          <w:noProof/>
        </w:rPr>
      </w:pPr>
      <w:r w:rsidRPr="004F01E9">
        <w:rPr>
          <w:noProof/>
        </w:rPr>
        <w:t>„5a.</w:t>
      </w:r>
      <w:r w:rsidRPr="004F01E9">
        <w:rPr>
          <w:noProof/>
        </w:rPr>
        <w:tab/>
        <w:t>Do triedy expozícií QRRE možno zaradiť retailové expozície patriace</w:t>
      </w:r>
      <w:r w:rsidR="004F01E9">
        <w:rPr>
          <w:noProof/>
        </w:rPr>
        <w:t xml:space="preserve"> k </w:t>
      </w:r>
      <w:r w:rsidRPr="004F01E9">
        <w:rPr>
          <w:noProof/>
        </w:rPr>
        <w:t>druhu expozícií, ktoré spĺňajú všetky tieto podmienky:</w:t>
      </w:r>
    </w:p>
    <w:p w14:paraId="7D71DBD9" w14:textId="77777777" w:rsidR="00456352" w:rsidRPr="004F01E9" w:rsidRDefault="00456352" w:rsidP="0059109E">
      <w:pPr>
        <w:pStyle w:val="Point3"/>
        <w:keepNext/>
        <w:keepLines/>
        <w:rPr>
          <w:noProof/>
        </w:rPr>
      </w:pPr>
      <w:r w:rsidRPr="004F01E9">
        <w:rPr>
          <w:noProof/>
        </w:rPr>
        <w:t>a)</w:t>
      </w:r>
      <w:r w:rsidRPr="004F01E9">
        <w:rPr>
          <w:noProof/>
        </w:rPr>
        <w:tab/>
        <w:t>expozície tohto druhu expozícií sú voči fyzickým osobám;</w:t>
      </w:r>
    </w:p>
    <w:p w14:paraId="380688B6" w14:textId="7818791C" w:rsidR="00806B81" w:rsidRPr="004F01E9" w:rsidRDefault="00456352" w:rsidP="0059109E">
      <w:pPr>
        <w:pStyle w:val="Point3"/>
        <w:keepNext/>
        <w:keepLines/>
        <w:rPr>
          <w:noProof/>
        </w:rPr>
      </w:pPr>
      <w:r w:rsidRPr="004F01E9">
        <w:rPr>
          <w:noProof/>
        </w:rPr>
        <w:t>b)</w:t>
      </w:r>
      <w:r w:rsidRPr="004F01E9">
        <w:rPr>
          <w:noProof/>
        </w:rPr>
        <w:tab/>
        <w:t>expozície tohto druhu expozícií sú revolvingové, nezabezpečené,</w:t>
      </w:r>
      <w:r w:rsidR="004F01E9">
        <w:rPr>
          <w:noProof/>
        </w:rPr>
        <w:t xml:space="preserve"> a </w:t>
      </w:r>
      <w:r w:rsidRPr="004F01E9">
        <w:rPr>
          <w:noProof/>
        </w:rPr>
        <w:t>ak nie sú čerpané, môže ich inštitúcia okamžite</w:t>
      </w:r>
      <w:r w:rsidR="004F01E9">
        <w:rPr>
          <w:noProof/>
        </w:rPr>
        <w:t xml:space="preserve"> a </w:t>
      </w:r>
      <w:r w:rsidRPr="004F01E9">
        <w:rPr>
          <w:noProof/>
        </w:rPr>
        <w:t>bez akýchkoľvek podmienok zrušiť;</w:t>
      </w:r>
    </w:p>
    <w:p w14:paraId="2BC30D8A" w14:textId="17A1DF77" w:rsidR="00456352" w:rsidRPr="004F01E9" w:rsidRDefault="00456352" w:rsidP="00B77426">
      <w:pPr>
        <w:pStyle w:val="Point3"/>
        <w:rPr>
          <w:noProof/>
        </w:rPr>
      </w:pPr>
      <w:r w:rsidRPr="004F01E9">
        <w:rPr>
          <w:noProof/>
        </w:rPr>
        <w:t>c)</w:t>
      </w:r>
      <w:r w:rsidRPr="004F01E9">
        <w:rPr>
          <w:noProof/>
        </w:rPr>
        <w:tab/>
        <w:t>maximálna expozícia tohto druhu expozície voči jednej fyzickej osobe je 100 000 EUR alebo menej;</w:t>
      </w:r>
    </w:p>
    <w:p w14:paraId="74EB2E9D" w14:textId="1DFF85E8" w:rsidR="00456352" w:rsidRPr="004F01E9" w:rsidRDefault="00456352" w:rsidP="00B77426">
      <w:pPr>
        <w:pStyle w:val="Point3"/>
        <w:rPr>
          <w:noProof/>
        </w:rPr>
      </w:pPr>
      <w:r w:rsidRPr="004F01E9">
        <w:rPr>
          <w:noProof/>
        </w:rPr>
        <w:t>d)</w:t>
      </w:r>
      <w:r w:rsidRPr="004F01E9">
        <w:rPr>
          <w:noProof/>
        </w:rPr>
        <w:tab/>
        <w:t>tento druh expozícií vykazoval nízku volatilitu stratovosti</w:t>
      </w:r>
      <w:r w:rsidR="004F01E9">
        <w:rPr>
          <w:noProof/>
        </w:rPr>
        <w:t xml:space="preserve"> v </w:t>
      </w:r>
      <w:r w:rsidRPr="004F01E9">
        <w:rPr>
          <w:noProof/>
        </w:rPr>
        <w:t>pomere</w:t>
      </w:r>
      <w:r w:rsidR="004F01E9">
        <w:rPr>
          <w:noProof/>
        </w:rPr>
        <w:t xml:space="preserve"> k </w:t>
      </w:r>
      <w:r w:rsidRPr="004F01E9">
        <w:rPr>
          <w:noProof/>
        </w:rPr>
        <w:t>jeho priemernej úrovni stratovosti,</w:t>
      </w:r>
      <w:r w:rsidR="004F01E9">
        <w:rPr>
          <w:noProof/>
        </w:rPr>
        <w:t xml:space="preserve"> a </w:t>
      </w:r>
      <w:r w:rsidRPr="004F01E9">
        <w:rPr>
          <w:noProof/>
        </w:rPr>
        <w:t>to najmä</w:t>
      </w:r>
      <w:r w:rsidR="004F01E9">
        <w:rPr>
          <w:noProof/>
        </w:rPr>
        <w:t xml:space="preserve"> v </w:t>
      </w:r>
      <w:r w:rsidRPr="004F01E9">
        <w:rPr>
          <w:noProof/>
        </w:rPr>
        <w:t>rámci pásiem nízkych PD;</w:t>
      </w:r>
    </w:p>
    <w:p w14:paraId="7D6821CF" w14:textId="568D7988" w:rsidR="00456352" w:rsidRPr="004F01E9" w:rsidRDefault="00456352" w:rsidP="00B77426">
      <w:pPr>
        <w:pStyle w:val="Point3"/>
        <w:rPr>
          <w:noProof/>
        </w:rPr>
      </w:pPr>
      <w:r w:rsidRPr="004F01E9">
        <w:rPr>
          <w:noProof/>
        </w:rPr>
        <w:t>e)</w:t>
      </w:r>
      <w:r w:rsidRPr="004F01E9">
        <w:rPr>
          <w:noProof/>
        </w:rPr>
        <w:tab/>
        <w:t>zaobchádzanie ako</w:t>
      </w:r>
      <w:r w:rsidR="004F01E9">
        <w:rPr>
          <w:noProof/>
        </w:rPr>
        <w:t xml:space="preserve"> s </w:t>
      </w:r>
      <w:r w:rsidRPr="004F01E9">
        <w:rPr>
          <w:noProof/>
        </w:rPr>
        <w:t>kvalifikovanou revolvingovou retailovou expozíciou je</w:t>
      </w:r>
      <w:r w:rsidR="004F01E9">
        <w:rPr>
          <w:noProof/>
        </w:rPr>
        <w:t xml:space="preserve"> v </w:t>
      </w:r>
      <w:r w:rsidRPr="004F01E9">
        <w:rPr>
          <w:noProof/>
        </w:rPr>
        <w:t>súlade</w:t>
      </w:r>
      <w:r w:rsidR="004F01E9">
        <w:rPr>
          <w:noProof/>
        </w:rPr>
        <w:t xml:space="preserve"> s </w:t>
      </w:r>
      <w:r w:rsidRPr="004F01E9">
        <w:rPr>
          <w:noProof/>
        </w:rPr>
        <w:t>podkladovými rizikovými charakteristikami druhu expozícií, ku ktorým patrí.</w:t>
      </w:r>
    </w:p>
    <w:p w14:paraId="1EE60E3E" w14:textId="456BE829" w:rsidR="00456352" w:rsidRPr="004F01E9" w:rsidRDefault="00456352" w:rsidP="00B77426">
      <w:pPr>
        <w:pStyle w:val="Text3"/>
        <w:rPr>
          <w:noProof/>
        </w:rPr>
      </w:pPr>
      <w:r w:rsidRPr="004F01E9">
        <w:rPr>
          <w:noProof/>
        </w:rPr>
        <w:t>Odchylne od písmena b) sa požiadavka, aby expozícia nebola zabezpečená, neuplatňuje</w:t>
      </w:r>
      <w:r w:rsidR="004F01E9">
        <w:rPr>
          <w:noProof/>
        </w:rPr>
        <w:t xml:space="preserve"> v </w:t>
      </w:r>
      <w:r w:rsidRPr="004F01E9">
        <w:rPr>
          <w:noProof/>
        </w:rPr>
        <w:t>súvislosti</w:t>
      </w:r>
      <w:r w:rsidR="004F01E9">
        <w:rPr>
          <w:noProof/>
        </w:rPr>
        <w:t xml:space="preserve"> s </w:t>
      </w:r>
      <w:r w:rsidRPr="004F01E9">
        <w:rPr>
          <w:noProof/>
        </w:rPr>
        <w:t>kreditnými facilitami zabezpečenými kolaterálom, ktoré sú spojené so mzdovým účtom.</w:t>
      </w:r>
      <w:r w:rsidR="004F01E9">
        <w:rPr>
          <w:noProof/>
        </w:rPr>
        <w:t xml:space="preserve"> V </w:t>
      </w:r>
      <w:r w:rsidRPr="004F01E9">
        <w:rPr>
          <w:noProof/>
        </w:rPr>
        <w:t>takom prípade sa hodnoty realizované</w:t>
      </w:r>
      <w:r w:rsidR="004F01E9">
        <w:rPr>
          <w:noProof/>
        </w:rPr>
        <w:t xml:space="preserve"> z </w:t>
      </w:r>
      <w:r w:rsidRPr="004F01E9">
        <w:rPr>
          <w:noProof/>
        </w:rPr>
        <w:t>kolaterálu nezohľadňujú</w:t>
      </w:r>
      <w:r w:rsidR="004F01E9">
        <w:rPr>
          <w:noProof/>
        </w:rPr>
        <w:t xml:space="preserve"> v </w:t>
      </w:r>
      <w:r w:rsidRPr="004F01E9">
        <w:rPr>
          <w:noProof/>
        </w:rPr>
        <w:t>odhade LGD.</w:t>
      </w:r>
    </w:p>
    <w:p w14:paraId="7ABD26BA" w14:textId="74B1AE58" w:rsidR="00456352" w:rsidRPr="004F01E9" w:rsidRDefault="00456352" w:rsidP="00B77426">
      <w:pPr>
        <w:pStyle w:val="Text3"/>
        <w:rPr>
          <w:noProof/>
        </w:rPr>
      </w:pPr>
      <w:r w:rsidRPr="004F01E9">
        <w:rPr>
          <w:noProof/>
        </w:rPr>
        <w:t>Inštitúcie identifikujú</w:t>
      </w:r>
      <w:r w:rsidR="004F01E9">
        <w:rPr>
          <w:noProof/>
        </w:rPr>
        <w:t xml:space="preserve"> v </w:t>
      </w:r>
      <w:r w:rsidRPr="004F01E9">
        <w:rPr>
          <w:noProof/>
        </w:rPr>
        <w:t>rámci triedy expozícií QRRE expozície voči transakčnému partnerovi („transakční partneri QRRE“)</w:t>
      </w:r>
      <w:r w:rsidR="004F01E9">
        <w:rPr>
          <w:noProof/>
        </w:rPr>
        <w:t xml:space="preserve"> v </w:t>
      </w:r>
      <w:r w:rsidRPr="004F01E9">
        <w:rPr>
          <w:noProof/>
        </w:rPr>
        <w:t>zmysle vymedzenia</w:t>
      </w:r>
      <w:r w:rsidR="004F01E9">
        <w:rPr>
          <w:noProof/>
        </w:rPr>
        <w:t xml:space="preserve"> v </w:t>
      </w:r>
      <w:r w:rsidRPr="004F01E9">
        <w:rPr>
          <w:noProof/>
        </w:rPr>
        <w:t>článku 4 ods. 1 bode 152</w:t>
      </w:r>
      <w:r w:rsidR="004F01E9">
        <w:rPr>
          <w:noProof/>
        </w:rPr>
        <w:t xml:space="preserve"> a </w:t>
      </w:r>
      <w:r w:rsidRPr="004F01E9">
        <w:rPr>
          <w:noProof/>
        </w:rPr>
        <w:t>expozície, ktoré nie sú expozíciami voči transakčnému partnerovi („revolvingoví dlžníci QRRE“). QRRE</w:t>
      </w:r>
      <w:r w:rsidR="004F01E9">
        <w:rPr>
          <w:noProof/>
        </w:rPr>
        <w:t xml:space="preserve"> s </w:t>
      </w:r>
      <w:r w:rsidRPr="004F01E9">
        <w:rPr>
          <w:noProof/>
        </w:rPr>
        <w:t>kratšou ako 12-mesačnou históriou splácania sa identifikujú ako revolvingoví dlžníci QRRE.“;</w:t>
      </w:r>
    </w:p>
    <w:p w14:paraId="3FE36994" w14:textId="74A043E3" w:rsidR="00806B81" w:rsidRPr="004F01E9" w:rsidRDefault="00B77426" w:rsidP="00B77426">
      <w:pPr>
        <w:pStyle w:val="Point1"/>
        <w:rPr>
          <w:noProof/>
        </w:rPr>
      </w:pPr>
      <w:r w:rsidRPr="004F01E9">
        <w:rPr>
          <w:noProof/>
        </w:rPr>
        <w:t>f)</w:t>
      </w:r>
      <w:r w:rsidRPr="004F01E9">
        <w:rPr>
          <w:noProof/>
        </w:rPr>
        <w:tab/>
        <w:t>Odseky 6</w:t>
      </w:r>
      <w:r w:rsidR="004F01E9">
        <w:rPr>
          <w:noProof/>
        </w:rPr>
        <w:t xml:space="preserve"> a </w:t>
      </w:r>
      <w:r w:rsidRPr="004F01E9">
        <w:rPr>
          <w:noProof/>
        </w:rPr>
        <w:t>7 sa nahrádzajú takto:</w:t>
      </w:r>
    </w:p>
    <w:p w14:paraId="68D0A98A" w14:textId="1AD7BD10" w:rsidR="00456352" w:rsidRPr="004F01E9" w:rsidRDefault="00456352" w:rsidP="00456352">
      <w:pPr>
        <w:pStyle w:val="Text2"/>
        <w:rPr>
          <w:noProof/>
        </w:rPr>
      </w:pPr>
      <w:r w:rsidRPr="004F01E9">
        <w:rPr>
          <w:noProof/>
        </w:rPr>
        <w:t>„6.</w:t>
      </w:r>
      <w:r w:rsidRPr="004F01E9">
        <w:rPr>
          <w:noProof/>
        </w:rPr>
        <w:tab/>
        <w:t>Pokiaľ nie sú zaradené do triedy expozícií stanovenej</w:t>
      </w:r>
      <w:r w:rsidR="004F01E9">
        <w:rPr>
          <w:noProof/>
        </w:rPr>
        <w:t xml:space="preserve"> v </w:t>
      </w:r>
      <w:r w:rsidRPr="004F01E9">
        <w:rPr>
          <w:noProof/>
        </w:rPr>
        <w:t>odseku 2 písm. e1), expozície uvedené</w:t>
      </w:r>
      <w:r w:rsidR="004F01E9">
        <w:rPr>
          <w:noProof/>
        </w:rPr>
        <w:t xml:space="preserve"> v </w:t>
      </w:r>
      <w:r w:rsidRPr="004F01E9">
        <w:rPr>
          <w:noProof/>
        </w:rPr>
        <w:t>článku 133 ods. 1 sa zaraďujú do triedy kapitálových expozícií stanovenej</w:t>
      </w:r>
      <w:r w:rsidR="004F01E9">
        <w:rPr>
          <w:noProof/>
        </w:rPr>
        <w:t xml:space="preserve"> v </w:t>
      </w:r>
      <w:r w:rsidRPr="004F01E9">
        <w:rPr>
          <w:noProof/>
        </w:rPr>
        <w:t>odseku 2 písm. e).</w:t>
      </w:r>
    </w:p>
    <w:p w14:paraId="26D8B440" w14:textId="51E8914A" w:rsidR="00806B81" w:rsidRPr="004F01E9" w:rsidRDefault="00456352" w:rsidP="00456352">
      <w:pPr>
        <w:pStyle w:val="Text2"/>
        <w:rPr>
          <w:noProof/>
        </w:rPr>
      </w:pPr>
      <w:r w:rsidRPr="004F01E9">
        <w:rPr>
          <w:noProof/>
        </w:rPr>
        <w:t>7. Každý kreditný záväzok, ktorý nie je zaradený do tried expozícií stanovených</w:t>
      </w:r>
      <w:r w:rsidR="004F01E9">
        <w:rPr>
          <w:noProof/>
        </w:rPr>
        <w:t xml:space="preserve"> v </w:t>
      </w:r>
      <w:r w:rsidRPr="004F01E9">
        <w:rPr>
          <w:noProof/>
        </w:rPr>
        <w:t>odseku 2 písm. a), a1), b), d), e)</w:t>
      </w:r>
      <w:r w:rsidR="004F01E9">
        <w:rPr>
          <w:noProof/>
        </w:rPr>
        <w:t xml:space="preserve"> a </w:t>
      </w:r>
      <w:r w:rsidRPr="004F01E9">
        <w:rPr>
          <w:noProof/>
        </w:rPr>
        <w:t>f), sa zaraďuje do jednej</w:t>
      </w:r>
      <w:r w:rsidR="004F01E9">
        <w:rPr>
          <w:noProof/>
        </w:rPr>
        <w:t xml:space="preserve"> z </w:t>
      </w:r>
      <w:r w:rsidRPr="004F01E9">
        <w:rPr>
          <w:noProof/>
        </w:rPr>
        <w:t>tried expozícií uvedených</w:t>
      </w:r>
      <w:r w:rsidR="004F01E9">
        <w:rPr>
          <w:noProof/>
        </w:rPr>
        <w:t xml:space="preserve"> v </w:t>
      </w:r>
      <w:r w:rsidRPr="004F01E9">
        <w:rPr>
          <w:noProof/>
        </w:rPr>
        <w:t>písmene c) uvedeného odseku.“;</w:t>
      </w:r>
    </w:p>
    <w:p w14:paraId="60CFF4F2" w14:textId="5DFB5E4E" w:rsidR="00456352" w:rsidRPr="004F01E9" w:rsidRDefault="00B77426" w:rsidP="00B77426">
      <w:pPr>
        <w:pStyle w:val="Point1"/>
        <w:rPr>
          <w:noProof/>
        </w:rPr>
      </w:pPr>
      <w:r w:rsidRPr="004F01E9">
        <w:rPr>
          <w:noProof/>
        </w:rPr>
        <w:t>g)</w:t>
      </w:r>
      <w:r w:rsidRPr="004F01E9">
        <w:rPr>
          <w:noProof/>
        </w:rPr>
        <w:tab/>
        <w:t>V odseku 8 sa dopĺňajú tieto pododseky:</w:t>
      </w:r>
    </w:p>
    <w:p w14:paraId="24F4CF9E" w14:textId="01D56467" w:rsidR="00456352" w:rsidRPr="004F01E9" w:rsidRDefault="00456352" w:rsidP="00456352">
      <w:pPr>
        <w:pStyle w:val="Text2"/>
        <w:rPr>
          <w:noProof/>
        </w:rPr>
      </w:pPr>
      <w:r w:rsidRPr="004F01E9">
        <w:rPr>
          <w:noProof/>
        </w:rPr>
        <w:t>„Uvedené expozície sa zaraďujú do triedy expozícií uvedenej</w:t>
      </w:r>
      <w:r w:rsidR="004F01E9">
        <w:rPr>
          <w:noProof/>
        </w:rPr>
        <w:t xml:space="preserve"> v </w:t>
      </w:r>
      <w:r w:rsidRPr="004F01E9">
        <w:rPr>
          <w:noProof/>
        </w:rPr>
        <w:t>odseku 2 písm. c) bode ii)</w:t>
      </w:r>
      <w:r w:rsidR="004F01E9">
        <w:rPr>
          <w:noProof/>
        </w:rPr>
        <w:t xml:space="preserve"> a </w:t>
      </w:r>
      <w:r w:rsidRPr="004F01E9">
        <w:rPr>
          <w:noProof/>
        </w:rPr>
        <w:t>rozdeľujú sa do týchto kategórií: „projektové financovanie“ (PF), „financovanie predmetov“ (OF), „financovanie komodít“ (CF)</w:t>
      </w:r>
      <w:r w:rsidR="004F01E9">
        <w:rPr>
          <w:noProof/>
        </w:rPr>
        <w:t xml:space="preserve"> a </w:t>
      </w:r>
      <w:r w:rsidRPr="004F01E9">
        <w:rPr>
          <w:noProof/>
        </w:rPr>
        <w:t>„nehnuteľnosti generujúce príjem“ (IPRE).</w:t>
      </w:r>
    </w:p>
    <w:p w14:paraId="5ECDA2DC" w14:textId="41B12218" w:rsidR="00456352" w:rsidRPr="0059109E" w:rsidRDefault="00456352" w:rsidP="00456352">
      <w:pPr>
        <w:pStyle w:val="Text2"/>
        <w:rPr>
          <w:noProof/>
          <w:spacing w:val="-6"/>
        </w:rPr>
      </w:pPr>
      <w:r w:rsidRPr="0059109E">
        <w:rPr>
          <w:noProof/>
          <w:spacing w:val="-6"/>
        </w:rPr>
        <w:t>EBA vypracuje návrh regulačných technických predpisov</w:t>
      </w:r>
      <w:r w:rsidR="004F01E9" w:rsidRPr="0059109E">
        <w:rPr>
          <w:noProof/>
          <w:spacing w:val="-6"/>
        </w:rPr>
        <w:t xml:space="preserve"> s </w:t>
      </w:r>
      <w:r w:rsidRPr="0059109E">
        <w:rPr>
          <w:noProof/>
          <w:spacing w:val="-6"/>
        </w:rPr>
        <w:t>cieľom presne stanoviť:</w:t>
      </w:r>
    </w:p>
    <w:p w14:paraId="11EDB02F" w14:textId="38182946" w:rsidR="00456352" w:rsidRPr="004F01E9" w:rsidRDefault="00335B5E" w:rsidP="00335B5E">
      <w:pPr>
        <w:pStyle w:val="Point2"/>
        <w:rPr>
          <w:noProof/>
        </w:rPr>
      </w:pPr>
      <w:r w:rsidRPr="004F01E9">
        <w:rPr>
          <w:noProof/>
        </w:rPr>
        <w:t>a)</w:t>
      </w:r>
      <w:r w:rsidRPr="004F01E9">
        <w:rPr>
          <w:noProof/>
        </w:rPr>
        <w:tab/>
        <w:t>rozdelenie do kategórií, ktorými sú PF, OF</w:t>
      </w:r>
      <w:r w:rsidR="004F01E9">
        <w:rPr>
          <w:noProof/>
        </w:rPr>
        <w:t xml:space="preserve"> a </w:t>
      </w:r>
      <w:r w:rsidRPr="004F01E9">
        <w:rPr>
          <w:noProof/>
        </w:rPr>
        <w:t>CF,</w:t>
      </w:r>
      <w:r w:rsidR="004F01E9">
        <w:rPr>
          <w:noProof/>
        </w:rPr>
        <w:t xml:space="preserve"> v </w:t>
      </w:r>
      <w:r w:rsidRPr="004F01E9">
        <w:rPr>
          <w:noProof/>
        </w:rPr>
        <w:t>súlade</w:t>
      </w:r>
      <w:r w:rsidR="004F01E9">
        <w:rPr>
          <w:noProof/>
        </w:rPr>
        <w:t xml:space="preserve"> s </w:t>
      </w:r>
      <w:r w:rsidRPr="004F01E9">
        <w:rPr>
          <w:noProof/>
        </w:rPr>
        <w:t>vymedzenými pojmami uvedenými</w:t>
      </w:r>
      <w:r w:rsidR="004F01E9">
        <w:rPr>
          <w:noProof/>
        </w:rPr>
        <w:t xml:space="preserve"> v </w:t>
      </w:r>
      <w:r w:rsidRPr="004F01E9">
        <w:rPr>
          <w:noProof/>
        </w:rPr>
        <w:t>kapitole 2;</w:t>
      </w:r>
    </w:p>
    <w:p w14:paraId="668CC1E1" w14:textId="5F409130" w:rsidR="00456352" w:rsidRPr="0059109E" w:rsidRDefault="00335B5E" w:rsidP="00335B5E">
      <w:pPr>
        <w:pStyle w:val="Point2"/>
        <w:rPr>
          <w:noProof/>
          <w:spacing w:val="-6"/>
        </w:rPr>
      </w:pPr>
      <w:r w:rsidRPr="004F01E9">
        <w:rPr>
          <w:noProof/>
        </w:rPr>
        <w:t>b)</w:t>
      </w:r>
      <w:r w:rsidRPr="004F01E9">
        <w:rPr>
          <w:noProof/>
        </w:rPr>
        <w:tab/>
      </w:r>
      <w:r w:rsidRPr="0059109E">
        <w:rPr>
          <w:noProof/>
          <w:spacing w:val="-6"/>
        </w:rPr>
        <w:t>určenie kategórie IPRE, najmä stanovenie toho, ktoré expozície ADC</w:t>
      </w:r>
      <w:r w:rsidR="004F01E9" w:rsidRPr="0059109E">
        <w:rPr>
          <w:noProof/>
          <w:spacing w:val="-6"/>
        </w:rPr>
        <w:t xml:space="preserve"> a </w:t>
      </w:r>
      <w:r w:rsidRPr="0059109E">
        <w:rPr>
          <w:noProof/>
          <w:spacing w:val="-6"/>
        </w:rPr>
        <w:t>expozície zabezpečené nehnuteľným majetkom sa môžu kategorizovať alebo sa kategorizujú ako IPRE, ak tieto expozície významne nezávisia od peňažných tokov vytvorených nehnuteľným majetkom na účely ich splatenia.</w:t>
      </w:r>
    </w:p>
    <w:p w14:paraId="40F6C787" w14:textId="7838E4B3" w:rsidR="00456352" w:rsidRPr="004F01E9" w:rsidRDefault="00456352" w:rsidP="00456352">
      <w:pPr>
        <w:pStyle w:val="Text2"/>
        <w:rPr>
          <w:noProof/>
        </w:rPr>
      </w:pPr>
      <w:r w:rsidRPr="004F01E9">
        <w:rPr>
          <w:noProof/>
        </w:rPr>
        <w:t>EBA predloží uvedený návrh regulačných technických predpisov Komisii do 31</w:t>
      </w:r>
      <w:r w:rsidR="004F01E9">
        <w:rPr>
          <w:noProof/>
        </w:rPr>
        <w:t>. decembra</w:t>
      </w:r>
      <w:r w:rsidRPr="004F01E9">
        <w:rPr>
          <w:noProof/>
        </w:rPr>
        <w:t xml:space="preserve"> 2025.</w:t>
      </w:r>
    </w:p>
    <w:p w14:paraId="56516A5F" w14:textId="5EE7DFF8" w:rsidR="00456352" w:rsidRPr="0059109E" w:rsidRDefault="00456352" w:rsidP="00456352">
      <w:pPr>
        <w:pStyle w:val="Text2"/>
        <w:rPr>
          <w:noProof/>
          <w:spacing w:val="-4"/>
        </w:rPr>
      </w:pPr>
      <w:r w:rsidRPr="0059109E">
        <w:rPr>
          <w:noProof/>
          <w:spacing w:val="-4"/>
        </w:rPr>
        <w:t>Na Komisiu sa deleguje právomoc prijať regulačné technické predpisy uvedené</w:t>
      </w:r>
      <w:r w:rsidR="004F01E9" w:rsidRPr="0059109E">
        <w:rPr>
          <w:noProof/>
          <w:spacing w:val="-4"/>
        </w:rPr>
        <w:t xml:space="preserve"> v </w:t>
      </w:r>
      <w:r w:rsidRPr="0059109E">
        <w:rPr>
          <w:noProof/>
          <w:spacing w:val="-4"/>
        </w:rPr>
        <w:t>prvom pododseku</w:t>
      </w:r>
      <w:r w:rsidR="004F01E9" w:rsidRPr="0059109E">
        <w:rPr>
          <w:noProof/>
          <w:spacing w:val="-4"/>
        </w:rPr>
        <w:t xml:space="preserve"> v </w:t>
      </w:r>
      <w:r w:rsidRPr="0059109E">
        <w:rPr>
          <w:noProof/>
          <w:spacing w:val="-4"/>
        </w:rPr>
        <w:t>súlade</w:t>
      </w:r>
      <w:r w:rsidR="004F01E9" w:rsidRPr="0059109E">
        <w:rPr>
          <w:noProof/>
          <w:spacing w:val="-4"/>
        </w:rPr>
        <w:t xml:space="preserve"> s </w:t>
      </w:r>
      <w:r w:rsidRPr="0059109E">
        <w:rPr>
          <w:noProof/>
          <w:spacing w:val="-4"/>
        </w:rPr>
        <w:t xml:space="preserve">článkami 10 až 14 nariadenia (EÚ) </w:t>
      </w:r>
      <w:r w:rsidR="004F01E9" w:rsidRPr="0059109E">
        <w:rPr>
          <w:noProof/>
          <w:spacing w:val="-4"/>
        </w:rPr>
        <w:t>č. </w:t>
      </w:r>
      <w:r w:rsidRPr="0059109E">
        <w:rPr>
          <w:noProof/>
          <w:spacing w:val="-4"/>
        </w:rPr>
        <w:t>1093/2010.“;</w:t>
      </w:r>
    </w:p>
    <w:p w14:paraId="0C6AA0AC" w14:textId="3555CDCB" w:rsidR="00456352" w:rsidRPr="004F01E9" w:rsidRDefault="00B77426" w:rsidP="00B77426">
      <w:pPr>
        <w:pStyle w:val="Point1"/>
        <w:rPr>
          <w:noProof/>
        </w:rPr>
      </w:pPr>
      <w:r w:rsidRPr="004F01E9">
        <w:rPr>
          <w:noProof/>
        </w:rPr>
        <w:t>h)</w:t>
      </w:r>
      <w:r w:rsidRPr="004F01E9">
        <w:rPr>
          <w:noProof/>
        </w:rPr>
        <w:tab/>
        <w:t>Dopĺňa sa nový odsek 11:</w:t>
      </w:r>
    </w:p>
    <w:p w14:paraId="71A29802" w14:textId="1CBEED78" w:rsidR="00456352" w:rsidRPr="004F01E9" w:rsidRDefault="00456352" w:rsidP="00456352">
      <w:pPr>
        <w:pStyle w:val="Text2"/>
        <w:rPr>
          <w:noProof/>
        </w:rPr>
      </w:pPr>
      <w:r w:rsidRPr="004F01E9">
        <w:rPr>
          <w:noProof/>
        </w:rPr>
        <w:t>„11. EBA vypracuje návrh regulačných technických predpisov,</w:t>
      </w:r>
      <w:r w:rsidR="004F01E9">
        <w:rPr>
          <w:noProof/>
        </w:rPr>
        <w:t xml:space="preserve"> v </w:t>
      </w:r>
      <w:r w:rsidRPr="004F01E9">
        <w:rPr>
          <w:noProof/>
        </w:rPr>
        <w:t>ktorých bližšie určí triedy uvedené</w:t>
      </w:r>
      <w:r w:rsidR="004F01E9">
        <w:rPr>
          <w:noProof/>
        </w:rPr>
        <w:t xml:space="preserve"> v </w:t>
      </w:r>
      <w:r w:rsidRPr="004F01E9">
        <w:rPr>
          <w:noProof/>
        </w:rPr>
        <w:t>odseku 2, ak je to potrebné,</w:t>
      </w:r>
      <w:r w:rsidR="004F01E9">
        <w:rPr>
          <w:noProof/>
        </w:rPr>
        <w:t xml:space="preserve"> a </w:t>
      </w:r>
      <w:r w:rsidRPr="004F01E9">
        <w:rPr>
          <w:noProof/>
        </w:rPr>
        <w:t>podmienky</w:t>
      </w:r>
      <w:r w:rsidR="004F01E9">
        <w:rPr>
          <w:noProof/>
        </w:rPr>
        <w:t xml:space="preserve"> a </w:t>
      </w:r>
      <w:r w:rsidRPr="004F01E9">
        <w:rPr>
          <w:noProof/>
        </w:rPr>
        <w:t>kritériá zaraďovania expozícií do týchto tried.</w:t>
      </w:r>
    </w:p>
    <w:p w14:paraId="05AE8768" w14:textId="5F9F99A1" w:rsidR="00456352" w:rsidRPr="004F01E9" w:rsidRDefault="00456352" w:rsidP="00456352">
      <w:pPr>
        <w:pStyle w:val="Text2"/>
        <w:rPr>
          <w:noProof/>
        </w:rPr>
      </w:pPr>
      <w:r w:rsidRPr="004F01E9">
        <w:rPr>
          <w:noProof/>
        </w:rPr>
        <w:t>EBA predloží uvedený návrh regulačných technických predpisov Komisii do 31</w:t>
      </w:r>
      <w:r w:rsidR="004F01E9">
        <w:rPr>
          <w:noProof/>
        </w:rPr>
        <w:t>. decembra</w:t>
      </w:r>
      <w:r w:rsidRPr="004F01E9">
        <w:rPr>
          <w:noProof/>
        </w:rPr>
        <w:t xml:space="preserve"> 2026.</w:t>
      </w:r>
    </w:p>
    <w:p w14:paraId="138D4BDE" w14:textId="7FC3765E" w:rsidR="002E0711" w:rsidRPr="004F01E9" w:rsidRDefault="00456352" w:rsidP="00860B4D">
      <w:pPr>
        <w:pStyle w:val="Text2"/>
        <w:rPr>
          <w:noProof/>
        </w:rPr>
      </w:pPr>
      <w:r w:rsidRPr="004F01E9">
        <w:rPr>
          <w:noProof/>
        </w:rPr>
        <w:t>Na Komisiu sa deleguje právomoc doplniť toto nariadenie prijatím regulačných technických predpisov uvedených</w:t>
      </w:r>
      <w:r w:rsidR="004F01E9">
        <w:rPr>
          <w:noProof/>
        </w:rPr>
        <w:t xml:space="preserve"> v </w:t>
      </w:r>
      <w:r w:rsidRPr="004F01E9">
        <w:rPr>
          <w:noProof/>
        </w:rPr>
        <w:t>prvom pododseku</w:t>
      </w:r>
      <w:r w:rsidR="004F01E9">
        <w:rPr>
          <w:noProof/>
        </w:rPr>
        <w:t xml:space="preserve"> v </w:t>
      </w:r>
      <w:r w:rsidRPr="004F01E9">
        <w:rPr>
          <w:noProof/>
        </w:rPr>
        <w:t>súlade</w:t>
      </w:r>
      <w:r w:rsidR="004F01E9">
        <w:rPr>
          <w:noProof/>
        </w:rPr>
        <w:t xml:space="preserve"> s </w:t>
      </w:r>
      <w:r w:rsidRPr="004F01E9">
        <w:rPr>
          <w:noProof/>
        </w:rPr>
        <w:t xml:space="preserve">článkami 10 až 14 nariadenia (EÚ) </w:t>
      </w:r>
      <w:r w:rsidR="004F01E9">
        <w:rPr>
          <w:noProof/>
        </w:rPr>
        <w:t>č. </w:t>
      </w:r>
      <w:r w:rsidRPr="004F01E9">
        <w:rPr>
          <w:noProof/>
        </w:rPr>
        <w:t>1093/2010.“</w:t>
      </w:r>
    </w:p>
    <w:p w14:paraId="2EA44822" w14:textId="42181D2F" w:rsidR="00860B4D" w:rsidRPr="004F01E9" w:rsidRDefault="00B16452" w:rsidP="00B16452">
      <w:pPr>
        <w:pStyle w:val="Point0"/>
        <w:rPr>
          <w:noProof/>
        </w:rPr>
      </w:pPr>
      <w:r w:rsidRPr="00B16452">
        <w:rPr>
          <w:noProof/>
        </w:rPr>
        <w:t>62</w:t>
      </w:r>
      <w:r>
        <w:rPr>
          <w:noProof/>
        </w:rPr>
        <w:t>.</w:t>
      </w:r>
      <w:r w:rsidRPr="00B16452">
        <w:rPr>
          <w:noProof/>
        </w:rPr>
        <w:tab/>
      </w:r>
      <w:r w:rsidR="00860B4D" w:rsidRPr="004F01E9">
        <w:rPr>
          <w:noProof/>
        </w:rPr>
        <w:t>Článok 148 sa mení takto:</w:t>
      </w:r>
    </w:p>
    <w:p w14:paraId="6F701AF0" w14:textId="5F9F8EB9" w:rsidR="00860B4D" w:rsidRPr="004F01E9" w:rsidRDefault="00335E05" w:rsidP="00335E05">
      <w:pPr>
        <w:pStyle w:val="Point1"/>
        <w:rPr>
          <w:noProof/>
        </w:rPr>
      </w:pPr>
      <w:r w:rsidRPr="004F01E9">
        <w:rPr>
          <w:noProof/>
        </w:rPr>
        <w:t>a)</w:t>
      </w:r>
      <w:r w:rsidRPr="004F01E9">
        <w:rPr>
          <w:noProof/>
        </w:rPr>
        <w:tab/>
        <w:t>Odseky 1</w:t>
      </w:r>
      <w:r w:rsidR="004F01E9">
        <w:rPr>
          <w:noProof/>
        </w:rPr>
        <w:t xml:space="preserve"> a </w:t>
      </w:r>
      <w:r w:rsidRPr="004F01E9">
        <w:rPr>
          <w:noProof/>
        </w:rPr>
        <w:t>2 sa nahrádzajú takto:</w:t>
      </w:r>
    </w:p>
    <w:p w14:paraId="6BC31281" w14:textId="5F172007" w:rsidR="00806B81" w:rsidRPr="004F01E9" w:rsidRDefault="00860B4D" w:rsidP="00860B4D">
      <w:pPr>
        <w:pStyle w:val="Text1"/>
        <w:rPr>
          <w:noProof/>
        </w:rPr>
      </w:pPr>
      <w:r w:rsidRPr="004F01E9">
        <w:rPr>
          <w:noProof/>
        </w:rPr>
        <w:t>„1. Inštitúcia, ktorá má povolené uplatňovať prístup IRB</w:t>
      </w:r>
      <w:r w:rsidR="004F01E9">
        <w:rPr>
          <w:noProof/>
        </w:rPr>
        <w:t xml:space="preserve"> v </w:t>
      </w:r>
      <w:r w:rsidRPr="004F01E9">
        <w:rPr>
          <w:noProof/>
        </w:rPr>
        <w:t>súlade</w:t>
      </w:r>
      <w:r w:rsidR="004F01E9">
        <w:rPr>
          <w:noProof/>
        </w:rPr>
        <w:t xml:space="preserve"> s </w:t>
      </w:r>
      <w:r w:rsidRPr="004F01E9">
        <w:rPr>
          <w:noProof/>
        </w:rPr>
        <w:t>článkom 107 ods. 1, implementuje prístup IRB spolu</w:t>
      </w:r>
      <w:r w:rsidR="004F01E9">
        <w:rPr>
          <w:noProof/>
        </w:rPr>
        <w:t xml:space="preserve"> s </w:t>
      </w:r>
      <w:r w:rsidRPr="004F01E9">
        <w:rPr>
          <w:noProof/>
        </w:rPr>
        <w:t>akoukoľvek materskou spoločnosťou</w:t>
      </w:r>
      <w:r w:rsidR="004F01E9">
        <w:rPr>
          <w:noProof/>
        </w:rPr>
        <w:t xml:space="preserve"> a </w:t>
      </w:r>
      <w:r w:rsidRPr="004F01E9">
        <w:rPr>
          <w:noProof/>
        </w:rPr>
        <w:t>jej dcérskymi spoločnosťami aspoň pre jednu</w:t>
      </w:r>
      <w:r w:rsidR="004F01E9">
        <w:rPr>
          <w:noProof/>
        </w:rPr>
        <w:t xml:space="preserve"> z </w:t>
      </w:r>
      <w:r w:rsidRPr="004F01E9">
        <w:rPr>
          <w:noProof/>
        </w:rPr>
        <w:t>tried expozícií uvedených</w:t>
      </w:r>
      <w:r w:rsidR="004F01E9">
        <w:rPr>
          <w:noProof/>
        </w:rPr>
        <w:t xml:space="preserve"> v </w:t>
      </w:r>
      <w:r w:rsidRPr="004F01E9">
        <w:rPr>
          <w:noProof/>
        </w:rPr>
        <w:t>článku 147 ods. 2 písm. a), písm. a1) bodoch i)</w:t>
      </w:r>
      <w:r w:rsidR="004F01E9">
        <w:rPr>
          <w:noProof/>
        </w:rPr>
        <w:t xml:space="preserve"> a </w:t>
      </w:r>
      <w:r w:rsidRPr="004F01E9">
        <w:rPr>
          <w:noProof/>
        </w:rPr>
        <w:t>ii), písm. b), písm. c) bodoch i), ii)</w:t>
      </w:r>
      <w:r w:rsidR="004F01E9">
        <w:rPr>
          <w:noProof/>
        </w:rPr>
        <w:t xml:space="preserve"> a </w:t>
      </w:r>
      <w:r w:rsidRPr="004F01E9">
        <w:rPr>
          <w:noProof/>
        </w:rPr>
        <w:t>iii), písm. d) bodoch i), ii), iii)</w:t>
      </w:r>
      <w:r w:rsidR="004F01E9">
        <w:rPr>
          <w:noProof/>
        </w:rPr>
        <w:t xml:space="preserve"> a </w:t>
      </w:r>
      <w:r w:rsidRPr="004F01E9">
        <w:rPr>
          <w:noProof/>
        </w:rPr>
        <w:t>iv), písm. e1), f)</w:t>
      </w:r>
      <w:r w:rsidR="004F01E9">
        <w:rPr>
          <w:noProof/>
        </w:rPr>
        <w:t xml:space="preserve"> a </w:t>
      </w:r>
      <w:r w:rsidRPr="004F01E9">
        <w:rPr>
          <w:noProof/>
        </w:rPr>
        <w:t>g). Po tom, ako inštitúcia implementuje prístup IRB pre jednu</w:t>
      </w:r>
      <w:r w:rsidR="004F01E9">
        <w:rPr>
          <w:noProof/>
        </w:rPr>
        <w:t xml:space="preserve"> z </w:t>
      </w:r>
      <w:r w:rsidRPr="004F01E9">
        <w:rPr>
          <w:noProof/>
        </w:rPr>
        <w:t>uvedených tried expozícií, implementuje ho pre všetky expozície</w:t>
      </w:r>
      <w:r w:rsidR="004F01E9">
        <w:rPr>
          <w:noProof/>
        </w:rPr>
        <w:t xml:space="preserve"> v </w:t>
      </w:r>
      <w:r w:rsidRPr="004F01E9">
        <w:rPr>
          <w:noProof/>
        </w:rPr>
        <w:t>rámci danej triedy expozícií, pokiaľ nezískala povolenie príslušných orgánov na trvalé používanie štandardizovaného prístupu</w:t>
      </w:r>
      <w:r w:rsidR="004F01E9">
        <w:rPr>
          <w:noProof/>
        </w:rPr>
        <w:t xml:space="preserve"> v </w:t>
      </w:r>
      <w:r w:rsidRPr="004F01E9">
        <w:rPr>
          <w:noProof/>
        </w:rPr>
        <w:t>súlade</w:t>
      </w:r>
      <w:r w:rsidR="004F01E9">
        <w:rPr>
          <w:noProof/>
        </w:rPr>
        <w:t xml:space="preserve"> s </w:t>
      </w:r>
      <w:r w:rsidRPr="004F01E9">
        <w:rPr>
          <w:noProof/>
        </w:rPr>
        <w:t>článkom 150.</w:t>
      </w:r>
    </w:p>
    <w:p w14:paraId="436E0B2F" w14:textId="701B66C2" w:rsidR="00806B81" w:rsidRPr="004F01E9" w:rsidRDefault="00860B4D" w:rsidP="00860B4D">
      <w:pPr>
        <w:pStyle w:val="Text1"/>
        <w:rPr>
          <w:noProof/>
        </w:rPr>
      </w:pPr>
      <w:r w:rsidRPr="004F01E9">
        <w:rPr>
          <w:noProof/>
        </w:rPr>
        <w:t>S výhradou získania predchádzajúceho povolenia príslušných orgánov sa implementácia prístupu IRB môže vykonávať postupne naprieč jednotlivými druhmi expozícií</w:t>
      </w:r>
      <w:r w:rsidR="004F01E9">
        <w:rPr>
          <w:noProof/>
        </w:rPr>
        <w:t xml:space="preserve"> v </w:t>
      </w:r>
      <w:r w:rsidRPr="004F01E9">
        <w:rPr>
          <w:noProof/>
        </w:rPr>
        <w:t>rámci tej istej triedy expozícií</w:t>
      </w:r>
      <w:r w:rsidR="004F01E9">
        <w:rPr>
          <w:noProof/>
        </w:rPr>
        <w:t xml:space="preserve"> a v </w:t>
      </w:r>
      <w:r w:rsidRPr="004F01E9">
        <w:rPr>
          <w:noProof/>
        </w:rPr>
        <w:t>rámci toho istého obchodného útvaru</w:t>
      </w:r>
      <w:r w:rsidR="004F01E9">
        <w:rPr>
          <w:noProof/>
        </w:rPr>
        <w:t xml:space="preserve"> a </w:t>
      </w:r>
      <w:r w:rsidRPr="004F01E9">
        <w:rPr>
          <w:noProof/>
        </w:rPr>
        <w:t>medzi rôznymi obchodnými útvarmi</w:t>
      </w:r>
      <w:r w:rsidR="004F01E9">
        <w:rPr>
          <w:noProof/>
        </w:rPr>
        <w:t xml:space="preserve"> v </w:t>
      </w:r>
      <w:r w:rsidRPr="004F01E9">
        <w:rPr>
          <w:noProof/>
        </w:rPr>
        <w:t>tej istej skupine alebo</w:t>
      </w:r>
      <w:r w:rsidR="004F01E9">
        <w:rPr>
          <w:noProof/>
        </w:rPr>
        <w:t xml:space="preserve"> v </w:t>
      </w:r>
      <w:r w:rsidRPr="004F01E9">
        <w:rPr>
          <w:noProof/>
        </w:rPr>
        <w:t>súvislosti</w:t>
      </w:r>
      <w:r w:rsidR="004F01E9">
        <w:rPr>
          <w:noProof/>
        </w:rPr>
        <w:t xml:space="preserve"> s </w:t>
      </w:r>
      <w:r w:rsidRPr="004F01E9">
        <w:rPr>
          <w:noProof/>
        </w:rPr>
        <w:t>používaním vlastných odhadov LGD alebo IRB-CCF.</w:t>
      </w:r>
    </w:p>
    <w:p w14:paraId="1B322896" w14:textId="379F6E6B" w:rsidR="00860B4D" w:rsidRPr="004F01E9" w:rsidRDefault="00860B4D" w:rsidP="00860B4D">
      <w:pPr>
        <w:pStyle w:val="Text1"/>
        <w:rPr>
          <w:noProof/>
        </w:rPr>
      </w:pPr>
      <w:r w:rsidRPr="004F01E9">
        <w:rPr>
          <w:noProof/>
        </w:rPr>
        <w:t>2.</w:t>
      </w:r>
      <w:r w:rsidRPr="004F01E9">
        <w:rPr>
          <w:noProof/>
        </w:rPr>
        <w:tab/>
        <w:t>Príslušné orgány určia lehotu,</w:t>
      </w:r>
      <w:r w:rsidR="004F01E9">
        <w:rPr>
          <w:noProof/>
        </w:rPr>
        <w:t xml:space="preserve"> v </w:t>
      </w:r>
      <w:r w:rsidRPr="004F01E9">
        <w:rPr>
          <w:noProof/>
        </w:rPr>
        <w:t>rámci ktorej sa od inštitúcie</w:t>
      </w:r>
      <w:r w:rsidR="004F01E9">
        <w:rPr>
          <w:noProof/>
        </w:rPr>
        <w:t xml:space="preserve"> a </w:t>
      </w:r>
      <w:r w:rsidRPr="004F01E9">
        <w:rPr>
          <w:noProof/>
        </w:rPr>
        <w:t>akejkoľvek materskej spoločnosti</w:t>
      </w:r>
      <w:r w:rsidR="004F01E9">
        <w:rPr>
          <w:noProof/>
        </w:rPr>
        <w:t xml:space="preserve"> a </w:t>
      </w:r>
      <w:r w:rsidRPr="004F01E9">
        <w:rPr>
          <w:noProof/>
        </w:rPr>
        <w:t>jej dcérskych spoločností vyžaduje, aby implementovali prístup IRB pre všetky expozície</w:t>
      </w:r>
      <w:r w:rsidR="004F01E9">
        <w:rPr>
          <w:noProof/>
        </w:rPr>
        <w:t xml:space="preserve"> v </w:t>
      </w:r>
      <w:r w:rsidRPr="004F01E9">
        <w:rPr>
          <w:noProof/>
        </w:rPr>
        <w:t>rámci jednej triedy expozícií naprieč rôznymi obchodnými útvarmi</w:t>
      </w:r>
      <w:r w:rsidR="004F01E9">
        <w:rPr>
          <w:noProof/>
        </w:rPr>
        <w:t xml:space="preserve"> v </w:t>
      </w:r>
      <w:r w:rsidRPr="004F01E9">
        <w:rPr>
          <w:noProof/>
        </w:rPr>
        <w:t>tej istej skupine alebo</w:t>
      </w:r>
      <w:r w:rsidR="004F01E9">
        <w:rPr>
          <w:noProof/>
        </w:rPr>
        <w:t xml:space="preserve"> v </w:t>
      </w:r>
      <w:r w:rsidRPr="004F01E9">
        <w:rPr>
          <w:noProof/>
        </w:rPr>
        <w:t>súvislosti</w:t>
      </w:r>
      <w:r w:rsidR="004F01E9">
        <w:rPr>
          <w:noProof/>
        </w:rPr>
        <w:t xml:space="preserve"> s </w:t>
      </w:r>
      <w:r w:rsidRPr="004F01E9">
        <w:rPr>
          <w:noProof/>
        </w:rPr>
        <w:t>používaním vlastných odhadov LGD alebo IRB-CCF. Uvedenou lehotou je lehota, ktorú príslušné orgány považujú za primeranú na základe povahy</w:t>
      </w:r>
      <w:r w:rsidR="004F01E9">
        <w:rPr>
          <w:noProof/>
        </w:rPr>
        <w:t xml:space="preserve"> a </w:t>
      </w:r>
      <w:r w:rsidRPr="004F01E9">
        <w:rPr>
          <w:noProof/>
        </w:rPr>
        <w:t>rozsahu činností príslušnej inštitúcie alebo akejkoľvek materskej spoločnosti</w:t>
      </w:r>
      <w:r w:rsidR="004F01E9">
        <w:rPr>
          <w:noProof/>
        </w:rPr>
        <w:t xml:space="preserve"> a </w:t>
      </w:r>
      <w:r w:rsidRPr="004F01E9">
        <w:rPr>
          <w:noProof/>
        </w:rPr>
        <w:t>jej dcérskych spoločností</w:t>
      </w:r>
      <w:r w:rsidR="004F01E9">
        <w:rPr>
          <w:noProof/>
        </w:rPr>
        <w:t xml:space="preserve"> a </w:t>
      </w:r>
      <w:r w:rsidRPr="004F01E9">
        <w:rPr>
          <w:noProof/>
        </w:rPr>
        <w:t>na základe počtu</w:t>
      </w:r>
      <w:r w:rsidR="004F01E9">
        <w:rPr>
          <w:noProof/>
        </w:rPr>
        <w:t xml:space="preserve"> a </w:t>
      </w:r>
      <w:r w:rsidRPr="004F01E9">
        <w:rPr>
          <w:noProof/>
        </w:rPr>
        <w:t>povahy ratingových systémov, ktoré sa majú implementovať.“;</w:t>
      </w:r>
    </w:p>
    <w:p w14:paraId="6E4BD164" w14:textId="300B95FF" w:rsidR="00860B4D" w:rsidRPr="004F01E9" w:rsidRDefault="00335E05" w:rsidP="00335E05">
      <w:pPr>
        <w:pStyle w:val="Point1"/>
        <w:rPr>
          <w:noProof/>
        </w:rPr>
      </w:pPr>
      <w:r w:rsidRPr="004F01E9">
        <w:rPr>
          <w:noProof/>
        </w:rPr>
        <w:t>b)</w:t>
      </w:r>
      <w:r w:rsidRPr="004F01E9">
        <w:rPr>
          <w:noProof/>
        </w:rPr>
        <w:tab/>
        <w:t>Odseky 4, 5</w:t>
      </w:r>
      <w:r w:rsidR="004F01E9">
        <w:rPr>
          <w:noProof/>
        </w:rPr>
        <w:t xml:space="preserve"> a </w:t>
      </w:r>
      <w:r w:rsidRPr="004F01E9">
        <w:rPr>
          <w:noProof/>
        </w:rPr>
        <w:t>6 sa vypúšťajú.</w:t>
      </w:r>
    </w:p>
    <w:p w14:paraId="6DACCD6E" w14:textId="0A3664B7" w:rsidR="00860B4D" w:rsidRPr="004F01E9" w:rsidRDefault="00B16452" w:rsidP="00B16452">
      <w:pPr>
        <w:pStyle w:val="Point0"/>
        <w:rPr>
          <w:noProof/>
        </w:rPr>
      </w:pPr>
      <w:r w:rsidRPr="00B16452">
        <w:rPr>
          <w:noProof/>
        </w:rPr>
        <w:t>63</w:t>
      </w:r>
      <w:r>
        <w:rPr>
          <w:noProof/>
        </w:rPr>
        <w:t>.</w:t>
      </w:r>
      <w:r w:rsidRPr="00B16452">
        <w:rPr>
          <w:noProof/>
        </w:rPr>
        <w:tab/>
      </w:r>
      <w:r w:rsidR="00860B4D" w:rsidRPr="004F01E9">
        <w:rPr>
          <w:noProof/>
        </w:rPr>
        <w:t>Článok 150 sa mení takto:</w:t>
      </w:r>
    </w:p>
    <w:p w14:paraId="1951E894" w14:textId="27486B23" w:rsidR="00860B4D" w:rsidRPr="004F01E9" w:rsidRDefault="00335E05" w:rsidP="00335E05">
      <w:pPr>
        <w:pStyle w:val="Point1"/>
        <w:rPr>
          <w:noProof/>
        </w:rPr>
      </w:pPr>
      <w:r w:rsidRPr="004F01E9">
        <w:rPr>
          <w:noProof/>
        </w:rPr>
        <w:t>a)</w:t>
      </w:r>
      <w:r w:rsidRPr="004F01E9">
        <w:rPr>
          <w:noProof/>
        </w:rPr>
        <w:tab/>
        <w:t>Odsek 1 sa nahrádza takto:</w:t>
      </w:r>
    </w:p>
    <w:p w14:paraId="765433BA" w14:textId="77777777" w:rsidR="00860B4D" w:rsidRPr="004F01E9" w:rsidRDefault="00860B4D" w:rsidP="00860B4D">
      <w:pPr>
        <w:pStyle w:val="Text2"/>
        <w:rPr>
          <w:noProof/>
        </w:rPr>
      </w:pPr>
      <w:r w:rsidRPr="004F01E9">
        <w:rPr>
          <w:noProof/>
        </w:rPr>
        <w:t>„1. Inštitúcie uplatňujú štandardizovaný prístup na všetky tieto expozície:</w:t>
      </w:r>
    </w:p>
    <w:p w14:paraId="17516F18" w14:textId="234701F3" w:rsidR="00860B4D" w:rsidRPr="004F01E9" w:rsidRDefault="00860B4D" w:rsidP="00860B4D">
      <w:pPr>
        <w:pStyle w:val="Point2"/>
        <w:rPr>
          <w:noProof/>
        </w:rPr>
      </w:pPr>
      <w:r w:rsidRPr="004F01E9">
        <w:rPr>
          <w:noProof/>
        </w:rPr>
        <w:t>a)</w:t>
      </w:r>
      <w:r w:rsidRPr="004F01E9">
        <w:rPr>
          <w:noProof/>
        </w:rPr>
        <w:tab/>
        <w:t>expozície zaradené do triedy kapitálových expozícií uvedenej</w:t>
      </w:r>
      <w:r w:rsidR="004F01E9">
        <w:rPr>
          <w:noProof/>
        </w:rPr>
        <w:t xml:space="preserve"> v </w:t>
      </w:r>
      <w:r w:rsidRPr="004F01E9">
        <w:rPr>
          <w:noProof/>
        </w:rPr>
        <w:t>článku 147 ods. 2 písm. e);</w:t>
      </w:r>
    </w:p>
    <w:p w14:paraId="46B00034" w14:textId="02FF5D2B" w:rsidR="00806B81" w:rsidRPr="004F01E9" w:rsidRDefault="00860B4D" w:rsidP="00860B4D">
      <w:pPr>
        <w:pStyle w:val="Point2"/>
        <w:rPr>
          <w:noProof/>
        </w:rPr>
      </w:pPr>
      <w:r w:rsidRPr="004F01E9">
        <w:rPr>
          <w:noProof/>
        </w:rPr>
        <w:t>b)</w:t>
      </w:r>
      <w:r w:rsidRPr="004F01E9">
        <w:rPr>
          <w:noProof/>
        </w:rPr>
        <w:tab/>
        <w:t>expozície zaradené do tried expozícií, pre ktoré sa inštitúcie rozhodli neimplementovať prístup IRB na výpočet hodnôt rizikovo vážených expozícií</w:t>
      </w:r>
      <w:r w:rsidR="004F01E9">
        <w:rPr>
          <w:noProof/>
        </w:rPr>
        <w:t xml:space="preserve"> a </w:t>
      </w:r>
      <w:r w:rsidRPr="004F01E9">
        <w:rPr>
          <w:noProof/>
        </w:rPr>
        <w:t>výšky očakávaných strát;</w:t>
      </w:r>
    </w:p>
    <w:p w14:paraId="19E615F1" w14:textId="0CA95266" w:rsidR="00860B4D" w:rsidRPr="004F01E9" w:rsidRDefault="00860B4D" w:rsidP="00860B4D">
      <w:pPr>
        <w:pStyle w:val="Point2"/>
        <w:rPr>
          <w:noProof/>
        </w:rPr>
      </w:pPr>
      <w:r w:rsidRPr="004F01E9">
        <w:rPr>
          <w:noProof/>
        </w:rPr>
        <w:t>c)</w:t>
      </w:r>
      <w:r w:rsidRPr="004F01E9">
        <w:rPr>
          <w:noProof/>
        </w:rPr>
        <w:tab/>
        <w:t>expozície, pre ktoré inštitúcie nezískali predchádzajúce povolenie príslušných orgánov používať prístup IRB na výpočet hodnoty rizikovo vážených expozícií</w:t>
      </w:r>
      <w:r w:rsidR="004F01E9">
        <w:rPr>
          <w:noProof/>
        </w:rPr>
        <w:t xml:space="preserve"> a </w:t>
      </w:r>
      <w:r w:rsidRPr="004F01E9">
        <w:rPr>
          <w:noProof/>
        </w:rPr>
        <w:t>výšky očakávaných strát.</w:t>
      </w:r>
    </w:p>
    <w:p w14:paraId="2AE487C2" w14:textId="256266D2" w:rsidR="00860B4D" w:rsidRPr="004F01E9" w:rsidRDefault="00860B4D" w:rsidP="00860B4D">
      <w:pPr>
        <w:pStyle w:val="Text2"/>
        <w:rPr>
          <w:noProof/>
        </w:rPr>
      </w:pPr>
      <w:r w:rsidRPr="004F01E9">
        <w:rPr>
          <w:noProof/>
        </w:rPr>
        <w:t>Inštitúcia, ktorá má povolené používať prístup IRB na výpočet hodnôt rizikovo vážených expozícií</w:t>
      </w:r>
      <w:r w:rsidR="004F01E9">
        <w:rPr>
          <w:noProof/>
        </w:rPr>
        <w:t xml:space="preserve"> a </w:t>
      </w:r>
      <w:r w:rsidRPr="004F01E9">
        <w:rPr>
          <w:noProof/>
        </w:rPr>
        <w:t>výšky očakávaných strát pre určitú triedu expozícií, môže</w:t>
      </w:r>
      <w:r w:rsidR="004F01E9">
        <w:rPr>
          <w:noProof/>
        </w:rPr>
        <w:t xml:space="preserve"> s </w:t>
      </w:r>
      <w:r w:rsidRPr="004F01E9">
        <w:rPr>
          <w:noProof/>
        </w:rPr>
        <w:t>výhradou predchádzajúceho povolenia príslušného orgánu uplatňovať pri niektorých druhoch expozícií</w:t>
      </w:r>
      <w:r w:rsidR="004F01E9">
        <w:rPr>
          <w:noProof/>
        </w:rPr>
        <w:t xml:space="preserve"> v </w:t>
      </w:r>
      <w:r w:rsidRPr="004F01E9">
        <w:rPr>
          <w:noProof/>
        </w:rPr>
        <w:t>rámci danej triedy expozícií štandardizovaný prístup, ak sú tieto druhy expozícií nepodstatné</w:t>
      </w:r>
      <w:r w:rsidR="004F01E9">
        <w:rPr>
          <w:noProof/>
        </w:rPr>
        <w:t xml:space="preserve"> z </w:t>
      </w:r>
      <w:r w:rsidRPr="004F01E9">
        <w:rPr>
          <w:noProof/>
        </w:rPr>
        <w:t>hľadiska veľkosti</w:t>
      </w:r>
      <w:r w:rsidR="004F01E9">
        <w:rPr>
          <w:noProof/>
        </w:rPr>
        <w:t xml:space="preserve"> a </w:t>
      </w:r>
      <w:r w:rsidRPr="004F01E9">
        <w:rPr>
          <w:noProof/>
        </w:rPr>
        <w:t>vnímaného rizikového profilu.</w:t>
      </w:r>
    </w:p>
    <w:p w14:paraId="1C38E2B6" w14:textId="16BBF96A" w:rsidR="00860B4D" w:rsidRPr="004F01E9" w:rsidRDefault="00860B4D" w:rsidP="00860B4D">
      <w:pPr>
        <w:pStyle w:val="Text2"/>
        <w:rPr>
          <w:noProof/>
        </w:rPr>
      </w:pPr>
      <w:r w:rsidRPr="004F01E9">
        <w:rPr>
          <w:noProof/>
        </w:rPr>
        <w:t>Inštitúcia, ktorá má povolené používať prístup IRB na výpočet hodnôt rizikovo vážených expozícií len pri niektorých druhoch expozícií</w:t>
      </w:r>
      <w:r w:rsidR="004F01E9">
        <w:rPr>
          <w:noProof/>
        </w:rPr>
        <w:t xml:space="preserve"> v </w:t>
      </w:r>
      <w:r w:rsidRPr="004F01E9">
        <w:rPr>
          <w:noProof/>
        </w:rPr>
        <w:t>rámci triedy expozícií, uplatňuje pri zvyšných druhoch expozícií</w:t>
      </w:r>
      <w:r w:rsidR="004F01E9">
        <w:rPr>
          <w:noProof/>
        </w:rPr>
        <w:t xml:space="preserve"> v </w:t>
      </w:r>
      <w:r w:rsidRPr="004F01E9">
        <w:rPr>
          <w:noProof/>
        </w:rPr>
        <w:t>rámci danej triedy expozícií štandardizovaný prístup.“;</w:t>
      </w:r>
    </w:p>
    <w:p w14:paraId="4D5E33A9" w14:textId="25A5DDA8" w:rsidR="00860B4D" w:rsidRPr="004F01E9" w:rsidRDefault="00335E05" w:rsidP="00335E05">
      <w:pPr>
        <w:pStyle w:val="Point1"/>
        <w:rPr>
          <w:noProof/>
        </w:rPr>
      </w:pPr>
      <w:r w:rsidRPr="004F01E9">
        <w:rPr>
          <w:noProof/>
        </w:rPr>
        <w:t>b)</w:t>
      </w:r>
      <w:r w:rsidRPr="004F01E9">
        <w:rPr>
          <w:noProof/>
        </w:rPr>
        <w:tab/>
        <w:t>Odseky 2, 3</w:t>
      </w:r>
      <w:r w:rsidR="004F01E9">
        <w:rPr>
          <w:noProof/>
        </w:rPr>
        <w:t xml:space="preserve"> a </w:t>
      </w:r>
      <w:r w:rsidRPr="004F01E9">
        <w:rPr>
          <w:noProof/>
        </w:rPr>
        <w:t>4 sa vypúšťajú.</w:t>
      </w:r>
    </w:p>
    <w:p w14:paraId="31F0C88A" w14:textId="541C462C" w:rsidR="00860B4D" w:rsidRPr="004F01E9" w:rsidRDefault="00B16452" w:rsidP="00B16452">
      <w:pPr>
        <w:pStyle w:val="Point0"/>
        <w:rPr>
          <w:noProof/>
        </w:rPr>
      </w:pPr>
      <w:r w:rsidRPr="00B16452">
        <w:rPr>
          <w:noProof/>
        </w:rPr>
        <w:t>64</w:t>
      </w:r>
      <w:r>
        <w:rPr>
          <w:noProof/>
        </w:rPr>
        <w:t>.</w:t>
      </w:r>
      <w:r w:rsidRPr="00B16452">
        <w:rPr>
          <w:noProof/>
        </w:rPr>
        <w:tab/>
      </w:r>
      <w:r w:rsidR="00860B4D" w:rsidRPr="004F01E9">
        <w:rPr>
          <w:noProof/>
        </w:rPr>
        <w:t>Článok 151 sa mení takto:</w:t>
      </w:r>
    </w:p>
    <w:p w14:paraId="7D4A306B" w14:textId="3B6CEFA5" w:rsidR="00860B4D" w:rsidRPr="004F01E9" w:rsidRDefault="00335E05" w:rsidP="00335E05">
      <w:pPr>
        <w:pStyle w:val="Point1"/>
        <w:rPr>
          <w:noProof/>
        </w:rPr>
      </w:pPr>
      <w:r w:rsidRPr="004F01E9">
        <w:rPr>
          <w:noProof/>
        </w:rPr>
        <w:t>a)</w:t>
      </w:r>
      <w:r w:rsidRPr="004F01E9">
        <w:rPr>
          <w:noProof/>
        </w:rPr>
        <w:tab/>
        <w:t>Odsek 4 sa vypúšťa;</w:t>
      </w:r>
    </w:p>
    <w:p w14:paraId="2230745B" w14:textId="00DBEB7E" w:rsidR="00860B4D" w:rsidRPr="004F01E9" w:rsidRDefault="00335E05" w:rsidP="00335E05">
      <w:pPr>
        <w:pStyle w:val="Point1"/>
        <w:rPr>
          <w:noProof/>
        </w:rPr>
      </w:pPr>
      <w:r w:rsidRPr="004F01E9">
        <w:rPr>
          <w:noProof/>
        </w:rPr>
        <w:t>b)</w:t>
      </w:r>
      <w:r w:rsidRPr="004F01E9">
        <w:rPr>
          <w:noProof/>
        </w:rPr>
        <w:tab/>
        <w:t>Odseky 7, 8</w:t>
      </w:r>
      <w:r w:rsidR="004F01E9">
        <w:rPr>
          <w:noProof/>
        </w:rPr>
        <w:t xml:space="preserve"> a </w:t>
      </w:r>
      <w:r w:rsidRPr="004F01E9">
        <w:rPr>
          <w:noProof/>
        </w:rPr>
        <w:t>9 sa nahrádzajú takto:</w:t>
      </w:r>
    </w:p>
    <w:p w14:paraId="37EC87B9" w14:textId="30FE2012" w:rsidR="00860B4D" w:rsidRPr="004F01E9" w:rsidRDefault="00860B4D" w:rsidP="00860B4D">
      <w:pPr>
        <w:pStyle w:val="Text2"/>
        <w:rPr>
          <w:noProof/>
        </w:rPr>
      </w:pPr>
      <w:r w:rsidRPr="004F01E9">
        <w:rPr>
          <w:noProof/>
        </w:rPr>
        <w:t>„7.</w:t>
      </w:r>
      <w:r w:rsidR="004F01E9">
        <w:rPr>
          <w:noProof/>
        </w:rPr>
        <w:t xml:space="preserve"> V </w:t>
      </w:r>
      <w:r w:rsidRPr="004F01E9">
        <w:rPr>
          <w:noProof/>
        </w:rPr>
        <w:t>prípade retailových expozícií inštitúcie poskytujú vlastné odhady LGD</w:t>
      </w:r>
      <w:r w:rsidR="004F01E9">
        <w:rPr>
          <w:noProof/>
        </w:rPr>
        <w:t xml:space="preserve"> a </w:t>
      </w:r>
      <w:r w:rsidRPr="004F01E9">
        <w:rPr>
          <w:noProof/>
        </w:rPr>
        <w:t>podľa potreby IRB-CCF podľa článku 166 ods. 8</w:t>
      </w:r>
      <w:r w:rsidR="004F01E9">
        <w:rPr>
          <w:noProof/>
        </w:rPr>
        <w:t xml:space="preserve"> a </w:t>
      </w:r>
      <w:r w:rsidRPr="004F01E9">
        <w:rPr>
          <w:noProof/>
        </w:rPr>
        <w:t>8b,</w:t>
      </w:r>
      <w:r w:rsidR="004F01E9">
        <w:rPr>
          <w:noProof/>
        </w:rPr>
        <w:t xml:space="preserve"> a </w:t>
      </w:r>
      <w:r w:rsidRPr="004F01E9">
        <w:rPr>
          <w:noProof/>
        </w:rPr>
        <w:t>to</w:t>
      </w:r>
      <w:r w:rsidR="004F01E9">
        <w:rPr>
          <w:noProof/>
        </w:rPr>
        <w:t xml:space="preserve"> v </w:t>
      </w:r>
      <w:r w:rsidRPr="004F01E9">
        <w:rPr>
          <w:noProof/>
        </w:rPr>
        <w:t>súlade</w:t>
      </w:r>
      <w:r w:rsidR="004F01E9">
        <w:rPr>
          <w:noProof/>
        </w:rPr>
        <w:t xml:space="preserve"> s </w:t>
      </w:r>
      <w:r w:rsidRPr="004F01E9">
        <w:rPr>
          <w:noProof/>
        </w:rPr>
        <w:t>článkom 143</w:t>
      </w:r>
      <w:r w:rsidR="004F01E9">
        <w:rPr>
          <w:noProof/>
        </w:rPr>
        <w:t xml:space="preserve"> a </w:t>
      </w:r>
      <w:r w:rsidRPr="004F01E9">
        <w:rPr>
          <w:noProof/>
        </w:rPr>
        <w:t>oddielom 6. Inštitúcie používajú SA-CCF, ak článok 166 ods. 8</w:t>
      </w:r>
      <w:r w:rsidR="004F01E9">
        <w:rPr>
          <w:noProof/>
        </w:rPr>
        <w:t xml:space="preserve"> a </w:t>
      </w:r>
      <w:r w:rsidRPr="004F01E9">
        <w:rPr>
          <w:noProof/>
        </w:rPr>
        <w:t>8b neumožňujú použitie IRB-CCF.</w:t>
      </w:r>
    </w:p>
    <w:p w14:paraId="081F94AF" w14:textId="6D800C94" w:rsidR="00860B4D" w:rsidRPr="004F01E9" w:rsidRDefault="00860B4D" w:rsidP="00860B4D">
      <w:pPr>
        <w:pStyle w:val="Text2"/>
        <w:rPr>
          <w:noProof/>
        </w:rPr>
      </w:pPr>
      <w:r w:rsidRPr="004F01E9">
        <w:rPr>
          <w:noProof/>
        </w:rPr>
        <w:t>8.</w:t>
      </w:r>
      <w:r w:rsidR="004F01E9">
        <w:rPr>
          <w:noProof/>
        </w:rPr>
        <w:t xml:space="preserve"> V </w:t>
      </w:r>
      <w:r w:rsidRPr="004F01E9">
        <w:rPr>
          <w:noProof/>
        </w:rPr>
        <w:t>prípade týchto expozícií inštitúcie uplatňujú hodnoty LGD stanovené</w:t>
      </w:r>
      <w:r w:rsidR="004F01E9">
        <w:rPr>
          <w:noProof/>
        </w:rPr>
        <w:t xml:space="preserve"> v </w:t>
      </w:r>
      <w:r w:rsidRPr="004F01E9">
        <w:rPr>
          <w:noProof/>
        </w:rPr>
        <w:t>článku 161 ods. 1</w:t>
      </w:r>
      <w:r w:rsidR="004F01E9">
        <w:rPr>
          <w:noProof/>
        </w:rPr>
        <w:t xml:space="preserve"> a </w:t>
      </w:r>
      <w:r w:rsidRPr="004F01E9">
        <w:rPr>
          <w:noProof/>
        </w:rPr>
        <w:t>SA-CCF</w:t>
      </w:r>
      <w:r w:rsidR="004F01E9">
        <w:rPr>
          <w:noProof/>
        </w:rPr>
        <w:t xml:space="preserve"> v </w:t>
      </w:r>
      <w:r w:rsidRPr="004F01E9">
        <w:rPr>
          <w:noProof/>
        </w:rPr>
        <w:t>súlade</w:t>
      </w:r>
      <w:r w:rsidR="004F01E9">
        <w:rPr>
          <w:noProof/>
        </w:rPr>
        <w:t xml:space="preserve"> s </w:t>
      </w:r>
      <w:r w:rsidRPr="004F01E9">
        <w:rPr>
          <w:noProof/>
        </w:rPr>
        <w:t>článkom 166 ods. 8, 8a</w:t>
      </w:r>
      <w:r w:rsidR="004F01E9">
        <w:rPr>
          <w:noProof/>
        </w:rPr>
        <w:t xml:space="preserve"> a </w:t>
      </w:r>
      <w:r w:rsidRPr="004F01E9">
        <w:rPr>
          <w:noProof/>
        </w:rPr>
        <w:t>8b:</w:t>
      </w:r>
    </w:p>
    <w:p w14:paraId="3E97B433" w14:textId="2BB24F78" w:rsidR="00860B4D" w:rsidRPr="004F01E9" w:rsidRDefault="00860B4D" w:rsidP="00860B4D">
      <w:pPr>
        <w:pStyle w:val="Point2"/>
        <w:rPr>
          <w:noProof/>
        </w:rPr>
      </w:pPr>
      <w:r w:rsidRPr="004F01E9">
        <w:rPr>
          <w:noProof/>
        </w:rPr>
        <w:t>a)</w:t>
      </w:r>
      <w:r w:rsidRPr="004F01E9">
        <w:rPr>
          <w:noProof/>
        </w:rPr>
        <w:tab/>
        <w:t>expozície zaradené do triedy expozícií „expozície voči inštitúciám“ uvedenej</w:t>
      </w:r>
      <w:r w:rsidR="004F01E9">
        <w:rPr>
          <w:noProof/>
        </w:rPr>
        <w:t xml:space="preserve"> v </w:t>
      </w:r>
      <w:r w:rsidRPr="004F01E9">
        <w:rPr>
          <w:noProof/>
        </w:rPr>
        <w:t>článku 147 ods. 2 písm. b);</w:t>
      </w:r>
    </w:p>
    <w:p w14:paraId="5CE8CBF6" w14:textId="77777777" w:rsidR="00860B4D" w:rsidRPr="004F01E9" w:rsidRDefault="00860B4D" w:rsidP="00860B4D">
      <w:pPr>
        <w:pStyle w:val="Point2"/>
        <w:rPr>
          <w:noProof/>
        </w:rPr>
      </w:pPr>
      <w:r w:rsidRPr="004F01E9">
        <w:rPr>
          <w:noProof/>
        </w:rPr>
        <w:t>b)</w:t>
      </w:r>
      <w:r w:rsidRPr="004F01E9">
        <w:rPr>
          <w:noProof/>
        </w:rPr>
        <w:tab/>
        <w:t>expozície voči subjektom finančného sektora;</w:t>
      </w:r>
    </w:p>
    <w:p w14:paraId="69E5887D" w14:textId="77777777" w:rsidR="00860B4D" w:rsidRPr="004F01E9" w:rsidRDefault="00860B4D" w:rsidP="00860B4D">
      <w:pPr>
        <w:pStyle w:val="Point2"/>
        <w:rPr>
          <w:noProof/>
        </w:rPr>
      </w:pPr>
      <w:r w:rsidRPr="004F01E9">
        <w:rPr>
          <w:noProof/>
        </w:rPr>
        <w:t>c)</w:t>
      </w:r>
      <w:r w:rsidRPr="004F01E9">
        <w:rPr>
          <w:noProof/>
        </w:rPr>
        <w:tab/>
        <w:t>expozície voči veľkým podnikateľským subjektom.</w:t>
      </w:r>
    </w:p>
    <w:p w14:paraId="25B2015F" w14:textId="47F2B335" w:rsidR="00860B4D" w:rsidRPr="0059109E" w:rsidRDefault="00860B4D" w:rsidP="00860B4D">
      <w:pPr>
        <w:pStyle w:val="Text2"/>
        <w:rPr>
          <w:noProof/>
          <w:spacing w:val="-6"/>
        </w:rPr>
      </w:pPr>
      <w:r w:rsidRPr="0059109E">
        <w:rPr>
          <w:noProof/>
          <w:spacing w:val="-6"/>
        </w:rPr>
        <w:t>V prípade expozícií patriacich do tried expozícií uvedených</w:t>
      </w:r>
      <w:r w:rsidR="004F01E9" w:rsidRPr="0059109E">
        <w:rPr>
          <w:noProof/>
          <w:spacing w:val="-6"/>
        </w:rPr>
        <w:t xml:space="preserve"> v </w:t>
      </w:r>
      <w:r w:rsidRPr="0059109E">
        <w:rPr>
          <w:noProof/>
          <w:spacing w:val="-6"/>
        </w:rPr>
        <w:t>článku 147 ods. 2 písm. a), a1)</w:t>
      </w:r>
      <w:r w:rsidR="004F01E9" w:rsidRPr="0059109E">
        <w:rPr>
          <w:noProof/>
          <w:spacing w:val="-6"/>
        </w:rPr>
        <w:t xml:space="preserve"> a </w:t>
      </w:r>
      <w:r w:rsidRPr="0059109E">
        <w:rPr>
          <w:noProof/>
          <w:spacing w:val="-6"/>
        </w:rPr>
        <w:t>c)</w:t>
      </w:r>
      <w:r w:rsidR="004F01E9" w:rsidRPr="0059109E">
        <w:rPr>
          <w:noProof/>
          <w:spacing w:val="-6"/>
        </w:rPr>
        <w:t xml:space="preserve"> s </w:t>
      </w:r>
      <w:r w:rsidRPr="0059109E">
        <w:rPr>
          <w:noProof/>
          <w:spacing w:val="-6"/>
        </w:rPr>
        <w:t>výnimkou expozícií uvedených</w:t>
      </w:r>
      <w:r w:rsidR="004F01E9" w:rsidRPr="0059109E">
        <w:rPr>
          <w:noProof/>
          <w:spacing w:val="-6"/>
        </w:rPr>
        <w:t xml:space="preserve"> v </w:t>
      </w:r>
      <w:r w:rsidRPr="0059109E">
        <w:rPr>
          <w:noProof/>
          <w:spacing w:val="-6"/>
        </w:rPr>
        <w:t>prvom pododseku tohto odseku inštitúcie uplatňujú hodnoty LGD stanovené</w:t>
      </w:r>
      <w:r w:rsidR="004F01E9" w:rsidRPr="0059109E">
        <w:rPr>
          <w:noProof/>
          <w:spacing w:val="-6"/>
        </w:rPr>
        <w:t xml:space="preserve"> v </w:t>
      </w:r>
      <w:r w:rsidRPr="0059109E">
        <w:rPr>
          <w:noProof/>
          <w:spacing w:val="-6"/>
        </w:rPr>
        <w:t>článku 161 ods. 1</w:t>
      </w:r>
      <w:r w:rsidR="004F01E9" w:rsidRPr="0059109E">
        <w:rPr>
          <w:noProof/>
          <w:spacing w:val="-6"/>
        </w:rPr>
        <w:t xml:space="preserve"> a </w:t>
      </w:r>
      <w:r w:rsidRPr="0059109E">
        <w:rPr>
          <w:noProof/>
          <w:spacing w:val="-6"/>
        </w:rPr>
        <w:t>SA-CCF</w:t>
      </w:r>
      <w:r w:rsidR="004F01E9" w:rsidRPr="0059109E">
        <w:rPr>
          <w:noProof/>
          <w:spacing w:val="-6"/>
        </w:rPr>
        <w:t xml:space="preserve"> v </w:t>
      </w:r>
      <w:r w:rsidRPr="0059109E">
        <w:rPr>
          <w:noProof/>
          <w:spacing w:val="-6"/>
        </w:rPr>
        <w:t>súlade</w:t>
      </w:r>
      <w:r w:rsidR="004F01E9" w:rsidRPr="0059109E">
        <w:rPr>
          <w:noProof/>
          <w:spacing w:val="-6"/>
        </w:rPr>
        <w:t xml:space="preserve"> s </w:t>
      </w:r>
      <w:r w:rsidRPr="0059109E">
        <w:rPr>
          <w:noProof/>
          <w:spacing w:val="-6"/>
        </w:rPr>
        <w:t>článkom 166 ods. 8, 8a</w:t>
      </w:r>
      <w:r w:rsidR="004F01E9" w:rsidRPr="0059109E">
        <w:rPr>
          <w:noProof/>
          <w:spacing w:val="-6"/>
        </w:rPr>
        <w:t xml:space="preserve"> a </w:t>
      </w:r>
      <w:r w:rsidRPr="0059109E">
        <w:rPr>
          <w:noProof/>
          <w:spacing w:val="-6"/>
        </w:rPr>
        <w:t>8b, pokiaľ im nebolo udelené povolenie používať pri týchto expozíciách vlastné odhady LGD</w:t>
      </w:r>
      <w:r w:rsidR="004F01E9" w:rsidRPr="0059109E">
        <w:rPr>
          <w:noProof/>
          <w:spacing w:val="-6"/>
        </w:rPr>
        <w:t xml:space="preserve"> a </w:t>
      </w:r>
      <w:r w:rsidRPr="0059109E">
        <w:rPr>
          <w:noProof/>
          <w:spacing w:val="-6"/>
        </w:rPr>
        <w:t>CCF</w:t>
      </w:r>
      <w:r w:rsidR="004F01E9" w:rsidRPr="0059109E">
        <w:rPr>
          <w:noProof/>
          <w:spacing w:val="-6"/>
        </w:rPr>
        <w:t xml:space="preserve"> v </w:t>
      </w:r>
      <w:r w:rsidRPr="0059109E">
        <w:rPr>
          <w:noProof/>
          <w:spacing w:val="-6"/>
        </w:rPr>
        <w:t>súlade</w:t>
      </w:r>
      <w:r w:rsidR="004F01E9" w:rsidRPr="0059109E">
        <w:rPr>
          <w:noProof/>
          <w:spacing w:val="-6"/>
        </w:rPr>
        <w:t xml:space="preserve"> s </w:t>
      </w:r>
      <w:r w:rsidRPr="0059109E">
        <w:rPr>
          <w:noProof/>
          <w:spacing w:val="-6"/>
        </w:rPr>
        <w:t>odsekom 9 tohto článku.</w:t>
      </w:r>
    </w:p>
    <w:p w14:paraId="38EB6ACF" w14:textId="05B805B0" w:rsidR="00860B4D" w:rsidRPr="0059109E" w:rsidRDefault="00860B4D" w:rsidP="00860B4D">
      <w:pPr>
        <w:pStyle w:val="Text2"/>
        <w:rPr>
          <w:noProof/>
          <w:spacing w:val="-6"/>
        </w:rPr>
      </w:pPr>
      <w:r w:rsidRPr="0059109E">
        <w:rPr>
          <w:noProof/>
          <w:spacing w:val="-6"/>
        </w:rPr>
        <w:t>9.</w:t>
      </w:r>
      <w:r w:rsidR="004F01E9" w:rsidRPr="0059109E">
        <w:rPr>
          <w:noProof/>
          <w:spacing w:val="-6"/>
        </w:rPr>
        <w:t xml:space="preserve"> V </w:t>
      </w:r>
      <w:r w:rsidRPr="0059109E">
        <w:rPr>
          <w:noProof/>
          <w:spacing w:val="-6"/>
        </w:rPr>
        <w:t>prípade expozícií uvedených</w:t>
      </w:r>
      <w:r w:rsidR="004F01E9" w:rsidRPr="0059109E">
        <w:rPr>
          <w:noProof/>
          <w:spacing w:val="-6"/>
        </w:rPr>
        <w:t xml:space="preserve"> v </w:t>
      </w:r>
      <w:r w:rsidRPr="0059109E">
        <w:rPr>
          <w:noProof/>
          <w:spacing w:val="-6"/>
        </w:rPr>
        <w:t>odseku 8 druhom pododseku príslušný orgán povoľuje inštitúciám, aby používali vlastné odhady LGD</w:t>
      </w:r>
      <w:r w:rsidR="004F01E9" w:rsidRPr="0059109E">
        <w:rPr>
          <w:noProof/>
          <w:spacing w:val="-6"/>
        </w:rPr>
        <w:t xml:space="preserve"> a v </w:t>
      </w:r>
      <w:r w:rsidRPr="0059109E">
        <w:rPr>
          <w:noProof/>
          <w:spacing w:val="-6"/>
        </w:rPr>
        <w:t>náležitých prípadoch podľa článku 166 ods. 8</w:t>
      </w:r>
      <w:r w:rsidR="004F01E9" w:rsidRPr="0059109E">
        <w:rPr>
          <w:noProof/>
          <w:spacing w:val="-6"/>
        </w:rPr>
        <w:t xml:space="preserve"> a </w:t>
      </w:r>
      <w:r w:rsidRPr="0059109E">
        <w:rPr>
          <w:noProof/>
          <w:spacing w:val="-6"/>
        </w:rPr>
        <w:t>8b IRB-CCF,</w:t>
      </w:r>
      <w:r w:rsidR="004F01E9" w:rsidRPr="0059109E">
        <w:rPr>
          <w:noProof/>
          <w:spacing w:val="-6"/>
        </w:rPr>
        <w:t xml:space="preserve"> a </w:t>
      </w:r>
      <w:r w:rsidRPr="0059109E">
        <w:rPr>
          <w:noProof/>
          <w:spacing w:val="-6"/>
        </w:rPr>
        <w:t>to</w:t>
      </w:r>
      <w:r w:rsidR="004F01E9" w:rsidRPr="0059109E">
        <w:rPr>
          <w:noProof/>
          <w:spacing w:val="-6"/>
        </w:rPr>
        <w:t xml:space="preserve"> v </w:t>
      </w:r>
      <w:r w:rsidRPr="0059109E">
        <w:rPr>
          <w:noProof/>
          <w:spacing w:val="-6"/>
        </w:rPr>
        <w:t>súlade</w:t>
      </w:r>
      <w:r w:rsidR="004F01E9" w:rsidRPr="0059109E">
        <w:rPr>
          <w:noProof/>
          <w:spacing w:val="-6"/>
        </w:rPr>
        <w:t xml:space="preserve"> s </w:t>
      </w:r>
      <w:r w:rsidRPr="0059109E">
        <w:rPr>
          <w:noProof/>
          <w:spacing w:val="-6"/>
        </w:rPr>
        <w:t>článkom 143</w:t>
      </w:r>
      <w:r w:rsidR="004F01E9" w:rsidRPr="0059109E">
        <w:rPr>
          <w:noProof/>
          <w:spacing w:val="-6"/>
        </w:rPr>
        <w:t xml:space="preserve"> a </w:t>
      </w:r>
      <w:r w:rsidRPr="0059109E">
        <w:rPr>
          <w:noProof/>
          <w:spacing w:val="-6"/>
        </w:rPr>
        <w:t>oddielom 6.“;</w:t>
      </w:r>
    </w:p>
    <w:p w14:paraId="3A6D641C" w14:textId="59BAC344" w:rsidR="00860B4D" w:rsidRPr="004F01E9" w:rsidRDefault="00335E05" w:rsidP="00335E05">
      <w:pPr>
        <w:pStyle w:val="Point1"/>
        <w:rPr>
          <w:noProof/>
        </w:rPr>
      </w:pPr>
      <w:r w:rsidRPr="004F01E9">
        <w:rPr>
          <w:noProof/>
        </w:rPr>
        <w:t>c)</w:t>
      </w:r>
      <w:r w:rsidRPr="004F01E9">
        <w:rPr>
          <w:noProof/>
        </w:rPr>
        <w:tab/>
        <w:t>Dopĺňajú sa tieto odseky 11, 12</w:t>
      </w:r>
      <w:r w:rsidR="004F01E9">
        <w:rPr>
          <w:noProof/>
        </w:rPr>
        <w:t xml:space="preserve"> a </w:t>
      </w:r>
      <w:r w:rsidRPr="004F01E9">
        <w:rPr>
          <w:noProof/>
        </w:rPr>
        <w:t>13:</w:t>
      </w:r>
    </w:p>
    <w:p w14:paraId="11A66901" w14:textId="3A12F153" w:rsidR="00860B4D" w:rsidRPr="004F01E9" w:rsidRDefault="00860B4D" w:rsidP="00860B4D">
      <w:pPr>
        <w:pStyle w:val="Text2"/>
        <w:rPr>
          <w:noProof/>
        </w:rPr>
      </w:pPr>
      <w:r w:rsidRPr="004F01E9">
        <w:rPr>
          <w:noProof/>
        </w:rPr>
        <w:t>„11. Inštitúcie uplatňujú požiadavky stanovené pre expozície patriace do triedy expozícií „všeobecné expozície voči podnikateľským subjektom“ uvedenej</w:t>
      </w:r>
      <w:r w:rsidR="004F01E9">
        <w:rPr>
          <w:noProof/>
        </w:rPr>
        <w:t xml:space="preserve"> v </w:t>
      </w:r>
      <w:r w:rsidRPr="004F01E9">
        <w:rPr>
          <w:noProof/>
        </w:rPr>
        <w:t>článku 147 ods. 2 písm. c) bode i) na expozície patriace do triedy expozícií „RGLA-PSE“ uvedenej</w:t>
      </w:r>
      <w:r w:rsidR="004F01E9">
        <w:rPr>
          <w:noProof/>
        </w:rPr>
        <w:t xml:space="preserve"> v </w:t>
      </w:r>
      <w:r w:rsidRPr="004F01E9">
        <w:rPr>
          <w:noProof/>
        </w:rPr>
        <w:t>článku 147 ods. 2 písm. a1). Na účely tohto odseku sa neuplatňuje prahová hodnota stanovená vo vymedzení pojmu veľké podnikateľské subjekty</w:t>
      </w:r>
      <w:r w:rsidR="004F01E9">
        <w:rPr>
          <w:noProof/>
        </w:rPr>
        <w:t xml:space="preserve"> a v </w:t>
      </w:r>
      <w:r w:rsidRPr="004F01E9">
        <w:rPr>
          <w:noProof/>
        </w:rPr>
        <w:t>ustanoveniach uplatniteľných na veľké podnikateľské subjekty uvedených</w:t>
      </w:r>
      <w:r w:rsidR="004F01E9">
        <w:rPr>
          <w:noProof/>
        </w:rPr>
        <w:t xml:space="preserve"> v </w:t>
      </w:r>
      <w:r w:rsidRPr="004F01E9">
        <w:rPr>
          <w:noProof/>
        </w:rPr>
        <w:t>odseku 8 prvom pododseku písm. c)</w:t>
      </w:r>
      <w:r w:rsidR="004F01E9">
        <w:rPr>
          <w:noProof/>
        </w:rPr>
        <w:t xml:space="preserve"> a </w:t>
      </w:r>
      <w:r w:rsidRPr="004F01E9">
        <w:rPr>
          <w:noProof/>
        </w:rPr>
        <w:t>neuplatňuje sa zaobchádzanie stanovené</w:t>
      </w:r>
      <w:r w:rsidR="004F01E9">
        <w:rPr>
          <w:noProof/>
        </w:rPr>
        <w:t xml:space="preserve"> v </w:t>
      </w:r>
      <w:r w:rsidRPr="004F01E9">
        <w:rPr>
          <w:noProof/>
        </w:rPr>
        <w:t>článku 501.</w:t>
      </w:r>
    </w:p>
    <w:p w14:paraId="3817153E" w14:textId="3C2B3637" w:rsidR="00860B4D" w:rsidRPr="004F01E9" w:rsidRDefault="00860B4D" w:rsidP="00860B4D">
      <w:pPr>
        <w:pStyle w:val="Text2"/>
        <w:rPr>
          <w:noProof/>
        </w:rPr>
      </w:pPr>
      <w:r w:rsidRPr="004F01E9">
        <w:rPr>
          <w:noProof/>
        </w:rPr>
        <w:t>12.</w:t>
      </w:r>
      <w:r w:rsidR="004F01E9">
        <w:rPr>
          <w:noProof/>
        </w:rPr>
        <w:t xml:space="preserve"> V </w:t>
      </w:r>
      <w:r w:rsidRPr="004F01E9">
        <w:rPr>
          <w:noProof/>
        </w:rPr>
        <w:t>prípade expozícií vo forme podielov na majetku</w:t>
      </w:r>
      <w:r w:rsidR="004F01E9">
        <w:rPr>
          <w:noProof/>
        </w:rPr>
        <w:t xml:space="preserve"> v </w:t>
      </w:r>
      <w:r w:rsidRPr="004F01E9">
        <w:rPr>
          <w:noProof/>
        </w:rPr>
        <w:t>PKI patriacich do triedy expozícií uvedenej</w:t>
      </w:r>
      <w:r w:rsidR="004F01E9">
        <w:rPr>
          <w:noProof/>
        </w:rPr>
        <w:t xml:space="preserve"> v </w:t>
      </w:r>
      <w:r w:rsidRPr="004F01E9">
        <w:rPr>
          <w:noProof/>
        </w:rPr>
        <w:t>článku 147 ods. 2 písm. e1) inštitúcie uplatňujú zaobchádzanie stanovené</w:t>
      </w:r>
      <w:r w:rsidR="004F01E9">
        <w:rPr>
          <w:noProof/>
        </w:rPr>
        <w:t xml:space="preserve"> v </w:t>
      </w:r>
      <w:r w:rsidRPr="004F01E9">
        <w:rPr>
          <w:noProof/>
        </w:rPr>
        <w:t>článku 152.</w:t>
      </w:r>
    </w:p>
    <w:p w14:paraId="6896C91B" w14:textId="1F760093" w:rsidR="00860B4D" w:rsidRPr="004F01E9" w:rsidRDefault="00860B4D" w:rsidP="00860B4D">
      <w:pPr>
        <w:pStyle w:val="Text2"/>
        <w:rPr>
          <w:noProof/>
        </w:rPr>
      </w:pPr>
      <w:r w:rsidRPr="004F01E9">
        <w:rPr>
          <w:noProof/>
        </w:rPr>
        <w:t>13. EBA vypracuje návrh regulačných technických predpisov</w:t>
      </w:r>
      <w:r w:rsidR="004F01E9">
        <w:rPr>
          <w:noProof/>
        </w:rPr>
        <w:t xml:space="preserve"> s </w:t>
      </w:r>
      <w:r w:rsidRPr="004F01E9">
        <w:rPr>
          <w:noProof/>
        </w:rPr>
        <w:t>cieľom presne stanoviť zaobchádzanie uplatniteľné na expozície patriace do triedy expozícií „podnikové odkúpené pohľadávky“ uvedenej</w:t>
      </w:r>
      <w:r w:rsidR="004F01E9">
        <w:rPr>
          <w:noProof/>
        </w:rPr>
        <w:t xml:space="preserve"> v </w:t>
      </w:r>
      <w:r w:rsidRPr="004F01E9">
        <w:rPr>
          <w:noProof/>
        </w:rPr>
        <w:t>článku 147 ods. 2 písm. c) bode iii)</w:t>
      </w:r>
      <w:r w:rsidR="004F01E9">
        <w:rPr>
          <w:noProof/>
        </w:rPr>
        <w:t xml:space="preserve"> a </w:t>
      </w:r>
      <w:r w:rsidRPr="004F01E9">
        <w:rPr>
          <w:noProof/>
        </w:rPr>
        <w:t>triedy expozícií „retailové odkúpené pohľadávky“ uvedenej</w:t>
      </w:r>
      <w:r w:rsidR="004F01E9">
        <w:rPr>
          <w:noProof/>
        </w:rPr>
        <w:t xml:space="preserve"> v </w:t>
      </w:r>
      <w:r w:rsidRPr="004F01E9">
        <w:rPr>
          <w:noProof/>
        </w:rPr>
        <w:t>článku 147 ods. 2 písm. d) bode iii) na účely výpočtu hodnôt rizikovo vážených expozícií pre riziko zlyhania</w:t>
      </w:r>
      <w:r w:rsidR="004F01E9">
        <w:rPr>
          <w:noProof/>
        </w:rPr>
        <w:t xml:space="preserve"> a </w:t>
      </w:r>
      <w:r w:rsidRPr="004F01E9">
        <w:rPr>
          <w:noProof/>
        </w:rPr>
        <w:t>pre riziko zníženia kvality pohľadávok</w:t>
      </w:r>
      <w:r w:rsidR="004F01E9">
        <w:rPr>
          <w:noProof/>
        </w:rPr>
        <w:t xml:space="preserve"> z </w:t>
      </w:r>
      <w:r w:rsidRPr="004F01E9">
        <w:rPr>
          <w:noProof/>
        </w:rPr>
        <w:t>iných ako kreditných dôvodov</w:t>
      </w:r>
      <w:r w:rsidR="004F01E9">
        <w:rPr>
          <w:noProof/>
        </w:rPr>
        <w:t xml:space="preserve"> v </w:t>
      </w:r>
      <w:r w:rsidRPr="004F01E9">
        <w:rPr>
          <w:noProof/>
        </w:rPr>
        <w:t>prípade uvedených expozícií,</w:t>
      </w:r>
      <w:r w:rsidR="004F01E9">
        <w:rPr>
          <w:noProof/>
        </w:rPr>
        <w:t xml:space="preserve"> a </w:t>
      </w:r>
      <w:r w:rsidRPr="004F01E9">
        <w:rPr>
          <w:noProof/>
        </w:rPr>
        <w:t>to aj na účely uznania postupov zmierňovania kreditného rizika.</w:t>
      </w:r>
    </w:p>
    <w:p w14:paraId="7BAE0BFD" w14:textId="062FE0F0" w:rsidR="00860B4D" w:rsidRPr="004F01E9" w:rsidRDefault="00860B4D" w:rsidP="00860B4D">
      <w:pPr>
        <w:pStyle w:val="Text2"/>
        <w:rPr>
          <w:noProof/>
        </w:rPr>
      </w:pPr>
      <w:r w:rsidRPr="004F01E9">
        <w:rPr>
          <w:noProof/>
        </w:rPr>
        <w:t>EBA predloží uvedený návrh regulačných technických predpisov Komisii do 31</w:t>
      </w:r>
      <w:r w:rsidR="004F01E9">
        <w:rPr>
          <w:noProof/>
        </w:rPr>
        <w:t>. decembra</w:t>
      </w:r>
      <w:r w:rsidRPr="004F01E9">
        <w:rPr>
          <w:noProof/>
        </w:rPr>
        <w:t xml:space="preserve"> 2025.</w:t>
      </w:r>
    </w:p>
    <w:p w14:paraId="5F0EDA6D" w14:textId="23746AD8" w:rsidR="00860B4D" w:rsidRPr="004F01E9" w:rsidRDefault="00860B4D" w:rsidP="00860B4D">
      <w:pPr>
        <w:pStyle w:val="Text2"/>
        <w:rPr>
          <w:noProof/>
        </w:rPr>
      </w:pPr>
      <w:r w:rsidRPr="004F01E9">
        <w:rPr>
          <w:noProof/>
        </w:rPr>
        <w:t>Na Komisiu sa deleguje právomoc prijať regulačné technické predpisy uvedené</w:t>
      </w:r>
      <w:r w:rsidR="004F01E9">
        <w:rPr>
          <w:noProof/>
        </w:rPr>
        <w:t xml:space="preserve"> v </w:t>
      </w:r>
      <w:r w:rsidRPr="004F01E9">
        <w:rPr>
          <w:noProof/>
        </w:rPr>
        <w:t>prvom pododseku</w:t>
      </w:r>
      <w:r w:rsidR="004F01E9">
        <w:rPr>
          <w:noProof/>
        </w:rPr>
        <w:t xml:space="preserve"> v </w:t>
      </w:r>
      <w:r w:rsidRPr="004F01E9">
        <w:rPr>
          <w:noProof/>
        </w:rPr>
        <w:t>súlade</w:t>
      </w:r>
      <w:r w:rsidR="004F01E9">
        <w:rPr>
          <w:noProof/>
        </w:rPr>
        <w:t xml:space="preserve"> s </w:t>
      </w:r>
      <w:r w:rsidRPr="004F01E9">
        <w:rPr>
          <w:noProof/>
        </w:rPr>
        <w:t xml:space="preserve">článkami 10 až 14 nariadenia (EÚ) </w:t>
      </w:r>
      <w:r w:rsidR="004F01E9">
        <w:rPr>
          <w:noProof/>
        </w:rPr>
        <w:t>č. </w:t>
      </w:r>
      <w:r w:rsidRPr="004F01E9">
        <w:rPr>
          <w:noProof/>
        </w:rPr>
        <w:t>1093/2010.“</w:t>
      </w:r>
    </w:p>
    <w:p w14:paraId="4D8CEFC0" w14:textId="64F721A4" w:rsidR="00806B81" w:rsidRPr="004F01E9" w:rsidRDefault="00B16452" w:rsidP="00B16452">
      <w:pPr>
        <w:pStyle w:val="Point0"/>
        <w:rPr>
          <w:noProof/>
        </w:rPr>
      </w:pPr>
      <w:r w:rsidRPr="00B16452">
        <w:rPr>
          <w:noProof/>
        </w:rPr>
        <w:t>65</w:t>
      </w:r>
      <w:r>
        <w:rPr>
          <w:noProof/>
        </w:rPr>
        <w:t>.</w:t>
      </w:r>
      <w:r w:rsidRPr="00B16452">
        <w:rPr>
          <w:noProof/>
        </w:rPr>
        <w:tab/>
      </w:r>
      <w:r w:rsidR="00860B4D" w:rsidRPr="004F01E9">
        <w:rPr>
          <w:noProof/>
        </w:rPr>
        <w:t>V článku 152 sa odsek 4 nahrádza takto:</w:t>
      </w:r>
    </w:p>
    <w:p w14:paraId="0A60CAF3" w14:textId="45DF1358" w:rsidR="00860B4D" w:rsidRPr="004F01E9" w:rsidRDefault="00860B4D" w:rsidP="00860B4D">
      <w:pPr>
        <w:pStyle w:val="Text1"/>
        <w:rPr>
          <w:noProof/>
        </w:rPr>
      </w:pPr>
      <w:r w:rsidRPr="004F01E9">
        <w:rPr>
          <w:noProof/>
        </w:rPr>
        <w:t>„4. Inštitúcie, ktoré uplatňujú prístup založený na prezretí podkladových expozícií</w:t>
      </w:r>
      <w:r w:rsidR="004F01E9">
        <w:rPr>
          <w:noProof/>
        </w:rPr>
        <w:t xml:space="preserve"> v </w:t>
      </w:r>
      <w:r w:rsidRPr="004F01E9">
        <w:rPr>
          <w:noProof/>
        </w:rPr>
        <w:t>súlade</w:t>
      </w:r>
      <w:r w:rsidR="004F01E9">
        <w:rPr>
          <w:noProof/>
        </w:rPr>
        <w:t xml:space="preserve"> s </w:t>
      </w:r>
      <w:r w:rsidRPr="004F01E9">
        <w:rPr>
          <w:noProof/>
        </w:rPr>
        <w:t>odsekmi 2</w:t>
      </w:r>
      <w:r w:rsidR="004F01E9">
        <w:rPr>
          <w:noProof/>
        </w:rPr>
        <w:t xml:space="preserve"> a </w:t>
      </w:r>
      <w:r w:rsidRPr="004F01E9">
        <w:rPr>
          <w:noProof/>
        </w:rPr>
        <w:t>3 tohto článku</w:t>
      </w:r>
      <w:r w:rsidR="004F01E9">
        <w:rPr>
          <w:noProof/>
        </w:rPr>
        <w:t xml:space="preserve"> a </w:t>
      </w:r>
      <w:r w:rsidRPr="004F01E9">
        <w:rPr>
          <w:noProof/>
        </w:rPr>
        <w:t>ktoré nevyužívajú metódy stanovené</w:t>
      </w:r>
      <w:r w:rsidR="004F01E9">
        <w:rPr>
          <w:noProof/>
        </w:rPr>
        <w:t xml:space="preserve"> v </w:t>
      </w:r>
      <w:r w:rsidRPr="004F01E9">
        <w:rPr>
          <w:noProof/>
        </w:rPr>
        <w:t>tejto kapitole alebo</w:t>
      </w:r>
      <w:r w:rsidR="004F01E9">
        <w:rPr>
          <w:noProof/>
        </w:rPr>
        <w:t xml:space="preserve"> v </w:t>
      </w:r>
      <w:r w:rsidRPr="004F01E9">
        <w:rPr>
          <w:noProof/>
        </w:rPr>
        <w:t>kapitole 5 uplatniteľné na všetky podkladové expozície PKI alebo ich časti, vypočítavajú hodnoty rizikovo vážených expozícií</w:t>
      </w:r>
      <w:r w:rsidR="004F01E9">
        <w:rPr>
          <w:noProof/>
        </w:rPr>
        <w:t xml:space="preserve"> a </w:t>
      </w:r>
      <w:r w:rsidRPr="004F01E9">
        <w:rPr>
          <w:noProof/>
        </w:rPr>
        <w:t>výšku očakávaných strát</w:t>
      </w:r>
      <w:r w:rsidR="004F01E9">
        <w:rPr>
          <w:noProof/>
        </w:rPr>
        <w:t xml:space="preserve"> v </w:t>
      </w:r>
      <w:r w:rsidRPr="004F01E9">
        <w:rPr>
          <w:noProof/>
        </w:rPr>
        <w:t>súlade</w:t>
      </w:r>
      <w:r w:rsidR="004F01E9">
        <w:rPr>
          <w:noProof/>
        </w:rPr>
        <w:t xml:space="preserve"> s </w:t>
      </w:r>
      <w:r w:rsidRPr="004F01E9">
        <w:rPr>
          <w:noProof/>
        </w:rPr>
        <w:t>týmito zásadami:</w:t>
      </w:r>
    </w:p>
    <w:p w14:paraId="3E567351" w14:textId="24EF792B" w:rsidR="00860B4D" w:rsidRPr="004F01E9" w:rsidRDefault="00860B4D" w:rsidP="00860B4D">
      <w:pPr>
        <w:pStyle w:val="Point1"/>
        <w:rPr>
          <w:noProof/>
        </w:rPr>
      </w:pPr>
      <w:r w:rsidRPr="004F01E9">
        <w:rPr>
          <w:noProof/>
        </w:rPr>
        <w:t>a)</w:t>
      </w:r>
      <w:r w:rsidRPr="004F01E9">
        <w:rPr>
          <w:noProof/>
        </w:rPr>
        <w:tab/>
        <w:t>v prípade podkladových expozícií, ktoré by boli zaradené do triedy kapitálových expozícií uvedenej</w:t>
      </w:r>
      <w:r w:rsidR="004F01E9">
        <w:rPr>
          <w:noProof/>
        </w:rPr>
        <w:t xml:space="preserve"> v </w:t>
      </w:r>
      <w:r w:rsidRPr="004F01E9">
        <w:rPr>
          <w:noProof/>
        </w:rPr>
        <w:t>článku 147 ods. 2 písm. e), inštitúcie uplatňujú štandardizovaný prístup stanovený</w:t>
      </w:r>
      <w:r w:rsidR="004F01E9">
        <w:rPr>
          <w:noProof/>
        </w:rPr>
        <w:t xml:space="preserve"> v </w:t>
      </w:r>
      <w:r w:rsidRPr="004F01E9">
        <w:rPr>
          <w:noProof/>
        </w:rPr>
        <w:t>kapitole 2;</w:t>
      </w:r>
    </w:p>
    <w:p w14:paraId="1592B642" w14:textId="40BD96DD" w:rsidR="00860B4D" w:rsidRPr="004F01E9" w:rsidRDefault="00860B4D" w:rsidP="00860B4D">
      <w:pPr>
        <w:pStyle w:val="Point1"/>
        <w:rPr>
          <w:noProof/>
        </w:rPr>
      </w:pPr>
      <w:r w:rsidRPr="004F01E9">
        <w:rPr>
          <w:noProof/>
        </w:rPr>
        <w:t>b)</w:t>
      </w:r>
      <w:r w:rsidRPr="004F01E9">
        <w:rPr>
          <w:noProof/>
        </w:rPr>
        <w:tab/>
        <w:t>v prípade expozícií zaradených do položiek predstavujúcich sekuritizačné pozície uvedených</w:t>
      </w:r>
      <w:r w:rsidR="004F01E9">
        <w:rPr>
          <w:noProof/>
        </w:rPr>
        <w:t xml:space="preserve"> v </w:t>
      </w:r>
      <w:r w:rsidRPr="004F01E9">
        <w:rPr>
          <w:noProof/>
        </w:rPr>
        <w:t>článku 147 ods. 2 písm. f) inštitúcie uplatňujú zaobchádzanie stanovené</w:t>
      </w:r>
      <w:r w:rsidR="004F01E9">
        <w:rPr>
          <w:noProof/>
        </w:rPr>
        <w:t xml:space="preserve"> v </w:t>
      </w:r>
      <w:r w:rsidRPr="004F01E9">
        <w:rPr>
          <w:noProof/>
        </w:rPr>
        <w:t>článku 254, ako keby boli tieto expozície</w:t>
      </w:r>
      <w:r w:rsidR="004F01E9">
        <w:rPr>
          <w:noProof/>
        </w:rPr>
        <w:t xml:space="preserve"> v </w:t>
      </w:r>
      <w:r w:rsidRPr="004F01E9">
        <w:rPr>
          <w:noProof/>
        </w:rPr>
        <w:t>priamej držbe uvedených inštitúcií;</w:t>
      </w:r>
    </w:p>
    <w:p w14:paraId="3866AE8F" w14:textId="04D9F38B" w:rsidR="00860B4D" w:rsidRPr="004F01E9" w:rsidRDefault="00860B4D" w:rsidP="00860B4D">
      <w:pPr>
        <w:pStyle w:val="Point1"/>
        <w:rPr>
          <w:noProof/>
        </w:rPr>
      </w:pPr>
      <w:r w:rsidRPr="004F01E9">
        <w:rPr>
          <w:noProof/>
        </w:rPr>
        <w:t>c)</w:t>
      </w:r>
      <w:r w:rsidRPr="004F01E9">
        <w:rPr>
          <w:noProof/>
        </w:rPr>
        <w:tab/>
        <w:t>v prípade všetkých ostatných podkladových expozícií inštitúcie uplatňujú štandardizovaný prístup stanovený</w:t>
      </w:r>
      <w:r w:rsidR="004F01E9">
        <w:rPr>
          <w:noProof/>
        </w:rPr>
        <w:t xml:space="preserve"> v </w:t>
      </w:r>
      <w:r w:rsidRPr="004F01E9">
        <w:rPr>
          <w:noProof/>
        </w:rPr>
        <w:t>kapitole 2.“</w:t>
      </w:r>
    </w:p>
    <w:p w14:paraId="564380B6" w14:textId="6E53F768" w:rsidR="00860B4D" w:rsidRPr="004F01E9" w:rsidRDefault="00B16452" w:rsidP="00B16452">
      <w:pPr>
        <w:pStyle w:val="Point0"/>
        <w:rPr>
          <w:noProof/>
        </w:rPr>
      </w:pPr>
      <w:r w:rsidRPr="00B16452">
        <w:rPr>
          <w:noProof/>
        </w:rPr>
        <w:t>66</w:t>
      </w:r>
      <w:r>
        <w:rPr>
          <w:noProof/>
        </w:rPr>
        <w:t>.</w:t>
      </w:r>
      <w:r w:rsidRPr="00B16452">
        <w:rPr>
          <w:noProof/>
        </w:rPr>
        <w:tab/>
      </w:r>
      <w:r w:rsidR="00860B4D" w:rsidRPr="004F01E9">
        <w:rPr>
          <w:noProof/>
        </w:rPr>
        <w:t>Článok 153 sa mení takto:</w:t>
      </w:r>
    </w:p>
    <w:p w14:paraId="5CF45F92" w14:textId="73283819" w:rsidR="00806B81" w:rsidRPr="004F01E9" w:rsidRDefault="00A667C8" w:rsidP="00A667C8">
      <w:pPr>
        <w:pStyle w:val="Point1"/>
        <w:rPr>
          <w:noProof/>
        </w:rPr>
      </w:pPr>
      <w:r w:rsidRPr="004F01E9">
        <w:rPr>
          <w:noProof/>
        </w:rPr>
        <w:t>a)</w:t>
      </w:r>
      <w:r w:rsidRPr="004F01E9">
        <w:rPr>
          <w:noProof/>
        </w:rPr>
        <w:tab/>
        <w:t>V odseku 1 sa bod iii) nahrádza takto:</w:t>
      </w:r>
    </w:p>
    <w:p w14:paraId="7D209435" w14:textId="6C8C49B4" w:rsidR="00860B4D" w:rsidRPr="004F01E9" w:rsidRDefault="00860B4D" w:rsidP="00860B4D">
      <w:pPr>
        <w:pStyle w:val="Text2"/>
        <w:rPr>
          <w:noProof/>
        </w:rPr>
      </w:pPr>
      <w:r w:rsidRPr="004F01E9">
        <w:rPr>
          <w:noProof/>
        </w:rPr>
        <w:t>„iii) ak 0 &lt; PD &lt; 1, potom:</w:t>
      </w:r>
    </w:p>
    <w:p w14:paraId="65E2B874" w14:textId="77777777" w:rsidR="00860B4D" w:rsidRPr="004F01E9" w:rsidRDefault="00860B4D" w:rsidP="00860B4D">
      <w:pPr>
        <w:pStyle w:val="Text1"/>
        <w:rPr>
          <w:rFonts w:eastAsiaTheme="minorEastAsia"/>
          <w:noProof/>
        </w:rPr>
      </w:pPr>
      <m:oMathPara>
        <m:oMath>
          <m:r>
            <m:rPr>
              <m:nor/>
            </m:rPr>
            <w:rPr>
              <w:noProof/>
            </w:rPr>
            <m:t>RW</m:t>
          </m:r>
          <m:r>
            <m:rPr>
              <m:sty m:val="p"/>
            </m:rPr>
            <w:rPr>
              <w:rFonts w:ascii="Cambria Math" w:hAnsi="Cambria Math"/>
              <w:noProof/>
            </w:rPr>
            <m:t>=</m:t>
          </m:r>
          <m:d>
            <m:dPr>
              <m:ctrlPr>
                <w:rPr>
                  <w:rFonts w:ascii="Cambria Math" w:hAnsi="Cambria Math"/>
                  <w:noProof/>
                </w:rPr>
              </m:ctrlPr>
            </m:dPr>
            <m:e>
              <m:r>
                <m:rPr>
                  <m:nor/>
                </m:rPr>
                <w:rPr>
                  <w:noProof/>
                </w:rPr>
                <m:t>LGD</m:t>
              </m:r>
              <m:r>
                <m:rPr>
                  <m:sty m:val="p"/>
                </m:rPr>
                <w:rPr>
                  <w:rFonts w:ascii="Cambria Math" w:hAnsi="Cambria Math"/>
                  <w:noProof/>
                </w:rPr>
                <m:t>⋅</m:t>
              </m:r>
              <m:r>
                <w:rPr>
                  <w:rFonts w:ascii="Cambria Math" w:hAnsi="Cambria Math"/>
                  <w:noProof/>
                </w:rPr>
                <m:t>N</m:t>
              </m:r>
              <m:d>
                <m:dPr>
                  <m:ctrlPr>
                    <w:rPr>
                      <w:rFonts w:ascii="Cambria Math" w:hAnsi="Cambria Math"/>
                      <w:noProof/>
                    </w:rPr>
                  </m:ctrlPr>
                </m:dPr>
                <m:e>
                  <m:f>
                    <m:fPr>
                      <m:ctrlPr>
                        <w:rPr>
                          <w:rFonts w:ascii="Cambria Math" w:hAnsi="Cambria Math"/>
                          <w:noProof/>
                        </w:rPr>
                      </m:ctrlPr>
                    </m:fPr>
                    <m:num>
                      <m:r>
                        <m:rPr>
                          <m:sty m:val="p"/>
                        </m:rPr>
                        <w:rPr>
                          <w:rFonts w:ascii="Cambria Math" w:hAnsi="Cambria Math"/>
                          <w:noProof/>
                        </w:rPr>
                        <m:t>1</m:t>
                      </m:r>
                    </m:num>
                    <m:den>
                      <m:rad>
                        <m:radPr>
                          <m:degHide m:val="1"/>
                          <m:ctrlPr>
                            <w:rPr>
                              <w:rFonts w:ascii="Cambria Math" w:hAnsi="Cambria Math"/>
                              <w:noProof/>
                            </w:rPr>
                          </m:ctrlPr>
                        </m:radPr>
                        <m:deg/>
                        <m:e>
                          <m:r>
                            <m:rPr>
                              <m:sty m:val="p"/>
                            </m:rPr>
                            <w:rPr>
                              <w:rFonts w:ascii="Cambria Math" w:hAnsi="Cambria Math"/>
                              <w:noProof/>
                            </w:rPr>
                            <m:t>1-</m:t>
                          </m:r>
                          <m:r>
                            <w:rPr>
                              <w:rFonts w:ascii="Cambria Math" w:hAnsi="Cambria Math"/>
                              <w:noProof/>
                            </w:rPr>
                            <m:t>R</m:t>
                          </m:r>
                        </m:e>
                      </m:rad>
                    </m:den>
                  </m:f>
                  <m:r>
                    <m:rPr>
                      <m:sty m:val="p"/>
                    </m:rPr>
                    <w:rPr>
                      <w:rFonts w:ascii="Cambria Math" w:hAnsi="Cambria Math"/>
                      <w:noProof/>
                    </w:rPr>
                    <m:t>⋅</m:t>
                  </m:r>
                  <m:r>
                    <w:rPr>
                      <w:rFonts w:ascii="Cambria Math" w:hAnsi="Cambria Math"/>
                      <w:noProof/>
                    </w:rPr>
                    <m:t>G</m:t>
                  </m:r>
                  <m:d>
                    <m:dPr>
                      <m:ctrlPr>
                        <w:rPr>
                          <w:rFonts w:ascii="Cambria Math" w:hAnsi="Cambria Math"/>
                          <w:noProof/>
                        </w:rPr>
                      </m:ctrlPr>
                    </m:dPr>
                    <m:e>
                      <m:r>
                        <m:rPr>
                          <m:nor/>
                        </m:rPr>
                        <w:rPr>
                          <w:noProof/>
                        </w:rPr>
                        <m:t>PD</m:t>
                      </m:r>
                    </m:e>
                  </m:d>
                  <m:r>
                    <m:rPr>
                      <m:sty m:val="p"/>
                    </m:rPr>
                    <w:rPr>
                      <w:rFonts w:ascii="Cambria Math" w:hAnsi="Cambria Math"/>
                      <w:noProof/>
                    </w:rPr>
                    <m:t>+</m:t>
                  </m:r>
                  <m:rad>
                    <m:radPr>
                      <m:degHide m:val="1"/>
                      <m:ctrlPr>
                        <w:rPr>
                          <w:rFonts w:ascii="Cambria Math" w:hAnsi="Cambria Math"/>
                          <w:noProof/>
                        </w:rPr>
                      </m:ctrlPr>
                    </m:radPr>
                    <m:deg/>
                    <m:e>
                      <m:f>
                        <m:fPr>
                          <m:ctrlPr>
                            <w:rPr>
                              <w:rFonts w:ascii="Cambria Math" w:hAnsi="Cambria Math"/>
                              <w:noProof/>
                            </w:rPr>
                          </m:ctrlPr>
                        </m:fPr>
                        <m:num>
                          <m:r>
                            <w:rPr>
                              <w:rFonts w:ascii="Cambria Math" w:hAnsi="Cambria Math"/>
                              <w:noProof/>
                            </w:rPr>
                            <m:t>R</m:t>
                          </m:r>
                        </m:num>
                        <m:den>
                          <m:r>
                            <m:rPr>
                              <m:sty m:val="p"/>
                            </m:rPr>
                            <w:rPr>
                              <w:rFonts w:ascii="Cambria Math" w:hAnsi="Cambria Math"/>
                              <w:noProof/>
                            </w:rPr>
                            <m:t>1-</m:t>
                          </m:r>
                          <m:r>
                            <w:rPr>
                              <w:rFonts w:ascii="Cambria Math" w:hAnsi="Cambria Math"/>
                              <w:noProof/>
                            </w:rPr>
                            <m:t>R</m:t>
                          </m:r>
                        </m:den>
                      </m:f>
                    </m:e>
                  </m:rad>
                  <m:r>
                    <m:rPr>
                      <m:sty m:val="p"/>
                    </m:rPr>
                    <w:rPr>
                      <w:rFonts w:ascii="Cambria Math" w:hAnsi="Cambria Math"/>
                      <w:noProof/>
                    </w:rPr>
                    <m:t>⋅</m:t>
                  </m:r>
                  <m:r>
                    <w:rPr>
                      <w:rFonts w:ascii="Cambria Math" w:hAnsi="Cambria Math"/>
                      <w:noProof/>
                    </w:rPr>
                    <m:t>G</m:t>
                  </m:r>
                  <m:d>
                    <m:dPr>
                      <m:ctrlPr>
                        <w:rPr>
                          <w:rFonts w:ascii="Cambria Math" w:hAnsi="Cambria Math"/>
                          <w:noProof/>
                        </w:rPr>
                      </m:ctrlPr>
                    </m:dPr>
                    <m:e>
                      <m:r>
                        <m:rPr>
                          <m:sty m:val="p"/>
                        </m:rPr>
                        <w:rPr>
                          <w:rFonts w:ascii="Cambria Math" w:hAnsi="Cambria Math"/>
                          <w:noProof/>
                        </w:rPr>
                        <m:t>0,999</m:t>
                      </m:r>
                    </m:e>
                  </m:d>
                </m:e>
              </m:d>
              <m:r>
                <m:rPr>
                  <m:sty m:val="p"/>
                </m:rPr>
                <w:rPr>
                  <w:rFonts w:ascii="Cambria Math" w:hAnsi="Cambria Math"/>
                  <w:noProof/>
                </w:rPr>
                <m:t>-</m:t>
              </m:r>
              <m:r>
                <m:rPr>
                  <m:nor/>
                </m:rPr>
                <w:rPr>
                  <w:noProof/>
                </w:rPr>
                <m:t>LGD</m:t>
              </m:r>
              <m:r>
                <m:rPr>
                  <m:sty m:val="p"/>
                </m:rPr>
                <w:rPr>
                  <w:rFonts w:ascii="Cambria Math" w:hAnsi="Cambria Math"/>
                  <w:noProof/>
                </w:rPr>
                <m:t>⋅</m:t>
              </m:r>
              <m:r>
                <m:rPr>
                  <m:nor/>
                </m:rPr>
                <w:rPr>
                  <w:noProof/>
                </w:rPr>
                <m:t>PD</m:t>
              </m:r>
            </m:e>
          </m:d>
          <m:r>
            <m:rPr>
              <m:sty m:val="p"/>
            </m:rPr>
            <w:rPr>
              <w:rFonts w:ascii="Cambria Math" w:eastAsiaTheme="minorEastAsia" w:hAnsi="Cambria Math"/>
              <w:noProof/>
            </w:rPr>
            <m:t>⋅</m:t>
          </m:r>
          <m:f>
            <m:fPr>
              <m:ctrlPr>
                <w:rPr>
                  <w:rFonts w:ascii="Cambria Math" w:eastAsiaTheme="minorEastAsia" w:hAnsi="Cambria Math"/>
                  <w:noProof/>
                </w:rPr>
              </m:ctrlPr>
            </m:fPr>
            <m:num>
              <m:r>
                <m:rPr>
                  <m:sty m:val="p"/>
                </m:rPr>
                <w:rPr>
                  <w:rFonts w:ascii="Cambria Math" w:eastAsiaTheme="minorEastAsia" w:hAnsi="Cambria Math"/>
                  <w:noProof/>
                </w:rPr>
                <m:t>1+</m:t>
              </m:r>
              <m:d>
                <m:dPr>
                  <m:ctrlPr>
                    <w:rPr>
                      <w:rFonts w:ascii="Cambria Math" w:eastAsiaTheme="minorEastAsia" w:hAnsi="Cambria Math"/>
                      <w:noProof/>
                    </w:rPr>
                  </m:ctrlPr>
                </m:dPr>
                <m:e>
                  <m:r>
                    <m:rPr>
                      <m:nor/>
                    </m:rPr>
                    <w:rPr>
                      <w:rFonts w:eastAsiaTheme="minorEastAsia"/>
                      <w:noProof/>
                    </w:rPr>
                    <m:t>M</m:t>
                  </m:r>
                  <m:r>
                    <m:rPr>
                      <m:sty m:val="p"/>
                    </m:rPr>
                    <w:rPr>
                      <w:rFonts w:ascii="Cambria Math" w:eastAsiaTheme="minorEastAsia" w:hAnsi="Cambria Math"/>
                      <w:noProof/>
                    </w:rPr>
                    <m:t>-2,5</m:t>
                  </m:r>
                </m:e>
              </m:d>
              <m:r>
                <m:rPr>
                  <m:sty m:val="p"/>
                </m:rPr>
                <w:rPr>
                  <w:rFonts w:ascii="Cambria Math" w:eastAsiaTheme="minorEastAsia" w:hAnsi="Cambria Math"/>
                  <w:noProof/>
                </w:rPr>
                <m:t>⋅</m:t>
              </m:r>
              <m:r>
                <w:rPr>
                  <w:rFonts w:ascii="Cambria Math" w:eastAsiaTheme="minorEastAsia" w:hAnsi="Cambria Math"/>
                  <w:noProof/>
                </w:rPr>
                <m:t>b</m:t>
              </m:r>
            </m:num>
            <m:den>
              <m:r>
                <m:rPr>
                  <m:sty m:val="p"/>
                </m:rPr>
                <w:rPr>
                  <w:rFonts w:ascii="Cambria Math" w:eastAsiaTheme="minorEastAsia" w:hAnsi="Cambria Math"/>
                  <w:noProof/>
                </w:rPr>
                <m:t>1-1,5⋅</m:t>
              </m:r>
              <m:r>
                <w:rPr>
                  <w:rFonts w:ascii="Cambria Math" w:eastAsiaTheme="minorEastAsia" w:hAnsi="Cambria Math"/>
                  <w:noProof/>
                </w:rPr>
                <m:t>b</m:t>
              </m:r>
            </m:den>
          </m:f>
          <m:r>
            <m:rPr>
              <m:sty m:val="p"/>
            </m:rPr>
            <w:rPr>
              <w:rFonts w:ascii="Cambria Math" w:eastAsiaTheme="minorEastAsia" w:hAnsi="Cambria Math"/>
              <w:noProof/>
            </w:rPr>
            <m:t>⋅12,5</m:t>
          </m:r>
        </m:oMath>
      </m:oMathPara>
    </w:p>
    <w:p w14:paraId="45CB1614" w14:textId="77777777" w:rsidR="00860B4D" w:rsidRPr="004F01E9" w:rsidRDefault="00860B4D" w:rsidP="00860B4D">
      <w:pPr>
        <w:pStyle w:val="Text2"/>
        <w:rPr>
          <w:noProof/>
        </w:rPr>
      </w:pPr>
      <w:r w:rsidRPr="004F01E9">
        <w:rPr>
          <w:noProof/>
        </w:rPr>
        <w:t>kde:</w:t>
      </w:r>
    </w:p>
    <w:p w14:paraId="1B1AD23D" w14:textId="0B1B6743" w:rsidR="00860B4D" w:rsidRPr="004F01E9" w:rsidRDefault="00860B4D" w:rsidP="00860B4D">
      <w:pPr>
        <w:pStyle w:val="Text2"/>
        <w:rPr>
          <w:noProof/>
        </w:rPr>
      </w:pPr>
      <w:r w:rsidRPr="004F01E9">
        <w:rPr>
          <w:i/>
          <w:noProof/>
        </w:rPr>
        <w:t>N</w:t>
      </w:r>
      <w:r w:rsidRPr="004F01E9">
        <w:rPr>
          <w:noProof/>
        </w:rPr>
        <w:t xml:space="preserve"> = kumulatívna distribučná funkcia štandardnej normálnej náhodnej premennej, t. j. </w:t>
      </w:r>
      <w:r w:rsidRPr="004F01E9">
        <w:rPr>
          <w:i/>
          <w:noProof/>
        </w:rPr>
        <w:t>N</w:t>
      </w:r>
      <w:r w:rsidRPr="004F01E9">
        <w:rPr>
          <w:noProof/>
        </w:rPr>
        <w:t>(</w:t>
      </w:r>
      <w:r w:rsidRPr="004F01E9">
        <w:rPr>
          <w:i/>
          <w:noProof/>
        </w:rPr>
        <w:t>x</w:t>
      </w:r>
      <w:r w:rsidRPr="004F01E9">
        <w:rPr>
          <w:noProof/>
        </w:rPr>
        <w:t>) sa rovná pravdepodobnosti, že normálna náhodná premenná so strednou hodnotou 0</w:t>
      </w:r>
      <w:r w:rsidR="004F01E9">
        <w:rPr>
          <w:noProof/>
        </w:rPr>
        <w:t xml:space="preserve"> a </w:t>
      </w:r>
      <w:r w:rsidRPr="004F01E9">
        <w:rPr>
          <w:noProof/>
        </w:rPr>
        <w:t xml:space="preserve">varianciou 1 je menšia alebo rovná </w:t>
      </w:r>
      <w:r w:rsidRPr="004F01E9">
        <w:rPr>
          <w:i/>
          <w:noProof/>
        </w:rPr>
        <w:t>x</w:t>
      </w:r>
      <w:r w:rsidRPr="004F01E9">
        <w:rPr>
          <w:noProof/>
        </w:rPr>
        <w:t>;</w:t>
      </w:r>
    </w:p>
    <w:p w14:paraId="6F0020E2" w14:textId="77777777" w:rsidR="00860B4D" w:rsidRPr="004F01E9" w:rsidRDefault="00860B4D" w:rsidP="00860B4D">
      <w:pPr>
        <w:pStyle w:val="Text2"/>
        <w:rPr>
          <w:noProof/>
        </w:rPr>
      </w:pPr>
      <w:r w:rsidRPr="004F01E9">
        <w:rPr>
          <w:i/>
          <w:noProof/>
        </w:rPr>
        <w:t>G</w:t>
      </w:r>
      <w:r w:rsidRPr="004F01E9">
        <w:rPr>
          <w:noProof/>
        </w:rPr>
        <w:t xml:space="preserve"> = inverzná kumulatívna distribučná funkcia štandardnej normálnej náhodnej premennej, t. j. ak </w:t>
      </w:r>
      <w:r w:rsidRPr="004F01E9">
        <w:rPr>
          <w:i/>
          <w:noProof/>
        </w:rPr>
        <w:t>x</w:t>
      </w:r>
      <w:r w:rsidRPr="004F01E9">
        <w:rPr>
          <w:noProof/>
        </w:rPr>
        <w:t xml:space="preserve"> = </w:t>
      </w:r>
      <w:r w:rsidRPr="004F01E9">
        <w:rPr>
          <w:i/>
          <w:noProof/>
        </w:rPr>
        <w:t>G</w:t>
      </w:r>
      <w:r w:rsidRPr="004F01E9">
        <w:rPr>
          <w:noProof/>
        </w:rPr>
        <w:t>(</w:t>
      </w:r>
      <w:r w:rsidRPr="004F01E9">
        <w:rPr>
          <w:i/>
          <w:noProof/>
        </w:rPr>
        <w:t>z</w:t>
      </w:r>
      <w:r w:rsidRPr="004F01E9">
        <w:rPr>
          <w:noProof/>
        </w:rPr>
        <w:t xml:space="preserve">), </w:t>
      </w:r>
      <w:r w:rsidRPr="004F01E9">
        <w:rPr>
          <w:i/>
          <w:noProof/>
        </w:rPr>
        <w:t>x</w:t>
      </w:r>
      <w:r w:rsidRPr="004F01E9">
        <w:rPr>
          <w:noProof/>
        </w:rPr>
        <w:t xml:space="preserve"> je taká hodnota, že </w:t>
      </w:r>
      <w:r w:rsidRPr="004F01E9">
        <w:rPr>
          <w:i/>
          <w:noProof/>
        </w:rPr>
        <w:t>N</w:t>
      </w:r>
      <w:r w:rsidRPr="004F01E9">
        <w:rPr>
          <w:noProof/>
        </w:rPr>
        <w:t>(</w:t>
      </w:r>
      <w:r w:rsidRPr="004F01E9">
        <w:rPr>
          <w:i/>
          <w:noProof/>
        </w:rPr>
        <w:t>x</w:t>
      </w:r>
      <w:r w:rsidRPr="004F01E9">
        <w:rPr>
          <w:noProof/>
        </w:rPr>
        <w:t xml:space="preserve">) = </w:t>
      </w:r>
      <w:r w:rsidRPr="004F01E9">
        <w:rPr>
          <w:i/>
          <w:noProof/>
        </w:rPr>
        <w:t>z</w:t>
      </w:r>
      <w:r w:rsidRPr="004F01E9">
        <w:rPr>
          <w:noProof/>
        </w:rPr>
        <w:t>;</w:t>
      </w:r>
    </w:p>
    <w:p w14:paraId="72FA7D2D" w14:textId="77777777" w:rsidR="00860B4D" w:rsidRPr="004F01E9" w:rsidRDefault="00860B4D" w:rsidP="00860B4D">
      <w:pPr>
        <w:pStyle w:val="Text2"/>
        <w:rPr>
          <w:noProof/>
        </w:rPr>
      </w:pPr>
      <w:r w:rsidRPr="004F01E9">
        <w:rPr>
          <w:i/>
          <w:noProof/>
        </w:rPr>
        <w:t>R</w:t>
      </w:r>
      <w:r w:rsidRPr="004F01E9">
        <w:rPr>
          <w:noProof/>
        </w:rPr>
        <w:t xml:space="preserve"> = koeficient korelácie, ktorý je definovaný ako:</w:t>
      </w:r>
    </w:p>
    <w:p w14:paraId="0EA129F3" w14:textId="77777777" w:rsidR="00860B4D" w:rsidRPr="004F01E9" w:rsidRDefault="00860B4D" w:rsidP="00FD0167">
      <w:pPr>
        <w:rPr>
          <w:noProof/>
        </w:rPr>
      </w:pPr>
      <m:oMathPara>
        <m:oMath>
          <m:r>
            <w:rPr>
              <w:rFonts w:ascii="Cambria Math" w:hAnsi="Cambria Math"/>
              <w:noProof/>
            </w:rPr>
            <m:t>R</m:t>
          </m:r>
          <m:r>
            <m:rPr>
              <m:sty m:val="p"/>
            </m:rPr>
            <w:rPr>
              <w:rFonts w:ascii="Cambria Math" w:hAnsi="Cambria Math"/>
              <w:noProof/>
            </w:rPr>
            <m:t>=0,12⋅</m:t>
          </m:r>
          <m:f>
            <m:fPr>
              <m:ctrlPr>
                <w:rPr>
                  <w:rFonts w:ascii="Cambria Math" w:hAnsi="Cambria Math"/>
                  <w:noProof/>
                </w:rPr>
              </m:ctrlPr>
            </m:fPr>
            <m:num>
              <m:r>
                <m:rPr>
                  <m:sty m:val="p"/>
                </m:rPr>
                <w:rPr>
                  <w:rFonts w:ascii="Cambria Math" w:hAnsi="Cambria Math"/>
                  <w:noProof/>
                </w:rPr>
                <m:t>1-</m:t>
              </m:r>
              <m:sSup>
                <m:sSupPr>
                  <m:ctrlPr>
                    <w:rPr>
                      <w:rFonts w:ascii="Cambria Math" w:hAnsi="Cambria Math"/>
                      <w:noProof/>
                    </w:rPr>
                  </m:ctrlPr>
                </m:sSupPr>
                <m:e>
                  <m:r>
                    <w:rPr>
                      <w:rFonts w:ascii="Cambria Math" w:hAnsi="Cambria Math"/>
                      <w:noProof/>
                    </w:rPr>
                    <m:t>e</m:t>
                  </m:r>
                </m:e>
                <m:sup>
                  <m:r>
                    <m:rPr>
                      <m:sty m:val="p"/>
                    </m:rPr>
                    <w:rPr>
                      <w:rFonts w:ascii="Cambria Math" w:hAnsi="Cambria Math"/>
                      <w:noProof/>
                    </w:rPr>
                    <m:t>-50⋅</m:t>
                  </m:r>
                  <m:r>
                    <m:rPr>
                      <m:nor/>
                    </m:rPr>
                    <w:rPr>
                      <w:noProof/>
                    </w:rPr>
                    <m:t>PD</m:t>
                  </m:r>
                </m:sup>
              </m:sSup>
            </m:num>
            <m:den>
              <m:r>
                <m:rPr>
                  <m:sty m:val="p"/>
                </m:rPr>
                <w:rPr>
                  <w:rFonts w:ascii="Cambria Math" w:hAnsi="Cambria Math"/>
                  <w:noProof/>
                </w:rPr>
                <m:t>1-</m:t>
              </m:r>
              <m:sSup>
                <m:sSupPr>
                  <m:ctrlPr>
                    <w:rPr>
                      <w:rFonts w:ascii="Cambria Math" w:hAnsi="Cambria Math"/>
                      <w:noProof/>
                    </w:rPr>
                  </m:ctrlPr>
                </m:sSupPr>
                <m:e>
                  <m:r>
                    <w:rPr>
                      <w:rFonts w:ascii="Cambria Math" w:hAnsi="Cambria Math"/>
                      <w:noProof/>
                    </w:rPr>
                    <m:t>e</m:t>
                  </m:r>
                </m:e>
                <m:sup>
                  <m:r>
                    <m:rPr>
                      <m:sty m:val="p"/>
                    </m:rPr>
                    <w:rPr>
                      <w:rFonts w:ascii="Cambria Math" w:hAnsi="Cambria Math"/>
                      <w:noProof/>
                    </w:rPr>
                    <m:t>-50</m:t>
                  </m:r>
                </m:sup>
              </m:sSup>
            </m:den>
          </m:f>
          <m:r>
            <m:rPr>
              <m:sty m:val="p"/>
            </m:rPr>
            <w:rPr>
              <w:rFonts w:ascii="Cambria Math" w:hAnsi="Cambria Math"/>
              <w:noProof/>
            </w:rPr>
            <m:t>+0,24⋅</m:t>
          </m:r>
          <m:d>
            <m:dPr>
              <m:ctrlPr>
                <w:rPr>
                  <w:rFonts w:ascii="Cambria Math" w:hAnsi="Cambria Math"/>
                  <w:noProof/>
                </w:rPr>
              </m:ctrlPr>
            </m:dPr>
            <m:e>
              <m:r>
                <m:rPr>
                  <m:sty m:val="p"/>
                </m:rPr>
                <w:rPr>
                  <w:rFonts w:ascii="Cambria Math" w:hAnsi="Cambria Math"/>
                  <w:noProof/>
                </w:rPr>
                <m:t>1-</m:t>
              </m:r>
              <m:f>
                <m:fPr>
                  <m:ctrlPr>
                    <w:rPr>
                      <w:rFonts w:ascii="Cambria Math" w:hAnsi="Cambria Math"/>
                      <w:noProof/>
                    </w:rPr>
                  </m:ctrlPr>
                </m:fPr>
                <m:num>
                  <m:r>
                    <m:rPr>
                      <m:sty m:val="p"/>
                    </m:rPr>
                    <w:rPr>
                      <w:rFonts w:ascii="Cambria Math" w:hAnsi="Cambria Math"/>
                      <w:noProof/>
                    </w:rPr>
                    <m:t>1-</m:t>
                  </m:r>
                  <m:sSup>
                    <m:sSupPr>
                      <m:ctrlPr>
                        <w:rPr>
                          <w:rFonts w:ascii="Cambria Math" w:hAnsi="Cambria Math"/>
                          <w:noProof/>
                        </w:rPr>
                      </m:ctrlPr>
                    </m:sSupPr>
                    <m:e>
                      <m:r>
                        <w:rPr>
                          <w:rFonts w:ascii="Cambria Math" w:hAnsi="Cambria Math"/>
                          <w:noProof/>
                        </w:rPr>
                        <m:t>e</m:t>
                      </m:r>
                    </m:e>
                    <m:sup>
                      <m:r>
                        <m:rPr>
                          <m:sty m:val="p"/>
                        </m:rPr>
                        <w:rPr>
                          <w:rFonts w:ascii="Cambria Math" w:hAnsi="Cambria Math"/>
                          <w:noProof/>
                        </w:rPr>
                        <m:t>-50⋅</m:t>
                      </m:r>
                      <m:r>
                        <m:rPr>
                          <m:nor/>
                        </m:rPr>
                        <w:rPr>
                          <w:noProof/>
                        </w:rPr>
                        <m:t>PD</m:t>
                      </m:r>
                    </m:sup>
                  </m:sSup>
                </m:num>
                <m:den>
                  <m:r>
                    <m:rPr>
                      <m:sty m:val="p"/>
                    </m:rPr>
                    <w:rPr>
                      <w:rFonts w:ascii="Cambria Math" w:hAnsi="Cambria Math"/>
                      <w:noProof/>
                    </w:rPr>
                    <m:t>1-</m:t>
                  </m:r>
                  <m:sSup>
                    <m:sSupPr>
                      <m:ctrlPr>
                        <w:rPr>
                          <w:rFonts w:ascii="Cambria Math" w:hAnsi="Cambria Math"/>
                          <w:noProof/>
                        </w:rPr>
                      </m:ctrlPr>
                    </m:sSupPr>
                    <m:e>
                      <m:r>
                        <w:rPr>
                          <w:rFonts w:ascii="Cambria Math" w:hAnsi="Cambria Math"/>
                          <w:noProof/>
                        </w:rPr>
                        <m:t>e</m:t>
                      </m:r>
                    </m:e>
                    <m:sup>
                      <m:r>
                        <m:rPr>
                          <m:sty m:val="p"/>
                        </m:rPr>
                        <w:rPr>
                          <w:rFonts w:ascii="Cambria Math" w:hAnsi="Cambria Math"/>
                          <w:noProof/>
                        </w:rPr>
                        <m:t>-50</m:t>
                      </m:r>
                    </m:sup>
                  </m:sSup>
                </m:den>
              </m:f>
            </m:e>
          </m:d>
        </m:oMath>
      </m:oMathPara>
    </w:p>
    <w:p w14:paraId="57D319D4" w14:textId="77777777" w:rsidR="00860B4D" w:rsidRPr="004F01E9" w:rsidRDefault="00860B4D" w:rsidP="00860B4D">
      <w:pPr>
        <w:pStyle w:val="Text2"/>
        <w:rPr>
          <w:noProof/>
        </w:rPr>
      </w:pPr>
      <w:r w:rsidRPr="004F01E9">
        <w:rPr>
          <w:i/>
          <w:noProof/>
        </w:rPr>
        <w:t>b</w:t>
      </w:r>
      <w:r w:rsidRPr="004F01E9">
        <w:rPr>
          <w:noProof/>
        </w:rPr>
        <w:t xml:space="preserve"> = koeficient úpravy splatnosti, ktorý je definovaný ako:</w:t>
      </w:r>
    </w:p>
    <w:p w14:paraId="5892CFF4" w14:textId="77777777" w:rsidR="00860B4D" w:rsidRPr="004F01E9" w:rsidRDefault="00860B4D" w:rsidP="00FD0167">
      <w:pPr>
        <w:rPr>
          <w:noProof/>
        </w:rPr>
      </w:pPr>
      <m:oMathPara>
        <m:oMath>
          <m:r>
            <w:rPr>
              <w:rFonts w:ascii="Cambria Math" w:hAnsi="Cambria Math"/>
              <w:noProof/>
            </w:rPr>
            <m:t>b</m:t>
          </m:r>
          <m:r>
            <m:rPr>
              <m:sty m:val="p"/>
            </m:rPr>
            <w:rPr>
              <w:rFonts w:ascii="Cambria Math" w:hAnsi="Cambria Math"/>
              <w:noProof/>
            </w:rPr>
            <m:t>=</m:t>
          </m:r>
          <m:sSup>
            <m:sSupPr>
              <m:ctrlPr>
                <w:rPr>
                  <w:rFonts w:ascii="Cambria Math" w:hAnsi="Cambria Math"/>
                  <w:noProof/>
                </w:rPr>
              </m:ctrlPr>
            </m:sSupPr>
            <m:e>
              <m:d>
                <m:dPr>
                  <m:begChr m:val="["/>
                  <m:endChr m:val="]"/>
                  <m:ctrlPr>
                    <w:rPr>
                      <w:rFonts w:ascii="Cambria Math" w:hAnsi="Cambria Math"/>
                      <w:noProof/>
                    </w:rPr>
                  </m:ctrlPr>
                </m:dPr>
                <m:e>
                  <m:r>
                    <m:rPr>
                      <m:sty m:val="p"/>
                    </m:rPr>
                    <w:rPr>
                      <w:rFonts w:ascii="Cambria Math" w:hAnsi="Cambria Math"/>
                      <w:noProof/>
                    </w:rPr>
                    <m:t>0,11852-0,05478⋅</m:t>
                  </m:r>
                  <m:func>
                    <m:funcPr>
                      <m:ctrlPr>
                        <w:rPr>
                          <w:rFonts w:ascii="Cambria Math" w:hAnsi="Cambria Math"/>
                          <w:noProof/>
                        </w:rPr>
                      </m:ctrlPr>
                    </m:funcPr>
                    <m:fName>
                      <m:r>
                        <w:rPr>
                          <w:rFonts w:ascii="Cambria Math" w:hAnsi="Cambria Math"/>
                          <w:noProof/>
                        </w:rPr>
                        <m:t>ln</m:t>
                      </m:r>
                    </m:fName>
                    <m:e>
                      <m:d>
                        <m:dPr>
                          <m:ctrlPr>
                            <w:rPr>
                              <w:rFonts w:ascii="Cambria Math" w:hAnsi="Cambria Math"/>
                              <w:noProof/>
                            </w:rPr>
                          </m:ctrlPr>
                        </m:dPr>
                        <m:e>
                          <m:r>
                            <m:rPr>
                              <m:nor/>
                            </m:rPr>
                            <w:rPr>
                              <w:noProof/>
                            </w:rPr>
                            <m:t>PD</m:t>
                          </m:r>
                        </m:e>
                      </m:d>
                    </m:e>
                  </m:func>
                </m:e>
              </m:d>
            </m:e>
            <m:sup>
              <m:r>
                <m:rPr>
                  <m:sty m:val="p"/>
                </m:rPr>
                <w:rPr>
                  <w:rFonts w:ascii="Cambria Math" w:hAnsi="Cambria Math"/>
                  <w:noProof/>
                </w:rPr>
                <m:t>2</m:t>
              </m:r>
            </m:sup>
          </m:sSup>
        </m:oMath>
      </m:oMathPara>
    </w:p>
    <w:p w14:paraId="134099BC" w14:textId="20D4B709" w:rsidR="00860B4D" w:rsidRPr="004F01E9" w:rsidRDefault="00860B4D" w:rsidP="00860B4D">
      <w:pPr>
        <w:pStyle w:val="Text2"/>
        <w:rPr>
          <w:noProof/>
        </w:rPr>
      </w:pPr>
      <w:r w:rsidRPr="004F01E9">
        <w:rPr>
          <w:noProof/>
        </w:rPr>
        <w:t>M = splatnosť vyjadrená</w:t>
      </w:r>
      <w:r w:rsidR="004F01E9">
        <w:rPr>
          <w:noProof/>
        </w:rPr>
        <w:t xml:space="preserve"> v </w:t>
      </w:r>
      <w:r w:rsidRPr="004F01E9">
        <w:rPr>
          <w:noProof/>
        </w:rPr>
        <w:t>rokoch</w:t>
      </w:r>
      <w:r w:rsidR="004F01E9">
        <w:rPr>
          <w:noProof/>
        </w:rPr>
        <w:t xml:space="preserve"> a </w:t>
      </w:r>
      <w:r w:rsidRPr="004F01E9">
        <w:rPr>
          <w:noProof/>
        </w:rPr>
        <w:t>vypočítaná</w:t>
      </w:r>
      <w:r w:rsidR="004F01E9">
        <w:rPr>
          <w:noProof/>
        </w:rPr>
        <w:t xml:space="preserve"> v </w:t>
      </w:r>
      <w:r w:rsidRPr="004F01E9">
        <w:rPr>
          <w:noProof/>
        </w:rPr>
        <w:t>súlade</w:t>
      </w:r>
      <w:r w:rsidR="004F01E9">
        <w:rPr>
          <w:noProof/>
        </w:rPr>
        <w:t xml:space="preserve"> s </w:t>
      </w:r>
      <w:r w:rsidRPr="004F01E9">
        <w:rPr>
          <w:noProof/>
        </w:rPr>
        <w:t>článkom 162.“;</w:t>
      </w:r>
    </w:p>
    <w:p w14:paraId="30568FD3" w14:textId="40F093FC" w:rsidR="00860B4D" w:rsidRPr="004F01E9" w:rsidRDefault="00A667C8" w:rsidP="00A667C8">
      <w:pPr>
        <w:pStyle w:val="Point1"/>
        <w:rPr>
          <w:noProof/>
        </w:rPr>
      </w:pPr>
      <w:r w:rsidRPr="004F01E9">
        <w:rPr>
          <w:noProof/>
        </w:rPr>
        <w:t>b)</w:t>
      </w:r>
      <w:r w:rsidRPr="004F01E9">
        <w:rPr>
          <w:noProof/>
        </w:rPr>
        <w:tab/>
        <w:t>Odsek 2 sa nahrádza takto:</w:t>
      </w:r>
    </w:p>
    <w:p w14:paraId="03D852EB" w14:textId="65631FEC" w:rsidR="00860B4D" w:rsidRPr="004F01E9" w:rsidRDefault="00860B4D" w:rsidP="00860B4D">
      <w:pPr>
        <w:pStyle w:val="Text2"/>
        <w:rPr>
          <w:noProof/>
        </w:rPr>
      </w:pPr>
      <w:r w:rsidRPr="004F01E9">
        <w:rPr>
          <w:noProof/>
        </w:rPr>
        <w:t>„2.</w:t>
      </w:r>
      <w:r w:rsidR="004F01E9">
        <w:rPr>
          <w:noProof/>
        </w:rPr>
        <w:t xml:space="preserve"> V </w:t>
      </w:r>
      <w:r w:rsidRPr="004F01E9">
        <w:rPr>
          <w:noProof/>
        </w:rPr>
        <w:t>prípade expozícií voči veľkým regulovaným subjektom finančného sektora</w:t>
      </w:r>
      <w:r w:rsidR="004F01E9">
        <w:rPr>
          <w:noProof/>
        </w:rPr>
        <w:t xml:space="preserve"> a </w:t>
      </w:r>
      <w:r w:rsidRPr="004F01E9">
        <w:rPr>
          <w:noProof/>
        </w:rPr>
        <w:t xml:space="preserve">neregulovaným subjektom finančného sektora sa pri výpočte rizikových váh týchto expozícií koeficient korelácie </w:t>
      </w:r>
      <w:r w:rsidRPr="004F01E9">
        <w:rPr>
          <w:i/>
          <w:noProof/>
        </w:rPr>
        <w:t>R</w:t>
      </w:r>
      <w:r w:rsidRPr="004F01E9">
        <w:rPr>
          <w:noProof/>
        </w:rPr>
        <w:t xml:space="preserve"> stanovený</w:t>
      </w:r>
      <w:r w:rsidR="004F01E9">
        <w:rPr>
          <w:noProof/>
        </w:rPr>
        <w:t xml:space="preserve"> v </w:t>
      </w:r>
      <w:r w:rsidRPr="004F01E9">
        <w:rPr>
          <w:noProof/>
        </w:rPr>
        <w:t>odseku 1 bode iii) alebo prípadne</w:t>
      </w:r>
      <w:r w:rsidR="004F01E9">
        <w:rPr>
          <w:noProof/>
        </w:rPr>
        <w:t xml:space="preserve"> v </w:t>
      </w:r>
      <w:r w:rsidRPr="004F01E9">
        <w:rPr>
          <w:noProof/>
        </w:rPr>
        <w:t>odseku 4 vynásobí hodnotou 1,25.“;</w:t>
      </w:r>
    </w:p>
    <w:p w14:paraId="0D0ED63C" w14:textId="702603B9" w:rsidR="00806B81" w:rsidRPr="004F01E9" w:rsidRDefault="00A667C8" w:rsidP="00A667C8">
      <w:pPr>
        <w:pStyle w:val="Point1"/>
        <w:rPr>
          <w:noProof/>
        </w:rPr>
      </w:pPr>
      <w:r w:rsidRPr="004F01E9">
        <w:rPr>
          <w:noProof/>
        </w:rPr>
        <w:t>c)</w:t>
      </w:r>
      <w:r w:rsidRPr="004F01E9">
        <w:rPr>
          <w:noProof/>
        </w:rPr>
        <w:tab/>
        <w:t>Odsek 3 sa vypúšťa;</w:t>
      </w:r>
    </w:p>
    <w:p w14:paraId="7E4AAEA3" w14:textId="032CB149" w:rsidR="00806B81" w:rsidRPr="004F01E9" w:rsidRDefault="00A667C8" w:rsidP="00A667C8">
      <w:pPr>
        <w:pStyle w:val="Point1"/>
        <w:rPr>
          <w:noProof/>
        </w:rPr>
      </w:pPr>
      <w:r w:rsidRPr="004F01E9">
        <w:rPr>
          <w:noProof/>
        </w:rPr>
        <w:t>d)</w:t>
      </w:r>
      <w:r w:rsidRPr="004F01E9">
        <w:rPr>
          <w:noProof/>
        </w:rPr>
        <w:tab/>
        <w:t>Odsek 9 sa nahrádza takto:</w:t>
      </w:r>
    </w:p>
    <w:p w14:paraId="4475028E" w14:textId="74E6152A" w:rsidR="00860B4D" w:rsidRPr="004F01E9" w:rsidRDefault="00860B4D" w:rsidP="00860B4D">
      <w:pPr>
        <w:pStyle w:val="Text2"/>
        <w:rPr>
          <w:noProof/>
        </w:rPr>
      </w:pPr>
      <w:r w:rsidRPr="004F01E9">
        <w:rPr>
          <w:noProof/>
        </w:rPr>
        <w:t>„9. EBA vypracuje návrh regulačných technických predpisov</w:t>
      </w:r>
      <w:r w:rsidR="004F01E9">
        <w:rPr>
          <w:noProof/>
        </w:rPr>
        <w:t xml:space="preserve"> s </w:t>
      </w:r>
      <w:r w:rsidRPr="004F01E9">
        <w:rPr>
          <w:noProof/>
        </w:rPr>
        <w:t>cieľom presne stanoviť spôsob, akým inštitúcie zohľadňujú faktory uvedené</w:t>
      </w:r>
      <w:r w:rsidR="004F01E9">
        <w:rPr>
          <w:noProof/>
        </w:rPr>
        <w:t xml:space="preserve"> v </w:t>
      </w:r>
      <w:r w:rsidRPr="004F01E9">
        <w:rPr>
          <w:noProof/>
        </w:rPr>
        <w:t>odseku 5 druhom pododseku pri priraďovaní rizikových váh expozíciám vo forme špecializovaného financovania.</w:t>
      </w:r>
    </w:p>
    <w:p w14:paraId="57EFD189" w14:textId="0A124168" w:rsidR="00860B4D" w:rsidRPr="004F01E9" w:rsidRDefault="00860B4D" w:rsidP="00860B4D">
      <w:pPr>
        <w:pStyle w:val="Text2"/>
        <w:rPr>
          <w:noProof/>
        </w:rPr>
      </w:pPr>
      <w:r w:rsidRPr="004F01E9">
        <w:rPr>
          <w:noProof/>
        </w:rPr>
        <w:t>EBA predloží uvedený návrh regulačných technických predpisov Komisii do 31</w:t>
      </w:r>
      <w:r w:rsidR="004F01E9">
        <w:rPr>
          <w:noProof/>
        </w:rPr>
        <w:t>. decembra</w:t>
      </w:r>
      <w:r w:rsidRPr="004F01E9">
        <w:rPr>
          <w:noProof/>
        </w:rPr>
        <w:t xml:space="preserve"> 2025.</w:t>
      </w:r>
    </w:p>
    <w:p w14:paraId="264652CE" w14:textId="0B26CC6C" w:rsidR="00860B4D" w:rsidRPr="004F01E9" w:rsidRDefault="00860B4D" w:rsidP="00860B4D">
      <w:pPr>
        <w:pStyle w:val="Text2"/>
        <w:rPr>
          <w:noProof/>
        </w:rPr>
      </w:pPr>
      <w:r w:rsidRPr="004F01E9">
        <w:rPr>
          <w:noProof/>
        </w:rPr>
        <w:t>Na Komisiu sa deleguje právomoc prijať regulačné technické predpisy uvedené</w:t>
      </w:r>
      <w:r w:rsidR="004F01E9">
        <w:rPr>
          <w:noProof/>
        </w:rPr>
        <w:t xml:space="preserve"> v </w:t>
      </w:r>
      <w:r w:rsidRPr="004F01E9">
        <w:rPr>
          <w:noProof/>
        </w:rPr>
        <w:t>prvom pododseku</w:t>
      </w:r>
      <w:r w:rsidR="004F01E9">
        <w:rPr>
          <w:noProof/>
        </w:rPr>
        <w:t xml:space="preserve"> v </w:t>
      </w:r>
      <w:r w:rsidRPr="004F01E9">
        <w:rPr>
          <w:noProof/>
        </w:rPr>
        <w:t>súlade</w:t>
      </w:r>
      <w:r w:rsidR="004F01E9">
        <w:rPr>
          <w:noProof/>
        </w:rPr>
        <w:t xml:space="preserve"> s </w:t>
      </w:r>
      <w:r w:rsidRPr="004F01E9">
        <w:rPr>
          <w:noProof/>
        </w:rPr>
        <w:t xml:space="preserve">článkami 10 až 14 nariadenia (EÚ) </w:t>
      </w:r>
      <w:r w:rsidR="004F01E9">
        <w:rPr>
          <w:noProof/>
        </w:rPr>
        <w:t>č. </w:t>
      </w:r>
      <w:r w:rsidRPr="004F01E9">
        <w:rPr>
          <w:noProof/>
        </w:rPr>
        <w:t>1093/2010.“</w:t>
      </w:r>
    </w:p>
    <w:p w14:paraId="72E38119" w14:textId="0C5404E1" w:rsidR="00860B4D" w:rsidRPr="004F01E9" w:rsidRDefault="00B16452" w:rsidP="00B16452">
      <w:pPr>
        <w:pStyle w:val="Point0"/>
        <w:rPr>
          <w:noProof/>
        </w:rPr>
      </w:pPr>
      <w:r w:rsidRPr="00B16452">
        <w:rPr>
          <w:noProof/>
        </w:rPr>
        <w:t>67</w:t>
      </w:r>
      <w:r>
        <w:rPr>
          <w:noProof/>
        </w:rPr>
        <w:t>.</w:t>
      </w:r>
      <w:r w:rsidRPr="00B16452">
        <w:rPr>
          <w:noProof/>
        </w:rPr>
        <w:tab/>
      </w:r>
      <w:r w:rsidR="00860B4D" w:rsidRPr="004F01E9">
        <w:rPr>
          <w:noProof/>
        </w:rPr>
        <w:t>Článok 154 sa mení takto:</w:t>
      </w:r>
    </w:p>
    <w:p w14:paraId="2FC63F94" w14:textId="7D8C9DFB" w:rsidR="00806B81" w:rsidRPr="004F01E9" w:rsidRDefault="00A667C8" w:rsidP="00A667C8">
      <w:pPr>
        <w:pStyle w:val="Point1"/>
        <w:rPr>
          <w:noProof/>
        </w:rPr>
      </w:pPr>
      <w:r w:rsidRPr="004F01E9">
        <w:rPr>
          <w:noProof/>
        </w:rPr>
        <w:t>a)</w:t>
      </w:r>
      <w:r w:rsidRPr="004F01E9">
        <w:rPr>
          <w:noProof/>
        </w:rPr>
        <w:tab/>
        <w:t>V odseku 1 sa bod ii) nahrádza takto:</w:t>
      </w:r>
    </w:p>
    <w:p w14:paraId="563C3013" w14:textId="5AE21ED9" w:rsidR="00860B4D" w:rsidRPr="004F01E9" w:rsidRDefault="00860B4D" w:rsidP="00860B4D">
      <w:pPr>
        <w:pStyle w:val="Text2"/>
        <w:rPr>
          <w:noProof/>
        </w:rPr>
      </w:pPr>
      <w:r w:rsidRPr="004F01E9">
        <w:rPr>
          <w:noProof/>
        </w:rPr>
        <w:t>„ii)</w:t>
      </w:r>
      <w:r w:rsidRPr="004F01E9">
        <w:rPr>
          <w:noProof/>
        </w:rPr>
        <w:tab/>
        <w:t>ak PD &lt; 1, potom:</w:t>
      </w:r>
    </w:p>
    <w:p w14:paraId="5E0D3C97" w14:textId="77777777" w:rsidR="00860B4D" w:rsidRPr="004F01E9" w:rsidRDefault="00860B4D" w:rsidP="00860B4D">
      <w:pPr>
        <w:pStyle w:val="Text1"/>
        <w:rPr>
          <w:noProof/>
        </w:rPr>
      </w:pPr>
      <m:oMathPara>
        <m:oMath>
          <m:r>
            <m:rPr>
              <m:nor/>
            </m:rPr>
            <w:rPr>
              <w:noProof/>
            </w:rPr>
            <m:t>RW</m:t>
          </m:r>
          <m:r>
            <m:rPr>
              <m:sty m:val="p"/>
            </m:rPr>
            <w:rPr>
              <w:rFonts w:ascii="Cambria Math" w:hAnsi="Cambria Math"/>
              <w:noProof/>
            </w:rPr>
            <m:t>=</m:t>
          </m:r>
          <m:d>
            <m:dPr>
              <m:ctrlPr>
                <w:rPr>
                  <w:rFonts w:ascii="Cambria Math" w:hAnsi="Cambria Math"/>
                  <w:noProof/>
                </w:rPr>
              </m:ctrlPr>
            </m:dPr>
            <m:e>
              <m:r>
                <m:rPr>
                  <m:nor/>
                </m:rPr>
                <w:rPr>
                  <w:noProof/>
                </w:rPr>
                <m:t>LGD</m:t>
              </m:r>
              <m:r>
                <m:rPr>
                  <m:sty m:val="p"/>
                </m:rPr>
                <w:rPr>
                  <w:rFonts w:ascii="Cambria Math" w:hAnsi="Cambria Math"/>
                  <w:noProof/>
                </w:rPr>
                <m:t>⋅</m:t>
              </m:r>
              <m:r>
                <w:rPr>
                  <w:rFonts w:ascii="Cambria Math" w:hAnsi="Cambria Math"/>
                  <w:noProof/>
                </w:rPr>
                <m:t>N</m:t>
              </m:r>
              <m:d>
                <m:dPr>
                  <m:ctrlPr>
                    <w:rPr>
                      <w:rFonts w:ascii="Cambria Math" w:hAnsi="Cambria Math"/>
                      <w:noProof/>
                    </w:rPr>
                  </m:ctrlPr>
                </m:dPr>
                <m:e>
                  <m:f>
                    <m:fPr>
                      <m:ctrlPr>
                        <w:rPr>
                          <w:rFonts w:ascii="Cambria Math" w:hAnsi="Cambria Math"/>
                          <w:noProof/>
                        </w:rPr>
                      </m:ctrlPr>
                    </m:fPr>
                    <m:num>
                      <m:r>
                        <m:rPr>
                          <m:sty m:val="p"/>
                        </m:rPr>
                        <w:rPr>
                          <w:rFonts w:ascii="Cambria Math" w:hAnsi="Cambria Math"/>
                          <w:noProof/>
                        </w:rPr>
                        <m:t>1</m:t>
                      </m:r>
                    </m:num>
                    <m:den>
                      <m:rad>
                        <m:radPr>
                          <m:degHide m:val="1"/>
                          <m:ctrlPr>
                            <w:rPr>
                              <w:rFonts w:ascii="Cambria Math" w:hAnsi="Cambria Math"/>
                              <w:noProof/>
                            </w:rPr>
                          </m:ctrlPr>
                        </m:radPr>
                        <m:deg/>
                        <m:e>
                          <m:r>
                            <m:rPr>
                              <m:sty m:val="p"/>
                            </m:rPr>
                            <w:rPr>
                              <w:rFonts w:ascii="Cambria Math" w:hAnsi="Cambria Math"/>
                              <w:noProof/>
                            </w:rPr>
                            <m:t>1-</m:t>
                          </m:r>
                          <m:r>
                            <w:rPr>
                              <w:rFonts w:ascii="Cambria Math" w:hAnsi="Cambria Math"/>
                              <w:noProof/>
                            </w:rPr>
                            <m:t>R</m:t>
                          </m:r>
                        </m:e>
                      </m:rad>
                    </m:den>
                  </m:f>
                  <m:r>
                    <m:rPr>
                      <m:sty m:val="p"/>
                    </m:rPr>
                    <w:rPr>
                      <w:rFonts w:ascii="Cambria Math" w:hAnsi="Cambria Math"/>
                      <w:noProof/>
                    </w:rPr>
                    <m:t>⋅</m:t>
                  </m:r>
                  <m:r>
                    <w:rPr>
                      <w:rFonts w:ascii="Cambria Math" w:hAnsi="Cambria Math"/>
                      <w:noProof/>
                    </w:rPr>
                    <m:t>G</m:t>
                  </m:r>
                  <m:d>
                    <m:dPr>
                      <m:ctrlPr>
                        <w:rPr>
                          <w:rFonts w:ascii="Cambria Math" w:hAnsi="Cambria Math"/>
                          <w:noProof/>
                        </w:rPr>
                      </m:ctrlPr>
                    </m:dPr>
                    <m:e>
                      <m:r>
                        <m:rPr>
                          <m:nor/>
                        </m:rPr>
                        <w:rPr>
                          <w:noProof/>
                        </w:rPr>
                        <m:t>PD</m:t>
                      </m:r>
                    </m:e>
                  </m:d>
                  <m:r>
                    <m:rPr>
                      <m:sty m:val="p"/>
                    </m:rPr>
                    <w:rPr>
                      <w:rFonts w:ascii="Cambria Math" w:hAnsi="Cambria Math"/>
                      <w:noProof/>
                    </w:rPr>
                    <m:t>+</m:t>
                  </m:r>
                  <m:rad>
                    <m:radPr>
                      <m:degHide m:val="1"/>
                      <m:ctrlPr>
                        <w:rPr>
                          <w:rFonts w:ascii="Cambria Math" w:hAnsi="Cambria Math"/>
                          <w:noProof/>
                        </w:rPr>
                      </m:ctrlPr>
                    </m:radPr>
                    <m:deg/>
                    <m:e>
                      <m:f>
                        <m:fPr>
                          <m:ctrlPr>
                            <w:rPr>
                              <w:rFonts w:ascii="Cambria Math" w:hAnsi="Cambria Math"/>
                              <w:noProof/>
                            </w:rPr>
                          </m:ctrlPr>
                        </m:fPr>
                        <m:num>
                          <m:r>
                            <w:rPr>
                              <w:rFonts w:ascii="Cambria Math" w:hAnsi="Cambria Math"/>
                              <w:noProof/>
                            </w:rPr>
                            <m:t>R</m:t>
                          </m:r>
                        </m:num>
                        <m:den>
                          <m:r>
                            <m:rPr>
                              <m:sty m:val="p"/>
                            </m:rPr>
                            <w:rPr>
                              <w:rFonts w:ascii="Cambria Math" w:hAnsi="Cambria Math"/>
                              <w:noProof/>
                            </w:rPr>
                            <m:t>1-</m:t>
                          </m:r>
                          <m:r>
                            <w:rPr>
                              <w:rFonts w:ascii="Cambria Math" w:hAnsi="Cambria Math"/>
                              <w:noProof/>
                            </w:rPr>
                            <m:t>R</m:t>
                          </m:r>
                        </m:den>
                      </m:f>
                    </m:e>
                  </m:rad>
                  <m:r>
                    <m:rPr>
                      <m:sty m:val="p"/>
                    </m:rPr>
                    <w:rPr>
                      <w:rFonts w:ascii="Cambria Math" w:hAnsi="Cambria Math"/>
                      <w:noProof/>
                    </w:rPr>
                    <m:t>⋅</m:t>
                  </m:r>
                  <m:r>
                    <w:rPr>
                      <w:rFonts w:ascii="Cambria Math" w:hAnsi="Cambria Math"/>
                      <w:noProof/>
                    </w:rPr>
                    <m:t>G</m:t>
                  </m:r>
                  <m:d>
                    <m:dPr>
                      <m:ctrlPr>
                        <w:rPr>
                          <w:rFonts w:ascii="Cambria Math" w:hAnsi="Cambria Math"/>
                          <w:noProof/>
                        </w:rPr>
                      </m:ctrlPr>
                    </m:dPr>
                    <m:e>
                      <m:r>
                        <m:rPr>
                          <m:sty m:val="p"/>
                        </m:rPr>
                        <w:rPr>
                          <w:rFonts w:ascii="Cambria Math" w:hAnsi="Cambria Math"/>
                          <w:noProof/>
                        </w:rPr>
                        <m:t>0,999</m:t>
                      </m:r>
                    </m:e>
                  </m:d>
                </m:e>
              </m:d>
              <m:r>
                <m:rPr>
                  <m:sty m:val="p"/>
                </m:rPr>
                <w:rPr>
                  <w:rFonts w:ascii="Cambria Math" w:hAnsi="Cambria Math"/>
                  <w:noProof/>
                </w:rPr>
                <m:t>-</m:t>
              </m:r>
              <m:r>
                <m:rPr>
                  <m:nor/>
                </m:rPr>
                <w:rPr>
                  <w:noProof/>
                </w:rPr>
                <m:t>LGD</m:t>
              </m:r>
              <m:r>
                <m:rPr>
                  <m:sty m:val="p"/>
                </m:rPr>
                <w:rPr>
                  <w:rFonts w:ascii="Cambria Math" w:hAnsi="Cambria Math"/>
                  <w:noProof/>
                </w:rPr>
                <m:t>⋅</m:t>
              </m:r>
              <m:r>
                <m:rPr>
                  <m:nor/>
                </m:rPr>
                <w:rPr>
                  <w:noProof/>
                </w:rPr>
                <m:t>PD</m:t>
              </m:r>
            </m:e>
          </m:d>
          <m:r>
            <m:rPr>
              <m:sty m:val="p"/>
            </m:rPr>
            <w:rPr>
              <w:rFonts w:ascii="Cambria Math" w:hAnsi="Cambria Math"/>
              <w:noProof/>
            </w:rPr>
            <m:t>⋅12,5</m:t>
          </m:r>
        </m:oMath>
      </m:oMathPara>
    </w:p>
    <w:p w14:paraId="3CDA5814" w14:textId="77777777" w:rsidR="00860B4D" w:rsidRPr="004F01E9" w:rsidRDefault="00860B4D" w:rsidP="00860B4D">
      <w:pPr>
        <w:pStyle w:val="Text2"/>
        <w:rPr>
          <w:noProof/>
        </w:rPr>
      </w:pPr>
      <w:r w:rsidRPr="004F01E9">
        <w:rPr>
          <w:noProof/>
        </w:rPr>
        <w:t>kde:</w:t>
      </w:r>
    </w:p>
    <w:p w14:paraId="1F71CE56" w14:textId="0DBDC89F" w:rsidR="00860B4D" w:rsidRPr="004F01E9" w:rsidRDefault="00860B4D" w:rsidP="00860B4D">
      <w:pPr>
        <w:pStyle w:val="Text2"/>
        <w:rPr>
          <w:noProof/>
        </w:rPr>
      </w:pPr>
      <w:r w:rsidRPr="004F01E9">
        <w:rPr>
          <w:i/>
          <w:noProof/>
        </w:rPr>
        <w:t>N</w:t>
      </w:r>
      <w:r w:rsidRPr="004F01E9">
        <w:rPr>
          <w:noProof/>
        </w:rPr>
        <w:t xml:space="preserve"> = kumulatívna distribučná funkcia štandardnej normálnej náhodnej premennej, t. j. </w:t>
      </w:r>
      <w:r w:rsidRPr="004F01E9">
        <w:rPr>
          <w:i/>
          <w:noProof/>
        </w:rPr>
        <w:t>N</w:t>
      </w:r>
      <w:r w:rsidRPr="004F01E9">
        <w:rPr>
          <w:noProof/>
        </w:rPr>
        <w:t>(</w:t>
      </w:r>
      <w:r w:rsidRPr="004F01E9">
        <w:rPr>
          <w:i/>
          <w:noProof/>
        </w:rPr>
        <w:t>x</w:t>
      </w:r>
      <w:r w:rsidRPr="004F01E9">
        <w:rPr>
          <w:noProof/>
        </w:rPr>
        <w:t>) sa rovná pravdepodobnosti, že normálna náhodná premenná so strednou hodnotou 0</w:t>
      </w:r>
      <w:r w:rsidR="004F01E9">
        <w:rPr>
          <w:noProof/>
        </w:rPr>
        <w:t xml:space="preserve"> a </w:t>
      </w:r>
      <w:r w:rsidRPr="004F01E9">
        <w:rPr>
          <w:noProof/>
        </w:rPr>
        <w:t xml:space="preserve">varianciou 1 je menšia alebo rovná </w:t>
      </w:r>
      <w:r w:rsidRPr="004F01E9">
        <w:rPr>
          <w:i/>
          <w:noProof/>
        </w:rPr>
        <w:t>x</w:t>
      </w:r>
      <w:r w:rsidRPr="004F01E9">
        <w:rPr>
          <w:noProof/>
        </w:rPr>
        <w:t>;</w:t>
      </w:r>
    </w:p>
    <w:p w14:paraId="6C056F43" w14:textId="77777777" w:rsidR="00860B4D" w:rsidRPr="004F01E9" w:rsidRDefault="00860B4D" w:rsidP="00860B4D">
      <w:pPr>
        <w:pStyle w:val="Text2"/>
        <w:rPr>
          <w:noProof/>
        </w:rPr>
      </w:pPr>
      <w:r w:rsidRPr="004F01E9">
        <w:rPr>
          <w:i/>
          <w:noProof/>
        </w:rPr>
        <w:t>G</w:t>
      </w:r>
      <w:r w:rsidRPr="004F01E9">
        <w:rPr>
          <w:noProof/>
        </w:rPr>
        <w:t xml:space="preserve"> = inverzná kumulatívna distribučná funkcia štandardnej normálnej náhodnej premennej, t. j. ak </w:t>
      </w:r>
      <w:r w:rsidRPr="004F01E9">
        <w:rPr>
          <w:i/>
          <w:noProof/>
        </w:rPr>
        <w:t>x</w:t>
      </w:r>
      <w:r w:rsidRPr="004F01E9">
        <w:rPr>
          <w:noProof/>
        </w:rPr>
        <w:t xml:space="preserve"> = </w:t>
      </w:r>
      <w:r w:rsidRPr="004F01E9">
        <w:rPr>
          <w:i/>
          <w:noProof/>
        </w:rPr>
        <w:t>G</w:t>
      </w:r>
      <w:r w:rsidRPr="004F01E9">
        <w:rPr>
          <w:noProof/>
        </w:rPr>
        <w:t>(</w:t>
      </w:r>
      <w:r w:rsidRPr="004F01E9">
        <w:rPr>
          <w:i/>
          <w:noProof/>
        </w:rPr>
        <w:t>z</w:t>
      </w:r>
      <w:r w:rsidRPr="004F01E9">
        <w:rPr>
          <w:noProof/>
        </w:rPr>
        <w:t xml:space="preserve">), </w:t>
      </w:r>
      <w:r w:rsidRPr="004F01E9">
        <w:rPr>
          <w:i/>
          <w:noProof/>
        </w:rPr>
        <w:t>x</w:t>
      </w:r>
      <w:r w:rsidRPr="004F01E9">
        <w:rPr>
          <w:noProof/>
        </w:rPr>
        <w:t xml:space="preserve"> je taká hodnota, že </w:t>
      </w:r>
      <w:r w:rsidRPr="004F01E9">
        <w:rPr>
          <w:i/>
          <w:noProof/>
        </w:rPr>
        <w:t>N</w:t>
      </w:r>
      <w:r w:rsidRPr="004F01E9">
        <w:rPr>
          <w:noProof/>
        </w:rPr>
        <w:t>(</w:t>
      </w:r>
      <w:r w:rsidRPr="004F01E9">
        <w:rPr>
          <w:i/>
          <w:noProof/>
        </w:rPr>
        <w:t>x</w:t>
      </w:r>
      <w:r w:rsidRPr="004F01E9">
        <w:rPr>
          <w:noProof/>
        </w:rPr>
        <w:t xml:space="preserve">) = </w:t>
      </w:r>
      <w:r w:rsidRPr="004F01E9">
        <w:rPr>
          <w:i/>
          <w:noProof/>
        </w:rPr>
        <w:t>z</w:t>
      </w:r>
      <w:r w:rsidRPr="004F01E9">
        <w:rPr>
          <w:noProof/>
        </w:rPr>
        <w:t>;</w:t>
      </w:r>
    </w:p>
    <w:p w14:paraId="278A5C1F" w14:textId="77777777" w:rsidR="00860B4D" w:rsidRPr="004F01E9" w:rsidRDefault="00860B4D" w:rsidP="00860B4D">
      <w:pPr>
        <w:pStyle w:val="Text2"/>
        <w:rPr>
          <w:noProof/>
        </w:rPr>
      </w:pPr>
      <w:r w:rsidRPr="004F01E9">
        <w:rPr>
          <w:i/>
          <w:noProof/>
        </w:rPr>
        <w:t>R</w:t>
      </w:r>
      <w:r w:rsidRPr="004F01E9">
        <w:rPr>
          <w:noProof/>
        </w:rPr>
        <w:t xml:space="preserve"> = koeficient korelácie, ktorý je definovaný ako:</w:t>
      </w:r>
    </w:p>
    <w:p w14:paraId="01FCD1A1" w14:textId="77777777" w:rsidR="00860B4D" w:rsidRPr="004F01E9" w:rsidRDefault="00860B4D" w:rsidP="00860B4D">
      <w:pPr>
        <w:pStyle w:val="Text1"/>
        <w:rPr>
          <w:noProof/>
        </w:rPr>
      </w:pPr>
      <m:oMathPara>
        <m:oMath>
          <m:r>
            <w:rPr>
              <w:rFonts w:ascii="Cambria Math" w:hAnsi="Cambria Math"/>
              <w:noProof/>
            </w:rPr>
            <m:t>R</m:t>
          </m:r>
          <m:r>
            <m:rPr>
              <m:sty m:val="p"/>
            </m:rPr>
            <w:rPr>
              <w:rFonts w:ascii="Cambria Math" w:hAnsi="Cambria Math"/>
              <w:noProof/>
            </w:rPr>
            <m:t>=0,03⋅</m:t>
          </m:r>
          <m:f>
            <m:fPr>
              <m:ctrlPr>
                <w:rPr>
                  <w:rFonts w:ascii="Cambria Math" w:hAnsi="Cambria Math"/>
                  <w:noProof/>
                </w:rPr>
              </m:ctrlPr>
            </m:fPr>
            <m:num>
              <m:r>
                <m:rPr>
                  <m:sty m:val="p"/>
                </m:rPr>
                <w:rPr>
                  <w:rFonts w:ascii="Cambria Math" w:hAnsi="Cambria Math"/>
                  <w:noProof/>
                </w:rPr>
                <m:t>1-</m:t>
              </m:r>
              <m:sSup>
                <m:sSupPr>
                  <m:ctrlPr>
                    <w:rPr>
                      <w:rFonts w:ascii="Cambria Math" w:hAnsi="Cambria Math"/>
                      <w:noProof/>
                    </w:rPr>
                  </m:ctrlPr>
                </m:sSupPr>
                <m:e>
                  <m:r>
                    <w:rPr>
                      <w:rFonts w:ascii="Cambria Math" w:hAnsi="Cambria Math"/>
                      <w:noProof/>
                    </w:rPr>
                    <m:t>e</m:t>
                  </m:r>
                </m:e>
                <m:sup>
                  <m:r>
                    <m:rPr>
                      <m:sty m:val="p"/>
                    </m:rPr>
                    <w:rPr>
                      <w:rFonts w:ascii="Cambria Math" w:hAnsi="Cambria Math"/>
                      <w:noProof/>
                    </w:rPr>
                    <m:t>-35⋅</m:t>
                  </m:r>
                  <m:r>
                    <m:rPr>
                      <m:nor/>
                    </m:rPr>
                    <w:rPr>
                      <w:noProof/>
                    </w:rPr>
                    <m:t>PD</m:t>
                  </m:r>
                </m:sup>
              </m:sSup>
            </m:num>
            <m:den>
              <m:r>
                <m:rPr>
                  <m:sty m:val="p"/>
                </m:rPr>
                <w:rPr>
                  <w:rFonts w:ascii="Cambria Math" w:hAnsi="Cambria Math"/>
                  <w:noProof/>
                </w:rPr>
                <m:t>1-</m:t>
              </m:r>
              <m:sSup>
                <m:sSupPr>
                  <m:ctrlPr>
                    <w:rPr>
                      <w:rFonts w:ascii="Cambria Math" w:hAnsi="Cambria Math"/>
                      <w:noProof/>
                    </w:rPr>
                  </m:ctrlPr>
                </m:sSupPr>
                <m:e>
                  <m:r>
                    <w:rPr>
                      <w:rFonts w:ascii="Cambria Math" w:hAnsi="Cambria Math"/>
                      <w:noProof/>
                    </w:rPr>
                    <m:t>e</m:t>
                  </m:r>
                </m:e>
                <m:sup>
                  <m:r>
                    <m:rPr>
                      <m:sty m:val="p"/>
                    </m:rPr>
                    <w:rPr>
                      <w:rFonts w:ascii="Cambria Math" w:hAnsi="Cambria Math"/>
                      <w:noProof/>
                    </w:rPr>
                    <m:t>-35</m:t>
                  </m:r>
                </m:sup>
              </m:sSup>
            </m:den>
          </m:f>
          <m:r>
            <m:rPr>
              <m:sty m:val="p"/>
            </m:rPr>
            <w:rPr>
              <w:rFonts w:ascii="Cambria Math" w:hAnsi="Cambria Math"/>
              <w:noProof/>
            </w:rPr>
            <m:t>+0,16⋅</m:t>
          </m:r>
          <m:d>
            <m:dPr>
              <m:ctrlPr>
                <w:rPr>
                  <w:rFonts w:ascii="Cambria Math" w:hAnsi="Cambria Math"/>
                  <w:noProof/>
                </w:rPr>
              </m:ctrlPr>
            </m:dPr>
            <m:e>
              <m:r>
                <m:rPr>
                  <m:sty m:val="p"/>
                </m:rPr>
                <w:rPr>
                  <w:rFonts w:ascii="Cambria Math" w:hAnsi="Cambria Math"/>
                  <w:noProof/>
                </w:rPr>
                <m:t>1-</m:t>
              </m:r>
              <m:f>
                <m:fPr>
                  <m:ctrlPr>
                    <w:rPr>
                      <w:rFonts w:ascii="Cambria Math" w:hAnsi="Cambria Math"/>
                      <w:noProof/>
                    </w:rPr>
                  </m:ctrlPr>
                </m:fPr>
                <m:num>
                  <m:r>
                    <m:rPr>
                      <m:sty m:val="p"/>
                    </m:rPr>
                    <w:rPr>
                      <w:rFonts w:ascii="Cambria Math" w:hAnsi="Cambria Math"/>
                      <w:noProof/>
                    </w:rPr>
                    <m:t>1-</m:t>
                  </m:r>
                  <m:sSup>
                    <m:sSupPr>
                      <m:ctrlPr>
                        <w:rPr>
                          <w:rFonts w:ascii="Cambria Math" w:hAnsi="Cambria Math"/>
                          <w:noProof/>
                        </w:rPr>
                      </m:ctrlPr>
                    </m:sSupPr>
                    <m:e>
                      <m:r>
                        <w:rPr>
                          <w:rFonts w:ascii="Cambria Math" w:hAnsi="Cambria Math"/>
                          <w:noProof/>
                        </w:rPr>
                        <m:t>e</m:t>
                      </m:r>
                    </m:e>
                    <m:sup>
                      <m:r>
                        <m:rPr>
                          <m:sty m:val="p"/>
                        </m:rPr>
                        <w:rPr>
                          <w:rFonts w:ascii="Cambria Math" w:hAnsi="Cambria Math"/>
                          <w:noProof/>
                        </w:rPr>
                        <m:t>-35⋅</m:t>
                      </m:r>
                      <m:r>
                        <m:rPr>
                          <m:nor/>
                        </m:rPr>
                        <w:rPr>
                          <w:noProof/>
                        </w:rPr>
                        <m:t>PD</m:t>
                      </m:r>
                    </m:sup>
                  </m:sSup>
                </m:num>
                <m:den>
                  <m:r>
                    <m:rPr>
                      <m:sty m:val="p"/>
                    </m:rPr>
                    <w:rPr>
                      <w:rFonts w:ascii="Cambria Math" w:hAnsi="Cambria Math"/>
                      <w:noProof/>
                    </w:rPr>
                    <m:t>1-</m:t>
                  </m:r>
                  <m:sSup>
                    <m:sSupPr>
                      <m:ctrlPr>
                        <w:rPr>
                          <w:rFonts w:ascii="Cambria Math" w:hAnsi="Cambria Math"/>
                          <w:noProof/>
                        </w:rPr>
                      </m:ctrlPr>
                    </m:sSupPr>
                    <m:e>
                      <m:r>
                        <w:rPr>
                          <w:rFonts w:ascii="Cambria Math" w:hAnsi="Cambria Math"/>
                          <w:noProof/>
                        </w:rPr>
                        <m:t>e</m:t>
                      </m:r>
                    </m:e>
                    <m:sup>
                      <m:r>
                        <m:rPr>
                          <m:sty m:val="p"/>
                        </m:rPr>
                        <w:rPr>
                          <w:rFonts w:ascii="Cambria Math" w:hAnsi="Cambria Math"/>
                          <w:noProof/>
                        </w:rPr>
                        <m:t>-35</m:t>
                      </m:r>
                    </m:sup>
                  </m:sSup>
                </m:den>
              </m:f>
            </m:e>
          </m:d>
        </m:oMath>
      </m:oMathPara>
    </w:p>
    <w:p w14:paraId="5B02C216" w14:textId="77777777" w:rsidR="00860B4D" w:rsidRPr="004F01E9" w:rsidRDefault="00860B4D" w:rsidP="00860B4D">
      <w:pPr>
        <w:pStyle w:val="Text2"/>
        <w:rPr>
          <w:rFonts w:eastAsiaTheme="minorEastAsia"/>
          <w:noProof/>
        </w:rPr>
      </w:pPr>
      <w:r w:rsidRPr="004F01E9">
        <w:rPr>
          <w:noProof/>
        </w:rPr>
        <w:t>“;</w:t>
      </w:r>
    </w:p>
    <w:p w14:paraId="13DCB378" w14:textId="052167FC" w:rsidR="00860B4D" w:rsidRPr="004F01E9" w:rsidRDefault="00A667C8" w:rsidP="00A667C8">
      <w:pPr>
        <w:pStyle w:val="Point1"/>
        <w:rPr>
          <w:noProof/>
        </w:rPr>
      </w:pPr>
      <w:r w:rsidRPr="004F01E9">
        <w:rPr>
          <w:noProof/>
        </w:rPr>
        <w:t>b)</w:t>
      </w:r>
      <w:r w:rsidRPr="004F01E9">
        <w:rPr>
          <w:noProof/>
        </w:rPr>
        <w:tab/>
        <w:t>Odsek 2 sa vypúšťa.</w:t>
      </w:r>
    </w:p>
    <w:p w14:paraId="14DDB52C" w14:textId="6050CE12" w:rsidR="00860B4D" w:rsidRPr="004F01E9" w:rsidRDefault="00A667C8" w:rsidP="00A667C8">
      <w:pPr>
        <w:pStyle w:val="Point1"/>
        <w:rPr>
          <w:noProof/>
        </w:rPr>
      </w:pPr>
      <w:r w:rsidRPr="004F01E9">
        <w:rPr>
          <w:noProof/>
        </w:rPr>
        <w:t>c)</w:t>
      </w:r>
      <w:r w:rsidRPr="004F01E9">
        <w:rPr>
          <w:noProof/>
        </w:rPr>
        <w:tab/>
        <w:t>Odsek 3 sa nahrádza takto:</w:t>
      </w:r>
    </w:p>
    <w:p w14:paraId="187C23C4" w14:textId="01C16C54" w:rsidR="00860B4D" w:rsidRPr="004F01E9" w:rsidRDefault="00860B4D" w:rsidP="00860B4D">
      <w:pPr>
        <w:pStyle w:val="Text2"/>
        <w:rPr>
          <w:noProof/>
        </w:rPr>
      </w:pPr>
      <w:r w:rsidRPr="004F01E9">
        <w:rPr>
          <w:noProof/>
        </w:rPr>
        <w:t>„3.</w:t>
      </w:r>
      <w:r w:rsidR="004F01E9">
        <w:rPr>
          <w:noProof/>
        </w:rPr>
        <w:t xml:space="preserve"> V </w:t>
      </w:r>
      <w:r w:rsidRPr="004F01E9">
        <w:rPr>
          <w:noProof/>
        </w:rPr>
        <w:t>prípade retailových expozícií, ktoré nie sú</w:t>
      </w:r>
      <w:r w:rsidR="004F01E9">
        <w:rPr>
          <w:noProof/>
        </w:rPr>
        <w:t xml:space="preserve"> v </w:t>
      </w:r>
      <w:r w:rsidRPr="004F01E9">
        <w:rPr>
          <w:noProof/>
        </w:rPr>
        <w:t>stave zlyhania</w:t>
      </w:r>
      <w:r w:rsidR="004F01E9">
        <w:rPr>
          <w:noProof/>
        </w:rPr>
        <w:t xml:space="preserve"> a </w:t>
      </w:r>
      <w:r w:rsidRPr="004F01E9">
        <w:rPr>
          <w:noProof/>
        </w:rPr>
        <w:t>sú zabezpečené alebo čiastočne zabezpečené nehnuteľným majetkom určeným na bývanie, sa hodnota vypočítaná podľa vzorca založeného na koeficiente korelácie uvedeného</w:t>
      </w:r>
      <w:r w:rsidR="004F01E9">
        <w:rPr>
          <w:noProof/>
        </w:rPr>
        <w:t xml:space="preserve"> v </w:t>
      </w:r>
      <w:r w:rsidRPr="004F01E9">
        <w:rPr>
          <w:noProof/>
        </w:rPr>
        <w:t xml:space="preserve">odseku 1 nahrádza koeficientom korelácie </w:t>
      </w:r>
      <w:r w:rsidRPr="004F01E9">
        <w:rPr>
          <w:i/>
          <w:noProof/>
        </w:rPr>
        <w:t>R</w:t>
      </w:r>
      <w:r w:rsidRPr="004F01E9">
        <w:rPr>
          <w:noProof/>
        </w:rPr>
        <w:t xml:space="preserve"> vo výške 0,15.</w:t>
      </w:r>
    </w:p>
    <w:p w14:paraId="6D74D451" w14:textId="77777777" w:rsidR="00860B4D" w:rsidRPr="004F01E9" w:rsidRDefault="00860B4D" w:rsidP="00860B4D">
      <w:pPr>
        <w:pStyle w:val="Text2"/>
        <w:rPr>
          <w:noProof/>
        </w:rPr>
      </w:pPr>
      <w:r w:rsidRPr="004F01E9">
        <w:rPr>
          <w:noProof/>
        </w:rPr>
        <w:t>Riziková váha uplatniteľná podľa odseku 1 bodu ii) na expozíciu čiastočne zabezpečenú nehnuteľným majetkom určeným na bývanie sa uplatňuje aj na nezabezpečenú časť podkladovej expozície.“;</w:t>
      </w:r>
    </w:p>
    <w:p w14:paraId="36021785" w14:textId="02A7AF84" w:rsidR="00860B4D" w:rsidRPr="004F01E9" w:rsidRDefault="00A667C8" w:rsidP="00A667C8">
      <w:pPr>
        <w:pStyle w:val="Point1"/>
        <w:rPr>
          <w:noProof/>
        </w:rPr>
      </w:pPr>
      <w:r w:rsidRPr="004F01E9">
        <w:rPr>
          <w:noProof/>
        </w:rPr>
        <w:t>d)</w:t>
      </w:r>
      <w:r w:rsidRPr="004F01E9">
        <w:rPr>
          <w:noProof/>
        </w:rPr>
        <w:tab/>
        <w:t>Odsek 4 sa nahrádza takto:</w:t>
      </w:r>
    </w:p>
    <w:p w14:paraId="094D18F8" w14:textId="4487A8D6" w:rsidR="00860B4D" w:rsidRPr="004F01E9" w:rsidRDefault="00860B4D" w:rsidP="00860B4D">
      <w:pPr>
        <w:pStyle w:val="Text2"/>
        <w:rPr>
          <w:noProof/>
        </w:rPr>
      </w:pPr>
      <w:r w:rsidRPr="004F01E9">
        <w:rPr>
          <w:noProof/>
        </w:rPr>
        <w:t>„4.</w:t>
      </w:r>
      <w:r w:rsidR="004F01E9">
        <w:rPr>
          <w:noProof/>
        </w:rPr>
        <w:t xml:space="preserve"> V </w:t>
      </w:r>
      <w:r w:rsidRPr="004F01E9">
        <w:rPr>
          <w:noProof/>
        </w:rPr>
        <w:t>prípade QRRE, ktoré nie sú</w:t>
      </w:r>
      <w:r w:rsidR="004F01E9">
        <w:rPr>
          <w:noProof/>
        </w:rPr>
        <w:t xml:space="preserve"> v </w:t>
      </w:r>
      <w:r w:rsidRPr="004F01E9">
        <w:rPr>
          <w:noProof/>
        </w:rPr>
        <w:t>stave zlyhania, sa hodnota vypočítaná podľa vzorca založeného na koeficiente korelácie uvedeného</w:t>
      </w:r>
      <w:r w:rsidR="004F01E9">
        <w:rPr>
          <w:noProof/>
        </w:rPr>
        <w:t xml:space="preserve"> v </w:t>
      </w:r>
      <w:r w:rsidRPr="004F01E9">
        <w:rPr>
          <w:noProof/>
        </w:rPr>
        <w:t xml:space="preserve">odseku 1 nahrádza koeficientom korelácie </w:t>
      </w:r>
      <w:r w:rsidRPr="004F01E9">
        <w:rPr>
          <w:i/>
          <w:noProof/>
        </w:rPr>
        <w:t>R</w:t>
      </w:r>
      <w:r w:rsidRPr="004F01E9">
        <w:rPr>
          <w:noProof/>
        </w:rPr>
        <w:t xml:space="preserve"> vo výške 0,04.</w:t>
      </w:r>
    </w:p>
    <w:p w14:paraId="6DC398CA" w14:textId="0CA5E661" w:rsidR="00860B4D" w:rsidRPr="004F01E9" w:rsidRDefault="00860B4D" w:rsidP="00860B4D">
      <w:pPr>
        <w:pStyle w:val="Text2"/>
        <w:rPr>
          <w:noProof/>
        </w:rPr>
      </w:pPr>
      <w:r w:rsidRPr="004F01E9">
        <w:rPr>
          <w:noProof/>
        </w:rPr>
        <w:t>Príslušné orgány preskúmajú relatívnu volatilitu stratovosti</w:t>
      </w:r>
      <w:r w:rsidR="004F01E9">
        <w:rPr>
          <w:noProof/>
        </w:rPr>
        <w:t xml:space="preserve"> v </w:t>
      </w:r>
      <w:r w:rsidRPr="004F01E9">
        <w:rPr>
          <w:noProof/>
        </w:rPr>
        <w:t>rámci QRRE patriacich do rovnakého druhu expozícií, ako aj</w:t>
      </w:r>
      <w:r w:rsidR="004F01E9">
        <w:rPr>
          <w:noProof/>
        </w:rPr>
        <w:t xml:space="preserve"> v </w:t>
      </w:r>
      <w:r w:rsidRPr="004F01E9">
        <w:rPr>
          <w:noProof/>
        </w:rPr>
        <w:t>rámci súhrnnej triedy expozícií QRRE,</w:t>
      </w:r>
      <w:r w:rsidR="004F01E9">
        <w:rPr>
          <w:noProof/>
        </w:rPr>
        <w:t xml:space="preserve"> a </w:t>
      </w:r>
      <w:r w:rsidRPr="004F01E9">
        <w:rPr>
          <w:noProof/>
        </w:rPr>
        <w:t>vymieňajú si informácie</w:t>
      </w:r>
      <w:r w:rsidR="004F01E9">
        <w:rPr>
          <w:noProof/>
        </w:rPr>
        <w:t xml:space="preserve"> o </w:t>
      </w:r>
      <w:r w:rsidRPr="004F01E9">
        <w:rPr>
          <w:noProof/>
        </w:rPr>
        <w:t>typických charakteristikách stratovosti kvalifikovaného revolvingového retailu medzi členskými štátmi</w:t>
      </w:r>
      <w:r w:rsidR="004F01E9">
        <w:rPr>
          <w:noProof/>
        </w:rPr>
        <w:t xml:space="preserve"> a s </w:t>
      </w:r>
      <w:r w:rsidRPr="004F01E9">
        <w:rPr>
          <w:noProof/>
        </w:rPr>
        <w:t>EBA.“</w:t>
      </w:r>
    </w:p>
    <w:p w14:paraId="03C96E27" w14:textId="440921B1" w:rsidR="00860B4D" w:rsidRPr="004F01E9" w:rsidRDefault="00B16452" w:rsidP="00B16452">
      <w:pPr>
        <w:pStyle w:val="Point0"/>
        <w:rPr>
          <w:noProof/>
        </w:rPr>
      </w:pPr>
      <w:r w:rsidRPr="00B16452">
        <w:rPr>
          <w:noProof/>
        </w:rPr>
        <w:t>68</w:t>
      </w:r>
      <w:r>
        <w:rPr>
          <w:noProof/>
        </w:rPr>
        <w:t>.</w:t>
      </w:r>
      <w:r w:rsidRPr="00B16452">
        <w:rPr>
          <w:noProof/>
        </w:rPr>
        <w:tab/>
      </w:r>
      <w:r w:rsidR="00860B4D" w:rsidRPr="004F01E9">
        <w:rPr>
          <w:noProof/>
        </w:rPr>
        <w:t>Článok 155 sa vypúšťa.</w:t>
      </w:r>
    </w:p>
    <w:p w14:paraId="2F9A5E08" w14:textId="3BEC7C1D" w:rsidR="00806B81" w:rsidRPr="004F01E9" w:rsidRDefault="00B16452" w:rsidP="00B16452">
      <w:pPr>
        <w:pStyle w:val="Point0"/>
        <w:rPr>
          <w:noProof/>
        </w:rPr>
      </w:pPr>
      <w:r w:rsidRPr="00B16452">
        <w:rPr>
          <w:noProof/>
        </w:rPr>
        <w:t>69</w:t>
      </w:r>
      <w:r>
        <w:rPr>
          <w:noProof/>
        </w:rPr>
        <w:t>.</w:t>
      </w:r>
      <w:r w:rsidRPr="00B16452">
        <w:rPr>
          <w:noProof/>
        </w:rPr>
        <w:tab/>
      </w:r>
      <w:r w:rsidR="00860B4D" w:rsidRPr="004F01E9">
        <w:rPr>
          <w:noProof/>
        </w:rPr>
        <w:t>V článku 157 sa dopĺňa tento odsek 6:</w:t>
      </w:r>
    </w:p>
    <w:p w14:paraId="7503900A" w14:textId="48AF2476" w:rsidR="00860B4D" w:rsidRPr="004F01E9" w:rsidRDefault="00860B4D" w:rsidP="00860B4D">
      <w:pPr>
        <w:pStyle w:val="Text1"/>
        <w:rPr>
          <w:noProof/>
        </w:rPr>
      </w:pPr>
      <w:r w:rsidRPr="004F01E9">
        <w:rPr>
          <w:noProof/>
        </w:rPr>
        <w:t>„6. EBA vypracuje návrh regulačných technických predpisov</w:t>
      </w:r>
      <w:r w:rsidR="004F01E9">
        <w:rPr>
          <w:noProof/>
        </w:rPr>
        <w:t xml:space="preserve"> s </w:t>
      </w:r>
      <w:r w:rsidRPr="004F01E9">
        <w:rPr>
          <w:noProof/>
        </w:rPr>
        <w:t>cieľom ďalej spresniť:</w:t>
      </w:r>
    </w:p>
    <w:p w14:paraId="24B9BFA7" w14:textId="0A632047" w:rsidR="00860B4D" w:rsidRPr="004F01E9" w:rsidRDefault="00860B4D" w:rsidP="00860B4D">
      <w:pPr>
        <w:pStyle w:val="Point1"/>
        <w:rPr>
          <w:noProof/>
        </w:rPr>
      </w:pPr>
      <w:r w:rsidRPr="004F01E9">
        <w:rPr>
          <w:noProof/>
        </w:rPr>
        <w:t>a)</w:t>
      </w:r>
      <w:r w:rsidRPr="004F01E9">
        <w:rPr>
          <w:noProof/>
        </w:rPr>
        <w:tab/>
        <w:t>metodiku výpočtu hodnoty rizikovo vážených expozícií pre riziko zníženia kvality pohľadávok</w:t>
      </w:r>
      <w:r w:rsidR="004F01E9">
        <w:rPr>
          <w:noProof/>
        </w:rPr>
        <w:t xml:space="preserve"> z </w:t>
      </w:r>
      <w:r w:rsidRPr="004F01E9">
        <w:rPr>
          <w:noProof/>
        </w:rPr>
        <w:t>iných ako kreditných dôvodov</w:t>
      </w:r>
      <w:r w:rsidR="004F01E9">
        <w:rPr>
          <w:noProof/>
        </w:rPr>
        <w:t xml:space="preserve"> v </w:t>
      </w:r>
      <w:r w:rsidRPr="004F01E9">
        <w:rPr>
          <w:noProof/>
        </w:rPr>
        <w:t>prípade odkúpených pohľadávok vrátane uznania postupov na zmierňovanie kreditného rizika</w:t>
      </w:r>
      <w:r w:rsidR="004F01E9">
        <w:rPr>
          <w:noProof/>
        </w:rPr>
        <w:t xml:space="preserve"> v </w:t>
      </w:r>
      <w:r w:rsidRPr="004F01E9">
        <w:rPr>
          <w:noProof/>
        </w:rPr>
        <w:t>súlade</w:t>
      </w:r>
      <w:r w:rsidR="004F01E9">
        <w:rPr>
          <w:noProof/>
        </w:rPr>
        <w:t xml:space="preserve"> s </w:t>
      </w:r>
      <w:r w:rsidRPr="004F01E9">
        <w:rPr>
          <w:noProof/>
        </w:rPr>
        <w:t>článkom 160 ods. 4</w:t>
      </w:r>
      <w:r w:rsidR="004F01E9">
        <w:rPr>
          <w:noProof/>
        </w:rPr>
        <w:t xml:space="preserve"> a </w:t>
      </w:r>
      <w:r w:rsidRPr="004F01E9">
        <w:rPr>
          <w:noProof/>
        </w:rPr>
        <w:t>podmienok používania vlastných odhadov</w:t>
      </w:r>
      <w:r w:rsidR="004F01E9">
        <w:rPr>
          <w:noProof/>
        </w:rPr>
        <w:t xml:space="preserve"> a </w:t>
      </w:r>
      <w:r w:rsidRPr="004F01E9">
        <w:rPr>
          <w:noProof/>
        </w:rPr>
        <w:t>rezervných parametrov;</w:t>
      </w:r>
    </w:p>
    <w:p w14:paraId="04FA326D" w14:textId="0FAECB58" w:rsidR="00860B4D" w:rsidRPr="004F01E9" w:rsidRDefault="00860B4D" w:rsidP="00860B4D">
      <w:pPr>
        <w:pStyle w:val="Point1"/>
        <w:rPr>
          <w:noProof/>
        </w:rPr>
      </w:pPr>
      <w:r w:rsidRPr="004F01E9">
        <w:rPr>
          <w:noProof/>
        </w:rPr>
        <w:t>b)</w:t>
      </w:r>
      <w:r w:rsidRPr="004F01E9">
        <w:rPr>
          <w:noProof/>
        </w:rPr>
        <w:tab/>
        <w:t>posudzovanie kritéria nepodstatnosti pre druh expozícií uvedený</w:t>
      </w:r>
      <w:r w:rsidR="004F01E9">
        <w:rPr>
          <w:noProof/>
        </w:rPr>
        <w:t xml:space="preserve"> v </w:t>
      </w:r>
      <w:r w:rsidRPr="004F01E9">
        <w:rPr>
          <w:noProof/>
        </w:rPr>
        <w:t>odseku 5.</w:t>
      </w:r>
    </w:p>
    <w:p w14:paraId="0D6D4163" w14:textId="088543A7" w:rsidR="00860B4D" w:rsidRPr="004F01E9" w:rsidRDefault="00860B4D" w:rsidP="00860B4D">
      <w:pPr>
        <w:pStyle w:val="Text1"/>
        <w:rPr>
          <w:noProof/>
        </w:rPr>
      </w:pPr>
      <w:r w:rsidRPr="004F01E9">
        <w:rPr>
          <w:noProof/>
        </w:rPr>
        <w:t>EBA predloží uvedený návrh regulačných technických predpisov Komisii do 31</w:t>
      </w:r>
      <w:r w:rsidR="004F01E9">
        <w:rPr>
          <w:noProof/>
        </w:rPr>
        <w:t>. decembra</w:t>
      </w:r>
      <w:r w:rsidRPr="004F01E9">
        <w:rPr>
          <w:noProof/>
        </w:rPr>
        <w:t xml:space="preserve"> 2026.</w:t>
      </w:r>
    </w:p>
    <w:p w14:paraId="337238E0" w14:textId="5B7D58AC" w:rsidR="00860B4D" w:rsidRPr="004F01E9" w:rsidRDefault="00860B4D" w:rsidP="00860B4D">
      <w:pPr>
        <w:pStyle w:val="Text1"/>
        <w:rPr>
          <w:noProof/>
        </w:rPr>
      </w:pPr>
      <w:r w:rsidRPr="004F01E9">
        <w:rPr>
          <w:noProof/>
        </w:rPr>
        <w:t>Na Komisiu sa deleguje právomoc doplniť toto nariadenie prijatím regulačných technických predpisov uvedených</w:t>
      </w:r>
      <w:r w:rsidR="004F01E9">
        <w:rPr>
          <w:noProof/>
        </w:rPr>
        <w:t xml:space="preserve"> v </w:t>
      </w:r>
      <w:r w:rsidRPr="004F01E9">
        <w:rPr>
          <w:noProof/>
        </w:rPr>
        <w:t>prvom pododseku</w:t>
      </w:r>
      <w:r w:rsidR="004F01E9">
        <w:rPr>
          <w:noProof/>
        </w:rPr>
        <w:t xml:space="preserve"> v </w:t>
      </w:r>
      <w:r w:rsidRPr="004F01E9">
        <w:rPr>
          <w:noProof/>
        </w:rPr>
        <w:t>súlade</w:t>
      </w:r>
      <w:r w:rsidR="004F01E9">
        <w:rPr>
          <w:noProof/>
        </w:rPr>
        <w:t xml:space="preserve"> s </w:t>
      </w:r>
      <w:r w:rsidRPr="004F01E9">
        <w:rPr>
          <w:noProof/>
        </w:rPr>
        <w:t xml:space="preserve">článkami 10 až 14 nariadenia (EÚ) </w:t>
      </w:r>
      <w:r w:rsidR="004F01E9">
        <w:rPr>
          <w:noProof/>
        </w:rPr>
        <w:t>č. </w:t>
      </w:r>
      <w:r w:rsidRPr="004F01E9">
        <w:rPr>
          <w:noProof/>
        </w:rPr>
        <w:t>1093/2010.“</w:t>
      </w:r>
    </w:p>
    <w:p w14:paraId="3FFCAEE9" w14:textId="04B2825B" w:rsidR="00860B4D" w:rsidRPr="004F01E9" w:rsidRDefault="00B16452" w:rsidP="00B16452">
      <w:pPr>
        <w:pStyle w:val="Point0"/>
        <w:rPr>
          <w:noProof/>
        </w:rPr>
      </w:pPr>
      <w:r w:rsidRPr="00B16452">
        <w:rPr>
          <w:noProof/>
        </w:rPr>
        <w:t>70</w:t>
      </w:r>
      <w:r>
        <w:rPr>
          <w:noProof/>
        </w:rPr>
        <w:t>.</w:t>
      </w:r>
      <w:r w:rsidRPr="00B16452">
        <w:rPr>
          <w:noProof/>
        </w:rPr>
        <w:tab/>
      </w:r>
      <w:r w:rsidR="00860B4D" w:rsidRPr="004F01E9">
        <w:rPr>
          <w:noProof/>
        </w:rPr>
        <w:t>Článok 158 sa mení takto:</w:t>
      </w:r>
    </w:p>
    <w:p w14:paraId="02185AA0" w14:textId="46EAEDC6" w:rsidR="00806B81" w:rsidRPr="004F01E9" w:rsidRDefault="00A667C8" w:rsidP="00A667C8">
      <w:pPr>
        <w:pStyle w:val="Point1"/>
        <w:rPr>
          <w:noProof/>
        </w:rPr>
      </w:pPr>
      <w:r w:rsidRPr="004F01E9">
        <w:rPr>
          <w:noProof/>
        </w:rPr>
        <w:t>a)</w:t>
      </w:r>
      <w:r w:rsidRPr="004F01E9">
        <w:rPr>
          <w:noProof/>
        </w:rPr>
        <w:tab/>
        <w:t>V odseku 5 sa vypúšťa posledný pododsek;</w:t>
      </w:r>
    </w:p>
    <w:p w14:paraId="47C97CA7" w14:textId="200CA272" w:rsidR="00806B81" w:rsidRPr="004F01E9" w:rsidRDefault="00A667C8" w:rsidP="00A667C8">
      <w:pPr>
        <w:pStyle w:val="Point1"/>
        <w:rPr>
          <w:noProof/>
        </w:rPr>
      </w:pPr>
      <w:r w:rsidRPr="004F01E9">
        <w:rPr>
          <w:noProof/>
        </w:rPr>
        <w:t>b)</w:t>
      </w:r>
      <w:r w:rsidRPr="004F01E9">
        <w:rPr>
          <w:noProof/>
        </w:rPr>
        <w:tab/>
        <w:t>Odseky 7, 8</w:t>
      </w:r>
      <w:r w:rsidR="004F01E9">
        <w:rPr>
          <w:noProof/>
        </w:rPr>
        <w:t xml:space="preserve"> a </w:t>
      </w:r>
      <w:r w:rsidRPr="004F01E9">
        <w:rPr>
          <w:noProof/>
        </w:rPr>
        <w:t>9 sa vypúšťajú.</w:t>
      </w:r>
    </w:p>
    <w:p w14:paraId="60A6943D" w14:textId="28DA7140" w:rsidR="00806B81" w:rsidRPr="004F01E9" w:rsidRDefault="00B16452" w:rsidP="0059109E">
      <w:pPr>
        <w:pStyle w:val="Point0"/>
        <w:keepNext/>
        <w:keepLines/>
        <w:rPr>
          <w:noProof/>
        </w:rPr>
      </w:pPr>
      <w:r w:rsidRPr="00B16452">
        <w:rPr>
          <w:noProof/>
        </w:rPr>
        <w:t>71</w:t>
      </w:r>
      <w:r>
        <w:rPr>
          <w:noProof/>
        </w:rPr>
        <w:t>.</w:t>
      </w:r>
      <w:r w:rsidRPr="00B16452">
        <w:rPr>
          <w:noProof/>
        </w:rPr>
        <w:tab/>
      </w:r>
      <w:r w:rsidR="00860B4D" w:rsidRPr="004F01E9">
        <w:rPr>
          <w:noProof/>
        </w:rPr>
        <w:t>Článok 159 sa nahrádza takto:</w:t>
      </w:r>
    </w:p>
    <w:p w14:paraId="3656D29A" w14:textId="417719FA" w:rsidR="00860B4D" w:rsidRPr="004F01E9" w:rsidRDefault="00860B4D" w:rsidP="0059109E">
      <w:pPr>
        <w:pStyle w:val="Titrearticle"/>
        <w:keepLines/>
        <w:rPr>
          <w:b/>
          <w:i w:val="0"/>
          <w:noProof/>
        </w:rPr>
      </w:pPr>
      <w:r w:rsidRPr="004F01E9">
        <w:rPr>
          <w:noProof/>
        </w:rPr>
        <w:t xml:space="preserve">„Článok 159 </w:t>
      </w:r>
      <w:r w:rsidRPr="004F01E9">
        <w:rPr>
          <w:noProof/>
        </w:rPr>
        <w:br/>
      </w:r>
      <w:r w:rsidRPr="004F01E9">
        <w:rPr>
          <w:b/>
          <w:i w:val="0"/>
          <w:noProof/>
        </w:rPr>
        <w:t>Zaobchádzanie</w:t>
      </w:r>
      <w:r w:rsidR="004F01E9">
        <w:rPr>
          <w:b/>
          <w:i w:val="0"/>
          <w:noProof/>
        </w:rPr>
        <w:t xml:space="preserve"> s </w:t>
      </w:r>
      <w:r w:rsidRPr="004F01E9">
        <w:rPr>
          <w:b/>
          <w:i w:val="0"/>
          <w:noProof/>
        </w:rPr>
        <w:t>výškou očakávaných strát, schodkom IRB</w:t>
      </w:r>
      <w:r w:rsidR="004F01E9">
        <w:rPr>
          <w:b/>
          <w:i w:val="0"/>
          <w:noProof/>
        </w:rPr>
        <w:t xml:space="preserve"> a </w:t>
      </w:r>
      <w:r w:rsidRPr="004F01E9">
        <w:rPr>
          <w:b/>
          <w:i w:val="0"/>
          <w:noProof/>
        </w:rPr>
        <w:t>prebytkom IRB</w:t>
      </w:r>
    </w:p>
    <w:p w14:paraId="6F137E1E" w14:textId="6DA128F2" w:rsidR="00806B81" w:rsidRPr="004F01E9" w:rsidRDefault="00860B4D" w:rsidP="0059109E">
      <w:pPr>
        <w:pStyle w:val="Text1"/>
        <w:keepNext/>
        <w:keepLines/>
        <w:rPr>
          <w:noProof/>
        </w:rPr>
      </w:pPr>
      <w:r w:rsidRPr="004F01E9">
        <w:rPr>
          <w:noProof/>
        </w:rPr>
        <w:t>Inštitúcie odpočítavajú výšku očakávaných strát expozícií uvedených</w:t>
      </w:r>
      <w:r w:rsidR="004F01E9">
        <w:rPr>
          <w:noProof/>
        </w:rPr>
        <w:t xml:space="preserve"> v </w:t>
      </w:r>
      <w:r w:rsidRPr="004F01E9">
        <w:rPr>
          <w:noProof/>
        </w:rPr>
        <w:t>článku 158 ods. 5, 6</w:t>
      </w:r>
      <w:r w:rsidR="004F01E9">
        <w:rPr>
          <w:noProof/>
        </w:rPr>
        <w:t xml:space="preserve"> a </w:t>
      </w:r>
      <w:r w:rsidRPr="004F01E9">
        <w:rPr>
          <w:noProof/>
        </w:rPr>
        <w:t>10 od súčtu všetkých týchto položiek:</w:t>
      </w:r>
    </w:p>
    <w:p w14:paraId="35CBA808" w14:textId="303C8260" w:rsidR="00806B81" w:rsidRPr="004F01E9" w:rsidRDefault="00860B4D" w:rsidP="0059109E">
      <w:pPr>
        <w:pStyle w:val="Point1"/>
        <w:keepNext/>
        <w:keepLines/>
        <w:rPr>
          <w:noProof/>
        </w:rPr>
      </w:pPr>
      <w:r w:rsidRPr="004F01E9">
        <w:rPr>
          <w:noProof/>
        </w:rPr>
        <w:t>a)</w:t>
      </w:r>
      <w:r w:rsidRPr="004F01E9">
        <w:rPr>
          <w:noProof/>
        </w:rPr>
        <w:tab/>
        <w:t>všeobecné</w:t>
      </w:r>
      <w:r w:rsidR="004F01E9">
        <w:rPr>
          <w:noProof/>
        </w:rPr>
        <w:t xml:space="preserve"> a </w:t>
      </w:r>
      <w:r w:rsidRPr="004F01E9">
        <w:rPr>
          <w:noProof/>
        </w:rPr>
        <w:t>špecifické úpravy kreditného rizika súvisiace</w:t>
      </w:r>
      <w:r w:rsidR="004F01E9">
        <w:rPr>
          <w:noProof/>
        </w:rPr>
        <w:t xml:space="preserve"> s </w:t>
      </w:r>
      <w:r w:rsidRPr="004F01E9">
        <w:rPr>
          <w:noProof/>
        </w:rPr>
        <w:t>uvedenými expozíciami, vypočítané</w:t>
      </w:r>
      <w:r w:rsidR="004F01E9">
        <w:rPr>
          <w:noProof/>
        </w:rPr>
        <w:t xml:space="preserve"> v </w:t>
      </w:r>
      <w:r w:rsidRPr="004F01E9">
        <w:rPr>
          <w:noProof/>
        </w:rPr>
        <w:t>súlade</w:t>
      </w:r>
      <w:r w:rsidR="004F01E9">
        <w:rPr>
          <w:noProof/>
        </w:rPr>
        <w:t xml:space="preserve"> s </w:t>
      </w:r>
      <w:r w:rsidRPr="004F01E9">
        <w:rPr>
          <w:noProof/>
        </w:rPr>
        <w:t>článkom 110;</w:t>
      </w:r>
    </w:p>
    <w:p w14:paraId="26D1339C" w14:textId="309051F8" w:rsidR="00806B81" w:rsidRPr="004F01E9" w:rsidRDefault="00860B4D" w:rsidP="00860B4D">
      <w:pPr>
        <w:pStyle w:val="Point1"/>
        <w:rPr>
          <w:noProof/>
        </w:rPr>
      </w:pPr>
      <w:r w:rsidRPr="004F01E9">
        <w:rPr>
          <w:noProof/>
        </w:rPr>
        <w:t>b)</w:t>
      </w:r>
      <w:r w:rsidRPr="004F01E9">
        <w:rPr>
          <w:noProof/>
        </w:rPr>
        <w:tab/>
        <w:t>dodatočné úpravy ocenenia týkajúce sa činností</w:t>
      </w:r>
      <w:r w:rsidR="004F01E9">
        <w:rPr>
          <w:noProof/>
        </w:rPr>
        <w:t xml:space="preserve"> v </w:t>
      </w:r>
      <w:r w:rsidRPr="004F01E9">
        <w:rPr>
          <w:noProof/>
        </w:rPr>
        <w:t>neobchodnej knihe inštitúcie určené</w:t>
      </w:r>
      <w:r w:rsidR="004F01E9">
        <w:rPr>
          <w:noProof/>
        </w:rPr>
        <w:t xml:space="preserve"> v </w:t>
      </w:r>
      <w:r w:rsidRPr="004F01E9">
        <w:rPr>
          <w:noProof/>
        </w:rPr>
        <w:t>súlade</w:t>
      </w:r>
      <w:r w:rsidR="004F01E9">
        <w:rPr>
          <w:noProof/>
        </w:rPr>
        <w:t xml:space="preserve"> s </w:t>
      </w:r>
      <w:r w:rsidRPr="004F01E9">
        <w:rPr>
          <w:noProof/>
        </w:rPr>
        <w:t>článkom 34, ktoré súvisia</w:t>
      </w:r>
      <w:r w:rsidR="004F01E9">
        <w:rPr>
          <w:noProof/>
        </w:rPr>
        <w:t xml:space="preserve"> s </w:t>
      </w:r>
      <w:r w:rsidRPr="004F01E9">
        <w:rPr>
          <w:noProof/>
        </w:rPr>
        <w:t>uvedenými expozíciami;</w:t>
      </w:r>
    </w:p>
    <w:p w14:paraId="267D1A46" w14:textId="05CA886A" w:rsidR="00806B81" w:rsidRPr="004F01E9" w:rsidRDefault="00860B4D" w:rsidP="00860B4D">
      <w:pPr>
        <w:pStyle w:val="Point1"/>
        <w:rPr>
          <w:noProof/>
        </w:rPr>
      </w:pPr>
      <w:r w:rsidRPr="004F01E9">
        <w:rPr>
          <w:noProof/>
        </w:rPr>
        <w:t>c)</w:t>
      </w:r>
      <w:r w:rsidRPr="004F01E9">
        <w:rPr>
          <w:noProof/>
        </w:rPr>
        <w:tab/>
        <w:t>iné zníženia vlastných zdrojov súvisiace</w:t>
      </w:r>
      <w:r w:rsidR="004F01E9">
        <w:rPr>
          <w:noProof/>
        </w:rPr>
        <w:t xml:space="preserve"> s </w:t>
      </w:r>
      <w:r w:rsidRPr="004F01E9">
        <w:rPr>
          <w:noProof/>
        </w:rPr>
        <w:t>uvedenými expozíciami okrem odpočtov vykonaných</w:t>
      </w:r>
      <w:r w:rsidR="004F01E9">
        <w:rPr>
          <w:noProof/>
        </w:rPr>
        <w:t xml:space="preserve"> v </w:t>
      </w:r>
      <w:r w:rsidRPr="004F01E9">
        <w:rPr>
          <w:noProof/>
        </w:rPr>
        <w:t>súlade</w:t>
      </w:r>
      <w:r w:rsidR="004F01E9">
        <w:rPr>
          <w:noProof/>
        </w:rPr>
        <w:t xml:space="preserve"> s </w:t>
      </w:r>
      <w:r w:rsidRPr="004F01E9">
        <w:rPr>
          <w:noProof/>
        </w:rPr>
        <w:t>článkom 36 ods. 1 písm. m).</w:t>
      </w:r>
    </w:p>
    <w:p w14:paraId="527852C2" w14:textId="450F68F8" w:rsidR="00806B81" w:rsidRPr="0059109E" w:rsidRDefault="00860B4D" w:rsidP="00860B4D">
      <w:pPr>
        <w:pStyle w:val="Text1"/>
        <w:rPr>
          <w:noProof/>
          <w:spacing w:val="-8"/>
        </w:rPr>
      </w:pPr>
      <w:r w:rsidRPr="0059109E">
        <w:rPr>
          <w:noProof/>
          <w:spacing w:val="-8"/>
        </w:rPr>
        <w:t>Ak je výsledkom výpočtu vykonaného</w:t>
      </w:r>
      <w:r w:rsidR="004F01E9" w:rsidRPr="0059109E">
        <w:rPr>
          <w:noProof/>
          <w:spacing w:val="-8"/>
        </w:rPr>
        <w:t xml:space="preserve"> v </w:t>
      </w:r>
      <w:r w:rsidRPr="0059109E">
        <w:rPr>
          <w:noProof/>
          <w:spacing w:val="-8"/>
        </w:rPr>
        <w:t>súlade</w:t>
      </w:r>
      <w:r w:rsidR="004F01E9" w:rsidRPr="0059109E">
        <w:rPr>
          <w:noProof/>
          <w:spacing w:val="-8"/>
        </w:rPr>
        <w:t xml:space="preserve"> s </w:t>
      </w:r>
      <w:r w:rsidRPr="0059109E">
        <w:rPr>
          <w:noProof/>
          <w:spacing w:val="-8"/>
        </w:rPr>
        <w:t>prvým pododsekom kladná hodnota, získaná hodnota sa nazýva „prebytok IRB“. Ak je výsledkom výpočtu vykonaného</w:t>
      </w:r>
      <w:r w:rsidR="004F01E9" w:rsidRPr="0059109E">
        <w:rPr>
          <w:noProof/>
          <w:spacing w:val="-8"/>
        </w:rPr>
        <w:t xml:space="preserve"> v </w:t>
      </w:r>
      <w:r w:rsidRPr="0059109E">
        <w:rPr>
          <w:noProof/>
          <w:spacing w:val="-8"/>
        </w:rPr>
        <w:t>súlade</w:t>
      </w:r>
      <w:r w:rsidR="004F01E9" w:rsidRPr="0059109E">
        <w:rPr>
          <w:noProof/>
          <w:spacing w:val="-8"/>
        </w:rPr>
        <w:t xml:space="preserve"> s </w:t>
      </w:r>
      <w:r w:rsidRPr="0059109E">
        <w:rPr>
          <w:noProof/>
          <w:spacing w:val="-8"/>
        </w:rPr>
        <w:t>prvým pododsekom záporná hodnota, získaná hodnota sa nazýva „schodok IRB“.</w:t>
      </w:r>
    </w:p>
    <w:p w14:paraId="42E958BB" w14:textId="1323E3DE" w:rsidR="00860B4D" w:rsidRPr="004F01E9" w:rsidRDefault="00860B4D" w:rsidP="00860B4D">
      <w:pPr>
        <w:pStyle w:val="Text1"/>
        <w:rPr>
          <w:noProof/>
        </w:rPr>
      </w:pPr>
      <w:r w:rsidRPr="004F01E9">
        <w:rPr>
          <w:noProof/>
        </w:rPr>
        <w:t>Na účely výpočtu uvedeného</w:t>
      </w:r>
      <w:r w:rsidR="004F01E9">
        <w:rPr>
          <w:noProof/>
        </w:rPr>
        <w:t xml:space="preserve"> v </w:t>
      </w:r>
      <w:r w:rsidRPr="004F01E9">
        <w:rPr>
          <w:noProof/>
        </w:rPr>
        <w:t>prvom pododseku inštitúcie zaobchádzajú</w:t>
      </w:r>
      <w:r w:rsidR="004F01E9">
        <w:rPr>
          <w:noProof/>
        </w:rPr>
        <w:t xml:space="preserve"> s </w:t>
      </w:r>
      <w:r w:rsidRPr="004F01E9">
        <w:rPr>
          <w:noProof/>
        </w:rPr>
        <w:t>diskontmi alebo</w:t>
      </w:r>
      <w:r w:rsidR="004F01E9">
        <w:rPr>
          <w:noProof/>
        </w:rPr>
        <w:t xml:space="preserve"> s </w:t>
      </w:r>
      <w:r w:rsidRPr="004F01E9">
        <w:rPr>
          <w:noProof/>
        </w:rPr>
        <w:t>prémiami určenými</w:t>
      </w:r>
      <w:r w:rsidR="004F01E9">
        <w:rPr>
          <w:noProof/>
        </w:rPr>
        <w:t xml:space="preserve"> v </w:t>
      </w:r>
      <w:r w:rsidRPr="004F01E9">
        <w:rPr>
          <w:noProof/>
        </w:rPr>
        <w:t>súlade</w:t>
      </w:r>
      <w:r w:rsidR="004F01E9">
        <w:rPr>
          <w:noProof/>
        </w:rPr>
        <w:t xml:space="preserve"> s </w:t>
      </w:r>
      <w:r w:rsidRPr="004F01E9">
        <w:rPr>
          <w:noProof/>
        </w:rPr>
        <w:t>článkom 166 ods. 1 pri súvahových expozíciách kúpených</w:t>
      </w:r>
      <w:r w:rsidR="004F01E9">
        <w:rPr>
          <w:noProof/>
        </w:rPr>
        <w:t xml:space="preserve"> v </w:t>
      </w:r>
      <w:r w:rsidRPr="004F01E9">
        <w:rPr>
          <w:noProof/>
        </w:rPr>
        <w:t>čase, keď boli</w:t>
      </w:r>
      <w:r w:rsidR="004F01E9">
        <w:rPr>
          <w:noProof/>
        </w:rPr>
        <w:t xml:space="preserve"> v </w:t>
      </w:r>
      <w:r w:rsidRPr="004F01E9">
        <w:rPr>
          <w:noProof/>
        </w:rPr>
        <w:t>stave zlyhania, rovnakým spôsobom ako so špecifickými úpravami kreditného rizika. Diskonty alebo prémie pri súvahových expozíciách kúpených</w:t>
      </w:r>
      <w:r w:rsidR="004F01E9">
        <w:rPr>
          <w:noProof/>
        </w:rPr>
        <w:t xml:space="preserve"> v </w:t>
      </w:r>
      <w:r w:rsidRPr="004F01E9">
        <w:rPr>
          <w:noProof/>
        </w:rPr>
        <w:t>čase, keď neboli</w:t>
      </w:r>
      <w:r w:rsidR="004F01E9">
        <w:rPr>
          <w:noProof/>
        </w:rPr>
        <w:t xml:space="preserve"> v </w:t>
      </w:r>
      <w:r w:rsidRPr="004F01E9">
        <w:rPr>
          <w:noProof/>
        </w:rPr>
        <w:t>stave zlyhania, sa nesmú zahrnúť do výpočtu schodku IRB ani prebytku IRB. Špecifické úpravy kreditného rizika pri expozíciách</w:t>
      </w:r>
      <w:r w:rsidR="004F01E9">
        <w:rPr>
          <w:noProof/>
        </w:rPr>
        <w:t xml:space="preserve"> v </w:t>
      </w:r>
      <w:r w:rsidRPr="004F01E9">
        <w:rPr>
          <w:noProof/>
        </w:rPr>
        <w:t>stave zlyhania sa nepoužívajú na krytie výšky očakávaných strát pri iných expozíciách. Do výpočtu schodku IRB alebo prebytku IRB sa nezahŕňa výška očakávaných strát pri sekuritizovaných expozíciách</w:t>
      </w:r>
      <w:r w:rsidR="004F01E9">
        <w:rPr>
          <w:noProof/>
        </w:rPr>
        <w:t xml:space="preserve"> a </w:t>
      </w:r>
      <w:r w:rsidRPr="004F01E9">
        <w:rPr>
          <w:noProof/>
        </w:rPr>
        <w:t>všeobecné</w:t>
      </w:r>
      <w:r w:rsidR="004F01E9">
        <w:rPr>
          <w:noProof/>
        </w:rPr>
        <w:t xml:space="preserve"> a </w:t>
      </w:r>
      <w:r w:rsidRPr="004F01E9">
        <w:rPr>
          <w:noProof/>
        </w:rPr>
        <w:t>špecifické úpravy kreditného rizika týkajúce sa uvedených expozícií.“</w:t>
      </w:r>
    </w:p>
    <w:p w14:paraId="6F2A6E92" w14:textId="750146A3" w:rsidR="00806B81" w:rsidRPr="004F01E9" w:rsidRDefault="00B16452" w:rsidP="00B16452">
      <w:pPr>
        <w:pStyle w:val="Point0"/>
        <w:rPr>
          <w:noProof/>
        </w:rPr>
      </w:pPr>
      <w:r w:rsidRPr="00B16452">
        <w:rPr>
          <w:noProof/>
        </w:rPr>
        <w:t>72</w:t>
      </w:r>
      <w:r>
        <w:rPr>
          <w:noProof/>
        </w:rPr>
        <w:t>.</w:t>
      </w:r>
      <w:r w:rsidRPr="00B16452">
        <w:rPr>
          <w:noProof/>
        </w:rPr>
        <w:tab/>
      </w:r>
      <w:r w:rsidR="00513EEE" w:rsidRPr="004F01E9">
        <w:rPr>
          <w:noProof/>
        </w:rPr>
        <w:t>V oddiele 4 sa vkladá tento pododdiel 0:</w:t>
      </w:r>
    </w:p>
    <w:p w14:paraId="01AD5435" w14:textId="32E572F1" w:rsidR="00513EEE" w:rsidRPr="004F01E9" w:rsidRDefault="00513EEE" w:rsidP="001B604C">
      <w:pPr>
        <w:pStyle w:val="Sous-titreobjetprliminaire"/>
        <w:rPr>
          <w:noProof/>
        </w:rPr>
      </w:pPr>
      <w:r w:rsidRPr="004F01E9">
        <w:rPr>
          <w:noProof/>
        </w:rPr>
        <w:t xml:space="preserve">„Pododdiel 0 </w:t>
      </w:r>
      <w:r w:rsidRPr="004F01E9">
        <w:rPr>
          <w:noProof/>
        </w:rPr>
        <w:br/>
        <w:t>Expozície kryté zárukami poskytnutými ústrednými vládami</w:t>
      </w:r>
      <w:r w:rsidR="004F01E9">
        <w:rPr>
          <w:noProof/>
        </w:rPr>
        <w:t xml:space="preserve"> a </w:t>
      </w:r>
      <w:r w:rsidRPr="004F01E9">
        <w:rPr>
          <w:noProof/>
        </w:rPr>
        <w:t>centrálnymi bankami členských štátov alebo ECB</w:t>
      </w:r>
    </w:p>
    <w:p w14:paraId="7184359D" w14:textId="27988541" w:rsidR="00513EEE" w:rsidRPr="004F01E9" w:rsidRDefault="00513EEE" w:rsidP="00513EEE">
      <w:pPr>
        <w:pStyle w:val="Titrearticle"/>
        <w:rPr>
          <w:b/>
          <w:i w:val="0"/>
          <w:noProof/>
        </w:rPr>
      </w:pPr>
      <w:r w:rsidRPr="004F01E9">
        <w:rPr>
          <w:noProof/>
        </w:rPr>
        <w:t xml:space="preserve">Článok 159a </w:t>
      </w:r>
      <w:r w:rsidRPr="004F01E9">
        <w:rPr>
          <w:noProof/>
        </w:rPr>
        <w:br/>
      </w:r>
      <w:r w:rsidRPr="004F01E9">
        <w:rPr>
          <w:b/>
          <w:i w:val="0"/>
          <w:noProof/>
        </w:rPr>
        <w:t>Neuplatňovanie spodných hraníc pre vstupné hodnoty PD</w:t>
      </w:r>
      <w:r w:rsidR="004F01E9">
        <w:rPr>
          <w:b/>
          <w:i w:val="0"/>
          <w:noProof/>
        </w:rPr>
        <w:t xml:space="preserve"> a </w:t>
      </w:r>
      <w:r w:rsidRPr="004F01E9">
        <w:rPr>
          <w:b/>
          <w:i w:val="0"/>
          <w:noProof/>
        </w:rPr>
        <w:t>LGD</w:t>
      </w:r>
    </w:p>
    <w:p w14:paraId="7809C95C" w14:textId="643D1DFE" w:rsidR="00513EEE" w:rsidRPr="0059109E" w:rsidRDefault="00513EEE" w:rsidP="00513EEE">
      <w:pPr>
        <w:pStyle w:val="Text1"/>
        <w:rPr>
          <w:noProof/>
          <w:spacing w:val="-6"/>
        </w:rPr>
      </w:pPr>
      <w:r w:rsidRPr="0059109E">
        <w:rPr>
          <w:noProof/>
          <w:spacing w:val="-6"/>
        </w:rPr>
        <w:t>Na účely kapitoly 3,</w:t>
      </w:r>
      <w:r w:rsidR="004F01E9" w:rsidRPr="0059109E">
        <w:rPr>
          <w:noProof/>
          <w:spacing w:val="-6"/>
        </w:rPr>
        <w:t xml:space="preserve"> a </w:t>
      </w:r>
      <w:r w:rsidRPr="0059109E">
        <w:rPr>
          <w:noProof/>
          <w:spacing w:val="-6"/>
        </w:rPr>
        <w:t>najmä so zreteľom na článok 160 ods. 1, článok 161 ods. 4, článok 164 ods. 4</w:t>
      </w:r>
      <w:r w:rsidR="004F01E9" w:rsidRPr="0059109E">
        <w:rPr>
          <w:noProof/>
          <w:spacing w:val="-6"/>
        </w:rPr>
        <w:t xml:space="preserve"> a </w:t>
      </w:r>
      <w:r w:rsidRPr="0059109E">
        <w:rPr>
          <w:noProof/>
          <w:spacing w:val="-6"/>
        </w:rPr>
        <w:t>článok 166 ods. 8c, ak je expozícia krytá prípustnou zárukou poskytnutou ústrednou vládou alebo centrálnou bankou členského štátu alebo ECB, spodné hranice pre vstupné hodnoty PD, LGD</w:t>
      </w:r>
      <w:r w:rsidR="004F01E9" w:rsidRPr="0059109E">
        <w:rPr>
          <w:noProof/>
          <w:spacing w:val="-6"/>
        </w:rPr>
        <w:t xml:space="preserve"> a </w:t>
      </w:r>
      <w:r w:rsidRPr="0059109E">
        <w:rPr>
          <w:noProof/>
          <w:spacing w:val="-6"/>
        </w:rPr>
        <w:t>CCF sa neuplatňujú na tú časť expozície, ktorá je krytá touto zárukou. Na tú časť expozície, ktorá nie je krytá touto zárukou, sa však vzťahujú príslušné spodné hranice pre vstupné hodnoty PD, LGD</w:t>
      </w:r>
      <w:r w:rsidR="004F01E9" w:rsidRPr="0059109E">
        <w:rPr>
          <w:noProof/>
          <w:spacing w:val="-6"/>
        </w:rPr>
        <w:t xml:space="preserve"> a </w:t>
      </w:r>
      <w:r w:rsidRPr="0059109E">
        <w:rPr>
          <w:noProof/>
          <w:spacing w:val="-6"/>
        </w:rPr>
        <w:t>CCF.“</w:t>
      </w:r>
    </w:p>
    <w:p w14:paraId="2A7ED2F9" w14:textId="4400C555" w:rsidR="00513EEE" w:rsidRPr="004F01E9" w:rsidRDefault="00B16452" w:rsidP="00B16452">
      <w:pPr>
        <w:pStyle w:val="Point0"/>
        <w:rPr>
          <w:noProof/>
        </w:rPr>
      </w:pPr>
      <w:r w:rsidRPr="00B16452">
        <w:rPr>
          <w:noProof/>
        </w:rPr>
        <w:t>73</w:t>
      </w:r>
      <w:r>
        <w:rPr>
          <w:noProof/>
        </w:rPr>
        <w:t>.</w:t>
      </w:r>
      <w:r w:rsidRPr="00B16452">
        <w:rPr>
          <w:noProof/>
        </w:rPr>
        <w:tab/>
      </w:r>
      <w:r w:rsidR="00513EEE" w:rsidRPr="004F01E9">
        <w:rPr>
          <w:noProof/>
        </w:rPr>
        <w:t>Článok 160 sa mení takto:</w:t>
      </w:r>
    </w:p>
    <w:p w14:paraId="5EF72F8E" w14:textId="2F39018B" w:rsidR="00806B81" w:rsidRPr="004F01E9" w:rsidRDefault="00A667C8" w:rsidP="00A667C8">
      <w:pPr>
        <w:pStyle w:val="Point1"/>
        <w:rPr>
          <w:noProof/>
        </w:rPr>
      </w:pPr>
      <w:r w:rsidRPr="004F01E9">
        <w:rPr>
          <w:noProof/>
        </w:rPr>
        <w:t>a)</w:t>
      </w:r>
      <w:r w:rsidRPr="004F01E9">
        <w:rPr>
          <w:noProof/>
        </w:rPr>
        <w:tab/>
        <w:t>Odsek 1 sa nahrádza takto:</w:t>
      </w:r>
    </w:p>
    <w:p w14:paraId="1747C608" w14:textId="18053B95" w:rsidR="00513EEE" w:rsidRPr="004F01E9" w:rsidRDefault="00513EEE" w:rsidP="00513EEE">
      <w:pPr>
        <w:pStyle w:val="Text2"/>
        <w:rPr>
          <w:noProof/>
        </w:rPr>
      </w:pPr>
      <w:r w:rsidRPr="004F01E9">
        <w:rPr>
          <w:noProof/>
        </w:rPr>
        <w:t>„1.</w:t>
      </w:r>
      <w:r w:rsidR="004F01E9">
        <w:rPr>
          <w:noProof/>
        </w:rPr>
        <w:t xml:space="preserve"> V </w:t>
      </w:r>
      <w:r w:rsidRPr="004F01E9">
        <w:rPr>
          <w:noProof/>
        </w:rPr>
        <w:t>prípade expozícií zaradených do triedy expozícií „expozície voči inštitúciám“ uvedenej</w:t>
      </w:r>
      <w:r w:rsidR="004F01E9">
        <w:rPr>
          <w:noProof/>
        </w:rPr>
        <w:t xml:space="preserve"> v </w:t>
      </w:r>
      <w:r w:rsidRPr="004F01E9">
        <w:rPr>
          <w:noProof/>
        </w:rPr>
        <w:t>článku 147 ods. 2 písm. b) alebo „expozície voči podnikateľským subjektom“ uvedenej</w:t>
      </w:r>
      <w:r w:rsidR="004F01E9">
        <w:rPr>
          <w:noProof/>
        </w:rPr>
        <w:t xml:space="preserve"> v </w:t>
      </w:r>
      <w:r w:rsidRPr="004F01E9">
        <w:rPr>
          <w:noProof/>
        </w:rPr>
        <w:t>článku 147 ods. 2 písm. c), výlučne na účely výpočtu rizikovo vážených expozícií</w:t>
      </w:r>
      <w:r w:rsidR="004F01E9">
        <w:rPr>
          <w:noProof/>
        </w:rPr>
        <w:t xml:space="preserve"> a </w:t>
      </w:r>
      <w:r w:rsidRPr="004F01E9">
        <w:rPr>
          <w:noProof/>
        </w:rPr>
        <w:t>výšky očakávaných strát týchto expozícií, najmä na účely článku 153, článku 157, článku 158 ods. 1, článku 158 ods. 5</w:t>
      </w:r>
      <w:r w:rsidR="004F01E9">
        <w:rPr>
          <w:noProof/>
        </w:rPr>
        <w:t xml:space="preserve"> a </w:t>
      </w:r>
      <w:r w:rsidRPr="004F01E9">
        <w:rPr>
          <w:noProof/>
        </w:rPr>
        <w:t>článku 158 ods. 10, hodnoty PD použité ako vstupné údaje vo vzorcoch na výpočet rizikových váh</w:t>
      </w:r>
      <w:r w:rsidR="004F01E9">
        <w:rPr>
          <w:noProof/>
        </w:rPr>
        <w:t xml:space="preserve"> a </w:t>
      </w:r>
      <w:r w:rsidRPr="004F01E9">
        <w:rPr>
          <w:noProof/>
        </w:rPr>
        <w:t>očakávaných strát nesmú byť nižšie ako táto hodnota: 0,05</w:t>
      </w:r>
      <w:r w:rsidR="004F01E9">
        <w:rPr>
          <w:noProof/>
        </w:rPr>
        <w:t> %</w:t>
      </w:r>
      <w:r w:rsidRPr="004F01E9">
        <w:rPr>
          <w:noProof/>
        </w:rPr>
        <w:t xml:space="preserve"> („spodná hranica pre vstupné hodnoty PD“).“;</w:t>
      </w:r>
    </w:p>
    <w:p w14:paraId="1B945244" w14:textId="2FDE2261" w:rsidR="00806B81" w:rsidRPr="004F01E9" w:rsidRDefault="00A667C8" w:rsidP="00A667C8">
      <w:pPr>
        <w:pStyle w:val="Point1"/>
        <w:rPr>
          <w:noProof/>
        </w:rPr>
      </w:pPr>
      <w:r w:rsidRPr="004F01E9">
        <w:rPr>
          <w:noProof/>
        </w:rPr>
        <w:t>b)</w:t>
      </w:r>
      <w:r w:rsidRPr="004F01E9">
        <w:rPr>
          <w:noProof/>
        </w:rPr>
        <w:tab/>
        <w:t>Odsek 4 sa nahrádza takto:</w:t>
      </w:r>
    </w:p>
    <w:p w14:paraId="7EBA7AED" w14:textId="4F0C4125" w:rsidR="00513EEE" w:rsidRPr="004F01E9" w:rsidRDefault="00513EEE" w:rsidP="00513EEE">
      <w:pPr>
        <w:pStyle w:val="Text2"/>
        <w:rPr>
          <w:noProof/>
        </w:rPr>
      </w:pPr>
      <w:r w:rsidRPr="004F01E9">
        <w:rPr>
          <w:noProof/>
        </w:rPr>
        <w:t>„4.</w:t>
      </w:r>
      <w:r w:rsidR="004F01E9">
        <w:rPr>
          <w:noProof/>
        </w:rPr>
        <w:t xml:space="preserve"> V </w:t>
      </w:r>
      <w:r w:rsidRPr="004F01E9">
        <w:rPr>
          <w:noProof/>
        </w:rPr>
        <w:t>prípade expozície krytej UFCP môže inštitúcia, ktorá používa vlastné odhady LGD podľa článku 143 pre pôvodnú expozíciu aj pre priame porovnateľné expozície voči poskytovateľovi zabezpečenia, uznať nefinancované kreditné zabezpečenie</w:t>
      </w:r>
      <w:r w:rsidR="004F01E9">
        <w:rPr>
          <w:noProof/>
        </w:rPr>
        <w:t xml:space="preserve"> v </w:t>
      </w:r>
      <w:r w:rsidRPr="004F01E9">
        <w:rPr>
          <w:noProof/>
        </w:rPr>
        <w:t>PD</w:t>
      </w:r>
      <w:r w:rsidR="004F01E9">
        <w:rPr>
          <w:noProof/>
        </w:rPr>
        <w:t xml:space="preserve"> v </w:t>
      </w:r>
      <w:r w:rsidRPr="004F01E9">
        <w:rPr>
          <w:noProof/>
        </w:rPr>
        <w:t>súlade</w:t>
      </w:r>
      <w:r w:rsidR="004F01E9">
        <w:rPr>
          <w:noProof/>
        </w:rPr>
        <w:t xml:space="preserve"> s </w:t>
      </w:r>
      <w:r w:rsidRPr="004F01E9">
        <w:rPr>
          <w:noProof/>
        </w:rPr>
        <w:t>článkom 183.“;</w:t>
      </w:r>
    </w:p>
    <w:p w14:paraId="530ABF12" w14:textId="681CF148" w:rsidR="00513EEE" w:rsidRPr="004F01E9" w:rsidRDefault="00A667C8" w:rsidP="00A667C8">
      <w:pPr>
        <w:pStyle w:val="Point1"/>
        <w:rPr>
          <w:noProof/>
        </w:rPr>
      </w:pPr>
      <w:r w:rsidRPr="004F01E9">
        <w:rPr>
          <w:noProof/>
        </w:rPr>
        <w:t>c)</w:t>
      </w:r>
      <w:r w:rsidRPr="004F01E9">
        <w:rPr>
          <w:noProof/>
        </w:rPr>
        <w:tab/>
        <w:t>Odsek 5 sa vypúšťa;</w:t>
      </w:r>
    </w:p>
    <w:p w14:paraId="5E5101CF" w14:textId="5290DD19" w:rsidR="00513EEE" w:rsidRPr="004F01E9" w:rsidRDefault="00A667C8" w:rsidP="00A667C8">
      <w:pPr>
        <w:pStyle w:val="Point1"/>
        <w:rPr>
          <w:noProof/>
        </w:rPr>
      </w:pPr>
      <w:r w:rsidRPr="004F01E9">
        <w:rPr>
          <w:noProof/>
        </w:rPr>
        <w:t>d)</w:t>
      </w:r>
      <w:r w:rsidRPr="004F01E9">
        <w:rPr>
          <w:noProof/>
        </w:rPr>
        <w:tab/>
        <w:t>Odsek 6 sa nahrádza takto:</w:t>
      </w:r>
    </w:p>
    <w:p w14:paraId="64BF4E18" w14:textId="3F22826A" w:rsidR="00513EEE" w:rsidRPr="0059109E" w:rsidRDefault="00513EEE" w:rsidP="00513EEE">
      <w:pPr>
        <w:pStyle w:val="Text2"/>
        <w:rPr>
          <w:noProof/>
          <w:spacing w:val="-4"/>
        </w:rPr>
      </w:pPr>
      <w:r w:rsidRPr="0059109E">
        <w:rPr>
          <w:noProof/>
          <w:spacing w:val="-4"/>
        </w:rPr>
        <w:t>„6. Pre riziko zníženia kvality pohľadávok</w:t>
      </w:r>
      <w:r w:rsidR="004F01E9" w:rsidRPr="0059109E">
        <w:rPr>
          <w:noProof/>
          <w:spacing w:val="-4"/>
        </w:rPr>
        <w:t xml:space="preserve"> z </w:t>
      </w:r>
      <w:r w:rsidRPr="0059109E">
        <w:rPr>
          <w:noProof/>
          <w:spacing w:val="-4"/>
        </w:rPr>
        <w:t>iných ako kreditných dôvodov pri odkúpených podnikových pohľadávkach sa PD stanoví na rovnakú úroveň ako odhad EL vypracovaný inštitúciou pre riziko zníženia kvality pohľadávok</w:t>
      </w:r>
      <w:r w:rsidR="004F01E9" w:rsidRPr="0059109E">
        <w:rPr>
          <w:noProof/>
          <w:spacing w:val="-4"/>
        </w:rPr>
        <w:t xml:space="preserve"> z </w:t>
      </w:r>
      <w:r w:rsidRPr="0059109E">
        <w:rPr>
          <w:noProof/>
          <w:spacing w:val="-4"/>
        </w:rPr>
        <w:t>iných ako kreditných dôvodov. Inštitúcia, ktorá podľa článku 143 získala povolenie príslušného orgánu používať vlastné odhady LGD pre expozície voči podnikateľským subjektom, ktorá vie svoje odhady EL pre riziko zníženia kvality pohľadávok</w:t>
      </w:r>
      <w:r w:rsidR="004F01E9" w:rsidRPr="0059109E">
        <w:rPr>
          <w:noProof/>
          <w:spacing w:val="-4"/>
        </w:rPr>
        <w:t xml:space="preserve"> z </w:t>
      </w:r>
      <w:r w:rsidRPr="0059109E">
        <w:rPr>
          <w:noProof/>
          <w:spacing w:val="-4"/>
        </w:rPr>
        <w:t>iných ako kreditných dôvodov pri odkúpených podnikových pohľadávkach rozložiť na PD</w:t>
      </w:r>
      <w:r w:rsidR="004F01E9" w:rsidRPr="0059109E">
        <w:rPr>
          <w:noProof/>
          <w:spacing w:val="-4"/>
        </w:rPr>
        <w:t xml:space="preserve"> a </w:t>
      </w:r>
      <w:r w:rsidRPr="0059109E">
        <w:rPr>
          <w:noProof/>
          <w:spacing w:val="-4"/>
        </w:rPr>
        <w:t>LGD spôsobom, ktorý príslušný orgán považuje za spoľahlivý, môže použiť odhad PD vyplývajúci</w:t>
      </w:r>
      <w:r w:rsidR="004F01E9" w:rsidRPr="0059109E">
        <w:rPr>
          <w:noProof/>
          <w:spacing w:val="-4"/>
        </w:rPr>
        <w:t xml:space="preserve"> z </w:t>
      </w:r>
      <w:r w:rsidRPr="0059109E">
        <w:rPr>
          <w:noProof/>
          <w:spacing w:val="-4"/>
        </w:rPr>
        <w:t>tohto rozloženia. Inštitúcie môžu uznať nefinancované kreditné zabezpečenie</w:t>
      </w:r>
      <w:r w:rsidR="004F01E9" w:rsidRPr="0059109E">
        <w:rPr>
          <w:noProof/>
          <w:spacing w:val="-4"/>
        </w:rPr>
        <w:t xml:space="preserve"> v </w:t>
      </w:r>
      <w:r w:rsidRPr="0059109E">
        <w:rPr>
          <w:noProof/>
          <w:spacing w:val="-4"/>
        </w:rPr>
        <w:t>PD</w:t>
      </w:r>
      <w:r w:rsidR="004F01E9" w:rsidRPr="0059109E">
        <w:rPr>
          <w:noProof/>
          <w:spacing w:val="-4"/>
        </w:rPr>
        <w:t xml:space="preserve"> v </w:t>
      </w:r>
      <w:r w:rsidRPr="0059109E">
        <w:rPr>
          <w:noProof/>
          <w:spacing w:val="-4"/>
        </w:rPr>
        <w:t>súlade</w:t>
      </w:r>
      <w:r w:rsidR="004F01E9" w:rsidRPr="0059109E">
        <w:rPr>
          <w:noProof/>
          <w:spacing w:val="-4"/>
        </w:rPr>
        <w:t xml:space="preserve"> s </w:t>
      </w:r>
      <w:r w:rsidRPr="0059109E">
        <w:rPr>
          <w:noProof/>
          <w:spacing w:val="-4"/>
        </w:rPr>
        <w:t>kapitolou 4.“;</w:t>
      </w:r>
    </w:p>
    <w:p w14:paraId="1A23DE24" w14:textId="6F341BC8" w:rsidR="00513EEE" w:rsidRPr="004F01E9" w:rsidRDefault="00A667C8" w:rsidP="00A667C8">
      <w:pPr>
        <w:pStyle w:val="Point1"/>
        <w:rPr>
          <w:noProof/>
        </w:rPr>
      </w:pPr>
      <w:r w:rsidRPr="004F01E9">
        <w:rPr>
          <w:noProof/>
        </w:rPr>
        <w:t>e)</w:t>
      </w:r>
      <w:r w:rsidRPr="004F01E9">
        <w:rPr>
          <w:noProof/>
        </w:rPr>
        <w:tab/>
        <w:t>Odsek 7 sa nahrádza takto:</w:t>
      </w:r>
    </w:p>
    <w:p w14:paraId="6D0DC25F" w14:textId="6DA37873" w:rsidR="00513EEE" w:rsidRPr="0059109E" w:rsidRDefault="00513EEE" w:rsidP="00513EEE">
      <w:pPr>
        <w:pStyle w:val="Text2"/>
        <w:rPr>
          <w:noProof/>
          <w:spacing w:val="-6"/>
        </w:rPr>
      </w:pPr>
      <w:r w:rsidRPr="0059109E">
        <w:rPr>
          <w:noProof/>
          <w:spacing w:val="-6"/>
        </w:rPr>
        <w:t>„7. Inštitúcia, ktorá podľa článku 143 získala povolenie príslušného orgánu používať vlastné odhady LGD pre riziko zníženia kvality pohľadávok</w:t>
      </w:r>
      <w:r w:rsidR="004F01E9" w:rsidRPr="0059109E">
        <w:rPr>
          <w:noProof/>
          <w:spacing w:val="-6"/>
        </w:rPr>
        <w:t xml:space="preserve"> z </w:t>
      </w:r>
      <w:r w:rsidRPr="0059109E">
        <w:rPr>
          <w:noProof/>
          <w:spacing w:val="-6"/>
        </w:rPr>
        <w:t>iných ako kreditných dôvodov pri odkúpených podnikových pohľadávkach, môže uznať nefinancované kreditné zabezpečenie úpravou hodnôt PD podľa článku 161 ods. 3.“</w:t>
      </w:r>
    </w:p>
    <w:p w14:paraId="6212D90A" w14:textId="77B0A128" w:rsidR="00806B81" w:rsidRPr="004F01E9" w:rsidRDefault="00B16452" w:rsidP="00B16452">
      <w:pPr>
        <w:pStyle w:val="Point0"/>
        <w:rPr>
          <w:noProof/>
        </w:rPr>
      </w:pPr>
      <w:r w:rsidRPr="00B16452">
        <w:rPr>
          <w:noProof/>
        </w:rPr>
        <w:t>74</w:t>
      </w:r>
      <w:r>
        <w:rPr>
          <w:noProof/>
        </w:rPr>
        <w:t>.</w:t>
      </w:r>
      <w:r w:rsidRPr="00B16452">
        <w:rPr>
          <w:noProof/>
        </w:rPr>
        <w:tab/>
      </w:r>
      <w:r w:rsidR="00513EEE" w:rsidRPr="004F01E9">
        <w:rPr>
          <w:noProof/>
        </w:rPr>
        <w:t>Článok 161 sa mení takto:</w:t>
      </w:r>
    </w:p>
    <w:p w14:paraId="054718DE" w14:textId="67900598" w:rsidR="00513EEE" w:rsidRPr="004F01E9" w:rsidRDefault="00A667C8" w:rsidP="00A667C8">
      <w:pPr>
        <w:pStyle w:val="Point1"/>
        <w:rPr>
          <w:noProof/>
        </w:rPr>
      </w:pPr>
      <w:r w:rsidRPr="004F01E9">
        <w:rPr>
          <w:noProof/>
        </w:rPr>
        <w:t>a)</w:t>
      </w:r>
      <w:r w:rsidRPr="004F01E9">
        <w:rPr>
          <w:noProof/>
        </w:rPr>
        <w:tab/>
        <w:t>Odsek 1 sa mení takto:</w:t>
      </w:r>
    </w:p>
    <w:p w14:paraId="1391BE97" w14:textId="77777777" w:rsidR="00513EEE" w:rsidRPr="004F01E9" w:rsidRDefault="00513EEE" w:rsidP="00513EEE">
      <w:pPr>
        <w:pStyle w:val="Point2"/>
        <w:rPr>
          <w:noProof/>
        </w:rPr>
      </w:pPr>
      <w:r w:rsidRPr="004F01E9">
        <w:rPr>
          <w:noProof/>
        </w:rPr>
        <w:t>i)</w:t>
      </w:r>
      <w:r w:rsidRPr="004F01E9">
        <w:rPr>
          <w:noProof/>
        </w:rPr>
        <w:tab/>
        <w:t>Písmeno a) sa nahrádza takto:</w:t>
      </w:r>
    </w:p>
    <w:p w14:paraId="59495456" w14:textId="6B3DDFB0" w:rsidR="00513EEE" w:rsidRPr="004F01E9" w:rsidRDefault="00513EEE" w:rsidP="00615061">
      <w:pPr>
        <w:pStyle w:val="Text3"/>
        <w:rPr>
          <w:noProof/>
        </w:rPr>
      </w:pPr>
      <w:r w:rsidRPr="004F01E9">
        <w:rPr>
          <w:noProof/>
        </w:rPr>
        <w:t>„a) nadriadené expozície bez FCP voči ústredným vládam</w:t>
      </w:r>
      <w:r w:rsidR="004F01E9">
        <w:rPr>
          <w:noProof/>
        </w:rPr>
        <w:t xml:space="preserve"> a </w:t>
      </w:r>
      <w:r w:rsidRPr="004F01E9">
        <w:rPr>
          <w:noProof/>
        </w:rPr>
        <w:t>centrálnym bankám</w:t>
      </w:r>
      <w:r w:rsidR="004F01E9">
        <w:rPr>
          <w:noProof/>
        </w:rPr>
        <w:t xml:space="preserve"> a </w:t>
      </w:r>
      <w:r w:rsidRPr="004F01E9">
        <w:rPr>
          <w:noProof/>
        </w:rPr>
        <w:t>subjektom finančného sektora: 45</w:t>
      </w:r>
      <w:r w:rsidR="004F01E9">
        <w:rPr>
          <w:noProof/>
        </w:rPr>
        <w:t> %</w:t>
      </w:r>
      <w:r w:rsidRPr="004F01E9">
        <w:rPr>
          <w:noProof/>
        </w:rPr>
        <w:t>;“;</w:t>
      </w:r>
    </w:p>
    <w:p w14:paraId="6D354AE5" w14:textId="09D7A8F8" w:rsidR="00513EEE" w:rsidRPr="004F01E9" w:rsidRDefault="00513EEE" w:rsidP="00513EEE">
      <w:pPr>
        <w:pStyle w:val="Point2"/>
        <w:rPr>
          <w:noProof/>
        </w:rPr>
      </w:pPr>
      <w:r w:rsidRPr="004F01E9">
        <w:rPr>
          <w:noProof/>
        </w:rPr>
        <w:t>ii)</w:t>
      </w:r>
      <w:r w:rsidRPr="004F01E9">
        <w:rPr>
          <w:noProof/>
        </w:rPr>
        <w:tab/>
        <w:t>Vkladá sa toto písmeno aa):</w:t>
      </w:r>
    </w:p>
    <w:p w14:paraId="3087235C" w14:textId="120B16EF" w:rsidR="00513EEE" w:rsidRPr="004F01E9" w:rsidRDefault="00513EEE" w:rsidP="00615061">
      <w:pPr>
        <w:pStyle w:val="Text3"/>
        <w:rPr>
          <w:noProof/>
        </w:rPr>
      </w:pPr>
      <w:r w:rsidRPr="004F01E9">
        <w:rPr>
          <w:noProof/>
        </w:rPr>
        <w:t>„aa) nadriadené expozície bez FCP voči podnikateľským subjektom, ktoré nie sú subjektmi finančného sektora: 40</w:t>
      </w:r>
      <w:r w:rsidR="004F01E9">
        <w:rPr>
          <w:noProof/>
        </w:rPr>
        <w:t> %</w:t>
      </w:r>
      <w:r w:rsidRPr="004F01E9">
        <w:rPr>
          <w:noProof/>
        </w:rPr>
        <w:t>;“;</w:t>
      </w:r>
    </w:p>
    <w:p w14:paraId="4B64571D" w14:textId="77777777" w:rsidR="00513EEE" w:rsidRPr="004F01E9" w:rsidRDefault="00513EEE" w:rsidP="00513EEE">
      <w:pPr>
        <w:pStyle w:val="Point2"/>
        <w:rPr>
          <w:noProof/>
        </w:rPr>
      </w:pPr>
      <w:r w:rsidRPr="004F01E9">
        <w:rPr>
          <w:noProof/>
        </w:rPr>
        <w:t>iii)</w:t>
      </w:r>
      <w:r w:rsidRPr="004F01E9">
        <w:rPr>
          <w:noProof/>
        </w:rPr>
        <w:tab/>
        <w:t>Písmeno c) sa vypúšťa;</w:t>
      </w:r>
    </w:p>
    <w:p w14:paraId="636ED371" w14:textId="77777777" w:rsidR="00513EEE" w:rsidRPr="004F01E9" w:rsidRDefault="00513EEE" w:rsidP="00513EEE">
      <w:pPr>
        <w:pStyle w:val="Point2"/>
        <w:rPr>
          <w:noProof/>
        </w:rPr>
      </w:pPr>
      <w:r w:rsidRPr="004F01E9">
        <w:rPr>
          <w:noProof/>
        </w:rPr>
        <w:t>iv)</w:t>
      </w:r>
      <w:r w:rsidRPr="004F01E9">
        <w:rPr>
          <w:noProof/>
        </w:rPr>
        <w:tab/>
        <w:t>Písmeno e) sa nahrádza takto:</w:t>
      </w:r>
    </w:p>
    <w:p w14:paraId="2DB28313" w14:textId="76CC0CE7" w:rsidR="00513EEE" w:rsidRPr="0059109E" w:rsidRDefault="00513EEE" w:rsidP="00615061">
      <w:pPr>
        <w:pStyle w:val="Text3"/>
        <w:rPr>
          <w:noProof/>
          <w:spacing w:val="-6"/>
        </w:rPr>
      </w:pPr>
      <w:r w:rsidRPr="0059109E">
        <w:rPr>
          <w:noProof/>
          <w:spacing w:val="-6"/>
        </w:rPr>
        <w:t>„e)</w:t>
      </w:r>
      <w:r w:rsidR="004F01E9" w:rsidRPr="0059109E">
        <w:rPr>
          <w:noProof/>
          <w:spacing w:val="-6"/>
        </w:rPr>
        <w:t xml:space="preserve"> v </w:t>
      </w:r>
      <w:r w:rsidRPr="0059109E">
        <w:rPr>
          <w:noProof/>
          <w:spacing w:val="-6"/>
        </w:rPr>
        <w:t>prípade expozícií vo forme nadriadených odkúpených podnikových pohľadávok, ak inštitúcia nie je schopná odhadnúť PD alebo ak odhady PD vypracované inštitúciou nespĺňajú požiadavky stanovené</w:t>
      </w:r>
      <w:r w:rsidR="004F01E9" w:rsidRPr="0059109E">
        <w:rPr>
          <w:noProof/>
          <w:spacing w:val="-6"/>
        </w:rPr>
        <w:t xml:space="preserve"> v </w:t>
      </w:r>
      <w:r w:rsidRPr="0059109E">
        <w:rPr>
          <w:noProof/>
          <w:spacing w:val="-6"/>
        </w:rPr>
        <w:t>oddiele 6: 40</w:t>
      </w:r>
      <w:r w:rsidR="004F01E9" w:rsidRPr="0059109E">
        <w:rPr>
          <w:noProof/>
          <w:spacing w:val="-6"/>
        </w:rPr>
        <w:t> %</w:t>
      </w:r>
      <w:r w:rsidRPr="0059109E">
        <w:rPr>
          <w:noProof/>
          <w:spacing w:val="-6"/>
        </w:rPr>
        <w:t>;“;</w:t>
      </w:r>
    </w:p>
    <w:p w14:paraId="345B2E65" w14:textId="77777777" w:rsidR="00513EEE" w:rsidRPr="004F01E9" w:rsidRDefault="00513EEE" w:rsidP="00513EEE">
      <w:pPr>
        <w:pStyle w:val="Point2"/>
        <w:rPr>
          <w:noProof/>
        </w:rPr>
      </w:pPr>
      <w:r w:rsidRPr="004F01E9">
        <w:rPr>
          <w:noProof/>
        </w:rPr>
        <w:t>v)</w:t>
      </w:r>
      <w:r w:rsidRPr="004F01E9">
        <w:rPr>
          <w:noProof/>
        </w:rPr>
        <w:tab/>
        <w:t>Písmeno g) sa nahrádza takto:</w:t>
      </w:r>
    </w:p>
    <w:p w14:paraId="290F9EE7" w14:textId="6CC09EF9" w:rsidR="00513EEE" w:rsidRPr="004F01E9" w:rsidRDefault="00513EEE" w:rsidP="00615061">
      <w:pPr>
        <w:pStyle w:val="Text3"/>
        <w:rPr>
          <w:noProof/>
        </w:rPr>
      </w:pPr>
      <w:r w:rsidRPr="004F01E9">
        <w:rPr>
          <w:noProof/>
        </w:rPr>
        <w:t>„g)</w:t>
      </w:r>
      <w:r w:rsidR="004F01E9">
        <w:rPr>
          <w:noProof/>
        </w:rPr>
        <w:t xml:space="preserve"> v </w:t>
      </w:r>
      <w:r w:rsidRPr="004F01E9">
        <w:rPr>
          <w:noProof/>
        </w:rPr>
        <w:t>prípade rizika zníženia kvality pohľadávok</w:t>
      </w:r>
      <w:r w:rsidR="004F01E9">
        <w:rPr>
          <w:noProof/>
        </w:rPr>
        <w:t xml:space="preserve"> z </w:t>
      </w:r>
      <w:r w:rsidRPr="004F01E9">
        <w:rPr>
          <w:noProof/>
        </w:rPr>
        <w:t>iných ako kreditných dôvodov pri odkúpených podnikových pohľadávkach: 100</w:t>
      </w:r>
      <w:r w:rsidR="004F01E9">
        <w:rPr>
          <w:noProof/>
        </w:rPr>
        <w:t> %</w:t>
      </w:r>
      <w:r w:rsidRPr="004F01E9">
        <w:rPr>
          <w:noProof/>
        </w:rPr>
        <w:t>;“;</w:t>
      </w:r>
    </w:p>
    <w:p w14:paraId="772B5D7E" w14:textId="3CEB3399" w:rsidR="00806B81" w:rsidRPr="004F01E9" w:rsidRDefault="00A667C8" w:rsidP="00A667C8">
      <w:pPr>
        <w:pStyle w:val="Point1"/>
        <w:rPr>
          <w:noProof/>
        </w:rPr>
      </w:pPr>
      <w:r w:rsidRPr="004F01E9">
        <w:rPr>
          <w:noProof/>
        </w:rPr>
        <w:t>b)</w:t>
      </w:r>
      <w:r w:rsidRPr="004F01E9">
        <w:rPr>
          <w:noProof/>
        </w:rPr>
        <w:tab/>
        <w:t>Odseky 3</w:t>
      </w:r>
      <w:r w:rsidR="004F01E9">
        <w:rPr>
          <w:noProof/>
        </w:rPr>
        <w:t xml:space="preserve"> a </w:t>
      </w:r>
      <w:r w:rsidRPr="004F01E9">
        <w:rPr>
          <w:noProof/>
        </w:rPr>
        <w:t>4 sa nahrádzajú takto:</w:t>
      </w:r>
    </w:p>
    <w:p w14:paraId="295DC24E" w14:textId="461004F6" w:rsidR="00513EEE" w:rsidRPr="004F01E9" w:rsidRDefault="00513EEE" w:rsidP="00513EEE">
      <w:pPr>
        <w:pStyle w:val="Text2"/>
        <w:rPr>
          <w:noProof/>
        </w:rPr>
      </w:pPr>
      <w:r w:rsidRPr="004F01E9">
        <w:rPr>
          <w:noProof/>
        </w:rPr>
        <w:t>„3.</w:t>
      </w:r>
      <w:r w:rsidR="004F01E9">
        <w:rPr>
          <w:noProof/>
        </w:rPr>
        <w:t xml:space="preserve"> V </w:t>
      </w:r>
      <w:r w:rsidRPr="004F01E9">
        <w:rPr>
          <w:noProof/>
        </w:rPr>
        <w:t>prípade expozície krytej nefinancovaným kreditným zabezpečením môže inštitúcia, ktorá používa vlastné odhady LGD podľa článku 143 pre pôvodnú expozíciu aj pre priame porovnateľné expozície voči poskytovateľovi zabezpečenia, uznať nefinancované kreditné zabezpečenie</w:t>
      </w:r>
      <w:r w:rsidR="004F01E9">
        <w:rPr>
          <w:noProof/>
        </w:rPr>
        <w:t xml:space="preserve"> v </w:t>
      </w:r>
      <w:r w:rsidRPr="004F01E9">
        <w:rPr>
          <w:noProof/>
        </w:rPr>
        <w:t>LGD</w:t>
      </w:r>
      <w:r w:rsidR="004F01E9">
        <w:rPr>
          <w:noProof/>
        </w:rPr>
        <w:t xml:space="preserve"> v </w:t>
      </w:r>
      <w:r w:rsidRPr="004F01E9">
        <w:rPr>
          <w:noProof/>
        </w:rPr>
        <w:t>súlade</w:t>
      </w:r>
      <w:r w:rsidR="004F01E9">
        <w:rPr>
          <w:noProof/>
        </w:rPr>
        <w:t xml:space="preserve"> s </w:t>
      </w:r>
      <w:r w:rsidRPr="004F01E9">
        <w:rPr>
          <w:noProof/>
        </w:rPr>
        <w:t>článkom 183.</w:t>
      </w:r>
    </w:p>
    <w:p w14:paraId="0CF3E323" w14:textId="5CE3D04C" w:rsidR="00513EEE" w:rsidRPr="004F01E9" w:rsidRDefault="00513EEE" w:rsidP="00513EEE">
      <w:pPr>
        <w:pStyle w:val="Text2"/>
        <w:rPr>
          <w:noProof/>
        </w:rPr>
      </w:pPr>
      <w:r w:rsidRPr="004F01E9">
        <w:rPr>
          <w:noProof/>
        </w:rPr>
        <w:t>4.</w:t>
      </w:r>
      <w:r w:rsidR="004F01E9">
        <w:rPr>
          <w:noProof/>
        </w:rPr>
        <w:t xml:space="preserve"> V </w:t>
      </w:r>
      <w:r w:rsidRPr="004F01E9">
        <w:rPr>
          <w:noProof/>
        </w:rPr>
        <w:t>prípade expozícií zaradených do triedy expozícií „trieda expozícií voči podnikateľským subjektom“ uvedenej</w:t>
      </w:r>
      <w:r w:rsidR="004F01E9">
        <w:rPr>
          <w:noProof/>
        </w:rPr>
        <w:t xml:space="preserve"> v </w:t>
      </w:r>
      <w:r w:rsidRPr="004F01E9">
        <w:rPr>
          <w:noProof/>
        </w:rPr>
        <w:t>článku 147 ods. 2 písm. c), výlučne na účel výpočtu rizikovo vážených expozícií</w:t>
      </w:r>
      <w:r w:rsidR="004F01E9">
        <w:rPr>
          <w:noProof/>
        </w:rPr>
        <w:t xml:space="preserve"> a </w:t>
      </w:r>
      <w:r w:rsidRPr="004F01E9">
        <w:rPr>
          <w:noProof/>
        </w:rPr>
        <w:t>výšky očakávaných strát týchto expozícií,</w:t>
      </w:r>
      <w:r w:rsidR="004F01E9">
        <w:rPr>
          <w:noProof/>
        </w:rPr>
        <w:t xml:space="preserve"> a </w:t>
      </w:r>
      <w:r w:rsidRPr="004F01E9">
        <w:rPr>
          <w:noProof/>
        </w:rPr>
        <w:t>najmä na účely článku 153 ods. 1 bodu iii), článku 157, článku 158 ods. 1, 5</w:t>
      </w:r>
      <w:r w:rsidR="004F01E9">
        <w:rPr>
          <w:noProof/>
        </w:rPr>
        <w:t xml:space="preserve"> a </w:t>
      </w:r>
      <w:r w:rsidRPr="004F01E9">
        <w:rPr>
          <w:noProof/>
        </w:rPr>
        <w:t>10, ak sa používajú vlastné odhady LGD, hodnoty LGD použité ako vstupné údaje vo vzorcoch na výpočet rizikových váh</w:t>
      </w:r>
      <w:r w:rsidR="004F01E9">
        <w:rPr>
          <w:noProof/>
        </w:rPr>
        <w:t xml:space="preserve"> a </w:t>
      </w:r>
      <w:r w:rsidRPr="004F01E9">
        <w:rPr>
          <w:noProof/>
        </w:rPr>
        <w:t>očakávaných strát nesmú byť nižšie ako tieto spodné hranice pre vstupné hodnoty LGD</w:t>
      </w:r>
      <w:r w:rsidR="004F01E9">
        <w:rPr>
          <w:noProof/>
        </w:rPr>
        <w:t xml:space="preserve"> a </w:t>
      </w:r>
      <w:r w:rsidRPr="004F01E9">
        <w:rPr>
          <w:noProof/>
        </w:rPr>
        <w:t>vypočítavajú sa</w:t>
      </w:r>
      <w:r w:rsidR="004F01E9">
        <w:rPr>
          <w:noProof/>
        </w:rPr>
        <w:t xml:space="preserve"> v </w:t>
      </w:r>
      <w:r w:rsidRPr="004F01E9">
        <w:rPr>
          <w:noProof/>
        </w:rPr>
        <w:t>súlade</w:t>
      </w:r>
      <w:r w:rsidR="004F01E9">
        <w:rPr>
          <w:noProof/>
        </w:rPr>
        <w:t xml:space="preserve"> s </w:t>
      </w:r>
      <w:r w:rsidRPr="004F01E9">
        <w:rPr>
          <w:noProof/>
        </w:rPr>
        <w:t>odsekom 5:</w:t>
      </w:r>
    </w:p>
    <w:p w14:paraId="035D5D0E" w14:textId="4D3FD6F7" w:rsidR="00513EEE" w:rsidRPr="004F01E9" w:rsidRDefault="00513EEE" w:rsidP="00513EEE">
      <w:pPr>
        <w:pStyle w:val="Text1"/>
        <w:jc w:val="center"/>
        <w:rPr>
          <w:i/>
          <w:noProof/>
        </w:rPr>
      </w:pPr>
      <w:r w:rsidRPr="004F01E9">
        <w:rPr>
          <w:i/>
          <w:noProof/>
        </w:rPr>
        <w:t>Tabuľka 2a</w:t>
      </w:r>
    </w:p>
    <w:tbl>
      <w:tblPr>
        <w:tblStyle w:val="TableGrid"/>
        <w:tblW w:w="0" w:type="auto"/>
        <w:tblInd w:w="850" w:type="dxa"/>
        <w:tblLook w:val="04A0" w:firstRow="1" w:lastRow="0" w:firstColumn="1" w:lastColumn="0" w:noHBand="0" w:noVBand="1"/>
      </w:tblPr>
      <w:tblGrid>
        <w:gridCol w:w="4280"/>
        <w:gridCol w:w="2079"/>
        <w:gridCol w:w="2080"/>
      </w:tblGrid>
      <w:tr w:rsidR="00513EEE" w:rsidRPr="004F01E9" w14:paraId="4A46D0B5" w14:textId="77777777" w:rsidTr="00513EEE">
        <w:tc>
          <w:tcPr>
            <w:tcW w:w="8439" w:type="dxa"/>
            <w:gridSpan w:val="3"/>
            <w:vAlign w:val="center"/>
          </w:tcPr>
          <w:p w14:paraId="2FC7A36D" w14:textId="5C6FF7B9" w:rsidR="00513EEE" w:rsidRPr="0059109E" w:rsidRDefault="00513EEE" w:rsidP="00513EEE">
            <w:pPr>
              <w:pStyle w:val="Text1"/>
              <w:ind w:left="0"/>
              <w:jc w:val="center"/>
              <w:rPr>
                <w:noProof/>
                <w:spacing w:val="-4"/>
              </w:rPr>
            </w:pPr>
            <w:r w:rsidRPr="0059109E">
              <w:rPr>
                <w:noProof/>
                <w:spacing w:val="-4"/>
              </w:rPr>
              <w:t>Spodné hranice pre vstupné hodnoty LGD (</w:t>
            </w:r>
            <w:r w:rsidRPr="0059109E">
              <w:rPr>
                <w:i/>
                <w:noProof/>
                <w:spacing w:val="-4"/>
              </w:rPr>
              <w:t>LGD</w:t>
            </w:r>
            <w:r w:rsidRPr="0059109E">
              <w:rPr>
                <w:i/>
                <w:noProof/>
                <w:spacing w:val="-4"/>
                <w:vertAlign w:val="subscript"/>
              </w:rPr>
              <w:t>floor</w:t>
            </w:r>
            <w:r w:rsidRPr="0059109E">
              <w:rPr>
                <w:noProof/>
                <w:spacing w:val="-4"/>
              </w:rPr>
              <w:t>)</w:t>
            </w:r>
            <w:r w:rsidR="004F01E9" w:rsidRPr="0059109E">
              <w:rPr>
                <w:noProof/>
                <w:spacing w:val="-4"/>
              </w:rPr>
              <w:t xml:space="preserve"> v </w:t>
            </w:r>
            <w:r w:rsidRPr="0059109E">
              <w:rPr>
                <w:noProof/>
                <w:spacing w:val="-4"/>
              </w:rPr>
              <w:t>prípade expozícií patriacich do</w:t>
            </w:r>
          </w:p>
          <w:p w14:paraId="18D54F10" w14:textId="77777777" w:rsidR="00513EEE" w:rsidRPr="004F01E9" w:rsidRDefault="00513EEE" w:rsidP="00513EEE">
            <w:pPr>
              <w:pStyle w:val="Text1"/>
              <w:ind w:left="0"/>
              <w:jc w:val="center"/>
              <w:rPr>
                <w:noProof/>
              </w:rPr>
            </w:pPr>
            <w:r w:rsidRPr="0059109E">
              <w:rPr>
                <w:noProof/>
                <w:spacing w:val="-4"/>
              </w:rPr>
              <w:t>triedy expozícií „expozícia voči podnikateľským subjektom</w:t>
            </w:r>
            <w:r w:rsidRPr="004F01E9">
              <w:rPr>
                <w:noProof/>
              </w:rPr>
              <w:t>“</w:t>
            </w:r>
          </w:p>
        </w:tc>
      </w:tr>
      <w:tr w:rsidR="00513EEE" w:rsidRPr="004F01E9" w14:paraId="34BD8502" w14:textId="77777777" w:rsidTr="00513EEE">
        <w:tc>
          <w:tcPr>
            <w:tcW w:w="4280" w:type="dxa"/>
            <w:vAlign w:val="center"/>
          </w:tcPr>
          <w:p w14:paraId="19C19CED" w14:textId="77777777" w:rsidR="00513EEE" w:rsidRPr="004F01E9" w:rsidRDefault="00513EEE" w:rsidP="00513EEE">
            <w:pPr>
              <w:pStyle w:val="Text1"/>
              <w:ind w:left="0"/>
              <w:jc w:val="center"/>
              <w:rPr>
                <w:noProof/>
              </w:rPr>
            </w:pPr>
            <w:r w:rsidRPr="004F01E9">
              <w:rPr>
                <w:noProof/>
              </w:rPr>
              <w:t>expozícia bez FCP (</w:t>
            </w:r>
            <w:r w:rsidRPr="004F01E9">
              <w:rPr>
                <w:i/>
                <w:noProof/>
              </w:rPr>
              <w:t>LGD</w:t>
            </w:r>
            <w:r w:rsidRPr="004F01E9">
              <w:rPr>
                <w:i/>
                <w:noProof/>
                <w:vertAlign w:val="subscript"/>
              </w:rPr>
              <w:t>U-floor</w:t>
            </w:r>
            <w:r w:rsidRPr="004F01E9">
              <w:rPr>
                <w:noProof/>
              </w:rPr>
              <w:t>)</w:t>
            </w:r>
          </w:p>
        </w:tc>
        <w:tc>
          <w:tcPr>
            <w:tcW w:w="4159" w:type="dxa"/>
            <w:gridSpan w:val="2"/>
            <w:vAlign w:val="center"/>
          </w:tcPr>
          <w:p w14:paraId="33ADFC87" w14:textId="77777777" w:rsidR="00513EEE" w:rsidRPr="004F01E9" w:rsidRDefault="00513EEE" w:rsidP="00513EEE">
            <w:pPr>
              <w:pStyle w:val="Text1"/>
              <w:ind w:left="0"/>
              <w:jc w:val="center"/>
              <w:rPr>
                <w:noProof/>
              </w:rPr>
            </w:pPr>
            <w:r w:rsidRPr="004F01E9">
              <w:rPr>
                <w:noProof/>
              </w:rPr>
              <w:t>expozícia plne zabezpečená FCP (</w:t>
            </w:r>
            <w:r w:rsidRPr="004F01E9">
              <w:rPr>
                <w:i/>
                <w:noProof/>
              </w:rPr>
              <w:t>LGD</w:t>
            </w:r>
            <w:r w:rsidRPr="004F01E9">
              <w:rPr>
                <w:i/>
                <w:noProof/>
                <w:vertAlign w:val="subscript"/>
              </w:rPr>
              <w:t>S-floor</w:t>
            </w:r>
            <w:r w:rsidRPr="004F01E9">
              <w:rPr>
                <w:noProof/>
              </w:rPr>
              <w:t>)</w:t>
            </w:r>
          </w:p>
        </w:tc>
      </w:tr>
      <w:tr w:rsidR="00513EEE" w:rsidRPr="004F01E9" w14:paraId="16669FF1" w14:textId="77777777" w:rsidTr="00513EEE">
        <w:tc>
          <w:tcPr>
            <w:tcW w:w="4280" w:type="dxa"/>
            <w:vMerge w:val="restart"/>
            <w:vAlign w:val="center"/>
          </w:tcPr>
          <w:p w14:paraId="65A47FE1" w14:textId="6C8E75F7" w:rsidR="00513EEE" w:rsidRPr="004F01E9" w:rsidRDefault="00513EEE" w:rsidP="00513EEE">
            <w:pPr>
              <w:pStyle w:val="Text1"/>
              <w:ind w:left="0"/>
              <w:jc w:val="center"/>
              <w:rPr>
                <w:noProof/>
              </w:rPr>
            </w:pPr>
            <w:r w:rsidRPr="004F01E9">
              <w:rPr>
                <w:noProof/>
              </w:rPr>
              <w:t>25</w:t>
            </w:r>
            <w:r w:rsidR="004F01E9">
              <w:rPr>
                <w:noProof/>
              </w:rPr>
              <w:t> %</w:t>
            </w:r>
          </w:p>
        </w:tc>
        <w:tc>
          <w:tcPr>
            <w:tcW w:w="2079" w:type="dxa"/>
            <w:vAlign w:val="center"/>
          </w:tcPr>
          <w:p w14:paraId="72CAD8FD" w14:textId="1A0BF3C2" w:rsidR="00513EEE" w:rsidRPr="004F01E9" w:rsidRDefault="00513EEE" w:rsidP="00513EEE">
            <w:pPr>
              <w:pStyle w:val="Text1"/>
              <w:ind w:left="0"/>
              <w:jc w:val="left"/>
              <w:rPr>
                <w:noProof/>
              </w:rPr>
            </w:pPr>
            <w:r w:rsidRPr="004F01E9">
              <w:rPr>
                <w:noProof/>
              </w:rPr>
              <w:t>finančný kolaterál</w:t>
            </w:r>
          </w:p>
        </w:tc>
        <w:tc>
          <w:tcPr>
            <w:tcW w:w="2080" w:type="dxa"/>
            <w:vAlign w:val="center"/>
          </w:tcPr>
          <w:p w14:paraId="6AF36495" w14:textId="1B9E3B6F" w:rsidR="00513EEE" w:rsidRPr="004F01E9" w:rsidRDefault="00513EEE" w:rsidP="00513EEE">
            <w:pPr>
              <w:pStyle w:val="Text1"/>
              <w:ind w:left="0"/>
              <w:jc w:val="center"/>
              <w:rPr>
                <w:noProof/>
              </w:rPr>
            </w:pPr>
            <w:r w:rsidRPr="004F01E9">
              <w:rPr>
                <w:noProof/>
              </w:rPr>
              <w:t>0</w:t>
            </w:r>
            <w:r w:rsidR="004F01E9">
              <w:rPr>
                <w:noProof/>
              </w:rPr>
              <w:t> %</w:t>
            </w:r>
          </w:p>
        </w:tc>
      </w:tr>
      <w:tr w:rsidR="00513EEE" w:rsidRPr="004F01E9" w14:paraId="01F1C5B7" w14:textId="77777777" w:rsidTr="00513EEE">
        <w:tc>
          <w:tcPr>
            <w:tcW w:w="4280" w:type="dxa"/>
            <w:vMerge/>
            <w:vAlign w:val="center"/>
          </w:tcPr>
          <w:p w14:paraId="7A12A51B" w14:textId="77777777" w:rsidR="00513EEE" w:rsidRPr="004F01E9" w:rsidRDefault="00513EEE" w:rsidP="00513EEE">
            <w:pPr>
              <w:pStyle w:val="Text1"/>
              <w:ind w:left="0"/>
              <w:jc w:val="center"/>
              <w:rPr>
                <w:noProof/>
              </w:rPr>
            </w:pPr>
          </w:p>
        </w:tc>
        <w:tc>
          <w:tcPr>
            <w:tcW w:w="2079" w:type="dxa"/>
            <w:vAlign w:val="center"/>
          </w:tcPr>
          <w:p w14:paraId="385504BB" w14:textId="77777777" w:rsidR="00513EEE" w:rsidRPr="004F01E9" w:rsidRDefault="00513EEE" w:rsidP="00513EEE">
            <w:pPr>
              <w:pStyle w:val="Text1"/>
              <w:ind w:left="0"/>
              <w:jc w:val="left"/>
              <w:rPr>
                <w:noProof/>
              </w:rPr>
            </w:pPr>
            <w:r w:rsidRPr="004F01E9">
              <w:rPr>
                <w:noProof/>
              </w:rPr>
              <w:t>pohľadávky</w:t>
            </w:r>
          </w:p>
        </w:tc>
        <w:tc>
          <w:tcPr>
            <w:tcW w:w="2080" w:type="dxa"/>
            <w:vAlign w:val="center"/>
          </w:tcPr>
          <w:p w14:paraId="30A34098" w14:textId="571CC88C" w:rsidR="00513EEE" w:rsidRPr="004F01E9" w:rsidRDefault="00513EEE" w:rsidP="00513EEE">
            <w:pPr>
              <w:pStyle w:val="Text1"/>
              <w:ind w:left="0"/>
              <w:jc w:val="center"/>
              <w:rPr>
                <w:noProof/>
              </w:rPr>
            </w:pPr>
            <w:r w:rsidRPr="004F01E9">
              <w:rPr>
                <w:noProof/>
              </w:rPr>
              <w:t>10</w:t>
            </w:r>
            <w:r w:rsidR="004F01E9">
              <w:rPr>
                <w:noProof/>
              </w:rPr>
              <w:t> %</w:t>
            </w:r>
          </w:p>
        </w:tc>
      </w:tr>
      <w:tr w:rsidR="00513EEE" w:rsidRPr="004F01E9" w14:paraId="29D97B8F" w14:textId="77777777" w:rsidTr="00513EEE">
        <w:tc>
          <w:tcPr>
            <w:tcW w:w="4280" w:type="dxa"/>
            <w:vMerge/>
            <w:vAlign w:val="center"/>
          </w:tcPr>
          <w:p w14:paraId="333A9D53" w14:textId="77777777" w:rsidR="00513EEE" w:rsidRPr="004F01E9" w:rsidRDefault="00513EEE" w:rsidP="00513EEE">
            <w:pPr>
              <w:pStyle w:val="Text1"/>
              <w:ind w:left="0"/>
              <w:jc w:val="center"/>
              <w:rPr>
                <w:noProof/>
              </w:rPr>
            </w:pPr>
          </w:p>
        </w:tc>
        <w:tc>
          <w:tcPr>
            <w:tcW w:w="2079" w:type="dxa"/>
            <w:vAlign w:val="center"/>
          </w:tcPr>
          <w:p w14:paraId="6AB25A8F" w14:textId="77777777" w:rsidR="00513EEE" w:rsidRPr="004F01E9" w:rsidRDefault="00513EEE" w:rsidP="00513EEE">
            <w:pPr>
              <w:pStyle w:val="Text1"/>
              <w:ind w:left="0"/>
              <w:jc w:val="left"/>
              <w:rPr>
                <w:noProof/>
              </w:rPr>
            </w:pPr>
            <w:r w:rsidRPr="004F01E9">
              <w:rPr>
                <w:noProof/>
              </w:rPr>
              <w:t>nehnuteľný majetok určený na bývanie alebo podnikanie</w:t>
            </w:r>
          </w:p>
        </w:tc>
        <w:tc>
          <w:tcPr>
            <w:tcW w:w="2080" w:type="dxa"/>
            <w:vAlign w:val="center"/>
          </w:tcPr>
          <w:p w14:paraId="574915E3" w14:textId="59728D77" w:rsidR="00513EEE" w:rsidRPr="004F01E9" w:rsidRDefault="00513EEE" w:rsidP="00513EEE">
            <w:pPr>
              <w:pStyle w:val="Text1"/>
              <w:ind w:left="0"/>
              <w:jc w:val="center"/>
              <w:rPr>
                <w:noProof/>
              </w:rPr>
            </w:pPr>
            <w:r w:rsidRPr="004F01E9">
              <w:rPr>
                <w:noProof/>
              </w:rPr>
              <w:t>10</w:t>
            </w:r>
            <w:r w:rsidR="004F01E9">
              <w:rPr>
                <w:noProof/>
              </w:rPr>
              <w:t> %</w:t>
            </w:r>
          </w:p>
        </w:tc>
      </w:tr>
      <w:tr w:rsidR="00513EEE" w:rsidRPr="004F01E9" w14:paraId="62738EED" w14:textId="77777777" w:rsidTr="00513EEE">
        <w:tc>
          <w:tcPr>
            <w:tcW w:w="4280" w:type="dxa"/>
            <w:vMerge/>
            <w:vAlign w:val="center"/>
          </w:tcPr>
          <w:p w14:paraId="1765EB7A" w14:textId="77777777" w:rsidR="00513EEE" w:rsidRPr="004F01E9" w:rsidRDefault="00513EEE" w:rsidP="00513EEE">
            <w:pPr>
              <w:pStyle w:val="Text1"/>
              <w:ind w:left="0"/>
              <w:jc w:val="center"/>
              <w:rPr>
                <w:noProof/>
              </w:rPr>
            </w:pPr>
          </w:p>
        </w:tc>
        <w:tc>
          <w:tcPr>
            <w:tcW w:w="2079" w:type="dxa"/>
            <w:vAlign w:val="center"/>
          </w:tcPr>
          <w:p w14:paraId="3C076895" w14:textId="77777777" w:rsidR="00513EEE" w:rsidRPr="004F01E9" w:rsidRDefault="00513EEE" w:rsidP="00513EEE">
            <w:pPr>
              <w:pStyle w:val="Text1"/>
              <w:ind w:left="0"/>
              <w:jc w:val="left"/>
              <w:rPr>
                <w:noProof/>
              </w:rPr>
            </w:pPr>
            <w:r w:rsidRPr="004F01E9">
              <w:rPr>
                <w:noProof/>
              </w:rPr>
              <w:t>iný nefinančný kolaterál</w:t>
            </w:r>
          </w:p>
        </w:tc>
        <w:tc>
          <w:tcPr>
            <w:tcW w:w="2080" w:type="dxa"/>
            <w:vAlign w:val="center"/>
          </w:tcPr>
          <w:p w14:paraId="0343FDFD" w14:textId="04F6582B" w:rsidR="00513EEE" w:rsidRPr="004F01E9" w:rsidRDefault="00513EEE" w:rsidP="00513EEE">
            <w:pPr>
              <w:pStyle w:val="Text1"/>
              <w:ind w:left="0"/>
              <w:jc w:val="center"/>
              <w:rPr>
                <w:noProof/>
              </w:rPr>
            </w:pPr>
            <w:r w:rsidRPr="004F01E9">
              <w:rPr>
                <w:noProof/>
              </w:rPr>
              <w:t>15</w:t>
            </w:r>
            <w:r w:rsidR="004F01E9">
              <w:rPr>
                <w:noProof/>
              </w:rPr>
              <w:t> %</w:t>
            </w:r>
          </w:p>
        </w:tc>
      </w:tr>
    </w:tbl>
    <w:p w14:paraId="063F06E6" w14:textId="77777777" w:rsidR="00513EEE" w:rsidRPr="004F01E9" w:rsidRDefault="00513EEE" w:rsidP="00513EEE">
      <w:pPr>
        <w:pStyle w:val="Text1"/>
        <w:rPr>
          <w:noProof/>
        </w:rPr>
      </w:pPr>
      <w:r w:rsidRPr="004F01E9">
        <w:rPr>
          <w:noProof/>
        </w:rPr>
        <w:t>;“;</w:t>
      </w:r>
    </w:p>
    <w:p w14:paraId="1D32F671" w14:textId="5E65240C" w:rsidR="00806B81" w:rsidRPr="004F01E9" w:rsidRDefault="00A667C8" w:rsidP="00A667C8">
      <w:pPr>
        <w:pStyle w:val="Point1"/>
        <w:rPr>
          <w:noProof/>
        </w:rPr>
      </w:pPr>
      <w:r w:rsidRPr="004F01E9">
        <w:rPr>
          <w:noProof/>
        </w:rPr>
        <w:t>c)</w:t>
      </w:r>
      <w:r w:rsidRPr="004F01E9">
        <w:rPr>
          <w:noProof/>
        </w:rPr>
        <w:tab/>
        <w:t>Dopĺňajú sa tieto odseky 5</w:t>
      </w:r>
      <w:r w:rsidR="004F01E9">
        <w:rPr>
          <w:noProof/>
        </w:rPr>
        <w:t xml:space="preserve"> a </w:t>
      </w:r>
      <w:r w:rsidRPr="004F01E9">
        <w:rPr>
          <w:noProof/>
        </w:rPr>
        <w:t>6:</w:t>
      </w:r>
    </w:p>
    <w:p w14:paraId="667362F2" w14:textId="43696CC8" w:rsidR="00513EEE" w:rsidRPr="004F01E9" w:rsidRDefault="00513EEE" w:rsidP="00513EEE">
      <w:pPr>
        <w:pStyle w:val="Text2"/>
        <w:rPr>
          <w:noProof/>
        </w:rPr>
      </w:pPr>
      <w:r w:rsidRPr="004F01E9">
        <w:rPr>
          <w:noProof/>
        </w:rPr>
        <w:t>„5. Na účely odseku 4 sa spodné hranice pre vstupné hodnoty LGD</w:t>
      </w:r>
      <w:r w:rsidR="004F01E9">
        <w:rPr>
          <w:noProof/>
        </w:rPr>
        <w:t xml:space="preserve"> v </w:t>
      </w:r>
      <w:r w:rsidRPr="004F01E9">
        <w:rPr>
          <w:noProof/>
        </w:rPr>
        <w:t>tabuľke 2a</w:t>
      </w:r>
      <w:r w:rsidR="004F01E9">
        <w:rPr>
          <w:noProof/>
        </w:rPr>
        <w:t xml:space="preserve"> v </w:t>
      </w:r>
      <w:r w:rsidRPr="004F01E9">
        <w:rPr>
          <w:noProof/>
        </w:rPr>
        <w:t>uvedenom odseku pre expozície plne zabezpečené FCP uplatňujú vtedy, keď je hodnota FCP po uplatnení príslušných úprav</w:t>
      </w:r>
      <w:r w:rsidR="004F01E9">
        <w:rPr>
          <w:noProof/>
        </w:rPr>
        <w:t xml:space="preserve"> z </w:t>
      </w:r>
      <w:r w:rsidRPr="004F01E9">
        <w:rPr>
          <w:noProof/>
        </w:rPr>
        <w:t xml:space="preserve">dôvodu volatility </w:t>
      </w:r>
      <w:r w:rsidRPr="004F01E9">
        <w:rPr>
          <w:i/>
          <w:noProof/>
        </w:rPr>
        <w:t>H</w:t>
      </w:r>
      <w:r w:rsidRPr="004F01E9">
        <w:rPr>
          <w:i/>
          <w:noProof/>
          <w:vertAlign w:val="subscript"/>
        </w:rPr>
        <w:t>c</w:t>
      </w:r>
      <w:r w:rsidR="004F01E9">
        <w:rPr>
          <w:noProof/>
        </w:rPr>
        <w:t xml:space="preserve"> a </w:t>
      </w:r>
      <w:r w:rsidRPr="004F01E9">
        <w:rPr>
          <w:i/>
          <w:noProof/>
        </w:rPr>
        <w:t>H</w:t>
      </w:r>
      <w:r w:rsidRPr="004F01E9">
        <w:rPr>
          <w:i/>
          <w:noProof/>
          <w:vertAlign w:val="subscript"/>
        </w:rPr>
        <w:t>fx</w:t>
      </w:r>
      <w:r w:rsidR="004F01E9">
        <w:rPr>
          <w:noProof/>
        </w:rPr>
        <w:t xml:space="preserve"> v </w:t>
      </w:r>
      <w:r w:rsidRPr="004F01E9">
        <w:rPr>
          <w:noProof/>
        </w:rPr>
        <w:t>súlade</w:t>
      </w:r>
      <w:r w:rsidR="004F01E9">
        <w:rPr>
          <w:noProof/>
        </w:rPr>
        <w:t xml:space="preserve"> s </w:t>
      </w:r>
      <w:r w:rsidRPr="004F01E9">
        <w:rPr>
          <w:noProof/>
        </w:rPr>
        <w:t>článkom 230 rovnaká alebo vyššia ako hodnota podkladovej expozície. Okrem toho sa uvedené hodnoty uplatňujú na FCP, ktoré sú prípustné podľa tejto kapitoly.</w:t>
      </w:r>
    </w:p>
    <w:p w14:paraId="4F1EBCCD" w14:textId="23733263" w:rsidR="00806B81" w:rsidRPr="004F01E9" w:rsidRDefault="00513EEE" w:rsidP="00513EEE">
      <w:pPr>
        <w:pStyle w:val="Text2"/>
        <w:rPr>
          <w:noProof/>
        </w:rPr>
      </w:pPr>
      <w:r w:rsidRPr="004F01E9">
        <w:rPr>
          <w:noProof/>
        </w:rPr>
        <w:t>Uplatniteľná spodná hranica pre vstupné hodnoty LGD (</w:t>
      </w:r>
      <w:r w:rsidRPr="004F01E9">
        <w:rPr>
          <w:i/>
          <w:noProof/>
        </w:rPr>
        <w:t>LGD</w:t>
      </w:r>
      <w:r w:rsidRPr="004F01E9">
        <w:rPr>
          <w:i/>
          <w:noProof/>
          <w:vertAlign w:val="subscript"/>
        </w:rPr>
        <w:t>spodná hranica</w:t>
      </w:r>
      <w:r w:rsidRPr="004F01E9">
        <w:rPr>
          <w:noProof/>
        </w:rPr>
        <w:t>) sa</w:t>
      </w:r>
      <w:r w:rsidR="004F01E9">
        <w:rPr>
          <w:noProof/>
        </w:rPr>
        <w:t xml:space="preserve"> v </w:t>
      </w:r>
      <w:r w:rsidRPr="004F01E9">
        <w:rPr>
          <w:noProof/>
        </w:rPr>
        <w:t xml:space="preserve">prípade expozície, ktorá je čiastočne zabezpečená FCP, vypočítava ako vážený priemer </w:t>
      </w:r>
      <w:r w:rsidRPr="004F01E9">
        <w:rPr>
          <w:i/>
          <w:noProof/>
        </w:rPr>
        <w:t>LGD</w:t>
      </w:r>
      <w:r w:rsidRPr="004F01E9">
        <w:rPr>
          <w:i/>
          <w:noProof/>
          <w:vertAlign w:val="subscript"/>
        </w:rPr>
        <w:t>U-floor</w:t>
      </w:r>
      <w:r w:rsidRPr="004F01E9">
        <w:rPr>
          <w:noProof/>
        </w:rPr>
        <w:t xml:space="preserve"> časti expozície bez FCP</w:t>
      </w:r>
      <w:r w:rsidR="004F01E9">
        <w:rPr>
          <w:noProof/>
        </w:rPr>
        <w:t xml:space="preserve"> a </w:t>
      </w:r>
      <w:r w:rsidRPr="004F01E9">
        <w:rPr>
          <w:i/>
          <w:noProof/>
        </w:rPr>
        <w:t>LGD</w:t>
      </w:r>
      <w:r w:rsidRPr="004F01E9">
        <w:rPr>
          <w:i/>
          <w:noProof/>
          <w:vertAlign w:val="subscript"/>
        </w:rPr>
        <w:t>S-floor</w:t>
      </w:r>
      <w:r w:rsidRPr="004F01E9">
        <w:rPr>
          <w:noProof/>
        </w:rPr>
        <w:t xml:space="preserve"> plne zabezpečenej časti,</w:t>
      </w:r>
      <w:r w:rsidR="004F01E9">
        <w:rPr>
          <w:noProof/>
        </w:rPr>
        <w:t xml:space="preserve"> a </w:t>
      </w:r>
      <w:r w:rsidRPr="004F01E9">
        <w:rPr>
          <w:noProof/>
        </w:rPr>
        <w:t>to takto:</w:t>
      </w:r>
    </w:p>
    <w:p w14:paraId="05580C3F" w14:textId="53CBDE5F" w:rsidR="00513EEE" w:rsidRPr="004F01E9" w:rsidRDefault="00EE12EE" w:rsidP="00513EEE">
      <w:pPr>
        <w:pStyle w:val="Text1"/>
        <w:rPr>
          <w:rFonts w:eastAsiaTheme="minorEastAsia"/>
          <w:noProof/>
        </w:rPr>
      </w:pPr>
      <m:oMathPara>
        <m:oMath>
          <m:sSub>
            <m:sSubPr>
              <m:ctrlPr>
                <w:rPr>
                  <w:rFonts w:ascii="Cambria Math" w:hAnsi="Cambria Math"/>
                  <w:i/>
                  <w:noProof/>
                </w:rPr>
              </m:ctrlPr>
            </m:sSubPr>
            <m:e>
              <m:r>
                <m:rPr>
                  <m:nor/>
                </m:rPr>
                <w:rPr>
                  <w:rFonts w:ascii="Cambria Math" w:hAnsi="Cambria Math"/>
                  <w:i/>
                  <w:noProof/>
                </w:rPr>
                <m:t>LGD</m:t>
              </m:r>
            </m:e>
            <m:sub>
              <m:r>
                <m:rPr>
                  <m:nor/>
                </m:rPr>
                <w:rPr>
                  <w:rFonts w:ascii="Cambria Math" w:hAnsi="Cambria Math"/>
                  <w:i/>
                  <w:noProof/>
                </w:rPr>
                <m:t>floor</m:t>
              </m:r>
            </m:sub>
          </m:sSub>
          <m:r>
            <w:rPr>
              <w:rFonts w:ascii="Cambria Math" w:eastAsiaTheme="minorEastAsia" w:hAnsi="Cambria Math"/>
              <w:noProof/>
            </w:rPr>
            <m:t>=</m:t>
          </m:r>
          <m:sSub>
            <m:sSubPr>
              <m:ctrlPr>
                <w:rPr>
                  <w:rFonts w:ascii="Cambria Math" w:eastAsiaTheme="minorEastAsia" w:hAnsi="Cambria Math"/>
                  <w:i/>
                  <w:noProof/>
                </w:rPr>
              </m:ctrlPr>
            </m:sSubPr>
            <m:e>
              <m:r>
                <m:rPr>
                  <m:nor/>
                </m:rPr>
                <w:rPr>
                  <w:rFonts w:ascii="Cambria Math" w:eastAsiaTheme="minorEastAsia" w:hAnsi="Cambria Math"/>
                  <w:i/>
                  <w:noProof/>
                </w:rPr>
                <m:t>LGD</m:t>
              </m:r>
            </m:e>
            <m:sub>
              <m:r>
                <m:rPr>
                  <m:nor/>
                </m:rPr>
                <w:rPr>
                  <w:rFonts w:ascii="Cambria Math" w:eastAsiaTheme="minorEastAsia" w:hAnsi="Cambria Math"/>
                  <w:i/>
                  <w:noProof/>
                </w:rPr>
                <m:t>U-floor</m:t>
              </m:r>
            </m:sub>
          </m:sSub>
          <m:r>
            <w:rPr>
              <w:rFonts w:ascii="Cambria Math" w:eastAsiaTheme="minorEastAsia" w:hAnsi="Cambria Math"/>
              <w:noProof/>
            </w:rPr>
            <m:t>⋅</m:t>
          </m:r>
          <m:f>
            <m:fPr>
              <m:ctrlPr>
                <w:rPr>
                  <w:rFonts w:ascii="Cambria Math" w:eastAsiaTheme="minorEastAsia" w:hAnsi="Cambria Math"/>
                  <w:i/>
                  <w:noProof/>
                </w:rPr>
              </m:ctrlPr>
            </m:fPr>
            <m:num>
              <m:sSub>
                <m:sSubPr>
                  <m:ctrlPr>
                    <w:rPr>
                      <w:rFonts w:ascii="Cambria Math" w:eastAsiaTheme="minorEastAsia" w:hAnsi="Cambria Math"/>
                      <w:i/>
                      <w:noProof/>
                    </w:rPr>
                  </m:ctrlPr>
                </m:sSubPr>
                <m:e>
                  <m:r>
                    <m:rPr>
                      <m:nor/>
                    </m:rPr>
                    <w:rPr>
                      <w:rFonts w:ascii="Cambria Math" w:eastAsiaTheme="minorEastAsia" w:hAnsi="Cambria Math"/>
                      <w:i/>
                      <w:noProof/>
                    </w:rPr>
                    <m:t>E</m:t>
                  </m:r>
                </m:e>
                <m:sub>
                  <m:r>
                    <m:rPr>
                      <m:nor/>
                    </m:rPr>
                    <w:rPr>
                      <w:rFonts w:ascii="Cambria Math" w:eastAsiaTheme="minorEastAsia" w:hAnsi="Cambria Math"/>
                      <w:i/>
                      <w:noProof/>
                    </w:rPr>
                    <m:t>U</m:t>
                  </m:r>
                </m:sub>
              </m:sSub>
            </m:num>
            <m:den>
              <m:r>
                <m:rPr>
                  <m:nor/>
                </m:rPr>
                <w:rPr>
                  <w:rFonts w:ascii="Cambria Math" w:eastAsiaTheme="minorEastAsia" w:hAnsi="Cambria Math"/>
                  <w:noProof/>
                </w:rPr>
                <m:t>E</m:t>
              </m:r>
              <m:r>
                <w:rPr>
                  <w:rFonts w:ascii="Cambria Math" w:eastAsiaTheme="minorEastAsia" w:hAnsi="Cambria Math"/>
                  <w:noProof/>
                </w:rPr>
                <m:t>⋅</m:t>
              </m:r>
              <m:d>
                <m:dPr>
                  <m:ctrlPr>
                    <w:rPr>
                      <w:rFonts w:ascii="Cambria Math" w:eastAsiaTheme="minorEastAsia" w:hAnsi="Cambria Math"/>
                      <w:i/>
                      <w:noProof/>
                    </w:rPr>
                  </m:ctrlPr>
                </m:dPr>
                <m:e>
                  <m:r>
                    <w:rPr>
                      <w:rFonts w:ascii="Cambria Math" w:eastAsiaTheme="minorEastAsia" w:hAnsi="Cambria Math"/>
                      <w:noProof/>
                    </w:rPr>
                    <m:t>1+</m:t>
                  </m:r>
                  <m:sSub>
                    <m:sSubPr>
                      <m:ctrlPr>
                        <w:rPr>
                          <w:rFonts w:ascii="Cambria Math" w:eastAsiaTheme="minorEastAsia" w:hAnsi="Cambria Math"/>
                          <w:i/>
                          <w:noProof/>
                        </w:rPr>
                      </m:ctrlPr>
                    </m:sSubPr>
                    <m:e>
                      <m:r>
                        <m:rPr>
                          <m:nor/>
                        </m:rPr>
                        <w:rPr>
                          <w:rFonts w:ascii="Cambria Math" w:eastAsiaTheme="minorEastAsia" w:hAnsi="Cambria Math"/>
                          <w:i/>
                          <w:noProof/>
                        </w:rPr>
                        <m:t>H</m:t>
                      </m:r>
                    </m:e>
                    <m:sub>
                      <m:r>
                        <m:rPr>
                          <m:nor/>
                        </m:rPr>
                        <w:rPr>
                          <w:rFonts w:ascii="Cambria Math" w:eastAsiaTheme="minorEastAsia" w:hAnsi="Cambria Math"/>
                          <w:i/>
                          <w:noProof/>
                        </w:rPr>
                        <m:t>E</m:t>
                      </m:r>
                    </m:sub>
                  </m:sSub>
                </m:e>
              </m:d>
            </m:den>
          </m:f>
          <m:r>
            <w:rPr>
              <w:rFonts w:ascii="Cambria Math" w:eastAsiaTheme="minorEastAsia" w:hAnsi="Cambria Math"/>
              <w:noProof/>
            </w:rPr>
            <m:t>+</m:t>
          </m:r>
          <m:sSub>
            <m:sSubPr>
              <m:ctrlPr>
                <w:rPr>
                  <w:rFonts w:ascii="Cambria Math" w:eastAsiaTheme="minorEastAsia" w:hAnsi="Cambria Math"/>
                  <w:i/>
                  <w:noProof/>
                </w:rPr>
              </m:ctrlPr>
            </m:sSubPr>
            <m:e>
              <m:r>
                <m:rPr>
                  <m:nor/>
                </m:rPr>
                <w:rPr>
                  <w:rFonts w:ascii="Cambria Math" w:eastAsiaTheme="minorEastAsia" w:hAnsi="Cambria Math"/>
                  <w:i/>
                  <w:noProof/>
                </w:rPr>
                <m:t>LGD</m:t>
              </m:r>
            </m:e>
            <m:sub>
              <m:r>
                <m:rPr>
                  <m:nor/>
                </m:rPr>
                <w:rPr>
                  <w:rFonts w:ascii="Cambria Math" w:eastAsiaTheme="minorEastAsia" w:hAnsi="Cambria Math"/>
                  <w:i/>
                  <w:noProof/>
                </w:rPr>
                <m:t>S-floor</m:t>
              </m:r>
            </m:sub>
          </m:sSub>
          <m:r>
            <w:rPr>
              <w:rFonts w:ascii="Cambria Math" w:eastAsiaTheme="minorEastAsia" w:hAnsi="Cambria Math"/>
              <w:noProof/>
            </w:rPr>
            <m:t>⋅</m:t>
          </m:r>
          <m:f>
            <m:fPr>
              <m:ctrlPr>
                <w:rPr>
                  <w:rFonts w:ascii="Cambria Math" w:eastAsiaTheme="minorEastAsia" w:hAnsi="Cambria Math"/>
                  <w:i/>
                  <w:noProof/>
                </w:rPr>
              </m:ctrlPr>
            </m:fPr>
            <m:num>
              <m:sSub>
                <m:sSubPr>
                  <m:ctrlPr>
                    <w:rPr>
                      <w:rFonts w:ascii="Cambria Math" w:eastAsiaTheme="minorEastAsia" w:hAnsi="Cambria Math"/>
                      <w:i/>
                      <w:noProof/>
                    </w:rPr>
                  </m:ctrlPr>
                </m:sSubPr>
                <m:e>
                  <m:r>
                    <m:rPr>
                      <m:nor/>
                    </m:rPr>
                    <w:rPr>
                      <w:rFonts w:ascii="Cambria Math" w:eastAsiaTheme="minorEastAsia" w:hAnsi="Cambria Math"/>
                      <w:i/>
                      <w:noProof/>
                    </w:rPr>
                    <m:t>E</m:t>
                  </m:r>
                </m:e>
                <m:sub>
                  <m:r>
                    <m:rPr>
                      <m:nor/>
                    </m:rPr>
                    <w:rPr>
                      <w:rFonts w:ascii="Cambria Math" w:eastAsiaTheme="minorEastAsia" w:hAnsi="Cambria Math"/>
                      <w:i/>
                      <w:noProof/>
                    </w:rPr>
                    <m:t>S</m:t>
                  </m:r>
                </m:sub>
              </m:sSub>
            </m:num>
            <m:den>
              <m:r>
                <m:rPr>
                  <m:nor/>
                </m:rPr>
                <w:rPr>
                  <w:rFonts w:ascii="Cambria Math" w:eastAsiaTheme="minorEastAsia" w:hAnsi="Cambria Math"/>
                  <w:noProof/>
                </w:rPr>
                <m:t>E</m:t>
              </m:r>
              <m:r>
                <w:rPr>
                  <w:rFonts w:ascii="Cambria Math" w:eastAsiaTheme="minorEastAsia" w:hAnsi="Cambria Math"/>
                  <w:noProof/>
                </w:rPr>
                <m:t>⋅</m:t>
              </m:r>
              <m:d>
                <m:dPr>
                  <m:ctrlPr>
                    <w:rPr>
                      <w:rFonts w:ascii="Cambria Math" w:eastAsiaTheme="minorEastAsia" w:hAnsi="Cambria Math"/>
                      <w:i/>
                      <w:noProof/>
                    </w:rPr>
                  </m:ctrlPr>
                </m:dPr>
                <m:e>
                  <m:r>
                    <w:rPr>
                      <w:rFonts w:ascii="Cambria Math" w:eastAsiaTheme="minorEastAsia" w:hAnsi="Cambria Math"/>
                      <w:noProof/>
                    </w:rPr>
                    <m:t>1+</m:t>
                  </m:r>
                  <m:sSub>
                    <m:sSubPr>
                      <m:ctrlPr>
                        <w:rPr>
                          <w:rFonts w:ascii="Cambria Math" w:eastAsiaTheme="minorEastAsia" w:hAnsi="Cambria Math"/>
                          <w:i/>
                          <w:noProof/>
                        </w:rPr>
                      </m:ctrlPr>
                    </m:sSubPr>
                    <m:e>
                      <m:r>
                        <m:rPr>
                          <m:nor/>
                        </m:rPr>
                        <w:rPr>
                          <w:rFonts w:ascii="Cambria Math" w:eastAsiaTheme="minorEastAsia" w:hAnsi="Cambria Math"/>
                          <w:i/>
                          <w:noProof/>
                        </w:rPr>
                        <m:t>H</m:t>
                      </m:r>
                    </m:e>
                    <m:sub>
                      <m:r>
                        <m:rPr>
                          <m:nor/>
                        </m:rPr>
                        <w:rPr>
                          <w:rFonts w:ascii="Cambria Math" w:eastAsiaTheme="minorEastAsia" w:hAnsi="Cambria Math"/>
                          <w:i/>
                          <w:noProof/>
                        </w:rPr>
                        <m:t>E</m:t>
                      </m:r>
                    </m:sub>
                  </m:sSub>
                </m:e>
              </m:d>
            </m:den>
          </m:f>
        </m:oMath>
      </m:oMathPara>
    </w:p>
    <w:p w14:paraId="1DDA6FE1" w14:textId="77777777" w:rsidR="00513EEE" w:rsidRPr="004F01E9" w:rsidRDefault="00513EEE" w:rsidP="00513EEE">
      <w:pPr>
        <w:pStyle w:val="Text2"/>
        <w:rPr>
          <w:noProof/>
        </w:rPr>
      </w:pPr>
      <w:r w:rsidRPr="004F01E9">
        <w:rPr>
          <w:noProof/>
        </w:rPr>
        <w:t>kde:</w:t>
      </w:r>
    </w:p>
    <w:p w14:paraId="6002DDE8" w14:textId="3CE4644A" w:rsidR="00513EEE" w:rsidRPr="0059109E" w:rsidRDefault="00513EEE" w:rsidP="00513EEE">
      <w:pPr>
        <w:pStyle w:val="Text2"/>
        <w:rPr>
          <w:noProof/>
          <w:spacing w:val="-4"/>
        </w:rPr>
      </w:pPr>
      <w:r w:rsidRPr="0059109E">
        <w:rPr>
          <w:i/>
          <w:noProof/>
          <w:spacing w:val="-4"/>
        </w:rPr>
        <w:t>LGD</w:t>
      </w:r>
      <w:r w:rsidRPr="0059109E">
        <w:rPr>
          <w:i/>
          <w:noProof/>
          <w:spacing w:val="-4"/>
          <w:vertAlign w:val="subscript"/>
        </w:rPr>
        <w:t>U-floor</w:t>
      </w:r>
      <w:r w:rsidR="004F01E9" w:rsidRPr="0059109E">
        <w:rPr>
          <w:noProof/>
          <w:spacing w:val="-4"/>
        </w:rPr>
        <w:t xml:space="preserve"> a </w:t>
      </w:r>
      <w:r w:rsidRPr="0059109E">
        <w:rPr>
          <w:i/>
          <w:noProof/>
          <w:spacing w:val="-4"/>
        </w:rPr>
        <w:t>LGD</w:t>
      </w:r>
      <w:r w:rsidRPr="0059109E">
        <w:rPr>
          <w:i/>
          <w:noProof/>
          <w:spacing w:val="-4"/>
          <w:vertAlign w:val="subscript"/>
        </w:rPr>
        <w:t>S-floor</w:t>
      </w:r>
      <w:r w:rsidRPr="0059109E">
        <w:rPr>
          <w:noProof/>
          <w:spacing w:val="-4"/>
        </w:rPr>
        <w:t xml:space="preserve"> sú príslušné hodnoty spodných hraníc uvedené</w:t>
      </w:r>
      <w:r w:rsidR="004F01E9" w:rsidRPr="0059109E">
        <w:rPr>
          <w:noProof/>
          <w:spacing w:val="-4"/>
        </w:rPr>
        <w:t xml:space="preserve"> v </w:t>
      </w:r>
      <w:r w:rsidRPr="0059109E">
        <w:rPr>
          <w:noProof/>
          <w:spacing w:val="-4"/>
        </w:rPr>
        <w:t>tabuľke 1;</w:t>
      </w:r>
    </w:p>
    <w:p w14:paraId="66395663" w14:textId="0711DC5E" w:rsidR="00806B81" w:rsidRPr="004F01E9" w:rsidRDefault="00513EEE" w:rsidP="00513EEE">
      <w:pPr>
        <w:pStyle w:val="Text2"/>
        <w:rPr>
          <w:noProof/>
        </w:rPr>
      </w:pPr>
      <w:r w:rsidRPr="004F01E9">
        <w:rPr>
          <w:i/>
          <w:noProof/>
        </w:rPr>
        <w:t>E</w:t>
      </w:r>
      <w:r w:rsidRPr="004F01E9">
        <w:rPr>
          <w:noProof/>
        </w:rPr>
        <w:t xml:space="preserve">, </w:t>
      </w:r>
      <w:r w:rsidRPr="004F01E9">
        <w:rPr>
          <w:i/>
          <w:noProof/>
        </w:rPr>
        <w:t>E</w:t>
      </w:r>
      <w:r w:rsidRPr="004F01E9">
        <w:rPr>
          <w:i/>
          <w:noProof/>
          <w:vertAlign w:val="subscript"/>
        </w:rPr>
        <w:t>S</w:t>
      </w:r>
      <w:r w:rsidRPr="004F01E9">
        <w:rPr>
          <w:noProof/>
        </w:rPr>
        <w:t xml:space="preserve">, </w:t>
      </w:r>
      <w:r w:rsidRPr="004F01E9">
        <w:rPr>
          <w:i/>
          <w:noProof/>
        </w:rPr>
        <w:t>E</w:t>
      </w:r>
      <w:r w:rsidRPr="004F01E9">
        <w:rPr>
          <w:i/>
          <w:noProof/>
          <w:vertAlign w:val="subscript"/>
        </w:rPr>
        <w:t>U</w:t>
      </w:r>
      <w:r w:rsidR="004F01E9">
        <w:rPr>
          <w:noProof/>
        </w:rPr>
        <w:t xml:space="preserve"> a </w:t>
      </w:r>
      <w:r w:rsidRPr="004F01E9">
        <w:rPr>
          <w:i/>
          <w:noProof/>
        </w:rPr>
        <w:t>H</w:t>
      </w:r>
      <w:r w:rsidRPr="004F01E9">
        <w:rPr>
          <w:i/>
          <w:noProof/>
          <w:vertAlign w:val="subscript"/>
        </w:rPr>
        <w:t>E</w:t>
      </w:r>
      <w:r w:rsidRPr="004F01E9">
        <w:rPr>
          <w:noProof/>
        </w:rPr>
        <w:t xml:space="preserve"> sa určujú tak, ako sa uvádza</w:t>
      </w:r>
      <w:r w:rsidR="004F01E9">
        <w:rPr>
          <w:noProof/>
        </w:rPr>
        <w:t xml:space="preserve"> v </w:t>
      </w:r>
      <w:r w:rsidRPr="004F01E9">
        <w:rPr>
          <w:noProof/>
        </w:rPr>
        <w:t>článku 230.</w:t>
      </w:r>
    </w:p>
    <w:p w14:paraId="72CC78CE" w14:textId="50EAACFB" w:rsidR="00513EEE" w:rsidRPr="004F01E9" w:rsidRDefault="00513EEE" w:rsidP="00513EEE">
      <w:pPr>
        <w:pStyle w:val="Text2"/>
        <w:rPr>
          <w:noProof/>
        </w:rPr>
      </w:pPr>
      <w:r w:rsidRPr="004F01E9">
        <w:rPr>
          <w:noProof/>
        </w:rPr>
        <w:t>6. Ak inštitúcia, ktorá používa pre určitý druh nezabezpečených expozícií voči podnikateľským subjektom vlastné odhady LGD, nie je schopná vo vlastných odhadoch LGD zohľadniť účinok FCP, ktorým je zabezpečená jedna</w:t>
      </w:r>
      <w:r w:rsidR="004F01E9">
        <w:rPr>
          <w:noProof/>
        </w:rPr>
        <w:t xml:space="preserve"> z </w:t>
      </w:r>
      <w:r w:rsidRPr="004F01E9">
        <w:rPr>
          <w:noProof/>
        </w:rPr>
        <w:t>expozícií tohto druhu expozícií, inštitúcii sa povoľuje uplatňovať vzorec stanovený</w:t>
      </w:r>
      <w:r w:rsidR="004F01E9">
        <w:rPr>
          <w:noProof/>
        </w:rPr>
        <w:t xml:space="preserve"> v </w:t>
      </w:r>
      <w:r w:rsidRPr="004F01E9">
        <w:rPr>
          <w:noProof/>
        </w:rPr>
        <w:t>článku 230</w:t>
      </w:r>
      <w:r w:rsidR="004F01E9">
        <w:rPr>
          <w:noProof/>
        </w:rPr>
        <w:t xml:space="preserve"> s </w:t>
      </w:r>
      <w:r w:rsidRPr="004F01E9">
        <w:rPr>
          <w:noProof/>
        </w:rPr>
        <w:t xml:space="preserve">tým rozdielom, že veličinou </w:t>
      </w:r>
      <w:r w:rsidRPr="004F01E9">
        <w:rPr>
          <w:i/>
          <w:noProof/>
        </w:rPr>
        <w:t>LGD</w:t>
      </w:r>
      <w:r w:rsidRPr="004F01E9">
        <w:rPr>
          <w:i/>
          <w:noProof/>
          <w:vertAlign w:val="subscript"/>
        </w:rPr>
        <w:t>U</w:t>
      </w:r>
      <w:r w:rsidR="004F01E9">
        <w:rPr>
          <w:noProof/>
        </w:rPr>
        <w:t xml:space="preserve"> v </w:t>
      </w:r>
      <w:r w:rsidRPr="004F01E9">
        <w:rPr>
          <w:noProof/>
        </w:rPr>
        <w:t>uvedenom vzorci je vlastný odhad LGD inštitúcie.</w:t>
      </w:r>
      <w:r w:rsidR="004F01E9">
        <w:rPr>
          <w:noProof/>
        </w:rPr>
        <w:t xml:space="preserve"> V </w:t>
      </w:r>
      <w:r w:rsidRPr="004F01E9">
        <w:rPr>
          <w:noProof/>
        </w:rPr>
        <w:t>takom prípade je FCP prípustné</w:t>
      </w:r>
      <w:r w:rsidR="004F01E9">
        <w:rPr>
          <w:noProof/>
        </w:rPr>
        <w:t xml:space="preserve"> v </w:t>
      </w:r>
      <w:r w:rsidRPr="004F01E9">
        <w:rPr>
          <w:noProof/>
        </w:rPr>
        <w:t>súlade</w:t>
      </w:r>
      <w:r w:rsidR="004F01E9">
        <w:rPr>
          <w:noProof/>
        </w:rPr>
        <w:t xml:space="preserve"> s </w:t>
      </w:r>
      <w:r w:rsidRPr="004F01E9">
        <w:rPr>
          <w:noProof/>
        </w:rPr>
        <w:t>kapitolou 4</w:t>
      </w:r>
      <w:r w:rsidR="004F01E9">
        <w:rPr>
          <w:noProof/>
        </w:rPr>
        <w:t xml:space="preserve"> a </w:t>
      </w:r>
      <w:r w:rsidRPr="004F01E9">
        <w:rPr>
          <w:noProof/>
        </w:rPr>
        <w:t xml:space="preserve">vlastný odhad LGD inštitúcie použitý ako veličina </w:t>
      </w:r>
      <w:r w:rsidRPr="004F01E9">
        <w:rPr>
          <w:i/>
          <w:noProof/>
        </w:rPr>
        <w:t>LGD</w:t>
      </w:r>
      <w:r w:rsidRPr="004F01E9">
        <w:rPr>
          <w:i/>
          <w:noProof/>
          <w:vertAlign w:val="subscript"/>
        </w:rPr>
        <w:t>U</w:t>
      </w:r>
      <w:r w:rsidRPr="004F01E9">
        <w:rPr>
          <w:noProof/>
        </w:rPr>
        <w:t xml:space="preserve"> sa vypočítava na základe podkladových údajov</w:t>
      </w:r>
      <w:r w:rsidR="004F01E9">
        <w:rPr>
          <w:noProof/>
        </w:rPr>
        <w:t xml:space="preserve"> o </w:t>
      </w:r>
      <w:r w:rsidRPr="004F01E9">
        <w:rPr>
          <w:noProof/>
        </w:rPr>
        <w:t>stratách bez akýchkoľvek realizovaných náhrad vyplývajúcich</w:t>
      </w:r>
      <w:r w:rsidR="004F01E9">
        <w:rPr>
          <w:noProof/>
        </w:rPr>
        <w:t xml:space="preserve"> z </w:t>
      </w:r>
      <w:r w:rsidRPr="004F01E9">
        <w:rPr>
          <w:noProof/>
        </w:rPr>
        <w:t>uvedeného FCP.“</w:t>
      </w:r>
    </w:p>
    <w:p w14:paraId="160EDC05" w14:textId="6EACA6D3" w:rsidR="00806B81" w:rsidRPr="004F01E9" w:rsidRDefault="00B16452" w:rsidP="00B16452">
      <w:pPr>
        <w:pStyle w:val="Point0"/>
        <w:rPr>
          <w:noProof/>
        </w:rPr>
      </w:pPr>
      <w:r w:rsidRPr="00B16452">
        <w:rPr>
          <w:noProof/>
        </w:rPr>
        <w:t>75</w:t>
      </w:r>
      <w:r>
        <w:rPr>
          <w:noProof/>
        </w:rPr>
        <w:t>.</w:t>
      </w:r>
      <w:r w:rsidRPr="00B16452">
        <w:rPr>
          <w:noProof/>
        </w:rPr>
        <w:tab/>
      </w:r>
      <w:r w:rsidR="00513EEE" w:rsidRPr="004F01E9">
        <w:rPr>
          <w:noProof/>
        </w:rPr>
        <w:t>Článok 162 sa mení takto:</w:t>
      </w:r>
    </w:p>
    <w:p w14:paraId="1B3D97C3" w14:textId="31130144" w:rsidR="00513EEE" w:rsidRPr="004F01E9" w:rsidRDefault="000D50D4" w:rsidP="000D50D4">
      <w:pPr>
        <w:pStyle w:val="Point1"/>
        <w:rPr>
          <w:noProof/>
        </w:rPr>
      </w:pPr>
      <w:r w:rsidRPr="004F01E9">
        <w:rPr>
          <w:noProof/>
        </w:rPr>
        <w:t>a)</w:t>
      </w:r>
      <w:r w:rsidRPr="004F01E9">
        <w:rPr>
          <w:noProof/>
        </w:rPr>
        <w:tab/>
        <w:t>Odsek 1 sa nahrádza takto:</w:t>
      </w:r>
    </w:p>
    <w:p w14:paraId="24F3DF38" w14:textId="4762F484" w:rsidR="00513EEE" w:rsidRPr="004F01E9" w:rsidRDefault="00513EEE" w:rsidP="00513EEE">
      <w:pPr>
        <w:pStyle w:val="Text2"/>
        <w:rPr>
          <w:noProof/>
        </w:rPr>
      </w:pPr>
      <w:r w:rsidRPr="004F01E9">
        <w:rPr>
          <w:noProof/>
        </w:rPr>
        <w:t>„1.</w:t>
      </w:r>
      <w:r w:rsidR="004F01E9">
        <w:rPr>
          <w:noProof/>
        </w:rPr>
        <w:t xml:space="preserve"> V </w:t>
      </w:r>
      <w:r w:rsidRPr="004F01E9">
        <w:rPr>
          <w:noProof/>
        </w:rPr>
        <w:t>prípade expozícií, pre ktoré inštitúcia nezískala povolenie príslušného orgánu používať vlastné odhady LGD, je hodnota splatnosti (M) 2,5 roka okrem expozícií vyplývajúcich</w:t>
      </w:r>
      <w:r w:rsidR="004F01E9">
        <w:rPr>
          <w:noProof/>
        </w:rPr>
        <w:t xml:space="preserve"> z </w:t>
      </w:r>
      <w:r w:rsidRPr="004F01E9">
        <w:rPr>
          <w:noProof/>
        </w:rPr>
        <w:t>transakcií financovania prostredníctvom cenných papierov,</w:t>
      </w:r>
      <w:r w:rsidR="004F01E9">
        <w:rPr>
          <w:noProof/>
        </w:rPr>
        <w:t xml:space="preserve"> v </w:t>
      </w:r>
      <w:r w:rsidRPr="004F01E9">
        <w:rPr>
          <w:noProof/>
        </w:rPr>
        <w:t>prípade ktorých M zodpovedá 0,5 roka.</w:t>
      </w:r>
    </w:p>
    <w:p w14:paraId="3AC736D8" w14:textId="7FB6022D" w:rsidR="00513EEE" w:rsidRPr="0059109E" w:rsidRDefault="00513EEE" w:rsidP="00513EEE">
      <w:pPr>
        <w:pStyle w:val="Text2"/>
        <w:rPr>
          <w:noProof/>
          <w:spacing w:val="-4"/>
        </w:rPr>
      </w:pPr>
      <w:r w:rsidRPr="0059109E">
        <w:rPr>
          <w:noProof/>
          <w:spacing w:val="-4"/>
        </w:rPr>
        <w:t>Alternatívne môžu príslušné orgány ako súčasť povolenia uvedeného</w:t>
      </w:r>
      <w:r w:rsidR="004F01E9" w:rsidRPr="0059109E">
        <w:rPr>
          <w:noProof/>
          <w:spacing w:val="-4"/>
        </w:rPr>
        <w:t xml:space="preserve"> v </w:t>
      </w:r>
      <w:r w:rsidRPr="0059109E">
        <w:rPr>
          <w:noProof/>
          <w:spacing w:val="-4"/>
        </w:rPr>
        <w:t>článku 143 rozhodnúť</w:t>
      </w:r>
      <w:r w:rsidR="004F01E9" w:rsidRPr="0059109E">
        <w:rPr>
          <w:noProof/>
          <w:spacing w:val="-4"/>
        </w:rPr>
        <w:t xml:space="preserve"> o </w:t>
      </w:r>
      <w:r w:rsidRPr="0059109E">
        <w:rPr>
          <w:noProof/>
          <w:spacing w:val="-4"/>
        </w:rPr>
        <w:t>tom, či inštitúcia použije hodnotu splatnosti M stanovenú</w:t>
      </w:r>
      <w:r w:rsidR="004F01E9" w:rsidRPr="0059109E">
        <w:rPr>
          <w:noProof/>
          <w:spacing w:val="-4"/>
        </w:rPr>
        <w:t xml:space="preserve"> v </w:t>
      </w:r>
      <w:r w:rsidRPr="0059109E">
        <w:rPr>
          <w:noProof/>
          <w:spacing w:val="-4"/>
        </w:rPr>
        <w:t>odseku 2 pre všetky uvedené expozície alebo pre podsúbor uvedených expozícií.“;</w:t>
      </w:r>
    </w:p>
    <w:p w14:paraId="078FCB99" w14:textId="4B7CD990" w:rsidR="00513EEE" w:rsidRPr="004F01E9" w:rsidRDefault="000D50D4" w:rsidP="000D50D4">
      <w:pPr>
        <w:pStyle w:val="Point1"/>
        <w:rPr>
          <w:noProof/>
        </w:rPr>
      </w:pPr>
      <w:r w:rsidRPr="004F01E9">
        <w:rPr>
          <w:noProof/>
        </w:rPr>
        <w:t>b)</w:t>
      </w:r>
      <w:r w:rsidRPr="004F01E9">
        <w:rPr>
          <w:noProof/>
        </w:rPr>
        <w:tab/>
        <w:t>Odsek 2 sa mení takto:</w:t>
      </w:r>
    </w:p>
    <w:p w14:paraId="328258DE" w14:textId="77777777" w:rsidR="00513EEE" w:rsidRPr="004F01E9" w:rsidRDefault="00513EEE" w:rsidP="00513EEE">
      <w:pPr>
        <w:pStyle w:val="Point2"/>
        <w:rPr>
          <w:noProof/>
        </w:rPr>
      </w:pPr>
      <w:r w:rsidRPr="004F01E9">
        <w:rPr>
          <w:noProof/>
        </w:rPr>
        <w:t>i)</w:t>
      </w:r>
      <w:r w:rsidRPr="004F01E9">
        <w:rPr>
          <w:noProof/>
        </w:rPr>
        <w:tab/>
        <w:t>V odseku 2 sa úvodná veta nahrádza takto:</w:t>
      </w:r>
    </w:p>
    <w:p w14:paraId="4D97FD89" w14:textId="1A85D99C" w:rsidR="00513EEE" w:rsidRPr="004F01E9" w:rsidRDefault="00513EEE" w:rsidP="00513EEE">
      <w:pPr>
        <w:pStyle w:val="Text3"/>
        <w:rPr>
          <w:noProof/>
        </w:rPr>
      </w:pPr>
      <w:r w:rsidRPr="004F01E9">
        <w:rPr>
          <w:noProof/>
        </w:rPr>
        <w:t>„V prípade expozícií, pri ktorých inštitúcia uplatňuje vlastné odhady LGD, sa hodnota splatnosti („M“) vypočítava pomocou časových období vyjadrených</w:t>
      </w:r>
      <w:r w:rsidR="004F01E9">
        <w:rPr>
          <w:noProof/>
        </w:rPr>
        <w:t xml:space="preserve"> v </w:t>
      </w:r>
      <w:r w:rsidRPr="004F01E9">
        <w:rPr>
          <w:noProof/>
        </w:rPr>
        <w:t>rokoch, ako sú stanovené</w:t>
      </w:r>
      <w:r w:rsidR="004F01E9">
        <w:rPr>
          <w:noProof/>
        </w:rPr>
        <w:t xml:space="preserve"> v </w:t>
      </w:r>
      <w:r w:rsidRPr="004F01E9">
        <w:rPr>
          <w:noProof/>
        </w:rPr>
        <w:t>tomto odseku,</w:t>
      </w:r>
      <w:r w:rsidR="004F01E9">
        <w:rPr>
          <w:noProof/>
        </w:rPr>
        <w:t xml:space="preserve"> a s </w:t>
      </w:r>
      <w:r w:rsidRPr="004F01E9">
        <w:rPr>
          <w:noProof/>
        </w:rPr>
        <w:t>výhradou odsekov 3 až 5 tohto článku. Hodnota M je najviac päť rokov okrem prípadov uvedených</w:t>
      </w:r>
      <w:r w:rsidR="004F01E9">
        <w:rPr>
          <w:noProof/>
        </w:rPr>
        <w:t xml:space="preserve"> v </w:t>
      </w:r>
      <w:r w:rsidRPr="004F01E9">
        <w:rPr>
          <w:noProof/>
        </w:rPr>
        <w:t>článku 384 ods. 1,</w:t>
      </w:r>
      <w:r w:rsidR="004F01E9">
        <w:rPr>
          <w:noProof/>
        </w:rPr>
        <w:t xml:space="preserve"> v </w:t>
      </w:r>
      <w:r w:rsidRPr="004F01E9">
        <w:rPr>
          <w:noProof/>
        </w:rPr>
        <w:t>ktorých sa používa M tam uvedené. Hodnota M sa vypočítava takto</w:t>
      </w:r>
      <w:r w:rsidR="004F01E9">
        <w:rPr>
          <w:noProof/>
        </w:rPr>
        <w:t xml:space="preserve"> v </w:t>
      </w:r>
      <w:r w:rsidRPr="004F01E9">
        <w:rPr>
          <w:noProof/>
        </w:rPr>
        <w:t>každom</w:t>
      </w:r>
      <w:r w:rsidR="004F01E9">
        <w:rPr>
          <w:noProof/>
        </w:rPr>
        <w:t xml:space="preserve"> z </w:t>
      </w:r>
      <w:r w:rsidRPr="004F01E9">
        <w:rPr>
          <w:noProof/>
        </w:rPr>
        <w:t>týchto prípadov:“;</w:t>
      </w:r>
    </w:p>
    <w:p w14:paraId="5AE65625" w14:textId="5DBCE51D" w:rsidR="00513EEE" w:rsidRPr="004F01E9" w:rsidRDefault="00513EEE" w:rsidP="00513EEE">
      <w:pPr>
        <w:pStyle w:val="Point2"/>
        <w:rPr>
          <w:noProof/>
        </w:rPr>
      </w:pPr>
      <w:r w:rsidRPr="004F01E9">
        <w:rPr>
          <w:noProof/>
        </w:rPr>
        <w:t>ii)</w:t>
      </w:r>
      <w:r w:rsidRPr="004F01E9">
        <w:rPr>
          <w:noProof/>
        </w:rPr>
        <w:tab/>
        <w:t>Vkladajú sa tieto body da)</w:t>
      </w:r>
      <w:r w:rsidR="004F01E9">
        <w:rPr>
          <w:noProof/>
        </w:rPr>
        <w:t xml:space="preserve"> a </w:t>
      </w:r>
      <w:r w:rsidRPr="004F01E9">
        <w:rPr>
          <w:noProof/>
        </w:rPr>
        <w:t>db):</w:t>
      </w:r>
    </w:p>
    <w:p w14:paraId="5183C06D" w14:textId="2DD1C0C3" w:rsidR="00513EEE" w:rsidRPr="004F01E9" w:rsidRDefault="00513EEE" w:rsidP="00615061">
      <w:pPr>
        <w:pStyle w:val="Text3"/>
        <w:rPr>
          <w:noProof/>
        </w:rPr>
      </w:pPr>
      <w:r w:rsidRPr="004F01E9">
        <w:rPr>
          <w:noProof/>
        </w:rPr>
        <w:t>„da) pre</w:t>
      </w:r>
      <w:r w:rsidRPr="004F01E9">
        <w:rPr>
          <w:noProof/>
          <w:color w:val="000000" w:themeColor="text1"/>
        </w:rPr>
        <w:t xml:space="preserve"> zabezpečené pôžičky,</w:t>
      </w:r>
      <w:r w:rsidRPr="004F01E9">
        <w:rPr>
          <w:noProof/>
        </w:rPr>
        <w:t xml:space="preserve"> ktoré sú predmetom rámcovej dohody</w:t>
      </w:r>
      <w:r w:rsidR="004F01E9">
        <w:rPr>
          <w:noProof/>
        </w:rPr>
        <w:t xml:space="preserve"> o </w:t>
      </w:r>
      <w:r w:rsidRPr="004F01E9">
        <w:rPr>
          <w:noProof/>
        </w:rPr>
        <w:t>vzájomnom započítavaní, je M váženou priemernou zostatkovou splatnosťou transakcií, pričom M musí byť aspoň 20 dní. Na váženie splatnosti sa používa pomyselná hodnota každej transakcie;</w:t>
      </w:r>
    </w:p>
    <w:p w14:paraId="467A0085" w14:textId="6554E49D" w:rsidR="00513EEE" w:rsidRPr="004F01E9" w:rsidRDefault="00513EEE" w:rsidP="00615061">
      <w:pPr>
        <w:pStyle w:val="Text3"/>
        <w:rPr>
          <w:noProof/>
        </w:rPr>
      </w:pPr>
      <w:r w:rsidRPr="004F01E9">
        <w:rPr>
          <w:noProof/>
        </w:rPr>
        <w:t>db) pre rámcovú dohodu</w:t>
      </w:r>
      <w:r w:rsidR="004F01E9">
        <w:rPr>
          <w:noProof/>
        </w:rPr>
        <w:t xml:space="preserve"> o </w:t>
      </w:r>
      <w:r w:rsidRPr="004F01E9">
        <w:rPr>
          <w:noProof/>
        </w:rPr>
        <w:t>vzájomnom započítavaní, ktorá zahŕňa viac ako jeden</w:t>
      </w:r>
      <w:r w:rsidR="004F01E9">
        <w:rPr>
          <w:noProof/>
        </w:rPr>
        <w:t xml:space="preserve"> z </w:t>
      </w:r>
      <w:r w:rsidRPr="004F01E9">
        <w:rPr>
          <w:noProof/>
        </w:rPr>
        <w:t>druhov transakcií zodpovedajúcich písmenám c), d) alebo da), je M váženou priemernou zostatkovou splatnosťou transakcií, pričom M musí byť aspoň najdlhšie obdobie držby (vyjadrené</w:t>
      </w:r>
      <w:r w:rsidR="004F01E9">
        <w:rPr>
          <w:noProof/>
        </w:rPr>
        <w:t xml:space="preserve"> v </w:t>
      </w:r>
      <w:r w:rsidRPr="004F01E9">
        <w:rPr>
          <w:noProof/>
        </w:rPr>
        <w:t>rokoch)</w:t>
      </w:r>
      <w:r w:rsidR="004F01E9">
        <w:rPr>
          <w:noProof/>
        </w:rPr>
        <w:t xml:space="preserve"> v </w:t>
      </w:r>
      <w:r w:rsidRPr="004F01E9">
        <w:rPr>
          <w:noProof/>
        </w:rPr>
        <w:t>prípade takýchto transakcií, ako sa stanovuje</w:t>
      </w:r>
      <w:r w:rsidR="004F01E9">
        <w:rPr>
          <w:noProof/>
        </w:rPr>
        <w:t xml:space="preserve"> v </w:t>
      </w:r>
      <w:r w:rsidRPr="004F01E9">
        <w:rPr>
          <w:noProof/>
        </w:rPr>
        <w:t>článku 224 ods. 2 (buď 10 dní alebo 20 dní</w:t>
      </w:r>
      <w:r w:rsidR="004F01E9">
        <w:rPr>
          <w:noProof/>
        </w:rPr>
        <w:t xml:space="preserve"> v </w:t>
      </w:r>
      <w:r w:rsidRPr="004F01E9">
        <w:rPr>
          <w:noProof/>
        </w:rPr>
        <w:t>závislosti od konkrétnych prípadov). Na váženie splatnosti sa používa pomyselná hodnota každej transakcie;“;</w:t>
      </w:r>
    </w:p>
    <w:p w14:paraId="5172CFDF" w14:textId="77777777" w:rsidR="00513EEE" w:rsidRPr="004F01E9" w:rsidRDefault="00513EEE" w:rsidP="00513EEE">
      <w:pPr>
        <w:pStyle w:val="Point2"/>
        <w:rPr>
          <w:noProof/>
        </w:rPr>
      </w:pPr>
      <w:r w:rsidRPr="004F01E9">
        <w:rPr>
          <w:noProof/>
        </w:rPr>
        <w:t>iii)</w:t>
      </w:r>
      <w:r w:rsidRPr="004F01E9">
        <w:rPr>
          <w:noProof/>
        </w:rPr>
        <w:tab/>
        <w:t>Písmeno f) sa nahrádza takto:</w:t>
      </w:r>
    </w:p>
    <w:p w14:paraId="3C9D8AE2" w14:textId="68469E9D" w:rsidR="00513EEE" w:rsidRPr="004F01E9" w:rsidRDefault="00513EEE" w:rsidP="00615061">
      <w:pPr>
        <w:pStyle w:val="Text3"/>
        <w:rPr>
          <w:noProof/>
        </w:rPr>
      </w:pPr>
      <w:r w:rsidRPr="004F01E9">
        <w:rPr>
          <w:noProof/>
        </w:rPr>
        <w:t>„f) pre všetky nástroje, ktoré nie sú uvedené</w:t>
      </w:r>
      <w:r w:rsidR="004F01E9">
        <w:rPr>
          <w:noProof/>
        </w:rPr>
        <w:t xml:space="preserve"> v </w:t>
      </w:r>
      <w:r w:rsidRPr="004F01E9">
        <w:rPr>
          <w:noProof/>
        </w:rPr>
        <w:t>tomto odseku, alebo ak inštitúcia nie je schopná vypočítať M tak, ako sa uvádza</w:t>
      </w:r>
      <w:r w:rsidR="004F01E9">
        <w:rPr>
          <w:noProof/>
        </w:rPr>
        <w:t xml:space="preserve"> v </w:t>
      </w:r>
      <w:r w:rsidRPr="004F01E9">
        <w:rPr>
          <w:noProof/>
        </w:rPr>
        <w:t>písmene a), zodpovedá M maximálnemu zostatkovému času (v rokoch), ktorý má dlžník</w:t>
      </w:r>
      <w:r w:rsidR="004F01E9">
        <w:rPr>
          <w:noProof/>
        </w:rPr>
        <w:t xml:space="preserve"> k </w:t>
      </w:r>
      <w:r w:rsidRPr="004F01E9">
        <w:rPr>
          <w:noProof/>
        </w:rPr>
        <w:t>dispozícii na úplné splnenie svojich zmluvných záväzkov (istina, úroky</w:t>
      </w:r>
      <w:r w:rsidR="004F01E9">
        <w:rPr>
          <w:noProof/>
        </w:rPr>
        <w:t xml:space="preserve"> a </w:t>
      </w:r>
      <w:r w:rsidRPr="004F01E9">
        <w:rPr>
          <w:noProof/>
        </w:rPr>
        <w:t>poplatky), pričom M musí byť aspoň jeden rok;“;</w:t>
      </w:r>
    </w:p>
    <w:p w14:paraId="02E5D706" w14:textId="77777777" w:rsidR="00513EEE" w:rsidRPr="004F01E9" w:rsidRDefault="00513EEE" w:rsidP="00513EEE">
      <w:pPr>
        <w:pStyle w:val="Point2"/>
        <w:rPr>
          <w:noProof/>
        </w:rPr>
      </w:pPr>
      <w:r w:rsidRPr="004F01E9">
        <w:rPr>
          <w:noProof/>
        </w:rPr>
        <w:t>iv)</w:t>
      </w:r>
      <w:r w:rsidRPr="004F01E9">
        <w:rPr>
          <w:noProof/>
        </w:rPr>
        <w:tab/>
        <w:t>Písmeno i) sa nahrádza takto:</w:t>
      </w:r>
    </w:p>
    <w:p w14:paraId="4676A944" w14:textId="11D7FFDE" w:rsidR="00513EEE" w:rsidRPr="004F01E9" w:rsidRDefault="00513EEE" w:rsidP="00615061">
      <w:pPr>
        <w:pStyle w:val="Text3"/>
        <w:rPr>
          <w:noProof/>
        </w:rPr>
      </w:pPr>
      <w:r w:rsidRPr="004F01E9">
        <w:rPr>
          <w:noProof/>
        </w:rPr>
        <w:t>„i) pre inštitúcie, ktoré na výpočet požiadavky na vlastné zdroje pre riziká úpravy ocenenia pohľadávky pri transakciách</w:t>
      </w:r>
      <w:r w:rsidR="004F01E9">
        <w:rPr>
          <w:noProof/>
        </w:rPr>
        <w:t xml:space="preserve"> s </w:t>
      </w:r>
      <w:r w:rsidRPr="004F01E9">
        <w:rPr>
          <w:noProof/>
        </w:rPr>
        <w:t>danou protistranou používajú prístupy uvedené</w:t>
      </w:r>
      <w:r w:rsidR="004F01E9">
        <w:rPr>
          <w:noProof/>
        </w:rPr>
        <w:t xml:space="preserve"> v </w:t>
      </w:r>
      <w:r w:rsidRPr="004F01E9">
        <w:rPr>
          <w:noProof/>
        </w:rPr>
        <w:t>článku 382a ods. 1 písm. a) alebo b), nesmie byť hodnota M vo vzorci uvedenom</w:t>
      </w:r>
      <w:r w:rsidR="004F01E9">
        <w:rPr>
          <w:noProof/>
        </w:rPr>
        <w:t xml:space="preserve"> v </w:t>
      </w:r>
      <w:r w:rsidRPr="004F01E9">
        <w:rPr>
          <w:noProof/>
        </w:rPr>
        <w:t>článku 153 ods. 1 na účely výpočtu hodnôt rizikovo vážených expozícií pre riziko protistrany pri tých istých transakciách, ako sa uvádza</w:t>
      </w:r>
      <w:r w:rsidR="004F01E9">
        <w:rPr>
          <w:noProof/>
        </w:rPr>
        <w:t xml:space="preserve"> v </w:t>
      </w:r>
      <w:r w:rsidRPr="004F01E9">
        <w:rPr>
          <w:noProof/>
        </w:rPr>
        <w:t>článku 92 ods. 4 písm. a) alebo f), podľa toho, čo je uplatniteľné, väčšia ako 1;“;</w:t>
      </w:r>
    </w:p>
    <w:p w14:paraId="5148765D" w14:textId="77777777" w:rsidR="00513EEE" w:rsidRPr="004F01E9" w:rsidRDefault="00513EEE" w:rsidP="00513EEE">
      <w:pPr>
        <w:pStyle w:val="Point2"/>
        <w:rPr>
          <w:noProof/>
        </w:rPr>
      </w:pPr>
      <w:r w:rsidRPr="004F01E9">
        <w:rPr>
          <w:noProof/>
        </w:rPr>
        <w:t>v)</w:t>
      </w:r>
      <w:r w:rsidRPr="004F01E9">
        <w:rPr>
          <w:noProof/>
        </w:rPr>
        <w:tab/>
        <w:t>Písmeno j) sa nahrádza takto:</w:t>
      </w:r>
    </w:p>
    <w:p w14:paraId="63F1A467" w14:textId="19A10325" w:rsidR="00513EEE" w:rsidRPr="004F01E9" w:rsidRDefault="00513EEE" w:rsidP="00615061">
      <w:pPr>
        <w:pStyle w:val="Text3"/>
        <w:rPr>
          <w:noProof/>
        </w:rPr>
      </w:pPr>
      <w:r w:rsidRPr="004F01E9">
        <w:rPr>
          <w:noProof/>
        </w:rPr>
        <w:t>„j) pre revolvingové expozície sa M určuje</w:t>
      </w:r>
      <w:r w:rsidR="004F01E9">
        <w:rPr>
          <w:noProof/>
        </w:rPr>
        <w:t xml:space="preserve"> s </w:t>
      </w:r>
      <w:r w:rsidRPr="004F01E9">
        <w:rPr>
          <w:noProof/>
        </w:rPr>
        <w:t>použitím maximálneho zmluvného dátumu ukončenia facility. Inštitúcie nepoužívajú dátum splatenia súčasného čerpania, ak tento dátum nie je maximálnym dátumom ukončenia facility.“;</w:t>
      </w:r>
    </w:p>
    <w:p w14:paraId="483CDC5C" w14:textId="2BB08005" w:rsidR="00513EEE" w:rsidRPr="004F01E9" w:rsidRDefault="000D50D4" w:rsidP="000D50D4">
      <w:pPr>
        <w:pStyle w:val="Point1"/>
        <w:rPr>
          <w:noProof/>
        </w:rPr>
      </w:pPr>
      <w:r w:rsidRPr="004F01E9">
        <w:rPr>
          <w:noProof/>
        </w:rPr>
        <w:t>c)</w:t>
      </w:r>
      <w:r w:rsidRPr="004F01E9">
        <w:rPr>
          <w:noProof/>
        </w:rPr>
        <w:tab/>
        <w:t>Odsek 3 sa mení takto:</w:t>
      </w:r>
    </w:p>
    <w:p w14:paraId="61DE8033" w14:textId="77777777" w:rsidR="00513EEE" w:rsidRPr="004F01E9" w:rsidRDefault="00513EEE" w:rsidP="00513EEE">
      <w:pPr>
        <w:pStyle w:val="Point2"/>
        <w:rPr>
          <w:noProof/>
        </w:rPr>
      </w:pPr>
      <w:r w:rsidRPr="004F01E9">
        <w:rPr>
          <w:noProof/>
        </w:rPr>
        <w:t>i)</w:t>
      </w:r>
      <w:r w:rsidRPr="004F01E9">
        <w:rPr>
          <w:noProof/>
        </w:rPr>
        <w:tab/>
        <w:t>V prvom pododseku sa úvodná veta nahrádza takto:</w:t>
      </w:r>
    </w:p>
    <w:p w14:paraId="2FE90902" w14:textId="35088098" w:rsidR="00513EEE" w:rsidRPr="004F01E9" w:rsidRDefault="00513EEE" w:rsidP="00513EEE">
      <w:pPr>
        <w:pStyle w:val="Text3"/>
        <w:rPr>
          <w:noProof/>
        </w:rPr>
      </w:pPr>
      <w:r w:rsidRPr="004F01E9">
        <w:rPr>
          <w:noProof/>
        </w:rPr>
        <w:t>„Keď sa podľa dokumentácie požaduje každodenné dozabezpečovanie</w:t>
      </w:r>
      <w:r w:rsidR="004F01E9">
        <w:rPr>
          <w:noProof/>
        </w:rPr>
        <w:t xml:space="preserve"> a </w:t>
      </w:r>
      <w:r w:rsidRPr="004F01E9">
        <w:rPr>
          <w:noProof/>
        </w:rPr>
        <w:t>každodenné precenenie</w:t>
      </w:r>
      <w:r w:rsidR="004F01E9">
        <w:rPr>
          <w:noProof/>
        </w:rPr>
        <w:t xml:space="preserve"> a </w:t>
      </w:r>
      <w:r w:rsidRPr="004F01E9">
        <w:rPr>
          <w:noProof/>
        </w:rPr>
        <w:t>dokumentácia zahŕňa ustanovenia, ktoré umožňujú okamžitú realizáciu alebo kompenzáciu kolaterálu</w:t>
      </w:r>
      <w:r w:rsidR="004F01E9">
        <w:rPr>
          <w:noProof/>
        </w:rPr>
        <w:t xml:space="preserve"> v </w:t>
      </w:r>
      <w:r w:rsidRPr="004F01E9">
        <w:rPr>
          <w:noProof/>
        </w:rPr>
        <w:t>prípade zlyhania alebo nedozabezpečenia, M je vážená priemerná zostatková splatnosť transakcií</w:t>
      </w:r>
      <w:r w:rsidR="004F01E9">
        <w:rPr>
          <w:noProof/>
        </w:rPr>
        <w:t xml:space="preserve"> a </w:t>
      </w:r>
      <w:r w:rsidRPr="004F01E9">
        <w:rPr>
          <w:noProof/>
        </w:rPr>
        <w:t>hodnota M musí byť aspoň jeden deň:“;</w:t>
      </w:r>
    </w:p>
    <w:p w14:paraId="1A0B5B75" w14:textId="77777777" w:rsidR="00513EEE" w:rsidRPr="004F01E9" w:rsidRDefault="00513EEE" w:rsidP="00513EEE">
      <w:pPr>
        <w:pStyle w:val="Point2"/>
        <w:rPr>
          <w:noProof/>
        </w:rPr>
      </w:pPr>
      <w:r w:rsidRPr="004F01E9">
        <w:rPr>
          <w:noProof/>
        </w:rPr>
        <w:t>ii)</w:t>
      </w:r>
      <w:r w:rsidRPr="004F01E9">
        <w:rPr>
          <w:noProof/>
        </w:rPr>
        <w:tab/>
        <w:t>Druhý pododsek sa mení takto:</w:t>
      </w:r>
    </w:p>
    <w:p w14:paraId="40C06727" w14:textId="77777777" w:rsidR="00513EEE" w:rsidRPr="004F01E9" w:rsidRDefault="00513EEE" w:rsidP="00513EEE">
      <w:pPr>
        <w:pStyle w:val="Tiret3"/>
        <w:rPr>
          <w:noProof/>
        </w:rPr>
      </w:pPr>
      <w:r w:rsidRPr="004F01E9">
        <w:rPr>
          <w:noProof/>
        </w:rPr>
        <w:t>Písmeno b) sa nahrádza takto:</w:t>
      </w:r>
    </w:p>
    <w:p w14:paraId="3042203B" w14:textId="3F5433E8" w:rsidR="00513EEE" w:rsidRPr="004F01E9" w:rsidRDefault="00513EEE" w:rsidP="00615061">
      <w:pPr>
        <w:pStyle w:val="Text4"/>
        <w:rPr>
          <w:noProof/>
        </w:rPr>
      </w:pPr>
      <w:r w:rsidRPr="004F01E9">
        <w:rPr>
          <w:noProof/>
        </w:rPr>
        <w:t>„b) samolikvidné krátkodobé transakcie obchodného financovania spojené</w:t>
      </w:r>
      <w:r w:rsidR="004F01E9">
        <w:rPr>
          <w:noProof/>
        </w:rPr>
        <w:t xml:space="preserve"> s </w:t>
      </w:r>
      <w:r w:rsidRPr="004F01E9">
        <w:rPr>
          <w:noProof/>
        </w:rPr>
        <w:t>výmenou tovaru alebo služieb, vrátane podnikových odkúpených pohľadávok, so zostatkovou splatnosťou kratšou než jeden rok, ako sa uvádza</w:t>
      </w:r>
      <w:r w:rsidR="004F01E9">
        <w:rPr>
          <w:noProof/>
        </w:rPr>
        <w:t xml:space="preserve"> v </w:t>
      </w:r>
      <w:r w:rsidRPr="004F01E9">
        <w:rPr>
          <w:noProof/>
        </w:rPr>
        <w:t>článku 4 ods. 1 bode 80;“;</w:t>
      </w:r>
    </w:p>
    <w:p w14:paraId="73DB41D6" w14:textId="77777777" w:rsidR="00513EEE" w:rsidRPr="004F01E9" w:rsidRDefault="00513EEE" w:rsidP="00513EEE">
      <w:pPr>
        <w:pStyle w:val="Tiret3"/>
        <w:rPr>
          <w:noProof/>
        </w:rPr>
      </w:pPr>
      <w:r w:rsidRPr="004F01E9">
        <w:rPr>
          <w:noProof/>
        </w:rPr>
        <w:t>Dopĺňa sa toto písmeno e):</w:t>
      </w:r>
    </w:p>
    <w:p w14:paraId="3D7996BE" w14:textId="7D2613F3" w:rsidR="00513EEE" w:rsidRPr="004F01E9" w:rsidRDefault="00513EEE" w:rsidP="00615061">
      <w:pPr>
        <w:pStyle w:val="Text4"/>
        <w:rPr>
          <w:noProof/>
        </w:rPr>
      </w:pPr>
      <w:r w:rsidRPr="004F01E9">
        <w:rPr>
          <w:noProof/>
        </w:rPr>
        <w:t>„e) vydané, ako aj potvrdené akreditívy, ktoré sú krátkodobé</w:t>
      </w:r>
      <w:r w:rsidR="004F01E9">
        <w:rPr>
          <w:noProof/>
        </w:rPr>
        <w:t xml:space="preserve"> a </w:t>
      </w:r>
      <w:r w:rsidRPr="004F01E9">
        <w:rPr>
          <w:noProof/>
        </w:rPr>
        <w:t>majú splatnosť menej ako jeden rok</w:t>
      </w:r>
      <w:r w:rsidR="004F01E9">
        <w:rPr>
          <w:noProof/>
        </w:rPr>
        <w:t xml:space="preserve"> a </w:t>
      </w:r>
      <w:r w:rsidRPr="004F01E9">
        <w:rPr>
          <w:noProof/>
        </w:rPr>
        <w:t>ktoré sa samolikvidujú.“;</w:t>
      </w:r>
    </w:p>
    <w:p w14:paraId="7C98D55B" w14:textId="2C150A1A" w:rsidR="00513EEE" w:rsidRPr="004F01E9" w:rsidRDefault="000D50D4" w:rsidP="000D50D4">
      <w:pPr>
        <w:pStyle w:val="Point1"/>
        <w:rPr>
          <w:noProof/>
        </w:rPr>
      </w:pPr>
      <w:r w:rsidRPr="004F01E9">
        <w:rPr>
          <w:noProof/>
        </w:rPr>
        <w:t>d)</w:t>
      </w:r>
      <w:r w:rsidRPr="004F01E9">
        <w:rPr>
          <w:noProof/>
        </w:rPr>
        <w:tab/>
        <w:t>Odsek 4 sa nahrádza takto:</w:t>
      </w:r>
    </w:p>
    <w:p w14:paraId="0E3DF833" w14:textId="7370FD8C" w:rsidR="00513EEE" w:rsidRPr="004F01E9" w:rsidRDefault="00513EEE" w:rsidP="00513EEE">
      <w:pPr>
        <w:pStyle w:val="Text2"/>
        <w:rPr>
          <w:noProof/>
        </w:rPr>
      </w:pPr>
      <w:r w:rsidRPr="004F01E9">
        <w:rPr>
          <w:noProof/>
        </w:rPr>
        <w:t>„4.</w:t>
      </w:r>
      <w:r w:rsidR="004F01E9">
        <w:rPr>
          <w:noProof/>
        </w:rPr>
        <w:t xml:space="preserve"> V </w:t>
      </w:r>
      <w:r w:rsidRPr="004F01E9">
        <w:rPr>
          <w:noProof/>
        </w:rPr>
        <w:t>prípade expozícií voči podnikateľským subjektom usadeným</w:t>
      </w:r>
      <w:r w:rsidR="004F01E9">
        <w:rPr>
          <w:noProof/>
        </w:rPr>
        <w:t xml:space="preserve"> v </w:t>
      </w:r>
      <w:r w:rsidRPr="004F01E9">
        <w:rPr>
          <w:noProof/>
        </w:rPr>
        <w:t>Únii, ktoré nie sú veľkými podnikateľskými subjektmi, sa inštitúcie môžu rozhodnúť, že namiesto uplatnenia odseku 2 stanovia pre všetky takéto expozície hodnotu M uvedenú</w:t>
      </w:r>
      <w:r w:rsidR="004F01E9">
        <w:rPr>
          <w:noProof/>
        </w:rPr>
        <w:t xml:space="preserve"> v </w:t>
      </w:r>
      <w:r w:rsidRPr="004F01E9">
        <w:rPr>
          <w:noProof/>
        </w:rPr>
        <w:t>odseku 1.“;</w:t>
      </w:r>
    </w:p>
    <w:p w14:paraId="7A6784FB" w14:textId="551921A7" w:rsidR="00513EEE" w:rsidRPr="004F01E9" w:rsidRDefault="000D50D4" w:rsidP="000D50D4">
      <w:pPr>
        <w:pStyle w:val="Point1"/>
        <w:rPr>
          <w:noProof/>
        </w:rPr>
      </w:pPr>
      <w:r w:rsidRPr="004F01E9">
        <w:rPr>
          <w:noProof/>
        </w:rPr>
        <w:t>e)</w:t>
      </w:r>
      <w:r w:rsidRPr="004F01E9">
        <w:rPr>
          <w:noProof/>
        </w:rPr>
        <w:tab/>
        <w:t>Dopĺňa sa tento nový odsek 6:</w:t>
      </w:r>
    </w:p>
    <w:p w14:paraId="706583D2" w14:textId="5CD4B7C6" w:rsidR="00513EEE" w:rsidRPr="004F01E9" w:rsidRDefault="00513EEE" w:rsidP="00513EEE">
      <w:pPr>
        <w:pStyle w:val="Text2"/>
        <w:rPr>
          <w:noProof/>
        </w:rPr>
      </w:pPr>
      <w:r w:rsidRPr="004F01E9">
        <w:rPr>
          <w:noProof/>
        </w:rPr>
        <w:t>„6. Na účely vyjadrenia minimálneho počtu dní uvedeného</w:t>
      </w:r>
      <w:r w:rsidR="004F01E9">
        <w:rPr>
          <w:noProof/>
        </w:rPr>
        <w:t xml:space="preserve"> v </w:t>
      </w:r>
      <w:r w:rsidRPr="004F01E9">
        <w:rPr>
          <w:noProof/>
        </w:rPr>
        <w:t>odseku 2 písm. c) až db)</w:t>
      </w:r>
      <w:r w:rsidR="004F01E9">
        <w:rPr>
          <w:noProof/>
        </w:rPr>
        <w:t xml:space="preserve"> a </w:t>
      </w:r>
      <w:r w:rsidRPr="004F01E9">
        <w:rPr>
          <w:noProof/>
        </w:rPr>
        <w:t>odseku 3</w:t>
      </w:r>
      <w:r w:rsidR="004F01E9">
        <w:rPr>
          <w:noProof/>
        </w:rPr>
        <w:t xml:space="preserve"> v </w:t>
      </w:r>
      <w:r w:rsidRPr="004F01E9">
        <w:rPr>
          <w:noProof/>
        </w:rPr>
        <w:t>rokoch sa minimálny počet dní vydelí číslom 365,25.“</w:t>
      </w:r>
    </w:p>
    <w:p w14:paraId="532FCED9" w14:textId="67216B21" w:rsidR="00806B81" w:rsidRPr="004F01E9" w:rsidRDefault="00B16452" w:rsidP="00B16452">
      <w:pPr>
        <w:pStyle w:val="Point0"/>
        <w:rPr>
          <w:noProof/>
        </w:rPr>
      </w:pPr>
      <w:r w:rsidRPr="00B16452">
        <w:rPr>
          <w:noProof/>
        </w:rPr>
        <w:t>76</w:t>
      </w:r>
      <w:r>
        <w:rPr>
          <w:noProof/>
        </w:rPr>
        <w:t>.</w:t>
      </w:r>
      <w:r w:rsidRPr="00B16452">
        <w:rPr>
          <w:noProof/>
        </w:rPr>
        <w:tab/>
      </w:r>
      <w:r w:rsidR="00513EEE" w:rsidRPr="004F01E9">
        <w:rPr>
          <w:noProof/>
        </w:rPr>
        <w:t>Článok 163 sa mení takto:</w:t>
      </w:r>
    </w:p>
    <w:p w14:paraId="0203AC37" w14:textId="2109EF3F" w:rsidR="00513EEE" w:rsidRPr="004F01E9" w:rsidRDefault="005607C2" w:rsidP="005607C2">
      <w:pPr>
        <w:pStyle w:val="Point1"/>
        <w:rPr>
          <w:noProof/>
        </w:rPr>
      </w:pPr>
      <w:r w:rsidRPr="004F01E9">
        <w:rPr>
          <w:noProof/>
        </w:rPr>
        <w:t>a)</w:t>
      </w:r>
      <w:r w:rsidRPr="004F01E9">
        <w:rPr>
          <w:noProof/>
        </w:rPr>
        <w:tab/>
        <w:t>Odsek 1 sa nahrádza takto:</w:t>
      </w:r>
    </w:p>
    <w:p w14:paraId="61F2697C" w14:textId="53953DA9" w:rsidR="00513EEE" w:rsidRPr="0059109E" w:rsidRDefault="00513EEE" w:rsidP="00513EEE">
      <w:pPr>
        <w:pStyle w:val="Text2"/>
        <w:rPr>
          <w:noProof/>
          <w:spacing w:val="-4"/>
        </w:rPr>
      </w:pPr>
      <w:r w:rsidRPr="0059109E">
        <w:rPr>
          <w:noProof/>
          <w:spacing w:val="-4"/>
        </w:rPr>
        <w:t>„1. Výlučne na účely výpočtu rizikovo vážených expozícií</w:t>
      </w:r>
      <w:r w:rsidR="004F01E9" w:rsidRPr="0059109E">
        <w:rPr>
          <w:noProof/>
          <w:spacing w:val="-4"/>
        </w:rPr>
        <w:t xml:space="preserve"> a </w:t>
      </w:r>
      <w:r w:rsidRPr="0059109E">
        <w:rPr>
          <w:noProof/>
          <w:spacing w:val="-4"/>
        </w:rPr>
        <w:t>výšky očakávaných strát týchto expozícií,</w:t>
      </w:r>
      <w:r w:rsidR="004F01E9" w:rsidRPr="0059109E">
        <w:rPr>
          <w:noProof/>
          <w:spacing w:val="-4"/>
        </w:rPr>
        <w:t xml:space="preserve"> a </w:t>
      </w:r>
      <w:r w:rsidRPr="0059109E">
        <w:rPr>
          <w:noProof/>
          <w:spacing w:val="-4"/>
        </w:rPr>
        <w:t>najmä na účely článku 154, článku 157</w:t>
      </w:r>
      <w:r w:rsidR="004F01E9" w:rsidRPr="0059109E">
        <w:rPr>
          <w:noProof/>
          <w:spacing w:val="-4"/>
        </w:rPr>
        <w:t xml:space="preserve"> a </w:t>
      </w:r>
      <w:r w:rsidRPr="0059109E">
        <w:rPr>
          <w:noProof/>
          <w:spacing w:val="-4"/>
        </w:rPr>
        <w:t>článku 158 ods. 1, 5</w:t>
      </w:r>
      <w:r w:rsidR="004F01E9" w:rsidRPr="0059109E">
        <w:rPr>
          <w:noProof/>
          <w:spacing w:val="-4"/>
        </w:rPr>
        <w:t xml:space="preserve"> a </w:t>
      </w:r>
      <w:r w:rsidRPr="0059109E">
        <w:rPr>
          <w:noProof/>
          <w:spacing w:val="-4"/>
        </w:rPr>
        <w:t>10, hodnoty PD použité ako vstupné údaje vo vzorcoch na výpočet rizikových váh</w:t>
      </w:r>
      <w:r w:rsidR="004F01E9" w:rsidRPr="0059109E">
        <w:rPr>
          <w:noProof/>
          <w:spacing w:val="-4"/>
        </w:rPr>
        <w:t xml:space="preserve"> a </w:t>
      </w:r>
      <w:r w:rsidRPr="0059109E">
        <w:rPr>
          <w:noProof/>
          <w:spacing w:val="-4"/>
        </w:rPr>
        <w:t>očakávaných strát nesmú byť nižšie ako tieto hodnoty:</w:t>
      </w:r>
    </w:p>
    <w:p w14:paraId="2BC5A588" w14:textId="36D76362" w:rsidR="00513EEE" w:rsidRPr="004F01E9" w:rsidRDefault="00513EEE" w:rsidP="00513EEE">
      <w:pPr>
        <w:pStyle w:val="Point2"/>
        <w:rPr>
          <w:noProof/>
        </w:rPr>
      </w:pPr>
      <w:r w:rsidRPr="004F01E9">
        <w:rPr>
          <w:noProof/>
        </w:rPr>
        <w:t>a)</w:t>
      </w:r>
      <w:r w:rsidRPr="004F01E9">
        <w:rPr>
          <w:noProof/>
        </w:rPr>
        <w:tab/>
        <w:t>0,1</w:t>
      </w:r>
      <w:r w:rsidR="004F01E9">
        <w:rPr>
          <w:noProof/>
        </w:rPr>
        <w:t> %</w:t>
      </w:r>
      <w:r w:rsidRPr="004F01E9">
        <w:rPr>
          <w:noProof/>
        </w:rPr>
        <w:t xml:space="preserve"> pre revolvingových dlžníkov QRRE;</w:t>
      </w:r>
    </w:p>
    <w:p w14:paraId="03B91606" w14:textId="773E6809" w:rsidR="00806B81" w:rsidRPr="004F01E9" w:rsidRDefault="00513EEE" w:rsidP="00513EEE">
      <w:pPr>
        <w:pStyle w:val="Point2"/>
        <w:rPr>
          <w:noProof/>
        </w:rPr>
      </w:pPr>
      <w:r w:rsidRPr="004F01E9">
        <w:rPr>
          <w:noProof/>
        </w:rPr>
        <w:t>b)</w:t>
      </w:r>
      <w:r w:rsidRPr="004F01E9">
        <w:rPr>
          <w:noProof/>
        </w:rPr>
        <w:tab/>
        <w:t>0,05</w:t>
      </w:r>
      <w:r w:rsidR="004F01E9">
        <w:rPr>
          <w:noProof/>
        </w:rPr>
        <w:t> %</w:t>
      </w:r>
      <w:r w:rsidRPr="004F01E9">
        <w:rPr>
          <w:noProof/>
        </w:rPr>
        <w:t xml:space="preserve"> pre retailové expozície, ktoré nie sú revolvingovými dlžníkmi QRRE.“;</w:t>
      </w:r>
    </w:p>
    <w:p w14:paraId="4B82125D" w14:textId="579E1F57" w:rsidR="00806B81" w:rsidRPr="004F01E9" w:rsidRDefault="005607C2" w:rsidP="005607C2">
      <w:pPr>
        <w:pStyle w:val="Point1"/>
        <w:rPr>
          <w:noProof/>
        </w:rPr>
      </w:pPr>
      <w:r w:rsidRPr="004F01E9">
        <w:rPr>
          <w:noProof/>
        </w:rPr>
        <w:t>b)</w:t>
      </w:r>
      <w:r w:rsidRPr="004F01E9">
        <w:rPr>
          <w:noProof/>
        </w:rPr>
        <w:tab/>
        <w:t>Odsek 4 sa nahrádza takto:</w:t>
      </w:r>
    </w:p>
    <w:p w14:paraId="5611774C" w14:textId="509C88D7" w:rsidR="00513EEE" w:rsidRPr="004F01E9" w:rsidRDefault="00513EEE" w:rsidP="00513EEE">
      <w:pPr>
        <w:pStyle w:val="Text2"/>
        <w:rPr>
          <w:noProof/>
        </w:rPr>
      </w:pPr>
      <w:r w:rsidRPr="004F01E9">
        <w:rPr>
          <w:noProof/>
        </w:rPr>
        <w:t>„4.</w:t>
      </w:r>
      <w:r w:rsidR="004F01E9">
        <w:rPr>
          <w:noProof/>
        </w:rPr>
        <w:t xml:space="preserve"> V </w:t>
      </w:r>
      <w:r w:rsidRPr="004F01E9">
        <w:rPr>
          <w:noProof/>
        </w:rPr>
        <w:t>prípade expozície krytej nefinancovaným kreditným zabezpečením môže inštitúcia, ktorá používa vlastné odhady LGD podľa článku 143 pre priame porovnateľné expozície voči poskytovateľovi zabezpečenia, uznať nefinancované kreditné zabezpečenie</w:t>
      </w:r>
      <w:r w:rsidR="004F01E9">
        <w:rPr>
          <w:noProof/>
        </w:rPr>
        <w:t xml:space="preserve"> v </w:t>
      </w:r>
      <w:r w:rsidRPr="004F01E9">
        <w:rPr>
          <w:noProof/>
        </w:rPr>
        <w:t>PD</w:t>
      </w:r>
      <w:r w:rsidR="004F01E9">
        <w:rPr>
          <w:noProof/>
        </w:rPr>
        <w:t xml:space="preserve"> v </w:t>
      </w:r>
      <w:r w:rsidRPr="004F01E9">
        <w:rPr>
          <w:noProof/>
        </w:rPr>
        <w:t>súlade</w:t>
      </w:r>
      <w:r w:rsidR="004F01E9">
        <w:rPr>
          <w:noProof/>
        </w:rPr>
        <w:t xml:space="preserve"> s </w:t>
      </w:r>
      <w:r w:rsidRPr="004F01E9">
        <w:rPr>
          <w:noProof/>
        </w:rPr>
        <w:t>článkom 183.“</w:t>
      </w:r>
    </w:p>
    <w:p w14:paraId="771A7945" w14:textId="405B9C9C" w:rsidR="00513EEE" w:rsidRPr="004F01E9" w:rsidRDefault="00B16452" w:rsidP="00B16452">
      <w:pPr>
        <w:pStyle w:val="Point0"/>
        <w:rPr>
          <w:noProof/>
        </w:rPr>
      </w:pPr>
      <w:r w:rsidRPr="00B16452">
        <w:rPr>
          <w:noProof/>
        </w:rPr>
        <w:t>77</w:t>
      </w:r>
      <w:r>
        <w:rPr>
          <w:noProof/>
        </w:rPr>
        <w:t>.</w:t>
      </w:r>
      <w:r w:rsidRPr="00B16452">
        <w:rPr>
          <w:noProof/>
        </w:rPr>
        <w:tab/>
      </w:r>
      <w:r w:rsidR="00513EEE" w:rsidRPr="004F01E9">
        <w:rPr>
          <w:noProof/>
        </w:rPr>
        <w:t>Článok 164 sa mení takto:</w:t>
      </w:r>
    </w:p>
    <w:p w14:paraId="452FA767" w14:textId="7256DECC" w:rsidR="00806B81" w:rsidRPr="004F01E9" w:rsidRDefault="005607C2" w:rsidP="005607C2">
      <w:pPr>
        <w:pStyle w:val="Point1"/>
        <w:rPr>
          <w:noProof/>
        </w:rPr>
      </w:pPr>
      <w:r w:rsidRPr="004F01E9">
        <w:rPr>
          <w:noProof/>
        </w:rPr>
        <w:t>a)</w:t>
      </w:r>
      <w:r w:rsidRPr="004F01E9">
        <w:rPr>
          <w:noProof/>
        </w:rPr>
        <w:tab/>
        <w:t>Odseky 1</w:t>
      </w:r>
      <w:r w:rsidR="004F01E9">
        <w:rPr>
          <w:noProof/>
        </w:rPr>
        <w:t xml:space="preserve"> a </w:t>
      </w:r>
      <w:r w:rsidRPr="004F01E9">
        <w:rPr>
          <w:noProof/>
        </w:rPr>
        <w:t>2 sa nahrádzajú takto:</w:t>
      </w:r>
    </w:p>
    <w:p w14:paraId="3E5D930A" w14:textId="5947D5E0" w:rsidR="00513EEE" w:rsidRPr="004F01E9" w:rsidRDefault="00513EEE" w:rsidP="00513EEE">
      <w:pPr>
        <w:pStyle w:val="Text2"/>
        <w:rPr>
          <w:noProof/>
        </w:rPr>
      </w:pPr>
      <w:r w:rsidRPr="004F01E9">
        <w:rPr>
          <w:noProof/>
        </w:rPr>
        <w:t>„1. Pri dodržaní požiadaviek stanovených</w:t>
      </w:r>
      <w:r w:rsidR="004F01E9">
        <w:rPr>
          <w:noProof/>
        </w:rPr>
        <w:t xml:space="preserve"> v </w:t>
      </w:r>
      <w:r w:rsidRPr="004F01E9">
        <w:rPr>
          <w:noProof/>
        </w:rPr>
        <w:t>oddiele 6 tejto kapitoly</w:t>
      </w:r>
      <w:r w:rsidR="004F01E9">
        <w:rPr>
          <w:noProof/>
        </w:rPr>
        <w:t xml:space="preserve"> a </w:t>
      </w:r>
      <w:r w:rsidRPr="004F01E9">
        <w:rPr>
          <w:noProof/>
        </w:rPr>
        <w:t>na základe povolenia udeleného príslušnými orgánmi</w:t>
      </w:r>
      <w:r w:rsidR="004F01E9">
        <w:rPr>
          <w:noProof/>
        </w:rPr>
        <w:t xml:space="preserve"> v </w:t>
      </w:r>
      <w:r w:rsidRPr="004F01E9">
        <w:rPr>
          <w:noProof/>
        </w:rPr>
        <w:t>súlade</w:t>
      </w:r>
      <w:r w:rsidR="004F01E9">
        <w:rPr>
          <w:noProof/>
        </w:rPr>
        <w:t xml:space="preserve"> s </w:t>
      </w:r>
      <w:r w:rsidRPr="004F01E9">
        <w:rPr>
          <w:noProof/>
        </w:rPr>
        <w:t>článkom 143 inštitúcie zabezpečujú vlastné odhady LGD. Pre riziko zníženia kvality pohľadávok</w:t>
      </w:r>
      <w:r w:rsidR="004F01E9">
        <w:rPr>
          <w:noProof/>
        </w:rPr>
        <w:t xml:space="preserve"> z </w:t>
      </w:r>
      <w:r w:rsidRPr="004F01E9">
        <w:rPr>
          <w:noProof/>
        </w:rPr>
        <w:t>iných ako kreditných dôvodov pri odkúpených pohľadávkach sa používa hodnota LGD vo výške 100</w:t>
      </w:r>
      <w:r w:rsidR="004F01E9">
        <w:rPr>
          <w:noProof/>
        </w:rPr>
        <w:t> %</w:t>
      </w:r>
      <w:r w:rsidRPr="004F01E9">
        <w:rPr>
          <w:noProof/>
        </w:rPr>
        <w:t>. Ak inštitúcia dokáže spoľahlivým spôsobom rozložiť svoje odhady očakávaných strát pre riziko zníženia kvality pohľadávok</w:t>
      </w:r>
      <w:r w:rsidR="004F01E9">
        <w:rPr>
          <w:noProof/>
        </w:rPr>
        <w:t xml:space="preserve"> z </w:t>
      </w:r>
      <w:r w:rsidRPr="004F01E9">
        <w:rPr>
          <w:noProof/>
        </w:rPr>
        <w:t>iných ako kreditných dôvodov pri odkúpených pohľadávkach na PD</w:t>
      </w:r>
      <w:r w:rsidR="004F01E9">
        <w:rPr>
          <w:noProof/>
        </w:rPr>
        <w:t xml:space="preserve"> a </w:t>
      </w:r>
      <w:r w:rsidRPr="004F01E9">
        <w:rPr>
          <w:noProof/>
        </w:rPr>
        <w:t>LGD, môže použiť svoj vlastný odhad LGD.</w:t>
      </w:r>
    </w:p>
    <w:p w14:paraId="26DEBFF3" w14:textId="116C05DD" w:rsidR="00513EEE" w:rsidRPr="004F01E9" w:rsidRDefault="00513EEE" w:rsidP="00513EEE">
      <w:pPr>
        <w:pStyle w:val="Text2"/>
        <w:rPr>
          <w:noProof/>
        </w:rPr>
      </w:pPr>
      <w:r w:rsidRPr="004F01E9">
        <w:rPr>
          <w:noProof/>
        </w:rPr>
        <w:t>2. Inštitúcie, ktoré používajú vlastné odhady LGD podľa článku 143 pre priame porovnateľné expozície voči poskytovateľovi zabezpečenia, môžu uznať nefinancované kreditné zabezpečenie</w:t>
      </w:r>
      <w:r w:rsidR="004F01E9">
        <w:rPr>
          <w:noProof/>
        </w:rPr>
        <w:t xml:space="preserve"> v </w:t>
      </w:r>
      <w:r w:rsidRPr="004F01E9">
        <w:rPr>
          <w:noProof/>
        </w:rPr>
        <w:t>LGD</w:t>
      </w:r>
      <w:r w:rsidR="004F01E9">
        <w:rPr>
          <w:noProof/>
        </w:rPr>
        <w:t xml:space="preserve"> v </w:t>
      </w:r>
      <w:r w:rsidRPr="004F01E9">
        <w:rPr>
          <w:noProof/>
        </w:rPr>
        <w:t>súlade</w:t>
      </w:r>
      <w:r w:rsidR="004F01E9">
        <w:rPr>
          <w:noProof/>
        </w:rPr>
        <w:t xml:space="preserve"> s </w:t>
      </w:r>
      <w:r w:rsidRPr="004F01E9">
        <w:rPr>
          <w:noProof/>
        </w:rPr>
        <w:t>článkom 183.“;</w:t>
      </w:r>
    </w:p>
    <w:p w14:paraId="4A769489" w14:textId="31BD358E" w:rsidR="00513EEE" w:rsidRPr="004F01E9" w:rsidRDefault="005607C2" w:rsidP="005607C2">
      <w:pPr>
        <w:pStyle w:val="Point1"/>
        <w:rPr>
          <w:noProof/>
        </w:rPr>
      </w:pPr>
      <w:r w:rsidRPr="004F01E9">
        <w:rPr>
          <w:noProof/>
        </w:rPr>
        <w:t>b)</w:t>
      </w:r>
      <w:r w:rsidRPr="004F01E9">
        <w:rPr>
          <w:noProof/>
        </w:rPr>
        <w:tab/>
        <w:t>Odsek 3 sa vypúšťa.</w:t>
      </w:r>
    </w:p>
    <w:p w14:paraId="422D1BA5" w14:textId="342F77D9" w:rsidR="00513EEE" w:rsidRPr="004F01E9" w:rsidRDefault="005607C2" w:rsidP="005607C2">
      <w:pPr>
        <w:pStyle w:val="Point1"/>
        <w:rPr>
          <w:noProof/>
        </w:rPr>
      </w:pPr>
      <w:r w:rsidRPr="004F01E9">
        <w:rPr>
          <w:noProof/>
        </w:rPr>
        <w:t>c)</w:t>
      </w:r>
      <w:r w:rsidRPr="004F01E9">
        <w:rPr>
          <w:noProof/>
        </w:rPr>
        <w:tab/>
        <w:t>Odsek 4 sa nahrádza takto:</w:t>
      </w:r>
    </w:p>
    <w:p w14:paraId="578A548B" w14:textId="36178D37" w:rsidR="00513EEE" w:rsidRPr="0059109E" w:rsidRDefault="00513EEE" w:rsidP="00513EEE">
      <w:pPr>
        <w:pStyle w:val="Text2"/>
        <w:rPr>
          <w:noProof/>
          <w:spacing w:val="-4"/>
        </w:rPr>
      </w:pPr>
      <w:r w:rsidRPr="0059109E">
        <w:rPr>
          <w:noProof/>
          <w:spacing w:val="-4"/>
        </w:rPr>
        <w:t>„4. Výlučne na účel výpočtu rizikovo vážených expozícií</w:t>
      </w:r>
      <w:r w:rsidR="004F01E9" w:rsidRPr="0059109E">
        <w:rPr>
          <w:noProof/>
          <w:spacing w:val="-4"/>
        </w:rPr>
        <w:t xml:space="preserve"> a </w:t>
      </w:r>
      <w:r w:rsidRPr="0059109E">
        <w:rPr>
          <w:noProof/>
          <w:spacing w:val="-4"/>
        </w:rPr>
        <w:t>výšky očakávaných strát retailových expozícií,</w:t>
      </w:r>
      <w:r w:rsidR="004F01E9" w:rsidRPr="0059109E">
        <w:rPr>
          <w:noProof/>
          <w:spacing w:val="-4"/>
        </w:rPr>
        <w:t xml:space="preserve"> a </w:t>
      </w:r>
      <w:r w:rsidRPr="0059109E">
        <w:rPr>
          <w:noProof/>
          <w:spacing w:val="-4"/>
        </w:rPr>
        <w:t>najmä podľa článku 154 ods. 1, článku 157, článku 158 ods. 1</w:t>
      </w:r>
      <w:r w:rsidR="004F01E9" w:rsidRPr="0059109E">
        <w:rPr>
          <w:noProof/>
          <w:spacing w:val="-4"/>
        </w:rPr>
        <w:t xml:space="preserve"> a </w:t>
      </w:r>
      <w:r w:rsidRPr="0059109E">
        <w:rPr>
          <w:noProof/>
          <w:spacing w:val="-4"/>
        </w:rPr>
        <w:t>10, hodnoty LGD použité ako vstupné údaje vo vzorcoch na výpočet rizikových váh</w:t>
      </w:r>
      <w:r w:rsidR="004F01E9" w:rsidRPr="0059109E">
        <w:rPr>
          <w:noProof/>
          <w:spacing w:val="-4"/>
        </w:rPr>
        <w:t xml:space="preserve"> a </w:t>
      </w:r>
      <w:r w:rsidRPr="0059109E">
        <w:rPr>
          <w:noProof/>
          <w:spacing w:val="-4"/>
        </w:rPr>
        <w:t>očakávaných strát nesmú byť nižšie ako spodné hranice pre vstupné hodnoty LGD stanovené</w:t>
      </w:r>
      <w:r w:rsidR="004F01E9" w:rsidRPr="0059109E">
        <w:rPr>
          <w:noProof/>
          <w:spacing w:val="-4"/>
        </w:rPr>
        <w:t xml:space="preserve"> v </w:t>
      </w:r>
      <w:r w:rsidRPr="0059109E">
        <w:rPr>
          <w:noProof/>
          <w:spacing w:val="-4"/>
        </w:rPr>
        <w:t>tabuľke 2aa</w:t>
      </w:r>
      <w:r w:rsidR="004F01E9" w:rsidRPr="0059109E">
        <w:rPr>
          <w:noProof/>
          <w:spacing w:val="-4"/>
        </w:rPr>
        <w:t xml:space="preserve"> a v </w:t>
      </w:r>
      <w:r w:rsidRPr="0059109E">
        <w:rPr>
          <w:noProof/>
          <w:spacing w:val="-4"/>
        </w:rPr>
        <w:t>súlade</w:t>
      </w:r>
      <w:r w:rsidR="004F01E9" w:rsidRPr="0059109E">
        <w:rPr>
          <w:noProof/>
          <w:spacing w:val="-4"/>
        </w:rPr>
        <w:t xml:space="preserve"> s </w:t>
      </w:r>
      <w:r w:rsidRPr="0059109E">
        <w:rPr>
          <w:noProof/>
          <w:spacing w:val="-4"/>
        </w:rPr>
        <w:t>odsekmi 4a</w:t>
      </w:r>
      <w:r w:rsidR="004F01E9" w:rsidRPr="0059109E">
        <w:rPr>
          <w:noProof/>
          <w:spacing w:val="-4"/>
        </w:rPr>
        <w:t xml:space="preserve"> a </w:t>
      </w:r>
      <w:r w:rsidRPr="0059109E">
        <w:rPr>
          <w:noProof/>
          <w:spacing w:val="-4"/>
        </w:rPr>
        <w:t>4b:</w:t>
      </w:r>
    </w:p>
    <w:p w14:paraId="70DA3CE6" w14:textId="5621E2E2" w:rsidR="00513EEE" w:rsidRPr="004F01E9" w:rsidRDefault="00513EEE" w:rsidP="00513EEE">
      <w:pPr>
        <w:pStyle w:val="Text1"/>
        <w:jc w:val="center"/>
        <w:rPr>
          <w:i/>
          <w:noProof/>
        </w:rPr>
      </w:pPr>
      <w:r w:rsidRPr="004F01E9">
        <w:rPr>
          <w:i/>
          <w:noProof/>
        </w:rPr>
        <w:t>Tabuľka 2aa</w:t>
      </w:r>
    </w:p>
    <w:tbl>
      <w:tblPr>
        <w:tblStyle w:val="TableGrid"/>
        <w:tblW w:w="0" w:type="auto"/>
        <w:tblInd w:w="850" w:type="dxa"/>
        <w:tblLook w:val="04A0" w:firstRow="1" w:lastRow="0" w:firstColumn="1" w:lastColumn="0" w:noHBand="0" w:noVBand="1"/>
      </w:tblPr>
      <w:tblGrid>
        <w:gridCol w:w="3365"/>
        <w:gridCol w:w="1547"/>
        <w:gridCol w:w="1855"/>
        <w:gridCol w:w="1672"/>
      </w:tblGrid>
      <w:tr w:rsidR="00513EEE" w:rsidRPr="004F01E9" w14:paraId="0141E30F" w14:textId="77777777" w:rsidTr="00513EEE">
        <w:tc>
          <w:tcPr>
            <w:tcW w:w="8439" w:type="dxa"/>
            <w:gridSpan w:val="4"/>
            <w:vAlign w:val="center"/>
          </w:tcPr>
          <w:p w14:paraId="7F5F2CAD" w14:textId="4D978826" w:rsidR="00513EEE" w:rsidRPr="004F01E9" w:rsidRDefault="00513EEE" w:rsidP="00513EEE">
            <w:pPr>
              <w:pStyle w:val="Text1"/>
              <w:ind w:left="0"/>
              <w:jc w:val="center"/>
              <w:rPr>
                <w:noProof/>
              </w:rPr>
            </w:pPr>
            <w:r w:rsidRPr="004F01E9">
              <w:rPr>
                <w:noProof/>
              </w:rPr>
              <w:t>Spodné hranice pre vstupné hodnoty LGD (LGD</w:t>
            </w:r>
            <w:r w:rsidRPr="004F01E9">
              <w:rPr>
                <w:noProof/>
                <w:vertAlign w:val="subscript"/>
              </w:rPr>
              <w:t>floor</w:t>
            </w:r>
            <w:r w:rsidRPr="004F01E9">
              <w:rPr>
                <w:noProof/>
              </w:rPr>
              <w:t>)</w:t>
            </w:r>
            <w:r w:rsidR="004F01E9">
              <w:rPr>
                <w:noProof/>
              </w:rPr>
              <w:t xml:space="preserve"> v </w:t>
            </w:r>
            <w:r w:rsidRPr="004F01E9">
              <w:rPr>
                <w:noProof/>
              </w:rPr>
              <w:t>prípade retailových expozícií</w:t>
            </w:r>
          </w:p>
        </w:tc>
      </w:tr>
      <w:tr w:rsidR="00513EEE" w:rsidRPr="004F01E9" w14:paraId="72AD55FC" w14:textId="77777777" w:rsidTr="00513EEE">
        <w:tc>
          <w:tcPr>
            <w:tcW w:w="4912" w:type="dxa"/>
            <w:gridSpan w:val="2"/>
            <w:vAlign w:val="center"/>
          </w:tcPr>
          <w:p w14:paraId="57B073D0" w14:textId="77777777" w:rsidR="00513EEE" w:rsidRPr="004F01E9" w:rsidRDefault="00513EEE" w:rsidP="00513EEE">
            <w:pPr>
              <w:pStyle w:val="Text1"/>
              <w:ind w:left="0"/>
              <w:jc w:val="center"/>
              <w:rPr>
                <w:noProof/>
              </w:rPr>
            </w:pPr>
            <w:r w:rsidRPr="004F01E9">
              <w:rPr>
                <w:noProof/>
              </w:rPr>
              <w:t>expozícia bez FCP (LGD</w:t>
            </w:r>
            <w:r w:rsidRPr="004F01E9">
              <w:rPr>
                <w:noProof/>
                <w:vertAlign w:val="subscript"/>
              </w:rPr>
              <w:t>U-floor</w:t>
            </w:r>
            <w:r w:rsidRPr="004F01E9">
              <w:rPr>
                <w:noProof/>
              </w:rPr>
              <w:t>)</w:t>
            </w:r>
          </w:p>
        </w:tc>
        <w:tc>
          <w:tcPr>
            <w:tcW w:w="3527" w:type="dxa"/>
            <w:gridSpan w:val="2"/>
            <w:vAlign w:val="center"/>
          </w:tcPr>
          <w:p w14:paraId="2757E9B4" w14:textId="77777777" w:rsidR="00513EEE" w:rsidRPr="004F01E9" w:rsidRDefault="00513EEE" w:rsidP="00513EEE">
            <w:pPr>
              <w:pStyle w:val="Text1"/>
              <w:ind w:left="0"/>
              <w:jc w:val="center"/>
              <w:rPr>
                <w:noProof/>
              </w:rPr>
            </w:pPr>
            <w:r w:rsidRPr="004F01E9">
              <w:rPr>
                <w:noProof/>
              </w:rPr>
              <w:t>expozícia zabezpečená FCP (LGD</w:t>
            </w:r>
            <w:r w:rsidRPr="004F01E9">
              <w:rPr>
                <w:noProof/>
                <w:vertAlign w:val="subscript"/>
              </w:rPr>
              <w:t>S-floor</w:t>
            </w:r>
            <w:r w:rsidRPr="004F01E9">
              <w:rPr>
                <w:noProof/>
              </w:rPr>
              <w:t>)</w:t>
            </w:r>
          </w:p>
        </w:tc>
      </w:tr>
      <w:tr w:rsidR="00513EEE" w:rsidRPr="004F01E9" w14:paraId="5261C158" w14:textId="77777777" w:rsidTr="00513EEE">
        <w:tc>
          <w:tcPr>
            <w:tcW w:w="3365" w:type="dxa"/>
            <w:vAlign w:val="center"/>
          </w:tcPr>
          <w:p w14:paraId="7EC89C34" w14:textId="77777777" w:rsidR="00513EEE" w:rsidRPr="004F01E9" w:rsidRDefault="00513EEE" w:rsidP="00513EEE">
            <w:pPr>
              <w:pStyle w:val="Text1"/>
              <w:ind w:left="0"/>
              <w:jc w:val="center"/>
              <w:rPr>
                <w:noProof/>
              </w:rPr>
            </w:pPr>
            <w:r w:rsidRPr="004F01E9">
              <w:rPr>
                <w:noProof/>
              </w:rPr>
              <w:t xml:space="preserve">retailová expozícia zabezpečená nehnuteľným majetkom určeným na bývanie </w:t>
            </w:r>
          </w:p>
        </w:tc>
        <w:tc>
          <w:tcPr>
            <w:tcW w:w="1547" w:type="dxa"/>
            <w:vAlign w:val="center"/>
          </w:tcPr>
          <w:p w14:paraId="711D7A3D" w14:textId="77777777" w:rsidR="00513EEE" w:rsidRPr="004F01E9" w:rsidRDefault="00513EEE" w:rsidP="00513EEE">
            <w:pPr>
              <w:pStyle w:val="Text1"/>
              <w:ind w:left="0"/>
              <w:jc w:val="center"/>
              <w:rPr>
                <w:noProof/>
              </w:rPr>
            </w:pPr>
            <w:r w:rsidRPr="004F01E9">
              <w:rPr>
                <w:noProof/>
              </w:rPr>
              <w:t>neuvádza sa</w:t>
            </w:r>
          </w:p>
        </w:tc>
        <w:tc>
          <w:tcPr>
            <w:tcW w:w="1855" w:type="dxa"/>
            <w:vAlign w:val="center"/>
          </w:tcPr>
          <w:p w14:paraId="12E76009" w14:textId="77777777" w:rsidR="00513EEE" w:rsidRPr="004F01E9" w:rsidRDefault="00513EEE" w:rsidP="00513EEE">
            <w:pPr>
              <w:pStyle w:val="Text1"/>
              <w:ind w:left="0"/>
              <w:jc w:val="center"/>
              <w:rPr>
                <w:noProof/>
              </w:rPr>
            </w:pPr>
            <w:r w:rsidRPr="004F01E9">
              <w:rPr>
                <w:noProof/>
              </w:rPr>
              <w:t xml:space="preserve">retailová expozícia zabezpečená nehnuteľným majetkom určeným na bývanie </w:t>
            </w:r>
          </w:p>
        </w:tc>
        <w:tc>
          <w:tcPr>
            <w:tcW w:w="1672" w:type="dxa"/>
            <w:vAlign w:val="center"/>
          </w:tcPr>
          <w:p w14:paraId="515C0612" w14:textId="6FF6180C" w:rsidR="00513EEE" w:rsidRPr="004F01E9" w:rsidRDefault="00513EEE" w:rsidP="00513EEE">
            <w:pPr>
              <w:pStyle w:val="Text1"/>
              <w:ind w:left="0"/>
              <w:jc w:val="center"/>
              <w:rPr>
                <w:noProof/>
              </w:rPr>
            </w:pPr>
            <w:r w:rsidRPr="004F01E9">
              <w:rPr>
                <w:noProof/>
              </w:rPr>
              <w:t>5</w:t>
            </w:r>
            <w:r w:rsidR="004F01E9">
              <w:rPr>
                <w:noProof/>
              </w:rPr>
              <w:t> %</w:t>
            </w:r>
          </w:p>
        </w:tc>
      </w:tr>
      <w:tr w:rsidR="00513EEE" w:rsidRPr="004F01E9" w14:paraId="02C90B1C" w14:textId="77777777" w:rsidTr="00513EEE">
        <w:tc>
          <w:tcPr>
            <w:tcW w:w="3365" w:type="dxa"/>
            <w:vAlign w:val="center"/>
          </w:tcPr>
          <w:p w14:paraId="0B4340E3" w14:textId="77777777" w:rsidR="00513EEE" w:rsidRPr="004F01E9" w:rsidRDefault="00513EEE" w:rsidP="00513EEE">
            <w:pPr>
              <w:pStyle w:val="Text1"/>
              <w:ind w:left="0"/>
              <w:jc w:val="center"/>
              <w:rPr>
                <w:noProof/>
              </w:rPr>
            </w:pPr>
            <w:r w:rsidRPr="004F01E9">
              <w:rPr>
                <w:noProof/>
              </w:rPr>
              <w:t>QRRE</w:t>
            </w:r>
          </w:p>
        </w:tc>
        <w:tc>
          <w:tcPr>
            <w:tcW w:w="1547" w:type="dxa"/>
            <w:vAlign w:val="center"/>
          </w:tcPr>
          <w:p w14:paraId="2E1CF7DE" w14:textId="22763195" w:rsidR="00513EEE" w:rsidRPr="004F01E9" w:rsidRDefault="00513EEE" w:rsidP="00513EEE">
            <w:pPr>
              <w:pStyle w:val="Text1"/>
              <w:ind w:left="0"/>
              <w:jc w:val="center"/>
              <w:rPr>
                <w:noProof/>
              </w:rPr>
            </w:pPr>
            <w:r w:rsidRPr="004F01E9">
              <w:rPr>
                <w:noProof/>
              </w:rPr>
              <w:t>50</w:t>
            </w:r>
            <w:r w:rsidR="004F01E9">
              <w:rPr>
                <w:noProof/>
              </w:rPr>
              <w:t> %</w:t>
            </w:r>
          </w:p>
        </w:tc>
        <w:tc>
          <w:tcPr>
            <w:tcW w:w="1855" w:type="dxa"/>
            <w:vAlign w:val="center"/>
          </w:tcPr>
          <w:p w14:paraId="285DCA5B" w14:textId="77777777" w:rsidR="00513EEE" w:rsidRPr="004F01E9" w:rsidRDefault="00513EEE" w:rsidP="00513EEE">
            <w:pPr>
              <w:pStyle w:val="Text1"/>
              <w:ind w:left="0"/>
              <w:jc w:val="center"/>
              <w:rPr>
                <w:noProof/>
              </w:rPr>
            </w:pPr>
            <w:r w:rsidRPr="004F01E9">
              <w:rPr>
                <w:noProof/>
              </w:rPr>
              <w:t>QRRE</w:t>
            </w:r>
          </w:p>
        </w:tc>
        <w:tc>
          <w:tcPr>
            <w:tcW w:w="1672" w:type="dxa"/>
            <w:vAlign w:val="center"/>
          </w:tcPr>
          <w:p w14:paraId="3128BC35" w14:textId="77777777" w:rsidR="00513EEE" w:rsidRPr="004F01E9" w:rsidRDefault="00513EEE" w:rsidP="00513EEE">
            <w:pPr>
              <w:pStyle w:val="Text1"/>
              <w:ind w:left="0"/>
              <w:jc w:val="center"/>
              <w:rPr>
                <w:noProof/>
              </w:rPr>
            </w:pPr>
            <w:r w:rsidRPr="004F01E9">
              <w:rPr>
                <w:noProof/>
              </w:rPr>
              <w:t>neuvádza sa</w:t>
            </w:r>
          </w:p>
        </w:tc>
      </w:tr>
      <w:tr w:rsidR="00513EEE" w:rsidRPr="004F01E9" w14:paraId="7B3DDF1F" w14:textId="77777777" w:rsidTr="00513EEE">
        <w:tc>
          <w:tcPr>
            <w:tcW w:w="3365" w:type="dxa"/>
            <w:vMerge w:val="restart"/>
            <w:vAlign w:val="center"/>
          </w:tcPr>
          <w:p w14:paraId="75BBDA14" w14:textId="77777777" w:rsidR="00513EEE" w:rsidRPr="004F01E9" w:rsidRDefault="00513EEE" w:rsidP="00513EEE">
            <w:pPr>
              <w:pStyle w:val="Text1"/>
              <w:ind w:left="0"/>
              <w:jc w:val="center"/>
              <w:rPr>
                <w:noProof/>
              </w:rPr>
            </w:pPr>
            <w:r w:rsidRPr="004F01E9">
              <w:rPr>
                <w:noProof/>
              </w:rPr>
              <w:t>iná retailová expozícia</w:t>
            </w:r>
          </w:p>
        </w:tc>
        <w:tc>
          <w:tcPr>
            <w:tcW w:w="1547" w:type="dxa"/>
            <w:vMerge w:val="restart"/>
            <w:vAlign w:val="center"/>
          </w:tcPr>
          <w:p w14:paraId="42AA3837" w14:textId="09E9AF99" w:rsidR="00513EEE" w:rsidRPr="004F01E9" w:rsidRDefault="00513EEE" w:rsidP="00513EEE">
            <w:pPr>
              <w:pStyle w:val="Text1"/>
              <w:ind w:left="0"/>
              <w:jc w:val="center"/>
              <w:rPr>
                <w:noProof/>
              </w:rPr>
            </w:pPr>
            <w:r w:rsidRPr="004F01E9">
              <w:rPr>
                <w:noProof/>
              </w:rPr>
              <w:t>30</w:t>
            </w:r>
            <w:r w:rsidR="004F01E9">
              <w:rPr>
                <w:noProof/>
              </w:rPr>
              <w:t> %</w:t>
            </w:r>
          </w:p>
          <w:p w14:paraId="173B65A2" w14:textId="77777777" w:rsidR="00513EEE" w:rsidRPr="004F01E9" w:rsidRDefault="00513EEE" w:rsidP="00513EEE">
            <w:pPr>
              <w:pStyle w:val="Text1"/>
              <w:ind w:left="0"/>
              <w:jc w:val="center"/>
              <w:rPr>
                <w:noProof/>
              </w:rPr>
            </w:pPr>
          </w:p>
        </w:tc>
        <w:tc>
          <w:tcPr>
            <w:tcW w:w="1855" w:type="dxa"/>
            <w:vAlign w:val="center"/>
          </w:tcPr>
          <w:p w14:paraId="5CB6AE8C" w14:textId="77777777" w:rsidR="00513EEE" w:rsidRPr="004F01E9" w:rsidRDefault="00513EEE" w:rsidP="00513EEE">
            <w:pPr>
              <w:pStyle w:val="Text1"/>
              <w:ind w:left="0"/>
              <w:jc w:val="center"/>
              <w:rPr>
                <w:noProof/>
              </w:rPr>
            </w:pPr>
            <w:r w:rsidRPr="004F01E9">
              <w:rPr>
                <w:noProof/>
              </w:rPr>
              <w:t>iná retailová expozícia zabezpečená finančným kolaterálom</w:t>
            </w:r>
          </w:p>
        </w:tc>
        <w:tc>
          <w:tcPr>
            <w:tcW w:w="1672" w:type="dxa"/>
            <w:vAlign w:val="center"/>
          </w:tcPr>
          <w:p w14:paraId="675321A0" w14:textId="1EA86B3D" w:rsidR="00513EEE" w:rsidRPr="004F01E9" w:rsidRDefault="00513EEE" w:rsidP="00513EEE">
            <w:pPr>
              <w:pStyle w:val="Text1"/>
              <w:ind w:left="0"/>
              <w:jc w:val="center"/>
              <w:rPr>
                <w:noProof/>
              </w:rPr>
            </w:pPr>
            <w:r w:rsidRPr="004F01E9">
              <w:rPr>
                <w:noProof/>
              </w:rPr>
              <w:t>0</w:t>
            </w:r>
            <w:r w:rsidR="004F01E9">
              <w:rPr>
                <w:noProof/>
              </w:rPr>
              <w:t> %</w:t>
            </w:r>
          </w:p>
        </w:tc>
      </w:tr>
      <w:tr w:rsidR="00513EEE" w:rsidRPr="004F01E9" w14:paraId="10B98332" w14:textId="77777777" w:rsidTr="00513EEE">
        <w:tc>
          <w:tcPr>
            <w:tcW w:w="3365" w:type="dxa"/>
            <w:vMerge/>
            <w:vAlign w:val="center"/>
          </w:tcPr>
          <w:p w14:paraId="0FA5ACF7" w14:textId="77777777" w:rsidR="00513EEE" w:rsidRPr="004F01E9" w:rsidRDefault="00513EEE" w:rsidP="00513EEE">
            <w:pPr>
              <w:pStyle w:val="Text1"/>
              <w:ind w:left="0"/>
              <w:jc w:val="center"/>
              <w:rPr>
                <w:noProof/>
              </w:rPr>
            </w:pPr>
          </w:p>
        </w:tc>
        <w:tc>
          <w:tcPr>
            <w:tcW w:w="1547" w:type="dxa"/>
            <w:vMerge/>
            <w:vAlign w:val="center"/>
          </w:tcPr>
          <w:p w14:paraId="61E92737" w14:textId="77777777" w:rsidR="00513EEE" w:rsidRPr="004F01E9" w:rsidRDefault="00513EEE" w:rsidP="00513EEE">
            <w:pPr>
              <w:pStyle w:val="Text1"/>
              <w:ind w:left="0"/>
              <w:jc w:val="center"/>
              <w:rPr>
                <w:noProof/>
              </w:rPr>
            </w:pPr>
          </w:p>
        </w:tc>
        <w:tc>
          <w:tcPr>
            <w:tcW w:w="1855" w:type="dxa"/>
            <w:vAlign w:val="center"/>
          </w:tcPr>
          <w:p w14:paraId="48925E9E" w14:textId="77777777" w:rsidR="00513EEE" w:rsidRPr="004F01E9" w:rsidRDefault="00513EEE" w:rsidP="00513EEE">
            <w:pPr>
              <w:pStyle w:val="Text1"/>
              <w:ind w:left="0"/>
              <w:jc w:val="center"/>
              <w:rPr>
                <w:noProof/>
              </w:rPr>
            </w:pPr>
            <w:r w:rsidRPr="004F01E9">
              <w:rPr>
                <w:noProof/>
              </w:rPr>
              <w:t>iná retailová expozícia zabezpečená pohľadávkami</w:t>
            </w:r>
          </w:p>
        </w:tc>
        <w:tc>
          <w:tcPr>
            <w:tcW w:w="1672" w:type="dxa"/>
            <w:vAlign w:val="center"/>
          </w:tcPr>
          <w:p w14:paraId="3244B3FB" w14:textId="70476538" w:rsidR="00513EEE" w:rsidRPr="004F01E9" w:rsidRDefault="00513EEE" w:rsidP="00513EEE">
            <w:pPr>
              <w:pStyle w:val="Text1"/>
              <w:ind w:left="0"/>
              <w:jc w:val="center"/>
              <w:rPr>
                <w:noProof/>
              </w:rPr>
            </w:pPr>
            <w:r w:rsidRPr="004F01E9">
              <w:rPr>
                <w:noProof/>
              </w:rPr>
              <w:t>10</w:t>
            </w:r>
            <w:r w:rsidR="004F01E9">
              <w:rPr>
                <w:noProof/>
              </w:rPr>
              <w:t> %</w:t>
            </w:r>
          </w:p>
        </w:tc>
      </w:tr>
      <w:tr w:rsidR="00513EEE" w:rsidRPr="004F01E9" w14:paraId="4346111B" w14:textId="77777777" w:rsidTr="00513EEE">
        <w:tc>
          <w:tcPr>
            <w:tcW w:w="3365" w:type="dxa"/>
            <w:vMerge/>
            <w:vAlign w:val="center"/>
          </w:tcPr>
          <w:p w14:paraId="37EAD4EE" w14:textId="77777777" w:rsidR="00513EEE" w:rsidRPr="004F01E9" w:rsidRDefault="00513EEE" w:rsidP="00513EEE">
            <w:pPr>
              <w:pStyle w:val="Text1"/>
              <w:ind w:left="0"/>
              <w:jc w:val="center"/>
              <w:rPr>
                <w:noProof/>
              </w:rPr>
            </w:pPr>
          </w:p>
        </w:tc>
        <w:tc>
          <w:tcPr>
            <w:tcW w:w="1547" w:type="dxa"/>
            <w:vMerge/>
            <w:vAlign w:val="center"/>
          </w:tcPr>
          <w:p w14:paraId="46F7780A" w14:textId="77777777" w:rsidR="00513EEE" w:rsidRPr="004F01E9" w:rsidRDefault="00513EEE" w:rsidP="00513EEE">
            <w:pPr>
              <w:pStyle w:val="Text1"/>
              <w:ind w:left="0"/>
              <w:jc w:val="center"/>
              <w:rPr>
                <w:noProof/>
              </w:rPr>
            </w:pPr>
          </w:p>
        </w:tc>
        <w:tc>
          <w:tcPr>
            <w:tcW w:w="1855" w:type="dxa"/>
            <w:vAlign w:val="center"/>
          </w:tcPr>
          <w:p w14:paraId="1EC4FFB6" w14:textId="77777777" w:rsidR="00513EEE" w:rsidRPr="004F01E9" w:rsidRDefault="00513EEE" w:rsidP="00513EEE">
            <w:pPr>
              <w:pStyle w:val="Text1"/>
              <w:ind w:left="0"/>
              <w:jc w:val="center"/>
              <w:rPr>
                <w:noProof/>
              </w:rPr>
            </w:pPr>
            <w:r w:rsidRPr="004F01E9">
              <w:rPr>
                <w:noProof/>
              </w:rPr>
              <w:t>iná retailová expozícia zabezpečená nehnuteľným majetkom určeným na bývanie alebo na podnikanie</w:t>
            </w:r>
          </w:p>
        </w:tc>
        <w:tc>
          <w:tcPr>
            <w:tcW w:w="1672" w:type="dxa"/>
            <w:vAlign w:val="center"/>
          </w:tcPr>
          <w:p w14:paraId="0692A810" w14:textId="538479E4" w:rsidR="00513EEE" w:rsidRPr="004F01E9" w:rsidRDefault="00513EEE" w:rsidP="00513EEE">
            <w:pPr>
              <w:pStyle w:val="Text1"/>
              <w:ind w:left="0"/>
              <w:jc w:val="center"/>
              <w:rPr>
                <w:noProof/>
              </w:rPr>
            </w:pPr>
            <w:r w:rsidRPr="004F01E9">
              <w:rPr>
                <w:noProof/>
              </w:rPr>
              <w:t>10</w:t>
            </w:r>
            <w:r w:rsidR="004F01E9">
              <w:rPr>
                <w:noProof/>
              </w:rPr>
              <w:t> %</w:t>
            </w:r>
          </w:p>
        </w:tc>
      </w:tr>
      <w:tr w:rsidR="00513EEE" w:rsidRPr="004F01E9" w14:paraId="6805149C" w14:textId="77777777" w:rsidTr="00513EEE">
        <w:tc>
          <w:tcPr>
            <w:tcW w:w="3365" w:type="dxa"/>
            <w:vMerge/>
            <w:vAlign w:val="center"/>
          </w:tcPr>
          <w:p w14:paraId="720B017C" w14:textId="77777777" w:rsidR="00513EEE" w:rsidRPr="004F01E9" w:rsidRDefault="00513EEE" w:rsidP="00513EEE">
            <w:pPr>
              <w:pStyle w:val="Text1"/>
              <w:ind w:left="0"/>
              <w:jc w:val="center"/>
              <w:rPr>
                <w:noProof/>
              </w:rPr>
            </w:pPr>
          </w:p>
        </w:tc>
        <w:tc>
          <w:tcPr>
            <w:tcW w:w="1547" w:type="dxa"/>
            <w:vMerge/>
            <w:vAlign w:val="center"/>
          </w:tcPr>
          <w:p w14:paraId="2B44F998" w14:textId="77777777" w:rsidR="00513EEE" w:rsidRPr="004F01E9" w:rsidRDefault="00513EEE" w:rsidP="00513EEE">
            <w:pPr>
              <w:pStyle w:val="Text1"/>
              <w:ind w:left="0"/>
              <w:jc w:val="center"/>
              <w:rPr>
                <w:noProof/>
              </w:rPr>
            </w:pPr>
          </w:p>
        </w:tc>
        <w:tc>
          <w:tcPr>
            <w:tcW w:w="1855" w:type="dxa"/>
            <w:vAlign w:val="center"/>
          </w:tcPr>
          <w:p w14:paraId="10280653" w14:textId="77777777" w:rsidR="00513EEE" w:rsidRPr="004F01E9" w:rsidRDefault="00513EEE" w:rsidP="00513EEE">
            <w:pPr>
              <w:pStyle w:val="Text1"/>
              <w:ind w:left="0"/>
              <w:jc w:val="center"/>
              <w:rPr>
                <w:noProof/>
              </w:rPr>
            </w:pPr>
            <w:r w:rsidRPr="004F01E9">
              <w:rPr>
                <w:noProof/>
              </w:rPr>
              <w:t>iná retailová expozícia zabezpečená iným nefinančným kolaterálom</w:t>
            </w:r>
          </w:p>
        </w:tc>
        <w:tc>
          <w:tcPr>
            <w:tcW w:w="1672" w:type="dxa"/>
            <w:vAlign w:val="center"/>
          </w:tcPr>
          <w:p w14:paraId="6A876A47" w14:textId="1C3971A9" w:rsidR="00513EEE" w:rsidRPr="004F01E9" w:rsidRDefault="00513EEE" w:rsidP="00513EEE">
            <w:pPr>
              <w:pStyle w:val="Text1"/>
              <w:ind w:left="0"/>
              <w:jc w:val="center"/>
              <w:rPr>
                <w:noProof/>
              </w:rPr>
            </w:pPr>
            <w:r w:rsidRPr="004F01E9">
              <w:rPr>
                <w:noProof/>
              </w:rPr>
              <w:t>15</w:t>
            </w:r>
            <w:r w:rsidR="004F01E9">
              <w:rPr>
                <w:noProof/>
              </w:rPr>
              <w:t> %</w:t>
            </w:r>
          </w:p>
        </w:tc>
      </w:tr>
      <w:tr w:rsidR="00513EEE" w:rsidRPr="004F01E9" w14:paraId="67ACC3C8" w14:textId="77777777" w:rsidTr="00513EEE">
        <w:tc>
          <w:tcPr>
            <w:tcW w:w="3365" w:type="dxa"/>
            <w:vMerge/>
            <w:vAlign w:val="center"/>
          </w:tcPr>
          <w:p w14:paraId="25F49750" w14:textId="77777777" w:rsidR="00513EEE" w:rsidRPr="004F01E9" w:rsidRDefault="00513EEE" w:rsidP="00513EEE">
            <w:pPr>
              <w:pStyle w:val="Text1"/>
              <w:ind w:left="0"/>
              <w:jc w:val="center"/>
              <w:rPr>
                <w:noProof/>
              </w:rPr>
            </w:pPr>
          </w:p>
        </w:tc>
        <w:tc>
          <w:tcPr>
            <w:tcW w:w="1547" w:type="dxa"/>
            <w:vMerge/>
            <w:vAlign w:val="center"/>
          </w:tcPr>
          <w:p w14:paraId="335DAE75" w14:textId="77777777" w:rsidR="00513EEE" w:rsidRPr="004F01E9" w:rsidRDefault="00513EEE" w:rsidP="00513EEE">
            <w:pPr>
              <w:pStyle w:val="Text1"/>
              <w:ind w:left="0"/>
              <w:jc w:val="center"/>
              <w:rPr>
                <w:noProof/>
              </w:rPr>
            </w:pPr>
          </w:p>
        </w:tc>
        <w:tc>
          <w:tcPr>
            <w:tcW w:w="1855" w:type="dxa"/>
            <w:vAlign w:val="center"/>
          </w:tcPr>
          <w:p w14:paraId="2BFA828A" w14:textId="77777777" w:rsidR="00513EEE" w:rsidRPr="004F01E9" w:rsidRDefault="00513EEE" w:rsidP="00513EEE">
            <w:pPr>
              <w:pStyle w:val="Text1"/>
              <w:ind w:left="0"/>
              <w:jc w:val="center"/>
              <w:rPr>
                <w:noProof/>
              </w:rPr>
            </w:pPr>
          </w:p>
        </w:tc>
        <w:tc>
          <w:tcPr>
            <w:tcW w:w="1672" w:type="dxa"/>
            <w:vAlign w:val="center"/>
          </w:tcPr>
          <w:p w14:paraId="446EBF46" w14:textId="77777777" w:rsidR="00513EEE" w:rsidRPr="004F01E9" w:rsidRDefault="00513EEE" w:rsidP="00513EEE">
            <w:pPr>
              <w:pStyle w:val="Text1"/>
              <w:ind w:left="0"/>
              <w:jc w:val="center"/>
              <w:rPr>
                <w:noProof/>
              </w:rPr>
            </w:pPr>
          </w:p>
        </w:tc>
      </w:tr>
    </w:tbl>
    <w:p w14:paraId="69DFCA50" w14:textId="77777777" w:rsidR="00513EEE" w:rsidRPr="004F01E9" w:rsidRDefault="00513EEE" w:rsidP="00513EEE">
      <w:pPr>
        <w:pStyle w:val="Text1"/>
        <w:rPr>
          <w:noProof/>
        </w:rPr>
      </w:pPr>
      <w:r w:rsidRPr="004F01E9">
        <w:rPr>
          <w:noProof/>
        </w:rPr>
        <w:t>“;</w:t>
      </w:r>
    </w:p>
    <w:p w14:paraId="5E120F44" w14:textId="1DEE06F8" w:rsidR="00806B81" w:rsidRPr="004F01E9" w:rsidRDefault="005607C2" w:rsidP="005607C2">
      <w:pPr>
        <w:pStyle w:val="Point1"/>
        <w:rPr>
          <w:noProof/>
        </w:rPr>
      </w:pPr>
      <w:r w:rsidRPr="004F01E9">
        <w:rPr>
          <w:noProof/>
        </w:rPr>
        <w:t>d)</w:t>
      </w:r>
      <w:r w:rsidRPr="004F01E9">
        <w:rPr>
          <w:noProof/>
        </w:rPr>
        <w:tab/>
        <w:t>Vkladajú sa tieto odseky 4a</w:t>
      </w:r>
      <w:r w:rsidR="004F01E9">
        <w:rPr>
          <w:noProof/>
        </w:rPr>
        <w:t xml:space="preserve"> a </w:t>
      </w:r>
      <w:r w:rsidRPr="004F01E9">
        <w:rPr>
          <w:noProof/>
        </w:rPr>
        <w:t>4b:</w:t>
      </w:r>
    </w:p>
    <w:p w14:paraId="33CD90B3" w14:textId="3A90BF92" w:rsidR="00513EEE" w:rsidRPr="004F01E9" w:rsidRDefault="00513EEE" w:rsidP="005607C2">
      <w:pPr>
        <w:pStyle w:val="Text2"/>
        <w:rPr>
          <w:noProof/>
        </w:rPr>
      </w:pPr>
      <w:r w:rsidRPr="004F01E9">
        <w:rPr>
          <w:noProof/>
        </w:rPr>
        <w:t>„4a. Na účely odseku 4 sa uplatňuje toto:</w:t>
      </w:r>
    </w:p>
    <w:p w14:paraId="6F45ED2D" w14:textId="746FF7EA" w:rsidR="00806B81" w:rsidRPr="004F01E9" w:rsidRDefault="005607C2" w:rsidP="005607C2">
      <w:pPr>
        <w:pStyle w:val="Point2"/>
        <w:rPr>
          <w:noProof/>
        </w:rPr>
      </w:pPr>
      <w:r w:rsidRPr="004F01E9">
        <w:rPr>
          <w:noProof/>
        </w:rPr>
        <w:t>a)</w:t>
      </w:r>
      <w:r w:rsidRPr="004F01E9">
        <w:rPr>
          <w:noProof/>
        </w:rPr>
        <w:tab/>
        <w:t>spodné hranice pre vstupné hodnoty LGD uvedené</w:t>
      </w:r>
      <w:r w:rsidR="004F01E9">
        <w:rPr>
          <w:noProof/>
        </w:rPr>
        <w:t xml:space="preserve"> v </w:t>
      </w:r>
      <w:r w:rsidRPr="004F01E9">
        <w:rPr>
          <w:noProof/>
        </w:rPr>
        <w:t>odseku 4 tabuľke 2aa sa uplatňujú na expozície zabezpečené FCP, ak je FCP prípustné podľa tejto kapitoly;</w:t>
      </w:r>
    </w:p>
    <w:p w14:paraId="3BB04401" w14:textId="57B8A16B" w:rsidR="00513EEE" w:rsidRPr="004F01E9" w:rsidRDefault="00513EEE" w:rsidP="005607C2">
      <w:pPr>
        <w:pStyle w:val="Point2"/>
        <w:rPr>
          <w:noProof/>
        </w:rPr>
      </w:pPr>
      <w:r w:rsidRPr="004F01E9">
        <w:rPr>
          <w:noProof/>
        </w:rPr>
        <w:t>b)</w:t>
      </w:r>
      <w:r w:rsidRPr="004F01E9">
        <w:rPr>
          <w:noProof/>
        </w:rPr>
        <w:tab/>
        <w:t>s výnimkou retailových expozícií zabezpečených nehnuteľným majetkom určeným na bývanie sa spodné hranice pre vstupné hodnoty LGD uvedené</w:t>
      </w:r>
      <w:r w:rsidR="004F01E9">
        <w:rPr>
          <w:noProof/>
        </w:rPr>
        <w:t xml:space="preserve"> v </w:t>
      </w:r>
      <w:r w:rsidRPr="004F01E9">
        <w:rPr>
          <w:noProof/>
        </w:rPr>
        <w:t>odseku 4 tabuľke 2aa uplatňujú na expozície plne zabezpečené FCP, ak je hodnota FCP po uplatnení príslušných úprav</w:t>
      </w:r>
      <w:r w:rsidR="004F01E9">
        <w:rPr>
          <w:noProof/>
        </w:rPr>
        <w:t xml:space="preserve"> z </w:t>
      </w:r>
      <w:r w:rsidRPr="004F01E9">
        <w:rPr>
          <w:noProof/>
        </w:rPr>
        <w:t>dôvodu volatility</w:t>
      </w:r>
      <w:r w:rsidR="004F01E9">
        <w:rPr>
          <w:noProof/>
        </w:rPr>
        <w:t xml:space="preserve"> v </w:t>
      </w:r>
      <w:r w:rsidRPr="004F01E9">
        <w:rPr>
          <w:noProof/>
        </w:rPr>
        <w:t>súlade</w:t>
      </w:r>
      <w:r w:rsidR="004F01E9">
        <w:rPr>
          <w:noProof/>
        </w:rPr>
        <w:t xml:space="preserve"> s </w:t>
      </w:r>
      <w:r w:rsidRPr="004F01E9">
        <w:rPr>
          <w:noProof/>
        </w:rPr>
        <w:t>článkom 230 rovnaká alebo vyššia ako hodnota podkladovej expozície;</w:t>
      </w:r>
    </w:p>
    <w:p w14:paraId="742D9CAC" w14:textId="0A8C7669" w:rsidR="00513EEE" w:rsidRPr="004F01E9" w:rsidRDefault="00513EEE" w:rsidP="00513EEE">
      <w:pPr>
        <w:pStyle w:val="Point2"/>
        <w:rPr>
          <w:noProof/>
        </w:rPr>
      </w:pPr>
      <w:r w:rsidRPr="004F01E9">
        <w:rPr>
          <w:noProof/>
        </w:rPr>
        <w:t>c)</w:t>
      </w:r>
      <w:r w:rsidRPr="004F01E9">
        <w:rPr>
          <w:noProof/>
        </w:rPr>
        <w:tab/>
        <w:t>s výnimkou retailových expozícií zabezpečených nehnuteľným majetkom určeným na bývanie sa uplatniteľná spodná hranica pre vstupné hodnoty LGD</w:t>
      </w:r>
      <w:r w:rsidR="004F01E9">
        <w:rPr>
          <w:noProof/>
        </w:rPr>
        <w:t xml:space="preserve"> v </w:t>
      </w:r>
      <w:r w:rsidRPr="004F01E9">
        <w:rPr>
          <w:noProof/>
        </w:rPr>
        <w:t>prípade expozície čiastočne zabezpečenej FCP vypočítava</w:t>
      </w:r>
      <w:r w:rsidR="004F01E9">
        <w:rPr>
          <w:noProof/>
        </w:rPr>
        <w:t xml:space="preserve"> v </w:t>
      </w:r>
      <w:r w:rsidRPr="004F01E9">
        <w:rPr>
          <w:noProof/>
        </w:rPr>
        <w:t>súlade so vzorcom stanoveným</w:t>
      </w:r>
      <w:r w:rsidR="004F01E9">
        <w:rPr>
          <w:noProof/>
        </w:rPr>
        <w:t xml:space="preserve"> v </w:t>
      </w:r>
      <w:r w:rsidRPr="004F01E9">
        <w:rPr>
          <w:noProof/>
        </w:rPr>
        <w:t>článku 161 ods. 5;</w:t>
      </w:r>
    </w:p>
    <w:p w14:paraId="14E0692C" w14:textId="7D7A62E7" w:rsidR="00513EEE" w:rsidRPr="004F01E9" w:rsidRDefault="00513EEE" w:rsidP="00513EEE">
      <w:pPr>
        <w:pStyle w:val="Point2"/>
        <w:rPr>
          <w:noProof/>
        </w:rPr>
      </w:pPr>
      <w:r w:rsidRPr="004F01E9">
        <w:rPr>
          <w:noProof/>
        </w:rPr>
        <w:t>d)</w:t>
      </w:r>
      <w:r w:rsidRPr="004F01E9">
        <w:rPr>
          <w:noProof/>
        </w:rPr>
        <w:tab/>
        <w:t>v prípade retailových expozícií zabezpečených nehnuteľným majetkom určeným na bývanie je uplatniteľná spodná hranica pre vstupné hodnoty LGD stanovená na 5</w:t>
      </w:r>
      <w:r w:rsidR="004F01E9">
        <w:rPr>
          <w:noProof/>
        </w:rPr>
        <w:t> %</w:t>
      </w:r>
      <w:r w:rsidRPr="004F01E9">
        <w:rPr>
          <w:noProof/>
        </w:rPr>
        <w:t xml:space="preserve"> bez ohľadu na úroveň kolaterálu poskytnutého vo forme nehnuteľného majetku určeného na bývanie.</w:t>
      </w:r>
    </w:p>
    <w:p w14:paraId="002F8C0A" w14:textId="1980D924" w:rsidR="00513EEE" w:rsidRPr="004F01E9" w:rsidRDefault="00513EEE" w:rsidP="005607C2">
      <w:pPr>
        <w:pStyle w:val="Text2"/>
        <w:rPr>
          <w:noProof/>
        </w:rPr>
      </w:pPr>
      <w:r w:rsidRPr="004F01E9">
        <w:rPr>
          <w:noProof/>
        </w:rPr>
        <w:t>4b. Ak inštitúcia nie je schopná vo vlastných odhadoch LGD uznať účinky FCP, ktorým je zabezpečená jedna</w:t>
      </w:r>
      <w:r w:rsidR="004F01E9">
        <w:rPr>
          <w:noProof/>
        </w:rPr>
        <w:t xml:space="preserve"> z </w:t>
      </w:r>
      <w:r w:rsidRPr="004F01E9">
        <w:rPr>
          <w:noProof/>
        </w:rPr>
        <w:t>expozícií tohto druhu expozícií, inštitúcii sa povoľuje uplatňovať vzorec stanovený</w:t>
      </w:r>
      <w:r w:rsidR="004F01E9">
        <w:rPr>
          <w:noProof/>
        </w:rPr>
        <w:t xml:space="preserve"> v </w:t>
      </w:r>
      <w:r w:rsidRPr="004F01E9">
        <w:rPr>
          <w:noProof/>
        </w:rPr>
        <w:t>článku 230</w:t>
      </w:r>
      <w:r w:rsidR="004F01E9">
        <w:rPr>
          <w:noProof/>
        </w:rPr>
        <w:t xml:space="preserve"> s </w:t>
      </w:r>
      <w:r w:rsidRPr="004F01E9">
        <w:rPr>
          <w:noProof/>
        </w:rPr>
        <w:t>tým rozdielom, že veličinou LGDU</w:t>
      </w:r>
      <w:r w:rsidR="004F01E9">
        <w:rPr>
          <w:noProof/>
        </w:rPr>
        <w:t xml:space="preserve"> v </w:t>
      </w:r>
      <w:r w:rsidRPr="004F01E9">
        <w:rPr>
          <w:noProof/>
        </w:rPr>
        <w:t>uvedenom vzorci je vlastný odhad LGD inštitúcie.</w:t>
      </w:r>
      <w:r w:rsidR="004F01E9">
        <w:rPr>
          <w:noProof/>
        </w:rPr>
        <w:t xml:space="preserve"> V </w:t>
      </w:r>
      <w:r w:rsidRPr="004F01E9">
        <w:rPr>
          <w:noProof/>
        </w:rPr>
        <w:t>takom prípade musí byť FCP prípustné</w:t>
      </w:r>
      <w:r w:rsidR="004F01E9">
        <w:rPr>
          <w:noProof/>
        </w:rPr>
        <w:t xml:space="preserve"> v </w:t>
      </w:r>
      <w:r w:rsidRPr="004F01E9">
        <w:rPr>
          <w:noProof/>
        </w:rPr>
        <w:t>súlade</w:t>
      </w:r>
      <w:r w:rsidR="004F01E9">
        <w:rPr>
          <w:noProof/>
        </w:rPr>
        <w:t xml:space="preserve"> s </w:t>
      </w:r>
      <w:r w:rsidRPr="004F01E9">
        <w:rPr>
          <w:noProof/>
        </w:rPr>
        <w:t>kapitolou 4</w:t>
      </w:r>
      <w:r w:rsidR="004F01E9">
        <w:rPr>
          <w:noProof/>
        </w:rPr>
        <w:t xml:space="preserve"> a </w:t>
      </w:r>
      <w:r w:rsidRPr="004F01E9">
        <w:rPr>
          <w:noProof/>
        </w:rPr>
        <w:t>vlastný odhad LGD inštitúcie použitý ako veličina LGDU sa vypočítava na základe podkladových údajov</w:t>
      </w:r>
      <w:r w:rsidR="004F01E9">
        <w:rPr>
          <w:noProof/>
        </w:rPr>
        <w:t xml:space="preserve"> o </w:t>
      </w:r>
      <w:r w:rsidRPr="004F01E9">
        <w:rPr>
          <w:noProof/>
        </w:rPr>
        <w:t>stratách bez akýchkoľvek realizovaných náhrad vyplývajúcich</w:t>
      </w:r>
      <w:r w:rsidR="004F01E9">
        <w:rPr>
          <w:noProof/>
        </w:rPr>
        <w:t xml:space="preserve"> z </w:t>
      </w:r>
      <w:r w:rsidRPr="004F01E9">
        <w:rPr>
          <w:noProof/>
        </w:rPr>
        <w:t>uvedeného FCP.“</w:t>
      </w:r>
    </w:p>
    <w:p w14:paraId="79C6EC75" w14:textId="083D93C0" w:rsidR="00806B81" w:rsidRPr="004F01E9" w:rsidRDefault="00B16452" w:rsidP="00B16452">
      <w:pPr>
        <w:pStyle w:val="Point0"/>
        <w:rPr>
          <w:noProof/>
        </w:rPr>
      </w:pPr>
      <w:r w:rsidRPr="00B16452">
        <w:rPr>
          <w:noProof/>
        </w:rPr>
        <w:t>78</w:t>
      </w:r>
      <w:r>
        <w:rPr>
          <w:noProof/>
        </w:rPr>
        <w:t>.</w:t>
      </w:r>
      <w:r w:rsidRPr="00B16452">
        <w:rPr>
          <w:noProof/>
        </w:rPr>
        <w:tab/>
      </w:r>
      <w:r w:rsidR="00513EEE" w:rsidRPr="004F01E9">
        <w:rPr>
          <w:noProof/>
        </w:rPr>
        <w:t>Tretia časť hlava II kapitola 3 oddiel 4 pododdiel 3 sa vypúšťa.</w:t>
      </w:r>
    </w:p>
    <w:p w14:paraId="3C5D2F4A" w14:textId="6AD6B970" w:rsidR="00513EEE" w:rsidRPr="004F01E9" w:rsidRDefault="00B16452" w:rsidP="00B16452">
      <w:pPr>
        <w:pStyle w:val="Point0"/>
        <w:rPr>
          <w:noProof/>
        </w:rPr>
      </w:pPr>
      <w:r w:rsidRPr="00B16452">
        <w:rPr>
          <w:noProof/>
        </w:rPr>
        <w:t>79</w:t>
      </w:r>
      <w:r>
        <w:rPr>
          <w:noProof/>
        </w:rPr>
        <w:t>.</w:t>
      </w:r>
      <w:r w:rsidRPr="00B16452">
        <w:rPr>
          <w:noProof/>
        </w:rPr>
        <w:tab/>
      </w:r>
      <w:r w:rsidR="00513EEE" w:rsidRPr="004F01E9">
        <w:rPr>
          <w:noProof/>
        </w:rPr>
        <w:t>Článok 166 sa mení takto:</w:t>
      </w:r>
    </w:p>
    <w:p w14:paraId="5DEBF6E8" w14:textId="6EC0D826" w:rsidR="00513EEE" w:rsidRPr="004F01E9" w:rsidRDefault="005607C2" w:rsidP="005607C2">
      <w:pPr>
        <w:pStyle w:val="Point1"/>
        <w:rPr>
          <w:noProof/>
        </w:rPr>
      </w:pPr>
      <w:r w:rsidRPr="004F01E9">
        <w:rPr>
          <w:noProof/>
        </w:rPr>
        <w:t>a)</w:t>
      </w:r>
      <w:r w:rsidRPr="004F01E9">
        <w:rPr>
          <w:noProof/>
        </w:rPr>
        <w:tab/>
        <w:t>Odsek 8 sa nahrádza takto:</w:t>
      </w:r>
    </w:p>
    <w:p w14:paraId="62AE0409" w14:textId="7F834B21" w:rsidR="00806B81" w:rsidRPr="004F01E9" w:rsidRDefault="00513EEE" w:rsidP="00513EEE">
      <w:pPr>
        <w:pStyle w:val="Text2"/>
        <w:rPr>
          <w:noProof/>
        </w:rPr>
      </w:pPr>
      <w:r w:rsidRPr="004F01E9">
        <w:rPr>
          <w:noProof/>
        </w:rPr>
        <w:t>„8. Hodnota expozície podsúvahových položiek, ktoré nie sú zmluvami uvedenými</w:t>
      </w:r>
      <w:r w:rsidR="004F01E9">
        <w:rPr>
          <w:noProof/>
        </w:rPr>
        <w:t xml:space="preserve"> v </w:t>
      </w:r>
      <w:r w:rsidRPr="004F01E9">
        <w:rPr>
          <w:noProof/>
        </w:rPr>
        <w:t>prílohe II, sa vypočítava buď</w:t>
      </w:r>
      <w:r w:rsidR="004F01E9">
        <w:rPr>
          <w:noProof/>
        </w:rPr>
        <w:t xml:space="preserve"> s </w:t>
      </w:r>
      <w:r w:rsidRPr="004F01E9">
        <w:rPr>
          <w:noProof/>
        </w:rPr>
        <w:t>použitím IRB-CCF alebo SA-CCF</w:t>
      </w:r>
      <w:r w:rsidR="004F01E9">
        <w:rPr>
          <w:noProof/>
        </w:rPr>
        <w:t xml:space="preserve"> v </w:t>
      </w:r>
      <w:r w:rsidRPr="004F01E9">
        <w:rPr>
          <w:noProof/>
        </w:rPr>
        <w:t>súlade</w:t>
      </w:r>
      <w:r w:rsidR="004F01E9">
        <w:rPr>
          <w:noProof/>
        </w:rPr>
        <w:t xml:space="preserve"> s </w:t>
      </w:r>
      <w:r w:rsidRPr="004F01E9">
        <w:rPr>
          <w:noProof/>
        </w:rPr>
        <w:t>odsekmi 8a</w:t>
      </w:r>
      <w:r w:rsidR="004F01E9">
        <w:rPr>
          <w:noProof/>
        </w:rPr>
        <w:t xml:space="preserve"> a </w:t>
      </w:r>
      <w:r w:rsidRPr="004F01E9">
        <w:rPr>
          <w:noProof/>
        </w:rPr>
        <w:t>8b</w:t>
      </w:r>
      <w:r w:rsidR="004F01E9">
        <w:rPr>
          <w:noProof/>
        </w:rPr>
        <w:t xml:space="preserve"> a </w:t>
      </w:r>
      <w:r w:rsidRPr="004F01E9">
        <w:rPr>
          <w:noProof/>
        </w:rPr>
        <w:t>článkom 151 ods. 8.</w:t>
      </w:r>
    </w:p>
    <w:p w14:paraId="0DE152D4" w14:textId="1028A703" w:rsidR="00513EEE" w:rsidRPr="004F01E9" w:rsidRDefault="00513EEE" w:rsidP="00513EEE">
      <w:pPr>
        <w:pStyle w:val="Text2"/>
        <w:rPr>
          <w:noProof/>
        </w:rPr>
      </w:pPr>
      <w:r w:rsidRPr="004F01E9">
        <w:rPr>
          <w:noProof/>
        </w:rPr>
        <w:t>Ak čerpané zostatky revolvingových facilít boli sekuritizované, inštitúcie zabezpečia, aby mali aj naďalej</w:t>
      </w:r>
      <w:r w:rsidR="004F01E9">
        <w:rPr>
          <w:noProof/>
        </w:rPr>
        <w:t xml:space="preserve"> v </w:t>
      </w:r>
      <w:r w:rsidRPr="004F01E9">
        <w:rPr>
          <w:noProof/>
        </w:rPr>
        <w:t>držbe požadovanú sumu vlastných zdrojov voči nevyčerpaným zostatkom súvisiacim</w:t>
      </w:r>
      <w:r w:rsidR="004F01E9">
        <w:rPr>
          <w:noProof/>
        </w:rPr>
        <w:t xml:space="preserve"> s </w:t>
      </w:r>
      <w:r w:rsidRPr="004F01E9">
        <w:rPr>
          <w:noProof/>
        </w:rPr>
        <w:t>danou sekuritizáciou.</w:t>
      </w:r>
    </w:p>
    <w:p w14:paraId="1833438B" w14:textId="77777777" w:rsidR="00513EEE" w:rsidRPr="004F01E9" w:rsidRDefault="00513EEE" w:rsidP="00513EEE">
      <w:pPr>
        <w:pStyle w:val="Text2"/>
        <w:rPr>
          <w:noProof/>
        </w:rPr>
      </w:pPr>
      <w:r w:rsidRPr="004F01E9">
        <w:rPr>
          <w:noProof/>
        </w:rPr>
        <w:t>Inštitúcia, ktorá nepoužíva IRB-CCF, vypočítava hodnotu expozície ako viazanú, ale nevyčerpanú sumu vynásobenú príslušným SA-CCF.</w:t>
      </w:r>
    </w:p>
    <w:p w14:paraId="01B2EBA4" w14:textId="77777777" w:rsidR="00513EEE" w:rsidRPr="004F01E9" w:rsidRDefault="00513EEE" w:rsidP="00513EEE">
      <w:pPr>
        <w:pStyle w:val="Text2"/>
        <w:rPr>
          <w:noProof/>
        </w:rPr>
      </w:pPr>
      <w:r w:rsidRPr="004F01E9">
        <w:rPr>
          <w:noProof/>
        </w:rPr>
        <w:t>Inštitúcia, ktorá nepoužíva IRB-CCF, vypočítava hodnotu expozície pre nevyčerpané prísľuby ako nevyčerpanú sumu vynásobenú IRB-CCF.“;</w:t>
      </w:r>
    </w:p>
    <w:p w14:paraId="48069246" w14:textId="1D642641" w:rsidR="00513EEE" w:rsidRPr="004F01E9" w:rsidRDefault="005607C2" w:rsidP="005607C2">
      <w:pPr>
        <w:pStyle w:val="Point1"/>
        <w:rPr>
          <w:noProof/>
        </w:rPr>
      </w:pPr>
      <w:r w:rsidRPr="004F01E9">
        <w:rPr>
          <w:noProof/>
        </w:rPr>
        <w:t>b)</w:t>
      </w:r>
      <w:r w:rsidRPr="004F01E9">
        <w:rPr>
          <w:noProof/>
        </w:rPr>
        <w:tab/>
        <w:t>Vkladajú sa tieto odseky 8a, 8b</w:t>
      </w:r>
      <w:r w:rsidR="004F01E9">
        <w:rPr>
          <w:noProof/>
        </w:rPr>
        <w:t xml:space="preserve"> a </w:t>
      </w:r>
      <w:r w:rsidRPr="004F01E9">
        <w:rPr>
          <w:noProof/>
        </w:rPr>
        <w:t>8c:</w:t>
      </w:r>
    </w:p>
    <w:p w14:paraId="3F265AE7" w14:textId="6D279126" w:rsidR="00513EEE" w:rsidRPr="004F01E9" w:rsidRDefault="00513EEE" w:rsidP="00513EEE">
      <w:pPr>
        <w:pStyle w:val="Text2"/>
        <w:rPr>
          <w:noProof/>
        </w:rPr>
      </w:pPr>
      <w:r w:rsidRPr="004F01E9">
        <w:rPr>
          <w:noProof/>
        </w:rPr>
        <w:t>„8a.</w:t>
      </w:r>
      <w:r w:rsidR="004F01E9">
        <w:rPr>
          <w:noProof/>
        </w:rPr>
        <w:t xml:space="preserve"> V </w:t>
      </w:r>
      <w:r w:rsidRPr="004F01E9">
        <w:rPr>
          <w:noProof/>
        </w:rPr>
        <w:t>prípade expozície, pri ktorej sa nepoužívajú IRB-CCF, uplatniteľným konverzným faktorom úverov je SA-CCF, ako sa uvádza</w:t>
      </w:r>
      <w:r w:rsidR="004F01E9">
        <w:rPr>
          <w:noProof/>
        </w:rPr>
        <w:t xml:space="preserve"> v </w:t>
      </w:r>
      <w:r w:rsidRPr="004F01E9">
        <w:rPr>
          <w:noProof/>
        </w:rPr>
        <w:t>kapitole 2 pre rovnaké druhy položiek, ako sa stanovuje</w:t>
      </w:r>
      <w:r w:rsidR="004F01E9">
        <w:rPr>
          <w:noProof/>
        </w:rPr>
        <w:t xml:space="preserve"> v </w:t>
      </w:r>
      <w:r w:rsidRPr="004F01E9">
        <w:rPr>
          <w:noProof/>
        </w:rPr>
        <w:t>článku 111. Suma, na ktorú sa uplatňuje SA-CCF, je nižšia spomedzi hodnoty nepoužitej viazanej úverovej linky</w:t>
      </w:r>
      <w:r w:rsidR="004F01E9">
        <w:rPr>
          <w:noProof/>
        </w:rPr>
        <w:t xml:space="preserve"> a </w:t>
      </w:r>
      <w:r w:rsidRPr="004F01E9">
        <w:rPr>
          <w:noProof/>
        </w:rPr>
        <w:t>hodnoty, ktorá odzrkadľuje akékoľvek možné obmedzenie dostupnosti facility vrátane existencie horného limitu potenciálnej výšky úveru, ktorý súvisí</w:t>
      </w:r>
      <w:r w:rsidR="004F01E9">
        <w:rPr>
          <w:noProof/>
        </w:rPr>
        <w:t xml:space="preserve"> s </w:t>
      </w:r>
      <w:r w:rsidRPr="004F01E9">
        <w:rPr>
          <w:noProof/>
        </w:rPr>
        <w:t>vykázaným peňažným tokom dlžníka. Ak je facilita takto obmedzená, inštitúcia musí mať</w:t>
      </w:r>
      <w:r w:rsidR="004F01E9">
        <w:rPr>
          <w:noProof/>
        </w:rPr>
        <w:t xml:space="preserve"> k </w:t>
      </w:r>
      <w:r w:rsidRPr="004F01E9">
        <w:rPr>
          <w:noProof/>
        </w:rPr>
        <w:t>dispozícii postačujúce postupy monitorovania</w:t>
      </w:r>
      <w:r w:rsidR="004F01E9">
        <w:rPr>
          <w:noProof/>
        </w:rPr>
        <w:t xml:space="preserve"> a </w:t>
      </w:r>
      <w:r w:rsidRPr="004F01E9">
        <w:rPr>
          <w:noProof/>
        </w:rPr>
        <w:t>riadenia liniek</w:t>
      </w:r>
      <w:r w:rsidR="004F01E9">
        <w:rPr>
          <w:noProof/>
        </w:rPr>
        <w:t xml:space="preserve"> s </w:t>
      </w:r>
      <w:r w:rsidRPr="004F01E9">
        <w:rPr>
          <w:noProof/>
        </w:rPr>
        <w:t>cieľom podporiť existenciu tohto obmedzenia.</w:t>
      </w:r>
    </w:p>
    <w:p w14:paraId="3D7A27BC" w14:textId="0C3CB840" w:rsidR="00513EEE" w:rsidRPr="004F01E9" w:rsidRDefault="00513EEE" w:rsidP="00513EEE">
      <w:pPr>
        <w:pStyle w:val="Text2"/>
        <w:rPr>
          <w:noProof/>
        </w:rPr>
      </w:pPr>
      <w:r w:rsidRPr="004F01E9">
        <w:rPr>
          <w:noProof/>
        </w:rPr>
        <w:t>8b.</w:t>
      </w:r>
      <w:r w:rsidR="004F01E9">
        <w:rPr>
          <w:noProof/>
        </w:rPr>
        <w:t xml:space="preserve"> S </w:t>
      </w:r>
      <w:r w:rsidRPr="004F01E9">
        <w:rPr>
          <w:noProof/>
        </w:rPr>
        <w:t>výhradou povolenia príslušných orgánov používajú inštitúcie, ktoré spĺňajú požiadavky na používanie IRB-CCF, ako sa uvádza</w:t>
      </w:r>
      <w:r w:rsidR="004F01E9">
        <w:rPr>
          <w:noProof/>
        </w:rPr>
        <w:t xml:space="preserve"> v </w:t>
      </w:r>
      <w:r w:rsidRPr="004F01E9">
        <w:rPr>
          <w:noProof/>
        </w:rPr>
        <w:t>oddiele 6, IRB-CCF pre expozície vyplývajúce</w:t>
      </w:r>
      <w:r w:rsidR="004F01E9">
        <w:rPr>
          <w:noProof/>
        </w:rPr>
        <w:t xml:space="preserve"> z </w:t>
      </w:r>
      <w:r w:rsidRPr="004F01E9">
        <w:rPr>
          <w:noProof/>
        </w:rPr>
        <w:t>nevyčerpaných revolvingových prísľubov,</w:t>
      </w:r>
      <w:r w:rsidR="004F01E9">
        <w:rPr>
          <w:noProof/>
        </w:rPr>
        <w:t xml:space="preserve"> s </w:t>
      </w:r>
      <w:r w:rsidRPr="004F01E9">
        <w:rPr>
          <w:noProof/>
        </w:rPr>
        <w:t>ktorými sa zaobchádza podľa prístupu IRB, za predpokladu, že by sa na tieto expozície podľa štandardizovaného prístupu nevzťahoval SA-CCF vo výške 100</w:t>
      </w:r>
      <w:r w:rsidR="004F01E9">
        <w:rPr>
          <w:noProof/>
        </w:rPr>
        <w:t> %</w:t>
      </w:r>
      <w:r w:rsidRPr="004F01E9">
        <w:rPr>
          <w:noProof/>
        </w:rPr>
        <w:t>. SA-CCF sa používa na:</w:t>
      </w:r>
    </w:p>
    <w:p w14:paraId="12532CA5" w14:textId="77777777" w:rsidR="00513EEE" w:rsidRPr="004F01E9" w:rsidRDefault="00513EEE" w:rsidP="00513EEE">
      <w:pPr>
        <w:pStyle w:val="Point2"/>
        <w:rPr>
          <w:noProof/>
        </w:rPr>
      </w:pPr>
      <w:r w:rsidRPr="004F01E9">
        <w:rPr>
          <w:noProof/>
        </w:rPr>
        <w:t>a)</w:t>
      </w:r>
      <w:r w:rsidRPr="004F01E9">
        <w:rPr>
          <w:noProof/>
        </w:rPr>
        <w:tab/>
        <w:t>všetky ostatné podsúvahové položky, najmä nevyčerpané nerevolvingové prísľuby;</w:t>
      </w:r>
    </w:p>
    <w:p w14:paraId="1BE46526" w14:textId="77394F45" w:rsidR="00513EEE" w:rsidRPr="004F01E9" w:rsidRDefault="00513EEE" w:rsidP="00513EEE">
      <w:pPr>
        <w:pStyle w:val="Point2"/>
        <w:rPr>
          <w:noProof/>
        </w:rPr>
      </w:pPr>
      <w:r w:rsidRPr="004F01E9">
        <w:rPr>
          <w:noProof/>
        </w:rPr>
        <w:t>b)</w:t>
      </w:r>
      <w:r w:rsidRPr="004F01E9">
        <w:rPr>
          <w:noProof/>
        </w:rPr>
        <w:tab/>
        <w:t>expozície, pri ktorých inštitúcia nespĺňa minimálne požiadavky na výpočet IRB-CCF uvedené</w:t>
      </w:r>
      <w:r w:rsidR="004F01E9">
        <w:rPr>
          <w:noProof/>
        </w:rPr>
        <w:t xml:space="preserve"> v </w:t>
      </w:r>
      <w:r w:rsidRPr="004F01E9">
        <w:rPr>
          <w:noProof/>
        </w:rPr>
        <w:t>oddiele 6, alebo ak príslušný orgán nepovolil používanie IRB-CCF.</w:t>
      </w:r>
    </w:p>
    <w:p w14:paraId="1083573A" w14:textId="66230568" w:rsidR="00806B81" w:rsidRPr="004F01E9" w:rsidRDefault="00513EEE" w:rsidP="00513EEE">
      <w:pPr>
        <w:pStyle w:val="Text2"/>
        <w:rPr>
          <w:noProof/>
        </w:rPr>
      </w:pPr>
      <w:r w:rsidRPr="004F01E9">
        <w:rPr>
          <w:noProof/>
        </w:rPr>
        <w:t>Na účely tohto článku sa prísľub považuje za „revolvingový“, ak dlžníkovi umožňuje získať úver,</w:t>
      </w:r>
      <w:r w:rsidR="004F01E9">
        <w:rPr>
          <w:noProof/>
        </w:rPr>
        <w:t xml:space="preserve"> v </w:t>
      </w:r>
      <w:r w:rsidRPr="004F01E9">
        <w:rPr>
          <w:noProof/>
        </w:rPr>
        <w:t>rámci ktorého má dlžník možnosť rozhodnúť sa, ako často</w:t>
      </w:r>
      <w:r w:rsidR="004F01E9">
        <w:rPr>
          <w:noProof/>
        </w:rPr>
        <w:t xml:space="preserve"> a v </w:t>
      </w:r>
      <w:r w:rsidRPr="004F01E9">
        <w:rPr>
          <w:noProof/>
        </w:rPr>
        <w:t>akých časových intervaloch bude čerpať prostriedky</w:t>
      </w:r>
      <w:r w:rsidR="004F01E9">
        <w:rPr>
          <w:noProof/>
        </w:rPr>
        <w:t xml:space="preserve"> z </w:t>
      </w:r>
      <w:r w:rsidRPr="004F01E9">
        <w:rPr>
          <w:noProof/>
        </w:rPr>
        <w:t>úveru, čo dlžníkovi umožňuje čerpať, splácať</w:t>
      </w:r>
      <w:r w:rsidR="004F01E9">
        <w:rPr>
          <w:noProof/>
        </w:rPr>
        <w:t xml:space="preserve"> a </w:t>
      </w:r>
      <w:r w:rsidRPr="004F01E9">
        <w:rPr>
          <w:noProof/>
        </w:rPr>
        <w:t>opätovne čerpať úvery, ktoré mu boli poskytnuté. Zmluvné dojednania, ktoré umožňujú predbežné platby</w:t>
      </w:r>
      <w:r w:rsidR="004F01E9">
        <w:rPr>
          <w:noProof/>
        </w:rPr>
        <w:t xml:space="preserve"> a </w:t>
      </w:r>
      <w:r w:rsidRPr="004F01E9">
        <w:rPr>
          <w:noProof/>
        </w:rPr>
        <w:t>následné opätovné čerpanie týchto predbežných platieb, sa považujú za revolvingové.</w:t>
      </w:r>
    </w:p>
    <w:p w14:paraId="0E26BD1F" w14:textId="1717F52A" w:rsidR="00513EEE" w:rsidRPr="004F01E9" w:rsidRDefault="00513EEE" w:rsidP="00513EEE">
      <w:pPr>
        <w:pStyle w:val="Text2"/>
        <w:rPr>
          <w:noProof/>
        </w:rPr>
      </w:pPr>
      <w:r w:rsidRPr="004F01E9">
        <w:rPr>
          <w:noProof/>
        </w:rPr>
        <w:t>8c. Výlučne na účely výpočtu rizikovo vážených expozícií</w:t>
      </w:r>
      <w:r w:rsidR="004F01E9">
        <w:rPr>
          <w:noProof/>
        </w:rPr>
        <w:t xml:space="preserve"> a </w:t>
      </w:r>
      <w:r w:rsidRPr="004F01E9">
        <w:rPr>
          <w:noProof/>
        </w:rPr>
        <w:t>výšky očakávaných strát expozícií vyplývajúcich</w:t>
      </w:r>
      <w:r w:rsidR="004F01E9">
        <w:rPr>
          <w:noProof/>
        </w:rPr>
        <w:t xml:space="preserve"> z </w:t>
      </w:r>
      <w:r w:rsidRPr="004F01E9">
        <w:rPr>
          <w:noProof/>
        </w:rPr>
        <w:t>revolvingových prísľubov, pri ktorých sa používajú IRB-CCF, najmä podľa článku 153 ods. 1, článku 157, článku 158 ods. 1, 5</w:t>
      </w:r>
      <w:r w:rsidR="004F01E9">
        <w:rPr>
          <w:noProof/>
        </w:rPr>
        <w:t xml:space="preserve"> a </w:t>
      </w:r>
      <w:r w:rsidRPr="004F01E9">
        <w:rPr>
          <w:noProof/>
        </w:rPr>
        <w:t>10, hodnota expozície použitá ako vstupný údaj vo vzorcoch na výpočet hodnoty rizikovo vážených expozícií</w:t>
      </w:r>
      <w:r w:rsidR="004F01E9">
        <w:rPr>
          <w:noProof/>
        </w:rPr>
        <w:t xml:space="preserve"> a </w:t>
      </w:r>
      <w:r w:rsidRPr="004F01E9">
        <w:rPr>
          <w:noProof/>
        </w:rPr>
        <w:t>očakávaných strát nesmie byť nižšia ako súčet:</w:t>
      </w:r>
    </w:p>
    <w:p w14:paraId="7F320721" w14:textId="77777777" w:rsidR="00513EEE" w:rsidRPr="004F01E9" w:rsidRDefault="00513EEE" w:rsidP="00513EEE">
      <w:pPr>
        <w:pStyle w:val="Point2"/>
        <w:rPr>
          <w:noProof/>
        </w:rPr>
      </w:pPr>
      <w:r w:rsidRPr="004F01E9">
        <w:rPr>
          <w:noProof/>
        </w:rPr>
        <w:t>a)</w:t>
      </w:r>
      <w:r w:rsidRPr="004F01E9">
        <w:rPr>
          <w:noProof/>
        </w:rPr>
        <w:tab/>
        <w:t>čerpanej sumy revolvingového prísľubu;</w:t>
      </w:r>
    </w:p>
    <w:p w14:paraId="3D487805" w14:textId="7A4619C8" w:rsidR="00513EEE" w:rsidRPr="004F01E9" w:rsidRDefault="00513EEE" w:rsidP="00513EEE">
      <w:pPr>
        <w:pStyle w:val="Point2"/>
        <w:rPr>
          <w:noProof/>
        </w:rPr>
      </w:pPr>
      <w:r w:rsidRPr="004F01E9">
        <w:rPr>
          <w:noProof/>
        </w:rPr>
        <w:t>b)</w:t>
      </w:r>
      <w:r w:rsidRPr="004F01E9">
        <w:rPr>
          <w:noProof/>
        </w:rPr>
        <w:tab/>
        <w:t>50</w:t>
      </w:r>
      <w:r w:rsidR="004F01E9">
        <w:rPr>
          <w:noProof/>
        </w:rPr>
        <w:t> %</w:t>
      </w:r>
      <w:r w:rsidRPr="004F01E9">
        <w:rPr>
          <w:noProof/>
        </w:rPr>
        <w:t xml:space="preserve"> hodnoty podsúvahovej expozície zostávajúcej nevyčerpanej časti revolvingového prísľubu vypočítanej pomocou uplatniteľného SA-CCF stanoveného</w:t>
      </w:r>
      <w:r w:rsidR="004F01E9">
        <w:rPr>
          <w:noProof/>
        </w:rPr>
        <w:t xml:space="preserve"> v </w:t>
      </w:r>
      <w:r w:rsidRPr="004F01E9">
        <w:rPr>
          <w:noProof/>
        </w:rPr>
        <w:t>článku 111.</w:t>
      </w:r>
    </w:p>
    <w:p w14:paraId="20313B8C" w14:textId="61A427C0" w:rsidR="00513EEE" w:rsidRPr="004F01E9" w:rsidRDefault="00513EEE" w:rsidP="00513EEE">
      <w:pPr>
        <w:pStyle w:val="Text2"/>
        <w:rPr>
          <w:noProof/>
        </w:rPr>
      </w:pPr>
      <w:r w:rsidRPr="004F01E9">
        <w:rPr>
          <w:noProof/>
        </w:rPr>
        <w:t>Súčet písmen a)</w:t>
      </w:r>
      <w:r w:rsidR="004F01E9">
        <w:rPr>
          <w:noProof/>
        </w:rPr>
        <w:t xml:space="preserve"> a </w:t>
      </w:r>
      <w:r w:rsidRPr="004F01E9">
        <w:rPr>
          <w:noProof/>
        </w:rPr>
        <w:t>b) sa označuje ako „spodná hranica pre vstupné hodnoty CCF“.“;</w:t>
      </w:r>
    </w:p>
    <w:p w14:paraId="1BC63AA2" w14:textId="0B238E54" w:rsidR="00513EEE" w:rsidRPr="004F01E9" w:rsidRDefault="005607C2" w:rsidP="005607C2">
      <w:pPr>
        <w:pStyle w:val="Point1"/>
        <w:rPr>
          <w:noProof/>
        </w:rPr>
      </w:pPr>
      <w:r w:rsidRPr="004F01E9">
        <w:rPr>
          <w:noProof/>
        </w:rPr>
        <w:t>c)</w:t>
      </w:r>
      <w:r w:rsidRPr="004F01E9">
        <w:rPr>
          <w:noProof/>
        </w:rPr>
        <w:tab/>
        <w:t>Odsek 10 sa vypúšťa;</w:t>
      </w:r>
    </w:p>
    <w:p w14:paraId="1EC42B5A" w14:textId="7BE1B80E" w:rsidR="00513EEE" w:rsidRPr="004F01E9" w:rsidRDefault="00B16452" w:rsidP="00B16452">
      <w:pPr>
        <w:pStyle w:val="Point0"/>
        <w:rPr>
          <w:noProof/>
        </w:rPr>
      </w:pPr>
      <w:r w:rsidRPr="00B16452">
        <w:rPr>
          <w:noProof/>
        </w:rPr>
        <w:t>80</w:t>
      </w:r>
      <w:r>
        <w:rPr>
          <w:noProof/>
        </w:rPr>
        <w:t>.</w:t>
      </w:r>
      <w:r w:rsidRPr="00B16452">
        <w:rPr>
          <w:noProof/>
        </w:rPr>
        <w:tab/>
      </w:r>
      <w:r w:rsidR="00513EEE" w:rsidRPr="004F01E9">
        <w:rPr>
          <w:noProof/>
        </w:rPr>
        <w:t>Článok 167 sa vypúšťa.</w:t>
      </w:r>
    </w:p>
    <w:p w14:paraId="66BFCEA5" w14:textId="0000BB51" w:rsidR="00513EEE" w:rsidRPr="004F01E9" w:rsidRDefault="00B16452" w:rsidP="00B16452">
      <w:pPr>
        <w:pStyle w:val="Point0"/>
        <w:rPr>
          <w:noProof/>
        </w:rPr>
      </w:pPr>
      <w:r w:rsidRPr="00B16452">
        <w:rPr>
          <w:noProof/>
        </w:rPr>
        <w:t>81</w:t>
      </w:r>
      <w:r>
        <w:rPr>
          <w:noProof/>
        </w:rPr>
        <w:t>.</w:t>
      </w:r>
      <w:r w:rsidRPr="00B16452">
        <w:rPr>
          <w:noProof/>
        </w:rPr>
        <w:tab/>
      </w:r>
      <w:r w:rsidR="00513EEE" w:rsidRPr="004F01E9">
        <w:rPr>
          <w:noProof/>
        </w:rPr>
        <w:t>V článku 169 ods. 3 sa dopĺňa tento pododsek:</w:t>
      </w:r>
    </w:p>
    <w:p w14:paraId="67677D8F" w14:textId="3C2C4F59" w:rsidR="00513EEE" w:rsidRPr="004F01E9" w:rsidRDefault="00513EEE" w:rsidP="00513EEE">
      <w:pPr>
        <w:pStyle w:val="Text1"/>
        <w:rPr>
          <w:noProof/>
        </w:rPr>
      </w:pPr>
      <w:r w:rsidRPr="004F01E9">
        <w:rPr>
          <w:noProof/>
        </w:rPr>
        <w:t>„EBA vydá usmernenia</w:t>
      </w:r>
      <w:r w:rsidR="004F01E9">
        <w:rPr>
          <w:noProof/>
        </w:rPr>
        <w:t xml:space="preserve"> o </w:t>
      </w:r>
      <w:r w:rsidRPr="004F01E9">
        <w:rPr>
          <w:noProof/>
        </w:rPr>
        <w:t>tom, ako</w:t>
      </w:r>
      <w:r w:rsidR="004F01E9">
        <w:rPr>
          <w:noProof/>
        </w:rPr>
        <w:t xml:space="preserve"> v </w:t>
      </w:r>
      <w:r w:rsidRPr="004F01E9">
        <w:rPr>
          <w:noProof/>
        </w:rPr>
        <w:t>praxi uplatňovať požiadavky týkajúce sa návrhu modelu, kvantifikácie rizika, validácie</w:t>
      </w:r>
      <w:r w:rsidR="004F01E9">
        <w:rPr>
          <w:noProof/>
        </w:rPr>
        <w:t xml:space="preserve"> a </w:t>
      </w:r>
      <w:r w:rsidRPr="004F01E9">
        <w:rPr>
          <w:noProof/>
        </w:rPr>
        <w:t>uplatňovania parametrov rizika pomocou súvislých alebo veľmi podrobných ratingových stupníc pre každý parameter rizika. Uvedené usmernenia sa prijímajú</w:t>
      </w:r>
      <w:r w:rsidR="004F01E9">
        <w:rPr>
          <w:noProof/>
        </w:rPr>
        <w:t xml:space="preserve"> v </w:t>
      </w:r>
      <w:r w:rsidRPr="004F01E9">
        <w:rPr>
          <w:noProof/>
        </w:rPr>
        <w:t>súlade</w:t>
      </w:r>
      <w:r w:rsidR="004F01E9">
        <w:rPr>
          <w:noProof/>
        </w:rPr>
        <w:t xml:space="preserve"> s </w:t>
      </w:r>
      <w:r w:rsidRPr="004F01E9">
        <w:rPr>
          <w:noProof/>
        </w:rPr>
        <w:t xml:space="preserve">článkom 16 nariadenia (EÚ) </w:t>
      </w:r>
      <w:r w:rsidR="004F01E9">
        <w:rPr>
          <w:noProof/>
        </w:rPr>
        <w:t>č. </w:t>
      </w:r>
      <w:r w:rsidRPr="004F01E9">
        <w:rPr>
          <w:noProof/>
        </w:rPr>
        <w:t>1093/2010.“</w:t>
      </w:r>
    </w:p>
    <w:p w14:paraId="0BE486B4" w14:textId="55891708" w:rsidR="00806B81" w:rsidRPr="004F01E9" w:rsidRDefault="00B16452" w:rsidP="00B16452">
      <w:pPr>
        <w:pStyle w:val="Point0"/>
        <w:rPr>
          <w:noProof/>
        </w:rPr>
      </w:pPr>
      <w:r w:rsidRPr="00B16452">
        <w:rPr>
          <w:noProof/>
        </w:rPr>
        <w:t>82</w:t>
      </w:r>
      <w:r>
        <w:rPr>
          <w:noProof/>
        </w:rPr>
        <w:t>.</w:t>
      </w:r>
      <w:r w:rsidRPr="00B16452">
        <w:rPr>
          <w:noProof/>
        </w:rPr>
        <w:tab/>
      </w:r>
      <w:r w:rsidR="00513EEE" w:rsidRPr="004F01E9">
        <w:rPr>
          <w:noProof/>
        </w:rPr>
        <w:t>V článku 170 ods. 4 sa písmeno b) nahrádza takto:</w:t>
      </w:r>
    </w:p>
    <w:p w14:paraId="6BF4760A" w14:textId="18D2D39D" w:rsidR="00513EEE" w:rsidRPr="004F01E9" w:rsidRDefault="00513EEE" w:rsidP="00615061">
      <w:pPr>
        <w:pStyle w:val="Text1"/>
        <w:rPr>
          <w:noProof/>
        </w:rPr>
      </w:pPr>
      <w:r w:rsidRPr="004F01E9">
        <w:rPr>
          <w:noProof/>
        </w:rPr>
        <w:t>„b) rizikové charakteristiky transakcie vrátane charakteristík produktu</w:t>
      </w:r>
      <w:r w:rsidR="004F01E9">
        <w:rPr>
          <w:noProof/>
        </w:rPr>
        <w:t xml:space="preserve"> a </w:t>
      </w:r>
      <w:r w:rsidRPr="004F01E9">
        <w:rPr>
          <w:noProof/>
        </w:rPr>
        <w:t>financovaného kreditného zabezpečenia, uznaného nefinancovaného kreditného zabezpečenia, meraní pomeru výšky úveru</w:t>
      </w:r>
      <w:r w:rsidR="004F01E9">
        <w:rPr>
          <w:noProof/>
        </w:rPr>
        <w:t xml:space="preserve"> k </w:t>
      </w:r>
      <w:r w:rsidRPr="004F01E9">
        <w:rPr>
          <w:noProof/>
        </w:rPr>
        <w:t>hodnote zabezpečenia, sezónnosti</w:t>
      </w:r>
      <w:r w:rsidR="004F01E9">
        <w:rPr>
          <w:noProof/>
        </w:rPr>
        <w:t xml:space="preserve"> a </w:t>
      </w:r>
      <w:r w:rsidRPr="004F01E9">
        <w:rPr>
          <w:noProof/>
        </w:rPr>
        <w:t>nadriadenosti. Inštitúcie sa explicitne zaoberajú prípadmi, pri ktorých viaceré expozície využívajú ten istý kolaterál. Pre každú skupinu,</w:t>
      </w:r>
      <w:r w:rsidR="004F01E9">
        <w:rPr>
          <w:noProof/>
        </w:rPr>
        <w:t xml:space="preserve"> v </w:t>
      </w:r>
      <w:r w:rsidRPr="004F01E9">
        <w:rPr>
          <w:noProof/>
        </w:rPr>
        <w:t>prípade ktorej inštitúcia odhaduje PD</w:t>
      </w:r>
      <w:r w:rsidR="004F01E9">
        <w:rPr>
          <w:noProof/>
        </w:rPr>
        <w:t xml:space="preserve"> a </w:t>
      </w:r>
      <w:r w:rsidRPr="004F01E9">
        <w:rPr>
          <w:noProof/>
        </w:rPr>
        <w:t>LGD, inštitúcia analyzuje reprezentatívnosť veku facilít, pokiaľ ide</w:t>
      </w:r>
      <w:r w:rsidR="004F01E9">
        <w:rPr>
          <w:noProof/>
        </w:rPr>
        <w:t xml:space="preserve"> o </w:t>
      </w:r>
      <w:r w:rsidRPr="004F01E9">
        <w:rPr>
          <w:noProof/>
        </w:rPr>
        <w:t>čas uplynutý od vzniku</w:t>
      </w:r>
      <w:r w:rsidR="004F01E9">
        <w:rPr>
          <w:noProof/>
        </w:rPr>
        <w:t xml:space="preserve"> v </w:t>
      </w:r>
      <w:r w:rsidRPr="004F01E9">
        <w:rPr>
          <w:noProof/>
        </w:rPr>
        <w:t>prípade PD</w:t>
      </w:r>
      <w:r w:rsidR="004F01E9">
        <w:rPr>
          <w:noProof/>
        </w:rPr>
        <w:t xml:space="preserve"> a </w:t>
      </w:r>
      <w:r w:rsidRPr="004F01E9">
        <w:rPr>
          <w:noProof/>
        </w:rPr>
        <w:t>čas uplynutý od dátumu zlyhania</w:t>
      </w:r>
      <w:r w:rsidR="004F01E9">
        <w:rPr>
          <w:noProof/>
        </w:rPr>
        <w:t xml:space="preserve"> v </w:t>
      </w:r>
      <w:r w:rsidRPr="004F01E9">
        <w:rPr>
          <w:noProof/>
        </w:rPr>
        <w:t>prípade LGD,</w:t>
      </w:r>
      <w:r w:rsidR="004F01E9">
        <w:rPr>
          <w:noProof/>
        </w:rPr>
        <w:t xml:space="preserve"> v </w:t>
      </w:r>
      <w:r w:rsidRPr="004F01E9">
        <w:rPr>
          <w:noProof/>
        </w:rPr>
        <w:t>údajoch použitých na odvodenie odhadov skutočných facilít inštitúcie;“.</w:t>
      </w:r>
    </w:p>
    <w:p w14:paraId="01EE8FE5" w14:textId="5E264D48" w:rsidR="00806B81" w:rsidRPr="004F01E9" w:rsidRDefault="00B16452" w:rsidP="00B16452">
      <w:pPr>
        <w:pStyle w:val="Point0"/>
        <w:rPr>
          <w:noProof/>
        </w:rPr>
      </w:pPr>
      <w:r w:rsidRPr="00B16452">
        <w:rPr>
          <w:noProof/>
        </w:rPr>
        <w:t>83</w:t>
      </w:r>
      <w:r>
        <w:rPr>
          <w:noProof/>
        </w:rPr>
        <w:t>.</w:t>
      </w:r>
      <w:r w:rsidRPr="00B16452">
        <w:rPr>
          <w:noProof/>
        </w:rPr>
        <w:tab/>
      </w:r>
      <w:r w:rsidR="00513EEE" w:rsidRPr="004F01E9">
        <w:rPr>
          <w:noProof/>
        </w:rPr>
        <w:t>V článku 171 sa dopĺňa tento odsek 3:</w:t>
      </w:r>
    </w:p>
    <w:p w14:paraId="5A2F3C65" w14:textId="690EA66E" w:rsidR="00513EEE" w:rsidRPr="004F01E9" w:rsidRDefault="00513EEE" w:rsidP="00513EEE">
      <w:pPr>
        <w:pStyle w:val="Text1"/>
        <w:rPr>
          <w:noProof/>
        </w:rPr>
      </w:pPr>
      <w:r w:rsidRPr="004F01E9">
        <w:rPr>
          <w:noProof/>
        </w:rPr>
        <w:t>„3. Ratingové systémy sú navrhnuté tak, aby idiosynkratické zmeny alebo zmeny špecifické pre dané odvetvie boli hnacou silou prechodu</w:t>
      </w:r>
      <w:r w:rsidR="004F01E9">
        <w:rPr>
          <w:noProof/>
        </w:rPr>
        <w:t xml:space="preserve"> z </w:t>
      </w:r>
      <w:r w:rsidRPr="004F01E9">
        <w:rPr>
          <w:noProof/>
        </w:rPr>
        <w:t>jedného stupňa do druhého. Okrem toho sa ako hnacia sila prechodu dlžníkov</w:t>
      </w:r>
      <w:r w:rsidR="004F01E9">
        <w:rPr>
          <w:noProof/>
        </w:rPr>
        <w:t xml:space="preserve"> a </w:t>
      </w:r>
      <w:r w:rsidRPr="004F01E9">
        <w:rPr>
          <w:noProof/>
        </w:rPr>
        <w:t>facilít</w:t>
      </w:r>
      <w:r w:rsidR="004F01E9">
        <w:rPr>
          <w:noProof/>
        </w:rPr>
        <w:t xml:space="preserve"> z </w:t>
      </w:r>
      <w:r w:rsidRPr="004F01E9">
        <w:rPr>
          <w:noProof/>
        </w:rPr>
        <w:t>jedného stupňa alebo skupiny do druhého stupňa alebo skupiny zohľadňujú aj účinky hospodárskych cyklov.“</w:t>
      </w:r>
    </w:p>
    <w:p w14:paraId="612CC276" w14:textId="0F88A104" w:rsidR="00513EEE" w:rsidRPr="004F01E9" w:rsidRDefault="00B16452" w:rsidP="00B16452">
      <w:pPr>
        <w:pStyle w:val="Point0"/>
        <w:rPr>
          <w:noProof/>
        </w:rPr>
      </w:pPr>
      <w:r w:rsidRPr="00B16452">
        <w:rPr>
          <w:noProof/>
        </w:rPr>
        <w:t>84</w:t>
      </w:r>
      <w:r>
        <w:rPr>
          <w:noProof/>
        </w:rPr>
        <w:t>.</w:t>
      </w:r>
      <w:r w:rsidRPr="00B16452">
        <w:rPr>
          <w:noProof/>
        </w:rPr>
        <w:tab/>
      </w:r>
      <w:r w:rsidR="00513EEE" w:rsidRPr="004F01E9">
        <w:rPr>
          <w:noProof/>
        </w:rPr>
        <w:t>V článku 172 sa odsek 1 mení takto:</w:t>
      </w:r>
    </w:p>
    <w:p w14:paraId="0D2D058F" w14:textId="65816DF7" w:rsidR="00513EEE" w:rsidRPr="004F01E9" w:rsidRDefault="005607C2" w:rsidP="00EE25D0">
      <w:pPr>
        <w:pStyle w:val="Point1"/>
        <w:rPr>
          <w:noProof/>
        </w:rPr>
      </w:pPr>
      <w:r w:rsidRPr="004F01E9">
        <w:rPr>
          <w:noProof/>
        </w:rPr>
        <w:t>a)</w:t>
      </w:r>
      <w:r w:rsidRPr="004F01E9">
        <w:rPr>
          <w:noProof/>
        </w:rPr>
        <w:tab/>
        <w:t>Úvodná veta sa nahrádza takto:</w:t>
      </w:r>
    </w:p>
    <w:p w14:paraId="133AE684" w14:textId="7B428A4F" w:rsidR="00513EEE" w:rsidRPr="004F01E9" w:rsidRDefault="00513EEE" w:rsidP="00513EEE">
      <w:pPr>
        <w:pStyle w:val="Text2"/>
        <w:rPr>
          <w:noProof/>
        </w:rPr>
      </w:pPr>
      <w:r w:rsidRPr="004F01E9">
        <w:rPr>
          <w:noProof/>
        </w:rPr>
        <w:t>„V prípade expozícií voči podnikateľským subjektom, inštitúciám, ústredným vládam</w:t>
      </w:r>
      <w:r w:rsidR="004F01E9">
        <w:rPr>
          <w:noProof/>
        </w:rPr>
        <w:t xml:space="preserve"> a </w:t>
      </w:r>
      <w:r w:rsidRPr="004F01E9">
        <w:rPr>
          <w:noProof/>
        </w:rPr>
        <w:t>centrálnym bankám sa zaraďovanie expozícií vykonáva</w:t>
      </w:r>
      <w:r w:rsidR="004F01E9">
        <w:rPr>
          <w:noProof/>
        </w:rPr>
        <w:t xml:space="preserve"> v </w:t>
      </w:r>
      <w:r w:rsidRPr="004F01E9">
        <w:rPr>
          <w:noProof/>
        </w:rPr>
        <w:t>súlade</w:t>
      </w:r>
      <w:r w:rsidR="004F01E9">
        <w:rPr>
          <w:noProof/>
        </w:rPr>
        <w:t xml:space="preserve"> s </w:t>
      </w:r>
      <w:r w:rsidRPr="004F01E9">
        <w:rPr>
          <w:noProof/>
        </w:rPr>
        <w:t>týmito kritériami:“;</w:t>
      </w:r>
    </w:p>
    <w:p w14:paraId="55AA05D5" w14:textId="67193CD5" w:rsidR="00513EEE" w:rsidRPr="004F01E9" w:rsidRDefault="00EE25D0" w:rsidP="00EE25D0">
      <w:pPr>
        <w:pStyle w:val="Point1"/>
        <w:rPr>
          <w:noProof/>
        </w:rPr>
      </w:pPr>
      <w:r w:rsidRPr="004F01E9">
        <w:rPr>
          <w:noProof/>
        </w:rPr>
        <w:t>b)</w:t>
      </w:r>
      <w:r w:rsidRPr="004F01E9">
        <w:rPr>
          <w:noProof/>
        </w:rPr>
        <w:tab/>
        <w:t>Písmeno d) sa nahrádza takto:</w:t>
      </w:r>
    </w:p>
    <w:p w14:paraId="76AE98D6" w14:textId="77777777" w:rsidR="00513EEE" w:rsidRPr="004F01E9" w:rsidRDefault="00513EEE" w:rsidP="00EE25D0">
      <w:pPr>
        <w:pStyle w:val="Text2"/>
        <w:rPr>
          <w:noProof/>
        </w:rPr>
      </w:pPr>
      <w:r w:rsidRPr="004F01E9">
        <w:rPr>
          <w:noProof/>
        </w:rPr>
        <w:t>„d) každý samostatný právny subjekt, ktorému je inštitúcia vystavená, sa ohodnocuje osobitne;“;</w:t>
      </w:r>
    </w:p>
    <w:p w14:paraId="232A4F7E" w14:textId="5292E13D" w:rsidR="00513EEE" w:rsidRPr="004F01E9" w:rsidRDefault="00EE25D0" w:rsidP="00513EEE">
      <w:pPr>
        <w:pStyle w:val="Text1"/>
        <w:rPr>
          <w:noProof/>
        </w:rPr>
      </w:pPr>
      <w:r w:rsidRPr="004F01E9">
        <w:rPr>
          <w:noProof/>
        </w:rPr>
        <w:t>c)</w:t>
      </w:r>
      <w:r w:rsidRPr="004F01E9">
        <w:rPr>
          <w:noProof/>
        </w:rPr>
        <w:tab/>
        <w:t>Dopĺňa sa tento pododsek:</w:t>
      </w:r>
    </w:p>
    <w:p w14:paraId="29385118" w14:textId="7CE92C64" w:rsidR="00513EEE" w:rsidRPr="004F01E9" w:rsidRDefault="00513EEE" w:rsidP="00513EEE">
      <w:pPr>
        <w:pStyle w:val="Text2"/>
        <w:rPr>
          <w:noProof/>
        </w:rPr>
      </w:pPr>
      <w:r w:rsidRPr="004F01E9">
        <w:rPr>
          <w:noProof/>
        </w:rPr>
        <w:t>„Na účely písmena d) musí mať inštitúcia primerané politiky zaobchádzania</w:t>
      </w:r>
      <w:r w:rsidR="004F01E9">
        <w:rPr>
          <w:noProof/>
        </w:rPr>
        <w:t xml:space="preserve"> s </w:t>
      </w:r>
      <w:r w:rsidRPr="004F01E9">
        <w:rPr>
          <w:noProof/>
        </w:rPr>
        <w:t>jednotlivými klientmi – dlžníkmi</w:t>
      </w:r>
      <w:r w:rsidR="004F01E9">
        <w:rPr>
          <w:noProof/>
        </w:rPr>
        <w:t xml:space="preserve"> a </w:t>
      </w:r>
      <w:r w:rsidRPr="004F01E9">
        <w:rPr>
          <w:noProof/>
        </w:rPr>
        <w:t>so skupinami prepojených klientov. Uvedené politiky obsahujú postup identifikácie špecifického rizika nesprávnej voľby pre každý právny subjekt, ktorému je inštitúcia vystavená.</w:t>
      </w:r>
      <w:r w:rsidR="004F01E9">
        <w:rPr>
          <w:noProof/>
        </w:rPr>
        <w:t xml:space="preserve"> S </w:t>
      </w:r>
      <w:r w:rsidRPr="004F01E9">
        <w:rPr>
          <w:noProof/>
        </w:rPr>
        <w:t>transakciami</w:t>
      </w:r>
      <w:r w:rsidR="004F01E9">
        <w:rPr>
          <w:noProof/>
        </w:rPr>
        <w:t xml:space="preserve"> s </w:t>
      </w:r>
      <w:r w:rsidRPr="004F01E9">
        <w:rPr>
          <w:noProof/>
        </w:rPr>
        <w:t>protistranami, pri ktorých sa identifikovalo špecifické riziko nesprávnej voľby, sa pri výpočte ich hodnoty expozície zaobchádza rozdielne;“.</w:t>
      </w:r>
    </w:p>
    <w:p w14:paraId="1C517DC3" w14:textId="1071C500" w:rsidR="00806B81" w:rsidRPr="004F01E9" w:rsidRDefault="00B16452" w:rsidP="00B16452">
      <w:pPr>
        <w:pStyle w:val="Point0"/>
        <w:rPr>
          <w:noProof/>
        </w:rPr>
      </w:pPr>
      <w:r w:rsidRPr="00B16452">
        <w:rPr>
          <w:noProof/>
        </w:rPr>
        <w:t>85</w:t>
      </w:r>
      <w:r>
        <w:rPr>
          <w:noProof/>
        </w:rPr>
        <w:t>.</w:t>
      </w:r>
      <w:r w:rsidRPr="00B16452">
        <w:rPr>
          <w:noProof/>
        </w:rPr>
        <w:tab/>
      </w:r>
      <w:r w:rsidR="00513EEE" w:rsidRPr="004F01E9">
        <w:rPr>
          <w:noProof/>
        </w:rPr>
        <w:t>Článok 173 sa mení takto:</w:t>
      </w:r>
    </w:p>
    <w:p w14:paraId="427DA6A0" w14:textId="7F53E46D" w:rsidR="00806B81" w:rsidRPr="004F01E9" w:rsidRDefault="00FC1006" w:rsidP="00FC1006">
      <w:pPr>
        <w:pStyle w:val="Point1"/>
        <w:rPr>
          <w:noProof/>
        </w:rPr>
      </w:pPr>
      <w:r w:rsidRPr="004F01E9">
        <w:rPr>
          <w:noProof/>
        </w:rPr>
        <w:t>a)</w:t>
      </w:r>
      <w:r w:rsidRPr="004F01E9">
        <w:rPr>
          <w:noProof/>
        </w:rPr>
        <w:tab/>
        <w:t>V odseku 1 sa úvodná veta nahrádza takto:</w:t>
      </w:r>
    </w:p>
    <w:p w14:paraId="2EA59CDA" w14:textId="26690092" w:rsidR="00513EEE" w:rsidRPr="004F01E9" w:rsidRDefault="00513EEE" w:rsidP="00513EEE">
      <w:pPr>
        <w:pStyle w:val="Text2"/>
        <w:rPr>
          <w:noProof/>
        </w:rPr>
      </w:pPr>
      <w:r w:rsidRPr="004F01E9">
        <w:rPr>
          <w:noProof/>
        </w:rPr>
        <w:t>„V prípade expozícií voči podnikateľským subjektom, inštitúciám, ústredným vládam</w:t>
      </w:r>
      <w:r w:rsidR="004F01E9">
        <w:rPr>
          <w:noProof/>
        </w:rPr>
        <w:t xml:space="preserve"> a </w:t>
      </w:r>
      <w:r w:rsidRPr="004F01E9">
        <w:rPr>
          <w:noProof/>
        </w:rPr>
        <w:t>centrálnym bankám musí proces zaraďovania spĺňať tieto kritériá:“;</w:t>
      </w:r>
    </w:p>
    <w:p w14:paraId="2E1D60A2" w14:textId="0BF5124F" w:rsidR="00806B81" w:rsidRPr="004F01E9" w:rsidRDefault="00FC1006" w:rsidP="00FC1006">
      <w:pPr>
        <w:pStyle w:val="Point1"/>
        <w:rPr>
          <w:noProof/>
        </w:rPr>
      </w:pPr>
      <w:r w:rsidRPr="004F01E9">
        <w:rPr>
          <w:noProof/>
        </w:rPr>
        <w:t>b)</w:t>
      </w:r>
      <w:r w:rsidRPr="004F01E9">
        <w:rPr>
          <w:noProof/>
        </w:rPr>
        <w:tab/>
        <w:t>Odsek 3 sa nahrádza takto:</w:t>
      </w:r>
    </w:p>
    <w:p w14:paraId="046F191C" w14:textId="16067A17" w:rsidR="00513EEE" w:rsidRPr="004F01E9" w:rsidRDefault="00513EEE" w:rsidP="00513EEE">
      <w:pPr>
        <w:pStyle w:val="Text2"/>
        <w:rPr>
          <w:noProof/>
        </w:rPr>
      </w:pPr>
      <w:r w:rsidRPr="004F01E9">
        <w:rPr>
          <w:noProof/>
        </w:rPr>
        <w:t>„3. EBA vypracuje návrh regulačných technických predpisov,</w:t>
      </w:r>
      <w:r w:rsidR="004F01E9">
        <w:rPr>
          <w:noProof/>
        </w:rPr>
        <w:t xml:space="preserve"> v </w:t>
      </w:r>
      <w:r w:rsidRPr="004F01E9">
        <w:rPr>
          <w:noProof/>
        </w:rPr>
        <w:t>ktorých stanoví metodiky príslušných orgánov na posudzovanie integrity procesu zaraďovania</w:t>
      </w:r>
      <w:r w:rsidR="004F01E9">
        <w:rPr>
          <w:noProof/>
        </w:rPr>
        <w:t xml:space="preserve"> a </w:t>
      </w:r>
      <w:r w:rsidRPr="004F01E9">
        <w:rPr>
          <w:noProof/>
        </w:rPr>
        <w:t>pravidelné</w:t>
      </w:r>
      <w:r w:rsidR="004F01E9">
        <w:rPr>
          <w:noProof/>
        </w:rPr>
        <w:t xml:space="preserve"> a </w:t>
      </w:r>
      <w:r w:rsidRPr="004F01E9">
        <w:rPr>
          <w:noProof/>
        </w:rPr>
        <w:t>nezávislé posudzovanie rizík.</w:t>
      </w:r>
    </w:p>
    <w:p w14:paraId="3522F8ED" w14:textId="21700AA2" w:rsidR="00513EEE" w:rsidRPr="004F01E9" w:rsidRDefault="00513EEE" w:rsidP="00513EEE">
      <w:pPr>
        <w:pStyle w:val="Text2"/>
        <w:rPr>
          <w:noProof/>
        </w:rPr>
      </w:pPr>
      <w:r w:rsidRPr="004F01E9">
        <w:rPr>
          <w:noProof/>
        </w:rPr>
        <w:t>EBA predloží uvedený návrh regulačných technických predpisov Komisii do 31</w:t>
      </w:r>
      <w:r w:rsidR="004F01E9">
        <w:rPr>
          <w:noProof/>
        </w:rPr>
        <w:t>. decembra</w:t>
      </w:r>
      <w:r w:rsidRPr="004F01E9">
        <w:rPr>
          <w:noProof/>
        </w:rPr>
        <w:t xml:space="preserve"> 2025.</w:t>
      </w:r>
    </w:p>
    <w:p w14:paraId="19B466F4" w14:textId="3E7D4D84" w:rsidR="00513EEE" w:rsidRPr="004F01E9" w:rsidRDefault="00513EEE" w:rsidP="00513EEE">
      <w:pPr>
        <w:pStyle w:val="Text2"/>
        <w:rPr>
          <w:noProof/>
        </w:rPr>
      </w:pPr>
      <w:r w:rsidRPr="004F01E9">
        <w:rPr>
          <w:noProof/>
        </w:rPr>
        <w:t>Na Komisiu sa deleguje právomoc prijať regulačné technické predpisy uvedené</w:t>
      </w:r>
      <w:r w:rsidR="004F01E9">
        <w:rPr>
          <w:noProof/>
        </w:rPr>
        <w:t xml:space="preserve"> v </w:t>
      </w:r>
      <w:r w:rsidRPr="004F01E9">
        <w:rPr>
          <w:noProof/>
        </w:rPr>
        <w:t>prvom pododseku</w:t>
      </w:r>
      <w:r w:rsidR="004F01E9">
        <w:rPr>
          <w:noProof/>
        </w:rPr>
        <w:t xml:space="preserve"> v </w:t>
      </w:r>
      <w:r w:rsidRPr="004F01E9">
        <w:rPr>
          <w:noProof/>
        </w:rPr>
        <w:t>súlade</w:t>
      </w:r>
      <w:r w:rsidR="004F01E9">
        <w:rPr>
          <w:noProof/>
        </w:rPr>
        <w:t xml:space="preserve"> s </w:t>
      </w:r>
      <w:r w:rsidRPr="004F01E9">
        <w:rPr>
          <w:noProof/>
        </w:rPr>
        <w:t xml:space="preserve">článkami 10 až 14 nariadenia (EÚ) </w:t>
      </w:r>
      <w:r w:rsidR="004F01E9">
        <w:rPr>
          <w:noProof/>
        </w:rPr>
        <w:t>č. </w:t>
      </w:r>
      <w:r w:rsidRPr="004F01E9">
        <w:rPr>
          <w:noProof/>
        </w:rPr>
        <w:t>1093/2010.“</w:t>
      </w:r>
    </w:p>
    <w:p w14:paraId="38DE63BA" w14:textId="2EB66BEC" w:rsidR="00513EEE" w:rsidRPr="004F01E9" w:rsidRDefault="00B16452" w:rsidP="00B16452">
      <w:pPr>
        <w:pStyle w:val="Point0"/>
        <w:rPr>
          <w:noProof/>
        </w:rPr>
      </w:pPr>
      <w:r w:rsidRPr="00B16452">
        <w:rPr>
          <w:noProof/>
        </w:rPr>
        <w:t>86</w:t>
      </w:r>
      <w:r>
        <w:rPr>
          <w:noProof/>
        </w:rPr>
        <w:t>.</w:t>
      </w:r>
      <w:r w:rsidRPr="00B16452">
        <w:rPr>
          <w:noProof/>
        </w:rPr>
        <w:tab/>
      </w:r>
      <w:r w:rsidR="00513EEE" w:rsidRPr="004F01E9">
        <w:rPr>
          <w:noProof/>
        </w:rPr>
        <w:t>Článok 174 sa mení takto:</w:t>
      </w:r>
    </w:p>
    <w:p w14:paraId="6ADAE511" w14:textId="1A7F0FFF" w:rsidR="00806B81" w:rsidRPr="004F01E9" w:rsidRDefault="00FC1006" w:rsidP="00FC1006">
      <w:pPr>
        <w:pStyle w:val="Point1"/>
        <w:rPr>
          <w:noProof/>
        </w:rPr>
      </w:pPr>
      <w:r w:rsidRPr="004F01E9">
        <w:rPr>
          <w:noProof/>
        </w:rPr>
        <w:t>a)</w:t>
      </w:r>
      <w:r w:rsidRPr="004F01E9">
        <w:rPr>
          <w:noProof/>
        </w:rPr>
        <w:tab/>
        <w:t>Úvodná veta sa nahrádza takto:</w:t>
      </w:r>
    </w:p>
    <w:p w14:paraId="340860BC" w14:textId="6EFD948E" w:rsidR="00513EEE" w:rsidRPr="004F01E9" w:rsidRDefault="00513EEE" w:rsidP="00FC1006">
      <w:pPr>
        <w:pStyle w:val="Text2"/>
        <w:rPr>
          <w:noProof/>
        </w:rPr>
      </w:pPr>
      <w:r w:rsidRPr="004F01E9">
        <w:rPr>
          <w:noProof/>
        </w:rPr>
        <w:t>„Inštitúcie používajú na zaraďovanie expozícií do stupňov alebo skupín dlžníkov alebo facilít štatistické</w:t>
      </w:r>
      <w:r w:rsidR="004F01E9">
        <w:rPr>
          <w:noProof/>
        </w:rPr>
        <w:t xml:space="preserve"> a </w:t>
      </w:r>
      <w:r w:rsidRPr="004F01E9">
        <w:rPr>
          <w:noProof/>
        </w:rPr>
        <w:t>iné matematické metódy („modely“),</w:t>
      </w:r>
      <w:r w:rsidR="004F01E9">
        <w:rPr>
          <w:noProof/>
        </w:rPr>
        <w:t xml:space="preserve"> v </w:t>
      </w:r>
      <w:r w:rsidRPr="004F01E9">
        <w:rPr>
          <w:noProof/>
        </w:rPr>
        <w:t>prípade ktorých musia byť splnené tieto požiadavky:“;</w:t>
      </w:r>
    </w:p>
    <w:p w14:paraId="4073E5D6" w14:textId="30E39769" w:rsidR="00513EEE" w:rsidRPr="004F01E9" w:rsidRDefault="00FC1006" w:rsidP="00FC1006">
      <w:pPr>
        <w:pStyle w:val="Point1"/>
        <w:rPr>
          <w:noProof/>
        </w:rPr>
      </w:pPr>
      <w:r w:rsidRPr="004F01E9">
        <w:rPr>
          <w:noProof/>
        </w:rPr>
        <w:t>b)</w:t>
      </w:r>
      <w:r w:rsidRPr="004F01E9">
        <w:rPr>
          <w:noProof/>
        </w:rPr>
        <w:tab/>
        <w:t>Písmeno a) sa nahrádza takto:</w:t>
      </w:r>
    </w:p>
    <w:p w14:paraId="39451EE8" w14:textId="5507703C" w:rsidR="00513EEE" w:rsidRPr="004F01E9" w:rsidRDefault="00513EEE" w:rsidP="00FC1006">
      <w:pPr>
        <w:pStyle w:val="Text2"/>
        <w:rPr>
          <w:noProof/>
        </w:rPr>
      </w:pPr>
      <w:r w:rsidRPr="004F01E9">
        <w:rPr>
          <w:noProof/>
        </w:rPr>
        <w:t>„a) model má dobrú predpovedaciu silu</w:t>
      </w:r>
      <w:r w:rsidR="004F01E9">
        <w:rPr>
          <w:noProof/>
        </w:rPr>
        <w:t xml:space="preserve"> a v </w:t>
      </w:r>
      <w:r w:rsidRPr="004F01E9">
        <w:rPr>
          <w:noProof/>
        </w:rPr>
        <w:t>dôsledku jeho použitia sa nesmú narušiť kapitálové požiadavky;“;</w:t>
      </w:r>
    </w:p>
    <w:p w14:paraId="2BBF6DCB" w14:textId="2B9D2596" w:rsidR="00513EEE" w:rsidRPr="004F01E9" w:rsidRDefault="00513EEE" w:rsidP="00FC1006">
      <w:pPr>
        <w:pStyle w:val="Point1"/>
        <w:rPr>
          <w:noProof/>
        </w:rPr>
      </w:pPr>
      <w:r w:rsidRPr="004F01E9">
        <w:rPr>
          <w:noProof/>
        </w:rPr>
        <w:t>c)</w:t>
      </w:r>
      <w:r w:rsidRPr="004F01E9">
        <w:rPr>
          <w:noProof/>
        </w:rPr>
        <w:tab/>
        <w:t>Dopĺňa sa tento pododsek:</w:t>
      </w:r>
    </w:p>
    <w:p w14:paraId="69E3D178" w14:textId="3B19F9CE" w:rsidR="00513EEE" w:rsidRPr="004F01E9" w:rsidRDefault="00FC1006" w:rsidP="00FC1006">
      <w:pPr>
        <w:pStyle w:val="Text2"/>
        <w:rPr>
          <w:noProof/>
        </w:rPr>
      </w:pPr>
      <w:r w:rsidRPr="004F01E9">
        <w:rPr>
          <w:noProof/>
        </w:rPr>
        <w:t>„Na účely písmena a) tvoria vstupné premenné racionálny</w:t>
      </w:r>
      <w:r w:rsidR="004F01E9">
        <w:rPr>
          <w:noProof/>
        </w:rPr>
        <w:t xml:space="preserve"> a </w:t>
      </w:r>
      <w:r w:rsidRPr="004F01E9">
        <w:rPr>
          <w:noProof/>
        </w:rPr>
        <w:t>účinný základ pre výsledné predpovede. Model nesmie mať podstatné odchýlky. Medzi vstupmi</w:t>
      </w:r>
      <w:r w:rsidR="004F01E9">
        <w:rPr>
          <w:noProof/>
        </w:rPr>
        <w:t xml:space="preserve"> a </w:t>
      </w:r>
      <w:r w:rsidRPr="004F01E9">
        <w:rPr>
          <w:noProof/>
        </w:rPr>
        <w:t>výstupmi modelu musí existovať funkčné prepojenie, ktoré sa môže</w:t>
      </w:r>
      <w:r w:rsidR="004F01E9">
        <w:rPr>
          <w:noProof/>
        </w:rPr>
        <w:t xml:space="preserve"> v </w:t>
      </w:r>
      <w:r w:rsidRPr="004F01E9">
        <w:rPr>
          <w:noProof/>
        </w:rPr>
        <w:t>prípade potreby určiť na základe odborného posudku.“</w:t>
      </w:r>
    </w:p>
    <w:p w14:paraId="28633737" w14:textId="6E343490" w:rsidR="00806B81" w:rsidRPr="004F01E9" w:rsidRDefault="00B16452" w:rsidP="00B16452">
      <w:pPr>
        <w:pStyle w:val="Point0"/>
        <w:rPr>
          <w:noProof/>
        </w:rPr>
      </w:pPr>
      <w:r w:rsidRPr="00B16452">
        <w:rPr>
          <w:noProof/>
        </w:rPr>
        <w:t>87</w:t>
      </w:r>
      <w:r>
        <w:rPr>
          <w:noProof/>
        </w:rPr>
        <w:t>.</w:t>
      </w:r>
      <w:r w:rsidRPr="00B16452">
        <w:rPr>
          <w:noProof/>
        </w:rPr>
        <w:tab/>
      </w:r>
      <w:r w:rsidR="00513EEE" w:rsidRPr="004F01E9">
        <w:rPr>
          <w:noProof/>
        </w:rPr>
        <w:t>Článok 176 sa mení takto:</w:t>
      </w:r>
    </w:p>
    <w:p w14:paraId="52DAABC8" w14:textId="7B26F6D7" w:rsidR="00513EEE" w:rsidRPr="004F01E9" w:rsidRDefault="00FC1006" w:rsidP="00FC1006">
      <w:pPr>
        <w:pStyle w:val="Point1"/>
        <w:rPr>
          <w:noProof/>
        </w:rPr>
      </w:pPr>
      <w:r w:rsidRPr="004F01E9">
        <w:rPr>
          <w:noProof/>
        </w:rPr>
        <w:t>a)</w:t>
      </w:r>
      <w:r w:rsidRPr="004F01E9">
        <w:rPr>
          <w:noProof/>
        </w:rPr>
        <w:tab/>
        <w:t>V odseku 2 sa úvodná veta nahrádza takto:</w:t>
      </w:r>
    </w:p>
    <w:p w14:paraId="29FCF10C" w14:textId="19E8D9E2" w:rsidR="00513EEE" w:rsidRPr="004F01E9" w:rsidRDefault="00513EEE" w:rsidP="00513EEE">
      <w:pPr>
        <w:pStyle w:val="Text2"/>
        <w:rPr>
          <w:noProof/>
        </w:rPr>
      </w:pPr>
      <w:r w:rsidRPr="004F01E9">
        <w:rPr>
          <w:noProof/>
        </w:rPr>
        <w:t>„V prípade expozícií voči podnikateľským subjektom, inštitúciám, ústredným vládam</w:t>
      </w:r>
      <w:r w:rsidR="004F01E9">
        <w:rPr>
          <w:noProof/>
        </w:rPr>
        <w:t xml:space="preserve"> a </w:t>
      </w:r>
      <w:r w:rsidRPr="004F01E9">
        <w:rPr>
          <w:noProof/>
        </w:rPr>
        <w:t>centrálnym bankám inštitúcie zhromažďujú</w:t>
      </w:r>
      <w:r w:rsidR="004F01E9">
        <w:rPr>
          <w:noProof/>
        </w:rPr>
        <w:t xml:space="preserve"> a </w:t>
      </w:r>
      <w:r w:rsidRPr="004F01E9">
        <w:rPr>
          <w:noProof/>
        </w:rPr>
        <w:t>uchovávajú:“;</w:t>
      </w:r>
    </w:p>
    <w:p w14:paraId="74F993EE" w14:textId="4B355D3F" w:rsidR="00806B81" w:rsidRPr="004F01E9" w:rsidRDefault="00FC1006" w:rsidP="00FC1006">
      <w:pPr>
        <w:pStyle w:val="Point1"/>
        <w:rPr>
          <w:noProof/>
        </w:rPr>
      </w:pPr>
      <w:r w:rsidRPr="004F01E9">
        <w:rPr>
          <w:noProof/>
        </w:rPr>
        <w:t>b)</w:t>
      </w:r>
      <w:r w:rsidRPr="004F01E9">
        <w:rPr>
          <w:noProof/>
        </w:rPr>
        <w:tab/>
        <w:t>Odsek 3 sa nahrádza takto:</w:t>
      </w:r>
    </w:p>
    <w:p w14:paraId="1ED3713F" w14:textId="3B2D787B" w:rsidR="00513EEE" w:rsidRPr="0059109E" w:rsidRDefault="00513EEE" w:rsidP="00513EEE">
      <w:pPr>
        <w:pStyle w:val="Text2"/>
        <w:rPr>
          <w:noProof/>
          <w:spacing w:val="-4"/>
        </w:rPr>
      </w:pPr>
      <w:r w:rsidRPr="0059109E">
        <w:rPr>
          <w:noProof/>
          <w:spacing w:val="-4"/>
        </w:rPr>
        <w:t>„3.</w:t>
      </w:r>
      <w:r w:rsidR="004F01E9" w:rsidRPr="0059109E">
        <w:rPr>
          <w:noProof/>
          <w:spacing w:val="-4"/>
        </w:rPr>
        <w:t xml:space="preserve"> V </w:t>
      </w:r>
      <w:r w:rsidRPr="0059109E">
        <w:rPr>
          <w:noProof/>
          <w:spacing w:val="-4"/>
        </w:rPr>
        <w:t>prípade expozícií, pre ktoré táto kapitola umožňuje výpočet vlastných odhadov LGD alebo IRB-CCF, ale pre ktoré inštitúcie nepoužívajú vlastné odhady LGD alebo IRB-CCF, inštitúcie zhromažďujú</w:t>
      </w:r>
      <w:r w:rsidR="004F01E9" w:rsidRPr="0059109E">
        <w:rPr>
          <w:noProof/>
          <w:spacing w:val="-4"/>
        </w:rPr>
        <w:t xml:space="preserve"> a </w:t>
      </w:r>
      <w:r w:rsidRPr="0059109E">
        <w:rPr>
          <w:noProof/>
          <w:spacing w:val="-4"/>
        </w:rPr>
        <w:t>uchovávajú údaje</w:t>
      </w:r>
      <w:r w:rsidR="004F01E9" w:rsidRPr="0059109E">
        <w:rPr>
          <w:noProof/>
          <w:spacing w:val="-4"/>
        </w:rPr>
        <w:t xml:space="preserve"> o </w:t>
      </w:r>
      <w:r w:rsidRPr="0059109E">
        <w:rPr>
          <w:noProof/>
          <w:spacing w:val="-4"/>
        </w:rPr>
        <w:t>porovnaniach medzi realizovanými LGD</w:t>
      </w:r>
      <w:r w:rsidR="004F01E9" w:rsidRPr="0059109E">
        <w:rPr>
          <w:noProof/>
          <w:spacing w:val="-4"/>
        </w:rPr>
        <w:t xml:space="preserve"> a </w:t>
      </w:r>
      <w:r w:rsidRPr="0059109E">
        <w:rPr>
          <w:noProof/>
          <w:spacing w:val="-4"/>
        </w:rPr>
        <w:t>hodnotami stanovenými</w:t>
      </w:r>
      <w:r w:rsidR="004F01E9" w:rsidRPr="0059109E">
        <w:rPr>
          <w:noProof/>
          <w:spacing w:val="-4"/>
        </w:rPr>
        <w:t xml:space="preserve"> v </w:t>
      </w:r>
      <w:r w:rsidRPr="0059109E">
        <w:rPr>
          <w:noProof/>
          <w:spacing w:val="-4"/>
        </w:rPr>
        <w:t>článku 161 ods. 1</w:t>
      </w:r>
      <w:r w:rsidR="004F01E9" w:rsidRPr="0059109E">
        <w:rPr>
          <w:noProof/>
          <w:spacing w:val="-4"/>
        </w:rPr>
        <w:t xml:space="preserve"> a </w:t>
      </w:r>
      <w:r w:rsidRPr="0059109E">
        <w:rPr>
          <w:noProof/>
          <w:spacing w:val="-4"/>
        </w:rPr>
        <w:t>medzi realizovanými CCF</w:t>
      </w:r>
      <w:r w:rsidR="004F01E9" w:rsidRPr="0059109E">
        <w:rPr>
          <w:noProof/>
          <w:spacing w:val="-4"/>
        </w:rPr>
        <w:t xml:space="preserve"> a </w:t>
      </w:r>
      <w:r w:rsidRPr="0059109E">
        <w:rPr>
          <w:noProof/>
          <w:spacing w:val="-4"/>
        </w:rPr>
        <w:t>SA-CCF stanovenými</w:t>
      </w:r>
      <w:r w:rsidR="004F01E9" w:rsidRPr="0059109E">
        <w:rPr>
          <w:noProof/>
          <w:spacing w:val="-4"/>
        </w:rPr>
        <w:t xml:space="preserve"> v </w:t>
      </w:r>
      <w:r w:rsidRPr="0059109E">
        <w:rPr>
          <w:noProof/>
          <w:spacing w:val="-4"/>
        </w:rPr>
        <w:t>článku 166 ods. 8a.“</w:t>
      </w:r>
    </w:p>
    <w:p w14:paraId="30AC49DE" w14:textId="158E992A" w:rsidR="00513EEE" w:rsidRPr="004F01E9" w:rsidRDefault="00B16452" w:rsidP="00B16452">
      <w:pPr>
        <w:pStyle w:val="Point0"/>
        <w:rPr>
          <w:noProof/>
        </w:rPr>
      </w:pPr>
      <w:r w:rsidRPr="00B16452">
        <w:rPr>
          <w:noProof/>
        </w:rPr>
        <w:t>88</w:t>
      </w:r>
      <w:r>
        <w:rPr>
          <w:noProof/>
        </w:rPr>
        <w:t>.</w:t>
      </w:r>
      <w:r w:rsidRPr="00B16452">
        <w:rPr>
          <w:noProof/>
        </w:rPr>
        <w:tab/>
      </w:r>
      <w:r w:rsidR="00513EEE" w:rsidRPr="004F01E9">
        <w:rPr>
          <w:noProof/>
        </w:rPr>
        <w:t>V článku 177 sa vypúšťa odsek 3.</w:t>
      </w:r>
    </w:p>
    <w:p w14:paraId="22E16DB8" w14:textId="40142BB8" w:rsidR="00806B81" w:rsidRPr="004F01E9" w:rsidRDefault="00B16452" w:rsidP="00B16452">
      <w:pPr>
        <w:pStyle w:val="Point0"/>
        <w:rPr>
          <w:noProof/>
        </w:rPr>
      </w:pPr>
      <w:r w:rsidRPr="00B16452">
        <w:rPr>
          <w:noProof/>
        </w:rPr>
        <w:t>89</w:t>
      </w:r>
      <w:r>
        <w:rPr>
          <w:noProof/>
        </w:rPr>
        <w:t>.</w:t>
      </w:r>
      <w:r w:rsidRPr="00B16452">
        <w:rPr>
          <w:noProof/>
        </w:rPr>
        <w:tab/>
      </w:r>
      <w:r w:rsidR="00513EEE" w:rsidRPr="004F01E9">
        <w:rPr>
          <w:noProof/>
        </w:rPr>
        <w:t>Článok 178 sa mení takto:</w:t>
      </w:r>
    </w:p>
    <w:p w14:paraId="58877E9B" w14:textId="499AEBB3" w:rsidR="00806B81" w:rsidRPr="004F01E9" w:rsidRDefault="00FC1006" w:rsidP="00FC1006">
      <w:pPr>
        <w:pStyle w:val="Point1"/>
        <w:rPr>
          <w:noProof/>
        </w:rPr>
      </w:pPr>
      <w:r w:rsidRPr="004F01E9">
        <w:rPr>
          <w:noProof/>
        </w:rPr>
        <w:t>a)</w:t>
      </w:r>
      <w:r w:rsidRPr="004F01E9">
        <w:rPr>
          <w:noProof/>
        </w:rPr>
        <w:tab/>
        <w:t>Názov sa nahrádza takto:</w:t>
      </w:r>
    </w:p>
    <w:p w14:paraId="123C4CB9" w14:textId="467D85EC" w:rsidR="00513EEE" w:rsidRPr="004F01E9" w:rsidRDefault="00513EEE" w:rsidP="00513EEE">
      <w:pPr>
        <w:pStyle w:val="Titrearticle"/>
        <w:rPr>
          <w:b/>
          <w:i w:val="0"/>
          <w:noProof/>
        </w:rPr>
      </w:pPr>
      <w:r w:rsidRPr="004F01E9">
        <w:rPr>
          <w:b/>
          <w:i w:val="0"/>
          <w:noProof/>
        </w:rPr>
        <w:t>„Zlyhanie dlžníka alebo facility“</w:t>
      </w:r>
    </w:p>
    <w:p w14:paraId="213E0FA3" w14:textId="21C2CD68" w:rsidR="00806B81" w:rsidRPr="004F01E9" w:rsidRDefault="00FC1006" w:rsidP="00FC1006">
      <w:pPr>
        <w:pStyle w:val="Point1"/>
        <w:rPr>
          <w:noProof/>
        </w:rPr>
      </w:pPr>
      <w:r w:rsidRPr="004F01E9">
        <w:rPr>
          <w:noProof/>
        </w:rPr>
        <w:t>b)</w:t>
      </w:r>
      <w:r w:rsidRPr="004F01E9">
        <w:rPr>
          <w:noProof/>
        </w:rPr>
        <w:tab/>
        <w:t>V odseku 1 sa písmeno b) nahrádza takto:</w:t>
      </w:r>
    </w:p>
    <w:p w14:paraId="05DB6A83" w14:textId="751D4E70" w:rsidR="00513EEE" w:rsidRPr="0059109E" w:rsidRDefault="00513EEE" w:rsidP="00615061">
      <w:pPr>
        <w:pStyle w:val="Text2"/>
        <w:rPr>
          <w:noProof/>
          <w:spacing w:val="-6"/>
        </w:rPr>
      </w:pPr>
      <w:r w:rsidRPr="0059109E">
        <w:rPr>
          <w:noProof/>
          <w:spacing w:val="-6"/>
        </w:rPr>
        <w:t>„b) ktorýkoľvek podstatný kreditný záväzok dlžníka voči inštitúcii, materskej spoločnosti alebo ktorejkoľvek</w:t>
      </w:r>
      <w:r w:rsidR="004F01E9" w:rsidRPr="0059109E">
        <w:rPr>
          <w:noProof/>
          <w:spacing w:val="-6"/>
        </w:rPr>
        <w:t xml:space="preserve"> z </w:t>
      </w:r>
      <w:r w:rsidRPr="0059109E">
        <w:rPr>
          <w:noProof/>
          <w:spacing w:val="-6"/>
        </w:rPr>
        <w:t>jej dcérskych spoločností je viac než 90 dní po splatnosti.“;</w:t>
      </w:r>
    </w:p>
    <w:p w14:paraId="4D91DCD6" w14:textId="2A930ABA" w:rsidR="00513EEE" w:rsidRPr="004F01E9" w:rsidRDefault="00FC1006" w:rsidP="00FC1006">
      <w:pPr>
        <w:pStyle w:val="Point1"/>
        <w:rPr>
          <w:noProof/>
        </w:rPr>
      </w:pPr>
      <w:r w:rsidRPr="004F01E9">
        <w:rPr>
          <w:noProof/>
        </w:rPr>
        <w:t>c)</w:t>
      </w:r>
      <w:r w:rsidRPr="004F01E9">
        <w:rPr>
          <w:noProof/>
        </w:rPr>
        <w:tab/>
        <w:t>V odseku 3 sa písmeno d) nahrádza takto:</w:t>
      </w:r>
    </w:p>
    <w:p w14:paraId="6FD1CEE3" w14:textId="6E0BEADF" w:rsidR="00513EEE" w:rsidRPr="0059109E" w:rsidRDefault="00513EEE" w:rsidP="00615061">
      <w:pPr>
        <w:pStyle w:val="Text2"/>
        <w:rPr>
          <w:noProof/>
          <w:spacing w:val="-6"/>
        </w:rPr>
      </w:pPr>
      <w:r w:rsidRPr="0059109E">
        <w:rPr>
          <w:noProof/>
          <w:spacing w:val="-6"/>
        </w:rPr>
        <w:t>„d) inštitúcia súhlasí</w:t>
      </w:r>
      <w:r w:rsidR="004F01E9" w:rsidRPr="0059109E">
        <w:rPr>
          <w:noProof/>
          <w:spacing w:val="-6"/>
        </w:rPr>
        <w:t xml:space="preserve"> s </w:t>
      </w:r>
      <w:r w:rsidRPr="0059109E">
        <w:rPr>
          <w:noProof/>
          <w:spacing w:val="-6"/>
        </w:rPr>
        <w:t>núdzovou reštrukturalizáciou kreditného záväzku, keď takáto reštrukturalizácia pravdepodobne vyústi do zníženého finančného záväzku</w:t>
      </w:r>
      <w:r w:rsidR="004F01E9" w:rsidRPr="0059109E">
        <w:rPr>
          <w:noProof/>
          <w:spacing w:val="-6"/>
        </w:rPr>
        <w:t xml:space="preserve"> v </w:t>
      </w:r>
      <w:r w:rsidRPr="0059109E">
        <w:rPr>
          <w:noProof/>
          <w:spacing w:val="-6"/>
        </w:rPr>
        <w:t>dôsledku významného odpustenia alebo odkladu platby istiny, úroku alebo prípadne poplatkov. Núdzová reštrukturalizácia sa považuje za uskutočnenú vtedy, keď sa opatrenia týkajúce sa úľavy uvedené</w:t>
      </w:r>
      <w:r w:rsidR="004F01E9" w:rsidRPr="0059109E">
        <w:rPr>
          <w:noProof/>
          <w:spacing w:val="-6"/>
        </w:rPr>
        <w:t xml:space="preserve"> v </w:t>
      </w:r>
      <w:r w:rsidRPr="0059109E">
        <w:rPr>
          <w:noProof/>
          <w:spacing w:val="-6"/>
        </w:rPr>
        <w:t>článku 47b rozšírili na dlžníka;“.</w:t>
      </w:r>
    </w:p>
    <w:p w14:paraId="5EFACFCD" w14:textId="20850560" w:rsidR="00513EEE" w:rsidRPr="004F01E9" w:rsidRDefault="00B16452" w:rsidP="00B16452">
      <w:pPr>
        <w:pStyle w:val="Point0"/>
        <w:rPr>
          <w:noProof/>
        </w:rPr>
      </w:pPr>
      <w:r w:rsidRPr="00B16452">
        <w:rPr>
          <w:noProof/>
        </w:rPr>
        <w:t>90</w:t>
      </w:r>
      <w:r>
        <w:rPr>
          <w:noProof/>
        </w:rPr>
        <w:t>.</w:t>
      </w:r>
      <w:r w:rsidRPr="00B16452">
        <w:rPr>
          <w:noProof/>
        </w:rPr>
        <w:tab/>
      </w:r>
      <w:r w:rsidR="00513EEE" w:rsidRPr="004F01E9">
        <w:rPr>
          <w:noProof/>
        </w:rPr>
        <w:t>Článok 180 sa mení takto:</w:t>
      </w:r>
    </w:p>
    <w:p w14:paraId="5702D6B2" w14:textId="7B68EED7" w:rsidR="00513EEE" w:rsidRPr="004F01E9" w:rsidRDefault="00FC1006" w:rsidP="00FC1006">
      <w:pPr>
        <w:pStyle w:val="Point1"/>
        <w:rPr>
          <w:noProof/>
        </w:rPr>
      </w:pPr>
      <w:r w:rsidRPr="004F01E9">
        <w:rPr>
          <w:noProof/>
        </w:rPr>
        <w:t>a)</w:t>
      </w:r>
      <w:r w:rsidRPr="004F01E9">
        <w:rPr>
          <w:noProof/>
        </w:rPr>
        <w:tab/>
        <w:t>Odsek 1 sa mení takto:</w:t>
      </w:r>
    </w:p>
    <w:p w14:paraId="22F341BC" w14:textId="77777777" w:rsidR="00513EEE" w:rsidRPr="004F01E9" w:rsidRDefault="00513EEE" w:rsidP="00513EEE">
      <w:pPr>
        <w:pStyle w:val="Point2"/>
        <w:rPr>
          <w:noProof/>
        </w:rPr>
      </w:pPr>
      <w:r w:rsidRPr="004F01E9">
        <w:rPr>
          <w:noProof/>
        </w:rPr>
        <w:t>i)</w:t>
      </w:r>
      <w:r w:rsidRPr="004F01E9">
        <w:rPr>
          <w:noProof/>
        </w:rPr>
        <w:tab/>
        <w:t>Úvodná veta sa nahrádza takto:</w:t>
      </w:r>
    </w:p>
    <w:p w14:paraId="692D7F51" w14:textId="270F6DAB" w:rsidR="00513EEE" w:rsidRPr="004F01E9" w:rsidRDefault="00513EEE" w:rsidP="00513EEE">
      <w:pPr>
        <w:pStyle w:val="Text3"/>
        <w:rPr>
          <w:noProof/>
        </w:rPr>
      </w:pPr>
      <w:r w:rsidRPr="004F01E9">
        <w:rPr>
          <w:noProof/>
        </w:rPr>
        <w:t>„Pri kvantifikácii parametrov rizika, ktoré sa majú priradiť</w:t>
      </w:r>
      <w:r w:rsidR="004F01E9">
        <w:rPr>
          <w:noProof/>
        </w:rPr>
        <w:t xml:space="preserve"> k </w:t>
      </w:r>
      <w:r w:rsidRPr="004F01E9">
        <w:rPr>
          <w:noProof/>
        </w:rPr>
        <w:t>ratingovým stupňom alebo skupinám, inštitúcie uplatňujú tieto požiadavky špecifické pre odhady PD pre expozície voči podnikateľským subjektom, inštitúciám, ústredným vládam</w:t>
      </w:r>
      <w:r w:rsidR="004F01E9">
        <w:rPr>
          <w:noProof/>
        </w:rPr>
        <w:t xml:space="preserve"> a </w:t>
      </w:r>
      <w:r w:rsidRPr="004F01E9">
        <w:rPr>
          <w:noProof/>
        </w:rPr>
        <w:t>centrálnym bankám:“;</w:t>
      </w:r>
    </w:p>
    <w:p w14:paraId="165B4DC4" w14:textId="77777777" w:rsidR="00806B81" w:rsidRPr="004F01E9" w:rsidRDefault="00513EEE" w:rsidP="00513EEE">
      <w:pPr>
        <w:pStyle w:val="Point2"/>
        <w:rPr>
          <w:noProof/>
        </w:rPr>
      </w:pPr>
      <w:r w:rsidRPr="004F01E9">
        <w:rPr>
          <w:noProof/>
        </w:rPr>
        <w:t>ii)</w:t>
      </w:r>
      <w:r w:rsidRPr="004F01E9">
        <w:rPr>
          <w:noProof/>
        </w:rPr>
        <w:tab/>
        <w:t>Písmeno h) sa nahrádza takto:</w:t>
      </w:r>
    </w:p>
    <w:p w14:paraId="1ABDC29F" w14:textId="458EE7B1" w:rsidR="00513EEE" w:rsidRPr="0059109E" w:rsidRDefault="00513EEE" w:rsidP="00615061">
      <w:pPr>
        <w:pStyle w:val="Text2"/>
        <w:rPr>
          <w:noProof/>
          <w:spacing w:val="-6"/>
        </w:rPr>
      </w:pPr>
      <w:r w:rsidRPr="0059109E">
        <w:rPr>
          <w:noProof/>
          <w:spacing w:val="-6"/>
        </w:rPr>
        <w:t>„h) bez ohľadu na to, či inštitúcia používa na svoje odhady PD externé, interné alebo združené zdroje údajov alebo kombináciu týchto troch zdrojov, dĺžka obdobia použitého historického pozorovania je aspoň päť rokov pre najmenej jeden zdroj.“;</w:t>
      </w:r>
    </w:p>
    <w:p w14:paraId="7CE0025C" w14:textId="77777777" w:rsidR="00513EEE" w:rsidRPr="004F01E9" w:rsidRDefault="00513EEE" w:rsidP="00513EEE">
      <w:pPr>
        <w:pStyle w:val="Point2"/>
        <w:rPr>
          <w:noProof/>
        </w:rPr>
      </w:pPr>
      <w:r w:rsidRPr="004F01E9">
        <w:rPr>
          <w:noProof/>
        </w:rPr>
        <w:t>iii)</w:t>
      </w:r>
      <w:r w:rsidRPr="004F01E9">
        <w:rPr>
          <w:noProof/>
        </w:rPr>
        <w:tab/>
        <w:t>Dopĺňa sa toto písmeno i):</w:t>
      </w:r>
    </w:p>
    <w:p w14:paraId="38C770E5" w14:textId="0DAC1094" w:rsidR="00513EEE" w:rsidRPr="004F01E9" w:rsidRDefault="00513EEE" w:rsidP="00615061">
      <w:pPr>
        <w:pStyle w:val="Text2"/>
        <w:rPr>
          <w:noProof/>
        </w:rPr>
      </w:pPr>
      <w:r w:rsidRPr="004F01E9">
        <w:rPr>
          <w:noProof/>
        </w:rPr>
        <w:t>„i) bez ohľadu na metódu použitú na odhadovanie PD inštitúcie odhadujú PD pre každý ratingový stupeň na základe pozorovanej historickej priemernej jednoročnej miery zlyhania, ktorá je jednoduchým priemerom založeným na počte dlžníkov (priemer vážený počtom dlžníkov),</w:t>
      </w:r>
      <w:r w:rsidR="004F01E9">
        <w:rPr>
          <w:noProof/>
        </w:rPr>
        <w:t xml:space="preserve"> a </w:t>
      </w:r>
      <w:r w:rsidRPr="004F01E9">
        <w:rPr>
          <w:noProof/>
        </w:rPr>
        <w:t>iné prístupy vrátane expozíciami vážených priemerov nie sú povolené.“;</w:t>
      </w:r>
    </w:p>
    <w:p w14:paraId="5642C334" w14:textId="77777777" w:rsidR="00513EEE" w:rsidRPr="004F01E9" w:rsidRDefault="00513EEE" w:rsidP="00513EEE">
      <w:pPr>
        <w:pStyle w:val="Point2"/>
        <w:rPr>
          <w:noProof/>
        </w:rPr>
      </w:pPr>
      <w:r w:rsidRPr="004F01E9">
        <w:rPr>
          <w:noProof/>
        </w:rPr>
        <w:t>iv)</w:t>
      </w:r>
      <w:r w:rsidRPr="004F01E9">
        <w:rPr>
          <w:noProof/>
        </w:rPr>
        <w:tab/>
        <w:t>Dopĺňa sa tento pododsek:</w:t>
      </w:r>
    </w:p>
    <w:p w14:paraId="5A477CB4" w14:textId="1E1D99C7" w:rsidR="00513EEE" w:rsidRPr="004F01E9" w:rsidRDefault="00513EEE" w:rsidP="00513EEE">
      <w:pPr>
        <w:pStyle w:val="Point2"/>
        <w:rPr>
          <w:noProof/>
        </w:rPr>
      </w:pPr>
      <w:r w:rsidRPr="004F01E9">
        <w:rPr>
          <w:noProof/>
        </w:rPr>
        <w:tab/>
        <w:t>„Na účely písmena h), ak dostupné obdobie pozorovania</w:t>
      </w:r>
      <w:r w:rsidR="004F01E9">
        <w:rPr>
          <w:noProof/>
        </w:rPr>
        <w:t xml:space="preserve"> v </w:t>
      </w:r>
      <w:r w:rsidRPr="004F01E9">
        <w:rPr>
          <w:noProof/>
        </w:rPr>
        <w:t>prípade ktoréhokoľvek zdroja trvá dlhšie</w:t>
      </w:r>
      <w:r w:rsidR="004F01E9">
        <w:rPr>
          <w:noProof/>
        </w:rPr>
        <w:t xml:space="preserve"> a </w:t>
      </w:r>
      <w:r w:rsidRPr="004F01E9">
        <w:rPr>
          <w:noProof/>
        </w:rPr>
        <w:t>tieto údaje sú relevantné, použije sa toto dlhšie obdobie. Údaje zahŕňajú reprezentatívnu zmes dobrých</w:t>
      </w:r>
      <w:r w:rsidR="004F01E9">
        <w:rPr>
          <w:noProof/>
        </w:rPr>
        <w:t xml:space="preserve"> a </w:t>
      </w:r>
      <w:r w:rsidRPr="004F01E9">
        <w:rPr>
          <w:noProof/>
        </w:rPr>
        <w:t>zlých rokov relevantných pre daný druh expozícií.</w:t>
      </w:r>
      <w:r w:rsidR="004F01E9">
        <w:rPr>
          <w:noProof/>
        </w:rPr>
        <w:t xml:space="preserve"> S </w:t>
      </w:r>
      <w:r w:rsidRPr="004F01E9">
        <w:rPr>
          <w:noProof/>
        </w:rPr>
        <w:t>výhradou povolenia príslušných orgánov môžu inštitúcie, ktoré nezískali povolenie príslušného orgánu podľa článku 143 na používanie vlastných odhadov LGD alebo konverzných faktorov, využívať pri uplatňovaní prístupu IRB príslušné údaje zahŕňajúce obdobie dvoch rokov. Obdobie, ktoré má byť zahrnuté, sa každý rok predĺži</w:t>
      </w:r>
      <w:r w:rsidR="004F01E9">
        <w:rPr>
          <w:noProof/>
        </w:rPr>
        <w:t xml:space="preserve"> o </w:t>
      </w:r>
      <w:r w:rsidRPr="004F01E9">
        <w:rPr>
          <w:noProof/>
        </w:rPr>
        <w:t>jeden rok až dovtedy, kým príslušné údaje nebudú zahŕňať obdobie piatich rokov.“;</w:t>
      </w:r>
    </w:p>
    <w:p w14:paraId="0387E4EE" w14:textId="2270962D" w:rsidR="00513EEE" w:rsidRPr="004F01E9" w:rsidRDefault="00FC1006" w:rsidP="00FC1006">
      <w:pPr>
        <w:pStyle w:val="Point1"/>
        <w:rPr>
          <w:noProof/>
        </w:rPr>
      </w:pPr>
      <w:r w:rsidRPr="004F01E9">
        <w:rPr>
          <w:noProof/>
        </w:rPr>
        <w:t>b)</w:t>
      </w:r>
      <w:r w:rsidRPr="004F01E9">
        <w:rPr>
          <w:noProof/>
        </w:rPr>
        <w:tab/>
        <w:t>Odsek 2 sa mení takto:</w:t>
      </w:r>
    </w:p>
    <w:p w14:paraId="0F662248" w14:textId="77777777" w:rsidR="00513EEE" w:rsidRPr="004F01E9" w:rsidRDefault="00513EEE" w:rsidP="00031705">
      <w:pPr>
        <w:pStyle w:val="Point2"/>
        <w:rPr>
          <w:noProof/>
        </w:rPr>
      </w:pPr>
      <w:r w:rsidRPr="004F01E9">
        <w:rPr>
          <w:noProof/>
        </w:rPr>
        <w:t>i)</w:t>
      </w:r>
      <w:r w:rsidRPr="004F01E9">
        <w:rPr>
          <w:noProof/>
        </w:rPr>
        <w:tab/>
        <w:t>Písmeno a) sa nahrádza takto:</w:t>
      </w:r>
    </w:p>
    <w:p w14:paraId="5C3DD0E3" w14:textId="7141B594" w:rsidR="00513EEE" w:rsidRPr="004F01E9" w:rsidRDefault="00513EEE" w:rsidP="00FC1006">
      <w:pPr>
        <w:pStyle w:val="Text3"/>
        <w:rPr>
          <w:noProof/>
        </w:rPr>
      </w:pPr>
      <w:r w:rsidRPr="004F01E9">
        <w:rPr>
          <w:noProof/>
        </w:rPr>
        <w:t>„a) inštitúcie odhadujú PD podľa stupňa alebo skupiny dlžníkov alebo facilít na základe dlhodobých priemerov jednoročných mier zlyhania</w:t>
      </w:r>
      <w:r w:rsidR="004F01E9">
        <w:rPr>
          <w:noProof/>
        </w:rPr>
        <w:t xml:space="preserve"> a </w:t>
      </w:r>
      <w:r w:rsidRPr="004F01E9">
        <w:rPr>
          <w:noProof/>
        </w:rPr>
        <w:t>miery zlyhania sa vypočítavajú na úrovni facility len vtedy, keď sa vymedzenie zlyhania uplatňuje na úrovni individuálnych kreditných facilít podľa článku 178 ods. 1 druhého pododseku;“;</w:t>
      </w:r>
    </w:p>
    <w:p w14:paraId="4A837F2A" w14:textId="77777777" w:rsidR="00513EEE" w:rsidRPr="004F01E9" w:rsidRDefault="00513EEE" w:rsidP="00031705">
      <w:pPr>
        <w:pStyle w:val="Point2"/>
        <w:rPr>
          <w:noProof/>
        </w:rPr>
      </w:pPr>
      <w:r w:rsidRPr="004F01E9">
        <w:rPr>
          <w:noProof/>
        </w:rPr>
        <w:t>ii)</w:t>
      </w:r>
      <w:r w:rsidRPr="004F01E9">
        <w:rPr>
          <w:noProof/>
        </w:rPr>
        <w:tab/>
        <w:t>Písmeno e) sa nahrádza takto:</w:t>
      </w:r>
    </w:p>
    <w:p w14:paraId="31B23AE9" w14:textId="77777777" w:rsidR="00513EEE" w:rsidRPr="004F01E9" w:rsidRDefault="00513EEE" w:rsidP="00FC1006">
      <w:pPr>
        <w:pStyle w:val="Text3"/>
        <w:rPr>
          <w:noProof/>
        </w:rPr>
      </w:pPr>
      <w:r w:rsidRPr="004F01E9">
        <w:rPr>
          <w:noProof/>
        </w:rPr>
        <w:t>„e) bez ohľadu na to, či inštitúcia používa na svoje odhady PD externé, interné alebo združené zdroje údajov alebo kombináciu týchto troch zdrojov, dĺžka obdobia použitého historického pozorovania je aspoň päť rokov pre najmenej jeden zdroj.“;</w:t>
      </w:r>
    </w:p>
    <w:p w14:paraId="1D8ACF85" w14:textId="77777777" w:rsidR="00513EEE" w:rsidRPr="004F01E9" w:rsidRDefault="00513EEE" w:rsidP="00FC1006">
      <w:pPr>
        <w:pStyle w:val="Point2"/>
        <w:rPr>
          <w:noProof/>
        </w:rPr>
      </w:pPr>
      <w:r w:rsidRPr="004F01E9">
        <w:rPr>
          <w:noProof/>
        </w:rPr>
        <w:t>iii)</w:t>
      </w:r>
      <w:r w:rsidRPr="004F01E9">
        <w:rPr>
          <w:noProof/>
        </w:rPr>
        <w:tab/>
        <w:t>Dopĺňa sa tento pododsek:</w:t>
      </w:r>
    </w:p>
    <w:p w14:paraId="7147D0BE" w14:textId="1AA738F6" w:rsidR="00513EEE" w:rsidRPr="004F01E9" w:rsidRDefault="00513EEE" w:rsidP="00FC1006">
      <w:pPr>
        <w:pStyle w:val="Text3"/>
        <w:rPr>
          <w:noProof/>
        </w:rPr>
      </w:pPr>
      <w:r w:rsidRPr="004F01E9">
        <w:rPr>
          <w:noProof/>
        </w:rPr>
        <w:t>„Na účely písmena e), ak dostupné pozorovanie</w:t>
      </w:r>
      <w:r w:rsidR="004F01E9">
        <w:rPr>
          <w:noProof/>
        </w:rPr>
        <w:t xml:space="preserve"> v </w:t>
      </w:r>
      <w:r w:rsidRPr="004F01E9">
        <w:rPr>
          <w:noProof/>
        </w:rPr>
        <w:t>prípade ktoréhokoľvek zdroja trvá dlhšie obdobie</w:t>
      </w:r>
      <w:r w:rsidR="004F01E9">
        <w:rPr>
          <w:noProof/>
        </w:rPr>
        <w:t xml:space="preserve"> a </w:t>
      </w:r>
      <w:r w:rsidRPr="004F01E9">
        <w:rPr>
          <w:noProof/>
        </w:rPr>
        <w:t>ak sú dané údaje relevantné, použije sa toto dlhšie obdobie. Údaje zahŕňajú reprezentatívnu zmes dobrých</w:t>
      </w:r>
      <w:r w:rsidR="004F01E9">
        <w:rPr>
          <w:noProof/>
        </w:rPr>
        <w:t xml:space="preserve"> a </w:t>
      </w:r>
      <w:r w:rsidRPr="004F01E9">
        <w:rPr>
          <w:noProof/>
        </w:rPr>
        <w:t>zlých rokov hospodárskeho cyklu, ktoré sú relevantné pre daný druh expozícií. PD je založená na pozorovanej historickej priemernej jednoročnej miere zlyhania.</w:t>
      </w:r>
      <w:r w:rsidR="004F01E9">
        <w:rPr>
          <w:noProof/>
        </w:rPr>
        <w:t xml:space="preserve"> S </w:t>
      </w:r>
      <w:r w:rsidRPr="004F01E9">
        <w:rPr>
          <w:noProof/>
        </w:rPr>
        <w:t>výhradou povolenia príslušných orgánov môžu inštitúcie pri uplatňovaní prístupu IRB používať príslušné údaje zahŕňajúce obdobie dvoch rokov. Obdobie, ktoré má byť zahrnuté, sa každý rok predĺži</w:t>
      </w:r>
      <w:r w:rsidR="004F01E9">
        <w:rPr>
          <w:noProof/>
        </w:rPr>
        <w:t xml:space="preserve"> o </w:t>
      </w:r>
      <w:r w:rsidRPr="004F01E9">
        <w:rPr>
          <w:noProof/>
        </w:rPr>
        <w:t>jeden rok až dovtedy, kým príslušné údaje nebudú zahŕňať obdobie piatich rokov.“;</w:t>
      </w:r>
    </w:p>
    <w:p w14:paraId="6B200866" w14:textId="567A4139" w:rsidR="00513EEE" w:rsidRPr="004F01E9" w:rsidRDefault="00FC1006" w:rsidP="00FC1006">
      <w:pPr>
        <w:pStyle w:val="Point1"/>
        <w:rPr>
          <w:noProof/>
        </w:rPr>
      </w:pPr>
      <w:r w:rsidRPr="004F01E9">
        <w:rPr>
          <w:noProof/>
        </w:rPr>
        <w:t>c)</w:t>
      </w:r>
      <w:r w:rsidRPr="004F01E9">
        <w:rPr>
          <w:noProof/>
        </w:rPr>
        <w:tab/>
        <w:t>Odsek 3 sa nahrádza takto:</w:t>
      </w:r>
    </w:p>
    <w:p w14:paraId="5A959501" w14:textId="5F298629" w:rsidR="00806B81" w:rsidRPr="004F01E9" w:rsidRDefault="00513EEE" w:rsidP="00513EEE">
      <w:pPr>
        <w:pStyle w:val="Text2"/>
        <w:rPr>
          <w:noProof/>
        </w:rPr>
      </w:pPr>
      <w:r w:rsidRPr="004F01E9">
        <w:rPr>
          <w:noProof/>
        </w:rPr>
        <w:t>„EBA vypracuje návrh regulačných technických predpisov</w:t>
      </w:r>
      <w:r w:rsidR="004F01E9">
        <w:rPr>
          <w:noProof/>
        </w:rPr>
        <w:t xml:space="preserve"> s </w:t>
      </w:r>
      <w:r w:rsidRPr="004F01E9">
        <w:rPr>
          <w:noProof/>
        </w:rPr>
        <w:t>cieľom presne stanoviť metodiky,</w:t>
      </w:r>
      <w:r w:rsidR="004F01E9">
        <w:rPr>
          <w:noProof/>
        </w:rPr>
        <w:t xml:space="preserve"> v </w:t>
      </w:r>
      <w:r w:rsidRPr="004F01E9">
        <w:rPr>
          <w:noProof/>
        </w:rPr>
        <w:t>súlade</w:t>
      </w:r>
      <w:r w:rsidR="004F01E9">
        <w:rPr>
          <w:noProof/>
        </w:rPr>
        <w:t xml:space="preserve"> s </w:t>
      </w:r>
      <w:r w:rsidRPr="004F01E9">
        <w:rPr>
          <w:noProof/>
        </w:rPr>
        <w:t>ktorými budú príslušné orgány posudzovať metodiku inštitúcie na odhadovanie PD podľa článku 143.</w:t>
      </w:r>
    </w:p>
    <w:p w14:paraId="600B10B0" w14:textId="656AF840" w:rsidR="00513EEE" w:rsidRPr="004F01E9" w:rsidRDefault="00513EEE" w:rsidP="00513EEE">
      <w:pPr>
        <w:pStyle w:val="Text2"/>
        <w:rPr>
          <w:noProof/>
        </w:rPr>
      </w:pPr>
      <w:r w:rsidRPr="004F01E9">
        <w:rPr>
          <w:noProof/>
        </w:rPr>
        <w:t>EBA predloží uvedený návrh regulačných technických predpisov Komisii do 31</w:t>
      </w:r>
      <w:r w:rsidR="004F01E9">
        <w:rPr>
          <w:noProof/>
        </w:rPr>
        <w:t>. decembra</w:t>
      </w:r>
      <w:r w:rsidRPr="004F01E9">
        <w:rPr>
          <w:noProof/>
        </w:rPr>
        <w:t xml:space="preserve"> 2025.</w:t>
      </w:r>
    </w:p>
    <w:p w14:paraId="238C2760" w14:textId="53AA6978" w:rsidR="00513EEE" w:rsidRPr="004F01E9" w:rsidRDefault="00513EEE" w:rsidP="00513EEE">
      <w:pPr>
        <w:pStyle w:val="Text2"/>
        <w:rPr>
          <w:noProof/>
        </w:rPr>
      </w:pPr>
      <w:r w:rsidRPr="004F01E9">
        <w:rPr>
          <w:noProof/>
        </w:rPr>
        <w:t>Na Komisiu sa deleguje právomoc prijať regulačné technické predpisy uvedené</w:t>
      </w:r>
      <w:r w:rsidR="004F01E9">
        <w:rPr>
          <w:noProof/>
        </w:rPr>
        <w:t xml:space="preserve"> v </w:t>
      </w:r>
      <w:r w:rsidRPr="004F01E9">
        <w:rPr>
          <w:noProof/>
        </w:rPr>
        <w:t>prvom pododseku</w:t>
      </w:r>
      <w:r w:rsidR="004F01E9">
        <w:rPr>
          <w:noProof/>
        </w:rPr>
        <w:t xml:space="preserve"> v </w:t>
      </w:r>
      <w:r w:rsidRPr="004F01E9">
        <w:rPr>
          <w:noProof/>
        </w:rPr>
        <w:t>súlade</w:t>
      </w:r>
      <w:r w:rsidR="004F01E9">
        <w:rPr>
          <w:noProof/>
        </w:rPr>
        <w:t xml:space="preserve"> s </w:t>
      </w:r>
      <w:r w:rsidRPr="004F01E9">
        <w:rPr>
          <w:noProof/>
        </w:rPr>
        <w:t xml:space="preserve">článkami 10 až 14 nariadenia (EÚ) </w:t>
      </w:r>
      <w:r w:rsidR="004F01E9">
        <w:rPr>
          <w:noProof/>
        </w:rPr>
        <w:t>č. </w:t>
      </w:r>
      <w:r w:rsidRPr="004F01E9">
        <w:rPr>
          <w:noProof/>
        </w:rPr>
        <w:t>1093/2010.“</w:t>
      </w:r>
    </w:p>
    <w:p w14:paraId="52CF55E1" w14:textId="08C27F29" w:rsidR="005A21FE" w:rsidRPr="004F01E9" w:rsidRDefault="00B16452" w:rsidP="0059109E">
      <w:pPr>
        <w:pStyle w:val="Point0"/>
        <w:keepNext/>
        <w:keepLines/>
        <w:rPr>
          <w:noProof/>
        </w:rPr>
      </w:pPr>
      <w:r w:rsidRPr="00B16452">
        <w:rPr>
          <w:noProof/>
        </w:rPr>
        <w:t>91</w:t>
      </w:r>
      <w:r>
        <w:rPr>
          <w:noProof/>
        </w:rPr>
        <w:t>.</w:t>
      </w:r>
      <w:r w:rsidRPr="00B16452">
        <w:rPr>
          <w:noProof/>
        </w:rPr>
        <w:tab/>
      </w:r>
      <w:r w:rsidR="005A21FE" w:rsidRPr="004F01E9">
        <w:rPr>
          <w:noProof/>
        </w:rPr>
        <w:t>Článok 181 sa mení takto:</w:t>
      </w:r>
    </w:p>
    <w:p w14:paraId="771E87EE" w14:textId="61CB014B" w:rsidR="005A21FE" w:rsidRPr="004F01E9" w:rsidRDefault="00DC6A23" w:rsidP="0059109E">
      <w:pPr>
        <w:pStyle w:val="Point1"/>
        <w:keepNext/>
        <w:keepLines/>
        <w:rPr>
          <w:noProof/>
        </w:rPr>
      </w:pPr>
      <w:r w:rsidRPr="004F01E9">
        <w:rPr>
          <w:noProof/>
        </w:rPr>
        <w:t>a)</w:t>
      </w:r>
      <w:r w:rsidRPr="004F01E9">
        <w:rPr>
          <w:noProof/>
        </w:rPr>
        <w:tab/>
        <w:t>Odsek 1 sa mení takto:</w:t>
      </w:r>
    </w:p>
    <w:p w14:paraId="6951A494" w14:textId="77777777" w:rsidR="005A21FE" w:rsidRPr="004F01E9" w:rsidRDefault="005A21FE" w:rsidP="0059109E">
      <w:pPr>
        <w:pStyle w:val="Point2"/>
        <w:keepNext/>
        <w:keepLines/>
        <w:rPr>
          <w:noProof/>
        </w:rPr>
      </w:pPr>
      <w:r w:rsidRPr="004F01E9">
        <w:rPr>
          <w:noProof/>
        </w:rPr>
        <w:t>i)</w:t>
      </w:r>
      <w:r w:rsidRPr="004F01E9">
        <w:rPr>
          <w:noProof/>
        </w:rPr>
        <w:tab/>
        <w:t>Písmená c) až g) sa nahrádzajú takto:</w:t>
      </w:r>
    </w:p>
    <w:p w14:paraId="7C23A9FD" w14:textId="39D537F5" w:rsidR="005A21FE" w:rsidRPr="004F01E9" w:rsidRDefault="005A21FE" w:rsidP="0059109E">
      <w:pPr>
        <w:pStyle w:val="Text3"/>
        <w:keepNext/>
        <w:keepLines/>
        <w:rPr>
          <w:noProof/>
        </w:rPr>
      </w:pPr>
      <w:r w:rsidRPr="004F01E9">
        <w:rPr>
          <w:noProof/>
        </w:rPr>
        <w:t>„c) inštitúcia zohľadňuje rozsah každej závislosti medzi rizikom dlžníka na jednej strane</w:t>
      </w:r>
      <w:r w:rsidR="004F01E9">
        <w:rPr>
          <w:noProof/>
        </w:rPr>
        <w:t xml:space="preserve"> a </w:t>
      </w:r>
      <w:r w:rsidRPr="004F01E9">
        <w:rPr>
          <w:noProof/>
        </w:rPr>
        <w:t>rizikom financovaného kreditného zabezpečenia,</w:t>
      </w:r>
      <w:r w:rsidR="004F01E9">
        <w:rPr>
          <w:noProof/>
        </w:rPr>
        <w:t xml:space="preserve"> s </w:t>
      </w:r>
      <w:r w:rsidRPr="004F01E9">
        <w:rPr>
          <w:noProof/>
        </w:rPr>
        <w:t>výnimkou rámcových dohôd</w:t>
      </w:r>
      <w:r w:rsidR="004F01E9">
        <w:rPr>
          <w:noProof/>
        </w:rPr>
        <w:t xml:space="preserve"> o </w:t>
      </w:r>
      <w:r w:rsidRPr="004F01E9">
        <w:rPr>
          <w:noProof/>
        </w:rPr>
        <w:t>vzájomnom započítavaní</w:t>
      </w:r>
      <w:r w:rsidR="004F01E9">
        <w:rPr>
          <w:noProof/>
        </w:rPr>
        <w:t xml:space="preserve"> a </w:t>
      </w:r>
      <w:r w:rsidRPr="004F01E9">
        <w:rPr>
          <w:noProof/>
        </w:rPr>
        <w:t>vzájomného započítavania úverov</w:t>
      </w:r>
      <w:r w:rsidR="004F01E9">
        <w:rPr>
          <w:noProof/>
        </w:rPr>
        <w:t xml:space="preserve"> a </w:t>
      </w:r>
      <w:r w:rsidRPr="004F01E9">
        <w:rPr>
          <w:noProof/>
        </w:rPr>
        <w:t>vkladov</w:t>
      </w:r>
      <w:r w:rsidR="004F01E9">
        <w:rPr>
          <w:noProof/>
        </w:rPr>
        <w:t xml:space="preserve"> v </w:t>
      </w:r>
      <w:r w:rsidRPr="004F01E9">
        <w:rPr>
          <w:noProof/>
        </w:rPr>
        <w:t>súvahe, alebo rizikom poskytovateľa takéhoto financovaného kreditného zabezpečenia na strane druhej;</w:t>
      </w:r>
    </w:p>
    <w:p w14:paraId="7F3D4225" w14:textId="074EAEBD" w:rsidR="005A21FE" w:rsidRPr="0059109E" w:rsidRDefault="005A21FE" w:rsidP="005A21FE">
      <w:pPr>
        <w:pStyle w:val="Text3"/>
        <w:rPr>
          <w:noProof/>
          <w:spacing w:val="-6"/>
        </w:rPr>
      </w:pPr>
      <w:r w:rsidRPr="0059109E">
        <w:rPr>
          <w:noProof/>
          <w:spacing w:val="-6"/>
        </w:rPr>
        <w:t>d)</w:t>
      </w:r>
      <w:r w:rsidR="004F01E9" w:rsidRPr="0059109E">
        <w:rPr>
          <w:noProof/>
          <w:spacing w:val="-6"/>
        </w:rPr>
        <w:t xml:space="preserve"> s </w:t>
      </w:r>
      <w:r w:rsidRPr="0059109E">
        <w:rPr>
          <w:noProof/>
          <w:spacing w:val="-6"/>
        </w:rPr>
        <w:t>nesúladmi mien medzi podkladovým záväzkom</w:t>
      </w:r>
      <w:r w:rsidR="004F01E9" w:rsidRPr="0059109E">
        <w:rPr>
          <w:noProof/>
          <w:spacing w:val="-6"/>
        </w:rPr>
        <w:t xml:space="preserve"> a </w:t>
      </w:r>
      <w:r w:rsidRPr="0059109E">
        <w:rPr>
          <w:noProof/>
          <w:spacing w:val="-6"/>
        </w:rPr>
        <w:t>financovaným kreditným zabezpečením iným než rámcové dohody</w:t>
      </w:r>
      <w:r w:rsidR="004F01E9" w:rsidRPr="0059109E">
        <w:rPr>
          <w:noProof/>
          <w:spacing w:val="-6"/>
        </w:rPr>
        <w:t xml:space="preserve"> o </w:t>
      </w:r>
      <w:r w:rsidRPr="0059109E">
        <w:rPr>
          <w:noProof/>
          <w:spacing w:val="-6"/>
        </w:rPr>
        <w:t>vzájomnom započítavaní</w:t>
      </w:r>
      <w:r w:rsidR="004F01E9" w:rsidRPr="0059109E">
        <w:rPr>
          <w:noProof/>
          <w:spacing w:val="-6"/>
        </w:rPr>
        <w:t xml:space="preserve"> a </w:t>
      </w:r>
      <w:r w:rsidRPr="0059109E">
        <w:rPr>
          <w:noProof/>
          <w:spacing w:val="-6"/>
        </w:rPr>
        <w:t>vzájomné započítavanie úverov</w:t>
      </w:r>
      <w:r w:rsidR="004F01E9" w:rsidRPr="0059109E">
        <w:rPr>
          <w:noProof/>
          <w:spacing w:val="-6"/>
        </w:rPr>
        <w:t xml:space="preserve"> a </w:t>
      </w:r>
      <w:r w:rsidRPr="0059109E">
        <w:rPr>
          <w:noProof/>
          <w:spacing w:val="-6"/>
        </w:rPr>
        <w:t>vkladov</w:t>
      </w:r>
      <w:r w:rsidR="004F01E9" w:rsidRPr="0059109E">
        <w:rPr>
          <w:noProof/>
          <w:spacing w:val="-6"/>
        </w:rPr>
        <w:t xml:space="preserve"> v </w:t>
      </w:r>
      <w:r w:rsidRPr="0059109E">
        <w:rPr>
          <w:noProof/>
          <w:spacing w:val="-6"/>
        </w:rPr>
        <w:t>súvahe sa</w:t>
      </w:r>
      <w:r w:rsidR="004F01E9" w:rsidRPr="0059109E">
        <w:rPr>
          <w:noProof/>
          <w:spacing w:val="-6"/>
        </w:rPr>
        <w:t xml:space="preserve"> v </w:t>
      </w:r>
      <w:r w:rsidRPr="0059109E">
        <w:rPr>
          <w:noProof/>
          <w:spacing w:val="-6"/>
        </w:rPr>
        <w:t>rámci posúdenia LGD vykonávaného inštitúciou zaobchádza konzervatívne;</w:t>
      </w:r>
    </w:p>
    <w:p w14:paraId="6C1F93BA" w14:textId="73FAA23E" w:rsidR="005A21FE" w:rsidRPr="004F01E9" w:rsidRDefault="005A21FE" w:rsidP="005A21FE">
      <w:pPr>
        <w:pStyle w:val="Text3"/>
        <w:rPr>
          <w:noProof/>
        </w:rPr>
      </w:pPr>
      <w:r w:rsidRPr="004F01E9">
        <w:rPr>
          <w:noProof/>
        </w:rPr>
        <w:t>e) pokiaľ sa</w:t>
      </w:r>
      <w:r w:rsidR="004F01E9">
        <w:rPr>
          <w:noProof/>
        </w:rPr>
        <w:t xml:space="preserve"> v </w:t>
      </w:r>
      <w:r w:rsidRPr="004F01E9">
        <w:rPr>
          <w:noProof/>
        </w:rPr>
        <w:t>odhadoch LGD zohľadňuje existencia financovaného kreditného zabezpečenia iného než rámcové dohody</w:t>
      </w:r>
      <w:r w:rsidR="004F01E9">
        <w:rPr>
          <w:noProof/>
        </w:rPr>
        <w:t xml:space="preserve"> o </w:t>
      </w:r>
      <w:r w:rsidRPr="004F01E9">
        <w:rPr>
          <w:noProof/>
        </w:rPr>
        <w:t>vzájomnom započítavaní</w:t>
      </w:r>
      <w:r w:rsidR="004F01E9">
        <w:rPr>
          <w:noProof/>
        </w:rPr>
        <w:t xml:space="preserve"> a </w:t>
      </w:r>
      <w:r w:rsidRPr="004F01E9">
        <w:rPr>
          <w:noProof/>
        </w:rPr>
        <w:t>vzájomné započítavanie úverov</w:t>
      </w:r>
      <w:r w:rsidR="004F01E9">
        <w:rPr>
          <w:noProof/>
        </w:rPr>
        <w:t xml:space="preserve"> a </w:t>
      </w:r>
      <w:r w:rsidRPr="004F01E9">
        <w:rPr>
          <w:noProof/>
        </w:rPr>
        <w:t>vkladov</w:t>
      </w:r>
      <w:r w:rsidR="004F01E9">
        <w:rPr>
          <w:noProof/>
        </w:rPr>
        <w:t xml:space="preserve"> v </w:t>
      </w:r>
      <w:r w:rsidRPr="004F01E9">
        <w:rPr>
          <w:noProof/>
        </w:rPr>
        <w:t>súvahe, uvedené odhady nesmú byť založené výlučne na odhadovanej trhovej hodnote financovaného kreditného zabezpečenia;</w:t>
      </w:r>
    </w:p>
    <w:p w14:paraId="12734461" w14:textId="2E94B047" w:rsidR="005A21FE" w:rsidRPr="004F01E9" w:rsidRDefault="005A21FE" w:rsidP="005A21FE">
      <w:pPr>
        <w:pStyle w:val="Text3"/>
        <w:rPr>
          <w:noProof/>
        </w:rPr>
      </w:pPr>
      <w:r w:rsidRPr="004F01E9">
        <w:rPr>
          <w:noProof/>
        </w:rPr>
        <w:t>f) pokiaľ sa</w:t>
      </w:r>
      <w:r w:rsidR="004F01E9">
        <w:rPr>
          <w:noProof/>
        </w:rPr>
        <w:t xml:space="preserve"> v </w:t>
      </w:r>
      <w:r w:rsidRPr="004F01E9">
        <w:rPr>
          <w:noProof/>
        </w:rPr>
        <w:t>odhadoch LGD zohľadňuje existencia nefinancovaného kreditného zabezpečenia iného než rámcové dohody</w:t>
      </w:r>
      <w:r w:rsidR="004F01E9">
        <w:rPr>
          <w:noProof/>
        </w:rPr>
        <w:t xml:space="preserve"> o </w:t>
      </w:r>
      <w:r w:rsidRPr="004F01E9">
        <w:rPr>
          <w:noProof/>
        </w:rPr>
        <w:t>vzájomnom započítavaní</w:t>
      </w:r>
      <w:r w:rsidR="004F01E9">
        <w:rPr>
          <w:noProof/>
        </w:rPr>
        <w:t xml:space="preserve"> a </w:t>
      </w:r>
      <w:r w:rsidRPr="004F01E9">
        <w:rPr>
          <w:noProof/>
        </w:rPr>
        <w:t>vzájomné započítavanie úverov</w:t>
      </w:r>
      <w:r w:rsidR="004F01E9">
        <w:rPr>
          <w:noProof/>
        </w:rPr>
        <w:t xml:space="preserve"> a </w:t>
      </w:r>
      <w:r w:rsidRPr="004F01E9">
        <w:rPr>
          <w:noProof/>
        </w:rPr>
        <w:t>vkladov</w:t>
      </w:r>
      <w:r w:rsidR="004F01E9">
        <w:rPr>
          <w:noProof/>
        </w:rPr>
        <w:t xml:space="preserve"> v </w:t>
      </w:r>
      <w:r w:rsidRPr="004F01E9">
        <w:rPr>
          <w:noProof/>
        </w:rPr>
        <w:t>súvahe, inštitúcie stanovia interné požiadavky na riadenie, právnu istotu</w:t>
      </w:r>
      <w:r w:rsidR="004F01E9">
        <w:rPr>
          <w:noProof/>
        </w:rPr>
        <w:t xml:space="preserve"> a </w:t>
      </w:r>
      <w:r w:rsidRPr="004F01E9">
        <w:rPr>
          <w:noProof/>
        </w:rPr>
        <w:t>riadenie rizík uvedeného financovaného kreditného zabezpečenia</w:t>
      </w:r>
      <w:r w:rsidR="004F01E9">
        <w:rPr>
          <w:noProof/>
        </w:rPr>
        <w:t xml:space="preserve"> a </w:t>
      </w:r>
      <w:r w:rsidRPr="004F01E9">
        <w:rPr>
          <w:noProof/>
        </w:rPr>
        <w:t>tieto požiadavky musia byť vo všeobecnosti</w:t>
      </w:r>
      <w:r w:rsidR="004F01E9">
        <w:rPr>
          <w:noProof/>
        </w:rPr>
        <w:t xml:space="preserve"> v </w:t>
      </w:r>
      <w:r w:rsidRPr="004F01E9">
        <w:rPr>
          <w:noProof/>
        </w:rPr>
        <w:t>súlade</w:t>
      </w:r>
      <w:r w:rsidR="004F01E9">
        <w:rPr>
          <w:noProof/>
        </w:rPr>
        <w:t xml:space="preserve"> s </w:t>
      </w:r>
      <w:r w:rsidRPr="004F01E9">
        <w:rPr>
          <w:noProof/>
        </w:rPr>
        <w:t>požiadavkami stanovenými</w:t>
      </w:r>
      <w:r w:rsidR="004F01E9">
        <w:rPr>
          <w:noProof/>
        </w:rPr>
        <w:t xml:space="preserve"> v </w:t>
      </w:r>
      <w:r w:rsidRPr="004F01E9">
        <w:rPr>
          <w:noProof/>
        </w:rPr>
        <w:t>kapitole 4 oddiele 3;</w:t>
      </w:r>
    </w:p>
    <w:p w14:paraId="6B12EFD0" w14:textId="75F8542F" w:rsidR="005A21FE" w:rsidRPr="004F01E9" w:rsidDel="009B5A87" w:rsidRDefault="005A21FE" w:rsidP="005A21FE">
      <w:pPr>
        <w:pStyle w:val="Text3"/>
        <w:rPr>
          <w:noProof/>
        </w:rPr>
      </w:pPr>
      <w:r w:rsidRPr="004F01E9">
        <w:rPr>
          <w:noProof/>
        </w:rPr>
        <w:t>g) pokiaľ inštitúcia pri určovaní hodnoty expozície voči kreditnému riziku protistrany</w:t>
      </w:r>
      <w:r w:rsidR="004F01E9">
        <w:rPr>
          <w:noProof/>
        </w:rPr>
        <w:t xml:space="preserve"> v </w:t>
      </w:r>
      <w:r w:rsidRPr="004F01E9">
        <w:rPr>
          <w:noProof/>
        </w:rPr>
        <w:t>súlade</w:t>
      </w:r>
      <w:r w:rsidR="004F01E9">
        <w:rPr>
          <w:noProof/>
        </w:rPr>
        <w:t xml:space="preserve"> s </w:t>
      </w:r>
      <w:r w:rsidRPr="004F01E9">
        <w:rPr>
          <w:noProof/>
        </w:rPr>
        <w:t>kapitolou 6 oddielom 5 alebo 6 uznáva financované kreditné zabezpečenie iné než rámcové dohody</w:t>
      </w:r>
      <w:r w:rsidR="004F01E9">
        <w:rPr>
          <w:noProof/>
        </w:rPr>
        <w:t xml:space="preserve"> o </w:t>
      </w:r>
      <w:r w:rsidRPr="004F01E9">
        <w:rPr>
          <w:noProof/>
        </w:rPr>
        <w:t>vzájomnom započítavaní</w:t>
      </w:r>
      <w:r w:rsidR="004F01E9">
        <w:rPr>
          <w:noProof/>
        </w:rPr>
        <w:t xml:space="preserve"> a </w:t>
      </w:r>
      <w:r w:rsidRPr="004F01E9">
        <w:rPr>
          <w:noProof/>
        </w:rPr>
        <w:t>vzájomné započítavanie úverov</w:t>
      </w:r>
      <w:r w:rsidR="004F01E9">
        <w:rPr>
          <w:noProof/>
        </w:rPr>
        <w:t xml:space="preserve"> a </w:t>
      </w:r>
      <w:r w:rsidRPr="004F01E9">
        <w:rPr>
          <w:noProof/>
        </w:rPr>
        <w:t>vkladov</w:t>
      </w:r>
      <w:r w:rsidR="004F01E9">
        <w:rPr>
          <w:noProof/>
        </w:rPr>
        <w:t xml:space="preserve"> v </w:t>
      </w:r>
      <w:r w:rsidRPr="004F01E9">
        <w:rPr>
          <w:noProof/>
        </w:rPr>
        <w:t>súvahe,</w:t>
      </w:r>
      <w:r w:rsidR="004F01E9">
        <w:rPr>
          <w:noProof/>
        </w:rPr>
        <w:t xml:space="preserve"> v </w:t>
      </w:r>
      <w:r w:rsidRPr="004F01E9">
        <w:rPr>
          <w:noProof/>
        </w:rPr>
        <w:t>odhadoch LGD sa nezohľadňuje žiadna suma, pri ktorej sa očakáva, že bude realizovaná</w:t>
      </w:r>
      <w:r w:rsidR="004F01E9">
        <w:rPr>
          <w:noProof/>
        </w:rPr>
        <w:t xml:space="preserve"> z </w:t>
      </w:r>
      <w:r w:rsidRPr="004F01E9">
        <w:rPr>
          <w:noProof/>
        </w:rPr>
        <w:t>tohto financovaného zabezpečenia;“;</w:t>
      </w:r>
    </w:p>
    <w:p w14:paraId="5512D0FD" w14:textId="77777777" w:rsidR="00806B81" w:rsidRPr="004F01E9" w:rsidRDefault="00082522" w:rsidP="005A21FE">
      <w:pPr>
        <w:pStyle w:val="Point2"/>
        <w:rPr>
          <w:noProof/>
        </w:rPr>
      </w:pPr>
      <w:r w:rsidRPr="004F01E9">
        <w:rPr>
          <w:noProof/>
        </w:rPr>
        <w:t>ii)</w:t>
      </w:r>
      <w:r w:rsidRPr="004F01E9">
        <w:rPr>
          <w:noProof/>
        </w:rPr>
        <w:tab/>
        <w:t>Písmeno i) sa nahrádza takto:</w:t>
      </w:r>
    </w:p>
    <w:p w14:paraId="63A6B104" w14:textId="1397B60C" w:rsidR="005A21FE" w:rsidRPr="004F01E9" w:rsidRDefault="005A21FE" w:rsidP="005A21FE">
      <w:pPr>
        <w:pStyle w:val="Text3"/>
        <w:rPr>
          <w:noProof/>
        </w:rPr>
      </w:pPr>
      <w:r w:rsidRPr="004F01E9">
        <w:rPr>
          <w:noProof/>
        </w:rPr>
        <w:t>„i) ak sa poplatky za oneskorené platby, ktoré boli dlžníkovi uložené pred zlyhaním, kapitalizovali vo výkaze ziskov</w:t>
      </w:r>
      <w:r w:rsidR="004F01E9">
        <w:rPr>
          <w:noProof/>
        </w:rPr>
        <w:t xml:space="preserve"> a </w:t>
      </w:r>
      <w:r w:rsidRPr="004F01E9">
        <w:rPr>
          <w:noProof/>
        </w:rPr>
        <w:t>strát inštitúcie, zahrnú sa do miery expozície</w:t>
      </w:r>
      <w:r w:rsidR="004F01E9">
        <w:rPr>
          <w:noProof/>
        </w:rPr>
        <w:t xml:space="preserve"> a </w:t>
      </w:r>
      <w:r w:rsidRPr="004F01E9">
        <w:rPr>
          <w:noProof/>
        </w:rPr>
        <w:t>straty danej inštitúcie;“;</w:t>
      </w:r>
    </w:p>
    <w:p w14:paraId="796F2F61" w14:textId="77777777" w:rsidR="00806B81" w:rsidRPr="004F01E9" w:rsidRDefault="00082522" w:rsidP="005A21FE">
      <w:pPr>
        <w:pStyle w:val="Point2"/>
        <w:rPr>
          <w:noProof/>
        </w:rPr>
      </w:pPr>
      <w:r w:rsidRPr="004F01E9">
        <w:rPr>
          <w:noProof/>
        </w:rPr>
        <w:t>iii) Dopĺňa sa toto písmeno k):</w:t>
      </w:r>
    </w:p>
    <w:p w14:paraId="1F73602D" w14:textId="5F647F81" w:rsidR="00806B81" w:rsidRPr="004F01E9" w:rsidRDefault="005A21FE" w:rsidP="005A21FE">
      <w:pPr>
        <w:pStyle w:val="Text3"/>
        <w:rPr>
          <w:noProof/>
        </w:rPr>
      </w:pPr>
      <w:r w:rsidRPr="004F01E9">
        <w:rPr>
          <w:noProof/>
        </w:rPr>
        <w:t>„k)</w:t>
      </w:r>
      <w:r w:rsidRPr="004F01E9">
        <w:rPr>
          <w:noProof/>
        </w:rPr>
        <w:tab/>
        <w:t>dodatočné čerpania po zlyhaní sa zaúčtujú</w:t>
      </w:r>
      <w:r w:rsidR="004F01E9">
        <w:rPr>
          <w:noProof/>
        </w:rPr>
        <w:t xml:space="preserve"> v </w:t>
      </w:r>
      <w:r w:rsidRPr="004F01E9">
        <w:rPr>
          <w:noProof/>
        </w:rPr>
        <w:t>rámci LGD;“;</w:t>
      </w:r>
    </w:p>
    <w:p w14:paraId="1BDAAFF4" w14:textId="1102473B" w:rsidR="005A21FE" w:rsidRPr="004F01E9" w:rsidRDefault="005A21FE" w:rsidP="002A2107">
      <w:pPr>
        <w:pStyle w:val="Point2"/>
        <w:rPr>
          <w:noProof/>
        </w:rPr>
      </w:pPr>
      <w:r w:rsidRPr="004F01E9">
        <w:rPr>
          <w:noProof/>
        </w:rPr>
        <w:t>iv)</w:t>
      </w:r>
      <w:r w:rsidRPr="004F01E9">
        <w:rPr>
          <w:noProof/>
        </w:rPr>
        <w:tab/>
        <w:t>Dopĺňajú sa tieto pododseky:</w:t>
      </w:r>
    </w:p>
    <w:p w14:paraId="2F9CE701" w14:textId="6D693E04" w:rsidR="005A21FE" w:rsidRPr="004F01E9" w:rsidRDefault="005A21FE" w:rsidP="002A2107">
      <w:pPr>
        <w:pStyle w:val="Text3"/>
        <w:rPr>
          <w:noProof/>
        </w:rPr>
      </w:pPr>
      <w:r w:rsidRPr="004F01E9">
        <w:rPr>
          <w:noProof/>
        </w:rPr>
        <w:t>„Na účely písmena a) inštitúcie primerane zohľadňujú náhrady realizované</w:t>
      </w:r>
      <w:r w:rsidR="004F01E9">
        <w:rPr>
          <w:noProof/>
        </w:rPr>
        <w:t xml:space="preserve"> v </w:t>
      </w:r>
      <w:r w:rsidRPr="004F01E9">
        <w:rPr>
          <w:noProof/>
        </w:rPr>
        <w:t>priebehu príslušných procesov realizácie náhrad</w:t>
      </w:r>
      <w:r w:rsidR="004F01E9">
        <w:rPr>
          <w:noProof/>
        </w:rPr>
        <w:t xml:space="preserve"> z </w:t>
      </w:r>
      <w:r w:rsidRPr="004F01E9">
        <w:rPr>
          <w:noProof/>
        </w:rPr>
        <w:t>akejkoľvek formy FCP, ako aj</w:t>
      </w:r>
      <w:r w:rsidR="004F01E9">
        <w:rPr>
          <w:noProof/>
        </w:rPr>
        <w:t xml:space="preserve"> z </w:t>
      </w:r>
      <w:r w:rsidRPr="004F01E9">
        <w:rPr>
          <w:noProof/>
        </w:rPr>
        <w:t>UFCP, na ktoré sa nevzťahuje vymedzenie</w:t>
      </w:r>
      <w:r w:rsidR="004F01E9">
        <w:rPr>
          <w:noProof/>
        </w:rPr>
        <w:t xml:space="preserve"> v </w:t>
      </w:r>
      <w:r w:rsidRPr="004F01E9">
        <w:rPr>
          <w:noProof/>
        </w:rPr>
        <w:t>článku 142 bode 10.</w:t>
      </w:r>
    </w:p>
    <w:p w14:paraId="3156D028" w14:textId="77777777" w:rsidR="005A21FE" w:rsidRPr="0059109E" w:rsidRDefault="005A21FE" w:rsidP="002A2107">
      <w:pPr>
        <w:pStyle w:val="Text3"/>
        <w:rPr>
          <w:noProof/>
          <w:spacing w:val="-4"/>
        </w:rPr>
      </w:pPr>
      <w:r w:rsidRPr="0059109E">
        <w:rPr>
          <w:noProof/>
          <w:spacing w:val="-4"/>
        </w:rPr>
        <w:t>Na účely písmena c) sa prípady, keď existuje významný stupeň závislosti, riešia konzervatívnym spôsobom.</w:t>
      </w:r>
    </w:p>
    <w:p w14:paraId="6A7C4A3F" w14:textId="448D437E" w:rsidR="005A21FE" w:rsidRPr="0059109E" w:rsidRDefault="005A21FE" w:rsidP="002A2107">
      <w:pPr>
        <w:pStyle w:val="Text3"/>
        <w:rPr>
          <w:noProof/>
          <w:spacing w:val="-4"/>
        </w:rPr>
      </w:pPr>
      <w:r w:rsidRPr="0059109E">
        <w:rPr>
          <w:noProof/>
          <w:spacing w:val="-4"/>
        </w:rPr>
        <w:t>Na účely písmena e) sa</w:t>
      </w:r>
      <w:r w:rsidR="004F01E9" w:rsidRPr="0059109E">
        <w:rPr>
          <w:noProof/>
          <w:spacing w:val="-4"/>
        </w:rPr>
        <w:t xml:space="preserve"> v </w:t>
      </w:r>
      <w:r w:rsidRPr="0059109E">
        <w:rPr>
          <w:noProof/>
          <w:spacing w:val="-4"/>
        </w:rPr>
        <w:t>odhadoch LGD zohľadňuje účinok potenciálnej neschopnosti inštitúcií pohotovo získať kontrolu nad ich kolaterálom</w:t>
      </w:r>
      <w:r w:rsidR="004F01E9" w:rsidRPr="0059109E">
        <w:rPr>
          <w:noProof/>
          <w:spacing w:val="-4"/>
        </w:rPr>
        <w:t xml:space="preserve"> a </w:t>
      </w:r>
      <w:r w:rsidRPr="0059109E">
        <w:rPr>
          <w:noProof/>
          <w:spacing w:val="-4"/>
        </w:rPr>
        <w:t>speňažiť ho.“;</w:t>
      </w:r>
    </w:p>
    <w:p w14:paraId="3D394A2C" w14:textId="776ADB75" w:rsidR="005A21FE" w:rsidRPr="004F01E9" w:rsidRDefault="00DC6A23" w:rsidP="00DC6A23">
      <w:pPr>
        <w:pStyle w:val="Point1"/>
        <w:rPr>
          <w:noProof/>
        </w:rPr>
      </w:pPr>
      <w:r w:rsidRPr="004F01E9">
        <w:rPr>
          <w:noProof/>
        </w:rPr>
        <w:t>b)</w:t>
      </w:r>
      <w:r w:rsidRPr="004F01E9">
        <w:rPr>
          <w:noProof/>
        </w:rPr>
        <w:tab/>
        <w:t>Odsek 2 sa mení takto:</w:t>
      </w:r>
    </w:p>
    <w:p w14:paraId="4AC17279" w14:textId="77777777" w:rsidR="00806B81" w:rsidRPr="004F01E9" w:rsidRDefault="005A21FE" w:rsidP="005A21FE">
      <w:pPr>
        <w:pStyle w:val="Point2"/>
        <w:rPr>
          <w:noProof/>
        </w:rPr>
      </w:pPr>
      <w:r w:rsidRPr="004F01E9">
        <w:rPr>
          <w:noProof/>
        </w:rPr>
        <w:t>i)</w:t>
      </w:r>
      <w:r w:rsidRPr="004F01E9">
        <w:rPr>
          <w:noProof/>
        </w:rPr>
        <w:tab/>
        <w:t>V prvom pododseku sa vypúšťa písmeno b);</w:t>
      </w:r>
    </w:p>
    <w:p w14:paraId="689C8BF1" w14:textId="0D6DDCEF" w:rsidR="005A21FE" w:rsidRPr="004F01E9" w:rsidRDefault="005A21FE" w:rsidP="005A21FE">
      <w:pPr>
        <w:pStyle w:val="Point2"/>
        <w:rPr>
          <w:noProof/>
        </w:rPr>
      </w:pPr>
      <w:r w:rsidRPr="004F01E9">
        <w:rPr>
          <w:noProof/>
        </w:rPr>
        <w:t>ii)</w:t>
      </w:r>
      <w:r w:rsidRPr="004F01E9">
        <w:rPr>
          <w:noProof/>
        </w:rPr>
        <w:tab/>
        <w:t>Druhý pododsek sa nahrádza takto:</w:t>
      </w:r>
    </w:p>
    <w:p w14:paraId="58B18AEB" w14:textId="4D2B9A98" w:rsidR="005A21FE" w:rsidRPr="004F01E9" w:rsidRDefault="005A21FE" w:rsidP="005A21FE">
      <w:pPr>
        <w:pStyle w:val="Text3"/>
        <w:rPr>
          <w:noProof/>
        </w:rPr>
      </w:pPr>
      <w:r w:rsidRPr="004F01E9">
        <w:rPr>
          <w:noProof/>
        </w:rPr>
        <w:t>„V prípade retailových expozícií sa odhady LGD zakladajú na údajoch za obdobie aspoň piatich rokov.</w:t>
      </w:r>
      <w:r w:rsidR="004F01E9">
        <w:rPr>
          <w:noProof/>
        </w:rPr>
        <w:t xml:space="preserve"> S </w:t>
      </w:r>
      <w:r w:rsidRPr="004F01E9">
        <w:rPr>
          <w:noProof/>
        </w:rPr>
        <w:t>výhradou povolenia príslušných orgánov môžu inštitúcie pri uplatňovaní prístupu IRB používať príslušné údaje zahŕňajúce obdobie dvoch rokov. Obdobie, ktoré má byť zahrnuté, sa každý rok predĺži</w:t>
      </w:r>
      <w:r w:rsidR="004F01E9">
        <w:rPr>
          <w:noProof/>
        </w:rPr>
        <w:t xml:space="preserve"> o </w:t>
      </w:r>
      <w:r w:rsidRPr="004F01E9">
        <w:rPr>
          <w:noProof/>
        </w:rPr>
        <w:t>jeden rok až dovtedy, kým príslušné údaje nebudú zahŕňať obdobie piatich rokov.“;</w:t>
      </w:r>
    </w:p>
    <w:p w14:paraId="24CE1E01" w14:textId="0689B7C3" w:rsidR="00806B81" w:rsidRPr="004F01E9" w:rsidRDefault="00DC6A23" w:rsidP="00DC6A23">
      <w:pPr>
        <w:pStyle w:val="Point1"/>
        <w:rPr>
          <w:noProof/>
        </w:rPr>
      </w:pPr>
      <w:r w:rsidRPr="004F01E9">
        <w:rPr>
          <w:noProof/>
        </w:rPr>
        <w:t>c)</w:t>
      </w:r>
      <w:r w:rsidRPr="004F01E9">
        <w:rPr>
          <w:noProof/>
        </w:rPr>
        <w:tab/>
        <w:t>Dopĺňa sa tento odsek 4:</w:t>
      </w:r>
    </w:p>
    <w:p w14:paraId="4D8BAB6E" w14:textId="608542E4" w:rsidR="005A21FE" w:rsidRPr="004F01E9" w:rsidRDefault="005A21FE" w:rsidP="005A21FE">
      <w:pPr>
        <w:pStyle w:val="Text2"/>
        <w:rPr>
          <w:noProof/>
        </w:rPr>
      </w:pPr>
      <w:r w:rsidRPr="004F01E9">
        <w:rPr>
          <w:noProof/>
        </w:rPr>
        <w:t>„4. EBA</w:t>
      </w:r>
      <w:r w:rsidR="004F01E9">
        <w:rPr>
          <w:noProof/>
        </w:rPr>
        <w:t xml:space="preserve"> v </w:t>
      </w:r>
      <w:r w:rsidRPr="004F01E9">
        <w:rPr>
          <w:noProof/>
        </w:rPr>
        <w:t>súlade</w:t>
      </w:r>
      <w:r w:rsidR="004F01E9">
        <w:rPr>
          <w:noProof/>
        </w:rPr>
        <w:t xml:space="preserve"> s </w:t>
      </w:r>
      <w:r w:rsidRPr="004F01E9">
        <w:rPr>
          <w:noProof/>
        </w:rPr>
        <w:t xml:space="preserve">článkom 16 nariadenia (EÚ) </w:t>
      </w:r>
      <w:r w:rsidR="004F01E9">
        <w:rPr>
          <w:noProof/>
        </w:rPr>
        <w:t>č. </w:t>
      </w:r>
      <w:r w:rsidRPr="004F01E9">
        <w:rPr>
          <w:noProof/>
        </w:rPr>
        <w:t>1093/2010 vydá usmernenia,</w:t>
      </w:r>
      <w:r w:rsidR="004F01E9">
        <w:rPr>
          <w:noProof/>
        </w:rPr>
        <w:t xml:space="preserve"> v </w:t>
      </w:r>
      <w:r w:rsidRPr="004F01E9">
        <w:rPr>
          <w:noProof/>
        </w:rPr>
        <w:t>ktorých objasní zaobchádzanie</w:t>
      </w:r>
      <w:r w:rsidR="004F01E9">
        <w:rPr>
          <w:noProof/>
        </w:rPr>
        <w:t xml:space="preserve"> s </w:t>
      </w:r>
      <w:r w:rsidRPr="004F01E9">
        <w:rPr>
          <w:noProof/>
        </w:rPr>
        <w:t>akoukoľvek formou financovaného</w:t>
      </w:r>
      <w:r w:rsidR="004F01E9">
        <w:rPr>
          <w:noProof/>
        </w:rPr>
        <w:t xml:space="preserve"> a </w:t>
      </w:r>
      <w:r w:rsidRPr="004F01E9">
        <w:rPr>
          <w:noProof/>
        </w:rPr>
        <w:t>nefinancovaného kreditného zabezpečenia na účely odseku 1 písm. a)</w:t>
      </w:r>
      <w:r w:rsidR="004F01E9">
        <w:rPr>
          <w:noProof/>
        </w:rPr>
        <w:t xml:space="preserve"> a </w:t>
      </w:r>
      <w:r w:rsidRPr="004F01E9">
        <w:rPr>
          <w:noProof/>
        </w:rPr>
        <w:t>na účely uplatňovania parametrov LGD;“.</w:t>
      </w:r>
    </w:p>
    <w:p w14:paraId="60238B34" w14:textId="7F0D3F9B" w:rsidR="00806B81" w:rsidRPr="004F01E9" w:rsidRDefault="00B16452" w:rsidP="00B16452">
      <w:pPr>
        <w:pStyle w:val="Point0"/>
        <w:rPr>
          <w:noProof/>
        </w:rPr>
      </w:pPr>
      <w:r w:rsidRPr="00B16452">
        <w:rPr>
          <w:noProof/>
        </w:rPr>
        <w:t>92</w:t>
      </w:r>
      <w:r>
        <w:rPr>
          <w:noProof/>
        </w:rPr>
        <w:t>.</w:t>
      </w:r>
      <w:r w:rsidRPr="00B16452">
        <w:rPr>
          <w:noProof/>
        </w:rPr>
        <w:tab/>
      </w:r>
      <w:r w:rsidR="005A21FE" w:rsidRPr="004F01E9">
        <w:rPr>
          <w:noProof/>
        </w:rPr>
        <w:t>Článok 182 sa mení takto:</w:t>
      </w:r>
    </w:p>
    <w:p w14:paraId="667EB571" w14:textId="6C1400FD" w:rsidR="005A21FE" w:rsidRPr="004F01E9" w:rsidRDefault="00DC6A23" w:rsidP="00DC6A23">
      <w:pPr>
        <w:pStyle w:val="Point1"/>
        <w:rPr>
          <w:noProof/>
        </w:rPr>
      </w:pPr>
      <w:r w:rsidRPr="004F01E9">
        <w:rPr>
          <w:noProof/>
        </w:rPr>
        <w:t>a)</w:t>
      </w:r>
      <w:r w:rsidRPr="004F01E9">
        <w:rPr>
          <w:noProof/>
        </w:rPr>
        <w:tab/>
        <w:t>Odsek 1 sa mení takto:</w:t>
      </w:r>
    </w:p>
    <w:p w14:paraId="26039BF4" w14:textId="77777777" w:rsidR="005A21FE" w:rsidRPr="004F01E9" w:rsidRDefault="005A21FE" w:rsidP="002A2107">
      <w:pPr>
        <w:pStyle w:val="Point2"/>
        <w:rPr>
          <w:noProof/>
        </w:rPr>
      </w:pPr>
      <w:r w:rsidRPr="004F01E9">
        <w:rPr>
          <w:noProof/>
        </w:rPr>
        <w:t>i)</w:t>
      </w:r>
      <w:r w:rsidRPr="004F01E9">
        <w:rPr>
          <w:noProof/>
        </w:rPr>
        <w:tab/>
        <w:t>Písmeno c) sa nahrádza takto:</w:t>
      </w:r>
    </w:p>
    <w:p w14:paraId="73829955" w14:textId="151315DC" w:rsidR="005A21FE" w:rsidRPr="004F01E9" w:rsidRDefault="005A21FE" w:rsidP="00DC6A23">
      <w:pPr>
        <w:pStyle w:val="Text3"/>
        <w:rPr>
          <w:noProof/>
        </w:rPr>
      </w:pPr>
      <w:r w:rsidRPr="004F01E9">
        <w:rPr>
          <w:noProof/>
        </w:rPr>
        <w:t>„c) IRB-CCF inštitúcií odzrkadľujú možnosť dodatočných čerpaní zo strany dlžníka do okamihu, keď nastane zlyhanie. IRB-CCF musia zahŕňať väčšiu mieru konzervatívnosti, ak možno odôvodnene očakávať silnejšiu pozitívnu koreláciu medzi frekvenciou zlyhania</w:t>
      </w:r>
      <w:r w:rsidR="004F01E9">
        <w:rPr>
          <w:noProof/>
        </w:rPr>
        <w:t xml:space="preserve"> a </w:t>
      </w:r>
      <w:r w:rsidRPr="004F01E9">
        <w:rPr>
          <w:noProof/>
        </w:rPr>
        <w:t>veľkosťou konverzného faktora;“;</w:t>
      </w:r>
    </w:p>
    <w:p w14:paraId="74414CD5" w14:textId="126BD5E2" w:rsidR="005A21FE" w:rsidRPr="004F01E9" w:rsidRDefault="005A21FE" w:rsidP="002A2107">
      <w:pPr>
        <w:pStyle w:val="Point2"/>
        <w:rPr>
          <w:noProof/>
        </w:rPr>
      </w:pPr>
      <w:r w:rsidRPr="004F01E9">
        <w:rPr>
          <w:noProof/>
        </w:rPr>
        <w:t>ii)</w:t>
      </w:r>
      <w:r w:rsidRPr="004F01E9">
        <w:rPr>
          <w:noProof/>
        </w:rPr>
        <w:tab/>
        <w:t>Dopĺňajú sa tieto písmená g)</w:t>
      </w:r>
      <w:r w:rsidR="004F01E9">
        <w:rPr>
          <w:noProof/>
        </w:rPr>
        <w:t xml:space="preserve"> a </w:t>
      </w:r>
      <w:r w:rsidRPr="004F01E9">
        <w:rPr>
          <w:noProof/>
        </w:rPr>
        <w:t>h):</w:t>
      </w:r>
    </w:p>
    <w:p w14:paraId="375AC597" w14:textId="60C9FD18" w:rsidR="00806B81" w:rsidRPr="004F01E9" w:rsidRDefault="005A21FE" w:rsidP="00DC6A23">
      <w:pPr>
        <w:pStyle w:val="Text3"/>
        <w:rPr>
          <w:noProof/>
        </w:rPr>
      </w:pPr>
      <w:r w:rsidRPr="004F01E9">
        <w:rPr>
          <w:noProof/>
        </w:rPr>
        <w:t>„g) IRB-CCF inštitúcií sa vypracujú</w:t>
      </w:r>
      <w:r w:rsidR="004F01E9">
        <w:rPr>
          <w:noProof/>
        </w:rPr>
        <w:t xml:space="preserve"> s </w:t>
      </w:r>
      <w:r w:rsidRPr="004F01E9">
        <w:rPr>
          <w:noProof/>
        </w:rPr>
        <w:t>použitím prístupu 12-mesačného fixného horizontu. Na tento účel sa pri každom pozorovaní</w:t>
      </w:r>
      <w:r w:rsidR="004F01E9">
        <w:rPr>
          <w:noProof/>
        </w:rPr>
        <w:t xml:space="preserve"> v </w:t>
      </w:r>
      <w:r w:rsidRPr="004F01E9">
        <w:rPr>
          <w:noProof/>
        </w:rPr>
        <w:t>referenčnom súbore údajov výsledky zlyhania prepoja</w:t>
      </w:r>
      <w:r w:rsidR="004F01E9">
        <w:rPr>
          <w:noProof/>
        </w:rPr>
        <w:t xml:space="preserve"> s </w:t>
      </w:r>
      <w:r w:rsidRPr="004F01E9">
        <w:rPr>
          <w:noProof/>
        </w:rPr>
        <w:t>príslušnými charakteristikami dlžníka</w:t>
      </w:r>
      <w:r w:rsidR="004F01E9">
        <w:rPr>
          <w:noProof/>
        </w:rPr>
        <w:t xml:space="preserve"> a </w:t>
      </w:r>
      <w:r w:rsidRPr="004F01E9">
        <w:rPr>
          <w:noProof/>
        </w:rPr>
        <w:t>facility</w:t>
      </w:r>
      <w:r w:rsidR="004F01E9">
        <w:rPr>
          <w:noProof/>
        </w:rPr>
        <w:t xml:space="preserve"> k </w:t>
      </w:r>
      <w:r w:rsidRPr="004F01E9">
        <w:rPr>
          <w:noProof/>
        </w:rPr>
        <w:t>pevnému referenčnému dátumu vymedzenému ako 12 mesiacov pred dňom zlyhania;</w:t>
      </w:r>
    </w:p>
    <w:p w14:paraId="56246BF6" w14:textId="4439F9AC" w:rsidR="005A21FE" w:rsidRPr="004F01E9" w:rsidRDefault="005A21FE" w:rsidP="00DC6A23">
      <w:pPr>
        <w:pStyle w:val="Text3"/>
        <w:rPr>
          <w:noProof/>
        </w:rPr>
      </w:pPr>
      <w:r w:rsidRPr="004F01E9">
        <w:rPr>
          <w:noProof/>
        </w:rPr>
        <w:t>h) IRB-CCF inštitúcií sú založené na referenčných údajoch, ktoré odzrkadľujú charakteristiky dlžníka, facility</w:t>
      </w:r>
      <w:r w:rsidR="004F01E9">
        <w:rPr>
          <w:noProof/>
        </w:rPr>
        <w:t xml:space="preserve"> a </w:t>
      </w:r>
      <w:r w:rsidRPr="004F01E9">
        <w:rPr>
          <w:noProof/>
        </w:rPr>
        <w:t>praxe riadenia bánk týkajúce sa expozícií, na ktoré sa odhady vzťahujú.“;</w:t>
      </w:r>
    </w:p>
    <w:p w14:paraId="4E4E9994" w14:textId="73EECDE4" w:rsidR="005A21FE" w:rsidRPr="004F01E9" w:rsidRDefault="005A21FE" w:rsidP="002A2107">
      <w:pPr>
        <w:pStyle w:val="Point2"/>
        <w:rPr>
          <w:noProof/>
        </w:rPr>
      </w:pPr>
      <w:r w:rsidRPr="004F01E9">
        <w:rPr>
          <w:noProof/>
        </w:rPr>
        <w:t>iii)</w:t>
      </w:r>
      <w:r w:rsidRPr="004F01E9">
        <w:rPr>
          <w:noProof/>
        </w:rPr>
        <w:tab/>
        <w:t>Dopĺňajú sa tieto pododseky:</w:t>
      </w:r>
    </w:p>
    <w:p w14:paraId="38669B1B" w14:textId="56D97E3D" w:rsidR="005A21FE" w:rsidRPr="004F01E9" w:rsidRDefault="002A2107" w:rsidP="00DC6A23">
      <w:pPr>
        <w:pStyle w:val="Text3"/>
        <w:rPr>
          <w:noProof/>
        </w:rPr>
      </w:pPr>
      <w:r w:rsidRPr="004F01E9">
        <w:rPr>
          <w:noProof/>
        </w:rPr>
        <w:t>„Na účely písmena c) musia IRB-CCF zahŕňať väčšiu mieru konzervatívnosti, ak možno odôvodnene očakávať silnejšiu pozitívnu koreláciu medzi frekvenciou zlyhania</w:t>
      </w:r>
      <w:r w:rsidR="004F01E9">
        <w:rPr>
          <w:noProof/>
        </w:rPr>
        <w:t xml:space="preserve"> a </w:t>
      </w:r>
      <w:r w:rsidRPr="004F01E9">
        <w:rPr>
          <w:noProof/>
        </w:rPr>
        <w:t>veľkosťou konverzného faktora.</w:t>
      </w:r>
    </w:p>
    <w:p w14:paraId="53593A91" w14:textId="7EEED2F9" w:rsidR="005A21FE" w:rsidRPr="004F01E9" w:rsidRDefault="005A21FE" w:rsidP="00DC6A23">
      <w:pPr>
        <w:pStyle w:val="Text3"/>
        <w:rPr>
          <w:noProof/>
        </w:rPr>
      </w:pPr>
      <w:r w:rsidRPr="004F01E9">
        <w:rPr>
          <w:noProof/>
        </w:rPr>
        <w:t>Na účely písmena g) sa pri každom pozorovaní</w:t>
      </w:r>
      <w:r w:rsidR="004F01E9">
        <w:rPr>
          <w:noProof/>
        </w:rPr>
        <w:t xml:space="preserve"> v </w:t>
      </w:r>
      <w:r w:rsidRPr="004F01E9">
        <w:rPr>
          <w:noProof/>
        </w:rPr>
        <w:t>referenčnom súbore údajov výsledky zlyhania prepoja</w:t>
      </w:r>
      <w:r w:rsidR="004F01E9">
        <w:rPr>
          <w:noProof/>
        </w:rPr>
        <w:t xml:space="preserve"> s </w:t>
      </w:r>
      <w:r w:rsidRPr="004F01E9">
        <w:rPr>
          <w:noProof/>
        </w:rPr>
        <w:t>príslušnými charakteristikami dlžníka</w:t>
      </w:r>
      <w:r w:rsidR="004F01E9">
        <w:rPr>
          <w:noProof/>
        </w:rPr>
        <w:t xml:space="preserve"> a </w:t>
      </w:r>
      <w:r w:rsidRPr="004F01E9">
        <w:rPr>
          <w:noProof/>
        </w:rPr>
        <w:t>facility</w:t>
      </w:r>
      <w:r w:rsidR="004F01E9">
        <w:rPr>
          <w:noProof/>
        </w:rPr>
        <w:t xml:space="preserve"> k </w:t>
      </w:r>
      <w:r w:rsidRPr="004F01E9">
        <w:rPr>
          <w:noProof/>
        </w:rPr>
        <w:t>pevnému referenčnému dátumu, ktorý sa vymedzuje ako 12 mesiacov pred dňom zlyhania.</w:t>
      </w:r>
    </w:p>
    <w:p w14:paraId="2128ABC3" w14:textId="50C6DB42" w:rsidR="005A21FE" w:rsidRPr="004F01E9" w:rsidRDefault="005A21FE" w:rsidP="00DC6A23">
      <w:pPr>
        <w:pStyle w:val="Text3"/>
        <w:rPr>
          <w:noProof/>
        </w:rPr>
      </w:pPr>
      <w:r w:rsidRPr="004F01E9">
        <w:rPr>
          <w:noProof/>
        </w:rPr>
        <w:t>Na účely písmena h) sa IRB-CCF, ktoré sa uplatňujú na konkrétne expozície, nezakladajú na údajoch,</w:t>
      </w:r>
      <w:r w:rsidR="004F01E9">
        <w:rPr>
          <w:noProof/>
        </w:rPr>
        <w:t xml:space="preserve"> v </w:t>
      </w:r>
      <w:r w:rsidRPr="004F01E9">
        <w:rPr>
          <w:noProof/>
        </w:rPr>
        <w:t>ktorých sa miešajú účinky rozličných charakteristík alebo údajov</w:t>
      </w:r>
      <w:r w:rsidR="004F01E9">
        <w:rPr>
          <w:noProof/>
        </w:rPr>
        <w:t xml:space="preserve"> z </w:t>
      </w:r>
      <w:r w:rsidRPr="004F01E9">
        <w:rPr>
          <w:noProof/>
        </w:rPr>
        <w:t>expozícií, ktoré vykazujú rozdielne rizikové charakteristiky. IRB-CCF sa zakladajú na primerane homogénnych segmentoch. Na tento účel sa nepovoľujú tieto postupy:</w:t>
      </w:r>
    </w:p>
    <w:p w14:paraId="30521E93" w14:textId="77777777" w:rsidR="005A21FE" w:rsidRPr="004F01E9" w:rsidRDefault="005A21FE" w:rsidP="00DC6A23">
      <w:pPr>
        <w:pStyle w:val="Point3"/>
        <w:rPr>
          <w:noProof/>
        </w:rPr>
      </w:pPr>
      <w:r w:rsidRPr="004F01E9">
        <w:rPr>
          <w:noProof/>
        </w:rPr>
        <w:t>a)</w:t>
      </w:r>
      <w:r w:rsidRPr="004F01E9">
        <w:rPr>
          <w:noProof/>
        </w:rPr>
        <w:tab/>
        <w:t>uplatňovanie podkladových údajov týkajúcich sa MSP/stredného trhu na väčších podnikových dlžníkov;</w:t>
      </w:r>
    </w:p>
    <w:p w14:paraId="596BB2DC" w14:textId="7295C7DF" w:rsidR="005A21FE" w:rsidRPr="004F01E9" w:rsidRDefault="005A21FE" w:rsidP="00DC6A23">
      <w:pPr>
        <w:pStyle w:val="Point3"/>
        <w:rPr>
          <w:noProof/>
        </w:rPr>
      </w:pPr>
      <w:r w:rsidRPr="004F01E9">
        <w:rPr>
          <w:noProof/>
        </w:rPr>
        <w:t>b)</w:t>
      </w:r>
      <w:r w:rsidRPr="004F01E9">
        <w:rPr>
          <w:noProof/>
        </w:rPr>
        <w:tab/>
        <w:t>uplatňovanie údajov</w:t>
      </w:r>
      <w:r w:rsidR="004F01E9">
        <w:rPr>
          <w:noProof/>
        </w:rPr>
        <w:t xml:space="preserve"> z </w:t>
      </w:r>
      <w:r w:rsidRPr="004F01E9">
        <w:rPr>
          <w:noProof/>
        </w:rPr>
        <w:t>prísľubov</w:t>
      </w:r>
      <w:r w:rsidR="004F01E9">
        <w:rPr>
          <w:noProof/>
        </w:rPr>
        <w:t xml:space="preserve"> s </w:t>
      </w:r>
      <w:r w:rsidRPr="004F01E9">
        <w:rPr>
          <w:noProof/>
        </w:rPr>
        <w:t>„malým“ nevyužitým dostupným limitom na facility</w:t>
      </w:r>
      <w:r w:rsidR="004F01E9">
        <w:rPr>
          <w:noProof/>
        </w:rPr>
        <w:t xml:space="preserve"> s </w:t>
      </w:r>
      <w:r w:rsidRPr="004F01E9">
        <w:rPr>
          <w:noProof/>
        </w:rPr>
        <w:t>„veľkým“ nevyužitým dostupným limitom;</w:t>
      </w:r>
    </w:p>
    <w:p w14:paraId="13B98A60" w14:textId="1F896D79" w:rsidR="005A21FE" w:rsidRPr="004F01E9" w:rsidRDefault="005A21FE" w:rsidP="00DC6A23">
      <w:pPr>
        <w:pStyle w:val="Point3"/>
        <w:rPr>
          <w:noProof/>
        </w:rPr>
      </w:pPr>
      <w:r w:rsidRPr="004F01E9">
        <w:rPr>
          <w:noProof/>
        </w:rPr>
        <w:t>c)</w:t>
      </w:r>
      <w:r w:rsidRPr="004F01E9">
        <w:rPr>
          <w:noProof/>
        </w:rPr>
        <w:tab/>
        <w:t>uplatňovanie údajov od dlžníkov, ktorí sú</w:t>
      </w:r>
      <w:r w:rsidR="004F01E9">
        <w:rPr>
          <w:noProof/>
        </w:rPr>
        <w:t xml:space="preserve"> k </w:t>
      </w:r>
      <w:r w:rsidRPr="004F01E9">
        <w:rPr>
          <w:noProof/>
        </w:rPr>
        <w:t>referenčnému dátumu platobne nedisciplinovaní alebo blokovaní pre ďalšie čerpanie, na dlžníkov bez známej platobnej disciplinovanosti alebo príslušných obmedzení;</w:t>
      </w:r>
    </w:p>
    <w:p w14:paraId="4FFE404B" w14:textId="1C2D9EE7" w:rsidR="005A21FE" w:rsidRPr="004F01E9" w:rsidRDefault="005A21FE" w:rsidP="00DC6A23">
      <w:pPr>
        <w:pStyle w:val="Point3"/>
        <w:rPr>
          <w:noProof/>
        </w:rPr>
      </w:pPr>
      <w:r w:rsidRPr="004F01E9">
        <w:rPr>
          <w:noProof/>
        </w:rPr>
        <w:t>d)</w:t>
      </w:r>
      <w:r w:rsidRPr="004F01E9">
        <w:rPr>
          <w:noProof/>
        </w:rPr>
        <w:tab/>
        <w:t>údaje, ktoré boli ovplyvnené zmenami</w:t>
      </w:r>
      <w:r w:rsidR="004F01E9">
        <w:rPr>
          <w:noProof/>
        </w:rPr>
        <w:t xml:space="preserve"> v </w:t>
      </w:r>
      <w:r w:rsidRPr="004F01E9">
        <w:rPr>
          <w:noProof/>
        </w:rPr>
        <w:t>zmesi úverov</w:t>
      </w:r>
      <w:r w:rsidR="004F01E9">
        <w:rPr>
          <w:noProof/>
        </w:rPr>
        <w:t xml:space="preserve"> a </w:t>
      </w:r>
      <w:r w:rsidRPr="004F01E9">
        <w:rPr>
          <w:noProof/>
        </w:rPr>
        <w:t>iných úverových produktov dlžníkov počas obdobia pozorovania, pokiaľ tieto údaje neboli účinne upravené odstránením účinkov zmien</w:t>
      </w:r>
      <w:r w:rsidR="004F01E9">
        <w:rPr>
          <w:noProof/>
        </w:rPr>
        <w:t xml:space="preserve"> v </w:t>
      </w:r>
      <w:r w:rsidRPr="004F01E9">
        <w:rPr>
          <w:noProof/>
        </w:rPr>
        <w:t>zmesi produktov.</w:t>
      </w:r>
    </w:p>
    <w:p w14:paraId="67F558A8" w14:textId="52A66872" w:rsidR="005A21FE" w:rsidRPr="004F01E9" w:rsidRDefault="005A21FE" w:rsidP="00DC6A23">
      <w:pPr>
        <w:pStyle w:val="Text3"/>
        <w:rPr>
          <w:noProof/>
        </w:rPr>
      </w:pPr>
      <w:r w:rsidRPr="004F01E9">
        <w:rPr>
          <w:noProof/>
        </w:rPr>
        <w:t>Na účely štvrtého pododseku písm. d) inštitúcie preukážu príslušným orgánom, že majú podrobné znalosti</w:t>
      </w:r>
      <w:r w:rsidR="004F01E9">
        <w:rPr>
          <w:noProof/>
        </w:rPr>
        <w:t xml:space="preserve"> o </w:t>
      </w:r>
      <w:r w:rsidRPr="004F01E9">
        <w:rPr>
          <w:noProof/>
        </w:rPr>
        <w:t>vplyve zmien</w:t>
      </w:r>
      <w:r w:rsidR="004F01E9">
        <w:rPr>
          <w:noProof/>
        </w:rPr>
        <w:t xml:space="preserve"> v </w:t>
      </w:r>
      <w:r w:rsidRPr="004F01E9">
        <w:rPr>
          <w:noProof/>
        </w:rPr>
        <w:t>zmesi produktov klientov na súbory referenčných údajov</w:t>
      </w:r>
      <w:r w:rsidR="004F01E9">
        <w:rPr>
          <w:noProof/>
        </w:rPr>
        <w:t xml:space="preserve"> o </w:t>
      </w:r>
      <w:r w:rsidRPr="004F01E9">
        <w:rPr>
          <w:noProof/>
        </w:rPr>
        <w:t>expozíciách</w:t>
      </w:r>
      <w:r w:rsidR="004F01E9">
        <w:rPr>
          <w:noProof/>
        </w:rPr>
        <w:t xml:space="preserve"> a </w:t>
      </w:r>
      <w:r w:rsidRPr="004F01E9">
        <w:rPr>
          <w:noProof/>
        </w:rPr>
        <w:t>súvisiace odhady CCF</w:t>
      </w:r>
      <w:r w:rsidR="004F01E9">
        <w:rPr>
          <w:noProof/>
        </w:rPr>
        <w:t xml:space="preserve"> a </w:t>
      </w:r>
      <w:r w:rsidRPr="004F01E9">
        <w:rPr>
          <w:noProof/>
        </w:rPr>
        <w:t>že tento vplyv je nepodstatný alebo bol účinne zmiernený</w:t>
      </w:r>
      <w:r w:rsidR="004F01E9">
        <w:rPr>
          <w:noProof/>
        </w:rPr>
        <w:t xml:space="preserve"> v </w:t>
      </w:r>
      <w:r w:rsidRPr="004F01E9">
        <w:rPr>
          <w:noProof/>
        </w:rPr>
        <w:t>rámci ich procesu odhadu.</w:t>
      </w:r>
      <w:r w:rsidR="004F01E9">
        <w:rPr>
          <w:noProof/>
        </w:rPr>
        <w:t xml:space="preserve"> V </w:t>
      </w:r>
      <w:r w:rsidRPr="004F01E9">
        <w:rPr>
          <w:noProof/>
        </w:rPr>
        <w:t>tejto súvislosti sa nepovažuje za vhodné:</w:t>
      </w:r>
    </w:p>
    <w:p w14:paraId="726AB164" w14:textId="0D41710F" w:rsidR="00806B81" w:rsidRPr="004F01E9" w:rsidRDefault="00DC6A23" w:rsidP="00DC6A23">
      <w:pPr>
        <w:pStyle w:val="Point3"/>
        <w:rPr>
          <w:noProof/>
        </w:rPr>
      </w:pPr>
      <w:r w:rsidRPr="004F01E9">
        <w:rPr>
          <w:noProof/>
        </w:rPr>
        <w:t>a)</w:t>
      </w:r>
      <w:r w:rsidRPr="004F01E9">
        <w:rPr>
          <w:noProof/>
        </w:rPr>
        <w:tab/>
        <w:t>stanovenie spodných hraníc pre hodnoty CCF alebo pozorovania hodnôt expozície;</w:t>
      </w:r>
    </w:p>
    <w:p w14:paraId="09F1DADB" w14:textId="3C47864D" w:rsidR="005A21FE" w:rsidRPr="004F01E9" w:rsidRDefault="00DC6A23" w:rsidP="00DC6A23">
      <w:pPr>
        <w:pStyle w:val="Point3"/>
        <w:rPr>
          <w:noProof/>
        </w:rPr>
      </w:pPr>
      <w:r w:rsidRPr="004F01E9">
        <w:rPr>
          <w:noProof/>
        </w:rPr>
        <w:t>b)</w:t>
      </w:r>
      <w:r w:rsidRPr="004F01E9">
        <w:rPr>
          <w:noProof/>
        </w:rPr>
        <w:tab/>
        <w:t>použitie odhadov na úrovni dlžníka, ktoré</w:t>
      </w:r>
      <w:r w:rsidR="004F01E9">
        <w:rPr>
          <w:noProof/>
        </w:rPr>
        <w:t xml:space="preserve"> v </w:t>
      </w:r>
      <w:r w:rsidRPr="004F01E9">
        <w:rPr>
          <w:noProof/>
        </w:rPr>
        <w:t>plnej miere nepokrývajú príslušné možnosti transformácie produktu alebo</w:t>
      </w:r>
      <w:r w:rsidR="004F01E9">
        <w:rPr>
          <w:noProof/>
        </w:rPr>
        <w:t xml:space="preserve"> v </w:t>
      </w:r>
      <w:r w:rsidRPr="004F01E9">
        <w:rPr>
          <w:noProof/>
        </w:rPr>
        <w:t>rámci ktorých sa neprimerane kombinujú produkty</w:t>
      </w:r>
      <w:r w:rsidR="004F01E9">
        <w:rPr>
          <w:noProof/>
        </w:rPr>
        <w:t xml:space="preserve"> s </w:t>
      </w:r>
      <w:r w:rsidRPr="004F01E9">
        <w:rPr>
          <w:noProof/>
        </w:rPr>
        <w:t>veľmi odlišnými charakteristikami;</w:t>
      </w:r>
    </w:p>
    <w:p w14:paraId="1E65B34A" w14:textId="11DE411A" w:rsidR="005A21FE" w:rsidRPr="004F01E9" w:rsidRDefault="00DC6A23" w:rsidP="00DC6A23">
      <w:pPr>
        <w:pStyle w:val="Point3"/>
        <w:rPr>
          <w:noProof/>
        </w:rPr>
      </w:pPr>
      <w:r w:rsidRPr="004F01E9">
        <w:rPr>
          <w:noProof/>
        </w:rPr>
        <w:t>c)</w:t>
      </w:r>
      <w:r w:rsidRPr="004F01E9">
        <w:rPr>
          <w:noProof/>
        </w:rPr>
        <w:tab/>
        <w:t>úprava iba podstatných pozorovaní ovplyvnených transformáciou produktu;</w:t>
      </w:r>
    </w:p>
    <w:p w14:paraId="3E9BEC68" w14:textId="06EE1E63" w:rsidR="005A21FE" w:rsidRPr="004F01E9" w:rsidRDefault="00DC6A23" w:rsidP="00DC6A23">
      <w:pPr>
        <w:pStyle w:val="Point3"/>
        <w:rPr>
          <w:noProof/>
        </w:rPr>
      </w:pPr>
      <w:r w:rsidRPr="004F01E9">
        <w:rPr>
          <w:noProof/>
        </w:rPr>
        <w:t>d)</w:t>
      </w:r>
      <w:r w:rsidRPr="004F01E9">
        <w:rPr>
          <w:noProof/>
        </w:rPr>
        <w:tab/>
        <w:t>vylúčenie pozorovaní ovplyvnených transformáciou profilu produktu.“;</w:t>
      </w:r>
    </w:p>
    <w:p w14:paraId="7EC93967" w14:textId="79C205F9" w:rsidR="005A21FE" w:rsidRPr="004F01E9" w:rsidRDefault="00DC6A23" w:rsidP="00DC6A23">
      <w:pPr>
        <w:pStyle w:val="Point1"/>
        <w:rPr>
          <w:noProof/>
        </w:rPr>
      </w:pPr>
      <w:r w:rsidRPr="004F01E9">
        <w:rPr>
          <w:noProof/>
        </w:rPr>
        <w:t>b)</w:t>
      </w:r>
      <w:r w:rsidRPr="004F01E9">
        <w:rPr>
          <w:noProof/>
        </w:rPr>
        <w:tab/>
        <w:t>V odseku 3 sa vypúšťa prvý pododsek;</w:t>
      </w:r>
    </w:p>
    <w:p w14:paraId="08AC2CA4" w14:textId="326D3D46" w:rsidR="005A21FE" w:rsidRPr="004F01E9" w:rsidRDefault="00DC6A23" w:rsidP="00DC6A23">
      <w:pPr>
        <w:pStyle w:val="Point1"/>
        <w:rPr>
          <w:noProof/>
        </w:rPr>
      </w:pPr>
      <w:r w:rsidRPr="004F01E9">
        <w:rPr>
          <w:noProof/>
        </w:rPr>
        <w:t>c)</w:t>
      </w:r>
      <w:r w:rsidRPr="004F01E9">
        <w:rPr>
          <w:noProof/>
        </w:rPr>
        <w:tab/>
        <w:t>Dopĺňa sa tento odsek 5:</w:t>
      </w:r>
    </w:p>
    <w:p w14:paraId="5B2487B0" w14:textId="60895CA2" w:rsidR="00806B81" w:rsidRPr="004F01E9" w:rsidRDefault="005A21FE" w:rsidP="005A21FE">
      <w:pPr>
        <w:pStyle w:val="Text2"/>
        <w:rPr>
          <w:noProof/>
        </w:rPr>
      </w:pPr>
      <w:r w:rsidRPr="004F01E9">
        <w:rPr>
          <w:noProof/>
        </w:rPr>
        <w:t>„5. EBA</w:t>
      </w:r>
      <w:r w:rsidR="004F01E9">
        <w:rPr>
          <w:noProof/>
        </w:rPr>
        <w:t xml:space="preserve"> v </w:t>
      </w:r>
      <w:r w:rsidRPr="004F01E9">
        <w:rPr>
          <w:noProof/>
        </w:rPr>
        <w:t>súlade</w:t>
      </w:r>
      <w:r w:rsidR="004F01E9">
        <w:rPr>
          <w:noProof/>
        </w:rPr>
        <w:t xml:space="preserve"> s </w:t>
      </w:r>
      <w:r w:rsidRPr="004F01E9">
        <w:rPr>
          <w:noProof/>
        </w:rPr>
        <w:t xml:space="preserve">článkom 16 nariadenia (EÚ) </w:t>
      </w:r>
      <w:r w:rsidR="004F01E9">
        <w:rPr>
          <w:noProof/>
        </w:rPr>
        <w:t>č. </w:t>
      </w:r>
      <w:r w:rsidRPr="004F01E9">
        <w:rPr>
          <w:noProof/>
        </w:rPr>
        <w:t>1093/2010 vydá usmernenia,</w:t>
      </w:r>
      <w:r w:rsidR="004F01E9">
        <w:rPr>
          <w:noProof/>
        </w:rPr>
        <w:t xml:space="preserve"> v </w:t>
      </w:r>
      <w:r w:rsidRPr="004F01E9">
        <w:rPr>
          <w:noProof/>
        </w:rPr>
        <w:t>ktorých spresní metodiku, ktorú inštitúcie uplatňujú na odhad IRB-CCF.</w:t>
      </w:r>
    </w:p>
    <w:p w14:paraId="411BB2C2" w14:textId="6D959509" w:rsidR="005A21FE" w:rsidRPr="004F01E9" w:rsidRDefault="005A21FE" w:rsidP="005A21FE">
      <w:pPr>
        <w:pStyle w:val="Text2"/>
        <w:rPr>
          <w:noProof/>
        </w:rPr>
      </w:pPr>
      <w:r w:rsidRPr="004F01E9">
        <w:rPr>
          <w:noProof/>
        </w:rPr>
        <w:t>EBA predloží uvedený návrh regulačných technických predpisov Komisii do 31</w:t>
      </w:r>
      <w:r w:rsidR="004F01E9">
        <w:rPr>
          <w:noProof/>
        </w:rPr>
        <w:t>. decembra</w:t>
      </w:r>
      <w:r w:rsidRPr="004F01E9">
        <w:rPr>
          <w:noProof/>
        </w:rPr>
        <w:t xml:space="preserve"> 2026.</w:t>
      </w:r>
    </w:p>
    <w:p w14:paraId="5EA5842E" w14:textId="55A19785" w:rsidR="005A21FE" w:rsidRPr="004F01E9" w:rsidRDefault="005A21FE" w:rsidP="005A21FE">
      <w:pPr>
        <w:pStyle w:val="Text2"/>
        <w:rPr>
          <w:noProof/>
        </w:rPr>
      </w:pPr>
      <w:r w:rsidRPr="004F01E9">
        <w:rPr>
          <w:noProof/>
        </w:rPr>
        <w:t>Na Komisiu sa deleguje právomoc prijať regulačné technické predpisy uvedené</w:t>
      </w:r>
      <w:r w:rsidR="004F01E9">
        <w:rPr>
          <w:noProof/>
        </w:rPr>
        <w:t xml:space="preserve"> v </w:t>
      </w:r>
      <w:r w:rsidRPr="004F01E9">
        <w:rPr>
          <w:noProof/>
        </w:rPr>
        <w:t>prvom pododseku</w:t>
      </w:r>
      <w:r w:rsidR="004F01E9">
        <w:rPr>
          <w:noProof/>
        </w:rPr>
        <w:t xml:space="preserve"> v </w:t>
      </w:r>
      <w:r w:rsidRPr="004F01E9">
        <w:rPr>
          <w:noProof/>
        </w:rPr>
        <w:t>súlade</w:t>
      </w:r>
      <w:r w:rsidR="004F01E9">
        <w:rPr>
          <w:noProof/>
        </w:rPr>
        <w:t xml:space="preserve"> s </w:t>
      </w:r>
      <w:r w:rsidRPr="004F01E9">
        <w:rPr>
          <w:noProof/>
        </w:rPr>
        <w:t xml:space="preserve">článkami 10 až 14 nariadenia (EÚ) </w:t>
      </w:r>
      <w:r w:rsidR="004F01E9">
        <w:rPr>
          <w:noProof/>
        </w:rPr>
        <w:t>č. </w:t>
      </w:r>
      <w:r w:rsidRPr="004F01E9">
        <w:rPr>
          <w:noProof/>
        </w:rPr>
        <w:t>1093/2010.“</w:t>
      </w:r>
    </w:p>
    <w:p w14:paraId="403957B1" w14:textId="50739058" w:rsidR="00806B81" w:rsidRPr="004F01E9" w:rsidRDefault="00B16452" w:rsidP="00B16452">
      <w:pPr>
        <w:pStyle w:val="Point0"/>
        <w:rPr>
          <w:noProof/>
        </w:rPr>
      </w:pPr>
      <w:r w:rsidRPr="00B16452">
        <w:rPr>
          <w:noProof/>
        </w:rPr>
        <w:t>93</w:t>
      </w:r>
      <w:r>
        <w:rPr>
          <w:noProof/>
        </w:rPr>
        <w:t>.</w:t>
      </w:r>
      <w:r w:rsidRPr="00B16452">
        <w:rPr>
          <w:noProof/>
        </w:rPr>
        <w:tab/>
      </w:r>
      <w:r w:rsidR="005A21FE" w:rsidRPr="004F01E9">
        <w:rPr>
          <w:noProof/>
        </w:rPr>
        <w:t>Článok 183 sa mení takto:</w:t>
      </w:r>
    </w:p>
    <w:p w14:paraId="62B045EE" w14:textId="09A0C166" w:rsidR="005A21FE" w:rsidRPr="004F01E9" w:rsidRDefault="00FF08C7" w:rsidP="00FF08C7">
      <w:pPr>
        <w:pStyle w:val="Point1"/>
        <w:rPr>
          <w:noProof/>
        </w:rPr>
      </w:pPr>
      <w:r w:rsidRPr="004F01E9">
        <w:rPr>
          <w:noProof/>
        </w:rPr>
        <w:t>a)</w:t>
      </w:r>
      <w:r w:rsidRPr="004F01E9">
        <w:rPr>
          <w:noProof/>
        </w:rPr>
        <w:tab/>
        <w:t>Názov sa nahrádza takto:</w:t>
      </w:r>
    </w:p>
    <w:p w14:paraId="1F77A21D" w14:textId="12067AAD" w:rsidR="005A21FE" w:rsidRPr="004F01E9" w:rsidRDefault="005A21FE" w:rsidP="005A21FE">
      <w:pPr>
        <w:pStyle w:val="Titrearticle"/>
        <w:rPr>
          <w:noProof/>
        </w:rPr>
      </w:pPr>
      <w:r w:rsidRPr="004F01E9">
        <w:rPr>
          <w:b/>
          <w:i w:val="0"/>
          <w:noProof/>
        </w:rPr>
        <w:t>Požiadavky na posudzovanie vplyvu nefinancovaného kreditného zabezpečenia na expozície voči podnikateľským subjektom, ústredným vládam</w:t>
      </w:r>
      <w:r w:rsidR="004F01E9">
        <w:rPr>
          <w:b/>
          <w:i w:val="0"/>
          <w:noProof/>
        </w:rPr>
        <w:t xml:space="preserve"> a </w:t>
      </w:r>
      <w:r w:rsidRPr="004F01E9">
        <w:rPr>
          <w:b/>
          <w:i w:val="0"/>
          <w:noProof/>
        </w:rPr>
        <w:t>centrálnym bankám, ak sa používajú vlastné odhady LGD,</w:t>
      </w:r>
      <w:r w:rsidR="004F01E9">
        <w:rPr>
          <w:b/>
          <w:i w:val="0"/>
          <w:noProof/>
        </w:rPr>
        <w:t xml:space="preserve"> a </w:t>
      </w:r>
      <w:r w:rsidRPr="004F01E9">
        <w:rPr>
          <w:b/>
          <w:i w:val="0"/>
          <w:noProof/>
        </w:rPr>
        <w:t>na retailové expozície</w:t>
      </w:r>
      <w:r w:rsidRPr="004F01E9">
        <w:rPr>
          <w:noProof/>
        </w:rPr>
        <w:t>“;</w:t>
      </w:r>
    </w:p>
    <w:p w14:paraId="4B930688" w14:textId="61AEA35B" w:rsidR="005A21FE" w:rsidRPr="004F01E9" w:rsidRDefault="00FF08C7" w:rsidP="00FF08C7">
      <w:pPr>
        <w:pStyle w:val="Point1"/>
        <w:rPr>
          <w:noProof/>
        </w:rPr>
      </w:pPr>
      <w:r w:rsidRPr="004F01E9">
        <w:rPr>
          <w:noProof/>
        </w:rPr>
        <w:t>b)</w:t>
      </w:r>
      <w:r w:rsidRPr="004F01E9">
        <w:rPr>
          <w:noProof/>
        </w:rPr>
        <w:tab/>
        <w:t>Odsek 1 sa mení takto:</w:t>
      </w:r>
    </w:p>
    <w:p w14:paraId="626E5AA2" w14:textId="77777777" w:rsidR="005A21FE" w:rsidRPr="004F01E9" w:rsidRDefault="005A21FE" w:rsidP="005A21FE">
      <w:pPr>
        <w:pStyle w:val="Point2"/>
        <w:rPr>
          <w:noProof/>
        </w:rPr>
      </w:pPr>
      <w:r w:rsidRPr="004F01E9">
        <w:rPr>
          <w:noProof/>
        </w:rPr>
        <w:t>i)</w:t>
      </w:r>
      <w:r w:rsidRPr="004F01E9">
        <w:rPr>
          <w:noProof/>
        </w:rPr>
        <w:tab/>
        <w:t>Písmeno c) sa nahrádza takto:</w:t>
      </w:r>
    </w:p>
    <w:p w14:paraId="3E97E0C7" w14:textId="6270550F" w:rsidR="005A21FE" w:rsidRPr="004F01E9" w:rsidRDefault="005A21FE" w:rsidP="00615061">
      <w:pPr>
        <w:pStyle w:val="Text3"/>
        <w:rPr>
          <w:noProof/>
        </w:rPr>
      </w:pPr>
      <w:r w:rsidRPr="004F01E9">
        <w:rPr>
          <w:noProof/>
        </w:rPr>
        <w:t>„c) záruka musí byť preukázaná</w:t>
      </w:r>
      <w:r w:rsidR="004F01E9">
        <w:rPr>
          <w:noProof/>
        </w:rPr>
        <w:t xml:space="preserve"> v </w:t>
      </w:r>
      <w:r w:rsidRPr="004F01E9">
        <w:rPr>
          <w:noProof/>
        </w:rPr>
        <w:t>písomnej podobe, nevypovedateľná</w:t>
      </w:r>
      <w:r w:rsidR="004F01E9">
        <w:rPr>
          <w:noProof/>
        </w:rPr>
        <w:t xml:space="preserve"> a </w:t>
      </w:r>
      <w:r w:rsidRPr="004F01E9">
        <w:rPr>
          <w:noProof/>
        </w:rPr>
        <w:t>nezmeniteľná zo strany ručiteľa, platná až do úplného uspokojenia záväzku (v rozsahu hodnoty</w:t>
      </w:r>
      <w:r w:rsidR="004F01E9">
        <w:rPr>
          <w:noProof/>
        </w:rPr>
        <w:t xml:space="preserve"> a </w:t>
      </w:r>
      <w:r w:rsidRPr="004F01E9">
        <w:rPr>
          <w:noProof/>
        </w:rPr>
        <w:t>trvania záruky)</w:t>
      </w:r>
      <w:r w:rsidR="004F01E9">
        <w:rPr>
          <w:noProof/>
        </w:rPr>
        <w:t xml:space="preserve"> a </w:t>
      </w:r>
      <w:r w:rsidRPr="004F01E9">
        <w:rPr>
          <w:noProof/>
        </w:rPr>
        <w:t>právne vymožiteľná voči ručiteľovi</w:t>
      </w:r>
      <w:r w:rsidR="004F01E9">
        <w:rPr>
          <w:noProof/>
        </w:rPr>
        <w:t xml:space="preserve"> v </w:t>
      </w:r>
      <w:r w:rsidRPr="004F01E9">
        <w:rPr>
          <w:noProof/>
        </w:rPr>
        <w:t>rámci jurisdikcie,</w:t>
      </w:r>
      <w:r w:rsidR="004F01E9">
        <w:rPr>
          <w:noProof/>
        </w:rPr>
        <w:t xml:space="preserve"> v </w:t>
      </w:r>
      <w:r w:rsidRPr="004F01E9">
        <w:rPr>
          <w:noProof/>
        </w:rPr>
        <w:t>ktorej ručiteľ vlastní aktíva uplatniteľné</w:t>
      </w:r>
      <w:r w:rsidR="004F01E9">
        <w:rPr>
          <w:noProof/>
        </w:rPr>
        <w:t xml:space="preserve"> a </w:t>
      </w:r>
      <w:r w:rsidRPr="004F01E9">
        <w:rPr>
          <w:noProof/>
        </w:rPr>
        <w:t>vymožiteľné súdnym rozhodnutím;</w:t>
      </w:r>
    </w:p>
    <w:p w14:paraId="639709A8" w14:textId="51323B12" w:rsidR="005A21FE" w:rsidRPr="004F01E9" w:rsidRDefault="005A21FE" w:rsidP="005A21FE">
      <w:pPr>
        <w:pStyle w:val="Point2"/>
        <w:rPr>
          <w:noProof/>
        </w:rPr>
      </w:pPr>
      <w:r w:rsidRPr="004F01E9">
        <w:rPr>
          <w:noProof/>
        </w:rPr>
        <w:t>ii)</w:t>
      </w:r>
      <w:r w:rsidRPr="004F01E9">
        <w:rPr>
          <w:noProof/>
        </w:rPr>
        <w:tab/>
        <w:t>Dopĺňajú sa tieto písmená d)</w:t>
      </w:r>
      <w:r w:rsidR="004F01E9">
        <w:rPr>
          <w:noProof/>
        </w:rPr>
        <w:t xml:space="preserve"> a </w:t>
      </w:r>
      <w:r w:rsidRPr="004F01E9">
        <w:rPr>
          <w:noProof/>
        </w:rPr>
        <w:t>e):</w:t>
      </w:r>
    </w:p>
    <w:p w14:paraId="6FB67C0A" w14:textId="77777777" w:rsidR="00806B81" w:rsidRPr="004F01E9" w:rsidRDefault="005A21FE" w:rsidP="00615061">
      <w:pPr>
        <w:pStyle w:val="Text3"/>
        <w:rPr>
          <w:noProof/>
        </w:rPr>
      </w:pPr>
      <w:r w:rsidRPr="004F01E9">
        <w:rPr>
          <w:noProof/>
        </w:rPr>
        <w:t>„d) záruka je bezpodmienečná;</w:t>
      </w:r>
    </w:p>
    <w:p w14:paraId="0BAC872E" w14:textId="59501159" w:rsidR="005A21FE" w:rsidRPr="004F01E9" w:rsidRDefault="005A21FE" w:rsidP="00615061">
      <w:pPr>
        <w:pStyle w:val="Text3"/>
        <w:rPr>
          <w:noProof/>
        </w:rPr>
      </w:pPr>
      <w:r w:rsidRPr="004F01E9">
        <w:rPr>
          <w:noProof/>
        </w:rPr>
        <w:t>e) kreditné deriváty pre prvé zlyhanie sa môžu uznať za prípustné nefinancované kreditné zabezpečenie, ale kreditné deriváty pre druhé zlyhanie alebo všeobecnejšie kreditné deriváty pre n-té zlyhanie sa neuznávajú ako prípustné nefinancované kreditné zabezpečenie.“;</w:t>
      </w:r>
    </w:p>
    <w:p w14:paraId="74CAB192" w14:textId="5C545F01" w:rsidR="005A21FE" w:rsidRPr="004F01E9" w:rsidRDefault="005A21FE" w:rsidP="00615061">
      <w:pPr>
        <w:pStyle w:val="Point2"/>
        <w:rPr>
          <w:noProof/>
        </w:rPr>
      </w:pPr>
      <w:r w:rsidRPr="004F01E9">
        <w:rPr>
          <w:noProof/>
        </w:rPr>
        <w:t>iii)</w:t>
      </w:r>
      <w:r w:rsidRPr="004F01E9">
        <w:rPr>
          <w:noProof/>
        </w:rPr>
        <w:tab/>
        <w:t>Dopĺňa sa tento pododsek:</w:t>
      </w:r>
    </w:p>
    <w:p w14:paraId="1F0B2148" w14:textId="1BEFAE3D" w:rsidR="005A21FE" w:rsidRPr="0059109E" w:rsidRDefault="005A21FE" w:rsidP="00FF08C7">
      <w:pPr>
        <w:pStyle w:val="Text3"/>
        <w:rPr>
          <w:noProof/>
          <w:spacing w:val="-6"/>
        </w:rPr>
      </w:pPr>
      <w:r w:rsidRPr="0059109E">
        <w:rPr>
          <w:noProof/>
          <w:spacing w:val="-6"/>
        </w:rPr>
        <w:t>„Na účely písmena d) je „bezpodmienečná záruka“ záruka,</w:t>
      </w:r>
      <w:r w:rsidR="004F01E9" w:rsidRPr="0059109E">
        <w:rPr>
          <w:noProof/>
          <w:spacing w:val="-6"/>
        </w:rPr>
        <w:t xml:space="preserve"> v </w:t>
      </w:r>
      <w:r w:rsidRPr="0059109E">
        <w:rPr>
          <w:noProof/>
          <w:spacing w:val="-6"/>
        </w:rPr>
        <w:t>rámci ktorej zmluva</w:t>
      </w:r>
      <w:r w:rsidR="004F01E9" w:rsidRPr="0059109E">
        <w:rPr>
          <w:noProof/>
          <w:spacing w:val="-6"/>
        </w:rPr>
        <w:t xml:space="preserve"> o </w:t>
      </w:r>
      <w:r w:rsidRPr="0059109E">
        <w:rPr>
          <w:noProof/>
          <w:spacing w:val="-6"/>
        </w:rPr>
        <w:t>kreditnom zabezpečení neobsahuje žiadnu doložku, ktorej splnenie je mimo priamej kontroly požičiavajúcej inštitúcie,</w:t>
      </w:r>
      <w:r w:rsidR="004F01E9" w:rsidRPr="0059109E">
        <w:rPr>
          <w:noProof/>
          <w:spacing w:val="-6"/>
        </w:rPr>
        <w:t xml:space="preserve"> a </w:t>
      </w:r>
      <w:r w:rsidRPr="0059109E">
        <w:rPr>
          <w:noProof/>
          <w:spacing w:val="-6"/>
        </w:rPr>
        <w:t>ktorá by mohla ručiteľovi zabrániť</w:t>
      </w:r>
      <w:r w:rsidR="004F01E9" w:rsidRPr="0059109E">
        <w:rPr>
          <w:noProof/>
          <w:spacing w:val="-6"/>
        </w:rPr>
        <w:t xml:space="preserve"> v </w:t>
      </w:r>
      <w:r w:rsidRPr="0059109E">
        <w:rPr>
          <w:noProof/>
          <w:spacing w:val="-6"/>
        </w:rPr>
        <w:t>tom, aby bol povinný včas zaplatiť</w:t>
      </w:r>
      <w:r w:rsidR="004F01E9" w:rsidRPr="0059109E">
        <w:rPr>
          <w:noProof/>
          <w:spacing w:val="-6"/>
        </w:rPr>
        <w:t xml:space="preserve"> v </w:t>
      </w:r>
      <w:r w:rsidRPr="0059109E">
        <w:rPr>
          <w:noProof/>
          <w:spacing w:val="-6"/>
        </w:rPr>
        <w:t>prípade, že pôvodný dlžník neuhrádza príslušné splatné splátky. Doložkou</w:t>
      </w:r>
      <w:r w:rsidR="004F01E9" w:rsidRPr="0059109E">
        <w:rPr>
          <w:noProof/>
          <w:spacing w:val="-6"/>
        </w:rPr>
        <w:t xml:space="preserve"> v </w:t>
      </w:r>
      <w:r w:rsidRPr="0059109E">
        <w:rPr>
          <w:noProof/>
          <w:spacing w:val="-6"/>
        </w:rPr>
        <w:t>zmluve</w:t>
      </w:r>
      <w:r w:rsidR="004F01E9" w:rsidRPr="0059109E">
        <w:rPr>
          <w:noProof/>
          <w:spacing w:val="-6"/>
        </w:rPr>
        <w:t xml:space="preserve"> o </w:t>
      </w:r>
      <w:r w:rsidRPr="0059109E">
        <w:rPr>
          <w:noProof/>
          <w:spacing w:val="-6"/>
        </w:rPr>
        <w:t>kreditnom zabezpečení,</w:t>
      </w:r>
      <w:r w:rsidR="004F01E9" w:rsidRPr="0059109E">
        <w:rPr>
          <w:noProof/>
          <w:spacing w:val="-6"/>
        </w:rPr>
        <w:t xml:space="preserve"> v </w:t>
      </w:r>
      <w:r w:rsidRPr="0059109E">
        <w:rPr>
          <w:noProof/>
          <w:spacing w:val="-6"/>
        </w:rPr>
        <w:t>ktorej sa stanovuje, že chybnou náležitou starostlivosťou alebo podvodom zo strany požičiavajúcej inštitúcie sa zrušuje alebo redukuje rozsah záruky, ktorú ponúka ručiteľ, sa uvedená záruka nesmie diskvalifikovať tak, aby už nespĺňala náležitosti bezpodmienečnej záruky. Akákoľvek zmluva</w:t>
      </w:r>
      <w:r w:rsidR="004F01E9" w:rsidRPr="0059109E">
        <w:rPr>
          <w:noProof/>
          <w:spacing w:val="-6"/>
        </w:rPr>
        <w:t xml:space="preserve"> o </w:t>
      </w:r>
      <w:r w:rsidRPr="0059109E">
        <w:rPr>
          <w:noProof/>
          <w:spacing w:val="-6"/>
        </w:rPr>
        <w:t>kreditnom zabezpečení, ktorú možno</w:t>
      </w:r>
      <w:r w:rsidR="004F01E9" w:rsidRPr="0059109E">
        <w:rPr>
          <w:noProof/>
          <w:spacing w:val="-6"/>
        </w:rPr>
        <w:t xml:space="preserve"> v </w:t>
      </w:r>
      <w:r w:rsidRPr="0059109E">
        <w:rPr>
          <w:noProof/>
          <w:spacing w:val="-6"/>
        </w:rPr>
        <w:t>prípade podvodu dlžníka zrušiť alebo ktorej rozsah kreditného zabezpečenia možno zredukovať, sa nesmie považovať za bezpodmienečnú.</w:t>
      </w:r>
    </w:p>
    <w:p w14:paraId="090888B9" w14:textId="64A3F7E3" w:rsidR="005A21FE" w:rsidRPr="004F01E9" w:rsidRDefault="005A21FE" w:rsidP="00FF08C7">
      <w:pPr>
        <w:pStyle w:val="Text3"/>
        <w:rPr>
          <w:noProof/>
        </w:rPr>
      </w:pPr>
      <w:r w:rsidRPr="004F01E9">
        <w:rPr>
          <w:noProof/>
        </w:rPr>
        <w:t>Záruky,</w:t>
      </w:r>
      <w:r w:rsidR="004F01E9">
        <w:rPr>
          <w:noProof/>
        </w:rPr>
        <w:t xml:space="preserve"> v </w:t>
      </w:r>
      <w:r w:rsidRPr="004F01E9">
        <w:rPr>
          <w:noProof/>
        </w:rPr>
        <w:t>rámci ktorých platba ručiteľa podlieha tomu, že požičiavajúca inštitúcia najprv musí dlžníka stíhať,</w:t>
      </w:r>
      <w:r w:rsidR="004F01E9">
        <w:rPr>
          <w:noProof/>
        </w:rPr>
        <w:t xml:space="preserve"> a v </w:t>
      </w:r>
      <w:r w:rsidRPr="004F01E9">
        <w:rPr>
          <w:noProof/>
        </w:rPr>
        <w:t>rámci ktorých sú kryté len straty, ktoré zostanú po tom, ako inštitúcie dokončili proces riešenia situácie, sa považujú za bezpodmienečné.“;</w:t>
      </w:r>
    </w:p>
    <w:p w14:paraId="2771D236" w14:textId="30F15F8D" w:rsidR="005A21FE" w:rsidRPr="004F01E9" w:rsidRDefault="00FF08C7" w:rsidP="00FF08C7">
      <w:pPr>
        <w:pStyle w:val="Point1"/>
        <w:rPr>
          <w:noProof/>
        </w:rPr>
      </w:pPr>
      <w:r w:rsidRPr="004F01E9">
        <w:rPr>
          <w:noProof/>
        </w:rPr>
        <w:t>c)</w:t>
      </w:r>
      <w:r w:rsidRPr="004F01E9">
        <w:rPr>
          <w:noProof/>
        </w:rPr>
        <w:tab/>
        <w:t>Vkladá sa tento odsek 1a:</w:t>
      </w:r>
    </w:p>
    <w:p w14:paraId="549A3383" w14:textId="66AB7CB8" w:rsidR="005A21FE" w:rsidRPr="004F01E9" w:rsidRDefault="005A21FE" w:rsidP="00FF08C7">
      <w:pPr>
        <w:pStyle w:val="Text2"/>
        <w:rPr>
          <w:noProof/>
        </w:rPr>
      </w:pPr>
      <w:r w:rsidRPr="004F01E9">
        <w:rPr>
          <w:noProof/>
        </w:rPr>
        <w:t>„1a. Inštitúcie môžu nefinancované kreditné zabezpečenie uznať buď použitím prístupu modelovania PD/LGD</w:t>
      </w:r>
      <w:r w:rsidR="004F01E9">
        <w:rPr>
          <w:noProof/>
        </w:rPr>
        <w:t xml:space="preserve"> v </w:t>
      </w:r>
      <w:r w:rsidRPr="004F01E9">
        <w:rPr>
          <w:noProof/>
        </w:rPr>
        <w:t>súlade</w:t>
      </w:r>
      <w:r w:rsidR="004F01E9">
        <w:rPr>
          <w:noProof/>
        </w:rPr>
        <w:t xml:space="preserve"> s </w:t>
      </w:r>
      <w:r w:rsidRPr="004F01E9">
        <w:rPr>
          <w:noProof/>
        </w:rPr>
        <w:t>týmto článkom</w:t>
      </w:r>
      <w:r w:rsidR="004F01E9">
        <w:rPr>
          <w:noProof/>
        </w:rPr>
        <w:t xml:space="preserve"> a s </w:t>
      </w:r>
      <w:r w:rsidRPr="004F01E9">
        <w:rPr>
          <w:noProof/>
        </w:rPr>
        <w:t>výhradou požiadavky stanovenej</w:t>
      </w:r>
      <w:r w:rsidR="004F01E9">
        <w:rPr>
          <w:noProof/>
        </w:rPr>
        <w:t xml:space="preserve"> v </w:t>
      </w:r>
      <w:r w:rsidRPr="004F01E9">
        <w:rPr>
          <w:noProof/>
        </w:rPr>
        <w:t>odseku 4, alebo použitím prístupu substitúcie parametrov rizika podľa A-IRB, ako sa uvádza</w:t>
      </w:r>
      <w:r w:rsidR="004F01E9">
        <w:rPr>
          <w:noProof/>
        </w:rPr>
        <w:t xml:space="preserve"> v </w:t>
      </w:r>
      <w:r w:rsidRPr="004F01E9">
        <w:rPr>
          <w:noProof/>
        </w:rPr>
        <w:t>článku 236a,</w:t>
      </w:r>
      <w:r w:rsidR="004F01E9">
        <w:rPr>
          <w:noProof/>
        </w:rPr>
        <w:t xml:space="preserve"> a s </w:t>
      </w:r>
      <w:r w:rsidRPr="004F01E9">
        <w:rPr>
          <w:noProof/>
        </w:rPr>
        <w:t>výhradou požiadaviek na prípustnosť uvedených</w:t>
      </w:r>
      <w:r w:rsidR="004F01E9">
        <w:rPr>
          <w:noProof/>
        </w:rPr>
        <w:t xml:space="preserve"> v </w:t>
      </w:r>
      <w:r w:rsidRPr="004F01E9">
        <w:rPr>
          <w:noProof/>
        </w:rPr>
        <w:t>kapitole 4. Inštitúcie by mali mať jasné politiky na posudzovanie účinkov nefinancovaného kreditného zabezpečenia na parametre rizika. Politiky inštitúcií musia byť</w:t>
      </w:r>
      <w:r w:rsidR="004F01E9">
        <w:rPr>
          <w:noProof/>
        </w:rPr>
        <w:t xml:space="preserve"> v </w:t>
      </w:r>
      <w:r w:rsidRPr="004F01E9">
        <w:rPr>
          <w:noProof/>
        </w:rPr>
        <w:t>súlade</w:t>
      </w:r>
      <w:r w:rsidR="004F01E9">
        <w:rPr>
          <w:noProof/>
        </w:rPr>
        <w:t xml:space="preserve"> s </w:t>
      </w:r>
      <w:r w:rsidRPr="004F01E9">
        <w:rPr>
          <w:noProof/>
        </w:rPr>
        <w:t>ich internými postupmi riadenia rizík</w:t>
      </w:r>
      <w:r w:rsidR="004F01E9">
        <w:rPr>
          <w:noProof/>
        </w:rPr>
        <w:t xml:space="preserve"> a </w:t>
      </w:r>
      <w:r w:rsidRPr="004F01E9">
        <w:rPr>
          <w:noProof/>
        </w:rPr>
        <w:t>musia odzrkadľovať požiadavky tohto článku.</w:t>
      </w:r>
      <w:r w:rsidR="004F01E9">
        <w:rPr>
          <w:noProof/>
        </w:rPr>
        <w:t xml:space="preserve"> V </w:t>
      </w:r>
      <w:r w:rsidRPr="004F01E9">
        <w:rPr>
          <w:noProof/>
        </w:rPr>
        <w:t>uvedených politikách sa jasne špecifikuje, ktoré</w:t>
      </w:r>
      <w:r w:rsidR="004F01E9">
        <w:rPr>
          <w:noProof/>
        </w:rPr>
        <w:t xml:space="preserve"> z </w:t>
      </w:r>
      <w:r w:rsidRPr="004F01E9">
        <w:rPr>
          <w:noProof/>
        </w:rPr>
        <w:t>osobitných metód opísaných</w:t>
      </w:r>
      <w:r w:rsidR="004F01E9">
        <w:rPr>
          <w:noProof/>
        </w:rPr>
        <w:t xml:space="preserve"> v </w:t>
      </w:r>
      <w:r w:rsidRPr="004F01E9">
        <w:rPr>
          <w:noProof/>
        </w:rPr>
        <w:t>tomto pododseku sa používajú pre jednotlivé ratingové systémy,</w:t>
      </w:r>
      <w:r w:rsidR="004F01E9">
        <w:rPr>
          <w:noProof/>
        </w:rPr>
        <w:t xml:space="preserve"> a </w:t>
      </w:r>
      <w:r w:rsidRPr="004F01E9">
        <w:rPr>
          <w:noProof/>
        </w:rPr>
        <w:t>inštitúcie musia tieto politiky uplatňovať konzistentne</w:t>
      </w:r>
      <w:r w:rsidR="004F01E9">
        <w:rPr>
          <w:noProof/>
        </w:rPr>
        <w:t xml:space="preserve"> v </w:t>
      </w:r>
      <w:r w:rsidRPr="004F01E9">
        <w:rPr>
          <w:noProof/>
        </w:rPr>
        <w:t>priebehu času.“;</w:t>
      </w:r>
    </w:p>
    <w:p w14:paraId="3AB716E3" w14:textId="4C340083" w:rsidR="005A21FE" w:rsidRPr="004F01E9" w:rsidRDefault="00FF08C7" w:rsidP="00FF08C7">
      <w:pPr>
        <w:pStyle w:val="Point1"/>
        <w:rPr>
          <w:noProof/>
        </w:rPr>
      </w:pPr>
      <w:r w:rsidRPr="004F01E9">
        <w:rPr>
          <w:noProof/>
        </w:rPr>
        <w:t>d)</w:t>
      </w:r>
      <w:r w:rsidRPr="004F01E9">
        <w:rPr>
          <w:noProof/>
        </w:rPr>
        <w:tab/>
        <w:t>Odsek 4 sa nahrádza takto:</w:t>
      </w:r>
    </w:p>
    <w:p w14:paraId="1CF5C454" w14:textId="026624FF" w:rsidR="005A21FE" w:rsidRPr="0059109E" w:rsidRDefault="005A21FE" w:rsidP="00FF08C7">
      <w:pPr>
        <w:pStyle w:val="Text2"/>
        <w:rPr>
          <w:noProof/>
          <w:spacing w:val="-8"/>
        </w:rPr>
      </w:pPr>
      <w:r w:rsidRPr="0059109E">
        <w:rPr>
          <w:noProof/>
          <w:spacing w:val="-8"/>
        </w:rPr>
        <w:t>„4. Ak inštitúcie uznávajú nefinancované kreditné zabezpečenie na základe prístupu modelovania PD/LGD, krytej časti podkladovej expozície sa nepriraďuje riziková váha, ktorá by bola nižšia než spodná hodnota rizikovej váhy poskytovateľa zabezpečenia. Na tento účel sa spodná hodnota rizikovej váhy poskytovateľa zabezpečenia vypočítava pomocou rovnakej PD, rovnakej LGD</w:t>
      </w:r>
      <w:r w:rsidR="004F01E9" w:rsidRPr="0059109E">
        <w:rPr>
          <w:noProof/>
          <w:spacing w:val="-8"/>
        </w:rPr>
        <w:t xml:space="preserve"> a </w:t>
      </w:r>
      <w:r w:rsidRPr="0059109E">
        <w:rPr>
          <w:noProof/>
          <w:spacing w:val="-8"/>
        </w:rPr>
        <w:t>rovnakej funkcie rizikovej váhy, ako sú tie, ktoré sa používajú</w:t>
      </w:r>
      <w:r w:rsidR="004F01E9" w:rsidRPr="0059109E">
        <w:rPr>
          <w:noProof/>
          <w:spacing w:val="-8"/>
        </w:rPr>
        <w:t xml:space="preserve"> a </w:t>
      </w:r>
      <w:r w:rsidRPr="0059109E">
        <w:rPr>
          <w:noProof/>
          <w:spacing w:val="-8"/>
        </w:rPr>
        <w:t>sú uplatniteľné na porovnateľnú priamu expozíciu voči poskytovateľovi zabezpečenia, ako sa uvádza</w:t>
      </w:r>
      <w:r w:rsidR="004F01E9" w:rsidRPr="0059109E">
        <w:rPr>
          <w:noProof/>
          <w:spacing w:val="-8"/>
        </w:rPr>
        <w:t xml:space="preserve"> v </w:t>
      </w:r>
      <w:r w:rsidRPr="0059109E">
        <w:rPr>
          <w:noProof/>
          <w:spacing w:val="-8"/>
        </w:rPr>
        <w:t>článku 236a.“;</w:t>
      </w:r>
    </w:p>
    <w:p w14:paraId="1B799765" w14:textId="58FE2859" w:rsidR="005A21FE" w:rsidRPr="004F01E9" w:rsidRDefault="00FF08C7" w:rsidP="00FF08C7">
      <w:pPr>
        <w:pStyle w:val="Point1"/>
        <w:rPr>
          <w:noProof/>
        </w:rPr>
      </w:pPr>
      <w:r w:rsidRPr="004F01E9">
        <w:rPr>
          <w:noProof/>
        </w:rPr>
        <w:t>e)</w:t>
      </w:r>
      <w:r w:rsidRPr="004F01E9">
        <w:rPr>
          <w:noProof/>
        </w:rPr>
        <w:tab/>
        <w:t>Odsek 6 sa vypúšťa;</w:t>
      </w:r>
    </w:p>
    <w:p w14:paraId="169A836E" w14:textId="02193A6A" w:rsidR="00806B81" w:rsidRPr="004F01E9" w:rsidRDefault="00B16452" w:rsidP="00B16452">
      <w:pPr>
        <w:pStyle w:val="Point0"/>
        <w:rPr>
          <w:noProof/>
        </w:rPr>
      </w:pPr>
      <w:r w:rsidRPr="00B16452">
        <w:rPr>
          <w:noProof/>
        </w:rPr>
        <w:t>94</w:t>
      </w:r>
      <w:r>
        <w:rPr>
          <w:noProof/>
        </w:rPr>
        <w:t>.</w:t>
      </w:r>
      <w:r w:rsidRPr="00B16452">
        <w:rPr>
          <w:noProof/>
        </w:rPr>
        <w:tab/>
      </w:r>
      <w:r w:rsidR="005A21FE" w:rsidRPr="004F01E9">
        <w:rPr>
          <w:noProof/>
        </w:rPr>
        <w:t>V tretej časti hlave II kapitole 3 oddiele 6 sa vypúšťa pododdiel 4.</w:t>
      </w:r>
    </w:p>
    <w:p w14:paraId="724FD21C" w14:textId="0C61C881" w:rsidR="00806B81" w:rsidRPr="004F01E9" w:rsidRDefault="00B16452" w:rsidP="00B16452">
      <w:pPr>
        <w:pStyle w:val="Point0"/>
        <w:rPr>
          <w:noProof/>
        </w:rPr>
      </w:pPr>
      <w:r w:rsidRPr="00B16452">
        <w:rPr>
          <w:noProof/>
        </w:rPr>
        <w:t>95</w:t>
      </w:r>
      <w:r>
        <w:rPr>
          <w:noProof/>
        </w:rPr>
        <w:t>.</w:t>
      </w:r>
      <w:r w:rsidRPr="00B16452">
        <w:rPr>
          <w:noProof/>
        </w:rPr>
        <w:tab/>
      </w:r>
      <w:r w:rsidR="005A21FE" w:rsidRPr="004F01E9">
        <w:rPr>
          <w:noProof/>
        </w:rPr>
        <w:t>V článku 192 sa dopĺňajú tieto body 5 až 8:</w:t>
      </w:r>
    </w:p>
    <w:p w14:paraId="6863564C" w14:textId="1C51744E" w:rsidR="005A21FE" w:rsidRPr="0059109E" w:rsidRDefault="005A21FE" w:rsidP="00615061">
      <w:pPr>
        <w:pStyle w:val="Text1"/>
        <w:rPr>
          <w:noProof/>
          <w:spacing w:val="-8"/>
        </w:rPr>
      </w:pPr>
      <w:r w:rsidRPr="0059109E">
        <w:rPr>
          <w:noProof/>
          <w:spacing w:val="-8"/>
        </w:rPr>
        <w:t>„5) „prístup substitúcie rizikovej váhy podľa SA“ je substitúcia,</w:t>
      </w:r>
      <w:r w:rsidR="004F01E9" w:rsidRPr="0059109E">
        <w:rPr>
          <w:noProof/>
          <w:spacing w:val="-8"/>
        </w:rPr>
        <w:t xml:space="preserve"> v </w:t>
      </w:r>
      <w:r w:rsidRPr="0059109E">
        <w:rPr>
          <w:noProof/>
          <w:spacing w:val="-8"/>
        </w:rPr>
        <w:t>súlade</w:t>
      </w:r>
      <w:r w:rsidR="004F01E9" w:rsidRPr="0059109E">
        <w:rPr>
          <w:noProof/>
          <w:spacing w:val="-8"/>
        </w:rPr>
        <w:t xml:space="preserve"> s </w:t>
      </w:r>
      <w:r w:rsidRPr="0059109E">
        <w:rPr>
          <w:noProof/>
          <w:spacing w:val="-8"/>
        </w:rPr>
        <w:t>článkom 235, rizikovej váhy podkladovej expozície rizikovou váhou uplatniteľnou na základe štandardizovaného prístupu na porovnateľnú priamu expozíciu voči poskytovateľovi zabezpečenia;</w:t>
      </w:r>
    </w:p>
    <w:p w14:paraId="45F28F28" w14:textId="00D2BFE1" w:rsidR="005A21FE" w:rsidRPr="004F01E9" w:rsidRDefault="005A21FE" w:rsidP="00615061">
      <w:pPr>
        <w:pStyle w:val="Text1"/>
        <w:rPr>
          <w:noProof/>
        </w:rPr>
      </w:pPr>
      <w:r w:rsidRPr="004F01E9">
        <w:rPr>
          <w:noProof/>
        </w:rPr>
        <w:t>6) „prístup substitúcie rizikovej váhy podľa IRB“ je substitúcia,</w:t>
      </w:r>
      <w:r w:rsidR="004F01E9">
        <w:rPr>
          <w:noProof/>
        </w:rPr>
        <w:t xml:space="preserve"> v </w:t>
      </w:r>
      <w:r w:rsidRPr="004F01E9">
        <w:rPr>
          <w:noProof/>
        </w:rPr>
        <w:t>súlade</w:t>
      </w:r>
      <w:r w:rsidR="004F01E9">
        <w:rPr>
          <w:noProof/>
        </w:rPr>
        <w:t xml:space="preserve"> s </w:t>
      </w:r>
      <w:r w:rsidRPr="004F01E9">
        <w:rPr>
          <w:noProof/>
        </w:rPr>
        <w:t>článkom 235a, rizikovej váhy podkladovej expozície rizikovou váhou uplatniteľnou na základe štandardizovaného prístupu na porovnateľnú priamu expozíciu voči poskytovateľovi zabezpečenia;</w:t>
      </w:r>
    </w:p>
    <w:p w14:paraId="056ABA71" w14:textId="3069035A" w:rsidR="005A21FE" w:rsidRPr="004F01E9" w:rsidRDefault="005A21FE" w:rsidP="00615061">
      <w:pPr>
        <w:pStyle w:val="Text1"/>
        <w:rPr>
          <w:noProof/>
        </w:rPr>
      </w:pPr>
      <w:r w:rsidRPr="004F01E9">
        <w:rPr>
          <w:noProof/>
        </w:rPr>
        <w:t>7) „prístup substitúcie parametrov rizika podľa F-IRB“ je substitúcia,</w:t>
      </w:r>
      <w:r w:rsidR="004F01E9">
        <w:rPr>
          <w:noProof/>
        </w:rPr>
        <w:t xml:space="preserve"> v </w:t>
      </w:r>
      <w:r w:rsidRPr="004F01E9">
        <w:rPr>
          <w:noProof/>
        </w:rPr>
        <w:t>súlade</w:t>
      </w:r>
      <w:r w:rsidR="004F01E9">
        <w:rPr>
          <w:noProof/>
        </w:rPr>
        <w:t xml:space="preserve"> s </w:t>
      </w:r>
      <w:r w:rsidRPr="004F01E9">
        <w:rPr>
          <w:noProof/>
        </w:rPr>
        <w:t>článkom 236, parametrov rizika PD aj LGD podkladovej expozície zodpovedajúcimi parametrami PD</w:t>
      </w:r>
      <w:r w:rsidR="004F01E9">
        <w:rPr>
          <w:noProof/>
        </w:rPr>
        <w:t xml:space="preserve"> a </w:t>
      </w:r>
      <w:r w:rsidRPr="004F01E9">
        <w:rPr>
          <w:noProof/>
        </w:rPr>
        <w:t>LGD, ktoré by sa priradili na základe prístupu interných ratingov bez použitia vlastných odhadov LGD na porovnateľné priame expozície voči poskytovateľovi zabezpečenia;</w:t>
      </w:r>
    </w:p>
    <w:p w14:paraId="6A7F2A69" w14:textId="202CF475" w:rsidR="005A21FE" w:rsidRPr="004F01E9" w:rsidRDefault="005A21FE" w:rsidP="00615061">
      <w:pPr>
        <w:pStyle w:val="Text1"/>
        <w:rPr>
          <w:noProof/>
        </w:rPr>
      </w:pPr>
      <w:r w:rsidRPr="004F01E9">
        <w:rPr>
          <w:noProof/>
        </w:rPr>
        <w:t>8) „prístup substitúcie parametrov rizika podľa A-IRB“ je substitúcia,</w:t>
      </w:r>
      <w:r w:rsidR="004F01E9">
        <w:rPr>
          <w:noProof/>
        </w:rPr>
        <w:t xml:space="preserve"> v </w:t>
      </w:r>
      <w:r w:rsidRPr="004F01E9">
        <w:rPr>
          <w:noProof/>
        </w:rPr>
        <w:t>súlade</w:t>
      </w:r>
      <w:r w:rsidR="004F01E9">
        <w:rPr>
          <w:noProof/>
        </w:rPr>
        <w:t xml:space="preserve"> s </w:t>
      </w:r>
      <w:r w:rsidRPr="004F01E9">
        <w:rPr>
          <w:noProof/>
        </w:rPr>
        <w:t>článkom 236a, parametrov rizika PD aj LGD podkladovej expozície zodpovedajúcimi parametrami PD</w:t>
      </w:r>
      <w:r w:rsidR="004F01E9">
        <w:rPr>
          <w:noProof/>
        </w:rPr>
        <w:t xml:space="preserve"> a </w:t>
      </w:r>
      <w:r w:rsidRPr="004F01E9">
        <w:rPr>
          <w:noProof/>
        </w:rPr>
        <w:t>LGD, ktoré by sa priradili na základe prístupu interných ratingov</w:t>
      </w:r>
      <w:r w:rsidR="004F01E9">
        <w:rPr>
          <w:noProof/>
        </w:rPr>
        <w:t xml:space="preserve"> s </w:t>
      </w:r>
      <w:r w:rsidRPr="004F01E9">
        <w:rPr>
          <w:noProof/>
        </w:rPr>
        <w:t>použitím vlastných odhadov LGD na porovnateľnú priamu expozíciu voči poskytovateľovi zabezpečenia.“</w:t>
      </w:r>
    </w:p>
    <w:p w14:paraId="2B8AE22D" w14:textId="6A8D01FC" w:rsidR="005A21FE" w:rsidRPr="004F01E9" w:rsidRDefault="00B16452" w:rsidP="00B16452">
      <w:pPr>
        <w:pStyle w:val="Point0"/>
        <w:rPr>
          <w:noProof/>
        </w:rPr>
      </w:pPr>
      <w:r w:rsidRPr="00B16452">
        <w:rPr>
          <w:noProof/>
        </w:rPr>
        <w:t>96</w:t>
      </w:r>
      <w:r>
        <w:rPr>
          <w:noProof/>
        </w:rPr>
        <w:t>.</w:t>
      </w:r>
      <w:r w:rsidRPr="00B16452">
        <w:rPr>
          <w:noProof/>
        </w:rPr>
        <w:tab/>
      </w:r>
      <w:r w:rsidR="005A21FE" w:rsidRPr="004F01E9">
        <w:rPr>
          <w:noProof/>
        </w:rPr>
        <w:t>V článku 193 sa dopĺňa tento odsek 7:</w:t>
      </w:r>
    </w:p>
    <w:p w14:paraId="48428EEE" w14:textId="4B58CD9D" w:rsidR="00806B81" w:rsidRPr="004F01E9" w:rsidRDefault="005A21FE" w:rsidP="005A21FE">
      <w:pPr>
        <w:pStyle w:val="Text1"/>
        <w:rPr>
          <w:noProof/>
        </w:rPr>
      </w:pPr>
      <w:r w:rsidRPr="004F01E9">
        <w:rPr>
          <w:noProof/>
        </w:rPr>
        <w:t>„7. Kolaterál, ktorý spĺňa všetky požiadavky prípustnosti stanovené</w:t>
      </w:r>
      <w:r w:rsidR="004F01E9">
        <w:rPr>
          <w:noProof/>
        </w:rPr>
        <w:t xml:space="preserve"> v </w:t>
      </w:r>
      <w:r w:rsidRPr="004F01E9">
        <w:rPr>
          <w:noProof/>
        </w:rPr>
        <w:t>tejto kapitole, sa môže uznať ako prípustný aj</w:t>
      </w:r>
      <w:r w:rsidR="004F01E9">
        <w:rPr>
          <w:noProof/>
        </w:rPr>
        <w:t xml:space="preserve"> v </w:t>
      </w:r>
      <w:r w:rsidRPr="004F01E9">
        <w:rPr>
          <w:noProof/>
        </w:rPr>
        <w:t>prípade expozícií súvisiacich</w:t>
      </w:r>
      <w:r w:rsidR="004F01E9">
        <w:rPr>
          <w:noProof/>
        </w:rPr>
        <w:t xml:space="preserve"> s </w:t>
      </w:r>
      <w:r w:rsidRPr="004F01E9">
        <w:rPr>
          <w:noProof/>
        </w:rPr>
        <w:t>nevyčerpanými facilitami. Ak je čerpanie</w:t>
      </w:r>
      <w:r w:rsidR="004F01E9">
        <w:rPr>
          <w:noProof/>
        </w:rPr>
        <w:t xml:space="preserve"> v </w:t>
      </w:r>
      <w:r w:rsidRPr="004F01E9">
        <w:rPr>
          <w:noProof/>
        </w:rPr>
        <w:t>rámci facility podmienené predchádzajúcim alebo súbežným zakúpením alebo prijatím kolaterálu</w:t>
      </w:r>
      <w:r w:rsidR="004F01E9">
        <w:rPr>
          <w:noProof/>
        </w:rPr>
        <w:t xml:space="preserve"> v </w:t>
      </w:r>
      <w:r w:rsidRPr="004F01E9">
        <w:rPr>
          <w:noProof/>
        </w:rPr>
        <w:t>rozsahu práv inštitúcie</w:t>
      </w:r>
      <w:r w:rsidR="004F01E9">
        <w:rPr>
          <w:noProof/>
        </w:rPr>
        <w:t xml:space="preserve"> z </w:t>
      </w:r>
      <w:r w:rsidRPr="004F01E9">
        <w:rPr>
          <w:noProof/>
        </w:rPr>
        <w:t>kolaterálu po čerpaní facility tak, že inštitúcia nemá žiadne právo</w:t>
      </w:r>
      <w:r w:rsidR="004F01E9">
        <w:rPr>
          <w:noProof/>
        </w:rPr>
        <w:t xml:space="preserve"> z </w:t>
      </w:r>
      <w:r w:rsidRPr="004F01E9">
        <w:rPr>
          <w:noProof/>
        </w:rPr>
        <w:t>kolaterálu</w:t>
      </w:r>
      <w:r w:rsidR="004F01E9">
        <w:rPr>
          <w:noProof/>
        </w:rPr>
        <w:t xml:space="preserve"> v </w:t>
      </w:r>
      <w:r w:rsidRPr="004F01E9">
        <w:rPr>
          <w:noProof/>
        </w:rPr>
        <w:t>rozsahu,</w:t>
      </w:r>
      <w:r w:rsidR="004F01E9">
        <w:rPr>
          <w:noProof/>
        </w:rPr>
        <w:t xml:space="preserve"> v </w:t>
      </w:r>
      <w:r w:rsidRPr="004F01E9">
        <w:rPr>
          <w:noProof/>
        </w:rPr>
        <w:t>akom je facilita nevyčerpaná, takýto kolaterál sa môže uznať pre expozíciu vyplývajúcu</w:t>
      </w:r>
      <w:r w:rsidR="004F01E9">
        <w:rPr>
          <w:noProof/>
        </w:rPr>
        <w:t xml:space="preserve"> z </w:t>
      </w:r>
      <w:r w:rsidRPr="004F01E9">
        <w:rPr>
          <w:noProof/>
        </w:rPr>
        <w:t>nevyčerpanej facility.“</w:t>
      </w:r>
    </w:p>
    <w:p w14:paraId="2DB96EDD" w14:textId="5E23FAF5" w:rsidR="005A21FE" w:rsidRPr="004F01E9" w:rsidRDefault="00B16452" w:rsidP="00B16452">
      <w:pPr>
        <w:pStyle w:val="Point0"/>
        <w:rPr>
          <w:noProof/>
        </w:rPr>
      </w:pPr>
      <w:r w:rsidRPr="00B16452">
        <w:rPr>
          <w:noProof/>
        </w:rPr>
        <w:t>97</w:t>
      </w:r>
      <w:r>
        <w:rPr>
          <w:noProof/>
        </w:rPr>
        <w:t>.</w:t>
      </w:r>
      <w:r w:rsidRPr="00B16452">
        <w:rPr>
          <w:noProof/>
        </w:rPr>
        <w:tab/>
      </w:r>
      <w:r w:rsidR="005A21FE" w:rsidRPr="004F01E9">
        <w:rPr>
          <w:noProof/>
        </w:rPr>
        <w:t>V článku 194 sa vypúšťa odsek 10.</w:t>
      </w:r>
    </w:p>
    <w:p w14:paraId="5D355D68" w14:textId="5F3302CE" w:rsidR="00806B81" w:rsidRPr="004F01E9" w:rsidRDefault="00B16452" w:rsidP="00B16452">
      <w:pPr>
        <w:pStyle w:val="Point0"/>
        <w:rPr>
          <w:noProof/>
        </w:rPr>
      </w:pPr>
      <w:r w:rsidRPr="00B16452">
        <w:rPr>
          <w:noProof/>
        </w:rPr>
        <w:t>98</w:t>
      </w:r>
      <w:r>
        <w:rPr>
          <w:noProof/>
        </w:rPr>
        <w:t>.</w:t>
      </w:r>
      <w:r w:rsidRPr="00B16452">
        <w:rPr>
          <w:noProof/>
        </w:rPr>
        <w:tab/>
      </w:r>
      <w:r w:rsidR="009809DD" w:rsidRPr="004F01E9">
        <w:rPr>
          <w:noProof/>
        </w:rPr>
        <w:t>V článku 197 sa odsek 1 mení takto:</w:t>
      </w:r>
    </w:p>
    <w:p w14:paraId="330BB256" w14:textId="0991559C" w:rsidR="00806B81" w:rsidRPr="004F01E9" w:rsidRDefault="009809DD" w:rsidP="009809DD">
      <w:pPr>
        <w:pStyle w:val="Point1"/>
        <w:rPr>
          <w:noProof/>
        </w:rPr>
      </w:pPr>
      <w:r w:rsidRPr="004F01E9">
        <w:rPr>
          <w:noProof/>
        </w:rPr>
        <w:t>a)</w:t>
      </w:r>
      <w:r w:rsidRPr="004F01E9">
        <w:rPr>
          <w:noProof/>
        </w:rPr>
        <w:tab/>
        <w:t>Písmená b) až e) sa nahrádzajú takto:</w:t>
      </w:r>
    </w:p>
    <w:p w14:paraId="631E8493" w14:textId="507BA8E8" w:rsidR="005A21FE" w:rsidRPr="004F01E9" w:rsidRDefault="005A21FE" w:rsidP="009809DD">
      <w:pPr>
        <w:pStyle w:val="Text2"/>
        <w:rPr>
          <w:noProof/>
        </w:rPr>
      </w:pPr>
      <w:r w:rsidRPr="004F01E9">
        <w:rPr>
          <w:noProof/>
        </w:rPr>
        <w:t>„b) dlhové cenné papiere, ktoré spĺňajú všetky tieto podmienky:</w:t>
      </w:r>
    </w:p>
    <w:p w14:paraId="70768826" w14:textId="77777777" w:rsidR="00806B81" w:rsidRPr="004F01E9" w:rsidRDefault="005A21FE" w:rsidP="009809DD">
      <w:pPr>
        <w:pStyle w:val="Point2"/>
        <w:rPr>
          <w:noProof/>
        </w:rPr>
      </w:pPr>
      <w:r w:rsidRPr="004F01E9">
        <w:rPr>
          <w:noProof/>
        </w:rPr>
        <w:t>i)</w:t>
      </w:r>
      <w:r w:rsidRPr="004F01E9">
        <w:rPr>
          <w:noProof/>
        </w:rPr>
        <w:tab/>
        <w:t>dlhové cenné papiere sú emitované ústrednými vládami alebo centrálnymi bankami;</w:t>
      </w:r>
    </w:p>
    <w:p w14:paraId="7F4E869E" w14:textId="6853C341" w:rsidR="005A21FE" w:rsidRPr="004F01E9" w:rsidRDefault="005A21FE" w:rsidP="009809DD">
      <w:pPr>
        <w:pStyle w:val="Point2"/>
        <w:rPr>
          <w:noProof/>
        </w:rPr>
      </w:pPr>
      <w:r w:rsidRPr="004F01E9">
        <w:rPr>
          <w:noProof/>
        </w:rPr>
        <w:t>ii)</w:t>
      </w:r>
      <w:r w:rsidRPr="004F01E9">
        <w:rPr>
          <w:noProof/>
        </w:rPr>
        <w:tab/>
        <w:t>dlhové cenné papiere majú ratingové hodnotenie od ECAI alebo agentúry na podporu exportu, ktoré:</w:t>
      </w:r>
    </w:p>
    <w:p w14:paraId="4FBC20DB" w14:textId="77777777" w:rsidR="00806B81" w:rsidRPr="004F01E9" w:rsidRDefault="005A21FE" w:rsidP="009809DD">
      <w:pPr>
        <w:pStyle w:val="Tiret3"/>
        <w:rPr>
          <w:noProof/>
        </w:rPr>
      </w:pPr>
      <w:r w:rsidRPr="004F01E9">
        <w:rPr>
          <w:noProof/>
        </w:rPr>
        <w:t>bolo uznané za prípustné na účely kapitoly 2;</w:t>
      </w:r>
    </w:p>
    <w:p w14:paraId="4EC00B74" w14:textId="72C101F2" w:rsidR="005A21FE" w:rsidRPr="004F01E9" w:rsidRDefault="005A21FE" w:rsidP="009809DD">
      <w:pPr>
        <w:pStyle w:val="Tiret3"/>
        <w:rPr>
          <w:noProof/>
        </w:rPr>
      </w:pPr>
      <w:r w:rsidRPr="004F01E9">
        <w:rPr>
          <w:noProof/>
        </w:rPr>
        <w:t>bolo určené orgánom EBA za zodpovedajúce stupňu kreditnej kvality 1, 2, 3 alebo 4 podľa pravidiel pre rizikové váženie expozícií voči ústredným vládam</w:t>
      </w:r>
      <w:r w:rsidR="004F01E9">
        <w:rPr>
          <w:noProof/>
        </w:rPr>
        <w:t xml:space="preserve"> a </w:t>
      </w:r>
      <w:r w:rsidRPr="004F01E9">
        <w:rPr>
          <w:noProof/>
        </w:rPr>
        <w:t>centrálnym bankám podľa kapitoly 2;</w:t>
      </w:r>
    </w:p>
    <w:p w14:paraId="38843DE8" w14:textId="77777777" w:rsidR="005A21FE" w:rsidRPr="004F01E9" w:rsidRDefault="005A21FE" w:rsidP="009809DD">
      <w:pPr>
        <w:pStyle w:val="Text2"/>
        <w:rPr>
          <w:noProof/>
        </w:rPr>
      </w:pPr>
      <w:r w:rsidRPr="004F01E9">
        <w:rPr>
          <w:noProof/>
        </w:rPr>
        <w:t>c) dlhové cenné papiere, ktoré spĺňajú všetky tieto podmienky:</w:t>
      </w:r>
    </w:p>
    <w:p w14:paraId="2AEAD022" w14:textId="77777777" w:rsidR="00806B81" w:rsidRPr="004F01E9" w:rsidRDefault="005A21FE" w:rsidP="009809DD">
      <w:pPr>
        <w:pStyle w:val="Point2"/>
        <w:rPr>
          <w:noProof/>
        </w:rPr>
      </w:pPr>
      <w:r w:rsidRPr="004F01E9">
        <w:rPr>
          <w:noProof/>
        </w:rPr>
        <w:t>i)</w:t>
      </w:r>
      <w:r w:rsidRPr="004F01E9">
        <w:rPr>
          <w:noProof/>
        </w:rPr>
        <w:tab/>
        <w:t>tieto dlhové cenné papiere emitujú inštitúcie;</w:t>
      </w:r>
    </w:p>
    <w:p w14:paraId="1BEA43FB" w14:textId="77777777" w:rsidR="00806B81" w:rsidRPr="004F01E9" w:rsidRDefault="005A21FE" w:rsidP="009809DD">
      <w:pPr>
        <w:pStyle w:val="Point2"/>
        <w:rPr>
          <w:noProof/>
        </w:rPr>
      </w:pPr>
      <w:r w:rsidRPr="004F01E9">
        <w:rPr>
          <w:noProof/>
        </w:rPr>
        <w:t>ii)</w:t>
      </w:r>
      <w:r w:rsidRPr="004F01E9">
        <w:rPr>
          <w:noProof/>
        </w:rPr>
        <w:tab/>
        <w:t>tieto dlhové cenné papiere majú ratingové hodnotenie od ECAI, ktoré:</w:t>
      </w:r>
    </w:p>
    <w:p w14:paraId="67F72092" w14:textId="77777777" w:rsidR="00806B81" w:rsidRPr="004F01E9" w:rsidRDefault="005A21FE" w:rsidP="009809DD">
      <w:pPr>
        <w:pStyle w:val="Tiret3"/>
        <w:rPr>
          <w:noProof/>
        </w:rPr>
      </w:pPr>
      <w:r w:rsidRPr="004F01E9">
        <w:rPr>
          <w:noProof/>
        </w:rPr>
        <w:t>bolo uznané za prípustné na účely kapitoly 2;</w:t>
      </w:r>
    </w:p>
    <w:p w14:paraId="53E87041" w14:textId="493DEE98" w:rsidR="005A21FE" w:rsidRPr="004F01E9" w:rsidRDefault="005A21FE" w:rsidP="009809DD">
      <w:pPr>
        <w:pStyle w:val="Tiret3"/>
        <w:rPr>
          <w:noProof/>
        </w:rPr>
      </w:pPr>
      <w:r w:rsidRPr="004F01E9">
        <w:rPr>
          <w:noProof/>
        </w:rPr>
        <w:t>bolo určené orgánom EBA za zodpovedajúce stupňu kreditnej kvality 1, 2 alebo 3 podľa pravidiel pre rizikové váženie expozícií voči podnikateľským subjektom podľa kapitoly 2;</w:t>
      </w:r>
    </w:p>
    <w:p w14:paraId="17275B03" w14:textId="77777777" w:rsidR="005A21FE" w:rsidRPr="004F01E9" w:rsidRDefault="005A21FE" w:rsidP="009809DD">
      <w:pPr>
        <w:pStyle w:val="Text2"/>
        <w:rPr>
          <w:noProof/>
        </w:rPr>
      </w:pPr>
      <w:r w:rsidRPr="004F01E9">
        <w:rPr>
          <w:noProof/>
        </w:rPr>
        <w:t>d) dlhové cenné papiere, ktoré spĺňajú všetky tieto podmienky:</w:t>
      </w:r>
    </w:p>
    <w:p w14:paraId="068002CF" w14:textId="77777777" w:rsidR="00806B81" w:rsidRPr="004F01E9" w:rsidRDefault="005A21FE" w:rsidP="009809DD">
      <w:pPr>
        <w:pStyle w:val="Point2"/>
        <w:rPr>
          <w:noProof/>
        </w:rPr>
      </w:pPr>
      <w:r w:rsidRPr="004F01E9">
        <w:rPr>
          <w:noProof/>
        </w:rPr>
        <w:t>i)</w:t>
      </w:r>
      <w:r w:rsidRPr="004F01E9">
        <w:rPr>
          <w:noProof/>
        </w:rPr>
        <w:tab/>
        <w:t>tieto dlhové cenné papiere emitujú iné subjekty;</w:t>
      </w:r>
    </w:p>
    <w:p w14:paraId="04C2406B" w14:textId="403D30A5" w:rsidR="005A21FE" w:rsidRPr="004F01E9" w:rsidRDefault="005A21FE" w:rsidP="009809DD">
      <w:pPr>
        <w:pStyle w:val="Point2"/>
        <w:rPr>
          <w:noProof/>
        </w:rPr>
      </w:pPr>
      <w:r w:rsidRPr="004F01E9">
        <w:rPr>
          <w:noProof/>
        </w:rPr>
        <w:t>ii)</w:t>
      </w:r>
      <w:r w:rsidRPr="004F01E9">
        <w:rPr>
          <w:noProof/>
        </w:rPr>
        <w:tab/>
        <w:t>tieto dlhové cenné papiere majú ratingové hodnotenie od ECAI, ktoré spĺňa všetky tieto podmienky:</w:t>
      </w:r>
    </w:p>
    <w:p w14:paraId="3731ED2F" w14:textId="77777777" w:rsidR="00806B81" w:rsidRPr="004F01E9" w:rsidRDefault="005A21FE" w:rsidP="009809DD">
      <w:pPr>
        <w:pStyle w:val="Tiret3"/>
        <w:rPr>
          <w:noProof/>
        </w:rPr>
      </w:pPr>
      <w:r w:rsidRPr="004F01E9">
        <w:rPr>
          <w:noProof/>
        </w:rPr>
        <w:t>ECAI bola uznaná za prípustnú na účely kapitoly 2;</w:t>
      </w:r>
    </w:p>
    <w:p w14:paraId="1FA0E3B6" w14:textId="6F1DFA03" w:rsidR="005A21FE" w:rsidRPr="004F01E9" w:rsidRDefault="009809DD" w:rsidP="009809DD">
      <w:pPr>
        <w:pStyle w:val="Tiret3"/>
        <w:rPr>
          <w:noProof/>
        </w:rPr>
      </w:pPr>
      <w:r w:rsidRPr="004F01E9">
        <w:rPr>
          <w:noProof/>
        </w:rPr>
        <w:t>ECAI bola určená orgánom EBA za zodpovedajúcu stupňu kreditnej kvality 1, 2 alebo 3 podľa pravidiel pre rizikové váženie expozícií voči inštitúciám podľa kapitoly 2;</w:t>
      </w:r>
    </w:p>
    <w:p w14:paraId="7A4C81F9" w14:textId="26252977" w:rsidR="005A21FE" w:rsidRPr="004F01E9" w:rsidRDefault="005A21FE" w:rsidP="009809DD">
      <w:pPr>
        <w:pStyle w:val="Text2"/>
        <w:rPr>
          <w:noProof/>
        </w:rPr>
      </w:pPr>
      <w:r w:rsidRPr="004F01E9">
        <w:rPr>
          <w:noProof/>
        </w:rPr>
        <w:t>e)</w:t>
      </w:r>
      <w:r w:rsidRPr="004F01E9">
        <w:rPr>
          <w:noProof/>
        </w:rPr>
        <w:tab/>
        <w:t>dlhové cenné papiere, ktoré majú krátkodobé ratingové hodnotenie od ECAI, ktoré spĺňa všetky tieto podmienky:</w:t>
      </w:r>
    </w:p>
    <w:p w14:paraId="64232AE3" w14:textId="77777777" w:rsidR="005A21FE" w:rsidRPr="004F01E9" w:rsidRDefault="005A21FE" w:rsidP="009809DD">
      <w:pPr>
        <w:pStyle w:val="Point2"/>
        <w:rPr>
          <w:noProof/>
        </w:rPr>
      </w:pPr>
      <w:r w:rsidRPr="004F01E9">
        <w:rPr>
          <w:noProof/>
        </w:rPr>
        <w:t>i)</w:t>
      </w:r>
      <w:r w:rsidRPr="004F01E9">
        <w:rPr>
          <w:noProof/>
        </w:rPr>
        <w:tab/>
        <w:t>ECAI bola uznaná za prípustnú na účely kapitoly 2</w:t>
      </w:r>
    </w:p>
    <w:p w14:paraId="34312301" w14:textId="77777777" w:rsidR="005A21FE" w:rsidRPr="004F01E9" w:rsidRDefault="005A21FE" w:rsidP="009809DD">
      <w:pPr>
        <w:pStyle w:val="Point2"/>
        <w:rPr>
          <w:noProof/>
        </w:rPr>
      </w:pPr>
      <w:r w:rsidRPr="004F01E9">
        <w:rPr>
          <w:noProof/>
        </w:rPr>
        <w:t>a ii)</w:t>
      </w:r>
      <w:r w:rsidRPr="004F01E9">
        <w:rPr>
          <w:noProof/>
        </w:rPr>
        <w:tab/>
        <w:t>ECAI bola určená orgánom EBA za zodpovedajúcu stupňu kreditnej kvality 1, 2 alebo 3 podľa pravidiel pre rizikové váženie krátkodobých expozícií podľa kapitoly 2;“;</w:t>
      </w:r>
    </w:p>
    <w:p w14:paraId="538E39D5" w14:textId="5D2758BA" w:rsidR="00806B81" w:rsidRPr="004F01E9" w:rsidRDefault="009809DD" w:rsidP="009809DD">
      <w:pPr>
        <w:pStyle w:val="Point1"/>
        <w:rPr>
          <w:noProof/>
        </w:rPr>
      </w:pPr>
      <w:r w:rsidRPr="004F01E9">
        <w:rPr>
          <w:noProof/>
        </w:rPr>
        <w:t>b)</w:t>
      </w:r>
      <w:r w:rsidRPr="004F01E9">
        <w:rPr>
          <w:noProof/>
        </w:rPr>
        <w:tab/>
        <w:t>Písmeno g) sa nahrádza takto:</w:t>
      </w:r>
    </w:p>
    <w:p w14:paraId="3759642E" w14:textId="7FCF6CCF" w:rsidR="005A21FE" w:rsidRPr="004F01E9" w:rsidRDefault="005A21FE" w:rsidP="009809DD">
      <w:pPr>
        <w:pStyle w:val="Text2"/>
        <w:rPr>
          <w:noProof/>
        </w:rPr>
      </w:pPr>
      <w:r w:rsidRPr="004F01E9">
        <w:rPr>
          <w:noProof/>
        </w:rPr>
        <w:t>„g)</w:t>
      </w:r>
      <w:r w:rsidRPr="004F01E9">
        <w:rPr>
          <w:noProof/>
        </w:rPr>
        <w:tab/>
        <w:t>zásoby zlata;“.</w:t>
      </w:r>
    </w:p>
    <w:p w14:paraId="7B65146B" w14:textId="7F8DFE08" w:rsidR="005A21FE" w:rsidRPr="004F01E9" w:rsidRDefault="00B16452" w:rsidP="00B16452">
      <w:pPr>
        <w:pStyle w:val="Point0"/>
        <w:rPr>
          <w:noProof/>
        </w:rPr>
      </w:pPr>
      <w:r w:rsidRPr="00B16452">
        <w:rPr>
          <w:noProof/>
        </w:rPr>
        <w:t>99</w:t>
      </w:r>
      <w:r>
        <w:rPr>
          <w:noProof/>
        </w:rPr>
        <w:t>.</w:t>
      </w:r>
      <w:r w:rsidRPr="00B16452">
        <w:rPr>
          <w:noProof/>
        </w:rPr>
        <w:tab/>
      </w:r>
      <w:r w:rsidR="005A21FE" w:rsidRPr="004F01E9">
        <w:rPr>
          <w:noProof/>
        </w:rPr>
        <w:t>Článok 199 sa mení takto:</w:t>
      </w:r>
    </w:p>
    <w:p w14:paraId="054BCCEE" w14:textId="0419E006" w:rsidR="00806B81" w:rsidRPr="004F01E9" w:rsidRDefault="00D317A4" w:rsidP="00D317A4">
      <w:pPr>
        <w:pStyle w:val="Point1"/>
        <w:rPr>
          <w:noProof/>
        </w:rPr>
      </w:pPr>
      <w:r w:rsidRPr="004F01E9">
        <w:rPr>
          <w:noProof/>
        </w:rPr>
        <w:t>a)</w:t>
      </w:r>
      <w:r w:rsidRPr="004F01E9">
        <w:rPr>
          <w:noProof/>
        </w:rPr>
        <w:tab/>
        <w:t>Odsek 2 sa nahrádza takto:</w:t>
      </w:r>
    </w:p>
    <w:p w14:paraId="33F58DEC" w14:textId="555B63D5" w:rsidR="005A21FE" w:rsidRPr="004F01E9" w:rsidRDefault="005A21FE" w:rsidP="005A21FE">
      <w:pPr>
        <w:pStyle w:val="Text2"/>
        <w:rPr>
          <w:noProof/>
        </w:rPr>
      </w:pPr>
      <w:r w:rsidRPr="004F01E9">
        <w:rPr>
          <w:noProof/>
        </w:rPr>
        <w:t>„2. Ak nie je uvedené inak podľa článku 124 ods. 7, inštitúcie môžu použiť ako prípustný kolaterál nehnuteľný majetok určený na bývanie, ktorý užíva alebo bude užívať alebo prenajíma alebo bude prenajímať vlastník alebo konečný vlastník</w:t>
      </w:r>
      <w:r w:rsidR="004F01E9">
        <w:rPr>
          <w:noProof/>
        </w:rPr>
        <w:t xml:space="preserve"> v </w:t>
      </w:r>
      <w:r w:rsidRPr="004F01E9">
        <w:rPr>
          <w:noProof/>
        </w:rPr>
        <w:t>prípade osobných investičných spoločností,</w:t>
      </w:r>
      <w:r w:rsidR="004F01E9">
        <w:rPr>
          <w:noProof/>
        </w:rPr>
        <w:t xml:space="preserve"> a </w:t>
      </w:r>
      <w:r w:rsidRPr="004F01E9">
        <w:rPr>
          <w:noProof/>
        </w:rPr>
        <w:t>nehnuteľný majetok určený na podnikanie vrátane kancelárskych priestorov</w:t>
      </w:r>
      <w:r w:rsidR="004F01E9">
        <w:rPr>
          <w:noProof/>
        </w:rPr>
        <w:t xml:space="preserve"> a </w:t>
      </w:r>
      <w:r w:rsidRPr="004F01E9">
        <w:rPr>
          <w:noProof/>
        </w:rPr>
        <w:t>iných priestorov určených na podnikanie, ak sú splnené obidve tieto podmienky:</w:t>
      </w:r>
    </w:p>
    <w:p w14:paraId="6E52755E" w14:textId="3D89CFD4" w:rsidR="005A21FE" w:rsidRPr="004F01E9" w:rsidRDefault="005A21FE" w:rsidP="005A21FE">
      <w:pPr>
        <w:pStyle w:val="Point2"/>
        <w:rPr>
          <w:noProof/>
        </w:rPr>
      </w:pPr>
      <w:r w:rsidRPr="004F01E9">
        <w:rPr>
          <w:noProof/>
        </w:rPr>
        <w:t>a)</w:t>
      </w:r>
      <w:r w:rsidRPr="004F01E9">
        <w:rPr>
          <w:noProof/>
        </w:rPr>
        <w:tab/>
        <w:t>hodnota nehnuteľného majetku významne nezávisí od kreditnej kvality dlžníka;</w:t>
      </w:r>
    </w:p>
    <w:p w14:paraId="6C6D80CC" w14:textId="796E8203" w:rsidR="005A21FE" w:rsidRPr="004F01E9" w:rsidRDefault="005A21FE" w:rsidP="005A21FE">
      <w:pPr>
        <w:pStyle w:val="Point2"/>
        <w:rPr>
          <w:noProof/>
        </w:rPr>
      </w:pPr>
      <w:r w:rsidRPr="004F01E9">
        <w:rPr>
          <w:noProof/>
        </w:rPr>
        <w:t>b)</w:t>
      </w:r>
      <w:r w:rsidRPr="004F01E9">
        <w:rPr>
          <w:noProof/>
        </w:rPr>
        <w:tab/>
        <w:t>riziko dlžníka významne nezávisí od výkonnosti založeného nehnuteľného majetku alebo projektu, ale od základnej schopnosti dlžníka splácať dlh</w:t>
      </w:r>
      <w:r w:rsidR="004F01E9">
        <w:rPr>
          <w:noProof/>
        </w:rPr>
        <w:t xml:space="preserve"> z </w:t>
      </w:r>
      <w:r w:rsidRPr="004F01E9">
        <w:rPr>
          <w:noProof/>
        </w:rPr>
        <w:t>iných zdrojov,</w:t>
      </w:r>
      <w:r w:rsidR="004F01E9">
        <w:rPr>
          <w:noProof/>
        </w:rPr>
        <w:t xml:space="preserve"> a v </w:t>
      </w:r>
      <w:r w:rsidRPr="004F01E9">
        <w:rPr>
          <w:noProof/>
        </w:rPr>
        <w:t>dôsledku toho splatenie facility nie je významne závislé od žiadneho peňažného toku vytvoreného založeným nehnuteľným majetkom, ktorý slúži ako kolaterál.</w:t>
      </w:r>
    </w:p>
    <w:p w14:paraId="3FF2F072" w14:textId="77777777" w:rsidR="005A21FE" w:rsidRPr="004F01E9" w:rsidRDefault="005A21FE" w:rsidP="005A21FE">
      <w:pPr>
        <w:pStyle w:val="Text2"/>
        <w:rPr>
          <w:noProof/>
        </w:rPr>
      </w:pPr>
      <w:r w:rsidRPr="004F01E9">
        <w:rPr>
          <w:noProof/>
        </w:rPr>
        <w:t>Na účely písmena a) môžu inštitúcie vylúčiť situácie, keď čisto makroekonomické faktory ovplyvňujú tak hodnotu nehnuteľného majetku, ako aj výkonnosť dlžníka. “;</w:t>
      </w:r>
    </w:p>
    <w:p w14:paraId="65FF1343" w14:textId="60012F2D" w:rsidR="005A21FE" w:rsidRPr="004F01E9" w:rsidRDefault="00D317A4" w:rsidP="00D317A4">
      <w:pPr>
        <w:pStyle w:val="Point1"/>
        <w:rPr>
          <w:noProof/>
        </w:rPr>
      </w:pPr>
      <w:r w:rsidRPr="004F01E9">
        <w:rPr>
          <w:noProof/>
        </w:rPr>
        <w:t>b)</w:t>
      </w:r>
      <w:r w:rsidRPr="004F01E9">
        <w:rPr>
          <w:noProof/>
        </w:rPr>
        <w:tab/>
        <w:t>V odseku 3 sa písm. a) nahrádza takto:</w:t>
      </w:r>
    </w:p>
    <w:p w14:paraId="0592E6FB" w14:textId="21A9DB71" w:rsidR="005A21FE" w:rsidRPr="004F01E9" w:rsidRDefault="005A21FE" w:rsidP="00615061">
      <w:pPr>
        <w:pStyle w:val="Text2"/>
        <w:rPr>
          <w:noProof/>
        </w:rPr>
      </w:pPr>
      <w:r w:rsidRPr="004F01E9">
        <w:rPr>
          <w:noProof/>
        </w:rPr>
        <w:t>„a) straty vyplývajúce</w:t>
      </w:r>
      <w:r w:rsidR="004F01E9">
        <w:rPr>
          <w:noProof/>
        </w:rPr>
        <w:t xml:space="preserve"> z </w:t>
      </w:r>
      <w:r w:rsidRPr="004F01E9">
        <w:rPr>
          <w:noProof/>
        </w:rPr>
        <w:t>úverov zabezpečených nehnuteľným majetkom určeným na bývanie do výšky 55</w:t>
      </w:r>
      <w:r w:rsidR="004F01E9">
        <w:rPr>
          <w:noProof/>
        </w:rPr>
        <w:t> %</w:t>
      </w:r>
      <w:r w:rsidRPr="004F01E9">
        <w:rPr>
          <w:noProof/>
        </w:rPr>
        <w:t xml:space="preserve"> hodnoty určenej</w:t>
      </w:r>
      <w:r w:rsidR="004F01E9">
        <w:rPr>
          <w:noProof/>
        </w:rPr>
        <w:t xml:space="preserve"> v </w:t>
      </w:r>
      <w:r w:rsidRPr="004F01E9">
        <w:rPr>
          <w:noProof/>
        </w:rPr>
        <w:t>súlade</w:t>
      </w:r>
      <w:r w:rsidR="004F01E9">
        <w:rPr>
          <w:noProof/>
        </w:rPr>
        <w:t xml:space="preserve"> s </w:t>
      </w:r>
      <w:r w:rsidRPr="004F01E9">
        <w:rPr>
          <w:noProof/>
        </w:rPr>
        <w:t>článkom 229, ak nie je</w:t>
      </w:r>
      <w:r w:rsidR="004F01E9">
        <w:rPr>
          <w:noProof/>
        </w:rPr>
        <w:t xml:space="preserve"> v </w:t>
      </w:r>
      <w:r w:rsidRPr="004F01E9">
        <w:rPr>
          <w:noProof/>
        </w:rPr>
        <w:t>článku 124 ods. 7 stanovené inak, nepresahujú 0,3</w:t>
      </w:r>
      <w:r w:rsidR="004F01E9">
        <w:rPr>
          <w:noProof/>
        </w:rPr>
        <w:t> %</w:t>
      </w:r>
      <w:r w:rsidRPr="004F01E9">
        <w:rPr>
          <w:noProof/>
        </w:rPr>
        <w:t xml:space="preserve"> nesplatených úverov zabezpečených nehnuteľným majetkom určeným na bývanie</w:t>
      </w:r>
      <w:r w:rsidR="004F01E9">
        <w:rPr>
          <w:noProof/>
        </w:rPr>
        <w:t xml:space="preserve"> v </w:t>
      </w:r>
      <w:r w:rsidRPr="004F01E9">
        <w:rPr>
          <w:noProof/>
        </w:rPr>
        <w:t>ktoromkoľvek danom roku;“;</w:t>
      </w:r>
    </w:p>
    <w:p w14:paraId="6FB3E566" w14:textId="6DE6E992" w:rsidR="005A21FE" w:rsidRPr="004F01E9" w:rsidRDefault="00D317A4" w:rsidP="00D317A4">
      <w:pPr>
        <w:pStyle w:val="Point1"/>
        <w:rPr>
          <w:noProof/>
        </w:rPr>
      </w:pPr>
      <w:r w:rsidRPr="004F01E9">
        <w:rPr>
          <w:noProof/>
        </w:rPr>
        <w:t>c)</w:t>
      </w:r>
      <w:r w:rsidRPr="004F01E9">
        <w:rPr>
          <w:noProof/>
        </w:rPr>
        <w:tab/>
        <w:t>V odseku 4 sa písm. a) nahrádza takto:</w:t>
      </w:r>
    </w:p>
    <w:p w14:paraId="63747F6D" w14:textId="68BBD095" w:rsidR="005A21FE" w:rsidRPr="004F01E9" w:rsidRDefault="005A21FE" w:rsidP="00615061">
      <w:pPr>
        <w:pStyle w:val="Text2"/>
        <w:rPr>
          <w:noProof/>
        </w:rPr>
      </w:pPr>
      <w:r w:rsidRPr="004F01E9">
        <w:rPr>
          <w:noProof/>
        </w:rPr>
        <w:t>„a) straty vyplývajúce</w:t>
      </w:r>
      <w:r w:rsidR="004F01E9">
        <w:rPr>
          <w:noProof/>
        </w:rPr>
        <w:t xml:space="preserve"> z </w:t>
      </w:r>
      <w:r w:rsidRPr="004F01E9">
        <w:rPr>
          <w:noProof/>
        </w:rPr>
        <w:t>úverov zabezpečených nehnuteľným majetkom určeným na podnikanie do výšky 55</w:t>
      </w:r>
      <w:r w:rsidR="004F01E9">
        <w:rPr>
          <w:noProof/>
        </w:rPr>
        <w:t> %</w:t>
      </w:r>
      <w:r w:rsidRPr="004F01E9">
        <w:rPr>
          <w:noProof/>
        </w:rPr>
        <w:t xml:space="preserve"> hodnoty určenej</w:t>
      </w:r>
      <w:r w:rsidR="004F01E9">
        <w:rPr>
          <w:noProof/>
        </w:rPr>
        <w:t xml:space="preserve"> v </w:t>
      </w:r>
      <w:r w:rsidRPr="004F01E9">
        <w:rPr>
          <w:noProof/>
        </w:rPr>
        <w:t>súlade</w:t>
      </w:r>
      <w:r w:rsidR="004F01E9">
        <w:rPr>
          <w:noProof/>
        </w:rPr>
        <w:t xml:space="preserve"> s </w:t>
      </w:r>
      <w:r w:rsidRPr="004F01E9">
        <w:rPr>
          <w:noProof/>
        </w:rPr>
        <w:t>článkom 229, ak nie je</w:t>
      </w:r>
      <w:r w:rsidR="004F01E9">
        <w:rPr>
          <w:noProof/>
        </w:rPr>
        <w:t xml:space="preserve"> v </w:t>
      </w:r>
      <w:r w:rsidRPr="004F01E9">
        <w:rPr>
          <w:noProof/>
        </w:rPr>
        <w:t>článku 124 ods. 7 stanovené inak, nepresahujú 0,3</w:t>
      </w:r>
      <w:r w:rsidR="004F01E9">
        <w:rPr>
          <w:noProof/>
        </w:rPr>
        <w:t> %</w:t>
      </w:r>
      <w:r w:rsidRPr="004F01E9">
        <w:rPr>
          <w:noProof/>
        </w:rPr>
        <w:t xml:space="preserve"> nesplatených úverov zabezpečených nehnuteľným majetkom určeným na podnikanie</w:t>
      </w:r>
      <w:r w:rsidR="004F01E9">
        <w:rPr>
          <w:noProof/>
        </w:rPr>
        <w:t xml:space="preserve"> v </w:t>
      </w:r>
      <w:r w:rsidRPr="004F01E9">
        <w:rPr>
          <w:noProof/>
        </w:rPr>
        <w:t>ktoromkoľvek danom roku;“;</w:t>
      </w:r>
    </w:p>
    <w:p w14:paraId="07495EBB" w14:textId="587629F4" w:rsidR="005A21FE" w:rsidRPr="004F01E9" w:rsidRDefault="00D317A4" w:rsidP="00D317A4">
      <w:pPr>
        <w:pStyle w:val="Point1"/>
        <w:rPr>
          <w:noProof/>
        </w:rPr>
      </w:pPr>
      <w:r w:rsidRPr="004F01E9">
        <w:rPr>
          <w:noProof/>
        </w:rPr>
        <w:t>d)</w:t>
      </w:r>
      <w:r w:rsidRPr="004F01E9">
        <w:rPr>
          <w:noProof/>
        </w:rPr>
        <w:tab/>
        <w:t>V odseku 5 sa dopĺňa tento pododsek:</w:t>
      </w:r>
    </w:p>
    <w:p w14:paraId="24C3CF27" w14:textId="351ABD5F" w:rsidR="005A21FE" w:rsidRPr="004F01E9" w:rsidRDefault="005A21FE" w:rsidP="005A21FE">
      <w:pPr>
        <w:pStyle w:val="Text2"/>
        <w:rPr>
          <w:noProof/>
        </w:rPr>
      </w:pPr>
      <w:r w:rsidRPr="004F01E9">
        <w:rPr>
          <w:noProof/>
        </w:rPr>
        <w:t>„Ak verejná rozvojová úverová inštitúcia</w:t>
      </w:r>
      <w:r w:rsidR="004F01E9">
        <w:rPr>
          <w:noProof/>
        </w:rPr>
        <w:t xml:space="preserve"> v </w:t>
      </w:r>
      <w:r w:rsidRPr="004F01E9">
        <w:rPr>
          <w:noProof/>
        </w:rPr>
        <w:t>zmysle vymedzenia</w:t>
      </w:r>
      <w:r w:rsidR="004F01E9">
        <w:rPr>
          <w:noProof/>
        </w:rPr>
        <w:t xml:space="preserve"> v </w:t>
      </w:r>
      <w:r w:rsidRPr="004F01E9">
        <w:rPr>
          <w:noProof/>
        </w:rPr>
        <w:t>článku 429a ods. 2 emituje podporný úver</w:t>
      </w:r>
      <w:r w:rsidR="004F01E9">
        <w:rPr>
          <w:noProof/>
        </w:rPr>
        <w:t xml:space="preserve"> v </w:t>
      </w:r>
      <w:r w:rsidRPr="004F01E9">
        <w:rPr>
          <w:noProof/>
        </w:rPr>
        <w:t>zmysle vymedzenia</w:t>
      </w:r>
      <w:r w:rsidR="004F01E9">
        <w:rPr>
          <w:noProof/>
        </w:rPr>
        <w:t xml:space="preserve"> v </w:t>
      </w:r>
      <w:r w:rsidRPr="004F01E9">
        <w:rPr>
          <w:noProof/>
        </w:rPr>
        <w:t>článku 429a ods. 3 inej inštitúcii alebo finančnej inštitúcii, ktorá je oprávnená vykonávať činnosti uvedené</w:t>
      </w:r>
      <w:r w:rsidR="004F01E9">
        <w:rPr>
          <w:noProof/>
        </w:rPr>
        <w:t xml:space="preserve"> v </w:t>
      </w:r>
      <w:r w:rsidRPr="004F01E9">
        <w:rPr>
          <w:noProof/>
        </w:rPr>
        <w:t>bodoch 2 alebo 3 prílohy I</w:t>
      </w:r>
      <w:r w:rsidR="004F01E9">
        <w:rPr>
          <w:noProof/>
        </w:rPr>
        <w:t xml:space="preserve"> k </w:t>
      </w:r>
      <w:r w:rsidRPr="004F01E9">
        <w:rPr>
          <w:noProof/>
        </w:rPr>
        <w:t>smernici 2013/36/EÚ</w:t>
      </w:r>
      <w:r w:rsidR="004F01E9">
        <w:rPr>
          <w:noProof/>
        </w:rPr>
        <w:t xml:space="preserve"> a </w:t>
      </w:r>
      <w:r w:rsidRPr="004F01E9">
        <w:rPr>
          <w:noProof/>
        </w:rPr>
        <w:t>ktorá spĺňa podmienky podľa článku 119 ods. 5 tohto nariadenia,</w:t>
      </w:r>
      <w:r w:rsidR="004F01E9">
        <w:rPr>
          <w:noProof/>
        </w:rPr>
        <w:t xml:space="preserve"> a </w:t>
      </w:r>
      <w:r w:rsidRPr="004F01E9">
        <w:rPr>
          <w:noProof/>
        </w:rPr>
        <w:t>ak táto iná inštitúcia alebo finančná inštitúcia priamo alebo nepriamo prenesie uvedený podporný úver na konečného dlžníka</w:t>
      </w:r>
      <w:r w:rsidR="004F01E9">
        <w:rPr>
          <w:noProof/>
        </w:rPr>
        <w:t xml:space="preserve"> a </w:t>
      </w:r>
      <w:r w:rsidRPr="004F01E9">
        <w:rPr>
          <w:noProof/>
        </w:rPr>
        <w:t>postúpi pohľadávku</w:t>
      </w:r>
      <w:r w:rsidR="004F01E9">
        <w:rPr>
          <w:noProof/>
        </w:rPr>
        <w:t xml:space="preserve"> z </w:t>
      </w:r>
      <w:r w:rsidRPr="004F01E9">
        <w:rPr>
          <w:noProof/>
        </w:rPr>
        <w:t>podporného úveru ako kolaterál verejnej rozvojovej úverovej inštitúcii, verejná rozvojová úverová inštitúcia môže postúpenú pohľadávku použiť ako prípustný kolaterál bez ohľadu na pôvodnú splatnosť postúpenej pohľadávky.“;</w:t>
      </w:r>
    </w:p>
    <w:p w14:paraId="06EECCE2" w14:textId="3806E5B2" w:rsidR="005A21FE" w:rsidRPr="004F01E9" w:rsidRDefault="00D317A4" w:rsidP="00D317A4">
      <w:pPr>
        <w:pStyle w:val="Point1"/>
        <w:rPr>
          <w:noProof/>
        </w:rPr>
      </w:pPr>
      <w:r w:rsidRPr="004F01E9">
        <w:rPr>
          <w:noProof/>
        </w:rPr>
        <w:t>e)</w:t>
      </w:r>
      <w:r w:rsidRPr="004F01E9">
        <w:rPr>
          <w:noProof/>
        </w:rPr>
        <w:tab/>
        <w:t>V odseku 6 prvom pododseku sa písmeno d) nahrádza takto:</w:t>
      </w:r>
    </w:p>
    <w:p w14:paraId="1236B90B" w14:textId="0191EA2F" w:rsidR="005A21FE" w:rsidRPr="004F01E9" w:rsidRDefault="005A21FE" w:rsidP="00D317A4">
      <w:pPr>
        <w:pStyle w:val="Text2"/>
        <w:rPr>
          <w:noProof/>
        </w:rPr>
      </w:pPr>
      <w:r w:rsidRPr="004F01E9">
        <w:rPr>
          <w:noProof/>
        </w:rPr>
        <w:t>„d) inštitúcia preukáže, že aspoň</w:t>
      </w:r>
      <w:r w:rsidR="004F01E9">
        <w:rPr>
          <w:noProof/>
        </w:rPr>
        <w:t xml:space="preserve"> v </w:t>
      </w:r>
      <w:r w:rsidRPr="004F01E9">
        <w:rPr>
          <w:noProof/>
        </w:rPr>
        <w:t>90</w:t>
      </w:r>
      <w:r w:rsidR="004F01E9">
        <w:rPr>
          <w:noProof/>
        </w:rPr>
        <w:t> %</w:t>
      </w:r>
      <w:r w:rsidRPr="004F01E9">
        <w:rPr>
          <w:noProof/>
        </w:rPr>
        <w:t xml:space="preserve"> všetkých likvidácií pre daný druh kolaterálu nie sú realizované výnosy</w:t>
      </w:r>
      <w:r w:rsidR="004F01E9">
        <w:rPr>
          <w:noProof/>
        </w:rPr>
        <w:t xml:space="preserve"> z </w:t>
      </w:r>
      <w:r w:rsidRPr="004F01E9">
        <w:rPr>
          <w:noProof/>
        </w:rPr>
        <w:t>kolaterálu nižšie ako 70</w:t>
      </w:r>
      <w:r w:rsidR="004F01E9">
        <w:rPr>
          <w:noProof/>
        </w:rPr>
        <w:t> %</w:t>
      </w:r>
      <w:r w:rsidRPr="004F01E9">
        <w:rPr>
          <w:noProof/>
        </w:rPr>
        <w:t xml:space="preserve"> hodnoty kolaterálu. Ak existuje podstatná volatilita trhových cien, inštitúcia preukáže</w:t>
      </w:r>
      <w:r w:rsidR="004F01E9">
        <w:rPr>
          <w:noProof/>
        </w:rPr>
        <w:t xml:space="preserve"> k </w:t>
      </w:r>
      <w:r w:rsidRPr="004F01E9">
        <w:rPr>
          <w:noProof/>
        </w:rPr>
        <w:t>spokojnosti príslušných orgánov, že jej ocenenie kolaterálu je dostatočne konzervatívne.“</w:t>
      </w:r>
    </w:p>
    <w:p w14:paraId="30F87E8B" w14:textId="2AB6FD7D" w:rsidR="00806B81" w:rsidRPr="004F01E9" w:rsidRDefault="00B16452" w:rsidP="00B16452">
      <w:pPr>
        <w:pStyle w:val="Point0"/>
        <w:rPr>
          <w:noProof/>
        </w:rPr>
      </w:pPr>
      <w:r w:rsidRPr="00B16452">
        <w:rPr>
          <w:noProof/>
        </w:rPr>
        <w:t>100</w:t>
      </w:r>
      <w:r>
        <w:rPr>
          <w:noProof/>
        </w:rPr>
        <w:t>.</w:t>
      </w:r>
      <w:r w:rsidRPr="00B16452">
        <w:rPr>
          <w:noProof/>
        </w:rPr>
        <w:tab/>
      </w:r>
      <w:r w:rsidR="005A21FE" w:rsidRPr="004F01E9">
        <w:rPr>
          <w:noProof/>
        </w:rPr>
        <w:t>Článok 201 sa mení takto:</w:t>
      </w:r>
    </w:p>
    <w:p w14:paraId="4E6A6359" w14:textId="28C524D8" w:rsidR="005A21FE" w:rsidRPr="004F01E9" w:rsidRDefault="00D317A4" w:rsidP="00D317A4">
      <w:pPr>
        <w:pStyle w:val="Point1"/>
        <w:rPr>
          <w:noProof/>
        </w:rPr>
      </w:pPr>
      <w:r w:rsidRPr="004F01E9">
        <w:rPr>
          <w:noProof/>
        </w:rPr>
        <w:t>a)</w:t>
      </w:r>
      <w:r w:rsidRPr="004F01E9">
        <w:rPr>
          <w:noProof/>
        </w:rPr>
        <w:tab/>
        <w:t>Odsek 1 sa mení takto:</w:t>
      </w:r>
    </w:p>
    <w:p w14:paraId="14026927" w14:textId="6C0D327C" w:rsidR="00806B81" w:rsidRPr="004F01E9" w:rsidRDefault="00D317A4" w:rsidP="005A21FE">
      <w:pPr>
        <w:pStyle w:val="Point2"/>
        <w:rPr>
          <w:noProof/>
        </w:rPr>
      </w:pPr>
      <w:r w:rsidRPr="004F01E9">
        <w:rPr>
          <w:noProof/>
        </w:rPr>
        <w:t>i)</w:t>
      </w:r>
      <w:r w:rsidRPr="004F01E9">
        <w:rPr>
          <w:noProof/>
        </w:rPr>
        <w:tab/>
        <w:t>Písmeno d) sa nahrádza takto:</w:t>
      </w:r>
    </w:p>
    <w:p w14:paraId="516F47FB" w14:textId="6D52D62F" w:rsidR="005A21FE" w:rsidRPr="004F01E9" w:rsidRDefault="005A21FE" w:rsidP="00566215">
      <w:pPr>
        <w:pStyle w:val="Text3"/>
        <w:rPr>
          <w:noProof/>
        </w:rPr>
      </w:pPr>
      <w:r w:rsidRPr="004F01E9">
        <w:rPr>
          <w:noProof/>
        </w:rPr>
        <w:t>„d)</w:t>
      </w:r>
      <w:r w:rsidRPr="004F01E9">
        <w:rPr>
          <w:noProof/>
        </w:rPr>
        <w:tab/>
        <w:t>medzinárodné organizácie, ktorým je</w:t>
      </w:r>
      <w:r w:rsidR="004F01E9">
        <w:rPr>
          <w:noProof/>
        </w:rPr>
        <w:t xml:space="preserve"> v </w:t>
      </w:r>
      <w:r w:rsidRPr="004F01E9">
        <w:rPr>
          <w:noProof/>
        </w:rPr>
        <w:t>súlade</w:t>
      </w:r>
      <w:r w:rsidR="004F01E9">
        <w:rPr>
          <w:noProof/>
        </w:rPr>
        <w:t xml:space="preserve"> s </w:t>
      </w:r>
      <w:r w:rsidRPr="004F01E9">
        <w:rPr>
          <w:noProof/>
        </w:rPr>
        <w:t>článkom 118 priradená 0</w:t>
      </w:r>
      <w:r w:rsidR="004F01E9">
        <w:rPr>
          <w:noProof/>
        </w:rPr>
        <w:t> %</w:t>
      </w:r>
      <w:r w:rsidRPr="004F01E9">
        <w:rPr>
          <w:noProof/>
        </w:rPr>
        <w:t xml:space="preserve"> riziková váha;“;</w:t>
      </w:r>
    </w:p>
    <w:p w14:paraId="352953B5" w14:textId="3D6C2C91" w:rsidR="005A21FE" w:rsidRPr="004F01E9" w:rsidRDefault="00566215" w:rsidP="005A21FE">
      <w:pPr>
        <w:pStyle w:val="Point2"/>
        <w:rPr>
          <w:noProof/>
        </w:rPr>
      </w:pPr>
      <w:r w:rsidRPr="004F01E9">
        <w:rPr>
          <w:noProof/>
        </w:rPr>
        <w:t>ii)</w:t>
      </w:r>
      <w:r w:rsidRPr="004F01E9">
        <w:rPr>
          <w:noProof/>
        </w:rPr>
        <w:tab/>
        <w:t>Vkladá sa toto písmeno fa):</w:t>
      </w:r>
    </w:p>
    <w:p w14:paraId="0D7D1356" w14:textId="737E4E33" w:rsidR="005A21FE" w:rsidRPr="004F01E9" w:rsidRDefault="005A21FE" w:rsidP="00566215">
      <w:pPr>
        <w:pStyle w:val="Text3"/>
        <w:rPr>
          <w:noProof/>
        </w:rPr>
      </w:pPr>
      <w:r w:rsidRPr="004F01E9">
        <w:rPr>
          <w:noProof/>
        </w:rPr>
        <w:t>„fa) regulované subjekty finančného sektora;“;</w:t>
      </w:r>
    </w:p>
    <w:p w14:paraId="125B6FC9" w14:textId="0BCDEFAF" w:rsidR="005A21FE" w:rsidRPr="004F01E9" w:rsidRDefault="00566215" w:rsidP="005A21FE">
      <w:pPr>
        <w:pStyle w:val="Point2"/>
        <w:rPr>
          <w:noProof/>
        </w:rPr>
      </w:pPr>
      <w:r w:rsidRPr="004F01E9">
        <w:rPr>
          <w:noProof/>
        </w:rPr>
        <w:t>iii)</w:t>
      </w:r>
      <w:r w:rsidRPr="004F01E9">
        <w:rPr>
          <w:noProof/>
        </w:rPr>
        <w:tab/>
        <w:t>Písmeno g) sa nahrádza takto:</w:t>
      </w:r>
    </w:p>
    <w:p w14:paraId="58DC2592" w14:textId="77777777" w:rsidR="005A21FE" w:rsidRPr="004F01E9" w:rsidRDefault="005A21FE" w:rsidP="00566215">
      <w:pPr>
        <w:pStyle w:val="Text3"/>
        <w:rPr>
          <w:noProof/>
        </w:rPr>
      </w:pPr>
      <w:r w:rsidRPr="004F01E9">
        <w:rPr>
          <w:noProof/>
        </w:rPr>
        <w:t>„g) ak sa kreditné zabezpečenie neposkytuje na sekuritizačnú expozíciu, iné podniky, ktoré majú ratingové hodnotenie od ECAI, vrátane materských spoločností, dcérskych spoločností alebo pridružených subjektov dlžníka, ak tieto materské spoločnosti, dcérske podniky alebo pridružené subjekty majú nižšiu rizikovú váhu než dlžník;“;</w:t>
      </w:r>
    </w:p>
    <w:p w14:paraId="109A2AAF" w14:textId="5C2C9741" w:rsidR="005A21FE" w:rsidRPr="004F01E9" w:rsidRDefault="00566215" w:rsidP="005A21FE">
      <w:pPr>
        <w:pStyle w:val="Point2"/>
        <w:rPr>
          <w:noProof/>
        </w:rPr>
      </w:pPr>
      <w:r w:rsidRPr="004F01E9">
        <w:rPr>
          <w:noProof/>
        </w:rPr>
        <w:t>iv)</w:t>
      </w:r>
      <w:r w:rsidRPr="004F01E9">
        <w:rPr>
          <w:noProof/>
        </w:rPr>
        <w:tab/>
        <w:t>Vkladá sa tento bod ga):</w:t>
      </w:r>
    </w:p>
    <w:p w14:paraId="05642A7C" w14:textId="43C68365" w:rsidR="005A21FE" w:rsidRPr="004F01E9" w:rsidRDefault="005A21FE" w:rsidP="00566215">
      <w:pPr>
        <w:pStyle w:val="Text3"/>
        <w:rPr>
          <w:noProof/>
        </w:rPr>
      </w:pPr>
      <w:r w:rsidRPr="004F01E9">
        <w:rPr>
          <w:noProof/>
        </w:rPr>
        <w:t>„ga) ak sa kreditné zabezpečenie poskytuje na sekuritizačnú expozíciu, iné podniky, ktoré majú ratingové hodnotenie od ECAI zodpovedajúce stupňu kreditnej kvality 1, 2 alebo 3</w:t>
      </w:r>
      <w:r w:rsidR="004F01E9">
        <w:rPr>
          <w:noProof/>
        </w:rPr>
        <w:t xml:space="preserve"> a </w:t>
      </w:r>
      <w:r w:rsidRPr="004F01E9">
        <w:rPr>
          <w:noProof/>
        </w:rPr>
        <w:t>ktoré mali</w:t>
      </w:r>
      <w:r w:rsidR="004F01E9">
        <w:rPr>
          <w:noProof/>
        </w:rPr>
        <w:t xml:space="preserve"> v </w:t>
      </w:r>
      <w:r w:rsidRPr="004F01E9">
        <w:rPr>
          <w:noProof/>
        </w:rPr>
        <w:t>čase poskytnutia kreditného zabezpečenia ratingové hodnotenie zodpovedajúce stupňu kreditnej kvality 1 alebo 2, vrátane materských spoločností, dcérskych spoločností</w:t>
      </w:r>
      <w:r w:rsidR="004F01E9">
        <w:rPr>
          <w:noProof/>
        </w:rPr>
        <w:t xml:space="preserve"> a </w:t>
      </w:r>
      <w:r w:rsidRPr="004F01E9">
        <w:rPr>
          <w:noProof/>
        </w:rPr>
        <w:t>pridružených subjektov dlžníka, ak tieto materské spoločnosti, dcérske spoločnosti alebo pridružené subjekty majú nižšiu rizikovú váhu než dlžník;“;</w:t>
      </w:r>
    </w:p>
    <w:p w14:paraId="6EBE7F48" w14:textId="664353D2" w:rsidR="005A21FE" w:rsidRPr="004F01E9" w:rsidRDefault="00566215" w:rsidP="005A21FE">
      <w:pPr>
        <w:pStyle w:val="Point2"/>
        <w:rPr>
          <w:noProof/>
        </w:rPr>
      </w:pPr>
      <w:r w:rsidRPr="004F01E9">
        <w:rPr>
          <w:noProof/>
        </w:rPr>
        <w:t>v)</w:t>
      </w:r>
      <w:r w:rsidRPr="004F01E9">
        <w:rPr>
          <w:noProof/>
        </w:rPr>
        <w:tab/>
        <w:t>Dopĺňa sa tento pododsek:</w:t>
      </w:r>
    </w:p>
    <w:p w14:paraId="1D25DBC1" w14:textId="35CF2A2A" w:rsidR="005A21FE" w:rsidRPr="004F01E9" w:rsidRDefault="005A21FE" w:rsidP="00566215">
      <w:pPr>
        <w:pStyle w:val="Text3"/>
        <w:rPr>
          <w:noProof/>
        </w:rPr>
      </w:pPr>
      <w:r w:rsidRPr="004F01E9">
        <w:rPr>
          <w:noProof/>
        </w:rPr>
        <w:t>„Na účely písmena fa) je „regulovaný subjekt finančného sektora“ subjekt finančného sektora, ktorý spĺňa podmienku uvedenú</w:t>
      </w:r>
      <w:r w:rsidR="004F01E9">
        <w:rPr>
          <w:noProof/>
        </w:rPr>
        <w:t xml:space="preserve"> v </w:t>
      </w:r>
      <w:r w:rsidRPr="004F01E9">
        <w:rPr>
          <w:noProof/>
        </w:rPr>
        <w:t>článku 142 ods. 1 bode 4 písm. b).“;</w:t>
      </w:r>
    </w:p>
    <w:p w14:paraId="4D1A30D0" w14:textId="216839FA" w:rsidR="00806B81" w:rsidRPr="004F01E9" w:rsidRDefault="00D317A4" w:rsidP="00D317A4">
      <w:pPr>
        <w:pStyle w:val="Point1"/>
        <w:rPr>
          <w:noProof/>
        </w:rPr>
      </w:pPr>
      <w:r w:rsidRPr="004F01E9">
        <w:rPr>
          <w:noProof/>
        </w:rPr>
        <w:t>b)</w:t>
      </w:r>
      <w:r w:rsidRPr="004F01E9">
        <w:rPr>
          <w:noProof/>
        </w:rPr>
        <w:tab/>
        <w:t>Odsek 2 sa nahrádza takto:</w:t>
      </w:r>
    </w:p>
    <w:p w14:paraId="61D9A1CD" w14:textId="38D04226" w:rsidR="005A21FE" w:rsidRPr="004F01E9" w:rsidRDefault="005A21FE" w:rsidP="005A21FE">
      <w:pPr>
        <w:pStyle w:val="Text2"/>
        <w:rPr>
          <w:noProof/>
        </w:rPr>
      </w:pPr>
      <w:r w:rsidRPr="004F01E9">
        <w:rPr>
          <w:noProof/>
        </w:rPr>
        <w:t>„2. Popri poskytovateľoch zabezpečenia uvedených</w:t>
      </w:r>
      <w:r w:rsidR="004F01E9">
        <w:rPr>
          <w:noProof/>
        </w:rPr>
        <w:t xml:space="preserve"> v </w:t>
      </w:r>
      <w:r w:rsidRPr="004F01E9">
        <w:rPr>
          <w:noProof/>
        </w:rPr>
        <w:t>odseku 1 sú podnikateľské subjekty, ktoré sú interne hodnotené inštitúciou</w:t>
      </w:r>
      <w:r w:rsidR="004F01E9">
        <w:rPr>
          <w:noProof/>
        </w:rPr>
        <w:t xml:space="preserve"> v </w:t>
      </w:r>
      <w:r w:rsidRPr="004F01E9">
        <w:rPr>
          <w:noProof/>
        </w:rPr>
        <w:t>súlade</w:t>
      </w:r>
      <w:r w:rsidR="004F01E9">
        <w:rPr>
          <w:noProof/>
        </w:rPr>
        <w:t xml:space="preserve"> s </w:t>
      </w:r>
      <w:r w:rsidRPr="004F01E9">
        <w:rPr>
          <w:noProof/>
        </w:rPr>
        <w:t>kapitolou 3 oddielom 6, prípustnými poskytovateľmi zabezpečenia, pokiaľ ide</w:t>
      </w:r>
      <w:r w:rsidR="004F01E9">
        <w:rPr>
          <w:noProof/>
        </w:rPr>
        <w:t xml:space="preserve"> o </w:t>
      </w:r>
      <w:r w:rsidRPr="004F01E9">
        <w:rPr>
          <w:noProof/>
        </w:rPr>
        <w:t>nefinancované kreditné zabezpečenie, ak inštitúcia zaobchádza</w:t>
      </w:r>
      <w:r w:rsidR="004F01E9">
        <w:rPr>
          <w:noProof/>
        </w:rPr>
        <w:t xml:space="preserve"> s </w:t>
      </w:r>
      <w:r w:rsidRPr="004F01E9">
        <w:rPr>
          <w:noProof/>
        </w:rPr>
        <w:t>týmito podnikateľskými subjektmi podľa prístupu IRB.“</w:t>
      </w:r>
    </w:p>
    <w:p w14:paraId="05ACD174" w14:textId="0EB1ACDF" w:rsidR="00806B81" w:rsidRPr="004F01E9" w:rsidRDefault="00B16452" w:rsidP="00B16452">
      <w:pPr>
        <w:pStyle w:val="Point0"/>
        <w:rPr>
          <w:noProof/>
        </w:rPr>
      </w:pPr>
      <w:r w:rsidRPr="00B16452">
        <w:rPr>
          <w:noProof/>
        </w:rPr>
        <w:t>101</w:t>
      </w:r>
      <w:r>
        <w:rPr>
          <w:noProof/>
        </w:rPr>
        <w:t>.</w:t>
      </w:r>
      <w:r w:rsidRPr="00B16452">
        <w:rPr>
          <w:noProof/>
        </w:rPr>
        <w:tab/>
      </w:r>
      <w:r w:rsidR="005A21FE" w:rsidRPr="004F01E9">
        <w:rPr>
          <w:noProof/>
        </w:rPr>
        <w:t>Článok 202 sa vypúšťa.</w:t>
      </w:r>
    </w:p>
    <w:p w14:paraId="12A56719" w14:textId="1704A73D" w:rsidR="005A21FE" w:rsidRPr="004F01E9" w:rsidRDefault="00B16452" w:rsidP="00B16452">
      <w:pPr>
        <w:pStyle w:val="Point0"/>
        <w:rPr>
          <w:noProof/>
        </w:rPr>
      </w:pPr>
      <w:r w:rsidRPr="00B16452">
        <w:rPr>
          <w:noProof/>
        </w:rPr>
        <w:t>102</w:t>
      </w:r>
      <w:r>
        <w:rPr>
          <w:noProof/>
        </w:rPr>
        <w:t>.</w:t>
      </w:r>
      <w:r w:rsidRPr="00B16452">
        <w:rPr>
          <w:noProof/>
        </w:rPr>
        <w:tab/>
      </w:r>
      <w:r w:rsidR="005A21FE" w:rsidRPr="004F01E9">
        <w:rPr>
          <w:noProof/>
        </w:rPr>
        <w:t>V článku 204 sa dopĺňa tento odsek 3:</w:t>
      </w:r>
    </w:p>
    <w:p w14:paraId="3C5B9DFA" w14:textId="1E10FC8A" w:rsidR="00806B81" w:rsidRPr="004F01E9" w:rsidRDefault="005A21FE" w:rsidP="005A21FE">
      <w:pPr>
        <w:pStyle w:val="Text1"/>
        <w:rPr>
          <w:noProof/>
        </w:rPr>
      </w:pPr>
      <w:r w:rsidRPr="004F01E9">
        <w:rPr>
          <w:noProof/>
        </w:rPr>
        <w:t>„3. Kreditné deriváty pre prvé zlyhanie</w:t>
      </w:r>
      <w:r w:rsidR="004F01E9">
        <w:rPr>
          <w:noProof/>
        </w:rPr>
        <w:t xml:space="preserve"> a </w:t>
      </w:r>
      <w:r w:rsidRPr="004F01E9">
        <w:rPr>
          <w:noProof/>
        </w:rPr>
        <w:t>všetky ostatné kreditné deriváty pre n-té zlyhanie nie sú prípustnými formami nefinancovaného kreditného zabezpečenia podľa tejto kapitoly.</w:t>
      </w:r>
    </w:p>
    <w:p w14:paraId="7A2191EE" w14:textId="0FD07F96" w:rsidR="005A21FE" w:rsidRPr="004F01E9" w:rsidRDefault="005A21FE" w:rsidP="005A21FE">
      <w:pPr>
        <w:pStyle w:val="Text1"/>
        <w:rPr>
          <w:noProof/>
        </w:rPr>
      </w:pPr>
      <w:r w:rsidRPr="004F01E9">
        <w:rPr>
          <w:noProof/>
        </w:rPr>
        <w:t>Hodnoty rizikovo vážených expozícií sa vypočítavajú pre kreditné deriváty pre prvé zlyhanie. Na tento účel sa rizikové váhy podkladových aktív zahrnutých do koša agregujú až do maximálnej výšky 1 250</w:t>
      </w:r>
      <w:r w:rsidR="004F01E9">
        <w:rPr>
          <w:noProof/>
        </w:rPr>
        <w:t> % a </w:t>
      </w:r>
      <w:r w:rsidRPr="004F01E9">
        <w:rPr>
          <w:noProof/>
        </w:rPr>
        <w:t>vynásobia sa nominálnou hodnotou zabezpečenia poskytnutého kreditným derivátom</w:t>
      </w:r>
      <w:r w:rsidR="004F01E9">
        <w:rPr>
          <w:noProof/>
        </w:rPr>
        <w:t xml:space="preserve"> s </w:t>
      </w:r>
      <w:r w:rsidRPr="004F01E9">
        <w:rPr>
          <w:noProof/>
        </w:rPr>
        <w:t>cieľom získať hodnotu rizikovo váženej expozície pre expozíciu súvisiacu</w:t>
      </w:r>
      <w:r w:rsidR="004F01E9">
        <w:rPr>
          <w:noProof/>
        </w:rPr>
        <w:t xml:space="preserve"> s </w:t>
      </w:r>
      <w:r w:rsidRPr="004F01E9">
        <w:rPr>
          <w:noProof/>
        </w:rPr>
        <w:t>daným derivátom.</w:t>
      </w:r>
    </w:p>
    <w:p w14:paraId="74E84D2C" w14:textId="13C2B4A4" w:rsidR="005A21FE" w:rsidRPr="004F01E9" w:rsidRDefault="005A21FE" w:rsidP="005A21FE">
      <w:pPr>
        <w:pStyle w:val="Text1"/>
        <w:rPr>
          <w:noProof/>
        </w:rPr>
      </w:pPr>
      <w:r w:rsidRPr="004F01E9">
        <w:rPr>
          <w:noProof/>
        </w:rPr>
        <w:t>V prípade kreditných derivátov pre druhé zlyhanie je zaobchádzanie identické,</w:t>
      </w:r>
      <w:r w:rsidR="004F01E9">
        <w:rPr>
          <w:noProof/>
        </w:rPr>
        <w:t xml:space="preserve"> s </w:t>
      </w:r>
      <w:r w:rsidRPr="004F01E9">
        <w:rPr>
          <w:noProof/>
        </w:rPr>
        <w:t>tým rozdielom, že pri agregovaní rizikových váh sa</w:t>
      </w:r>
      <w:r w:rsidR="004F01E9">
        <w:rPr>
          <w:noProof/>
        </w:rPr>
        <w:t xml:space="preserve"> z </w:t>
      </w:r>
      <w:r w:rsidRPr="004F01E9">
        <w:rPr>
          <w:noProof/>
        </w:rPr>
        <w:t>výpočtu vylúči podkladové aktívum</w:t>
      </w:r>
      <w:r w:rsidR="004F01E9">
        <w:rPr>
          <w:noProof/>
        </w:rPr>
        <w:t xml:space="preserve"> s </w:t>
      </w:r>
      <w:r w:rsidRPr="004F01E9">
        <w:rPr>
          <w:noProof/>
        </w:rPr>
        <w:t>najnižšou hodnotou rizikovo váženej expozície. Takéto zaobchádzanie sa uplatňuje aj na kreditné deriváty pre n-té zlyhanie,</w:t>
      </w:r>
      <w:r w:rsidR="004F01E9">
        <w:rPr>
          <w:noProof/>
        </w:rPr>
        <w:t xml:space="preserve"> v </w:t>
      </w:r>
      <w:r w:rsidRPr="004F01E9">
        <w:rPr>
          <w:noProof/>
        </w:rPr>
        <w:t>prípade ktorých sa</w:t>
      </w:r>
      <w:r w:rsidR="004F01E9">
        <w:rPr>
          <w:noProof/>
        </w:rPr>
        <w:t xml:space="preserve"> z </w:t>
      </w:r>
      <w:r w:rsidRPr="004F01E9">
        <w:rPr>
          <w:noProof/>
        </w:rPr>
        <w:t>výpočtu vylúčia aktíva n – 1</w:t>
      </w:r>
      <w:r w:rsidR="004F01E9">
        <w:rPr>
          <w:noProof/>
        </w:rPr>
        <w:t xml:space="preserve"> s </w:t>
      </w:r>
      <w:r w:rsidRPr="004F01E9">
        <w:rPr>
          <w:noProof/>
        </w:rPr>
        <w:t>najnižšími hodnotami rizikovo vážených expozícií.“</w:t>
      </w:r>
    </w:p>
    <w:p w14:paraId="4D89134B" w14:textId="372B3879" w:rsidR="00806B81" w:rsidRPr="004F01E9" w:rsidRDefault="00B16452" w:rsidP="00B16452">
      <w:pPr>
        <w:pStyle w:val="Point0"/>
        <w:rPr>
          <w:noProof/>
        </w:rPr>
      </w:pPr>
      <w:r w:rsidRPr="00B16452">
        <w:rPr>
          <w:noProof/>
        </w:rPr>
        <w:t>103</w:t>
      </w:r>
      <w:r>
        <w:rPr>
          <w:noProof/>
        </w:rPr>
        <w:t>.</w:t>
      </w:r>
      <w:r w:rsidRPr="00B16452">
        <w:rPr>
          <w:noProof/>
        </w:rPr>
        <w:tab/>
      </w:r>
      <w:r w:rsidR="005A21FE" w:rsidRPr="004F01E9">
        <w:rPr>
          <w:noProof/>
        </w:rPr>
        <w:t>Článok 208 sa mení takto:</w:t>
      </w:r>
    </w:p>
    <w:p w14:paraId="1450DA9B" w14:textId="4F8AFD20" w:rsidR="005A21FE" w:rsidRPr="004F01E9" w:rsidRDefault="00566215" w:rsidP="00566215">
      <w:pPr>
        <w:pStyle w:val="Point1"/>
        <w:rPr>
          <w:noProof/>
        </w:rPr>
      </w:pPr>
      <w:r w:rsidRPr="004F01E9">
        <w:rPr>
          <w:noProof/>
        </w:rPr>
        <w:t>a)</w:t>
      </w:r>
      <w:r w:rsidRPr="004F01E9">
        <w:rPr>
          <w:noProof/>
        </w:rPr>
        <w:tab/>
        <w:t>Odsek 3 sa mení takto:</w:t>
      </w:r>
    </w:p>
    <w:p w14:paraId="7CDF2F4B" w14:textId="1BD1785C" w:rsidR="005A21FE" w:rsidRPr="004F01E9" w:rsidRDefault="00566215" w:rsidP="005A21FE">
      <w:pPr>
        <w:pStyle w:val="Point2"/>
        <w:rPr>
          <w:noProof/>
        </w:rPr>
      </w:pPr>
      <w:r w:rsidRPr="004F01E9">
        <w:rPr>
          <w:noProof/>
        </w:rPr>
        <w:t>i)</w:t>
      </w:r>
      <w:r w:rsidRPr="004F01E9">
        <w:rPr>
          <w:noProof/>
        </w:rPr>
        <w:tab/>
        <w:t>V písmene b) sa dopĺňajú tieto vety:</w:t>
      </w:r>
    </w:p>
    <w:p w14:paraId="192638EC" w14:textId="486472B0" w:rsidR="005A21FE" w:rsidRPr="0059109E" w:rsidRDefault="005A21FE" w:rsidP="00566215">
      <w:pPr>
        <w:pStyle w:val="Text3"/>
        <w:rPr>
          <w:noProof/>
          <w:spacing w:val="-4"/>
        </w:rPr>
      </w:pPr>
      <w:r w:rsidRPr="0059109E">
        <w:rPr>
          <w:noProof/>
          <w:spacing w:val="-4"/>
        </w:rPr>
        <w:t>„Hodnota nehnuteľného majetku nesmie presiahnuť priemernú hodnotu nameranú pre tento nehnuteľný majetok alebo porovnateľný nehnuteľný majetok za posledné tri roky</w:t>
      </w:r>
      <w:r w:rsidR="004F01E9" w:rsidRPr="0059109E">
        <w:rPr>
          <w:noProof/>
          <w:spacing w:val="-4"/>
        </w:rPr>
        <w:t xml:space="preserve"> v </w:t>
      </w:r>
      <w:r w:rsidRPr="0059109E">
        <w:rPr>
          <w:noProof/>
          <w:spacing w:val="-4"/>
        </w:rPr>
        <w:t>prípade nehnuteľného majetku určeného na podnikanie</w:t>
      </w:r>
      <w:r w:rsidR="004F01E9" w:rsidRPr="0059109E">
        <w:rPr>
          <w:noProof/>
          <w:spacing w:val="-4"/>
        </w:rPr>
        <w:t xml:space="preserve"> a </w:t>
      </w:r>
      <w:r w:rsidRPr="0059109E">
        <w:rPr>
          <w:noProof/>
          <w:spacing w:val="-4"/>
        </w:rPr>
        <w:t>za posledných šesť rokov</w:t>
      </w:r>
      <w:r w:rsidR="004F01E9" w:rsidRPr="0059109E">
        <w:rPr>
          <w:noProof/>
          <w:spacing w:val="-4"/>
        </w:rPr>
        <w:t xml:space="preserve"> v </w:t>
      </w:r>
      <w:r w:rsidRPr="0059109E">
        <w:rPr>
          <w:noProof/>
          <w:spacing w:val="-4"/>
        </w:rPr>
        <w:t>prípade nehnuteľného majetku určeného na bývanie. Úpravy vykonané na nehnuteľnom majetku, ktoré zlepšujú energetickú efektívnosť budovy alebo bytovej jednotky, sa považujú za úpravy, ktoré jednoznačne zvyšujú jeho hodnotu.“;</w:t>
      </w:r>
    </w:p>
    <w:p w14:paraId="6A628621" w14:textId="3A97DD0B" w:rsidR="005A21FE" w:rsidRPr="004F01E9" w:rsidRDefault="005A21FE" w:rsidP="005A21FE">
      <w:pPr>
        <w:pStyle w:val="Point2"/>
        <w:rPr>
          <w:noProof/>
        </w:rPr>
      </w:pPr>
      <w:r w:rsidRPr="004F01E9">
        <w:rPr>
          <w:noProof/>
        </w:rPr>
        <w:t>ii)</w:t>
      </w:r>
      <w:r w:rsidRPr="004F01E9">
        <w:rPr>
          <w:noProof/>
        </w:rPr>
        <w:tab/>
        <w:t>Druhý pododsek sa vypúšťa;</w:t>
      </w:r>
    </w:p>
    <w:p w14:paraId="775BA87F" w14:textId="221DA58B" w:rsidR="00806B81" w:rsidRPr="004F01E9" w:rsidRDefault="00566215" w:rsidP="00566215">
      <w:pPr>
        <w:pStyle w:val="Point1"/>
        <w:rPr>
          <w:noProof/>
        </w:rPr>
      </w:pPr>
      <w:r w:rsidRPr="004F01E9">
        <w:rPr>
          <w:noProof/>
        </w:rPr>
        <w:t>b)</w:t>
      </w:r>
      <w:r w:rsidRPr="004F01E9">
        <w:rPr>
          <w:noProof/>
        </w:rPr>
        <w:tab/>
        <w:t>Vkladá sa tento odsek 3a:</w:t>
      </w:r>
    </w:p>
    <w:p w14:paraId="51660FF9" w14:textId="6A05F10C" w:rsidR="00806B81" w:rsidRPr="004F01E9" w:rsidRDefault="005A21FE" w:rsidP="005A21FE">
      <w:pPr>
        <w:pStyle w:val="Text2"/>
        <w:rPr>
          <w:noProof/>
        </w:rPr>
      </w:pPr>
      <w:r w:rsidRPr="004F01E9">
        <w:rPr>
          <w:noProof/>
        </w:rPr>
        <w:t>„3a.</w:t>
      </w:r>
      <w:r w:rsidR="004F01E9">
        <w:rPr>
          <w:noProof/>
        </w:rPr>
        <w:t xml:space="preserve"> V </w:t>
      </w:r>
      <w:r w:rsidRPr="004F01E9">
        <w:rPr>
          <w:noProof/>
        </w:rPr>
        <w:t>súlade</w:t>
      </w:r>
      <w:r w:rsidR="004F01E9">
        <w:rPr>
          <w:noProof/>
        </w:rPr>
        <w:t xml:space="preserve"> s </w:t>
      </w:r>
      <w:r w:rsidRPr="004F01E9">
        <w:rPr>
          <w:noProof/>
        </w:rPr>
        <w:t>odsekom 3</w:t>
      </w:r>
      <w:r w:rsidR="004F01E9">
        <w:rPr>
          <w:noProof/>
        </w:rPr>
        <w:t xml:space="preserve"> a s </w:t>
      </w:r>
      <w:r w:rsidRPr="004F01E9">
        <w:rPr>
          <w:noProof/>
        </w:rPr>
        <w:t>výhradou schválenia príslušnými orgánmi môžu inštitúcie vykonávať oceňovanie</w:t>
      </w:r>
      <w:r w:rsidR="004F01E9">
        <w:rPr>
          <w:noProof/>
        </w:rPr>
        <w:t xml:space="preserve"> a </w:t>
      </w:r>
      <w:r w:rsidRPr="004F01E9">
        <w:rPr>
          <w:noProof/>
        </w:rPr>
        <w:t>preceňovanie hodnoty majetku pomocou pokročilých štatistických alebo iných matematických metód („modelov“), ktoré boli vyvinuté nezávisle od procesu rozhodovania</w:t>
      </w:r>
      <w:r w:rsidR="004F01E9">
        <w:rPr>
          <w:noProof/>
        </w:rPr>
        <w:t xml:space="preserve"> o </w:t>
      </w:r>
      <w:r w:rsidRPr="004F01E9">
        <w:rPr>
          <w:noProof/>
        </w:rPr>
        <w:t>poskytnutí úveru, za predpokladu splnenia týchto podmienok:</w:t>
      </w:r>
    </w:p>
    <w:p w14:paraId="04DE67ED" w14:textId="4E3DD074" w:rsidR="005A21FE" w:rsidRPr="00922993" w:rsidRDefault="00566215" w:rsidP="00566215">
      <w:pPr>
        <w:pStyle w:val="Point2"/>
        <w:rPr>
          <w:noProof/>
          <w:spacing w:val="-8"/>
        </w:rPr>
      </w:pPr>
      <w:r w:rsidRPr="004F01E9">
        <w:rPr>
          <w:noProof/>
        </w:rPr>
        <w:t>a)</w:t>
      </w:r>
      <w:r w:rsidRPr="004F01E9">
        <w:rPr>
          <w:noProof/>
        </w:rPr>
        <w:tab/>
      </w:r>
      <w:r w:rsidRPr="00922993">
        <w:rPr>
          <w:noProof/>
          <w:spacing w:val="-8"/>
        </w:rPr>
        <w:t>inštitúcie vo svojich politikách</w:t>
      </w:r>
      <w:r w:rsidR="004F01E9" w:rsidRPr="00922993">
        <w:rPr>
          <w:noProof/>
          <w:spacing w:val="-8"/>
        </w:rPr>
        <w:t xml:space="preserve"> a </w:t>
      </w:r>
      <w:r w:rsidRPr="00922993">
        <w:rPr>
          <w:noProof/>
          <w:spacing w:val="-8"/>
        </w:rPr>
        <w:t>postupoch stanovujú kritériá na používanie modelov na oceňovanie, preceňovanie</w:t>
      </w:r>
      <w:r w:rsidR="004F01E9" w:rsidRPr="00922993">
        <w:rPr>
          <w:noProof/>
          <w:spacing w:val="-8"/>
        </w:rPr>
        <w:t xml:space="preserve"> a </w:t>
      </w:r>
      <w:r w:rsidRPr="00922993">
        <w:rPr>
          <w:noProof/>
          <w:spacing w:val="-8"/>
        </w:rPr>
        <w:t>monitorovanie hodnôt kolaterálu.</w:t>
      </w:r>
      <w:r w:rsidR="004F01E9" w:rsidRPr="00922993">
        <w:rPr>
          <w:noProof/>
          <w:spacing w:val="-8"/>
        </w:rPr>
        <w:t xml:space="preserve"> V </w:t>
      </w:r>
      <w:r w:rsidRPr="00922993">
        <w:rPr>
          <w:noProof/>
          <w:spacing w:val="-8"/>
        </w:rPr>
        <w:t>týchto politikách</w:t>
      </w:r>
      <w:r w:rsidR="004F01E9" w:rsidRPr="00922993">
        <w:rPr>
          <w:noProof/>
          <w:spacing w:val="-8"/>
        </w:rPr>
        <w:t xml:space="preserve"> a </w:t>
      </w:r>
      <w:r w:rsidRPr="00922993">
        <w:rPr>
          <w:noProof/>
          <w:spacing w:val="-8"/>
        </w:rPr>
        <w:t>postupoch sa berú do úvahy overené záznamy takýchto modelov, zohľadnené premenné špecifické pre daný nehnuteľný majetok, používanie minimálnych dostupných</w:t>
      </w:r>
      <w:r w:rsidR="004F01E9" w:rsidRPr="00922993">
        <w:rPr>
          <w:noProof/>
          <w:spacing w:val="-8"/>
        </w:rPr>
        <w:t xml:space="preserve"> a </w:t>
      </w:r>
      <w:r w:rsidRPr="00922993">
        <w:rPr>
          <w:noProof/>
          <w:spacing w:val="-8"/>
        </w:rPr>
        <w:t>presných informácií</w:t>
      </w:r>
      <w:r w:rsidR="004F01E9" w:rsidRPr="00922993">
        <w:rPr>
          <w:noProof/>
          <w:spacing w:val="-8"/>
        </w:rPr>
        <w:t xml:space="preserve"> a </w:t>
      </w:r>
      <w:r w:rsidRPr="00922993">
        <w:rPr>
          <w:noProof/>
          <w:spacing w:val="-8"/>
        </w:rPr>
        <w:t>neistota modelov;</w:t>
      </w:r>
    </w:p>
    <w:p w14:paraId="6345AA37" w14:textId="0AAB304D" w:rsidR="005A21FE" w:rsidRPr="004F01E9" w:rsidRDefault="00566215" w:rsidP="00566215">
      <w:pPr>
        <w:pStyle w:val="Point2"/>
        <w:rPr>
          <w:noProof/>
        </w:rPr>
      </w:pPr>
      <w:r w:rsidRPr="004F01E9">
        <w:rPr>
          <w:noProof/>
        </w:rPr>
        <w:t>b)</w:t>
      </w:r>
      <w:r w:rsidRPr="004F01E9">
        <w:rPr>
          <w:noProof/>
        </w:rPr>
        <w:tab/>
        <w:t>inštitúcie zabezpečujú, aby použité modely:</w:t>
      </w:r>
    </w:p>
    <w:p w14:paraId="029FE5E3" w14:textId="60E02D8C" w:rsidR="005A21FE" w:rsidRPr="004F01E9" w:rsidRDefault="005A21FE" w:rsidP="005A21FE">
      <w:pPr>
        <w:pStyle w:val="Point3"/>
        <w:rPr>
          <w:noProof/>
        </w:rPr>
      </w:pPr>
      <w:r w:rsidRPr="004F01E9">
        <w:rPr>
          <w:noProof/>
        </w:rPr>
        <w:t>i)</w:t>
      </w:r>
      <w:r w:rsidRPr="004F01E9">
        <w:rPr>
          <w:noProof/>
        </w:rPr>
        <w:tab/>
        <w:t>boli špecifické pre daný nehnuteľný majetok</w:t>
      </w:r>
      <w:r w:rsidR="004F01E9">
        <w:rPr>
          <w:noProof/>
        </w:rPr>
        <w:t xml:space="preserve"> a </w:t>
      </w:r>
      <w:r w:rsidRPr="004F01E9">
        <w:rPr>
          <w:noProof/>
        </w:rPr>
        <w:t>lokalitu,</w:t>
      </w:r>
      <w:r w:rsidR="004F01E9">
        <w:rPr>
          <w:noProof/>
        </w:rPr>
        <w:t xml:space="preserve"> a </w:t>
      </w:r>
      <w:r w:rsidRPr="004F01E9">
        <w:rPr>
          <w:noProof/>
        </w:rPr>
        <w:t>to na dostatočnej úrovni podrobnosti;</w:t>
      </w:r>
    </w:p>
    <w:p w14:paraId="04EF1F90" w14:textId="730C5FC8" w:rsidR="00806B81" w:rsidRPr="004F01E9" w:rsidRDefault="005A21FE" w:rsidP="005A21FE">
      <w:pPr>
        <w:pStyle w:val="Point3"/>
        <w:rPr>
          <w:noProof/>
        </w:rPr>
      </w:pPr>
      <w:r w:rsidRPr="004F01E9">
        <w:rPr>
          <w:noProof/>
        </w:rPr>
        <w:t>ii)</w:t>
      </w:r>
      <w:r w:rsidRPr="004F01E9">
        <w:rPr>
          <w:noProof/>
        </w:rPr>
        <w:tab/>
        <w:t>boli platné</w:t>
      </w:r>
      <w:r w:rsidR="004F01E9">
        <w:rPr>
          <w:noProof/>
        </w:rPr>
        <w:t xml:space="preserve"> a </w:t>
      </w:r>
      <w:r w:rsidRPr="004F01E9">
        <w:rPr>
          <w:noProof/>
        </w:rPr>
        <w:t>presné</w:t>
      </w:r>
      <w:r w:rsidR="004F01E9">
        <w:rPr>
          <w:noProof/>
        </w:rPr>
        <w:t xml:space="preserve"> a </w:t>
      </w:r>
      <w:r w:rsidRPr="004F01E9">
        <w:rPr>
          <w:noProof/>
        </w:rPr>
        <w:t>aby podliehali spoľahlivému</w:t>
      </w:r>
      <w:r w:rsidR="004F01E9">
        <w:rPr>
          <w:noProof/>
        </w:rPr>
        <w:t xml:space="preserve"> a </w:t>
      </w:r>
      <w:r w:rsidRPr="004F01E9">
        <w:rPr>
          <w:noProof/>
        </w:rPr>
        <w:t>pravidelnému spätnému testovaniu na základe skutočných pozorovaných transakčných cien;</w:t>
      </w:r>
    </w:p>
    <w:p w14:paraId="71E359E0" w14:textId="321A5C9B" w:rsidR="00806B81" w:rsidRPr="004F01E9" w:rsidRDefault="005A21FE" w:rsidP="005A21FE">
      <w:pPr>
        <w:pStyle w:val="Point3"/>
        <w:rPr>
          <w:noProof/>
        </w:rPr>
      </w:pPr>
      <w:r w:rsidRPr="004F01E9">
        <w:rPr>
          <w:noProof/>
        </w:rPr>
        <w:t>iii)</w:t>
      </w:r>
      <w:r w:rsidRPr="004F01E9">
        <w:rPr>
          <w:noProof/>
        </w:rPr>
        <w:tab/>
        <w:t>vychádzali</w:t>
      </w:r>
      <w:r w:rsidR="004F01E9">
        <w:rPr>
          <w:noProof/>
        </w:rPr>
        <w:t xml:space="preserve"> z </w:t>
      </w:r>
      <w:r w:rsidRPr="004F01E9">
        <w:rPr>
          <w:noProof/>
        </w:rPr>
        <w:t>dostatočne veľkej</w:t>
      </w:r>
      <w:r w:rsidR="004F01E9">
        <w:rPr>
          <w:noProof/>
        </w:rPr>
        <w:t xml:space="preserve"> a </w:t>
      </w:r>
      <w:r w:rsidRPr="004F01E9">
        <w:rPr>
          <w:noProof/>
        </w:rPr>
        <w:t>reprezentatívnej vzorky založenej na pozorovaných transakčných cenách;</w:t>
      </w:r>
    </w:p>
    <w:p w14:paraId="388D145A" w14:textId="5E8DC619" w:rsidR="005A21FE" w:rsidRPr="004F01E9" w:rsidRDefault="005A21FE" w:rsidP="005A21FE">
      <w:pPr>
        <w:pStyle w:val="Point3"/>
        <w:rPr>
          <w:noProof/>
        </w:rPr>
      </w:pPr>
      <w:r w:rsidRPr="004F01E9">
        <w:rPr>
          <w:noProof/>
        </w:rPr>
        <w:t>iv)</w:t>
      </w:r>
      <w:r w:rsidRPr="004F01E9">
        <w:rPr>
          <w:noProof/>
        </w:rPr>
        <w:tab/>
        <w:t>vychádzali</w:t>
      </w:r>
      <w:r w:rsidR="004F01E9">
        <w:rPr>
          <w:noProof/>
        </w:rPr>
        <w:t xml:space="preserve"> z </w:t>
      </w:r>
      <w:r w:rsidRPr="004F01E9">
        <w:rPr>
          <w:noProof/>
        </w:rPr>
        <w:t>aktuálnych údajov vysokej kvality;</w:t>
      </w:r>
    </w:p>
    <w:p w14:paraId="17528BDA" w14:textId="3C4C49FD" w:rsidR="005A21FE" w:rsidRPr="00922993" w:rsidRDefault="00566215" w:rsidP="00566215">
      <w:pPr>
        <w:pStyle w:val="Point2"/>
        <w:rPr>
          <w:noProof/>
          <w:spacing w:val="-4"/>
        </w:rPr>
      </w:pPr>
      <w:r w:rsidRPr="004F01E9">
        <w:rPr>
          <w:noProof/>
        </w:rPr>
        <w:t>c)</w:t>
      </w:r>
      <w:r w:rsidRPr="004F01E9">
        <w:rPr>
          <w:noProof/>
        </w:rPr>
        <w:tab/>
      </w:r>
      <w:r w:rsidRPr="00922993">
        <w:rPr>
          <w:noProof/>
          <w:spacing w:val="-4"/>
        </w:rPr>
        <w:t>inštitúcie sú</w:t>
      </w:r>
      <w:r w:rsidR="004F01E9" w:rsidRPr="00922993">
        <w:rPr>
          <w:noProof/>
          <w:spacing w:val="-4"/>
        </w:rPr>
        <w:t xml:space="preserve"> v </w:t>
      </w:r>
      <w:r w:rsidRPr="00922993">
        <w:rPr>
          <w:noProof/>
          <w:spacing w:val="-4"/>
        </w:rPr>
        <w:t>konečnom dôsledku zodpovedné za primeranosť</w:t>
      </w:r>
      <w:r w:rsidR="004F01E9" w:rsidRPr="00922993">
        <w:rPr>
          <w:noProof/>
          <w:spacing w:val="-4"/>
        </w:rPr>
        <w:t xml:space="preserve"> a </w:t>
      </w:r>
      <w:r w:rsidRPr="00922993">
        <w:rPr>
          <w:noProof/>
          <w:spacing w:val="-4"/>
        </w:rPr>
        <w:t>výkonnosť modelov, oceňovateľ uvedený</w:t>
      </w:r>
      <w:r w:rsidR="004F01E9" w:rsidRPr="00922993">
        <w:rPr>
          <w:noProof/>
          <w:spacing w:val="-4"/>
        </w:rPr>
        <w:t xml:space="preserve"> v </w:t>
      </w:r>
      <w:r w:rsidRPr="00922993">
        <w:rPr>
          <w:noProof/>
          <w:spacing w:val="-4"/>
        </w:rPr>
        <w:t>odseku 3 písm. b) je zodpovedný za oceňovanie, ktoré sa vykonáva pomocou modelov,</w:t>
      </w:r>
      <w:r w:rsidR="004F01E9" w:rsidRPr="00922993">
        <w:rPr>
          <w:noProof/>
          <w:spacing w:val="-4"/>
        </w:rPr>
        <w:t xml:space="preserve"> a </w:t>
      </w:r>
      <w:r w:rsidRPr="00922993">
        <w:rPr>
          <w:noProof/>
          <w:spacing w:val="-4"/>
        </w:rPr>
        <w:t>inštitúcie rozumejú metodike, vstupným údajom</w:t>
      </w:r>
      <w:r w:rsidR="004F01E9" w:rsidRPr="00922993">
        <w:rPr>
          <w:noProof/>
          <w:spacing w:val="-4"/>
        </w:rPr>
        <w:t xml:space="preserve"> a </w:t>
      </w:r>
      <w:r w:rsidRPr="00922993">
        <w:rPr>
          <w:noProof/>
          <w:spacing w:val="-4"/>
        </w:rPr>
        <w:t>predpokladom použitých modelov;</w:t>
      </w:r>
    </w:p>
    <w:p w14:paraId="54CBE4CA" w14:textId="6A2AC30C" w:rsidR="005A21FE" w:rsidRPr="004F01E9" w:rsidRDefault="00566215" w:rsidP="00566215">
      <w:pPr>
        <w:pStyle w:val="Point2"/>
        <w:rPr>
          <w:noProof/>
        </w:rPr>
      </w:pPr>
      <w:r w:rsidRPr="004F01E9">
        <w:rPr>
          <w:noProof/>
        </w:rPr>
        <w:t>d)</w:t>
      </w:r>
      <w:r w:rsidRPr="004F01E9">
        <w:rPr>
          <w:noProof/>
        </w:rPr>
        <w:tab/>
        <w:t>inštitúcie zabezpečia, aby dokumentácia modelov bola aktuálna;</w:t>
      </w:r>
    </w:p>
    <w:p w14:paraId="2D14F4DF" w14:textId="5E520F4B" w:rsidR="005A21FE" w:rsidRPr="004F01E9" w:rsidRDefault="00566215" w:rsidP="00566215">
      <w:pPr>
        <w:pStyle w:val="Point2"/>
        <w:rPr>
          <w:noProof/>
        </w:rPr>
      </w:pPr>
      <w:r w:rsidRPr="004F01E9">
        <w:rPr>
          <w:noProof/>
        </w:rPr>
        <w:t>e)</w:t>
      </w:r>
      <w:r w:rsidRPr="004F01E9">
        <w:rPr>
          <w:noProof/>
        </w:rPr>
        <w:tab/>
        <w:t>inštitúcie majú zavedené primerané procesy, systémy</w:t>
      </w:r>
      <w:r w:rsidR="004F01E9">
        <w:rPr>
          <w:noProof/>
        </w:rPr>
        <w:t xml:space="preserve"> a </w:t>
      </w:r>
      <w:r w:rsidRPr="004F01E9">
        <w:rPr>
          <w:noProof/>
        </w:rPr>
        <w:t>kapacity</w:t>
      </w:r>
      <w:r w:rsidR="004F01E9">
        <w:rPr>
          <w:noProof/>
        </w:rPr>
        <w:t xml:space="preserve"> v </w:t>
      </w:r>
      <w:r w:rsidRPr="004F01E9">
        <w:rPr>
          <w:noProof/>
        </w:rPr>
        <w:t>oblasti IT</w:t>
      </w:r>
      <w:r w:rsidR="004F01E9">
        <w:rPr>
          <w:noProof/>
        </w:rPr>
        <w:t xml:space="preserve"> a </w:t>
      </w:r>
      <w:r w:rsidRPr="004F01E9">
        <w:rPr>
          <w:noProof/>
        </w:rPr>
        <w:t>disponujú dostatočnými</w:t>
      </w:r>
      <w:r w:rsidR="004F01E9">
        <w:rPr>
          <w:noProof/>
        </w:rPr>
        <w:t xml:space="preserve"> a </w:t>
      </w:r>
      <w:r w:rsidRPr="004F01E9">
        <w:rPr>
          <w:noProof/>
        </w:rPr>
        <w:t>presnými údajmi na akékoľvek oceňovanie alebo preceňovanie kolaterálu založené na modeli;</w:t>
      </w:r>
    </w:p>
    <w:p w14:paraId="1802E089" w14:textId="2695057D" w:rsidR="005A21FE" w:rsidRPr="004F01E9" w:rsidRDefault="00566215" w:rsidP="00566215">
      <w:pPr>
        <w:pStyle w:val="Point2"/>
        <w:rPr>
          <w:noProof/>
        </w:rPr>
      </w:pPr>
      <w:r w:rsidRPr="004F01E9">
        <w:rPr>
          <w:noProof/>
        </w:rPr>
        <w:t>f)</w:t>
      </w:r>
      <w:r w:rsidRPr="004F01E9">
        <w:rPr>
          <w:noProof/>
        </w:rPr>
        <w:tab/>
        <w:t>odhady modelov sú nezávisle validované</w:t>
      </w:r>
      <w:r w:rsidR="004F01E9">
        <w:rPr>
          <w:noProof/>
        </w:rPr>
        <w:t xml:space="preserve"> a </w:t>
      </w:r>
      <w:r w:rsidRPr="004F01E9">
        <w:rPr>
          <w:noProof/>
        </w:rPr>
        <w:t>postup validácie je vo všeobecnosti</w:t>
      </w:r>
      <w:r w:rsidR="004F01E9">
        <w:rPr>
          <w:noProof/>
        </w:rPr>
        <w:t xml:space="preserve"> v </w:t>
      </w:r>
      <w:r w:rsidRPr="004F01E9">
        <w:rPr>
          <w:noProof/>
        </w:rPr>
        <w:t>súlade so zásadami stanovenými</w:t>
      </w:r>
      <w:r w:rsidR="004F01E9">
        <w:rPr>
          <w:noProof/>
        </w:rPr>
        <w:t xml:space="preserve"> v </w:t>
      </w:r>
      <w:r w:rsidRPr="004F01E9">
        <w:rPr>
          <w:noProof/>
        </w:rPr>
        <w:t>článku 185</w:t>
      </w:r>
      <w:r w:rsidR="004F01E9">
        <w:rPr>
          <w:noProof/>
        </w:rPr>
        <w:t xml:space="preserve"> a </w:t>
      </w:r>
      <w:r w:rsidRPr="004F01E9">
        <w:rPr>
          <w:noProof/>
        </w:rPr>
        <w:t>nezávislý oceňovateľ uvedený</w:t>
      </w:r>
      <w:r w:rsidR="004F01E9">
        <w:rPr>
          <w:noProof/>
        </w:rPr>
        <w:t xml:space="preserve"> v </w:t>
      </w:r>
      <w:r w:rsidRPr="004F01E9">
        <w:rPr>
          <w:noProof/>
        </w:rPr>
        <w:t>odseku 3 písm. b) je zodpovedný za konečné hodnoty, ktoré inštitúcia používa na účely tejto kapitoly.“;</w:t>
      </w:r>
    </w:p>
    <w:p w14:paraId="416CB339" w14:textId="0B6CFC96" w:rsidR="005A21FE" w:rsidRPr="004F01E9" w:rsidRDefault="00566215" w:rsidP="00566215">
      <w:pPr>
        <w:pStyle w:val="Point1"/>
        <w:rPr>
          <w:noProof/>
        </w:rPr>
      </w:pPr>
      <w:r w:rsidRPr="004F01E9">
        <w:rPr>
          <w:noProof/>
        </w:rPr>
        <w:t>c)</w:t>
      </w:r>
      <w:r w:rsidRPr="004F01E9">
        <w:rPr>
          <w:noProof/>
        </w:rPr>
        <w:tab/>
        <w:t>Odsek 5 sa nahrádza takto:</w:t>
      </w:r>
    </w:p>
    <w:p w14:paraId="0224682E" w14:textId="2E73ED0A" w:rsidR="005A21FE" w:rsidRPr="004F01E9" w:rsidRDefault="005A21FE" w:rsidP="005A21FE">
      <w:pPr>
        <w:pStyle w:val="Text2"/>
        <w:rPr>
          <w:noProof/>
        </w:rPr>
      </w:pPr>
      <w:r w:rsidRPr="004F01E9">
        <w:rPr>
          <w:noProof/>
        </w:rPr>
        <w:t>„5. Nehnuteľný majetok prijatý ako kreditné zabezpečenie musí byť primerane poistený proti riziku poškodenia</w:t>
      </w:r>
      <w:r w:rsidR="004F01E9">
        <w:rPr>
          <w:noProof/>
        </w:rPr>
        <w:t xml:space="preserve"> a </w:t>
      </w:r>
      <w:r w:rsidRPr="004F01E9">
        <w:rPr>
          <w:noProof/>
        </w:rPr>
        <w:t>inštitúcie musia mať zavedené postupy na monitorovanie primeranosti tohto poistenia.“</w:t>
      </w:r>
    </w:p>
    <w:p w14:paraId="28115EA4" w14:textId="683E5B2D" w:rsidR="00806B81" w:rsidRPr="004F01E9" w:rsidRDefault="00B16452" w:rsidP="00B16452">
      <w:pPr>
        <w:pStyle w:val="Point0"/>
        <w:rPr>
          <w:noProof/>
        </w:rPr>
      </w:pPr>
      <w:r w:rsidRPr="00B16452">
        <w:rPr>
          <w:noProof/>
        </w:rPr>
        <w:t>104</w:t>
      </w:r>
      <w:r>
        <w:rPr>
          <w:noProof/>
        </w:rPr>
        <w:t>.</w:t>
      </w:r>
      <w:r w:rsidRPr="00B16452">
        <w:rPr>
          <w:noProof/>
        </w:rPr>
        <w:tab/>
      </w:r>
      <w:r w:rsidR="005A21FE" w:rsidRPr="004F01E9">
        <w:rPr>
          <w:noProof/>
        </w:rPr>
        <w:t>V článku 210 sa dopĺňa tento pododsek:</w:t>
      </w:r>
    </w:p>
    <w:p w14:paraId="7EE6BCB7" w14:textId="6ED7A82D" w:rsidR="005A21FE" w:rsidRPr="004F01E9" w:rsidRDefault="005A21FE" w:rsidP="005A21FE">
      <w:pPr>
        <w:pStyle w:val="Text1"/>
        <w:rPr>
          <w:noProof/>
        </w:rPr>
      </w:pPr>
      <w:r w:rsidRPr="004F01E9">
        <w:rPr>
          <w:noProof/>
        </w:rPr>
        <w:t>„Ak všeobecné dohody</w:t>
      </w:r>
      <w:r w:rsidR="004F01E9">
        <w:rPr>
          <w:noProof/>
        </w:rPr>
        <w:t xml:space="preserve"> o </w:t>
      </w:r>
      <w:r w:rsidRPr="004F01E9">
        <w:rPr>
          <w:noProof/>
        </w:rPr>
        <w:t>zabezpečení alebo iné formy variabilného záložného práva poskytujú požičiavajúcej inštitúcii registrovanú pohľadávku na aktíva spoločnosti</w:t>
      </w:r>
      <w:r w:rsidR="004F01E9">
        <w:rPr>
          <w:noProof/>
        </w:rPr>
        <w:t xml:space="preserve"> a </w:t>
      </w:r>
      <w:r w:rsidRPr="004F01E9">
        <w:rPr>
          <w:noProof/>
        </w:rPr>
        <w:t>ak táto pohľadávka zahŕňa tak aktíva, ktoré podľa prístupu IRB nie sú prípustné ako kolaterál, ako aj aktíva, ktoré podľa prístupu IRB sú prípustné ako kolaterál, inštitúcia môže aktíva, ktoré podľa prístupu IRB sú prípustné ako kolaterál, uznať za prípustné financované kreditné zabezpečenie.</w:t>
      </w:r>
      <w:r w:rsidR="004F01E9">
        <w:rPr>
          <w:noProof/>
        </w:rPr>
        <w:t xml:space="preserve"> V </w:t>
      </w:r>
      <w:r w:rsidRPr="004F01E9">
        <w:rPr>
          <w:noProof/>
        </w:rPr>
        <w:t>takom prípade je uznanie podmienené tým, že uvedené aktíva spĺňajú požiadavky na prípustnosť kolaterálu podľa prístupu IRB, ako sa stanovuje</w:t>
      </w:r>
      <w:r w:rsidR="004F01E9">
        <w:rPr>
          <w:noProof/>
        </w:rPr>
        <w:t xml:space="preserve"> v </w:t>
      </w:r>
      <w:r w:rsidRPr="004F01E9">
        <w:rPr>
          <w:noProof/>
        </w:rPr>
        <w:t>tejto kapitole.“</w:t>
      </w:r>
    </w:p>
    <w:p w14:paraId="58D61EEC" w14:textId="7C5C40E2" w:rsidR="00806B81" w:rsidRPr="004F01E9" w:rsidRDefault="00B16452" w:rsidP="00B16452">
      <w:pPr>
        <w:pStyle w:val="Point0"/>
        <w:rPr>
          <w:noProof/>
        </w:rPr>
      </w:pPr>
      <w:r w:rsidRPr="00B16452">
        <w:rPr>
          <w:noProof/>
        </w:rPr>
        <w:t>105</w:t>
      </w:r>
      <w:r>
        <w:rPr>
          <w:noProof/>
        </w:rPr>
        <w:t>.</w:t>
      </w:r>
      <w:r w:rsidRPr="00B16452">
        <w:rPr>
          <w:noProof/>
        </w:rPr>
        <w:tab/>
      </w:r>
      <w:r w:rsidR="005A21FE" w:rsidRPr="004F01E9">
        <w:rPr>
          <w:noProof/>
        </w:rPr>
        <w:t>V článku 213 sa odsek 1 nahrádza takto:</w:t>
      </w:r>
    </w:p>
    <w:p w14:paraId="38020CD6" w14:textId="712A5D38" w:rsidR="005A21FE" w:rsidRPr="004F01E9" w:rsidRDefault="005A21FE" w:rsidP="005A21FE">
      <w:pPr>
        <w:pStyle w:val="Text1"/>
        <w:rPr>
          <w:noProof/>
        </w:rPr>
      </w:pPr>
      <w:r w:rsidRPr="004F01E9">
        <w:rPr>
          <w:noProof/>
        </w:rPr>
        <w:t>„1.</w:t>
      </w:r>
      <w:r w:rsidR="004F01E9">
        <w:rPr>
          <w:noProof/>
        </w:rPr>
        <w:t xml:space="preserve"> S </w:t>
      </w:r>
      <w:r w:rsidRPr="004F01E9">
        <w:rPr>
          <w:noProof/>
        </w:rPr>
        <w:t>výhradou článku 214 ods. 1 sa kreditné zabezpečenie odvodené od záruky alebo kreditného derivátu považuje za prípustné nefinancované kreditné zabezpečenie, ak sú splnené všetky tieto podmienky:</w:t>
      </w:r>
    </w:p>
    <w:p w14:paraId="41B34F13" w14:textId="77777777" w:rsidR="005A21FE" w:rsidRPr="004F01E9" w:rsidRDefault="005A21FE" w:rsidP="005A21FE">
      <w:pPr>
        <w:pStyle w:val="Point1"/>
        <w:rPr>
          <w:noProof/>
        </w:rPr>
      </w:pPr>
      <w:r w:rsidRPr="004F01E9">
        <w:rPr>
          <w:noProof/>
        </w:rPr>
        <w:t>a)</w:t>
      </w:r>
      <w:r w:rsidRPr="004F01E9">
        <w:rPr>
          <w:noProof/>
        </w:rPr>
        <w:tab/>
        <w:t>kreditné zabezpečenie je priame;</w:t>
      </w:r>
    </w:p>
    <w:p w14:paraId="16ED63DF" w14:textId="7202ED40" w:rsidR="005A21FE" w:rsidRPr="004F01E9" w:rsidRDefault="005A21FE" w:rsidP="005A21FE">
      <w:pPr>
        <w:pStyle w:val="Point1"/>
        <w:rPr>
          <w:noProof/>
        </w:rPr>
      </w:pPr>
      <w:r w:rsidRPr="004F01E9">
        <w:rPr>
          <w:noProof/>
        </w:rPr>
        <w:t>b)</w:t>
      </w:r>
      <w:r w:rsidRPr="004F01E9">
        <w:rPr>
          <w:noProof/>
        </w:rPr>
        <w:tab/>
        <w:t>rozsah kreditného zabezpečenia je presne vymedzený</w:t>
      </w:r>
      <w:r w:rsidR="004F01E9">
        <w:rPr>
          <w:noProof/>
        </w:rPr>
        <w:t xml:space="preserve"> a </w:t>
      </w:r>
      <w:r w:rsidRPr="004F01E9">
        <w:rPr>
          <w:noProof/>
        </w:rPr>
        <w:t>nesporný;</w:t>
      </w:r>
    </w:p>
    <w:p w14:paraId="2C1D1EEE" w14:textId="4C0DCEF4" w:rsidR="005A21FE" w:rsidRPr="004F01E9" w:rsidRDefault="005A21FE" w:rsidP="005A21FE">
      <w:pPr>
        <w:pStyle w:val="Point1"/>
        <w:rPr>
          <w:noProof/>
        </w:rPr>
      </w:pPr>
      <w:r w:rsidRPr="004F01E9">
        <w:rPr>
          <w:noProof/>
        </w:rPr>
        <w:t>c)</w:t>
      </w:r>
      <w:r w:rsidRPr="004F01E9">
        <w:rPr>
          <w:noProof/>
        </w:rPr>
        <w:tab/>
        <w:t>zmluva</w:t>
      </w:r>
      <w:r w:rsidR="004F01E9">
        <w:rPr>
          <w:noProof/>
        </w:rPr>
        <w:t xml:space="preserve"> o </w:t>
      </w:r>
      <w:r w:rsidRPr="004F01E9">
        <w:rPr>
          <w:noProof/>
        </w:rPr>
        <w:t>kreditnom zabezpečení neobsahuje žiadnu doložku, ktorej plnenie by nebolo pod priamou kontrolou požičiavajúcej inštitúcie</w:t>
      </w:r>
      <w:r w:rsidR="004F01E9">
        <w:rPr>
          <w:noProof/>
        </w:rPr>
        <w:t xml:space="preserve"> a </w:t>
      </w:r>
      <w:r w:rsidRPr="004F01E9">
        <w:rPr>
          <w:noProof/>
        </w:rPr>
        <w:t>ktorá by:</w:t>
      </w:r>
    </w:p>
    <w:p w14:paraId="3A50A84D" w14:textId="77777777" w:rsidR="00806B81" w:rsidRPr="004F01E9" w:rsidRDefault="005A21FE" w:rsidP="005A21FE">
      <w:pPr>
        <w:pStyle w:val="Point2"/>
        <w:rPr>
          <w:noProof/>
        </w:rPr>
      </w:pPr>
      <w:r w:rsidRPr="004F01E9">
        <w:rPr>
          <w:noProof/>
        </w:rPr>
        <w:t>i)</w:t>
      </w:r>
      <w:r w:rsidRPr="004F01E9">
        <w:rPr>
          <w:noProof/>
        </w:rPr>
        <w:tab/>
        <w:t>poskytovateľovi zabezpečenia umožňovala jednostranne zrušiť alebo zmeniť kreditné zabezpečenie;</w:t>
      </w:r>
    </w:p>
    <w:p w14:paraId="3172D33E" w14:textId="15498931" w:rsidR="005A21FE" w:rsidRPr="004F01E9" w:rsidRDefault="005A21FE" w:rsidP="005A21FE">
      <w:pPr>
        <w:pStyle w:val="Point2"/>
        <w:rPr>
          <w:noProof/>
        </w:rPr>
      </w:pPr>
      <w:r w:rsidRPr="004F01E9">
        <w:rPr>
          <w:noProof/>
        </w:rPr>
        <w:t>ii)</w:t>
      </w:r>
      <w:r w:rsidRPr="004F01E9">
        <w:rPr>
          <w:noProof/>
        </w:rPr>
        <w:tab/>
        <w:t>zvyšovala skutočné náklady na kreditné zabezpečenie</w:t>
      </w:r>
      <w:r w:rsidR="004F01E9">
        <w:rPr>
          <w:noProof/>
        </w:rPr>
        <w:t xml:space="preserve"> v </w:t>
      </w:r>
      <w:r w:rsidRPr="004F01E9">
        <w:rPr>
          <w:noProof/>
        </w:rPr>
        <w:t>dôsledku zhoršujúcej sa kreditnej kvality zabezpečenej expozície;</w:t>
      </w:r>
    </w:p>
    <w:p w14:paraId="1D1EC8AB" w14:textId="6E846048" w:rsidR="005A21FE" w:rsidRPr="004F01E9" w:rsidRDefault="005A21FE" w:rsidP="005A21FE">
      <w:pPr>
        <w:pStyle w:val="Point2"/>
        <w:rPr>
          <w:noProof/>
        </w:rPr>
      </w:pPr>
      <w:r w:rsidRPr="004F01E9">
        <w:rPr>
          <w:noProof/>
        </w:rPr>
        <w:t>iii)</w:t>
      </w:r>
      <w:r w:rsidRPr="004F01E9">
        <w:rPr>
          <w:noProof/>
        </w:rPr>
        <w:tab/>
        <w:t>mohla poskytovateľovi zabezpečenia umožniť vyhnúť sa povinnosti zaplatiť včas, ak pôvodný dlžník neuhradí ktorúkoľvek splatnú sumu alebo ak uplynie platnosť lízingovej zmluvy na účely uznania zaručenej zostatkovej hodnoty podľa článku 134 ods. 7</w:t>
      </w:r>
      <w:r w:rsidR="004F01E9">
        <w:rPr>
          <w:noProof/>
        </w:rPr>
        <w:t xml:space="preserve"> a </w:t>
      </w:r>
      <w:r w:rsidRPr="004F01E9">
        <w:rPr>
          <w:noProof/>
        </w:rPr>
        <w:t>článku 166 ods. 4;</w:t>
      </w:r>
    </w:p>
    <w:p w14:paraId="4105051D" w14:textId="77777777" w:rsidR="005A21FE" w:rsidRPr="004F01E9" w:rsidRDefault="005A21FE" w:rsidP="005A21FE">
      <w:pPr>
        <w:pStyle w:val="Point2"/>
        <w:rPr>
          <w:noProof/>
        </w:rPr>
      </w:pPr>
      <w:r w:rsidRPr="004F01E9">
        <w:rPr>
          <w:noProof/>
        </w:rPr>
        <w:t>iv)</w:t>
      </w:r>
      <w:r w:rsidRPr="004F01E9">
        <w:rPr>
          <w:noProof/>
        </w:rPr>
        <w:tab/>
        <w:t>mohla umožniť, aby poskytovateľ zabezpečenia skrátil splatnosť kreditného zabezpečenia;</w:t>
      </w:r>
    </w:p>
    <w:p w14:paraId="78A1FDD4" w14:textId="17CA485E" w:rsidR="005A21FE" w:rsidRPr="004F01E9" w:rsidRDefault="005A21FE" w:rsidP="005A21FE">
      <w:pPr>
        <w:pStyle w:val="Point1"/>
        <w:rPr>
          <w:noProof/>
        </w:rPr>
      </w:pPr>
      <w:r w:rsidRPr="004F01E9">
        <w:rPr>
          <w:noProof/>
        </w:rPr>
        <w:t>d)</w:t>
      </w:r>
      <w:r w:rsidRPr="004F01E9">
        <w:rPr>
          <w:noProof/>
        </w:rPr>
        <w:tab/>
        <w:t>zmluva</w:t>
      </w:r>
      <w:r w:rsidR="004F01E9">
        <w:rPr>
          <w:noProof/>
        </w:rPr>
        <w:t xml:space="preserve"> o </w:t>
      </w:r>
      <w:r w:rsidRPr="004F01E9">
        <w:rPr>
          <w:noProof/>
        </w:rPr>
        <w:t>kreditnom zabezpečení je právne účinná</w:t>
      </w:r>
      <w:r w:rsidR="004F01E9">
        <w:rPr>
          <w:noProof/>
        </w:rPr>
        <w:t xml:space="preserve"> a </w:t>
      </w:r>
      <w:r w:rsidRPr="004F01E9">
        <w:rPr>
          <w:noProof/>
        </w:rPr>
        <w:t>vymožiteľná vo všetkých jurisdikciách, ktoré sú príslušné</w:t>
      </w:r>
      <w:r w:rsidR="004F01E9">
        <w:rPr>
          <w:noProof/>
        </w:rPr>
        <w:t xml:space="preserve"> v </w:t>
      </w:r>
      <w:r w:rsidRPr="004F01E9">
        <w:rPr>
          <w:noProof/>
        </w:rPr>
        <w:t>čase uzatvorenia úverovej zmluvy.</w:t>
      </w:r>
    </w:p>
    <w:p w14:paraId="7993951D" w14:textId="0A0983A0" w:rsidR="005A21FE" w:rsidRPr="004F01E9" w:rsidRDefault="005A21FE" w:rsidP="005A21FE">
      <w:pPr>
        <w:pStyle w:val="Text1"/>
        <w:rPr>
          <w:noProof/>
        </w:rPr>
      </w:pPr>
      <w:r w:rsidRPr="004F01E9">
        <w:rPr>
          <w:noProof/>
        </w:rPr>
        <w:t>Na účely písmena c) sa doložkou</w:t>
      </w:r>
      <w:r w:rsidR="004F01E9">
        <w:rPr>
          <w:noProof/>
        </w:rPr>
        <w:t xml:space="preserve"> v </w:t>
      </w:r>
      <w:r w:rsidRPr="004F01E9">
        <w:rPr>
          <w:noProof/>
        </w:rPr>
        <w:t>zmluve</w:t>
      </w:r>
      <w:r w:rsidR="004F01E9">
        <w:rPr>
          <w:noProof/>
        </w:rPr>
        <w:t xml:space="preserve"> o </w:t>
      </w:r>
      <w:r w:rsidRPr="004F01E9">
        <w:rPr>
          <w:noProof/>
        </w:rPr>
        <w:t>kreditnom zabezpečení,</w:t>
      </w:r>
      <w:r w:rsidR="004F01E9">
        <w:rPr>
          <w:noProof/>
        </w:rPr>
        <w:t xml:space="preserve"> v </w:t>
      </w:r>
      <w:r w:rsidRPr="004F01E9">
        <w:rPr>
          <w:noProof/>
        </w:rPr>
        <w:t>ktorej sa stanovuje, že chybnou náležitou starostlivosťou alebo podvodom zo strany požičiavajúcej inštitúcie sa zrušuje alebo redukuje rozsah kreditného zabezpečenia, ktoré ponúka ručiteľ, nesmie znemožniť, aby bolo dané kreditné zabezpečenie prípustné. Každá zmluva</w:t>
      </w:r>
      <w:r w:rsidR="004F01E9">
        <w:rPr>
          <w:noProof/>
        </w:rPr>
        <w:t xml:space="preserve"> o </w:t>
      </w:r>
      <w:r w:rsidRPr="004F01E9">
        <w:rPr>
          <w:noProof/>
        </w:rPr>
        <w:t>kreditnom zabezpečení, ktorú možno</w:t>
      </w:r>
      <w:r w:rsidR="004F01E9">
        <w:rPr>
          <w:noProof/>
        </w:rPr>
        <w:t xml:space="preserve"> v </w:t>
      </w:r>
      <w:r w:rsidRPr="004F01E9">
        <w:rPr>
          <w:noProof/>
        </w:rPr>
        <w:t>prípade podvodu dlžníka zrušiť alebo ktorej rozsah kreditného zabezpečenia možno zredukovať, sa považuje za zmluvu, ktorá nespĺňa uvedené požiadavky.</w:t>
      </w:r>
    </w:p>
    <w:p w14:paraId="2DCC7757" w14:textId="0B3CF1AD" w:rsidR="005A21FE" w:rsidRPr="004F01E9" w:rsidRDefault="005A21FE" w:rsidP="005A21FE">
      <w:pPr>
        <w:pStyle w:val="Text1"/>
        <w:rPr>
          <w:noProof/>
        </w:rPr>
      </w:pPr>
      <w:r w:rsidRPr="004F01E9">
        <w:rPr>
          <w:noProof/>
        </w:rPr>
        <w:t>Na účely písmena c) môže poskytovateľ zabezpečenia vykonať jednu jednorazovú platbu všetkých súm peňazí splatných</w:t>
      </w:r>
      <w:r w:rsidR="004F01E9">
        <w:rPr>
          <w:noProof/>
        </w:rPr>
        <w:t xml:space="preserve"> v </w:t>
      </w:r>
      <w:r w:rsidRPr="004F01E9">
        <w:rPr>
          <w:noProof/>
        </w:rPr>
        <w:t>rámci danej pohľadávky alebo môže prevziať budúce platobné povinnosti dlžníka, na ktoré sa vzťahuje zmluva</w:t>
      </w:r>
      <w:r w:rsidR="004F01E9">
        <w:rPr>
          <w:noProof/>
        </w:rPr>
        <w:t xml:space="preserve"> o </w:t>
      </w:r>
      <w:r w:rsidRPr="004F01E9">
        <w:rPr>
          <w:noProof/>
        </w:rPr>
        <w:t>kreditnom zabezpečení.“</w:t>
      </w:r>
    </w:p>
    <w:p w14:paraId="180B1D8C" w14:textId="5D85E98E" w:rsidR="005A21FE" w:rsidRPr="004F01E9" w:rsidRDefault="00B16452" w:rsidP="00376CBB">
      <w:pPr>
        <w:pStyle w:val="Point0"/>
        <w:keepNext/>
        <w:keepLines/>
        <w:rPr>
          <w:noProof/>
        </w:rPr>
      </w:pPr>
      <w:r w:rsidRPr="00B16452">
        <w:rPr>
          <w:noProof/>
        </w:rPr>
        <w:t>106</w:t>
      </w:r>
      <w:r>
        <w:rPr>
          <w:noProof/>
        </w:rPr>
        <w:t>.</w:t>
      </w:r>
      <w:r w:rsidRPr="00B16452">
        <w:rPr>
          <w:noProof/>
        </w:rPr>
        <w:tab/>
      </w:r>
      <w:r w:rsidR="005A21FE" w:rsidRPr="004F01E9">
        <w:rPr>
          <w:noProof/>
        </w:rPr>
        <w:t>Článok 215 sa mení takto:</w:t>
      </w:r>
    </w:p>
    <w:p w14:paraId="16990816" w14:textId="6D4CCAD9" w:rsidR="00806B81" w:rsidRPr="004F01E9" w:rsidRDefault="00A156E0" w:rsidP="00376CBB">
      <w:pPr>
        <w:pStyle w:val="Point1"/>
        <w:keepNext/>
        <w:keepLines/>
        <w:rPr>
          <w:noProof/>
        </w:rPr>
      </w:pPr>
      <w:r w:rsidRPr="004F01E9">
        <w:rPr>
          <w:noProof/>
        </w:rPr>
        <w:t>a)</w:t>
      </w:r>
      <w:r w:rsidRPr="004F01E9">
        <w:rPr>
          <w:noProof/>
        </w:rPr>
        <w:tab/>
        <w:t>Odsek 1 sa mení takto:</w:t>
      </w:r>
    </w:p>
    <w:p w14:paraId="31CAA7B2" w14:textId="76DD2E4B" w:rsidR="005A21FE" w:rsidRPr="004F01E9" w:rsidRDefault="00A156E0" w:rsidP="00376CBB">
      <w:pPr>
        <w:pStyle w:val="Point2"/>
        <w:keepNext/>
        <w:keepLines/>
        <w:rPr>
          <w:noProof/>
        </w:rPr>
      </w:pPr>
      <w:r w:rsidRPr="004F01E9">
        <w:rPr>
          <w:noProof/>
        </w:rPr>
        <w:t>i)</w:t>
      </w:r>
      <w:r w:rsidRPr="004F01E9">
        <w:rPr>
          <w:noProof/>
        </w:rPr>
        <w:tab/>
        <w:t>Písmeno a) sa nahrádza takto:</w:t>
      </w:r>
    </w:p>
    <w:p w14:paraId="01A4EFEF" w14:textId="53799CE4" w:rsidR="00806B81" w:rsidRPr="004F01E9" w:rsidRDefault="005A21FE" w:rsidP="00376CBB">
      <w:pPr>
        <w:pStyle w:val="Text3"/>
        <w:keepNext/>
        <w:keepLines/>
        <w:rPr>
          <w:noProof/>
        </w:rPr>
      </w:pPr>
      <w:r w:rsidRPr="004F01E9">
        <w:rPr>
          <w:noProof/>
        </w:rPr>
        <w:t>„a) pri stanovení zlyhania dlžníka alebo pri neuskutočnení platby dlžníkom má požičiavajúca inštitúcia právo včas vymáhať od ručiteľa akúkoľvek sumu peňazí splatnú</w:t>
      </w:r>
      <w:r w:rsidR="004F01E9">
        <w:rPr>
          <w:noProof/>
        </w:rPr>
        <w:t xml:space="preserve"> v </w:t>
      </w:r>
      <w:r w:rsidRPr="004F01E9">
        <w:rPr>
          <w:noProof/>
        </w:rPr>
        <w:t>rámci pohľadávky, ku ktorej je zabezpečenie poskytnuté.“;</w:t>
      </w:r>
    </w:p>
    <w:p w14:paraId="2260CF37" w14:textId="5E41C22D" w:rsidR="005A21FE" w:rsidRPr="004F01E9" w:rsidRDefault="00A156E0" w:rsidP="005A21FE">
      <w:pPr>
        <w:pStyle w:val="Point2"/>
        <w:rPr>
          <w:noProof/>
        </w:rPr>
      </w:pPr>
      <w:r w:rsidRPr="004F01E9">
        <w:rPr>
          <w:noProof/>
        </w:rPr>
        <w:t>ii)</w:t>
      </w:r>
      <w:r w:rsidRPr="004F01E9">
        <w:rPr>
          <w:noProof/>
        </w:rPr>
        <w:tab/>
        <w:t>Dopĺňajú sa tieto pododseky:</w:t>
      </w:r>
    </w:p>
    <w:p w14:paraId="161AFCCF" w14:textId="77777777" w:rsidR="00806B81" w:rsidRPr="004F01E9" w:rsidRDefault="005A21FE" w:rsidP="00A156E0">
      <w:pPr>
        <w:pStyle w:val="Text3"/>
        <w:rPr>
          <w:noProof/>
        </w:rPr>
      </w:pPr>
      <w:r w:rsidRPr="004F01E9">
        <w:rPr>
          <w:noProof/>
        </w:rPr>
        <w:t>„Platba ručiteľa nie je podmienená predchádzajúcim vymáhaním platby od dlžníka zo strany požičiavajúcej inštitúcie.</w:t>
      </w:r>
    </w:p>
    <w:p w14:paraId="7532EFBA" w14:textId="2AF83591" w:rsidR="005A21FE" w:rsidRPr="004F01E9" w:rsidRDefault="005A21FE" w:rsidP="00A156E0">
      <w:pPr>
        <w:pStyle w:val="Text3"/>
        <w:rPr>
          <w:noProof/>
        </w:rPr>
      </w:pPr>
      <w:r w:rsidRPr="004F01E9">
        <w:rPr>
          <w:noProof/>
        </w:rPr>
        <w:t>V prípade nefinancovaného kreditného zabezpečenia zabezpečujúceho hypotekárne úvery na nehnuteľný majetok určený na bývanie musia byť požiadavky uvedené</w:t>
      </w:r>
      <w:r w:rsidR="004F01E9">
        <w:rPr>
          <w:noProof/>
        </w:rPr>
        <w:t xml:space="preserve"> v </w:t>
      </w:r>
      <w:r w:rsidRPr="004F01E9">
        <w:rPr>
          <w:noProof/>
        </w:rPr>
        <w:t>článku 213 ods. 1 písm. c) bode iii)</w:t>
      </w:r>
      <w:r w:rsidR="004F01E9">
        <w:rPr>
          <w:noProof/>
        </w:rPr>
        <w:t xml:space="preserve"> a v </w:t>
      </w:r>
      <w:r w:rsidRPr="004F01E9">
        <w:rPr>
          <w:noProof/>
        </w:rPr>
        <w:t>prvom pododseku tohto písmena splnené len</w:t>
      </w:r>
      <w:r w:rsidR="004F01E9">
        <w:rPr>
          <w:noProof/>
        </w:rPr>
        <w:t xml:space="preserve"> v </w:t>
      </w:r>
      <w:r w:rsidRPr="004F01E9">
        <w:rPr>
          <w:noProof/>
        </w:rPr>
        <w:t>období 24 mesiacov.“;</w:t>
      </w:r>
    </w:p>
    <w:p w14:paraId="3E239733" w14:textId="010A44F8" w:rsidR="005A21FE" w:rsidRPr="004F01E9" w:rsidRDefault="00A156E0" w:rsidP="00A156E0">
      <w:pPr>
        <w:pStyle w:val="Point1"/>
        <w:rPr>
          <w:noProof/>
        </w:rPr>
      </w:pPr>
      <w:r w:rsidRPr="004F01E9">
        <w:rPr>
          <w:noProof/>
        </w:rPr>
        <w:t>b)</w:t>
      </w:r>
      <w:r w:rsidRPr="004F01E9">
        <w:rPr>
          <w:noProof/>
        </w:rPr>
        <w:tab/>
        <w:t>Odsek 2 sa nahrádza takto:</w:t>
      </w:r>
    </w:p>
    <w:p w14:paraId="766C5744" w14:textId="1BA8C8CC" w:rsidR="005A21FE" w:rsidRPr="004F01E9" w:rsidRDefault="005A21FE" w:rsidP="005A21FE">
      <w:pPr>
        <w:pStyle w:val="Text2"/>
        <w:rPr>
          <w:noProof/>
        </w:rPr>
      </w:pPr>
      <w:r w:rsidRPr="004F01E9">
        <w:rPr>
          <w:noProof/>
        </w:rPr>
        <w:t>„2.</w:t>
      </w:r>
      <w:r w:rsidR="004F01E9">
        <w:rPr>
          <w:noProof/>
        </w:rPr>
        <w:t xml:space="preserve"> V </w:t>
      </w:r>
      <w:r w:rsidRPr="004F01E9">
        <w:rPr>
          <w:noProof/>
        </w:rPr>
        <w:t>prípade záruk, ktoré sú poskytnuté</w:t>
      </w:r>
      <w:r w:rsidR="004F01E9">
        <w:rPr>
          <w:noProof/>
        </w:rPr>
        <w:t xml:space="preserve"> v </w:t>
      </w:r>
      <w:r w:rsidRPr="004F01E9">
        <w:rPr>
          <w:noProof/>
        </w:rPr>
        <w:t>rámci schém vzájomného ručenia alebo ktoré sú poskytnuté alebo dodatočne kryté subjektmi uvedenými</w:t>
      </w:r>
      <w:r w:rsidR="004F01E9">
        <w:rPr>
          <w:noProof/>
        </w:rPr>
        <w:t xml:space="preserve"> v </w:t>
      </w:r>
      <w:r w:rsidRPr="004F01E9">
        <w:rPr>
          <w:noProof/>
        </w:rPr>
        <w:t>článku 214 ods. 2, sa požiadavky uvedené</w:t>
      </w:r>
      <w:r w:rsidR="004F01E9">
        <w:rPr>
          <w:noProof/>
        </w:rPr>
        <w:t xml:space="preserve"> v </w:t>
      </w:r>
      <w:r w:rsidRPr="004F01E9">
        <w:rPr>
          <w:noProof/>
        </w:rPr>
        <w:t>odseku 1 písm. a) tohto článku</w:t>
      </w:r>
      <w:r w:rsidR="004F01E9">
        <w:rPr>
          <w:noProof/>
        </w:rPr>
        <w:t xml:space="preserve"> a v </w:t>
      </w:r>
      <w:r w:rsidRPr="004F01E9">
        <w:rPr>
          <w:noProof/>
        </w:rPr>
        <w:t>článku 213 ods. 1 písm. c) bode iii) považujú za splnené, ak je splnená jedna</w:t>
      </w:r>
      <w:r w:rsidR="004F01E9">
        <w:rPr>
          <w:noProof/>
        </w:rPr>
        <w:t xml:space="preserve"> z </w:t>
      </w:r>
      <w:r w:rsidRPr="004F01E9">
        <w:rPr>
          <w:noProof/>
        </w:rPr>
        <w:t>týchto podmienok:</w:t>
      </w:r>
    </w:p>
    <w:p w14:paraId="1E8B2862" w14:textId="5783A82F" w:rsidR="00806B81" w:rsidRPr="004F01E9" w:rsidRDefault="005A21FE" w:rsidP="005A21FE">
      <w:pPr>
        <w:pStyle w:val="Point2"/>
        <w:rPr>
          <w:noProof/>
        </w:rPr>
      </w:pPr>
      <w:r w:rsidRPr="004F01E9">
        <w:rPr>
          <w:noProof/>
        </w:rPr>
        <w:t>a)</w:t>
      </w:r>
      <w:r w:rsidRPr="004F01E9">
        <w:rPr>
          <w:noProof/>
        </w:rPr>
        <w:tab/>
        <w:t>v dôsledku zlyhania dlžníka alebo</w:t>
      </w:r>
      <w:r w:rsidR="004F01E9">
        <w:rPr>
          <w:noProof/>
        </w:rPr>
        <w:t xml:space="preserve"> v </w:t>
      </w:r>
      <w:r w:rsidRPr="004F01E9">
        <w:rPr>
          <w:noProof/>
        </w:rPr>
        <w:t>dôsledku udalosti, keď pôvodný dlžník neuhradí splatné platby, má požičiavajúca inštitúcia právo včas získať predbežnú platbu od ručiteľa, ktorá spĺňa obe tieto podmienky:</w:t>
      </w:r>
    </w:p>
    <w:p w14:paraId="424F88E4" w14:textId="7337AECA" w:rsidR="005A21FE" w:rsidRPr="004F01E9" w:rsidRDefault="005A21FE" w:rsidP="005A21FE">
      <w:pPr>
        <w:pStyle w:val="Point3"/>
        <w:rPr>
          <w:noProof/>
        </w:rPr>
      </w:pPr>
      <w:r w:rsidRPr="004F01E9">
        <w:rPr>
          <w:noProof/>
        </w:rPr>
        <w:t>i)</w:t>
      </w:r>
      <w:r w:rsidRPr="004F01E9">
        <w:rPr>
          <w:noProof/>
        </w:rPr>
        <w:tab/>
        <w:t>predbežná platba predstavuje spoľahlivý odhad výšky straty, ktorú požičiavajúca inštitúcia pravdepodobne utrpí, vrátane strát vyplývajúcich</w:t>
      </w:r>
      <w:r w:rsidR="004F01E9">
        <w:rPr>
          <w:noProof/>
        </w:rPr>
        <w:t xml:space="preserve"> z </w:t>
      </w:r>
      <w:r w:rsidRPr="004F01E9">
        <w:rPr>
          <w:noProof/>
        </w:rPr>
        <w:t>neuskutočnenia platby úrokov</w:t>
      </w:r>
      <w:r w:rsidR="004F01E9">
        <w:rPr>
          <w:noProof/>
        </w:rPr>
        <w:t xml:space="preserve"> a </w:t>
      </w:r>
      <w:r w:rsidRPr="004F01E9">
        <w:rPr>
          <w:noProof/>
        </w:rPr>
        <w:t>iných druhov platieb, ktoré je dlžník povinný uskutočniť;</w:t>
      </w:r>
    </w:p>
    <w:p w14:paraId="00436481" w14:textId="2B431221" w:rsidR="005A21FE" w:rsidRPr="004F01E9" w:rsidRDefault="005A21FE" w:rsidP="005A21FE">
      <w:pPr>
        <w:pStyle w:val="Point3"/>
        <w:rPr>
          <w:noProof/>
        </w:rPr>
      </w:pPr>
      <w:r w:rsidRPr="004F01E9">
        <w:rPr>
          <w:noProof/>
        </w:rPr>
        <w:t>ii)</w:t>
      </w:r>
      <w:r w:rsidRPr="004F01E9">
        <w:rPr>
          <w:noProof/>
        </w:rPr>
        <w:tab/>
        <w:t>predbežná platba je úmerná krytiu záruky;</w:t>
      </w:r>
    </w:p>
    <w:p w14:paraId="34735BE4" w14:textId="46DA42C2" w:rsidR="005A21FE" w:rsidRPr="004F01E9" w:rsidRDefault="005A21FE" w:rsidP="005A21FE">
      <w:pPr>
        <w:pStyle w:val="Point2"/>
        <w:rPr>
          <w:noProof/>
        </w:rPr>
      </w:pPr>
      <w:r w:rsidRPr="004F01E9">
        <w:rPr>
          <w:noProof/>
        </w:rPr>
        <w:t>b)</w:t>
      </w:r>
      <w:r w:rsidRPr="004F01E9">
        <w:rPr>
          <w:noProof/>
        </w:rPr>
        <w:tab/>
        <w:t>požičiavajúca inštitúcia je schopná preukázať</w:t>
      </w:r>
      <w:r w:rsidR="004F01E9">
        <w:rPr>
          <w:noProof/>
        </w:rPr>
        <w:t xml:space="preserve"> k </w:t>
      </w:r>
      <w:r w:rsidRPr="004F01E9">
        <w:rPr>
          <w:noProof/>
        </w:rPr>
        <w:t>spokojnosti príslušných orgánov, že účinky záruky, ktorou sa kryjú aj straty vyplývajúce</w:t>
      </w:r>
      <w:r w:rsidR="004F01E9">
        <w:rPr>
          <w:noProof/>
        </w:rPr>
        <w:t xml:space="preserve"> z </w:t>
      </w:r>
      <w:r w:rsidRPr="004F01E9">
        <w:rPr>
          <w:noProof/>
        </w:rPr>
        <w:t>neuskutočnenia platieb úrokov</w:t>
      </w:r>
      <w:r w:rsidR="004F01E9">
        <w:rPr>
          <w:noProof/>
        </w:rPr>
        <w:t xml:space="preserve"> a </w:t>
      </w:r>
      <w:r w:rsidRPr="004F01E9">
        <w:rPr>
          <w:noProof/>
        </w:rPr>
        <w:t>iných druhov platieb, ktoré je dlžník povinný uskutočniť, takéto zaobchádzanie odôvodňujú.“</w:t>
      </w:r>
    </w:p>
    <w:p w14:paraId="4899080E" w14:textId="71FA3548" w:rsidR="005A21FE" w:rsidRPr="004F01E9" w:rsidRDefault="00B16452" w:rsidP="00B16452">
      <w:pPr>
        <w:pStyle w:val="Point0"/>
        <w:rPr>
          <w:noProof/>
        </w:rPr>
      </w:pPr>
      <w:r w:rsidRPr="00B16452">
        <w:rPr>
          <w:noProof/>
        </w:rPr>
        <w:t>107</w:t>
      </w:r>
      <w:r>
        <w:rPr>
          <w:noProof/>
        </w:rPr>
        <w:t>.</w:t>
      </w:r>
      <w:r w:rsidRPr="00B16452">
        <w:rPr>
          <w:noProof/>
        </w:rPr>
        <w:tab/>
      </w:r>
      <w:r w:rsidR="005A21FE" w:rsidRPr="004F01E9">
        <w:rPr>
          <w:noProof/>
        </w:rPr>
        <w:t>V článku 216 sa dopĺňa tento odsek 3:</w:t>
      </w:r>
    </w:p>
    <w:p w14:paraId="31D6DB3A" w14:textId="59060439" w:rsidR="005A21FE" w:rsidRPr="004F01E9" w:rsidRDefault="005A21FE" w:rsidP="005A21FE">
      <w:pPr>
        <w:pStyle w:val="Text1"/>
        <w:rPr>
          <w:noProof/>
        </w:rPr>
      </w:pPr>
      <w:r w:rsidRPr="004F01E9">
        <w:rPr>
          <w:noProof/>
        </w:rPr>
        <w:t>„3. Odchylne od odseku 1</w:t>
      </w:r>
      <w:r w:rsidR="004F01E9">
        <w:rPr>
          <w:noProof/>
        </w:rPr>
        <w:t xml:space="preserve"> v </w:t>
      </w:r>
      <w:r w:rsidRPr="004F01E9">
        <w:rPr>
          <w:noProof/>
        </w:rPr>
        <w:t>prípade expozície voči podnikateľským subjektom, na ktorú sa vzťahuje kreditný derivát, kreditná udalosť uvedená</w:t>
      </w:r>
      <w:r w:rsidR="004F01E9">
        <w:rPr>
          <w:noProof/>
        </w:rPr>
        <w:t xml:space="preserve"> v </w:t>
      </w:r>
      <w:r w:rsidRPr="004F01E9">
        <w:rPr>
          <w:noProof/>
        </w:rPr>
        <w:t>písmene a) bode iii) uvedeného odseku nemusí byť uvedená</w:t>
      </w:r>
      <w:r w:rsidR="004F01E9">
        <w:rPr>
          <w:noProof/>
        </w:rPr>
        <w:t xml:space="preserve"> v </w:t>
      </w:r>
      <w:r w:rsidRPr="004F01E9">
        <w:rPr>
          <w:noProof/>
        </w:rPr>
        <w:t>zmluve</w:t>
      </w:r>
      <w:r w:rsidR="004F01E9">
        <w:rPr>
          <w:noProof/>
        </w:rPr>
        <w:t xml:space="preserve"> o </w:t>
      </w:r>
      <w:r w:rsidRPr="004F01E9">
        <w:rPr>
          <w:noProof/>
        </w:rPr>
        <w:t>derivátoch za predpokladu, že sú splnené všetky tieto podmienky:</w:t>
      </w:r>
    </w:p>
    <w:p w14:paraId="1AA50741" w14:textId="4812B7CB" w:rsidR="005A21FE" w:rsidRPr="004F01E9" w:rsidRDefault="005A21FE" w:rsidP="005A21FE">
      <w:pPr>
        <w:pStyle w:val="Point1"/>
        <w:rPr>
          <w:noProof/>
        </w:rPr>
      </w:pPr>
      <w:r w:rsidRPr="004F01E9">
        <w:rPr>
          <w:noProof/>
        </w:rPr>
        <w:t>a)</w:t>
      </w:r>
      <w:r w:rsidRPr="004F01E9">
        <w:rPr>
          <w:noProof/>
        </w:rPr>
        <w:tab/>
        <w:t>na zmenu splatnosti, istiny, kupónu, meny alebo nadriadenosti podkladovej expozície voči podnikateľským subjektom je potrebných 100</w:t>
      </w:r>
      <w:r w:rsidR="004F01E9">
        <w:rPr>
          <w:noProof/>
        </w:rPr>
        <w:t> %</w:t>
      </w:r>
      <w:r w:rsidRPr="004F01E9">
        <w:rPr>
          <w:noProof/>
        </w:rPr>
        <w:t xml:space="preserve"> hlasov;</w:t>
      </w:r>
    </w:p>
    <w:p w14:paraId="697D2472" w14:textId="5CB57F25" w:rsidR="00806B81" w:rsidRPr="00376CBB" w:rsidRDefault="005A21FE" w:rsidP="005A21FE">
      <w:pPr>
        <w:pStyle w:val="Point1"/>
        <w:rPr>
          <w:noProof/>
          <w:spacing w:val="-4"/>
        </w:rPr>
      </w:pPr>
      <w:r w:rsidRPr="004F01E9">
        <w:rPr>
          <w:noProof/>
        </w:rPr>
        <w:t>b)</w:t>
      </w:r>
      <w:r w:rsidRPr="004F01E9">
        <w:rPr>
          <w:noProof/>
        </w:rPr>
        <w:tab/>
      </w:r>
      <w:r w:rsidRPr="00376CBB">
        <w:rPr>
          <w:noProof/>
          <w:spacing w:val="-4"/>
        </w:rPr>
        <w:t>právny domicil,</w:t>
      </w:r>
      <w:r w:rsidR="004F01E9" w:rsidRPr="00376CBB">
        <w:rPr>
          <w:noProof/>
          <w:spacing w:val="-4"/>
        </w:rPr>
        <w:t xml:space="preserve"> v </w:t>
      </w:r>
      <w:r w:rsidRPr="00376CBB">
        <w:rPr>
          <w:noProof/>
          <w:spacing w:val="-4"/>
        </w:rPr>
        <w:t>ktorom je expozícia voči podnikateľským subjektom riadená, má ustálený zákon</w:t>
      </w:r>
      <w:r w:rsidR="004F01E9" w:rsidRPr="00376CBB">
        <w:rPr>
          <w:noProof/>
          <w:spacing w:val="-4"/>
        </w:rPr>
        <w:t xml:space="preserve"> o </w:t>
      </w:r>
      <w:r w:rsidRPr="00376CBB">
        <w:rPr>
          <w:noProof/>
          <w:spacing w:val="-4"/>
        </w:rPr>
        <w:t>konkurze, ktorý umožňuje reorganizáciu</w:t>
      </w:r>
      <w:r w:rsidR="004F01E9" w:rsidRPr="00376CBB">
        <w:rPr>
          <w:noProof/>
          <w:spacing w:val="-4"/>
        </w:rPr>
        <w:t xml:space="preserve"> a </w:t>
      </w:r>
      <w:r w:rsidRPr="00376CBB">
        <w:rPr>
          <w:noProof/>
          <w:spacing w:val="-4"/>
        </w:rPr>
        <w:t>reštrukturalizáciu spoločnosti,</w:t>
      </w:r>
      <w:r w:rsidR="004F01E9" w:rsidRPr="00376CBB">
        <w:rPr>
          <w:noProof/>
          <w:spacing w:val="-4"/>
        </w:rPr>
        <w:t xml:space="preserve"> a </w:t>
      </w:r>
      <w:r w:rsidRPr="00376CBB">
        <w:rPr>
          <w:noProof/>
          <w:spacing w:val="-4"/>
        </w:rPr>
        <w:t>umožňuje riadne vyrovnanie pohľadávok veriteľov.</w:t>
      </w:r>
    </w:p>
    <w:p w14:paraId="44F0EB0A" w14:textId="37471579" w:rsidR="005A21FE" w:rsidRPr="00376CBB" w:rsidRDefault="005A21FE" w:rsidP="005A21FE">
      <w:pPr>
        <w:pStyle w:val="Text1"/>
        <w:rPr>
          <w:noProof/>
          <w:spacing w:val="-4"/>
        </w:rPr>
      </w:pPr>
      <w:r w:rsidRPr="00376CBB">
        <w:rPr>
          <w:noProof/>
          <w:spacing w:val="-4"/>
        </w:rPr>
        <w:t>Ak podmienky stanovené</w:t>
      </w:r>
      <w:r w:rsidR="004F01E9" w:rsidRPr="00376CBB">
        <w:rPr>
          <w:noProof/>
          <w:spacing w:val="-4"/>
        </w:rPr>
        <w:t xml:space="preserve"> v </w:t>
      </w:r>
      <w:r w:rsidRPr="00376CBB">
        <w:rPr>
          <w:noProof/>
          <w:spacing w:val="-4"/>
        </w:rPr>
        <w:t>písmenách a)</w:t>
      </w:r>
      <w:r w:rsidR="004F01E9" w:rsidRPr="00376CBB">
        <w:rPr>
          <w:noProof/>
          <w:spacing w:val="-4"/>
        </w:rPr>
        <w:t xml:space="preserve"> a </w:t>
      </w:r>
      <w:r w:rsidRPr="00376CBB">
        <w:rPr>
          <w:noProof/>
          <w:spacing w:val="-4"/>
        </w:rPr>
        <w:t>b) nie sú splnené, kreditné zabezpečenie môže byť napriek tomu prípustné pod podmienkou zníženia hodnoty, ako sa uvádza</w:t>
      </w:r>
      <w:r w:rsidR="004F01E9" w:rsidRPr="00376CBB">
        <w:rPr>
          <w:noProof/>
          <w:spacing w:val="-4"/>
        </w:rPr>
        <w:t xml:space="preserve"> v </w:t>
      </w:r>
      <w:r w:rsidRPr="00376CBB">
        <w:rPr>
          <w:noProof/>
          <w:spacing w:val="-4"/>
        </w:rPr>
        <w:t>článku 233 ods. 2.“</w:t>
      </w:r>
    </w:p>
    <w:p w14:paraId="6975C2A9" w14:textId="739F76F0" w:rsidR="005A21FE" w:rsidRPr="004F01E9" w:rsidRDefault="00B16452" w:rsidP="00B16452">
      <w:pPr>
        <w:pStyle w:val="Point0"/>
        <w:rPr>
          <w:noProof/>
        </w:rPr>
      </w:pPr>
      <w:r w:rsidRPr="00B16452">
        <w:rPr>
          <w:noProof/>
        </w:rPr>
        <w:t>108</w:t>
      </w:r>
      <w:r>
        <w:rPr>
          <w:noProof/>
        </w:rPr>
        <w:t>.</w:t>
      </w:r>
      <w:r w:rsidRPr="00B16452">
        <w:rPr>
          <w:noProof/>
        </w:rPr>
        <w:tab/>
      </w:r>
      <w:r w:rsidR="005A21FE" w:rsidRPr="004F01E9">
        <w:rPr>
          <w:noProof/>
        </w:rPr>
        <w:t>Článok 217 sa vypúšťa.</w:t>
      </w:r>
    </w:p>
    <w:p w14:paraId="6B921E67" w14:textId="581F91BF" w:rsidR="00806B81" w:rsidRPr="004F01E9" w:rsidRDefault="00B16452" w:rsidP="00B16452">
      <w:pPr>
        <w:pStyle w:val="Point0"/>
        <w:rPr>
          <w:noProof/>
        </w:rPr>
      </w:pPr>
      <w:r w:rsidRPr="00B16452">
        <w:rPr>
          <w:noProof/>
        </w:rPr>
        <w:t>109</w:t>
      </w:r>
      <w:r>
        <w:rPr>
          <w:noProof/>
        </w:rPr>
        <w:t>.</w:t>
      </w:r>
      <w:r w:rsidRPr="00B16452">
        <w:rPr>
          <w:noProof/>
        </w:rPr>
        <w:tab/>
      </w:r>
      <w:r w:rsidR="005A21FE" w:rsidRPr="004F01E9">
        <w:rPr>
          <w:noProof/>
        </w:rPr>
        <w:t>Článok 219 sa nahrádza takto:</w:t>
      </w:r>
    </w:p>
    <w:p w14:paraId="2122FA03" w14:textId="75EA9EDF" w:rsidR="005A21FE" w:rsidRPr="004F01E9" w:rsidRDefault="005A21FE" w:rsidP="005A21FE">
      <w:pPr>
        <w:pStyle w:val="Titrearticle"/>
        <w:rPr>
          <w:b/>
          <w:i w:val="0"/>
          <w:noProof/>
        </w:rPr>
      </w:pPr>
      <w:r w:rsidRPr="004F01E9">
        <w:rPr>
          <w:noProof/>
        </w:rPr>
        <w:t xml:space="preserve">Článok 219 </w:t>
      </w:r>
      <w:r w:rsidRPr="004F01E9">
        <w:rPr>
          <w:noProof/>
        </w:rPr>
        <w:br/>
      </w:r>
      <w:r w:rsidRPr="004F01E9">
        <w:rPr>
          <w:b/>
          <w:i w:val="0"/>
          <w:noProof/>
        </w:rPr>
        <w:t>Vzájomné započítavanie</w:t>
      </w:r>
      <w:r w:rsidR="004F01E9">
        <w:rPr>
          <w:b/>
          <w:i w:val="0"/>
          <w:noProof/>
        </w:rPr>
        <w:t xml:space="preserve"> v </w:t>
      </w:r>
      <w:r w:rsidRPr="004F01E9">
        <w:rPr>
          <w:b/>
          <w:i w:val="0"/>
          <w:noProof/>
        </w:rPr>
        <w:t>súvahe</w:t>
      </w:r>
    </w:p>
    <w:p w14:paraId="55DDF98A" w14:textId="72F50246" w:rsidR="005A21FE" w:rsidRPr="00376CBB" w:rsidRDefault="005A21FE" w:rsidP="005A21FE">
      <w:pPr>
        <w:pStyle w:val="Text1"/>
        <w:rPr>
          <w:noProof/>
          <w:spacing w:val="-10"/>
        </w:rPr>
      </w:pPr>
      <w:r w:rsidRPr="00376CBB">
        <w:rPr>
          <w:noProof/>
          <w:spacing w:val="-10"/>
        </w:rPr>
        <w:t>S úvermi požičiavajúcej inštitúcii</w:t>
      </w:r>
      <w:r w:rsidR="004F01E9" w:rsidRPr="00376CBB">
        <w:rPr>
          <w:noProof/>
          <w:spacing w:val="-10"/>
        </w:rPr>
        <w:t xml:space="preserve"> a </w:t>
      </w:r>
      <w:r w:rsidRPr="00376CBB">
        <w:rPr>
          <w:noProof/>
          <w:spacing w:val="-10"/>
        </w:rPr>
        <w:t>vkladmi</w:t>
      </w:r>
      <w:r w:rsidR="004F01E9" w:rsidRPr="00376CBB">
        <w:rPr>
          <w:noProof/>
          <w:spacing w:val="-10"/>
        </w:rPr>
        <w:t xml:space="preserve"> v </w:t>
      </w:r>
      <w:r w:rsidRPr="00376CBB">
        <w:rPr>
          <w:noProof/>
          <w:spacing w:val="-10"/>
        </w:rPr>
        <w:t>požičiavajúcej inštitúcii, ktoré podliehajú vzájomnému započítavaniu</w:t>
      </w:r>
      <w:r w:rsidR="004F01E9" w:rsidRPr="00376CBB">
        <w:rPr>
          <w:noProof/>
          <w:spacing w:val="-10"/>
        </w:rPr>
        <w:t xml:space="preserve"> v </w:t>
      </w:r>
      <w:r w:rsidRPr="00376CBB">
        <w:rPr>
          <w:noProof/>
          <w:spacing w:val="-10"/>
        </w:rPr>
        <w:t>súvahe, zaobchádza táto inštitúcia na účely výpočtu účinku financovaného kreditného zabezpečenia pre uvedené úvery</w:t>
      </w:r>
      <w:r w:rsidR="004F01E9" w:rsidRPr="00376CBB">
        <w:rPr>
          <w:noProof/>
          <w:spacing w:val="-10"/>
        </w:rPr>
        <w:t xml:space="preserve"> a </w:t>
      </w:r>
      <w:r w:rsidRPr="00376CBB">
        <w:rPr>
          <w:noProof/>
          <w:spacing w:val="-10"/>
        </w:rPr>
        <w:t>vklady požičiavajúcej inštitúcie, ktoré podliehajú vzájomnému započítavaniu</w:t>
      </w:r>
      <w:r w:rsidR="004F01E9" w:rsidRPr="00376CBB">
        <w:rPr>
          <w:noProof/>
          <w:spacing w:val="-10"/>
        </w:rPr>
        <w:t xml:space="preserve"> v </w:t>
      </w:r>
      <w:r w:rsidRPr="00376CBB">
        <w:rPr>
          <w:noProof/>
          <w:spacing w:val="-10"/>
        </w:rPr>
        <w:t>súvahe, ako</w:t>
      </w:r>
      <w:r w:rsidR="004F01E9" w:rsidRPr="00376CBB">
        <w:rPr>
          <w:noProof/>
          <w:spacing w:val="-10"/>
        </w:rPr>
        <w:t xml:space="preserve"> s </w:t>
      </w:r>
      <w:r w:rsidRPr="00376CBB">
        <w:rPr>
          <w:noProof/>
          <w:spacing w:val="-10"/>
        </w:rPr>
        <w:t>peňažným kolaterálom.“</w:t>
      </w:r>
    </w:p>
    <w:p w14:paraId="3FBB02AB" w14:textId="1E4D7EB7" w:rsidR="005A21FE" w:rsidRPr="004F01E9" w:rsidRDefault="00B16452" w:rsidP="00B16452">
      <w:pPr>
        <w:pStyle w:val="Point0"/>
        <w:rPr>
          <w:noProof/>
        </w:rPr>
      </w:pPr>
      <w:r w:rsidRPr="00B16452">
        <w:rPr>
          <w:noProof/>
        </w:rPr>
        <w:t>110</w:t>
      </w:r>
      <w:r>
        <w:rPr>
          <w:noProof/>
        </w:rPr>
        <w:t>.</w:t>
      </w:r>
      <w:r w:rsidRPr="00B16452">
        <w:rPr>
          <w:noProof/>
        </w:rPr>
        <w:tab/>
      </w:r>
      <w:r w:rsidR="005A21FE" w:rsidRPr="004F01E9">
        <w:rPr>
          <w:noProof/>
        </w:rPr>
        <w:t>Článok 220 sa mení takto:</w:t>
      </w:r>
    </w:p>
    <w:p w14:paraId="0462244E" w14:textId="76F6587A" w:rsidR="005A21FE" w:rsidRPr="004F01E9" w:rsidRDefault="00A755CD" w:rsidP="00A755CD">
      <w:pPr>
        <w:pStyle w:val="Point1"/>
        <w:rPr>
          <w:noProof/>
        </w:rPr>
      </w:pPr>
      <w:r w:rsidRPr="004F01E9">
        <w:rPr>
          <w:noProof/>
        </w:rPr>
        <w:t>a)</w:t>
      </w:r>
      <w:r w:rsidRPr="004F01E9">
        <w:rPr>
          <w:noProof/>
        </w:rPr>
        <w:tab/>
        <w:t>Názov sa nahrádza takto:</w:t>
      </w:r>
    </w:p>
    <w:p w14:paraId="44177111" w14:textId="1C28364C" w:rsidR="005A21FE" w:rsidRPr="004F01E9" w:rsidRDefault="005A21FE" w:rsidP="002A2107">
      <w:pPr>
        <w:pStyle w:val="Titrearticle"/>
        <w:spacing w:beforeLines="120" w:before="288"/>
        <w:rPr>
          <w:noProof/>
        </w:rPr>
      </w:pPr>
      <w:r w:rsidRPr="004F01E9">
        <w:rPr>
          <w:noProof/>
        </w:rPr>
        <w:t>„</w:t>
      </w:r>
      <w:r w:rsidRPr="004F01E9">
        <w:rPr>
          <w:b/>
          <w:i w:val="0"/>
          <w:noProof/>
        </w:rPr>
        <w:t>Používanie prístupu úprav</w:t>
      </w:r>
      <w:r w:rsidR="004F01E9">
        <w:rPr>
          <w:b/>
          <w:i w:val="0"/>
          <w:noProof/>
        </w:rPr>
        <w:t xml:space="preserve"> z </w:t>
      </w:r>
      <w:r w:rsidRPr="004F01E9">
        <w:rPr>
          <w:b/>
          <w:i w:val="0"/>
          <w:noProof/>
        </w:rPr>
        <w:t>dôvodu volatility stanovených orgánom dohľadu</w:t>
      </w:r>
      <w:r w:rsidR="004F01E9">
        <w:rPr>
          <w:b/>
          <w:i w:val="0"/>
          <w:noProof/>
        </w:rPr>
        <w:t xml:space="preserve"> v </w:t>
      </w:r>
      <w:r w:rsidRPr="004F01E9">
        <w:rPr>
          <w:b/>
          <w:i w:val="0"/>
          <w:noProof/>
        </w:rPr>
        <w:t>prípade rámcových dohôd</w:t>
      </w:r>
      <w:r w:rsidR="004F01E9">
        <w:rPr>
          <w:b/>
          <w:i w:val="0"/>
          <w:noProof/>
        </w:rPr>
        <w:t xml:space="preserve"> o </w:t>
      </w:r>
      <w:r w:rsidRPr="004F01E9">
        <w:rPr>
          <w:b/>
          <w:i w:val="0"/>
          <w:noProof/>
        </w:rPr>
        <w:t>vzájomnom započítavaní</w:t>
      </w:r>
      <w:r w:rsidRPr="004F01E9">
        <w:rPr>
          <w:noProof/>
        </w:rPr>
        <w:t>“;</w:t>
      </w:r>
    </w:p>
    <w:p w14:paraId="525983DF" w14:textId="30608FF8" w:rsidR="005A21FE" w:rsidRPr="004F01E9" w:rsidRDefault="00A755CD" w:rsidP="00A755CD">
      <w:pPr>
        <w:pStyle w:val="Point1"/>
        <w:rPr>
          <w:noProof/>
        </w:rPr>
      </w:pPr>
      <w:r w:rsidRPr="004F01E9">
        <w:rPr>
          <w:noProof/>
        </w:rPr>
        <w:t>b)</w:t>
      </w:r>
      <w:r w:rsidRPr="004F01E9">
        <w:rPr>
          <w:noProof/>
        </w:rPr>
        <w:tab/>
        <w:t>Odsek 1 sa nahrádza takto:</w:t>
      </w:r>
    </w:p>
    <w:p w14:paraId="4F24F507" w14:textId="1ED9CC84" w:rsidR="005A21FE" w:rsidRPr="004F01E9" w:rsidRDefault="005A21FE" w:rsidP="005A21FE">
      <w:pPr>
        <w:pStyle w:val="Text2"/>
        <w:rPr>
          <w:noProof/>
        </w:rPr>
      </w:pPr>
      <w:r w:rsidRPr="004F01E9">
        <w:rPr>
          <w:noProof/>
        </w:rPr>
        <w:t>„1. Inštitúcie, ktoré počítajú „plne upravenú hodnotu expozície“ (E*) pre expozície, ktoré sú predmetom prípustnej rámcovej dohody</w:t>
      </w:r>
      <w:r w:rsidR="004F01E9">
        <w:rPr>
          <w:noProof/>
        </w:rPr>
        <w:t xml:space="preserve"> o </w:t>
      </w:r>
      <w:r w:rsidRPr="004F01E9">
        <w:rPr>
          <w:noProof/>
        </w:rPr>
        <w:t>vzájomnom započítavaní, ktorá sa vzťahuje na transakcie financovania prostredníctvom cenných papierov alebo iné transakcie kapitálového trhu, vypočítavajú úpravy</w:t>
      </w:r>
      <w:r w:rsidR="004F01E9">
        <w:rPr>
          <w:noProof/>
        </w:rPr>
        <w:t xml:space="preserve"> z </w:t>
      </w:r>
      <w:r w:rsidRPr="004F01E9">
        <w:rPr>
          <w:noProof/>
        </w:rPr>
        <w:t>dôvodu volatility, ktoré musia uplatniť, použitím prístupu úprav</w:t>
      </w:r>
      <w:r w:rsidR="004F01E9">
        <w:rPr>
          <w:noProof/>
        </w:rPr>
        <w:t xml:space="preserve"> z </w:t>
      </w:r>
      <w:r w:rsidRPr="004F01E9">
        <w:rPr>
          <w:noProof/>
        </w:rPr>
        <w:t>dôvodu volatility stanovených orgánom dohľadu, ako sa stanovuje</w:t>
      </w:r>
      <w:r w:rsidR="004F01E9">
        <w:rPr>
          <w:noProof/>
        </w:rPr>
        <w:t xml:space="preserve"> v </w:t>
      </w:r>
      <w:r w:rsidRPr="004F01E9">
        <w:rPr>
          <w:noProof/>
        </w:rPr>
        <w:t>článkoch 223 až 227 pre súhrnnú metódu nakladania</w:t>
      </w:r>
      <w:r w:rsidR="004F01E9">
        <w:rPr>
          <w:noProof/>
        </w:rPr>
        <w:t xml:space="preserve"> s </w:t>
      </w:r>
      <w:r w:rsidRPr="004F01E9">
        <w:rPr>
          <w:noProof/>
        </w:rPr>
        <w:t>finančným kolaterálom.“;</w:t>
      </w:r>
    </w:p>
    <w:p w14:paraId="57D8E06A" w14:textId="73BFF91B" w:rsidR="005A21FE" w:rsidRPr="004F01E9" w:rsidRDefault="00A755CD" w:rsidP="00A755CD">
      <w:pPr>
        <w:pStyle w:val="Point1"/>
        <w:rPr>
          <w:noProof/>
        </w:rPr>
      </w:pPr>
      <w:r w:rsidRPr="004F01E9">
        <w:rPr>
          <w:noProof/>
        </w:rPr>
        <w:t>c)</w:t>
      </w:r>
      <w:r w:rsidRPr="004F01E9">
        <w:rPr>
          <w:noProof/>
        </w:rPr>
        <w:tab/>
        <w:t>V odseku 2 sa písmeno c) nahrádza takto:</w:t>
      </w:r>
    </w:p>
    <w:p w14:paraId="3626184D" w14:textId="6185CA43" w:rsidR="005A21FE" w:rsidRPr="004F01E9" w:rsidRDefault="005A21FE" w:rsidP="00615061">
      <w:pPr>
        <w:pStyle w:val="Text2"/>
        <w:rPr>
          <w:noProof/>
        </w:rPr>
      </w:pPr>
      <w:r w:rsidRPr="004F01E9">
        <w:rPr>
          <w:noProof/>
        </w:rPr>
        <w:t>„c) uplatniť hodnotu úpravy</w:t>
      </w:r>
      <w:r w:rsidR="004F01E9">
        <w:rPr>
          <w:noProof/>
        </w:rPr>
        <w:t xml:space="preserve"> z </w:t>
      </w:r>
      <w:r w:rsidRPr="004F01E9">
        <w:rPr>
          <w:noProof/>
        </w:rPr>
        <w:t>dôvodu volatility alebo prípadne absolútnu hodnotu úpravy</w:t>
      </w:r>
      <w:r w:rsidR="004F01E9">
        <w:rPr>
          <w:noProof/>
        </w:rPr>
        <w:t xml:space="preserve"> z </w:t>
      </w:r>
      <w:r w:rsidRPr="004F01E9">
        <w:rPr>
          <w:noProof/>
        </w:rPr>
        <w:t>dôvodu volatility primeranú pre danú skupinu cenných papierov alebo pre daný druh komodít na absolútnu hodnotu kladnej alebo zápornej čistej pozície</w:t>
      </w:r>
      <w:r w:rsidR="004F01E9">
        <w:rPr>
          <w:noProof/>
        </w:rPr>
        <w:t xml:space="preserve"> v </w:t>
      </w:r>
      <w:r w:rsidRPr="004F01E9">
        <w:rPr>
          <w:noProof/>
        </w:rPr>
        <w:t>cenných papieroch</w:t>
      </w:r>
      <w:r w:rsidR="004F01E9">
        <w:rPr>
          <w:noProof/>
        </w:rPr>
        <w:t xml:space="preserve"> v </w:t>
      </w:r>
      <w:r w:rsidRPr="004F01E9">
        <w:rPr>
          <w:noProof/>
        </w:rPr>
        <w:t>danej skupine cenných papierov alebo na komodity</w:t>
      </w:r>
      <w:r w:rsidR="004F01E9">
        <w:rPr>
          <w:noProof/>
        </w:rPr>
        <w:t xml:space="preserve"> z </w:t>
      </w:r>
      <w:r w:rsidRPr="004F01E9">
        <w:rPr>
          <w:noProof/>
        </w:rPr>
        <w:t>daného druhu komodít;“;</w:t>
      </w:r>
    </w:p>
    <w:p w14:paraId="6E7F1AFC" w14:textId="4A252229" w:rsidR="005A21FE" w:rsidRPr="004F01E9" w:rsidRDefault="00A755CD" w:rsidP="00A755CD">
      <w:pPr>
        <w:pStyle w:val="Point1"/>
        <w:rPr>
          <w:noProof/>
        </w:rPr>
      </w:pPr>
      <w:r w:rsidRPr="004F01E9">
        <w:rPr>
          <w:noProof/>
        </w:rPr>
        <w:t>d)</w:t>
      </w:r>
      <w:r w:rsidRPr="004F01E9">
        <w:rPr>
          <w:noProof/>
        </w:rPr>
        <w:tab/>
        <w:t>Odsek 3 sa nahrádza takto:</w:t>
      </w:r>
    </w:p>
    <w:p w14:paraId="1D3B2DA9" w14:textId="4C27DA6D" w:rsidR="005A21FE" w:rsidRPr="004F01E9" w:rsidRDefault="00A755CD" w:rsidP="00A755CD">
      <w:pPr>
        <w:pStyle w:val="Text2"/>
        <w:rPr>
          <w:noProof/>
        </w:rPr>
      </w:pPr>
      <w:r w:rsidRPr="004F01E9">
        <w:rPr>
          <w:noProof/>
        </w:rPr>
        <w:t>„3. Inštitúcie vypočítajú E* podľa tohto vzorca:</w:t>
      </w:r>
    </w:p>
    <w:p w14:paraId="02536678" w14:textId="77777777" w:rsidR="005A21FE" w:rsidRPr="004F01E9" w:rsidRDefault="00EE12EE" w:rsidP="00A755CD">
      <w:pPr>
        <w:pStyle w:val="Text2"/>
        <w:rPr>
          <w:noProof/>
        </w:rPr>
      </w:pPr>
      <m:oMathPara>
        <m:oMath>
          <m:sSup>
            <m:sSupPr>
              <m:ctrlPr>
                <w:rPr>
                  <w:rFonts w:ascii="Cambria Math" w:hAnsi="Cambria Math"/>
                  <w:noProof/>
                </w:rPr>
              </m:ctrlPr>
            </m:sSupPr>
            <m:e>
              <m:r>
                <w:rPr>
                  <w:rFonts w:ascii="Cambria Math" w:hAnsi="Cambria Math"/>
                  <w:noProof/>
                </w:rPr>
                <m:t>E</m:t>
              </m:r>
            </m:e>
            <m:sup>
              <m:r>
                <m:rPr>
                  <m:sty m:val="p"/>
                </m:rPr>
                <w:rPr>
                  <w:rFonts w:ascii="Cambria Math" w:hAnsi="Cambria Math"/>
                  <w:noProof/>
                </w:rPr>
                <m:t>*</m:t>
              </m:r>
            </m:sup>
          </m:sSup>
          <m:r>
            <m:rPr>
              <m:sty m:val="p"/>
            </m:rPr>
            <w:rPr>
              <w:rFonts w:ascii="Cambria Math" w:hAnsi="Cambria Math"/>
              <w:noProof/>
            </w:rPr>
            <m:t>=max</m:t>
          </m:r>
          <m:d>
            <m:dPr>
              <m:ctrlPr>
                <w:rPr>
                  <w:rFonts w:ascii="Cambria Math" w:hAnsi="Cambria Math"/>
                  <w:noProof/>
                </w:rPr>
              </m:ctrlPr>
            </m:dPr>
            <m:e>
              <m:r>
                <m:rPr>
                  <m:sty m:val="p"/>
                </m:rPr>
                <w:rPr>
                  <w:rFonts w:ascii="Cambria Math" w:hAnsi="Cambria Math"/>
                  <w:noProof/>
                </w:rPr>
                <m:t>0;</m:t>
              </m:r>
              <m:nary>
                <m:naryPr>
                  <m:chr m:val="∑"/>
                  <m:limLoc m:val="undOvr"/>
                  <m:supHide m:val="1"/>
                  <m:ctrlPr>
                    <w:rPr>
                      <w:rFonts w:ascii="Cambria Math" w:hAnsi="Cambria Math"/>
                      <w:noProof/>
                    </w:rPr>
                  </m:ctrlPr>
                </m:naryPr>
                <m:sub>
                  <m:r>
                    <w:rPr>
                      <w:rFonts w:ascii="Cambria Math" w:hAnsi="Cambria Math"/>
                      <w:noProof/>
                    </w:rPr>
                    <m:t>i</m:t>
                  </m:r>
                </m:sub>
                <m:sup/>
                <m:e>
                  <m:sSub>
                    <m:sSubPr>
                      <m:ctrlPr>
                        <w:rPr>
                          <w:rFonts w:ascii="Cambria Math" w:hAnsi="Cambria Math"/>
                          <w:noProof/>
                        </w:rPr>
                      </m:ctrlPr>
                    </m:sSubPr>
                    <m:e>
                      <m:r>
                        <w:rPr>
                          <w:rFonts w:ascii="Cambria Math" w:hAnsi="Cambria Math"/>
                          <w:noProof/>
                        </w:rPr>
                        <m:t>E</m:t>
                      </m:r>
                    </m:e>
                    <m:sub>
                      <m:r>
                        <w:rPr>
                          <w:rFonts w:ascii="Cambria Math" w:hAnsi="Cambria Math"/>
                          <w:noProof/>
                        </w:rPr>
                        <m:t>i</m:t>
                      </m:r>
                    </m:sub>
                  </m:sSub>
                </m:e>
              </m:nary>
              <m:r>
                <m:rPr>
                  <m:sty m:val="p"/>
                </m:rPr>
                <w:rPr>
                  <w:rFonts w:ascii="Cambria Math" w:hAnsi="Cambria Math"/>
                  <w:noProof/>
                </w:rPr>
                <m:t>-</m:t>
              </m:r>
              <m:nary>
                <m:naryPr>
                  <m:chr m:val="∑"/>
                  <m:limLoc m:val="undOvr"/>
                  <m:supHide m:val="1"/>
                  <m:ctrlPr>
                    <w:rPr>
                      <w:rFonts w:ascii="Cambria Math" w:hAnsi="Cambria Math"/>
                      <w:noProof/>
                    </w:rPr>
                  </m:ctrlPr>
                </m:naryPr>
                <m:sub>
                  <m:r>
                    <w:rPr>
                      <w:rFonts w:ascii="Cambria Math" w:hAnsi="Cambria Math"/>
                      <w:noProof/>
                    </w:rPr>
                    <m:t>j</m:t>
                  </m:r>
                </m:sub>
                <m:sup/>
                <m:e>
                  <m:sSub>
                    <m:sSubPr>
                      <m:ctrlPr>
                        <w:rPr>
                          <w:rFonts w:ascii="Cambria Math" w:hAnsi="Cambria Math"/>
                          <w:noProof/>
                        </w:rPr>
                      </m:ctrlPr>
                    </m:sSubPr>
                    <m:e>
                      <m:r>
                        <w:rPr>
                          <w:rFonts w:ascii="Cambria Math" w:hAnsi="Cambria Math"/>
                          <w:noProof/>
                        </w:rPr>
                        <m:t>C</m:t>
                      </m:r>
                    </m:e>
                    <m:sub>
                      <m:r>
                        <w:rPr>
                          <w:rFonts w:ascii="Cambria Math" w:hAnsi="Cambria Math"/>
                          <w:noProof/>
                        </w:rPr>
                        <m:t>j</m:t>
                      </m:r>
                    </m:sub>
                  </m:sSub>
                </m:e>
              </m:nary>
              <m:r>
                <m:rPr>
                  <m:sty m:val="p"/>
                </m:rPr>
                <w:rPr>
                  <w:rFonts w:ascii="Cambria Math" w:hAnsi="Cambria Math"/>
                  <w:noProof/>
                </w:rPr>
                <m:t>+0,4⋅</m:t>
              </m:r>
              <m:sSub>
                <m:sSubPr>
                  <m:ctrlPr>
                    <w:rPr>
                      <w:rFonts w:ascii="Cambria Math" w:hAnsi="Cambria Math"/>
                      <w:noProof/>
                    </w:rPr>
                  </m:ctrlPr>
                </m:sSubPr>
                <m:e>
                  <m:r>
                    <w:rPr>
                      <w:rFonts w:ascii="Cambria Math" w:hAnsi="Cambria Math"/>
                      <w:noProof/>
                    </w:rPr>
                    <m:t>E</m:t>
                  </m:r>
                </m:e>
                <m:sub>
                  <m:r>
                    <m:rPr>
                      <m:nor/>
                    </m:rPr>
                    <w:rPr>
                      <w:noProof/>
                    </w:rPr>
                    <m:t>net</m:t>
                  </m:r>
                </m:sub>
              </m:sSub>
              <m:r>
                <m:rPr>
                  <m:sty m:val="p"/>
                </m:rPr>
                <w:rPr>
                  <w:rFonts w:ascii="Cambria Math" w:hAnsi="Cambria Math"/>
                  <w:noProof/>
                </w:rPr>
                <m:t>+0,6⋅</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E</m:t>
                      </m:r>
                    </m:e>
                    <m:sub>
                      <m:r>
                        <m:rPr>
                          <m:nor/>
                        </m:rPr>
                        <w:rPr>
                          <w:noProof/>
                        </w:rPr>
                        <m:t>gross</m:t>
                      </m:r>
                    </m:sub>
                  </m:sSub>
                </m:num>
                <m:den>
                  <m:rad>
                    <m:radPr>
                      <m:degHide m:val="1"/>
                      <m:ctrlPr>
                        <w:rPr>
                          <w:rFonts w:ascii="Cambria Math" w:hAnsi="Cambria Math"/>
                          <w:noProof/>
                        </w:rPr>
                      </m:ctrlPr>
                    </m:radPr>
                    <m:deg/>
                    <m:e>
                      <m:r>
                        <w:rPr>
                          <w:rFonts w:ascii="Cambria Math" w:hAnsi="Cambria Math"/>
                          <w:noProof/>
                        </w:rPr>
                        <m:t>N</m:t>
                      </m:r>
                    </m:e>
                  </m:rad>
                </m:den>
              </m:f>
              <m:r>
                <m:rPr>
                  <m:sty m:val="p"/>
                </m:rPr>
                <w:rPr>
                  <w:rFonts w:ascii="Cambria Math" w:hAnsi="Cambria Math"/>
                  <w:noProof/>
                </w:rPr>
                <m:t>+</m:t>
              </m:r>
              <m:nary>
                <m:naryPr>
                  <m:chr m:val="∑"/>
                  <m:limLoc m:val="undOvr"/>
                  <m:supHide m:val="1"/>
                  <m:ctrlPr>
                    <w:rPr>
                      <w:rFonts w:ascii="Cambria Math" w:hAnsi="Cambria Math"/>
                      <w:noProof/>
                    </w:rPr>
                  </m:ctrlPr>
                </m:naryPr>
                <m:sub>
                  <m:r>
                    <w:rPr>
                      <w:rFonts w:ascii="Cambria Math" w:hAnsi="Cambria Math"/>
                      <w:noProof/>
                    </w:rPr>
                    <m:t>k</m:t>
                  </m:r>
                </m:sub>
                <m:sup/>
                <m:e>
                  <m:d>
                    <m:dPr>
                      <m:begChr m:val="|"/>
                      <m:endChr m:val="|"/>
                      <m:ctrlPr>
                        <w:rPr>
                          <w:rFonts w:ascii="Cambria Math" w:hAnsi="Cambria Math"/>
                          <w:noProof/>
                        </w:rPr>
                      </m:ctrlPr>
                    </m:dPr>
                    <m:e>
                      <m:sSubSup>
                        <m:sSubSupPr>
                          <m:ctrlPr>
                            <w:rPr>
                              <w:rFonts w:ascii="Cambria Math" w:hAnsi="Cambria Math"/>
                              <w:noProof/>
                            </w:rPr>
                          </m:ctrlPr>
                        </m:sSubSupPr>
                        <m:e>
                          <m:r>
                            <w:rPr>
                              <w:rFonts w:ascii="Cambria Math" w:hAnsi="Cambria Math"/>
                              <w:noProof/>
                            </w:rPr>
                            <m:t>E</m:t>
                          </m:r>
                        </m:e>
                        <m:sub>
                          <m:r>
                            <w:rPr>
                              <w:rFonts w:ascii="Cambria Math" w:hAnsi="Cambria Math"/>
                              <w:noProof/>
                            </w:rPr>
                            <m:t>k</m:t>
                          </m:r>
                        </m:sub>
                        <m:sup>
                          <m:r>
                            <m:rPr>
                              <m:nor/>
                            </m:rPr>
                            <w:rPr>
                              <w:noProof/>
                            </w:rPr>
                            <m:t>fx</m:t>
                          </m:r>
                        </m:sup>
                      </m:sSubSup>
                    </m:e>
                  </m:d>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H</m:t>
                      </m:r>
                    </m:e>
                    <m:sub>
                      <m:r>
                        <w:rPr>
                          <w:rFonts w:ascii="Cambria Math" w:hAnsi="Cambria Math"/>
                          <w:noProof/>
                        </w:rPr>
                        <m:t>k</m:t>
                      </m:r>
                    </m:sub>
                    <m:sup>
                      <m:r>
                        <m:rPr>
                          <m:nor/>
                        </m:rPr>
                        <w:rPr>
                          <w:noProof/>
                        </w:rPr>
                        <m:t>fx</m:t>
                      </m:r>
                    </m:sup>
                  </m:sSubSup>
                </m:e>
              </m:nary>
            </m:e>
          </m:d>
        </m:oMath>
      </m:oMathPara>
    </w:p>
    <w:p w14:paraId="548EB44D" w14:textId="77777777" w:rsidR="005A21FE" w:rsidRPr="004F01E9" w:rsidRDefault="005A21FE" w:rsidP="005A21FE">
      <w:pPr>
        <w:pStyle w:val="Text2"/>
        <w:rPr>
          <w:noProof/>
        </w:rPr>
      </w:pPr>
      <w:r w:rsidRPr="004F01E9">
        <w:rPr>
          <w:noProof/>
        </w:rPr>
        <w:t>kde:</w:t>
      </w:r>
    </w:p>
    <w:p w14:paraId="01A7DC59" w14:textId="43AE219A" w:rsidR="005A21FE" w:rsidRPr="004F01E9" w:rsidRDefault="005A21FE" w:rsidP="005A21FE">
      <w:pPr>
        <w:pStyle w:val="Text2"/>
        <w:rPr>
          <w:noProof/>
        </w:rPr>
      </w:pPr>
      <w:r w:rsidRPr="004F01E9">
        <w:rPr>
          <w:i/>
          <w:noProof/>
        </w:rPr>
        <w:t>i</w:t>
      </w:r>
      <w:r w:rsidRPr="004F01E9">
        <w:rPr>
          <w:noProof/>
        </w:rPr>
        <w:tab/>
        <w:t>= index, ktorý označuje všetky samostatné cenné papiere, komodity alebo pozície</w:t>
      </w:r>
      <w:r w:rsidR="004F01E9">
        <w:rPr>
          <w:noProof/>
        </w:rPr>
        <w:t xml:space="preserve"> v </w:t>
      </w:r>
      <w:r w:rsidRPr="004F01E9">
        <w:rPr>
          <w:noProof/>
        </w:rPr>
        <w:t>peňažnej hotovosti</w:t>
      </w:r>
      <w:r w:rsidR="004F01E9">
        <w:rPr>
          <w:noProof/>
        </w:rPr>
        <w:t xml:space="preserve"> v </w:t>
      </w:r>
      <w:r w:rsidRPr="004F01E9">
        <w:rPr>
          <w:noProof/>
        </w:rPr>
        <w:t>rámci dohody, ktoré sú požičané, predané so zmluvou</w:t>
      </w:r>
      <w:r w:rsidR="004F01E9">
        <w:rPr>
          <w:noProof/>
        </w:rPr>
        <w:t xml:space="preserve"> o </w:t>
      </w:r>
      <w:r w:rsidRPr="004F01E9">
        <w:rPr>
          <w:noProof/>
        </w:rPr>
        <w:t>repo transakcii alebo poskytnuté inštitúciou protistrane;</w:t>
      </w:r>
    </w:p>
    <w:p w14:paraId="1FBCFBCE" w14:textId="4ACCB9EA" w:rsidR="005A21FE" w:rsidRPr="004F01E9" w:rsidRDefault="005A21FE" w:rsidP="005A21FE">
      <w:pPr>
        <w:pStyle w:val="Text2"/>
        <w:rPr>
          <w:noProof/>
        </w:rPr>
      </w:pPr>
      <w:r w:rsidRPr="004F01E9">
        <w:rPr>
          <w:i/>
          <w:noProof/>
        </w:rPr>
        <w:t>j</w:t>
      </w:r>
      <w:r w:rsidRPr="004F01E9">
        <w:rPr>
          <w:noProof/>
        </w:rPr>
        <w:tab/>
        <w:t>= index, ktorý označuje všetky samostatné cenné papiere, komodity alebo pozície</w:t>
      </w:r>
      <w:r w:rsidR="004F01E9">
        <w:rPr>
          <w:noProof/>
        </w:rPr>
        <w:t xml:space="preserve"> v </w:t>
      </w:r>
      <w:r w:rsidRPr="004F01E9">
        <w:rPr>
          <w:noProof/>
        </w:rPr>
        <w:t>peňažnej hotovosti</w:t>
      </w:r>
      <w:r w:rsidR="004F01E9">
        <w:rPr>
          <w:noProof/>
        </w:rPr>
        <w:t xml:space="preserve"> v </w:t>
      </w:r>
      <w:r w:rsidRPr="004F01E9">
        <w:rPr>
          <w:noProof/>
        </w:rPr>
        <w:t>rámci dohody, ktoré sú vypožičané, nakúpené so zmluvou</w:t>
      </w:r>
      <w:r w:rsidR="004F01E9">
        <w:rPr>
          <w:noProof/>
        </w:rPr>
        <w:t xml:space="preserve"> o </w:t>
      </w:r>
      <w:r w:rsidRPr="004F01E9">
        <w:rPr>
          <w:noProof/>
        </w:rPr>
        <w:t>ďalšom predaji alebo držané inštitúciou;</w:t>
      </w:r>
    </w:p>
    <w:p w14:paraId="3014CD87" w14:textId="6DE0B015" w:rsidR="005A21FE" w:rsidRPr="004F01E9" w:rsidRDefault="005A21FE" w:rsidP="005A21FE">
      <w:pPr>
        <w:pStyle w:val="Text2"/>
        <w:rPr>
          <w:noProof/>
        </w:rPr>
      </w:pPr>
      <w:r w:rsidRPr="004F01E9">
        <w:rPr>
          <w:i/>
          <w:noProof/>
        </w:rPr>
        <w:t>k</w:t>
      </w:r>
      <w:r w:rsidRPr="004F01E9">
        <w:rPr>
          <w:noProof/>
        </w:rPr>
        <w:tab/>
      </w:r>
      <w:r w:rsidRPr="004F01E9">
        <w:rPr>
          <w:i/>
          <w:noProof/>
        </w:rPr>
        <w:t>=</w:t>
      </w:r>
      <w:r w:rsidRPr="004F01E9">
        <w:rPr>
          <w:noProof/>
        </w:rPr>
        <w:t>index, ktorý označuje všetky samostatné meny,</w:t>
      </w:r>
      <w:r w:rsidR="004F01E9">
        <w:rPr>
          <w:noProof/>
        </w:rPr>
        <w:t xml:space="preserve"> v </w:t>
      </w:r>
      <w:r w:rsidRPr="004F01E9">
        <w:rPr>
          <w:noProof/>
        </w:rPr>
        <w:t>ktorých sú denominované všetky cenné papiere, komodity alebo pozície</w:t>
      </w:r>
      <w:r w:rsidR="004F01E9">
        <w:rPr>
          <w:noProof/>
        </w:rPr>
        <w:t xml:space="preserve"> v </w:t>
      </w:r>
      <w:r w:rsidRPr="004F01E9">
        <w:rPr>
          <w:noProof/>
        </w:rPr>
        <w:t>peňažnej hotovosti</w:t>
      </w:r>
      <w:r w:rsidR="004F01E9">
        <w:rPr>
          <w:noProof/>
        </w:rPr>
        <w:t xml:space="preserve"> v </w:t>
      </w:r>
      <w:r w:rsidRPr="004F01E9">
        <w:rPr>
          <w:noProof/>
        </w:rPr>
        <w:t>rámci dohody;</w:t>
      </w:r>
    </w:p>
    <w:p w14:paraId="291D8228" w14:textId="34F7E070" w:rsidR="005A21FE" w:rsidRPr="004F01E9" w:rsidRDefault="00EE12EE" w:rsidP="005A21FE">
      <w:pPr>
        <w:pStyle w:val="Text2"/>
        <w:rPr>
          <w:noProof/>
        </w:rPr>
      </w:pPr>
      <m:oMath>
        <m:sSub>
          <m:sSubPr>
            <m:ctrlPr>
              <w:rPr>
                <w:rFonts w:ascii="Cambria Math" w:hAnsi="Cambria Math"/>
                <w:i/>
                <w:noProof/>
              </w:rPr>
            </m:ctrlPr>
          </m:sSubPr>
          <m:e>
            <m:r>
              <w:rPr>
                <w:rFonts w:ascii="Cambria Math" w:hAnsi="Cambria Math"/>
                <w:noProof/>
              </w:rPr>
              <m:t>E</m:t>
            </m:r>
          </m:e>
          <m:sub>
            <m:r>
              <w:rPr>
                <w:rFonts w:ascii="Cambria Math" w:hAnsi="Cambria Math"/>
                <w:noProof/>
              </w:rPr>
              <m:t>i</m:t>
            </m:r>
          </m:sub>
        </m:sSub>
      </m:oMath>
      <w:r w:rsidR="00DE1B1D" w:rsidRPr="004F01E9">
        <w:rPr>
          <w:noProof/>
        </w:rPr>
        <w:tab/>
        <w:t>= hodnota expozície daného cenného papiera, komodity alebo pozície</w:t>
      </w:r>
      <w:r w:rsidR="004F01E9">
        <w:rPr>
          <w:noProof/>
        </w:rPr>
        <w:t xml:space="preserve"> v </w:t>
      </w:r>
      <w:r w:rsidR="00DE1B1D" w:rsidRPr="004F01E9">
        <w:rPr>
          <w:noProof/>
        </w:rPr>
        <w:t xml:space="preserve">peňažnej hotovosti </w:t>
      </w:r>
      <w:r w:rsidR="00DE1B1D" w:rsidRPr="004F01E9">
        <w:rPr>
          <w:i/>
          <w:noProof/>
        </w:rPr>
        <w:t>i</w:t>
      </w:r>
      <w:r w:rsidR="00DE1B1D" w:rsidRPr="004F01E9">
        <w:rPr>
          <w:noProof/>
        </w:rPr>
        <w:t>, ktoré sú požičané, predané so zmluvou</w:t>
      </w:r>
      <w:r w:rsidR="004F01E9">
        <w:rPr>
          <w:noProof/>
        </w:rPr>
        <w:t xml:space="preserve"> o </w:t>
      </w:r>
      <w:r w:rsidR="00DE1B1D" w:rsidRPr="004F01E9">
        <w:rPr>
          <w:noProof/>
        </w:rPr>
        <w:t>repo transakcii alebo poskytnuté protistrane</w:t>
      </w:r>
      <w:r w:rsidR="004F01E9">
        <w:rPr>
          <w:noProof/>
        </w:rPr>
        <w:t xml:space="preserve"> v </w:t>
      </w:r>
      <w:r w:rsidR="00DE1B1D" w:rsidRPr="004F01E9">
        <w:rPr>
          <w:noProof/>
        </w:rPr>
        <w:t>rámci dohody, ktorá by sa uplatňovala</w:t>
      </w:r>
      <w:r w:rsidR="004F01E9">
        <w:rPr>
          <w:noProof/>
        </w:rPr>
        <w:t xml:space="preserve"> v </w:t>
      </w:r>
      <w:r w:rsidR="00DE1B1D" w:rsidRPr="004F01E9">
        <w:rPr>
          <w:noProof/>
        </w:rPr>
        <w:t>prípade absencie kreditného zabezpečenia, keď inštitúcie vypočítavajú hodnoty rizikovo vážených expozícií</w:t>
      </w:r>
      <w:r w:rsidR="004F01E9">
        <w:rPr>
          <w:noProof/>
        </w:rPr>
        <w:t xml:space="preserve"> v </w:t>
      </w:r>
      <w:r w:rsidR="00DE1B1D" w:rsidRPr="004F01E9">
        <w:rPr>
          <w:noProof/>
        </w:rPr>
        <w:t>súlade</w:t>
      </w:r>
      <w:r w:rsidR="004F01E9">
        <w:rPr>
          <w:noProof/>
        </w:rPr>
        <w:t xml:space="preserve"> s </w:t>
      </w:r>
      <w:r w:rsidR="00DE1B1D" w:rsidRPr="004F01E9">
        <w:rPr>
          <w:noProof/>
        </w:rPr>
        <w:t>kapitolou 2 alebo prípadne kapitolou 3;</w:t>
      </w:r>
    </w:p>
    <w:p w14:paraId="6C170D03" w14:textId="7DAE6BF5" w:rsidR="005A21FE" w:rsidRPr="004F01E9" w:rsidRDefault="00EE12EE" w:rsidP="005A21FE">
      <w:pPr>
        <w:pStyle w:val="Text2"/>
        <w:rPr>
          <w:noProof/>
        </w:rPr>
      </w:pPr>
      <m:oMath>
        <m:sSub>
          <m:sSubPr>
            <m:ctrlPr>
              <w:rPr>
                <w:rFonts w:ascii="Cambria Math" w:hAnsi="Cambria Math"/>
                <w:i/>
                <w:noProof/>
              </w:rPr>
            </m:ctrlPr>
          </m:sSubPr>
          <m:e>
            <m:r>
              <w:rPr>
                <w:rFonts w:ascii="Cambria Math" w:hAnsi="Cambria Math"/>
                <w:noProof/>
              </w:rPr>
              <m:t>C</m:t>
            </m:r>
          </m:e>
          <m:sub>
            <m:r>
              <w:rPr>
                <w:rFonts w:ascii="Cambria Math" w:hAnsi="Cambria Math"/>
                <w:noProof/>
              </w:rPr>
              <m:t>j</m:t>
            </m:r>
          </m:sub>
        </m:sSub>
      </m:oMath>
      <w:r w:rsidR="00DE1B1D" w:rsidRPr="004F01E9">
        <w:rPr>
          <w:noProof/>
        </w:rPr>
        <w:tab/>
        <w:t>= hodnota daného cenného papiera, komodity alebo pozície</w:t>
      </w:r>
      <w:r w:rsidR="004F01E9">
        <w:rPr>
          <w:noProof/>
        </w:rPr>
        <w:t xml:space="preserve"> v </w:t>
      </w:r>
      <w:r w:rsidR="00DE1B1D" w:rsidRPr="004F01E9">
        <w:rPr>
          <w:noProof/>
        </w:rPr>
        <w:t xml:space="preserve">peňažnej hotovosti </w:t>
      </w:r>
      <w:r w:rsidR="00DE1B1D" w:rsidRPr="004F01E9">
        <w:rPr>
          <w:i/>
          <w:noProof/>
        </w:rPr>
        <w:t>j</w:t>
      </w:r>
      <w:r w:rsidR="00DE1B1D" w:rsidRPr="004F01E9">
        <w:rPr>
          <w:noProof/>
        </w:rPr>
        <w:t>, ktoré sú vypožičané, nakúpené so zmluvou</w:t>
      </w:r>
      <w:r w:rsidR="004F01E9">
        <w:rPr>
          <w:noProof/>
        </w:rPr>
        <w:t xml:space="preserve"> o </w:t>
      </w:r>
      <w:r w:rsidR="00DE1B1D" w:rsidRPr="004F01E9">
        <w:rPr>
          <w:noProof/>
        </w:rPr>
        <w:t>ďalšom predaji alebo držané inštitúciou</w:t>
      </w:r>
      <w:r w:rsidR="004F01E9">
        <w:rPr>
          <w:noProof/>
        </w:rPr>
        <w:t xml:space="preserve"> v </w:t>
      </w:r>
      <w:r w:rsidR="00DE1B1D" w:rsidRPr="004F01E9">
        <w:rPr>
          <w:noProof/>
        </w:rPr>
        <w:t>rámci dohody;</w:t>
      </w:r>
    </w:p>
    <w:p w14:paraId="47DE5BFC" w14:textId="0C10E910" w:rsidR="00806B81" w:rsidRPr="004F01E9" w:rsidRDefault="00EE12EE" w:rsidP="005A21FE">
      <w:pPr>
        <w:pStyle w:val="Text2"/>
        <w:rPr>
          <w:noProof/>
        </w:rPr>
      </w:pPr>
      <m:oMath>
        <m:sSubSup>
          <m:sSubSupPr>
            <m:ctrlPr>
              <w:rPr>
                <w:rFonts w:ascii="Cambria Math" w:hAnsi="Cambria Math"/>
                <w:i/>
                <w:noProof/>
              </w:rPr>
            </m:ctrlPr>
          </m:sSubSupPr>
          <m:e>
            <m:r>
              <w:rPr>
                <w:rFonts w:ascii="Cambria Math" w:hAnsi="Cambria Math"/>
                <w:noProof/>
              </w:rPr>
              <m:t>E</m:t>
            </m:r>
          </m:e>
          <m:sub>
            <m:r>
              <w:rPr>
                <w:rFonts w:ascii="Cambria Math" w:hAnsi="Cambria Math"/>
                <w:noProof/>
              </w:rPr>
              <m:t>k</m:t>
            </m:r>
          </m:sub>
          <m:sup>
            <m:r>
              <m:rPr>
                <m:nor/>
              </m:rPr>
              <w:rPr>
                <w:rFonts w:ascii="Cambria Math" w:hAnsi="Cambria Math"/>
                <w:noProof/>
              </w:rPr>
              <m:t>fx</m:t>
            </m:r>
          </m:sup>
        </m:sSubSup>
      </m:oMath>
      <w:r w:rsidR="00DE1B1D" w:rsidRPr="004F01E9">
        <w:rPr>
          <w:noProof/>
        </w:rPr>
        <w:tab/>
        <w:t>= čistá pozícia (kladná alebo záporná)</w:t>
      </w:r>
      <w:r w:rsidR="004F01E9">
        <w:rPr>
          <w:noProof/>
        </w:rPr>
        <w:t xml:space="preserve"> v </w:t>
      </w:r>
      <w:r w:rsidR="00DE1B1D" w:rsidRPr="004F01E9">
        <w:rPr>
          <w:noProof/>
        </w:rPr>
        <w:t xml:space="preserve">danej mene </w:t>
      </w:r>
      <w:r w:rsidR="00DE1B1D" w:rsidRPr="004F01E9">
        <w:rPr>
          <w:i/>
          <w:noProof/>
        </w:rPr>
        <w:t>k</w:t>
      </w:r>
      <w:r w:rsidR="00DE1B1D" w:rsidRPr="004F01E9">
        <w:rPr>
          <w:noProof/>
        </w:rPr>
        <w:t>, ktorá je iná než mena vyrovnania dohody, vypočítaná</w:t>
      </w:r>
      <w:r w:rsidR="004F01E9">
        <w:rPr>
          <w:noProof/>
        </w:rPr>
        <w:t xml:space="preserve"> v </w:t>
      </w:r>
      <w:r w:rsidR="00DE1B1D" w:rsidRPr="004F01E9">
        <w:rPr>
          <w:noProof/>
        </w:rPr>
        <w:t>súlade</w:t>
      </w:r>
      <w:r w:rsidR="004F01E9">
        <w:rPr>
          <w:noProof/>
        </w:rPr>
        <w:t xml:space="preserve"> s </w:t>
      </w:r>
      <w:r w:rsidR="00DE1B1D" w:rsidRPr="004F01E9">
        <w:rPr>
          <w:noProof/>
        </w:rPr>
        <w:t>odsekom 2 písm. b);</w:t>
      </w:r>
    </w:p>
    <w:p w14:paraId="7FB88964" w14:textId="693E83CA" w:rsidR="005A21FE" w:rsidRPr="004F01E9" w:rsidRDefault="00EE12EE" w:rsidP="005A21FE">
      <w:pPr>
        <w:pStyle w:val="Text2"/>
        <w:rPr>
          <w:noProof/>
        </w:rPr>
      </w:pPr>
      <m:oMath>
        <m:sSubSup>
          <m:sSubSupPr>
            <m:ctrlPr>
              <w:rPr>
                <w:rFonts w:ascii="Cambria Math" w:hAnsi="Cambria Math"/>
                <w:i/>
                <w:noProof/>
              </w:rPr>
            </m:ctrlPr>
          </m:sSubSupPr>
          <m:e>
            <m:r>
              <w:rPr>
                <w:rFonts w:ascii="Cambria Math" w:hAnsi="Cambria Math"/>
                <w:noProof/>
              </w:rPr>
              <m:t>H</m:t>
            </m:r>
          </m:e>
          <m:sub>
            <m:r>
              <w:rPr>
                <w:rFonts w:ascii="Cambria Math" w:hAnsi="Cambria Math"/>
                <w:noProof/>
              </w:rPr>
              <m:t>k</m:t>
            </m:r>
          </m:sub>
          <m:sup>
            <m:r>
              <m:rPr>
                <m:nor/>
              </m:rPr>
              <w:rPr>
                <w:rFonts w:ascii="Cambria Math" w:hAnsi="Cambria Math"/>
                <w:noProof/>
              </w:rPr>
              <m:t>fx</m:t>
            </m:r>
            <m:ctrlPr>
              <w:rPr>
                <w:rFonts w:ascii="Cambria Math" w:hAnsi="Cambria Math"/>
                <w:noProof/>
              </w:rPr>
            </m:ctrlPr>
          </m:sup>
        </m:sSubSup>
      </m:oMath>
      <w:r w:rsidR="00DE1B1D" w:rsidRPr="004F01E9">
        <w:rPr>
          <w:noProof/>
        </w:rPr>
        <w:tab/>
        <w:t>= úprava</w:t>
      </w:r>
      <w:r w:rsidR="004F01E9">
        <w:rPr>
          <w:noProof/>
        </w:rPr>
        <w:t xml:space="preserve"> z </w:t>
      </w:r>
      <w:r w:rsidR="00DE1B1D" w:rsidRPr="004F01E9">
        <w:rPr>
          <w:noProof/>
        </w:rPr>
        <w:t xml:space="preserve">dôvodu volatility výmenných kurzov pre menu </w:t>
      </w:r>
      <w:r w:rsidR="00DE1B1D" w:rsidRPr="004F01E9">
        <w:rPr>
          <w:i/>
          <w:noProof/>
        </w:rPr>
        <w:t>k</w:t>
      </w:r>
      <w:r w:rsidR="00DE1B1D" w:rsidRPr="004F01E9">
        <w:rPr>
          <w:noProof/>
        </w:rPr>
        <w:t>;</w:t>
      </w:r>
    </w:p>
    <w:p w14:paraId="1B51C6C1" w14:textId="77777777" w:rsidR="00806B81" w:rsidRPr="004F01E9" w:rsidRDefault="00EE12EE" w:rsidP="005A21FE">
      <w:pPr>
        <w:pStyle w:val="Text2"/>
        <w:rPr>
          <w:noProof/>
        </w:rPr>
      </w:pPr>
      <m:oMath>
        <m:sSub>
          <m:sSubPr>
            <m:ctrlPr>
              <w:rPr>
                <w:rFonts w:ascii="Cambria Math" w:hAnsi="Cambria Math"/>
                <w:i/>
                <w:noProof/>
              </w:rPr>
            </m:ctrlPr>
          </m:sSubPr>
          <m:e>
            <m:r>
              <w:rPr>
                <w:rFonts w:ascii="Cambria Math" w:hAnsi="Cambria Math"/>
                <w:noProof/>
              </w:rPr>
              <m:t>E</m:t>
            </m:r>
          </m:e>
          <m:sub>
            <m:r>
              <w:rPr>
                <w:rFonts w:ascii="Cambria Math" w:hAnsi="Cambria Math"/>
                <w:noProof/>
              </w:rPr>
              <m:t>n</m:t>
            </m:r>
            <m:r>
              <m:rPr>
                <m:nor/>
              </m:rPr>
              <w:rPr>
                <w:rFonts w:ascii="Cambria Math" w:hAnsi="Cambria Math"/>
                <w:noProof/>
              </w:rPr>
              <m:t>et</m:t>
            </m:r>
          </m:sub>
        </m:sSub>
      </m:oMath>
      <w:r w:rsidR="00DE1B1D" w:rsidRPr="004F01E9">
        <w:rPr>
          <w:noProof/>
        </w:rPr>
        <w:tab/>
        <w:t>= čistá expozícia dohody vypočítaná takto:</w:t>
      </w:r>
    </w:p>
    <w:p w14:paraId="566BFF5C" w14:textId="4EF154DF" w:rsidR="005A21FE" w:rsidRPr="004F01E9" w:rsidRDefault="00EE12EE" w:rsidP="00A755CD">
      <w:pPr>
        <w:pStyle w:val="Text2"/>
        <w:rPr>
          <w:rFonts w:eastAsiaTheme="minorEastAsia"/>
          <w:noProof/>
        </w:rPr>
      </w:pPr>
      <m:oMathPara>
        <m:oMathParaPr>
          <m:jc m:val="center"/>
        </m:oMathParaPr>
        <m:oMath>
          <m:sSub>
            <m:sSubPr>
              <m:ctrlPr>
                <w:rPr>
                  <w:rFonts w:ascii="Cambria Math" w:eastAsiaTheme="minorEastAsia" w:hAnsi="Cambria Math"/>
                  <w:noProof/>
                </w:rPr>
              </m:ctrlPr>
            </m:sSubPr>
            <m:e>
              <m:r>
                <w:rPr>
                  <w:rFonts w:ascii="Cambria Math" w:eastAsiaTheme="minorEastAsia" w:hAnsi="Cambria Math"/>
                  <w:noProof/>
                </w:rPr>
                <m:t>E</m:t>
              </m:r>
            </m:e>
            <m:sub>
              <m:r>
                <w:rPr>
                  <w:rFonts w:ascii="Cambria Math" w:eastAsiaTheme="minorEastAsia" w:hAnsi="Cambria Math"/>
                  <w:noProof/>
                </w:rPr>
                <m:t>n</m:t>
              </m:r>
              <m:r>
                <m:rPr>
                  <m:nor/>
                </m:rPr>
                <w:rPr>
                  <w:rFonts w:eastAsiaTheme="minorEastAsia"/>
                  <w:noProof/>
                </w:rPr>
                <m:t>et</m:t>
              </m:r>
            </m:sub>
          </m:sSub>
          <m:r>
            <m:rPr>
              <m:sty m:val="p"/>
            </m:rPr>
            <w:rPr>
              <w:rFonts w:ascii="Cambria Math" w:eastAsiaTheme="minorEastAsia" w:hAnsi="Cambria Math"/>
              <w:noProof/>
            </w:rPr>
            <m:t>=</m:t>
          </m:r>
          <m:d>
            <m:dPr>
              <m:begChr m:val="|"/>
              <m:endChr m:val="|"/>
              <m:ctrlPr>
                <w:rPr>
                  <w:rFonts w:ascii="Cambria Math" w:eastAsiaTheme="minorEastAsia" w:hAnsi="Cambria Math"/>
                  <w:noProof/>
                </w:rPr>
              </m:ctrlPr>
            </m:dPr>
            <m:e>
              <m:nary>
                <m:naryPr>
                  <m:chr m:val="∑"/>
                  <m:limLoc m:val="undOvr"/>
                  <m:ctrlPr>
                    <w:rPr>
                      <w:rFonts w:ascii="Cambria Math" w:hAnsi="Cambria Math"/>
                      <w:noProof/>
                    </w:rPr>
                  </m:ctrlPr>
                </m:naryPr>
                <m:sub>
                  <m:r>
                    <w:rPr>
                      <w:rFonts w:ascii="Cambria Math" w:hAnsi="Cambria Math"/>
                      <w:noProof/>
                    </w:rPr>
                    <m:t>l</m:t>
                  </m:r>
                  <m:r>
                    <m:rPr>
                      <m:sty m:val="p"/>
                    </m:rPr>
                    <w:rPr>
                      <w:rFonts w:ascii="Cambria Math" w:hAnsi="Cambria Math"/>
                      <w:noProof/>
                    </w:rPr>
                    <m:t>=1</m:t>
                  </m:r>
                </m:sub>
                <m:sup>
                  <m:r>
                    <w:rPr>
                      <w:rFonts w:ascii="Cambria Math" w:hAnsi="Cambria Math"/>
                      <w:noProof/>
                    </w:rPr>
                    <m:t>N</m:t>
                  </m:r>
                </m:sup>
                <m:e>
                  <m:d>
                    <m:dPr>
                      <m:begChr m:val="|"/>
                      <m:endChr m:val="|"/>
                      <m:ctrlPr>
                        <w:rPr>
                          <w:rFonts w:ascii="Cambria Math" w:hAnsi="Cambria Math"/>
                          <w:noProof/>
                        </w:rPr>
                      </m:ctrlPr>
                    </m:dPr>
                    <m:e>
                      <m:sSubSup>
                        <m:sSubSupPr>
                          <m:ctrlPr>
                            <w:rPr>
                              <w:rFonts w:ascii="Cambria Math" w:hAnsi="Cambria Math"/>
                              <w:noProof/>
                            </w:rPr>
                          </m:ctrlPr>
                        </m:sSubSupPr>
                        <m:e>
                          <m:r>
                            <w:rPr>
                              <w:rFonts w:ascii="Cambria Math" w:hAnsi="Cambria Math"/>
                              <w:noProof/>
                            </w:rPr>
                            <m:t>E</m:t>
                          </m:r>
                        </m:e>
                        <m:sub>
                          <m:r>
                            <w:rPr>
                              <w:rFonts w:ascii="Cambria Math" w:hAnsi="Cambria Math"/>
                              <w:noProof/>
                            </w:rPr>
                            <m:t>l</m:t>
                          </m:r>
                        </m:sub>
                        <m:sup>
                          <m:r>
                            <m:rPr>
                              <m:nor/>
                            </m:rPr>
                            <w:rPr>
                              <w:noProof/>
                            </w:rPr>
                            <m:t>sec</m:t>
                          </m:r>
                        </m:sup>
                      </m:sSubSup>
                    </m:e>
                  </m:d>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H</m:t>
                      </m:r>
                    </m:e>
                    <m:sub>
                      <m:r>
                        <w:rPr>
                          <w:rFonts w:ascii="Cambria Math" w:hAnsi="Cambria Math"/>
                          <w:noProof/>
                        </w:rPr>
                        <m:t>l</m:t>
                      </m:r>
                    </m:sub>
                    <m:sup>
                      <m:r>
                        <m:rPr>
                          <m:nor/>
                        </m:rPr>
                        <w:rPr>
                          <w:noProof/>
                        </w:rPr>
                        <m:t>sec</m:t>
                      </m:r>
                    </m:sup>
                  </m:sSubSup>
                </m:e>
              </m:nary>
            </m:e>
          </m:d>
        </m:oMath>
      </m:oMathPara>
    </w:p>
    <w:p w14:paraId="08304331" w14:textId="77777777" w:rsidR="005A21FE" w:rsidRPr="004F01E9" w:rsidRDefault="005A21FE" w:rsidP="005A21FE">
      <w:pPr>
        <w:pStyle w:val="Text2"/>
        <w:rPr>
          <w:noProof/>
        </w:rPr>
      </w:pPr>
      <w:r w:rsidRPr="004F01E9">
        <w:rPr>
          <w:noProof/>
        </w:rPr>
        <w:t>kde:</w:t>
      </w:r>
    </w:p>
    <w:p w14:paraId="14917058" w14:textId="0FCF6DBA" w:rsidR="00806B81" w:rsidRPr="004F01E9" w:rsidRDefault="005A21FE" w:rsidP="005A21FE">
      <w:pPr>
        <w:pStyle w:val="Text2"/>
        <w:rPr>
          <w:noProof/>
        </w:rPr>
      </w:pPr>
      <w:r w:rsidRPr="004F01E9">
        <w:rPr>
          <w:i/>
          <w:noProof/>
        </w:rPr>
        <w:t>l</w:t>
      </w:r>
      <w:r w:rsidRPr="004F01E9">
        <w:rPr>
          <w:noProof/>
        </w:rPr>
        <w:tab/>
        <w:t>= index, ktorý označuje všetky odlišné skupiny rovnakých cenných papierov</w:t>
      </w:r>
      <w:r w:rsidR="004F01E9">
        <w:rPr>
          <w:noProof/>
        </w:rPr>
        <w:t xml:space="preserve"> a </w:t>
      </w:r>
      <w:r w:rsidRPr="004F01E9">
        <w:rPr>
          <w:noProof/>
        </w:rPr>
        <w:t>všetky rôzne druhy rovnakých komodít</w:t>
      </w:r>
      <w:r w:rsidR="004F01E9">
        <w:rPr>
          <w:noProof/>
        </w:rPr>
        <w:t xml:space="preserve"> v </w:t>
      </w:r>
      <w:r w:rsidRPr="004F01E9">
        <w:rPr>
          <w:noProof/>
        </w:rPr>
        <w:t>rámci dohody;</w:t>
      </w:r>
    </w:p>
    <w:p w14:paraId="795138F5" w14:textId="3683FCB5" w:rsidR="005A21FE" w:rsidRPr="004F01E9" w:rsidRDefault="00EE12EE" w:rsidP="005A21FE">
      <w:pPr>
        <w:pStyle w:val="Text2"/>
        <w:rPr>
          <w:noProof/>
        </w:rPr>
      </w:pPr>
      <m:oMath>
        <m:sSubSup>
          <m:sSubSupPr>
            <m:ctrlPr>
              <w:rPr>
                <w:rFonts w:ascii="Cambria Math" w:hAnsi="Cambria Math"/>
                <w:i/>
                <w:noProof/>
              </w:rPr>
            </m:ctrlPr>
          </m:sSubSupPr>
          <m:e>
            <m:r>
              <w:rPr>
                <w:rFonts w:ascii="Cambria Math" w:hAnsi="Cambria Math"/>
                <w:noProof/>
              </w:rPr>
              <m:t>E</m:t>
            </m:r>
          </m:e>
          <m:sub>
            <m:r>
              <w:rPr>
                <w:rFonts w:ascii="Cambria Math" w:hAnsi="Cambria Math"/>
                <w:noProof/>
              </w:rPr>
              <m:t>l</m:t>
            </m:r>
          </m:sub>
          <m:sup>
            <m:r>
              <m:rPr>
                <m:nor/>
              </m:rPr>
              <w:rPr>
                <w:rFonts w:ascii="Cambria Math" w:hAnsi="Cambria Math"/>
                <w:noProof/>
              </w:rPr>
              <m:t>sec</m:t>
            </m:r>
          </m:sup>
        </m:sSubSup>
      </m:oMath>
      <w:r w:rsidR="00DE1B1D" w:rsidRPr="004F01E9">
        <w:rPr>
          <w:noProof/>
        </w:rPr>
        <w:t xml:space="preserve"> = čistá pozícia (kladná alebo záporná)</w:t>
      </w:r>
      <w:r w:rsidR="004F01E9">
        <w:rPr>
          <w:noProof/>
        </w:rPr>
        <w:t xml:space="preserve"> v </w:t>
      </w:r>
      <w:r w:rsidR="00DE1B1D" w:rsidRPr="004F01E9">
        <w:rPr>
          <w:noProof/>
        </w:rPr>
        <w:t xml:space="preserve">danej skupine cenných papierov </w:t>
      </w:r>
      <w:r w:rsidR="00DE1B1D" w:rsidRPr="004F01E9">
        <w:rPr>
          <w:i/>
          <w:noProof/>
        </w:rPr>
        <w:t>l</w:t>
      </w:r>
      <w:r w:rsidR="00DE1B1D" w:rsidRPr="004F01E9">
        <w:rPr>
          <w:noProof/>
        </w:rPr>
        <w:t xml:space="preserve"> alebo danom druhu komodít </w:t>
      </w:r>
      <w:r w:rsidR="00DE1B1D" w:rsidRPr="004F01E9">
        <w:rPr>
          <w:i/>
          <w:noProof/>
        </w:rPr>
        <w:t>l</w:t>
      </w:r>
      <w:r w:rsidR="004F01E9">
        <w:rPr>
          <w:noProof/>
        </w:rPr>
        <w:t xml:space="preserve"> v </w:t>
      </w:r>
      <w:r w:rsidR="00DE1B1D" w:rsidRPr="004F01E9">
        <w:rPr>
          <w:noProof/>
        </w:rPr>
        <w:t>rámci dohody vypočítaná</w:t>
      </w:r>
      <w:r w:rsidR="004F01E9">
        <w:rPr>
          <w:noProof/>
        </w:rPr>
        <w:t xml:space="preserve"> v </w:t>
      </w:r>
      <w:r w:rsidR="00DE1B1D" w:rsidRPr="004F01E9">
        <w:rPr>
          <w:noProof/>
        </w:rPr>
        <w:t>súlade</w:t>
      </w:r>
      <w:r w:rsidR="004F01E9">
        <w:rPr>
          <w:noProof/>
        </w:rPr>
        <w:t xml:space="preserve"> s </w:t>
      </w:r>
      <w:r w:rsidR="00DE1B1D" w:rsidRPr="004F01E9">
        <w:rPr>
          <w:noProof/>
        </w:rPr>
        <w:t>odsekom 2 písm. a);</w:t>
      </w:r>
    </w:p>
    <w:p w14:paraId="3C031A99" w14:textId="6B6C7D98" w:rsidR="005A21FE" w:rsidRPr="004F01E9" w:rsidRDefault="00EE12EE" w:rsidP="005A21FE">
      <w:pPr>
        <w:pStyle w:val="Text2"/>
        <w:rPr>
          <w:noProof/>
        </w:rPr>
      </w:pPr>
      <m:oMath>
        <m:sSubSup>
          <m:sSubSupPr>
            <m:ctrlPr>
              <w:rPr>
                <w:rFonts w:ascii="Cambria Math" w:hAnsi="Cambria Math"/>
                <w:i/>
                <w:noProof/>
              </w:rPr>
            </m:ctrlPr>
          </m:sSubSupPr>
          <m:e>
            <m:r>
              <w:rPr>
                <w:rFonts w:ascii="Cambria Math" w:hAnsi="Cambria Math"/>
                <w:noProof/>
              </w:rPr>
              <m:t>H</m:t>
            </m:r>
          </m:e>
          <m:sub>
            <m:r>
              <w:rPr>
                <w:rFonts w:ascii="Cambria Math" w:hAnsi="Cambria Math"/>
                <w:noProof/>
              </w:rPr>
              <m:t>l</m:t>
            </m:r>
          </m:sub>
          <m:sup>
            <m:r>
              <m:rPr>
                <m:nor/>
              </m:rPr>
              <w:rPr>
                <w:rFonts w:ascii="Cambria Math" w:hAnsi="Cambria Math"/>
                <w:noProof/>
              </w:rPr>
              <m:t>sec</m:t>
            </m:r>
          </m:sup>
        </m:sSubSup>
      </m:oMath>
      <w:r w:rsidR="00DE1B1D" w:rsidRPr="004F01E9">
        <w:rPr>
          <w:noProof/>
        </w:rPr>
        <w:t xml:space="preserve"> = úprava</w:t>
      </w:r>
      <w:r w:rsidR="004F01E9">
        <w:rPr>
          <w:noProof/>
        </w:rPr>
        <w:t xml:space="preserve"> z </w:t>
      </w:r>
      <w:r w:rsidR="00DE1B1D" w:rsidRPr="004F01E9">
        <w:rPr>
          <w:noProof/>
        </w:rPr>
        <w:t xml:space="preserve">dôvodu volatility primeraná pre danú skupinu cenných papierov </w:t>
      </w:r>
      <w:r w:rsidR="00DE1B1D" w:rsidRPr="004F01E9">
        <w:rPr>
          <w:i/>
          <w:noProof/>
        </w:rPr>
        <w:t>l</w:t>
      </w:r>
      <w:r w:rsidR="00DE1B1D" w:rsidRPr="004F01E9">
        <w:rPr>
          <w:noProof/>
        </w:rPr>
        <w:t xml:space="preserve"> alebo daný druh komodít </w:t>
      </w:r>
      <w:r w:rsidR="00DE1B1D" w:rsidRPr="004F01E9">
        <w:rPr>
          <w:i/>
          <w:noProof/>
        </w:rPr>
        <w:t>l</w:t>
      </w:r>
      <w:r w:rsidR="00DE1B1D" w:rsidRPr="004F01E9">
        <w:rPr>
          <w:noProof/>
        </w:rPr>
        <w:t xml:space="preserve"> určená</w:t>
      </w:r>
      <w:r w:rsidR="004F01E9">
        <w:rPr>
          <w:noProof/>
        </w:rPr>
        <w:t xml:space="preserve"> v </w:t>
      </w:r>
      <w:r w:rsidR="00DE1B1D" w:rsidRPr="004F01E9">
        <w:rPr>
          <w:noProof/>
        </w:rPr>
        <w:t>súlade</w:t>
      </w:r>
      <w:r w:rsidR="004F01E9">
        <w:rPr>
          <w:noProof/>
        </w:rPr>
        <w:t xml:space="preserve"> s </w:t>
      </w:r>
      <w:r w:rsidR="00DE1B1D" w:rsidRPr="004F01E9">
        <w:rPr>
          <w:noProof/>
        </w:rPr>
        <w:t xml:space="preserve">odsekom 2 písm. c). Znamienko </w:t>
      </w:r>
      <m:oMath>
        <m:sSubSup>
          <m:sSubSupPr>
            <m:ctrlPr>
              <w:rPr>
                <w:rFonts w:ascii="Cambria Math" w:hAnsi="Cambria Math"/>
                <w:i/>
                <w:noProof/>
              </w:rPr>
            </m:ctrlPr>
          </m:sSubSupPr>
          <m:e>
            <m:r>
              <w:rPr>
                <w:rFonts w:ascii="Cambria Math" w:hAnsi="Cambria Math"/>
                <w:noProof/>
              </w:rPr>
              <m:t>H</m:t>
            </m:r>
          </m:e>
          <m:sub>
            <m:r>
              <w:rPr>
                <w:rFonts w:ascii="Cambria Math" w:hAnsi="Cambria Math"/>
                <w:noProof/>
              </w:rPr>
              <m:t>l</m:t>
            </m:r>
          </m:sub>
          <m:sup>
            <m:r>
              <m:rPr>
                <m:nor/>
              </m:rPr>
              <w:rPr>
                <w:rFonts w:ascii="Cambria Math" w:hAnsi="Cambria Math"/>
                <w:noProof/>
              </w:rPr>
              <m:t>sec</m:t>
            </m:r>
          </m:sup>
        </m:sSubSup>
      </m:oMath>
      <w:r w:rsidR="00DE1B1D" w:rsidRPr="004F01E9">
        <w:rPr>
          <w:noProof/>
        </w:rPr>
        <w:t xml:space="preserve"> sa určí takto:</w:t>
      </w:r>
    </w:p>
    <w:p w14:paraId="5E202257" w14:textId="001A6667" w:rsidR="005A21FE" w:rsidRPr="004F01E9" w:rsidRDefault="00A755CD" w:rsidP="005B4437">
      <w:pPr>
        <w:pStyle w:val="Point2"/>
        <w:rPr>
          <w:noProof/>
        </w:rPr>
      </w:pPr>
      <w:r w:rsidRPr="004F01E9">
        <w:rPr>
          <w:noProof/>
        </w:rPr>
        <w:t>a)</w:t>
      </w:r>
      <w:r w:rsidRPr="004F01E9">
        <w:rPr>
          <w:noProof/>
        </w:rPr>
        <w:tab/>
        <w:t xml:space="preserve">má kladné znamienko, ak je skupina cenných papierov </w:t>
      </w:r>
      <w:r w:rsidRPr="004F01E9">
        <w:rPr>
          <w:i/>
          <w:noProof/>
        </w:rPr>
        <w:t>l</w:t>
      </w:r>
      <w:r w:rsidRPr="004F01E9">
        <w:rPr>
          <w:noProof/>
        </w:rPr>
        <w:t xml:space="preserve"> požičaná, predaná so zmluvou</w:t>
      </w:r>
      <w:r w:rsidR="004F01E9">
        <w:rPr>
          <w:noProof/>
        </w:rPr>
        <w:t xml:space="preserve"> o </w:t>
      </w:r>
      <w:r w:rsidRPr="004F01E9">
        <w:rPr>
          <w:noProof/>
        </w:rPr>
        <w:t>repo transakciách alebo obchodovaná spôsobom podobným buď požičiavaniu cenných papierov, alebo zmluve</w:t>
      </w:r>
      <w:r w:rsidR="004F01E9">
        <w:rPr>
          <w:noProof/>
        </w:rPr>
        <w:t xml:space="preserve"> o </w:t>
      </w:r>
      <w:r w:rsidRPr="004F01E9">
        <w:rPr>
          <w:noProof/>
        </w:rPr>
        <w:t>repo transakciách;</w:t>
      </w:r>
    </w:p>
    <w:p w14:paraId="11D25DBE" w14:textId="5512E7B3" w:rsidR="005A21FE" w:rsidRPr="004F01E9" w:rsidRDefault="00A755CD" w:rsidP="005B4437">
      <w:pPr>
        <w:pStyle w:val="Point2"/>
        <w:rPr>
          <w:noProof/>
        </w:rPr>
      </w:pPr>
      <w:r w:rsidRPr="004F01E9">
        <w:rPr>
          <w:noProof/>
        </w:rPr>
        <w:t>b)</w:t>
      </w:r>
      <w:r w:rsidRPr="004F01E9">
        <w:rPr>
          <w:noProof/>
        </w:rPr>
        <w:tab/>
        <w:t xml:space="preserve">má záporné znamienko, ak je skupina cenných papierov </w:t>
      </w:r>
      <w:r w:rsidRPr="004F01E9">
        <w:rPr>
          <w:i/>
          <w:noProof/>
        </w:rPr>
        <w:t>l</w:t>
      </w:r>
      <w:r w:rsidRPr="004F01E9">
        <w:rPr>
          <w:noProof/>
        </w:rPr>
        <w:t xml:space="preserve"> vypožičaná, nakúpená so zmluvou</w:t>
      </w:r>
      <w:r w:rsidR="004F01E9">
        <w:rPr>
          <w:noProof/>
        </w:rPr>
        <w:t xml:space="preserve"> o </w:t>
      </w:r>
      <w:r w:rsidRPr="004F01E9">
        <w:rPr>
          <w:noProof/>
        </w:rPr>
        <w:t>ďalšom predaji alebo obchodovaná spôsobom podobným buď požičiavaniu cenných papierov, alebo zmluve</w:t>
      </w:r>
      <w:r w:rsidR="004F01E9">
        <w:rPr>
          <w:noProof/>
        </w:rPr>
        <w:t xml:space="preserve"> o </w:t>
      </w:r>
      <w:r w:rsidRPr="004F01E9">
        <w:rPr>
          <w:noProof/>
        </w:rPr>
        <w:t>obrátených repo transakciách;</w:t>
      </w:r>
    </w:p>
    <w:p w14:paraId="2D92E330" w14:textId="73F77A3F" w:rsidR="00806B81" w:rsidRPr="004F01E9" w:rsidRDefault="005A21FE" w:rsidP="005A21FE">
      <w:pPr>
        <w:pStyle w:val="Text2"/>
        <w:rPr>
          <w:noProof/>
        </w:rPr>
      </w:pPr>
      <w:r w:rsidRPr="004F01E9">
        <w:rPr>
          <w:i/>
          <w:noProof/>
        </w:rPr>
        <w:t>N</w:t>
      </w:r>
      <w:r w:rsidRPr="004F01E9">
        <w:rPr>
          <w:noProof/>
        </w:rPr>
        <w:tab/>
        <w:t>= = celkový počet rôznych skupín rovnakých cenných papierov</w:t>
      </w:r>
      <w:r w:rsidR="004F01E9">
        <w:rPr>
          <w:noProof/>
        </w:rPr>
        <w:t xml:space="preserve"> a </w:t>
      </w:r>
      <w:r w:rsidRPr="004F01E9">
        <w:rPr>
          <w:noProof/>
        </w:rPr>
        <w:t>rôznych druhov rovnakých komodít</w:t>
      </w:r>
      <w:r w:rsidR="004F01E9">
        <w:rPr>
          <w:noProof/>
        </w:rPr>
        <w:t xml:space="preserve"> v </w:t>
      </w:r>
      <w:r w:rsidRPr="004F01E9">
        <w:rPr>
          <w:noProof/>
        </w:rPr>
        <w:t>rámci dohody; na účely tohto výpočtu sa nezapočítavajú tie skupiny</w:t>
      </w:r>
      <w:r w:rsidR="004F01E9">
        <w:rPr>
          <w:noProof/>
        </w:rPr>
        <w:t xml:space="preserve"> a </w:t>
      </w:r>
      <w:r w:rsidRPr="004F01E9">
        <w:rPr>
          <w:noProof/>
        </w:rPr>
        <w:t xml:space="preserve">druhy </w:t>
      </w:r>
      <m:oMath>
        <m:sSubSup>
          <m:sSubSupPr>
            <m:ctrlPr>
              <w:rPr>
                <w:rFonts w:ascii="Cambria Math" w:hAnsi="Cambria Math"/>
                <w:i/>
                <w:noProof/>
              </w:rPr>
            </m:ctrlPr>
          </m:sSubSupPr>
          <m:e>
            <m:r>
              <w:rPr>
                <w:rFonts w:ascii="Cambria Math" w:hAnsi="Cambria Math"/>
                <w:noProof/>
              </w:rPr>
              <m:t>E</m:t>
            </m:r>
          </m:e>
          <m:sub>
            <m:r>
              <w:rPr>
                <w:rFonts w:ascii="Cambria Math" w:hAnsi="Cambria Math"/>
                <w:noProof/>
              </w:rPr>
              <m:t>l</m:t>
            </m:r>
          </m:sub>
          <m:sup>
            <m:r>
              <m:rPr>
                <m:nor/>
              </m:rPr>
              <w:rPr>
                <w:rFonts w:ascii="Cambria Math" w:hAnsi="Cambria Math"/>
                <w:noProof/>
              </w:rPr>
              <m:t>sec</m:t>
            </m:r>
          </m:sup>
        </m:sSubSup>
      </m:oMath>
      <w:r w:rsidRPr="004F01E9">
        <w:rPr>
          <w:noProof/>
        </w:rPr>
        <w:t xml:space="preserve">, pri ktorých je </w:t>
      </w:r>
      <m:oMath>
        <m:d>
          <m:dPr>
            <m:begChr m:val="|"/>
            <m:endChr m:val="|"/>
            <m:ctrlPr>
              <w:rPr>
                <w:rFonts w:ascii="Cambria Math" w:hAnsi="Cambria Math"/>
                <w:noProof/>
              </w:rPr>
            </m:ctrlPr>
          </m:dPr>
          <m:e>
            <m:sSubSup>
              <m:sSubSupPr>
                <m:ctrlPr>
                  <w:rPr>
                    <w:rFonts w:ascii="Cambria Math" w:hAnsi="Cambria Math"/>
                    <w:i/>
                    <w:noProof/>
                  </w:rPr>
                </m:ctrlPr>
              </m:sSubSupPr>
              <m:e>
                <m:r>
                  <w:rPr>
                    <w:rFonts w:ascii="Cambria Math" w:hAnsi="Cambria Math"/>
                    <w:noProof/>
                  </w:rPr>
                  <m:t>E</m:t>
                </m:r>
              </m:e>
              <m:sub>
                <m:r>
                  <w:rPr>
                    <w:rFonts w:ascii="Cambria Math" w:hAnsi="Cambria Math"/>
                    <w:noProof/>
                  </w:rPr>
                  <m:t>l</m:t>
                </m:r>
              </m:sub>
              <m:sup>
                <m:r>
                  <m:rPr>
                    <m:nor/>
                  </m:rPr>
                  <w:rPr>
                    <w:rFonts w:ascii="Cambria Math" w:hAnsi="Cambria Math"/>
                    <w:noProof/>
                  </w:rPr>
                  <m:t>sec</m:t>
                </m:r>
              </m:sup>
            </m:sSubSup>
          </m:e>
        </m:d>
      </m:oMath>
      <w:r w:rsidRPr="004F01E9">
        <w:rPr>
          <w:noProof/>
        </w:rPr>
        <w:t xml:space="preserve"> menej ako </w:t>
      </w:r>
      <m:oMath>
        <m:f>
          <m:fPr>
            <m:ctrlPr>
              <w:rPr>
                <w:rFonts w:ascii="Cambria Math" w:hAnsi="Cambria Math"/>
                <w:i/>
                <w:noProof/>
              </w:rPr>
            </m:ctrlPr>
          </m:fPr>
          <m:num>
            <m:r>
              <w:rPr>
                <w:rFonts w:ascii="Cambria Math" w:hAnsi="Cambria Math"/>
                <w:noProof/>
              </w:rPr>
              <m:t>1</m:t>
            </m:r>
          </m:num>
          <m:den>
            <m:r>
              <w:rPr>
                <w:rFonts w:ascii="Cambria Math" w:hAnsi="Cambria Math"/>
                <w:noProof/>
              </w:rPr>
              <m:t>10</m:t>
            </m:r>
          </m:den>
        </m:f>
        <m:func>
          <m:funcPr>
            <m:ctrlPr>
              <w:rPr>
                <w:rFonts w:ascii="Cambria Math" w:hAnsi="Cambria Math"/>
                <w:i/>
                <w:noProof/>
              </w:rPr>
            </m:ctrlPr>
          </m:funcPr>
          <m:fName>
            <m:limLow>
              <m:limLowPr>
                <m:ctrlPr>
                  <w:rPr>
                    <w:rFonts w:ascii="Cambria Math" w:hAnsi="Cambria Math"/>
                    <w:i/>
                    <w:noProof/>
                  </w:rPr>
                </m:ctrlPr>
              </m:limLowPr>
              <m:e>
                <m:r>
                  <m:rPr>
                    <m:sty m:val="p"/>
                  </m:rPr>
                  <w:rPr>
                    <w:rFonts w:ascii="Cambria Math" w:hAnsi="Cambria Math"/>
                    <w:noProof/>
                  </w:rPr>
                  <m:t>max</m:t>
                </m:r>
              </m:e>
              <m:lim>
                <m:r>
                  <w:rPr>
                    <w:rFonts w:ascii="Cambria Math" w:hAnsi="Cambria Math"/>
                    <w:noProof/>
                  </w:rPr>
                  <m:t>l</m:t>
                </m:r>
              </m:lim>
            </m:limLow>
          </m:fName>
          <m:e>
            <m:r>
              <w:rPr>
                <w:rFonts w:ascii="Cambria Math" w:hAnsi="Cambria Math"/>
                <w:noProof/>
              </w:rPr>
              <m:t>(</m:t>
            </m:r>
            <m:d>
              <m:dPr>
                <m:begChr m:val="|"/>
                <m:endChr m:val="|"/>
                <m:ctrlPr>
                  <w:rPr>
                    <w:rFonts w:ascii="Cambria Math" w:hAnsi="Cambria Math"/>
                    <w:noProof/>
                  </w:rPr>
                </m:ctrlPr>
              </m:dPr>
              <m:e>
                <m:sSubSup>
                  <m:sSubSupPr>
                    <m:ctrlPr>
                      <w:rPr>
                        <w:rFonts w:ascii="Cambria Math" w:hAnsi="Cambria Math"/>
                        <w:i/>
                        <w:noProof/>
                      </w:rPr>
                    </m:ctrlPr>
                  </m:sSubSupPr>
                  <m:e>
                    <m:r>
                      <w:rPr>
                        <w:rFonts w:ascii="Cambria Math" w:hAnsi="Cambria Math"/>
                        <w:noProof/>
                      </w:rPr>
                      <m:t>E</m:t>
                    </m:r>
                  </m:e>
                  <m:sub>
                    <m:r>
                      <w:rPr>
                        <w:rFonts w:ascii="Cambria Math" w:hAnsi="Cambria Math"/>
                        <w:noProof/>
                      </w:rPr>
                      <m:t>l</m:t>
                    </m:r>
                  </m:sub>
                  <m:sup>
                    <m:r>
                      <m:rPr>
                        <m:nor/>
                      </m:rPr>
                      <w:rPr>
                        <w:rFonts w:ascii="Cambria Math" w:hAnsi="Cambria Math"/>
                        <w:noProof/>
                      </w:rPr>
                      <m:t>sec</m:t>
                    </m:r>
                  </m:sup>
                </m:sSubSup>
              </m:e>
            </m:d>
            <m:r>
              <w:rPr>
                <w:rFonts w:ascii="Cambria Math" w:hAnsi="Cambria Math"/>
                <w:noProof/>
              </w:rPr>
              <m:t>)</m:t>
            </m:r>
          </m:e>
        </m:func>
      </m:oMath>
      <w:r w:rsidRPr="004F01E9">
        <w:rPr>
          <w:noProof/>
        </w:rPr>
        <w:t>;</w:t>
      </w:r>
    </w:p>
    <w:p w14:paraId="45DE3C42" w14:textId="75EA0370" w:rsidR="005A21FE" w:rsidRPr="004F01E9" w:rsidRDefault="00EE12EE" w:rsidP="005A21FE">
      <w:pPr>
        <w:pStyle w:val="Text2"/>
        <w:rPr>
          <w:noProof/>
        </w:rPr>
      </w:pPr>
      <m:oMath>
        <m:sSub>
          <m:sSubPr>
            <m:ctrlPr>
              <w:rPr>
                <w:rFonts w:ascii="Cambria Math" w:hAnsi="Cambria Math"/>
                <w:i/>
                <w:noProof/>
              </w:rPr>
            </m:ctrlPr>
          </m:sSubPr>
          <m:e>
            <m:r>
              <w:rPr>
                <w:rFonts w:ascii="Cambria Math" w:hAnsi="Cambria Math"/>
                <w:noProof/>
              </w:rPr>
              <m:t>E</m:t>
            </m:r>
          </m:e>
          <m:sub>
            <m:r>
              <w:rPr>
                <w:rFonts w:ascii="Cambria Math" w:hAnsi="Cambria Math"/>
                <w:noProof/>
              </w:rPr>
              <m:t>gross</m:t>
            </m:r>
          </m:sub>
        </m:sSub>
      </m:oMath>
      <w:r w:rsidR="00DE1B1D" w:rsidRPr="004F01E9">
        <w:rPr>
          <w:noProof/>
        </w:rPr>
        <w:tab/>
        <w:t>= hrubá expozícia dohody vypočítaná takto:</w:t>
      </w:r>
    </w:p>
    <w:p w14:paraId="79BA8637" w14:textId="57DF291E" w:rsidR="005A21FE" w:rsidRPr="004F01E9" w:rsidRDefault="00EE12EE" w:rsidP="00DB2DEE">
      <w:pPr>
        <w:pStyle w:val="Text2"/>
        <w:jc w:val="center"/>
        <w:rPr>
          <w:rFonts w:eastAsiaTheme="minorEastAsia"/>
          <w:noProof/>
        </w:rPr>
      </w:pPr>
      <m:oMath>
        <m:sSub>
          <m:sSubPr>
            <m:ctrlPr>
              <w:rPr>
                <w:rFonts w:ascii="Cambria Math" w:eastAsiaTheme="minorEastAsia" w:hAnsi="Cambria Math"/>
                <w:noProof/>
              </w:rPr>
            </m:ctrlPr>
          </m:sSubPr>
          <m:e>
            <m:r>
              <w:rPr>
                <w:rFonts w:ascii="Cambria Math" w:eastAsiaTheme="minorEastAsia" w:hAnsi="Cambria Math"/>
                <w:noProof/>
              </w:rPr>
              <m:t>E</m:t>
            </m:r>
          </m:e>
          <m:sub>
            <m:r>
              <m:rPr>
                <m:nor/>
              </m:rPr>
              <w:rPr>
                <w:rFonts w:eastAsiaTheme="minorEastAsia"/>
                <w:noProof/>
              </w:rPr>
              <m:t>gross</m:t>
            </m:r>
          </m:sub>
        </m:sSub>
        <m:r>
          <m:rPr>
            <m:sty m:val="p"/>
          </m:rPr>
          <w:rPr>
            <w:rFonts w:ascii="Cambria Math" w:eastAsiaTheme="minorEastAsia" w:hAnsi="Cambria Math"/>
            <w:noProof/>
          </w:rPr>
          <m:t>=</m:t>
        </m:r>
        <m:nary>
          <m:naryPr>
            <m:chr m:val="∑"/>
            <m:limLoc m:val="undOvr"/>
            <m:ctrlPr>
              <w:rPr>
                <w:rFonts w:ascii="Cambria Math" w:hAnsi="Cambria Math"/>
                <w:noProof/>
              </w:rPr>
            </m:ctrlPr>
          </m:naryPr>
          <m:sub>
            <m:r>
              <w:rPr>
                <w:rFonts w:ascii="Cambria Math" w:hAnsi="Cambria Math"/>
                <w:noProof/>
              </w:rPr>
              <m:t>l</m:t>
            </m:r>
            <m:r>
              <m:rPr>
                <m:sty m:val="p"/>
              </m:rPr>
              <w:rPr>
                <w:rFonts w:ascii="Cambria Math" w:hAnsi="Cambria Math"/>
                <w:noProof/>
              </w:rPr>
              <m:t>=1</m:t>
            </m:r>
          </m:sub>
          <m:sup>
            <m:r>
              <w:rPr>
                <w:rFonts w:ascii="Cambria Math" w:hAnsi="Cambria Math"/>
                <w:noProof/>
              </w:rPr>
              <m:t>N</m:t>
            </m:r>
          </m:sup>
          <m:e>
            <m:d>
              <m:dPr>
                <m:begChr m:val="|"/>
                <m:endChr m:val="|"/>
                <m:ctrlPr>
                  <w:rPr>
                    <w:rFonts w:ascii="Cambria Math" w:hAnsi="Cambria Math"/>
                    <w:noProof/>
                  </w:rPr>
                </m:ctrlPr>
              </m:dPr>
              <m:e>
                <m:sSubSup>
                  <m:sSubSupPr>
                    <m:ctrlPr>
                      <w:rPr>
                        <w:rFonts w:ascii="Cambria Math" w:hAnsi="Cambria Math"/>
                        <w:noProof/>
                      </w:rPr>
                    </m:ctrlPr>
                  </m:sSubSupPr>
                  <m:e>
                    <m:r>
                      <w:rPr>
                        <w:rFonts w:ascii="Cambria Math" w:hAnsi="Cambria Math"/>
                        <w:noProof/>
                      </w:rPr>
                      <m:t>E</m:t>
                    </m:r>
                  </m:e>
                  <m:sub>
                    <m:r>
                      <w:rPr>
                        <w:rFonts w:ascii="Cambria Math" w:hAnsi="Cambria Math"/>
                        <w:noProof/>
                      </w:rPr>
                      <m:t>l</m:t>
                    </m:r>
                  </m:sub>
                  <m:sup>
                    <m:r>
                      <m:rPr>
                        <m:nor/>
                      </m:rPr>
                      <w:rPr>
                        <w:noProof/>
                      </w:rPr>
                      <m:t>sec</m:t>
                    </m:r>
                  </m:sup>
                </m:sSubSup>
              </m:e>
            </m:d>
            <m:r>
              <m:rPr>
                <m:sty m:val="p"/>
              </m:rPr>
              <w:rPr>
                <w:rFonts w:ascii="Cambria Math" w:hAnsi="Cambria Math"/>
                <w:noProof/>
              </w:rPr>
              <m:t>⋅</m:t>
            </m:r>
            <m:d>
              <m:dPr>
                <m:begChr m:val="|"/>
                <m:endChr m:val="|"/>
                <m:ctrlPr>
                  <w:rPr>
                    <w:rFonts w:ascii="Cambria Math" w:hAnsi="Cambria Math"/>
                    <w:noProof/>
                  </w:rPr>
                </m:ctrlPr>
              </m:dPr>
              <m:e>
                <m:sSubSup>
                  <m:sSubSupPr>
                    <m:ctrlPr>
                      <w:rPr>
                        <w:rFonts w:ascii="Cambria Math" w:hAnsi="Cambria Math"/>
                        <w:noProof/>
                      </w:rPr>
                    </m:ctrlPr>
                  </m:sSubSupPr>
                  <m:e>
                    <m:r>
                      <w:rPr>
                        <w:rFonts w:ascii="Cambria Math" w:hAnsi="Cambria Math"/>
                        <w:noProof/>
                      </w:rPr>
                      <m:t>H</m:t>
                    </m:r>
                  </m:e>
                  <m:sub>
                    <m:r>
                      <w:rPr>
                        <w:rFonts w:ascii="Cambria Math" w:hAnsi="Cambria Math"/>
                        <w:noProof/>
                      </w:rPr>
                      <m:t>l</m:t>
                    </m:r>
                  </m:sub>
                  <m:sup>
                    <m:r>
                      <m:rPr>
                        <m:nor/>
                      </m:rPr>
                      <w:rPr>
                        <w:noProof/>
                      </w:rPr>
                      <m:t>sec</m:t>
                    </m:r>
                  </m:sup>
                </m:sSubSup>
              </m:e>
            </m:d>
          </m:e>
        </m:nary>
      </m:oMath>
      <w:r w:rsidR="00DE1B1D" w:rsidRPr="004F01E9">
        <w:rPr>
          <w:noProof/>
        </w:rPr>
        <w:t>.“</w:t>
      </w:r>
    </w:p>
    <w:p w14:paraId="62C8E805" w14:textId="6F74E6C8" w:rsidR="00806B81" w:rsidRPr="004F01E9" w:rsidRDefault="00B16452" w:rsidP="00376CBB">
      <w:pPr>
        <w:pStyle w:val="Point0"/>
        <w:keepNext/>
        <w:keepLines/>
        <w:rPr>
          <w:noProof/>
        </w:rPr>
      </w:pPr>
      <w:r w:rsidRPr="00B16452">
        <w:rPr>
          <w:noProof/>
        </w:rPr>
        <w:t>111</w:t>
      </w:r>
      <w:r>
        <w:rPr>
          <w:noProof/>
        </w:rPr>
        <w:t>.</w:t>
      </w:r>
      <w:r w:rsidRPr="00B16452">
        <w:rPr>
          <w:noProof/>
        </w:rPr>
        <w:tab/>
      </w:r>
      <w:r w:rsidR="005A21FE" w:rsidRPr="004F01E9">
        <w:rPr>
          <w:noProof/>
        </w:rPr>
        <w:t>Článok 221 sa mení takto:</w:t>
      </w:r>
    </w:p>
    <w:p w14:paraId="3776EAB1" w14:textId="0E1F0963" w:rsidR="005A21FE" w:rsidRPr="004F01E9" w:rsidRDefault="00DB2DEE" w:rsidP="00376CBB">
      <w:pPr>
        <w:pStyle w:val="Point1"/>
        <w:keepNext/>
        <w:keepLines/>
        <w:rPr>
          <w:noProof/>
        </w:rPr>
      </w:pPr>
      <w:r w:rsidRPr="004F01E9">
        <w:rPr>
          <w:noProof/>
        </w:rPr>
        <w:t>a)</w:t>
      </w:r>
      <w:r w:rsidRPr="004F01E9">
        <w:rPr>
          <w:noProof/>
        </w:rPr>
        <w:tab/>
        <w:t>Odseky 1, 2</w:t>
      </w:r>
      <w:r w:rsidR="004F01E9">
        <w:rPr>
          <w:noProof/>
        </w:rPr>
        <w:t xml:space="preserve"> a </w:t>
      </w:r>
      <w:r w:rsidRPr="004F01E9">
        <w:rPr>
          <w:noProof/>
        </w:rPr>
        <w:t>3 sa nahrádzajú takto:</w:t>
      </w:r>
    </w:p>
    <w:p w14:paraId="68165B65" w14:textId="40F91C6A" w:rsidR="005A21FE" w:rsidRPr="004F01E9" w:rsidRDefault="005A21FE" w:rsidP="00376CBB">
      <w:pPr>
        <w:pStyle w:val="Text2"/>
        <w:keepNext/>
        <w:keepLines/>
        <w:rPr>
          <w:noProof/>
        </w:rPr>
      </w:pPr>
      <w:r w:rsidRPr="004F01E9">
        <w:rPr>
          <w:noProof/>
        </w:rPr>
        <w:t>„1. Na účely výpočtu hodnôt rizikovo vážených expozícií</w:t>
      </w:r>
      <w:r w:rsidR="004F01E9">
        <w:rPr>
          <w:noProof/>
        </w:rPr>
        <w:t xml:space="preserve"> a </w:t>
      </w:r>
      <w:r w:rsidRPr="004F01E9">
        <w:rPr>
          <w:noProof/>
        </w:rPr>
        <w:t>výšky očakávaných strát pre transakcie financovania prostredníctvom cenných papierov alebo iné transakcie kapitálového trhu, ktoré nie sú derivátovými transakciami, na ktoré sa vzťahuje prípustná rámcová dohoda</w:t>
      </w:r>
      <w:r w:rsidR="004F01E9">
        <w:rPr>
          <w:noProof/>
        </w:rPr>
        <w:t xml:space="preserve"> o </w:t>
      </w:r>
      <w:r w:rsidRPr="004F01E9">
        <w:rPr>
          <w:noProof/>
        </w:rPr>
        <w:t>vzájomnom započítavaní, ktorá spĺňa požiadavky stanovené</w:t>
      </w:r>
      <w:r w:rsidR="004F01E9">
        <w:rPr>
          <w:noProof/>
        </w:rPr>
        <w:t xml:space="preserve"> v </w:t>
      </w:r>
      <w:r w:rsidRPr="004F01E9">
        <w:rPr>
          <w:noProof/>
        </w:rPr>
        <w:t>kapitole 6 oddiele 7, môže inštitúcia vypočítať plne upravenú hodnotu expozície (E*) dohody</w:t>
      </w:r>
      <w:r w:rsidR="004F01E9">
        <w:rPr>
          <w:noProof/>
        </w:rPr>
        <w:t xml:space="preserve"> s </w:t>
      </w:r>
      <w:r w:rsidRPr="004F01E9">
        <w:rPr>
          <w:noProof/>
        </w:rPr>
        <w:t>použitím prístupu interných modelov za predpokladu, že inštitúcia spĺňa podmienky stanovené</w:t>
      </w:r>
      <w:r w:rsidR="004F01E9">
        <w:rPr>
          <w:noProof/>
        </w:rPr>
        <w:t xml:space="preserve"> v </w:t>
      </w:r>
      <w:r w:rsidRPr="004F01E9">
        <w:rPr>
          <w:noProof/>
        </w:rPr>
        <w:t>odseku 2.</w:t>
      </w:r>
    </w:p>
    <w:p w14:paraId="3CBD1C64" w14:textId="4B26CE61" w:rsidR="005A21FE" w:rsidRPr="004F01E9" w:rsidRDefault="005A21FE" w:rsidP="005A21FE">
      <w:pPr>
        <w:pStyle w:val="Text2"/>
        <w:rPr>
          <w:noProof/>
        </w:rPr>
      </w:pPr>
      <w:r w:rsidRPr="004F01E9">
        <w:rPr>
          <w:noProof/>
        </w:rPr>
        <w:t>2. Inštitúcia môže použiť prístup interných modelov, ak sú splnené všetky tieto podmienky:</w:t>
      </w:r>
    </w:p>
    <w:p w14:paraId="3DF6F4FB" w14:textId="3B8FF818" w:rsidR="005A21FE" w:rsidRPr="004F01E9" w:rsidRDefault="005A21FE" w:rsidP="005A21FE">
      <w:pPr>
        <w:pStyle w:val="Point2"/>
        <w:rPr>
          <w:noProof/>
        </w:rPr>
      </w:pPr>
      <w:r w:rsidRPr="004F01E9">
        <w:rPr>
          <w:noProof/>
        </w:rPr>
        <w:t>a)</w:t>
      </w:r>
      <w:r w:rsidRPr="004F01E9">
        <w:rPr>
          <w:noProof/>
        </w:rPr>
        <w:tab/>
        <w:t>inštitúcia používa tento prístup len pre expozície, pre ktoré sa hodnoty rizikovo vážených expozícií vypočítavajú podľa prístupu IRB stanoveného</w:t>
      </w:r>
      <w:r w:rsidR="004F01E9">
        <w:rPr>
          <w:noProof/>
        </w:rPr>
        <w:t xml:space="preserve"> v </w:t>
      </w:r>
      <w:r w:rsidRPr="004F01E9">
        <w:rPr>
          <w:noProof/>
        </w:rPr>
        <w:t>kapitole 3;</w:t>
      </w:r>
    </w:p>
    <w:p w14:paraId="4621140E" w14:textId="77777777" w:rsidR="005A21FE" w:rsidRPr="004F01E9" w:rsidRDefault="005A21FE" w:rsidP="005A21FE">
      <w:pPr>
        <w:pStyle w:val="Point2"/>
        <w:rPr>
          <w:noProof/>
        </w:rPr>
      </w:pPr>
      <w:r w:rsidRPr="004F01E9">
        <w:rPr>
          <w:noProof/>
        </w:rPr>
        <w:t>b)</w:t>
      </w:r>
      <w:r w:rsidRPr="004F01E9">
        <w:rPr>
          <w:noProof/>
        </w:rPr>
        <w:tab/>
        <w:t>príslušné orgány udelili inštitúcii povolenie používať tento prístup.</w:t>
      </w:r>
    </w:p>
    <w:p w14:paraId="7E0B32E0" w14:textId="0811C2E4" w:rsidR="005A21FE" w:rsidRPr="004F01E9" w:rsidRDefault="005A21FE" w:rsidP="005A21FE">
      <w:pPr>
        <w:pStyle w:val="Text2"/>
        <w:rPr>
          <w:noProof/>
        </w:rPr>
      </w:pPr>
      <w:r w:rsidRPr="004F01E9">
        <w:rPr>
          <w:noProof/>
        </w:rPr>
        <w:t>3. Inštitúcia, ktorá používa prístup interných modelov, ho používa pre všetky protistrany</w:t>
      </w:r>
      <w:r w:rsidR="004F01E9">
        <w:rPr>
          <w:noProof/>
        </w:rPr>
        <w:t xml:space="preserve"> a </w:t>
      </w:r>
      <w:r w:rsidRPr="004F01E9">
        <w:rPr>
          <w:noProof/>
        </w:rPr>
        <w:t>cenné papiere</w:t>
      </w:r>
      <w:r w:rsidR="004F01E9">
        <w:rPr>
          <w:noProof/>
        </w:rPr>
        <w:t xml:space="preserve"> s </w:t>
      </w:r>
      <w:r w:rsidRPr="004F01E9">
        <w:rPr>
          <w:noProof/>
        </w:rPr>
        <w:t>výnimkou nevýznamných portfólií, pre ktoré môže používať prístup úprav</w:t>
      </w:r>
      <w:r w:rsidR="004F01E9">
        <w:rPr>
          <w:noProof/>
        </w:rPr>
        <w:t xml:space="preserve"> z </w:t>
      </w:r>
      <w:r w:rsidRPr="004F01E9">
        <w:rPr>
          <w:noProof/>
        </w:rPr>
        <w:t>dôvodu volatility stanovených orgánom dohľadu, ktorý je stanovený</w:t>
      </w:r>
      <w:r w:rsidR="004F01E9">
        <w:rPr>
          <w:noProof/>
        </w:rPr>
        <w:t xml:space="preserve"> v </w:t>
      </w:r>
      <w:r w:rsidRPr="004F01E9">
        <w:rPr>
          <w:noProof/>
        </w:rPr>
        <w:t>článku 220.“</w:t>
      </w:r>
    </w:p>
    <w:p w14:paraId="0EABBAC2" w14:textId="0151FD35" w:rsidR="005A21FE" w:rsidRPr="004F01E9" w:rsidRDefault="00DB2DEE" w:rsidP="00DB2DEE">
      <w:pPr>
        <w:pStyle w:val="Point1"/>
        <w:rPr>
          <w:noProof/>
        </w:rPr>
      </w:pPr>
      <w:r w:rsidRPr="004F01E9">
        <w:rPr>
          <w:noProof/>
        </w:rPr>
        <w:t>b)</w:t>
      </w:r>
      <w:r w:rsidRPr="004F01E9">
        <w:rPr>
          <w:noProof/>
        </w:rPr>
        <w:tab/>
        <w:t>Odsek 8 sa vypúšťa.</w:t>
      </w:r>
    </w:p>
    <w:p w14:paraId="73CEF0CC" w14:textId="552088CA" w:rsidR="00806B81" w:rsidRPr="004F01E9" w:rsidRDefault="00B16452" w:rsidP="00B16452">
      <w:pPr>
        <w:pStyle w:val="Point0"/>
        <w:rPr>
          <w:noProof/>
        </w:rPr>
      </w:pPr>
      <w:r w:rsidRPr="00B16452">
        <w:rPr>
          <w:noProof/>
        </w:rPr>
        <w:t>112</w:t>
      </w:r>
      <w:r>
        <w:rPr>
          <w:noProof/>
        </w:rPr>
        <w:t>.</w:t>
      </w:r>
      <w:r w:rsidRPr="00B16452">
        <w:rPr>
          <w:noProof/>
        </w:rPr>
        <w:tab/>
      </w:r>
      <w:r w:rsidR="005A21FE" w:rsidRPr="004F01E9">
        <w:rPr>
          <w:noProof/>
        </w:rPr>
        <w:t>Článok 223 sa mení takto:</w:t>
      </w:r>
    </w:p>
    <w:p w14:paraId="3E8C8B48" w14:textId="209F17A6" w:rsidR="005A21FE" w:rsidRPr="004F01E9" w:rsidRDefault="00DB2DEE" w:rsidP="00DB2DEE">
      <w:pPr>
        <w:pStyle w:val="Point1"/>
        <w:rPr>
          <w:noProof/>
        </w:rPr>
      </w:pPr>
      <w:r w:rsidRPr="004F01E9">
        <w:rPr>
          <w:noProof/>
        </w:rPr>
        <w:t>a)</w:t>
      </w:r>
      <w:r w:rsidRPr="004F01E9">
        <w:rPr>
          <w:noProof/>
        </w:rPr>
        <w:tab/>
        <w:t>V odseku 4 sa písmeno b) nahrádza takto:</w:t>
      </w:r>
    </w:p>
    <w:p w14:paraId="1CC8A345" w14:textId="56C66D96" w:rsidR="00806B81" w:rsidRPr="004F01E9" w:rsidRDefault="005A21FE" w:rsidP="00615061">
      <w:pPr>
        <w:pStyle w:val="Text2"/>
        <w:rPr>
          <w:noProof/>
        </w:rPr>
      </w:pPr>
      <w:r w:rsidRPr="004F01E9">
        <w:rPr>
          <w:noProof/>
        </w:rPr>
        <w:t>„b)</w:t>
      </w:r>
      <w:r w:rsidR="004F01E9">
        <w:rPr>
          <w:noProof/>
        </w:rPr>
        <w:t xml:space="preserve"> v </w:t>
      </w:r>
      <w:r w:rsidRPr="004F01E9">
        <w:rPr>
          <w:noProof/>
        </w:rPr>
        <w:t>prípade podsúvahových položiek iných než deriváty,</w:t>
      </w:r>
      <w:r w:rsidR="004F01E9">
        <w:rPr>
          <w:noProof/>
        </w:rPr>
        <w:t xml:space="preserve"> s </w:t>
      </w:r>
      <w:r w:rsidRPr="004F01E9">
        <w:rPr>
          <w:noProof/>
        </w:rPr>
        <w:t>ktorými sa zaobchádza podľa prístupu IRB, inštitúcie vypočítavajú svoje hodnoty expozícií</w:t>
      </w:r>
      <w:r w:rsidR="004F01E9">
        <w:rPr>
          <w:noProof/>
        </w:rPr>
        <w:t xml:space="preserve"> s </w:t>
      </w:r>
      <w:r w:rsidRPr="004F01E9">
        <w:rPr>
          <w:noProof/>
        </w:rPr>
        <w:t>použitím CCF vo výške 100</w:t>
      </w:r>
      <w:r w:rsidR="004F01E9">
        <w:rPr>
          <w:noProof/>
        </w:rPr>
        <w:t> %</w:t>
      </w:r>
      <w:r w:rsidRPr="004F01E9">
        <w:rPr>
          <w:noProof/>
        </w:rPr>
        <w:t xml:space="preserve"> namiesto SA-CCF alebo IRB-CCF stanovených</w:t>
      </w:r>
      <w:r w:rsidR="004F01E9">
        <w:rPr>
          <w:noProof/>
        </w:rPr>
        <w:t xml:space="preserve"> v </w:t>
      </w:r>
      <w:r w:rsidRPr="004F01E9">
        <w:rPr>
          <w:noProof/>
        </w:rPr>
        <w:t>článku 166 ods. 8, 8a</w:t>
      </w:r>
      <w:r w:rsidR="004F01E9">
        <w:rPr>
          <w:noProof/>
        </w:rPr>
        <w:t xml:space="preserve"> a </w:t>
      </w:r>
      <w:r w:rsidRPr="004F01E9">
        <w:rPr>
          <w:noProof/>
        </w:rPr>
        <w:t>8b.“;</w:t>
      </w:r>
    </w:p>
    <w:p w14:paraId="069D7D36" w14:textId="715B936F" w:rsidR="005A21FE" w:rsidRPr="004F01E9" w:rsidRDefault="00DB2DEE" w:rsidP="00DB2DEE">
      <w:pPr>
        <w:pStyle w:val="Point1"/>
        <w:rPr>
          <w:noProof/>
        </w:rPr>
      </w:pPr>
      <w:r w:rsidRPr="004F01E9">
        <w:rPr>
          <w:noProof/>
        </w:rPr>
        <w:t>b)</w:t>
      </w:r>
      <w:r w:rsidRPr="004F01E9">
        <w:rPr>
          <w:noProof/>
        </w:rPr>
        <w:tab/>
        <w:t>Odsek 6 sa nahrádza takto:</w:t>
      </w:r>
    </w:p>
    <w:p w14:paraId="62D940D4" w14:textId="4C69DC17" w:rsidR="005A21FE" w:rsidRPr="004F01E9" w:rsidRDefault="005A21FE" w:rsidP="00693C09">
      <w:pPr>
        <w:pStyle w:val="Text2"/>
        <w:rPr>
          <w:noProof/>
        </w:rPr>
      </w:pPr>
      <w:r w:rsidRPr="004F01E9">
        <w:rPr>
          <w:noProof/>
        </w:rPr>
        <w:t>„6. Inštitúcie vypočítavajú úpravy</w:t>
      </w:r>
      <w:r w:rsidR="004F01E9">
        <w:rPr>
          <w:noProof/>
        </w:rPr>
        <w:t xml:space="preserve"> z </w:t>
      </w:r>
      <w:r w:rsidRPr="004F01E9">
        <w:rPr>
          <w:noProof/>
        </w:rPr>
        <w:t>dôvodu volatility použitím prístupu úprav</w:t>
      </w:r>
      <w:r w:rsidR="004F01E9">
        <w:rPr>
          <w:noProof/>
        </w:rPr>
        <w:t xml:space="preserve"> z </w:t>
      </w:r>
      <w:r w:rsidRPr="004F01E9">
        <w:rPr>
          <w:noProof/>
        </w:rPr>
        <w:t>dôvodu volatility stanovených orgánom dohľadu uvedeného</w:t>
      </w:r>
      <w:r w:rsidR="004F01E9">
        <w:rPr>
          <w:noProof/>
        </w:rPr>
        <w:t xml:space="preserve"> v </w:t>
      </w:r>
      <w:r w:rsidRPr="004F01E9">
        <w:rPr>
          <w:noProof/>
        </w:rPr>
        <w:t>článkoch 224 až 227.“</w:t>
      </w:r>
    </w:p>
    <w:p w14:paraId="4398F868" w14:textId="57F6E597" w:rsidR="005A21FE" w:rsidRPr="004F01E9" w:rsidRDefault="00B16452" w:rsidP="00B16452">
      <w:pPr>
        <w:pStyle w:val="Point0"/>
        <w:rPr>
          <w:noProof/>
        </w:rPr>
      </w:pPr>
      <w:r w:rsidRPr="00B16452">
        <w:rPr>
          <w:noProof/>
        </w:rPr>
        <w:t>113</w:t>
      </w:r>
      <w:r>
        <w:rPr>
          <w:noProof/>
        </w:rPr>
        <w:t>.</w:t>
      </w:r>
      <w:r w:rsidRPr="00B16452">
        <w:rPr>
          <w:noProof/>
        </w:rPr>
        <w:tab/>
      </w:r>
      <w:r w:rsidR="005A21FE" w:rsidRPr="004F01E9">
        <w:rPr>
          <w:noProof/>
        </w:rPr>
        <w:t>V článku 224 ods. 1 sa tabuľky 1 až 4 nahrádzajú takto:</w:t>
      </w:r>
    </w:p>
    <w:p w14:paraId="5E7E7D21" w14:textId="77777777" w:rsidR="005A21FE" w:rsidRPr="004F01E9" w:rsidRDefault="005A21FE" w:rsidP="005A21FE">
      <w:pPr>
        <w:pStyle w:val="Text1"/>
        <w:jc w:val="center"/>
        <w:rPr>
          <w:noProof/>
        </w:rPr>
      </w:pPr>
      <w:r w:rsidRPr="004F01E9">
        <w:rPr>
          <w:noProof/>
        </w:rPr>
        <w:t>„</w:t>
      </w:r>
      <w:r w:rsidRPr="004F01E9">
        <w:rPr>
          <w:i/>
          <w:noProof/>
        </w:rPr>
        <w:t>Tabuľka 1</w:t>
      </w:r>
    </w:p>
    <w:tbl>
      <w:tblPr>
        <w:tblStyle w:val="TableGrid"/>
        <w:tblW w:w="0" w:type="auto"/>
        <w:tblInd w:w="-681" w:type="dxa"/>
        <w:tblLayout w:type="fixed"/>
        <w:tblLook w:val="04A0" w:firstRow="1" w:lastRow="0" w:firstColumn="1" w:lastColumn="0" w:noHBand="0" w:noVBand="1"/>
      </w:tblPr>
      <w:tblGrid>
        <w:gridCol w:w="1276"/>
        <w:gridCol w:w="596"/>
        <w:gridCol w:w="882"/>
        <w:gridCol w:w="882"/>
        <w:gridCol w:w="882"/>
        <w:gridCol w:w="882"/>
        <w:gridCol w:w="882"/>
        <w:gridCol w:w="882"/>
        <w:gridCol w:w="882"/>
        <w:gridCol w:w="882"/>
        <w:gridCol w:w="882"/>
      </w:tblGrid>
      <w:tr w:rsidR="005A21FE" w:rsidRPr="00376CBB" w14:paraId="0EA44106" w14:textId="77777777" w:rsidTr="00376CBB">
        <w:tc>
          <w:tcPr>
            <w:tcW w:w="1276" w:type="dxa"/>
            <w:tcMar>
              <w:left w:w="0" w:type="dxa"/>
              <w:right w:w="0" w:type="dxa"/>
            </w:tcMar>
          </w:tcPr>
          <w:p w14:paraId="3593428A" w14:textId="51C6B142" w:rsidR="005A21FE" w:rsidRPr="00376CBB" w:rsidRDefault="005A21FE" w:rsidP="00376CBB">
            <w:pPr>
              <w:pStyle w:val="Text1"/>
              <w:ind w:left="0"/>
              <w:jc w:val="center"/>
              <w:rPr>
                <w:noProof/>
                <w:spacing w:val="-4"/>
              </w:rPr>
            </w:pPr>
            <w:r w:rsidRPr="00376CBB">
              <w:rPr>
                <w:noProof/>
                <w:spacing w:val="-4"/>
              </w:rPr>
              <w:t>Tabuľka 1 Stupeň kreditnej kvality,</w:t>
            </w:r>
            <w:r w:rsidR="004F01E9" w:rsidRPr="00376CBB">
              <w:rPr>
                <w:noProof/>
                <w:spacing w:val="-4"/>
              </w:rPr>
              <w:t xml:space="preserve"> s </w:t>
            </w:r>
            <w:r w:rsidRPr="00376CBB">
              <w:rPr>
                <w:noProof/>
                <w:spacing w:val="-4"/>
              </w:rPr>
              <w:t>ktorým je spojené ratingové hodnotenie dlhových cenných papierov</w:t>
            </w:r>
          </w:p>
        </w:tc>
        <w:tc>
          <w:tcPr>
            <w:tcW w:w="596" w:type="dxa"/>
            <w:tcMar>
              <w:left w:w="0" w:type="dxa"/>
              <w:right w:w="0" w:type="dxa"/>
            </w:tcMar>
          </w:tcPr>
          <w:p w14:paraId="6D6C8305" w14:textId="77144FDD" w:rsidR="005A21FE" w:rsidRPr="00376CBB" w:rsidRDefault="005A21FE" w:rsidP="00376CBB">
            <w:pPr>
              <w:pStyle w:val="Text1"/>
              <w:ind w:left="0"/>
              <w:jc w:val="center"/>
              <w:rPr>
                <w:noProof/>
                <w:spacing w:val="-4"/>
              </w:rPr>
            </w:pPr>
            <w:r w:rsidRPr="00376CBB">
              <w:rPr>
                <w:noProof/>
                <w:spacing w:val="-4"/>
              </w:rPr>
              <w:t>Zostatková splatnosť (m) vyjadrená</w:t>
            </w:r>
            <w:r w:rsidR="004F01E9" w:rsidRPr="00376CBB">
              <w:rPr>
                <w:noProof/>
                <w:spacing w:val="-4"/>
              </w:rPr>
              <w:t xml:space="preserve"> v </w:t>
            </w:r>
            <w:r w:rsidRPr="00376CBB">
              <w:rPr>
                <w:noProof/>
                <w:spacing w:val="-4"/>
              </w:rPr>
              <w:t>rokoch</w:t>
            </w:r>
          </w:p>
        </w:tc>
        <w:tc>
          <w:tcPr>
            <w:tcW w:w="2646" w:type="dxa"/>
            <w:gridSpan w:val="3"/>
            <w:tcMar>
              <w:left w:w="0" w:type="dxa"/>
              <w:right w:w="0" w:type="dxa"/>
            </w:tcMar>
          </w:tcPr>
          <w:p w14:paraId="76EB3D51" w14:textId="26C5FCD8" w:rsidR="005A21FE" w:rsidRPr="00376CBB" w:rsidRDefault="005A21FE" w:rsidP="00376CBB">
            <w:pPr>
              <w:pStyle w:val="Text1"/>
              <w:ind w:left="0"/>
              <w:jc w:val="center"/>
              <w:rPr>
                <w:noProof/>
                <w:spacing w:val="-4"/>
              </w:rPr>
            </w:pPr>
            <w:r w:rsidRPr="00376CBB">
              <w:rPr>
                <w:noProof/>
                <w:spacing w:val="-4"/>
              </w:rPr>
              <w:t>Úpravy</w:t>
            </w:r>
            <w:r w:rsidR="004F01E9" w:rsidRPr="00376CBB">
              <w:rPr>
                <w:noProof/>
                <w:spacing w:val="-4"/>
              </w:rPr>
              <w:t xml:space="preserve"> z </w:t>
            </w:r>
            <w:r w:rsidRPr="00376CBB">
              <w:rPr>
                <w:noProof/>
                <w:spacing w:val="-4"/>
              </w:rPr>
              <w:t>dôvodu volatility pre dlhové cenné papiere emitované subjektmi uvedenými</w:t>
            </w:r>
            <w:r w:rsidR="004F01E9" w:rsidRPr="00376CBB">
              <w:rPr>
                <w:noProof/>
                <w:spacing w:val="-4"/>
              </w:rPr>
              <w:t xml:space="preserve"> v </w:t>
            </w:r>
            <w:r w:rsidRPr="00376CBB">
              <w:rPr>
                <w:noProof/>
                <w:spacing w:val="-4"/>
              </w:rPr>
              <w:t>článku 197 ods. 1 písm. b)</w:t>
            </w:r>
          </w:p>
        </w:tc>
        <w:tc>
          <w:tcPr>
            <w:tcW w:w="2646" w:type="dxa"/>
            <w:gridSpan w:val="3"/>
            <w:tcMar>
              <w:left w:w="0" w:type="dxa"/>
              <w:right w:w="0" w:type="dxa"/>
            </w:tcMar>
          </w:tcPr>
          <w:p w14:paraId="399C38D9" w14:textId="2F87430F" w:rsidR="005A21FE" w:rsidRPr="00376CBB" w:rsidRDefault="005A21FE" w:rsidP="00376CBB">
            <w:pPr>
              <w:pStyle w:val="Text1"/>
              <w:ind w:left="0"/>
              <w:jc w:val="center"/>
              <w:rPr>
                <w:noProof/>
                <w:spacing w:val="-4"/>
              </w:rPr>
            </w:pPr>
            <w:r w:rsidRPr="00376CBB">
              <w:rPr>
                <w:noProof/>
                <w:spacing w:val="-4"/>
              </w:rPr>
              <w:t>Úpravy</w:t>
            </w:r>
            <w:r w:rsidR="004F01E9" w:rsidRPr="00376CBB">
              <w:rPr>
                <w:noProof/>
                <w:spacing w:val="-4"/>
              </w:rPr>
              <w:t xml:space="preserve"> z </w:t>
            </w:r>
            <w:r w:rsidRPr="00376CBB">
              <w:rPr>
                <w:noProof/>
                <w:spacing w:val="-4"/>
              </w:rPr>
              <w:t>dôvodu volatility pre dlhové cenné papiere emitované subjektmi uvedenými</w:t>
            </w:r>
            <w:r w:rsidR="004F01E9" w:rsidRPr="00376CBB">
              <w:rPr>
                <w:noProof/>
                <w:spacing w:val="-4"/>
              </w:rPr>
              <w:t xml:space="preserve"> v </w:t>
            </w:r>
            <w:r w:rsidRPr="00376CBB">
              <w:rPr>
                <w:noProof/>
                <w:spacing w:val="-4"/>
              </w:rPr>
              <w:t>článku 197 ods. 1 písm. c)</w:t>
            </w:r>
            <w:r w:rsidR="004F01E9" w:rsidRPr="00376CBB">
              <w:rPr>
                <w:noProof/>
                <w:spacing w:val="-4"/>
              </w:rPr>
              <w:t xml:space="preserve"> a </w:t>
            </w:r>
            <w:r w:rsidRPr="00376CBB">
              <w:rPr>
                <w:noProof/>
                <w:spacing w:val="-4"/>
              </w:rPr>
              <w:t>d)</w:t>
            </w:r>
          </w:p>
        </w:tc>
        <w:tc>
          <w:tcPr>
            <w:tcW w:w="2646" w:type="dxa"/>
            <w:gridSpan w:val="3"/>
            <w:tcMar>
              <w:left w:w="0" w:type="dxa"/>
              <w:right w:w="0" w:type="dxa"/>
            </w:tcMar>
          </w:tcPr>
          <w:p w14:paraId="393DB061" w14:textId="2E6DEA58" w:rsidR="005A21FE" w:rsidRPr="00376CBB" w:rsidRDefault="005A21FE" w:rsidP="00376CBB">
            <w:pPr>
              <w:pStyle w:val="Text1"/>
              <w:ind w:left="0"/>
              <w:jc w:val="center"/>
              <w:rPr>
                <w:noProof/>
                <w:spacing w:val="-4"/>
              </w:rPr>
            </w:pPr>
            <w:r w:rsidRPr="00376CBB">
              <w:rPr>
                <w:noProof/>
                <w:spacing w:val="-4"/>
              </w:rPr>
              <w:t>Úpravy</w:t>
            </w:r>
            <w:r w:rsidR="004F01E9" w:rsidRPr="00376CBB">
              <w:rPr>
                <w:noProof/>
                <w:spacing w:val="-4"/>
              </w:rPr>
              <w:t xml:space="preserve"> z </w:t>
            </w:r>
            <w:r w:rsidRPr="00376CBB">
              <w:rPr>
                <w:noProof/>
                <w:spacing w:val="-4"/>
              </w:rPr>
              <w:t>dôvodu volatility pre sekuritizačné pozície, ktoré spĺňajú kritériá uvedené</w:t>
            </w:r>
            <w:r w:rsidR="004F01E9" w:rsidRPr="00376CBB">
              <w:rPr>
                <w:noProof/>
                <w:spacing w:val="-4"/>
              </w:rPr>
              <w:t xml:space="preserve"> v </w:t>
            </w:r>
            <w:r w:rsidRPr="00376CBB">
              <w:rPr>
                <w:noProof/>
                <w:spacing w:val="-4"/>
              </w:rPr>
              <w:t>článku 197 ods. 1 písm. h)</w:t>
            </w:r>
          </w:p>
        </w:tc>
      </w:tr>
      <w:tr w:rsidR="005A21FE" w:rsidRPr="00376CBB" w14:paraId="0EE3198A" w14:textId="77777777" w:rsidTr="00376CBB">
        <w:tc>
          <w:tcPr>
            <w:tcW w:w="1276" w:type="dxa"/>
            <w:tcMar>
              <w:left w:w="0" w:type="dxa"/>
              <w:right w:w="0" w:type="dxa"/>
            </w:tcMar>
          </w:tcPr>
          <w:p w14:paraId="4E5F371B" w14:textId="77777777" w:rsidR="005A21FE" w:rsidRPr="00376CBB" w:rsidRDefault="005A21FE" w:rsidP="00376CBB">
            <w:pPr>
              <w:pStyle w:val="Text1"/>
              <w:ind w:left="0"/>
              <w:rPr>
                <w:noProof/>
                <w:spacing w:val="-4"/>
              </w:rPr>
            </w:pPr>
          </w:p>
        </w:tc>
        <w:tc>
          <w:tcPr>
            <w:tcW w:w="596" w:type="dxa"/>
            <w:tcMar>
              <w:left w:w="0" w:type="dxa"/>
              <w:right w:w="0" w:type="dxa"/>
            </w:tcMar>
          </w:tcPr>
          <w:p w14:paraId="35D1DBEE" w14:textId="77777777" w:rsidR="005A21FE" w:rsidRPr="00376CBB" w:rsidRDefault="005A21FE" w:rsidP="00376CBB">
            <w:pPr>
              <w:pStyle w:val="Text1"/>
              <w:ind w:left="0"/>
              <w:rPr>
                <w:noProof/>
                <w:spacing w:val="-4"/>
              </w:rPr>
            </w:pPr>
          </w:p>
        </w:tc>
        <w:tc>
          <w:tcPr>
            <w:tcW w:w="882" w:type="dxa"/>
            <w:tcMar>
              <w:left w:w="0" w:type="dxa"/>
              <w:right w:w="0" w:type="dxa"/>
            </w:tcMar>
          </w:tcPr>
          <w:p w14:paraId="4EEEFA20" w14:textId="29A5BC4D" w:rsidR="005A21FE" w:rsidRPr="00376CBB" w:rsidRDefault="005A21FE" w:rsidP="00376CBB">
            <w:pPr>
              <w:pStyle w:val="Text1"/>
              <w:ind w:left="0"/>
              <w:rPr>
                <w:noProof/>
                <w:spacing w:val="-4"/>
              </w:rPr>
            </w:pPr>
            <w:r w:rsidRPr="00376CBB">
              <w:rPr>
                <w:noProof/>
                <w:spacing w:val="-4"/>
              </w:rPr>
              <w:t>20-dňová doba na zatvorenie pozície (v</w:t>
            </w:r>
            <w:r w:rsidR="004F01E9" w:rsidRPr="00376CBB">
              <w:rPr>
                <w:noProof/>
                <w:spacing w:val="-4"/>
              </w:rPr>
              <w:t> %</w:t>
            </w:r>
            <w:r w:rsidRPr="00376CBB">
              <w:rPr>
                <w:noProof/>
                <w:spacing w:val="-4"/>
              </w:rPr>
              <w:t>)</w:t>
            </w:r>
          </w:p>
        </w:tc>
        <w:tc>
          <w:tcPr>
            <w:tcW w:w="882" w:type="dxa"/>
            <w:tcMar>
              <w:left w:w="0" w:type="dxa"/>
              <w:right w:w="0" w:type="dxa"/>
            </w:tcMar>
          </w:tcPr>
          <w:p w14:paraId="40FE6E19" w14:textId="629887E6" w:rsidR="005A21FE" w:rsidRPr="00376CBB" w:rsidRDefault="005A21FE" w:rsidP="00376CBB">
            <w:pPr>
              <w:pStyle w:val="Text1"/>
              <w:ind w:left="0"/>
              <w:rPr>
                <w:noProof/>
                <w:spacing w:val="-4"/>
              </w:rPr>
            </w:pPr>
            <w:r w:rsidRPr="00376CBB">
              <w:rPr>
                <w:noProof/>
                <w:spacing w:val="-4"/>
              </w:rPr>
              <w:t>10-dňová doba na zatvorenie pozície (v</w:t>
            </w:r>
            <w:r w:rsidR="004F01E9" w:rsidRPr="00376CBB">
              <w:rPr>
                <w:noProof/>
                <w:spacing w:val="-4"/>
              </w:rPr>
              <w:t> %</w:t>
            </w:r>
            <w:r w:rsidRPr="00376CBB">
              <w:rPr>
                <w:noProof/>
                <w:spacing w:val="-4"/>
              </w:rPr>
              <w:t>)</w:t>
            </w:r>
          </w:p>
        </w:tc>
        <w:tc>
          <w:tcPr>
            <w:tcW w:w="882" w:type="dxa"/>
            <w:tcMar>
              <w:left w:w="0" w:type="dxa"/>
              <w:right w:w="0" w:type="dxa"/>
            </w:tcMar>
          </w:tcPr>
          <w:p w14:paraId="7BD29211" w14:textId="4376D58E" w:rsidR="005A21FE" w:rsidRPr="00376CBB" w:rsidRDefault="005A21FE" w:rsidP="00376CBB">
            <w:pPr>
              <w:pStyle w:val="Text1"/>
              <w:ind w:left="0"/>
              <w:rPr>
                <w:noProof/>
                <w:spacing w:val="-4"/>
              </w:rPr>
            </w:pPr>
            <w:r w:rsidRPr="00376CBB">
              <w:rPr>
                <w:noProof/>
                <w:spacing w:val="-4"/>
              </w:rPr>
              <w:t>5-dňová doba na zatvorenie pozície (v</w:t>
            </w:r>
            <w:r w:rsidR="004F01E9" w:rsidRPr="00376CBB">
              <w:rPr>
                <w:noProof/>
                <w:spacing w:val="-4"/>
              </w:rPr>
              <w:t> %</w:t>
            </w:r>
            <w:r w:rsidRPr="00376CBB">
              <w:rPr>
                <w:noProof/>
                <w:spacing w:val="-4"/>
              </w:rPr>
              <w:t>)</w:t>
            </w:r>
          </w:p>
        </w:tc>
        <w:tc>
          <w:tcPr>
            <w:tcW w:w="882" w:type="dxa"/>
            <w:tcMar>
              <w:left w:w="0" w:type="dxa"/>
              <w:right w:w="0" w:type="dxa"/>
            </w:tcMar>
          </w:tcPr>
          <w:p w14:paraId="583A7FF9" w14:textId="2872A4B1" w:rsidR="005A21FE" w:rsidRPr="00376CBB" w:rsidRDefault="005A21FE" w:rsidP="00376CBB">
            <w:pPr>
              <w:pStyle w:val="Text1"/>
              <w:ind w:left="0"/>
              <w:rPr>
                <w:noProof/>
                <w:spacing w:val="-4"/>
              </w:rPr>
            </w:pPr>
            <w:r w:rsidRPr="00376CBB">
              <w:rPr>
                <w:noProof/>
                <w:spacing w:val="-4"/>
              </w:rPr>
              <w:t>20-dňová doba na zatvorenie pozície (v</w:t>
            </w:r>
            <w:r w:rsidR="004F01E9" w:rsidRPr="00376CBB">
              <w:rPr>
                <w:noProof/>
                <w:spacing w:val="-4"/>
              </w:rPr>
              <w:t> %</w:t>
            </w:r>
            <w:r w:rsidRPr="00376CBB">
              <w:rPr>
                <w:noProof/>
                <w:spacing w:val="-4"/>
              </w:rPr>
              <w:t>)</w:t>
            </w:r>
          </w:p>
        </w:tc>
        <w:tc>
          <w:tcPr>
            <w:tcW w:w="882" w:type="dxa"/>
            <w:tcMar>
              <w:left w:w="0" w:type="dxa"/>
              <w:right w:w="0" w:type="dxa"/>
            </w:tcMar>
          </w:tcPr>
          <w:p w14:paraId="574C5F94" w14:textId="0D642C8B" w:rsidR="005A21FE" w:rsidRPr="00376CBB" w:rsidRDefault="005A21FE" w:rsidP="00376CBB">
            <w:pPr>
              <w:pStyle w:val="Text1"/>
              <w:ind w:left="0"/>
              <w:rPr>
                <w:noProof/>
                <w:spacing w:val="-4"/>
              </w:rPr>
            </w:pPr>
            <w:r w:rsidRPr="00376CBB">
              <w:rPr>
                <w:noProof/>
                <w:spacing w:val="-4"/>
              </w:rPr>
              <w:t>10-dňová doba na zatvorenie pozície (v</w:t>
            </w:r>
            <w:r w:rsidR="004F01E9" w:rsidRPr="00376CBB">
              <w:rPr>
                <w:noProof/>
                <w:spacing w:val="-4"/>
              </w:rPr>
              <w:t> %</w:t>
            </w:r>
            <w:r w:rsidRPr="00376CBB">
              <w:rPr>
                <w:noProof/>
                <w:spacing w:val="-4"/>
              </w:rPr>
              <w:t>)</w:t>
            </w:r>
          </w:p>
        </w:tc>
        <w:tc>
          <w:tcPr>
            <w:tcW w:w="882" w:type="dxa"/>
            <w:tcMar>
              <w:left w:w="0" w:type="dxa"/>
              <w:right w:w="0" w:type="dxa"/>
            </w:tcMar>
          </w:tcPr>
          <w:p w14:paraId="27FB8EBA" w14:textId="3E89823D" w:rsidR="005A21FE" w:rsidRPr="00376CBB" w:rsidRDefault="005A21FE" w:rsidP="00376CBB">
            <w:pPr>
              <w:pStyle w:val="Text1"/>
              <w:ind w:left="0"/>
              <w:rPr>
                <w:noProof/>
                <w:spacing w:val="-4"/>
              </w:rPr>
            </w:pPr>
            <w:r w:rsidRPr="00376CBB">
              <w:rPr>
                <w:noProof/>
                <w:spacing w:val="-4"/>
              </w:rPr>
              <w:t>5-dňová doba na zatvorenie pozície (v</w:t>
            </w:r>
            <w:r w:rsidR="004F01E9" w:rsidRPr="00376CBB">
              <w:rPr>
                <w:noProof/>
                <w:spacing w:val="-4"/>
              </w:rPr>
              <w:t> %</w:t>
            </w:r>
            <w:r w:rsidRPr="00376CBB">
              <w:rPr>
                <w:noProof/>
                <w:spacing w:val="-4"/>
              </w:rPr>
              <w:t>)</w:t>
            </w:r>
          </w:p>
        </w:tc>
        <w:tc>
          <w:tcPr>
            <w:tcW w:w="882" w:type="dxa"/>
            <w:tcMar>
              <w:left w:w="0" w:type="dxa"/>
              <w:right w:w="0" w:type="dxa"/>
            </w:tcMar>
          </w:tcPr>
          <w:p w14:paraId="789F46DD" w14:textId="5289CB5A" w:rsidR="005A21FE" w:rsidRPr="00376CBB" w:rsidRDefault="005A21FE" w:rsidP="00376CBB">
            <w:pPr>
              <w:pStyle w:val="Text1"/>
              <w:ind w:left="0"/>
              <w:rPr>
                <w:noProof/>
                <w:spacing w:val="-4"/>
              </w:rPr>
            </w:pPr>
            <w:r w:rsidRPr="00376CBB">
              <w:rPr>
                <w:noProof/>
                <w:spacing w:val="-4"/>
              </w:rPr>
              <w:t>20-dňová doba na zatvorenie pozície (v</w:t>
            </w:r>
            <w:r w:rsidR="004F01E9" w:rsidRPr="00376CBB">
              <w:rPr>
                <w:noProof/>
                <w:spacing w:val="-4"/>
              </w:rPr>
              <w:t> %</w:t>
            </w:r>
            <w:r w:rsidRPr="00376CBB">
              <w:rPr>
                <w:noProof/>
                <w:spacing w:val="-4"/>
              </w:rPr>
              <w:t>)</w:t>
            </w:r>
          </w:p>
        </w:tc>
        <w:tc>
          <w:tcPr>
            <w:tcW w:w="882" w:type="dxa"/>
            <w:tcMar>
              <w:left w:w="0" w:type="dxa"/>
              <w:right w:w="0" w:type="dxa"/>
            </w:tcMar>
          </w:tcPr>
          <w:p w14:paraId="116E8F90" w14:textId="5CBC40F6" w:rsidR="005A21FE" w:rsidRPr="00376CBB" w:rsidRDefault="005A21FE" w:rsidP="00376CBB">
            <w:pPr>
              <w:pStyle w:val="Text1"/>
              <w:ind w:left="0"/>
              <w:rPr>
                <w:noProof/>
                <w:spacing w:val="-4"/>
              </w:rPr>
            </w:pPr>
            <w:r w:rsidRPr="00376CBB">
              <w:rPr>
                <w:noProof/>
                <w:spacing w:val="-4"/>
              </w:rPr>
              <w:t>10-dňová doba na zatvorenie pozície (v</w:t>
            </w:r>
            <w:r w:rsidR="004F01E9" w:rsidRPr="00376CBB">
              <w:rPr>
                <w:noProof/>
                <w:spacing w:val="-4"/>
              </w:rPr>
              <w:t> %</w:t>
            </w:r>
            <w:r w:rsidRPr="00376CBB">
              <w:rPr>
                <w:noProof/>
                <w:spacing w:val="-4"/>
              </w:rPr>
              <w:t>)</w:t>
            </w:r>
          </w:p>
        </w:tc>
        <w:tc>
          <w:tcPr>
            <w:tcW w:w="882" w:type="dxa"/>
            <w:tcMar>
              <w:left w:w="0" w:type="dxa"/>
              <w:right w:w="0" w:type="dxa"/>
            </w:tcMar>
          </w:tcPr>
          <w:p w14:paraId="598643C7" w14:textId="6D1C6738" w:rsidR="005A21FE" w:rsidRPr="00376CBB" w:rsidRDefault="005A21FE" w:rsidP="00376CBB">
            <w:pPr>
              <w:pStyle w:val="Text1"/>
              <w:ind w:left="0"/>
              <w:rPr>
                <w:noProof/>
                <w:spacing w:val="-4"/>
              </w:rPr>
            </w:pPr>
            <w:r w:rsidRPr="00376CBB">
              <w:rPr>
                <w:noProof/>
                <w:spacing w:val="-4"/>
              </w:rPr>
              <w:t>5-dňová doba na zatvorenie pozície (v</w:t>
            </w:r>
            <w:r w:rsidR="004F01E9" w:rsidRPr="00376CBB">
              <w:rPr>
                <w:noProof/>
                <w:spacing w:val="-4"/>
              </w:rPr>
              <w:t> %</w:t>
            </w:r>
            <w:r w:rsidRPr="00376CBB">
              <w:rPr>
                <w:noProof/>
                <w:spacing w:val="-4"/>
              </w:rPr>
              <w:t>)</w:t>
            </w:r>
          </w:p>
        </w:tc>
      </w:tr>
      <w:tr w:rsidR="005A21FE" w:rsidRPr="00376CBB" w14:paraId="3A3B57F8" w14:textId="77777777" w:rsidTr="00376CBB">
        <w:tc>
          <w:tcPr>
            <w:tcW w:w="1276" w:type="dxa"/>
            <w:tcMar>
              <w:left w:w="0" w:type="dxa"/>
              <w:right w:w="0" w:type="dxa"/>
            </w:tcMar>
          </w:tcPr>
          <w:p w14:paraId="39577A5B" w14:textId="77777777" w:rsidR="005A21FE" w:rsidRPr="00376CBB" w:rsidRDefault="005A21FE" w:rsidP="00376CBB">
            <w:pPr>
              <w:pStyle w:val="Text1"/>
              <w:ind w:left="0"/>
              <w:rPr>
                <w:noProof/>
                <w:spacing w:val="-4"/>
              </w:rPr>
            </w:pPr>
            <w:r w:rsidRPr="00376CBB">
              <w:rPr>
                <w:noProof/>
                <w:spacing w:val="-4"/>
              </w:rPr>
              <w:t>1</w:t>
            </w:r>
          </w:p>
        </w:tc>
        <w:tc>
          <w:tcPr>
            <w:tcW w:w="596" w:type="dxa"/>
            <w:tcMar>
              <w:left w:w="0" w:type="dxa"/>
              <w:right w:w="0" w:type="dxa"/>
            </w:tcMar>
          </w:tcPr>
          <w:p w14:paraId="6BFDC9E0" w14:textId="77777777" w:rsidR="005A21FE" w:rsidRPr="00376CBB" w:rsidRDefault="005A21FE" w:rsidP="00376CBB">
            <w:pPr>
              <w:pStyle w:val="Text1"/>
              <w:ind w:left="0"/>
              <w:rPr>
                <w:noProof/>
                <w:spacing w:val="-4"/>
              </w:rPr>
            </w:pPr>
            <w:r w:rsidRPr="00376CBB">
              <w:rPr>
                <w:noProof/>
                <w:spacing w:val="-4"/>
              </w:rPr>
              <w:t>m ≤ 1</w:t>
            </w:r>
          </w:p>
        </w:tc>
        <w:tc>
          <w:tcPr>
            <w:tcW w:w="882" w:type="dxa"/>
            <w:tcMar>
              <w:left w:w="0" w:type="dxa"/>
              <w:right w:w="0" w:type="dxa"/>
            </w:tcMar>
          </w:tcPr>
          <w:p w14:paraId="023687E5" w14:textId="77777777" w:rsidR="005A21FE" w:rsidRPr="00376CBB" w:rsidRDefault="005A21FE" w:rsidP="00376CBB">
            <w:pPr>
              <w:pStyle w:val="Text1"/>
              <w:ind w:left="0"/>
              <w:rPr>
                <w:noProof/>
                <w:spacing w:val="-4"/>
              </w:rPr>
            </w:pPr>
            <w:r w:rsidRPr="00376CBB">
              <w:rPr>
                <w:noProof/>
                <w:spacing w:val="-4"/>
              </w:rPr>
              <w:t>0,707</w:t>
            </w:r>
          </w:p>
        </w:tc>
        <w:tc>
          <w:tcPr>
            <w:tcW w:w="882" w:type="dxa"/>
            <w:tcMar>
              <w:left w:w="0" w:type="dxa"/>
              <w:right w:w="0" w:type="dxa"/>
            </w:tcMar>
          </w:tcPr>
          <w:p w14:paraId="010816DD" w14:textId="77777777" w:rsidR="005A21FE" w:rsidRPr="00376CBB" w:rsidRDefault="005A21FE" w:rsidP="00376CBB">
            <w:pPr>
              <w:pStyle w:val="Text1"/>
              <w:ind w:left="0"/>
              <w:rPr>
                <w:noProof/>
                <w:spacing w:val="-4"/>
              </w:rPr>
            </w:pPr>
            <w:r w:rsidRPr="00376CBB">
              <w:rPr>
                <w:noProof/>
                <w:spacing w:val="-4"/>
              </w:rPr>
              <w:t>0,5</w:t>
            </w:r>
          </w:p>
        </w:tc>
        <w:tc>
          <w:tcPr>
            <w:tcW w:w="882" w:type="dxa"/>
            <w:tcMar>
              <w:left w:w="0" w:type="dxa"/>
              <w:right w:w="0" w:type="dxa"/>
            </w:tcMar>
          </w:tcPr>
          <w:p w14:paraId="2E61D862" w14:textId="77777777" w:rsidR="005A21FE" w:rsidRPr="00376CBB" w:rsidRDefault="005A21FE" w:rsidP="00376CBB">
            <w:pPr>
              <w:pStyle w:val="Text1"/>
              <w:ind w:left="0"/>
              <w:rPr>
                <w:noProof/>
                <w:spacing w:val="-4"/>
              </w:rPr>
            </w:pPr>
            <w:r w:rsidRPr="00376CBB">
              <w:rPr>
                <w:noProof/>
                <w:spacing w:val="-4"/>
              </w:rPr>
              <w:t>0,354</w:t>
            </w:r>
          </w:p>
        </w:tc>
        <w:tc>
          <w:tcPr>
            <w:tcW w:w="882" w:type="dxa"/>
            <w:tcMar>
              <w:left w:w="0" w:type="dxa"/>
              <w:right w:w="0" w:type="dxa"/>
            </w:tcMar>
          </w:tcPr>
          <w:p w14:paraId="7AB6E5A2" w14:textId="77777777" w:rsidR="005A21FE" w:rsidRPr="00376CBB" w:rsidRDefault="005A21FE" w:rsidP="00376CBB">
            <w:pPr>
              <w:pStyle w:val="Text1"/>
              <w:ind w:left="0"/>
              <w:rPr>
                <w:noProof/>
                <w:spacing w:val="-4"/>
              </w:rPr>
            </w:pPr>
            <w:r w:rsidRPr="00376CBB">
              <w:rPr>
                <w:noProof/>
                <w:spacing w:val="-4"/>
              </w:rPr>
              <w:t>1,414</w:t>
            </w:r>
          </w:p>
        </w:tc>
        <w:tc>
          <w:tcPr>
            <w:tcW w:w="882" w:type="dxa"/>
            <w:tcMar>
              <w:left w:w="0" w:type="dxa"/>
              <w:right w:w="0" w:type="dxa"/>
            </w:tcMar>
          </w:tcPr>
          <w:p w14:paraId="55947432" w14:textId="77777777" w:rsidR="005A21FE" w:rsidRPr="00376CBB" w:rsidRDefault="005A21FE" w:rsidP="00376CBB">
            <w:pPr>
              <w:pStyle w:val="Text1"/>
              <w:ind w:left="0"/>
              <w:rPr>
                <w:noProof/>
                <w:spacing w:val="-4"/>
              </w:rPr>
            </w:pPr>
            <w:r w:rsidRPr="00376CBB">
              <w:rPr>
                <w:noProof/>
                <w:spacing w:val="-4"/>
              </w:rPr>
              <w:t>1</w:t>
            </w:r>
          </w:p>
        </w:tc>
        <w:tc>
          <w:tcPr>
            <w:tcW w:w="882" w:type="dxa"/>
            <w:tcMar>
              <w:left w:w="0" w:type="dxa"/>
              <w:right w:w="0" w:type="dxa"/>
            </w:tcMar>
          </w:tcPr>
          <w:p w14:paraId="3B3A7975" w14:textId="77777777" w:rsidR="005A21FE" w:rsidRPr="00376CBB" w:rsidRDefault="005A21FE" w:rsidP="00376CBB">
            <w:pPr>
              <w:pStyle w:val="Text1"/>
              <w:ind w:left="0"/>
              <w:rPr>
                <w:noProof/>
                <w:spacing w:val="-4"/>
              </w:rPr>
            </w:pPr>
            <w:r w:rsidRPr="00376CBB">
              <w:rPr>
                <w:noProof/>
                <w:spacing w:val="-4"/>
              </w:rPr>
              <w:t>0,707</w:t>
            </w:r>
          </w:p>
        </w:tc>
        <w:tc>
          <w:tcPr>
            <w:tcW w:w="882" w:type="dxa"/>
            <w:tcMar>
              <w:left w:w="0" w:type="dxa"/>
              <w:right w:w="0" w:type="dxa"/>
            </w:tcMar>
          </w:tcPr>
          <w:p w14:paraId="4D52486F" w14:textId="77777777" w:rsidR="005A21FE" w:rsidRPr="00376CBB" w:rsidRDefault="005A21FE" w:rsidP="00376CBB">
            <w:pPr>
              <w:pStyle w:val="Text1"/>
              <w:ind w:left="0"/>
              <w:rPr>
                <w:noProof/>
                <w:spacing w:val="-4"/>
              </w:rPr>
            </w:pPr>
            <w:r w:rsidRPr="00376CBB">
              <w:rPr>
                <w:noProof/>
                <w:spacing w:val="-4"/>
              </w:rPr>
              <w:t>2,828</w:t>
            </w:r>
          </w:p>
        </w:tc>
        <w:tc>
          <w:tcPr>
            <w:tcW w:w="882" w:type="dxa"/>
            <w:tcMar>
              <w:left w:w="0" w:type="dxa"/>
              <w:right w:w="0" w:type="dxa"/>
            </w:tcMar>
          </w:tcPr>
          <w:p w14:paraId="68B19660" w14:textId="77777777" w:rsidR="005A21FE" w:rsidRPr="00376CBB" w:rsidRDefault="005A21FE" w:rsidP="00376CBB">
            <w:pPr>
              <w:pStyle w:val="Text1"/>
              <w:ind w:left="0"/>
              <w:rPr>
                <w:noProof/>
                <w:spacing w:val="-4"/>
              </w:rPr>
            </w:pPr>
            <w:r w:rsidRPr="00376CBB">
              <w:rPr>
                <w:noProof/>
                <w:spacing w:val="-4"/>
              </w:rPr>
              <w:t>2</w:t>
            </w:r>
          </w:p>
        </w:tc>
        <w:tc>
          <w:tcPr>
            <w:tcW w:w="882" w:type="dxa"/>
            <w:tcMar>
              <w:left w:w="0" w:type="dxa"/>
              <w:right w:w="0" w:type="dxa"/>
            </w:tcMar>
          </w:tcPr>
          <w:p w14:paraId="7FE2C8B9" w14:textId="77777777" w:rsidR="005A21FE" w:rsidRPr="00376CBB" w:rsidRDefault="005A21FE" w:rsidP="00376CBB">
            <w:pPr>
              <w:pStyle w:val="Text1"/>
              <w:ind w:left="0"/>
              <w:rPr>
                <w:noProof/>
                <w:spacing w:val="-4"/>
              </w:rPr>
            </w:pPr>
            <w:r w:rsidRPr="00376CBB">
              <w:rPr>
                <w:noProof/>
                <w:spacing w:val="-4"/>
              </w:rPr>
              <w:t>1,414</w:t>
            </w:r>
          </w:p>
        </w:tc>
      </w:tr>
      <w:tr w:rsidR="005A21FE" w:rsidRPr="00376CBB" w14:paraId="56923225" w14:textId="77777777" w:rsidTr="00376CBB">
        <w:tc>
          <w:tcPr>
            <w:tcW w:w="1276" w:type="dxa"/>
            <w:tcMar>
              <w:left w:w="0" w:type="dxa"/>
              <w:right w:w="0" w:type="dxa"/>
            </w:tcMar>
          </w:tcPr>
          <w:p w14:paraId="11AA9B31" w14:textId="77777777" w:rsidR="005A21FE" w:rsidRPr="00376CBB" w:rsidRDefault="005A21FE" w:rsidP="00376CBB">
            <w:pPr>
              <w:pStyle w:val="Text1"/>
              <w:ind w:left="0"/>
              <w:rPr>
                <w:noProof/>
                <w:spacing w:val="-4"/>
              </w:rPr>
            </w:pPr>
          </w:p>
        </w:tc>
        <w:tc>
          <w:tcPr>
            <w:tcW w:w="596" w:type="dxa"/>
            <w:tcMar>
              <w:left w:w="0" w:type="dxa"/>
              <w:right w:w="0" w:type="dxa"/>
            </w:tcMar>
          </w:tcPr>
          <w:p w14:paraId="59104EF6" w14:textId="77777777" w:rsidR="005A21FE" w:rsidRPr="00376CBB" w:rsidRDefault="005A21FE" w:rsidP="00376CBB">
            <w:pPr>
              <w:pStyle w:val="Text1"/>
              <w:ind w:left="0"/>
              <w:rPr>
                <w:noProof/>
                <w:spacing w:val="-4"/>
              </w:rPr>
            </w:pPr>
            <w:r w:rsidRPr="00376CBB">
              <w:rPr>
                <w:noProof/>
                <w:spacing w:val="-4"/>
              </w:rPr>
              <w:t>1 &lt; m ≤ 3</w:t>
            </w:r>
          </w:p>
        </w:tc>
        <w:tc>
          <w:tcPr>
            <w:tcW w:w="882" w:type="dxa"/>
            <w:tcMar>
              <w:left w:w="0" w:type="dxa"/>
              <w:right w:w="0" w:type="dxa"/>
            </w:tcMar>
          </w:tcPr>
          <w:p w14:paraId="61B21AFE" w14:textId="77777777" w:rsidR="005A21FE" w:rsidRPr="00376CBB" w:rsidRDefault="005A21FE" w:rsidP="00376CBB">
            <w:pPr>
              <w:pStyle w:val="Text1"/>
              <w:ind w:left="0"/>
              <w:rPr>
                <w:noProof/>
                <w:spacing w:val="-4"/>
              </w:rPr>
            </w:pPr>
            <w:r w:rsidRPr="00376CBB">
              <w:rPr>
                <w:noProof/>
                <w:spacing w:val="-4"/>
              </w:rPr>
              <w:t>2,828</w:t>
            </w:r>
          </w:p>
        </w:tc>
        <w:tc>
          <w:tcPr>
            <w:tcW w:w="882" w:type="dxa"/>
            <w:tcMar>
              <w:left w:w="0" w:type="dxa"/>
              <w:right w:w="0" w:type="dxa"/>
            </w:tcMar>
          </w:tcPr>
          <w:p w14:paraId="08C26422" w14:textId="77777777" w:rsidR="005A21FE" w:rsidRPr="00376CBB" w:rsidRDefault="005A21FE" w:rsidP="00376CBB">
            <w:pPr>
              <w:pStyle w:val="Text1"/>
              <w:ind w:left="0"/>
              <w:rPr>
                <w:noProof/>
                <w:spacing w:val="-4"/>
              </w:rPr>
            </w:pPr>
            <w:r w:rsidRPr="00376CBB">
              <w:rPr>
                <w:noProof/>
                <w:spacing w:val="-4"/>
              </w:rPr>
              <w:t>2</w:t>
            </w:r>
          </w:p>
        </w:tc>
        <w:tc>
          <w:tcPr>
            <w:tcW w:w="882" w:type="dxa"/>
            <w:tcMar>
              <w:left w:w="0" w:type="dxa"/>
              <w:right w:w="0" w:type="dxa"/>
            </w:tcMar>
          </w:tcPr>
          <w:p w14:paraId="2488285F" w14:textId="77777777" w:rsidR="005A21FE" w:rsidRPr="00376CBB" w:rsidRDefault="005A21FE" w:rsidP="00376CBB">
            <w:pPr>
              <w:pStyle w:val="Text1"/>
              <w:ind w:left="0"/>
              <w:rPr>
                <w:noProof/>
                <w:spacing w:val="-4"/>
              </w:rPr>
            </w:pPr>
            <w:r w:rsidRPr="00376CBB">
              <w:rPr>
                <w:noProof/>
                <w:spacing w:val="-4"/>
              </w:rPr>
              <w:t>1,414</w:t>
            </w:r>
          </w:p>
        </w:tc>
        <w:tc>
          <w:tcPr>
            <w:tcW w:w="882" w:type="dxa"/>
            <w:tcMar>
              <w:left w:w="0" w:type="dxa"/>
              <w:right w:w="0" w:type="dxa"/>
            </w:tcMar>
          </w:tcPr>
          <w:p w14:paraId="16818AF2" w14:textId="77777777" w:rsidR="005A21FE" w:rsidRPr="00376CBB" w:rsidRDefault="005A21FE" w:rsidP="00376CBB">
            <w:pPr>
              <w:pStyle w:val="Text1"/>
              <w:ind w:left="0"/>
              <w:rPr>
                <w:noProof/>
                <w:spacing w:val="-4"/>
              </w:rPr>
            </w:pPr>
            <w:r w:rsidRPr="00376CBB">
              <w:rPr>
                <w:noProof/>
                <w:spacing w:val="-4"/>
              </w:rPr>
              <w:t>4,243</w:t>
            </w:r>
          </w:p>
        </w:tc>
        <w:tc>
          <w:tcPr>
            <w:tcW w:w="882" w:type="dxa"/>
            <w:tcMar>
              <w:left w:w="0" w:type="dxa"/>
              <w:right w:w="0" w:type="dxa"/>
            </w:tcMar>
          </w:tcPr>
          <w:p w14:paraId="02BC35DE" w14:textId="77777777" w:rsidR="005A21FE" w:rsidRPr="00376CBB" w:rsidRDefault="005A21FE" w:rsidP="00376CBB">
            <w:pPr>
              <w:pStyle w:val="Text1"/>
              <w:ind w:left="0"/>
              <w:rPr>
                <w:noProof/>
                <w:spacing w:val="-4"/>
              </w:rPr>
            </w:pPr>
            <w:r w:rsidRPr="00376CBB">
              <w:rPr>
                <w:noProof/>
                <w:spacing w:val="-4"/>
              </w:rPr>
              <w:t>3</w:t>
            </w:r>
          </w:p>
        </w:tc>
        <w:tc>
          <w:tcPr>
            <w:tcW w:w="882" w:type="dxa"/>
            <w:tcMar>
              <w:left w:w="0" w:type="dxa"/>
              <w:right w:w="0" w:type="dxa"/>
            </w:tcMar>
          </w:tcPr>
          <w:p w14:paraId="096B31DC" w14:textId="77777777" w:rsidR="005A21FE" w:rsidRPr="00376CBB" w:rsidRDefault="005A21FE" w:rsidP="00376CBB">
            <w:pPr>
              <w:pStyle w:val="Text1"/>
              <w:ind w:left="0"/>
              <w:rPr>
                <w:noProof/>
                <w:spacing w:val="-4"/>
              </w:rPr>
            </w:pPr>
            <w:r w:rsidRPr="00376CBB">
              <w:rPr>
                <w:noProof/>
                <w:spacing w:val="-4"/>
              </w:rPr>
              <w:t>2,121</w:t>
            </w:r>
          </w:p>
        </w:tc>
        <w:tc>
          <w:tcPr>
            <w:tcW w:w="882" w:type="dxa"/>
            <w:tcMar>
              <w:left w:w="0" w:type="dxa"/>
              <w:right w:w="0" w:type="dxa"/>
            </w:tcMar>
          </w:tcPr>
          <w:p w14:paraId="70647ED7" w14:textId="77777777" w:rsidR="005A21FE" w:rsidRPr="00376CBB" w:rsidRDefault="005A21FE" w:rsidP="00376CBB">
            <w:pPr>
              <w:pStyle w:val="Text1"/>
              <w:ind w:left="0"/>
              <w:rPr>
                <w:noProof/>
                <w:spacing w:val="-4"/>
              </w:rPr>
            </w:pPr>
            <w:r w:rsidRPr="00376CBB">
              <w:rPr>
                <w:noProof/>
                <w:spacing w:val="-4"/>
              </w:rPr>
              <w:t>11,314</w:t>
            </w:r>
          </w:p>
        </w:tc>
        <w:tc>
          <w:tcPr>
            <w:tcW w:w="882" w:type="dxa"/>
            <w:tcMar>
              <w:left w:w="0" w:type="dxa"/>
              <w:right w:w="0" w:type="dxa"/>
            </w:tcMar>
          </w:tcPr>
          <w:p w14:paraId="5A62FE99" w14:textId="77777777" w:rsidR="005A21FE" w:rsidRPr="00376CBB" w:rsidRDefault="005A21FE" w:rsidP="00376CBB">
            <w:pPr>
              <w:pStyle w:val="Text1"/>
              <w:ind w:left="0"/>
              <w:rPr>
                <w:noProof/>
                <w:spacing w:val="-4"/>
              </w:rPr>
            </w:pPr>
            <w:r w:rsidRPr="00376CBB">
              <w:rPr>
                <w:noProof/>
                <w:spacing w:val="-4"/>
              </w:rPr>
              <w:t>8</w:t>
            </w:r>
          </w:p>
        </w:tc>
        <w:tc>
          <w:tcPr>
            <w:tcW w:w="882" w:type="dxa"/>
            <w:tcMar>
              <w:left w:w="0" w:type="dxa"/>
              <w:right w:w="0" w:type="dxa"/>
            </w:tcMar>
          </w:tcPr>
          <w:p w14:paraId="22CE11EB" w14:textId="77777777" w:rsidR="005A21FE" w:rsidRPr="00376CBB" w:rsidRDefault="005A21FE" w:rsidP="00376CBB">
            <w:pPr>
              <w:pStyle w:val="Text1"/>
              <w:ind w:left="0"/>
              <w:rPr>
                <w:noProof/>
                <w:spacing w:val="-4"/>
              </w:rPr>
            </w:pPr>
            <w:r w:rsidRPr="00376CBB">
              <w:rPr>
                <w:noProof/>
                <w:spacing w:val="-4"/>
              </w:rPr>
              <w:t>5,657</w:t>
            </w:r>
          </w:p>
        </w:tc>
      </w:tr>
      <w:tr w:rsidR="005A21FE" w:rsidRPr="00376CBB" w14:paraId="0D0D9E61" w14:textId="77777777" w:rsidTr="00376CBB">
        <w:tc>
          <w:tcPr>
            <w:tcW w:w="1276" w:type="dxa"/>
            <w:tcMar>
              <w:left w:w="0" w:type="dxa"/>
              <w:right w:w="0" w:type="dxa"/>
            </w:tcMar>
          </w:tcPr>
          <w:p w14:paraId="419AA41C" w14:textId="77777777" w:rsidR="005A21FE" w:rsidRPr="00376CBB" w:rsidRDefault="005A21FE" w:rsidP="00376CBB">
            <w:pPr>
              <w:pStyle w:val="Text1"/>
              <w:ind w:left="0"/>
              <w:rPr>
                <w:noProof/>
                <w:spacing w:val="-4"/>
              </w:rPr>
            </w:pPr>
          </w:p>
        </w:tc>
        <w:tc>
          <w:tcPr>
            <w:tcW w:w="596" w:type="dxa"/>
            <w:tcMar>
              <w:left w:w="0" w:type="dxa"/>
              <w:right w:w="0" w:type="dxa"/>
            </w:tcMar>
          </w:tcPr>
          <w:p w14:paraId="6496AAE0" w14:textId="77777777" w:rsidR="005A21FE" w:rsidRPr="00376CBB" w:rsidRDefault="005A21FE" w:rsidP="00376CBB">
            <w:pPr>
              <w:pStyle w:val="Text1"/>
              <w:ind w:left="0"/>
              <w:rPr>
                <w:noProof/>
                <w:spacing w:val="-4"/>
              </w:rPr>
            </w:pPr>
            <w:r w:rsidRPr="00376CBB">
              <w:rPr>
                <w:noProof/>
                <w:spacing w:val="-4"/>
              </w:rPr>
              <w:t>3 &lt; m ≤ 5</w:t>
            </w:r>
          </w:p>
        </w:tc>
        <w:tc>
          <w:tcPr>
            <w:tcW w:w="882" w:type="dxa"/>
            <w:tcMar>
              <w:left w:w="0" w:type="dxa"/>
              <w:right w:w="0" w:type="dxa"/>
            </w:tcMar>
          </w:tcPr>
          <w:p w14:paraId="03263203" w14:textId="77777777" w:rsidR="005A21FE" w:rsidRPr="00376CBB" w:rsidRDefault="005A21FE" w:rsidP="00376CBB">
            <w:pPr>
              <w:pStyle w:val="Text1"/>
              <w:ind w:left="0"/>
              <w:rPr>
                <w:noProof/>
                <w:spacing w:val="-4"/>
              </w:rPr>
            </w:pPr>
            <w:r w:rsidRPr="00376CBB">
              <w:rPr>
                <w:noProof/>
                <w:spacing w:val="-4"/>
              </w:rPr>
              <w:t>2,828</w:t>
            </w:r>
          </w:p>
        </w:tc>
        <w:tc>
          <w:tcPr>
            <w:tcW w:w="882" w:type="dxa"/>
            <w:tcMar>
              <w:left w:w="0" w:type="dxa"/>
              <w:right w:w="0" w:type="dxa"/>
            </w:tcMar>
          </w:tcPr>
          <w:p w14:paraId="6B596060" w14:textId="77777777" w:rsidR="005A21FE" w:rsidRPr="00376CBB" w:rsidRDefault="005A21FE" w:rsidP="00376CBB">
            <w:pPr>
              <w:pStyle w:val="Text1"/>
              <w:ind w:left="0"/>
              <w:rPr>
                <w:noProof/>
                <w:spacing w:val="-4"/>
              </w:rPr>
            </w:pPr>
            <w:r w:rsidRPr="00376CBB">
              <w:rPr>
                <w:noProof/>
                <w:spacing w:val="-4"/>
              </w:rPr>
              <w:t>2</w:t>
            </w:r>
          </w:p>
        </w:tc>
        <w:tc>
          <w:tcPr>
            <w:tcW w:w="882" w:type="dxa"/>
            <w:tcMar>
              <w:left w:w="0" w:type="dxa"/>
              <w:right w:w="0" w:type="dxa"/>
            </w:tcMar>
          </w:tcPr>
          <w:p w14:paraId="5ED32110" w14:textId="77777777" w:rsidR="005A21FE" w:rsidRPr="00376CBB" w:rsidRDefault="005A21FE" w:rsidP="00376CBB">
            <w:pPr>
              <w:pStyle w:val="Text1"/>
              <w:ind w:left="0"/>
              <w:rPr>
                <w:noProof/>
                <w:spacing w:val="-4"/>
              </w:rPr>
            </w:pPr>
            <w:r w:rsidRPr="00376CBB">
              <w:rPr>
                <w:noProof/>
                <w:spacing w:val="-4"/>
              </w:rPr>
              <w:t>1,414</w:t>
            </w:r>
          </w:p>
        </w:tc>
        <w:tc>
          <w:tcPr>
            <w:tcW w:w="882" w:type="dxa"/>
            <w:tcMar>
              <w:left w:w="0" w:type="dxa"/>
              <w:right w:w="0" w:type="dxa"/>
            </w:tcMar>
          </w:tcPr>
          <w:p w14:paraId="64A839A7" w14:textId="77777777" w:rsidR="005A21FE" w:rsidRPr="00376CBB" w:rsidRDefault="005A21FE" w:rsidP="00376CBB">
            <w:pPr>
              <w:pStyle w:val="Text1"/>
              <w:ind w:left="0"/>
              <w:rPr>
                <w:noProof/>
                <w:spacing w:val="-4"/>
              </w:rPr>
            </w:pPr>
            <w:r w:rsidRPr="00376CBB">
              <w:rPr>
                <w:noProof/>
                <w:spacing w:val="-4"/>
              </w:rPr>
              <w:t>5,657</w:t>
            </w:r>
          </w:p>
        </w:tc>
        <w:tc>
          <w:tcPr>
            <w:tcW w:w="882" w:type="dxa"/>
            <w:tcMar>
              <w:left w:w="0" w:type="dxa"/>
              <w:right w:w="0" w:type="dxa"/>
            </w:tcMar>
          </w:tcPr>
          <w:p w14:paraId="24B8A984" w14:textId="77777777" w:rsidR="005A21FE" w:rsidRPr="00376CBB" w:rsidRDefault="005A21FE" w:rsidP="00376CBB">
            <w:pPr>
              <w:pStyle w:val="Text1"/>
              <w:ind w:left="0"/>
              <w:rPr>
                <w:noProof/>
                <w:spacing w:val="-4"/>
              </w:rPr>
            </w:pPr>
            <w:r w:rsidRPr="00376CBB">
              <w:rPr>
                <w:noProof/>
                <w:spacing w:val="-4"/>
              </w:rPr>
              <w:t>4</w:t>
            </w:r>
          </w:p>
        </w:tc>
        <w:tc>
          <w:tcPr>
            <w:tcW w:w="882" w:type="dxa"/>
            <w:tcMar>
              <w:left w:w="0" w:type="dxa"/>
              <w:right w:w="0" w:type="dxa"/>
            </w:tcMar>
          </w:tcPr>
          <w:p w14:paraId="5B4BEB5E" w14:textId="77777777" w:rsidR="005A21FE" w:rsidRPr="00376CBB" w:rsidRDefault="005A21FE" w:rsidP="00376CBB">
            <w:pPr>
              <w:pStyle w:val="Text1"/>
              <w:ind w:left="0"/>
              <w:rPr>
                <w:noProof/>
                <w:spacing w:val="-4"/>
              </w:rPr>
            </w:pPr>
            <w:r w:rsidRPr="00376CBB">
              <w:rPr>
                <w:noProof/>
                <w:spacing w:val="-4"/>
              </w:rPr>
              <w:t>2,828</w:t>
            </w:r>
          </w:p>
        </w:tc>
        <w:tc>
          <w:tcPr>
            <w:tcW w:w="882" w:type="dxa"/>
            <w:tcMar>
              <w:left w:w="0" w:type="dxa"/>
              <w:right w:w="0" w:type="dxa"/>
            </w:tcMar>
          </w:tcPr>
          <w:p w14:paraId="0A915AC1" w14:textId="77777777" w:rsidR="005A21FE" w:rsidRPr="00376CBB" w:rsidRDefault="005A21FE" w:rsidP="00376CBB">
            <w:pPr>
              <w:pStyle w:val="Text1"/>
              <w:ind w:left="0"/>
              <w:rPr>
                <w:noProof/>
                <w:spacing w:val="-4"/>
              </w:rPr>
            </w:pPr>
            <w:r w:rsidRPr="00376CBB">
              <w:rPr>
                <w:noProof/>
                <w:spacing w:val="-4"/>
              </w:rPr>
              <w:t>11,314</w:t>
            </w:r>
          </w:p>
        </w:tc>
        <w:tc>
          <w:tcPr>
            <w:tcW w:w="882" w:type="dxa"/>
            <w:tcMar>
              <w:left w:w="0" w:type="dxa"/>
              <w:right w:w="0" w:type="dxa"/>
            </w:tcMar>
          </w:tcPr>
          <w:p w14:paraId="05535D48" w14:textId="77777777" w:rsidR="005A21FE" w:rsidRPr="00376CBB" w:rsidRDefault="005A21FE" w:rsidP="00376CBB">
            <w:pPr>
              <w:pStyle w:val="Text1"/>
              <w:ind w:left="0"/>
              <w:rPr>
                <w:noProof/>
                <w:spacing w:val="-4"/>
              </w:rPr>
            </w:pPr>
            <w:r w:rsidRPr="00376CBB">
              <w:rPr>
                <w:noProof/>
                <w:spacing w:val="-4"/>
              </w:rPr>
              <w:t>8</w:t>
            </w:r>
          </w:p>
        </w:tc>
        <w:tc>
          <w:tcPr>
            <w:tcW w:w="882" w:type="dxa"/>
            <w:tcMar>
              <w:left w:w="0" w:type="dxa"/>
              <w:right w:w="0" w:type="dxa"/>
            </w:tcMar>
          </w:tcPr>
          <w:p w14:paraId="6A2E4B5A" w14:textId="77777777" w:rsidR="005A21FE" w:rsidRPr="00376CBB" w:rsidRDefault="005A21FE" w:rsidP="00376CBB">
            <w:pPr>
              <w:pStyle w:val="Text1"/>
              <w:ind w:left="0"/>
              <w:rPr>
                <w:noProof/>
                <w:spacing w:val="-4"/>
              </w:rPr>
            </w:pPr>
            <w:r w:rsidRPr="00376CBB">
              <w:rPr>
                <w:noProof/>
                <w:spacing w:val="-4"/>
              </w:rPr>
              <w:t>5,657</w:t>
            </w:r>
          </w:p>
        </w:tc>
      </w:tr>
      <w:tr w:rsidR="005A21FE" w:rsidRPr="00376CBB" w14:paraId="3B76F1DB" w14:textId="77777777" w:rsidTr="00376CBB">
        <w:tc>
          <w:tcPr>
            <w:tcW w:w="1276" w:type="dxa"/>
            <w:tcMar>
              <w:left w:w="0" w:type="dxa"/>
              <w:right w:w="0" w:type="dxa"/>
            </w:tcMar>
          </w:tcPr>
          <w:p w14:paraId="5E81AB2E" w14:textId="77777777" w:rsidR="005A21FE" w:rsidRPr="00376CBB" w:rsidRDefault="005A21FE" w:rsidP="00376CBB">
            <w:pPr>
              <w:pStyle w:val="Text1"/>
              <w:ind w:left="0"/>
              <w:rPr>
                <w:noProof/>
                <w:spacing w:val="-4"/>
              </w:rPr>
            </w:pPr>
          </w:p>
        </w:tc>
        <w:tc>
          <w:tcPr>
            <w:tcW w:w="596" w:type="dxa"/>
            <w:tcMar>
              <w:left w:w="0" w:type="dxa"/>
              <w:right w:w="0" w:type="dxa"/>
            </w:tcMar>
          </w:tcPr>
          <w:p w14:paraId="2F90E98A" w14:textId="77777777" w:rsidR="005A21FE" w:rsidRPr="00376CBB" w:rsidRDefault="005A21FE" w:rsidP="00376CBB">
            <w:pPr>
              <w:pStyle w:val="Text1"/>
              <w:ind w:left="0"/>
              <w:rPr>
                <w:noProof/>
                <w:spacing w:val="-4"/>
              </w:rPr>
            </w:pPr>
            <w:r w:rsidRPr="00376CBB">
              <w:rPr>
                <w:noProof/>
                <w:spacing w:val="-4"/>
              </w:rPr>
              <w:t>5 &lt; m ≤ 10</w:t>
            </w:r>
          </w:p>
        </w:tc>
        <w:tc>
          <w:tcPr>
            <w:tcW w:w="882" w:type="dxa"/>
            <w:tcMar>
              <w:left w:w="0" w:type="dxa"/>
              <w:right w:w="0" w:type="dxa"/>
            </w:tcMar>
          </w:tcPr>
          <w:p w14:paraId="655C2733" w14:textId="77777777" w:rsidR="005A21FE" w:rsidRPr="00376CBB" w:rsidRDefault="005A21FE" w:rsidP="00376CBB">
            <w:pPr>
              <w:pStyle w:val="Text1"/>
              <w:ind w:left="0"/>
              <w:rPr>
                <w:noProof/>
                <w:spacing w:val="-4"/>
              </w:rPr>
            </w:pPr>
            <w:r w:rsidRPr="00376CBB">
              <w:rPr>
                <w:noProof/>
                <w:spacing w:val="-4"/>
              </w:rPr>
              <w:t>5,657</w:t>
            </w:r>
          </w:p>
        </w:tc>
        <w:tc>
          <w:tcPr>
            <w:tcW w:w="882" w:type="dxa"/>
            <w:tcMar>
              <w:left w:w="0" w:type="dxa"/>
              <w:right w:w="0" w:type="dxa"/>
            </w:tcMar>
          </w:tcPr>
          <w:p w14:paraId="1B58C817" w14:textId="77777777" w:rsidR="005A21FE" w:rsidRPr="00376CBB" w:rsidRDefault="005A21FE" w:rsidP="00376CBB">
            <w:pPr>
              <w:pStyle w:val="Text1"/>
              <w:ind w:left="0"/>
              <w:rPr>
                <w:noProof/>
                <w:spacing w:val="-4"/>
              </w:rPr>
            </w:pPr>
            <w:r w:rsidRPr="00376CBB">
              <w:rPr>
                <w:noProof/>
                <w:spacing w:val="-4"/>
              </w:rPr>
              <w:t>4</w:t>
            </w:r>
          </w:p>
        </w:tc>
        <w:tc>
          <w:tcPr>
            <w:tcW w:w="882" w:type="dxa"/>
            <w:tcMar>
              <w:left w:w="0" w:type="dxa"/>
              <w:right w:w="0" w:type="dxa"/>
            </w:tcMar>
          </w:tcPr>
          <w:p w14:paraId="3800D7CC" w14:textId="77777777" w:rsidR="005A21FE" w:rsidRPr="00376CBB" w:rsidRDefault="005A21FE" w:rsidP="00376CBB">
            <w:pPr>
              <w:pStyle w:val="Text1"/>
              <w:ind w:left="0"/>
              <w:rPr>
                <w:noProof/>
                <w:spacing w:val="-4"/>
              </w:rPr>
            </w:pPr>
            <w:r w:rsidRPr="00376CBB">
              <w:rPr>
                <w:noProof/>
                <w:spacing w:val="-4"/>
              </w:rPr>
              <w:t>2,828</w:t>
            </w:r>
          </w:p>
        </w:tc>
        <w:tc>
          <w:tcPr>
            <w:tcW w:w="882" w:type="dxa"/>
            <w:tcMar>
              <w:left w:w="0" w:type="dxa"/>
              <w:right w:w="0" w:type="dxa"/>
            </w:tcMar>
          </w:tcPr>
          <w:p w14:paraId="136384DA" w14:textId="77777777" w:rsidR="005A21FE" w:rsidRPr="00376CBB" w:rsidRDefault="005A21FE" w:rsidP="00376CBB">
            <w:pPr>
              <w:pStyle w:val="Text1"/>
              <w:ind w:left="0"/>
              <w:rPr>
                <w:noProof/>
                <w:spacing w:val="-4"/>
              </w:rPr>
            </w:pPr>
            <w:r w:rsidRPr="00376CBB">
              <w:rPr>
                <w:noProof/>
                <w:spacing w:val="-4"/>
              </w:rPr>
              <w:t>8,485</w:t>
            </w:r>
          </w:p>
        </w:tc>
        <w:tc>
          <w:tcPr>
            <w:tcW w:w="882" w:type="dxa"/>
            <w:tcMar>
              <w:left w:w="0" w:type="dxa"/>
              <w:right w:w="0" w:type="dxa"/>
            </w:tcMar>
          </w:tcPr>
          <w:p w14:paraId="6BEC6D91" w14:textId="77777777" w:rsidR="005A21FE" w:rsidRPr="00376CBB" w:rsidRDefault="005A21FE" w:rsidP="00376CBB">
            <w:pPr>
              <w:pStyle w:val="Text1"/>
              <w:ind w:left="0"/>
              <w:rPr>
                <w:noProof/>
                <w:spacing w:val="-4"/>
              </w:rPr>
            </w:pPr>
            <w:r w:rsidRPr="00376CBB">
              <w:rPr>
                <w:noProof/>
                <w:spacing w:val="-4"/>
              </w:rPr>
              <w:t>6</w:t>
            </w:r>
          </w:p>
        </w:tc>
        <w:tc>
          <w:tcPr>
            <w:tcW w:w="882" w:type="dxa"/>
            <w:tcMar>
              <w:left w:w="0" w:type="dxa"/>
              <w:right w:w="0" w:type="dxa"/>
            </w:tcMar>
          </w:tcPr>
          <w:p w14:paraId="683453BA" w14:textId="77777777" w:rsidR="005A21FE" w:rsidRPr="00376CBB" w:rsidRDefault="005A21FE" w:rsidP="00376CBB">
            <w:pPr>
              <w:pStyle w:val="Text1"/>
              <w:ind w:left="0"/>
              <w:rPr>
                <w:noProof/>
                <w:spacing w:val="-4"/>
              </w:rPr>
            </w:pPr>
            <w:r w:rsidRPr="00376CBB">
              <w:rPr>
                <w:noProof/>
                <w:spacing w:val="-4"/>
              </w:rPr>
              <w:t>4,243</w:t>
            </w:r>
          </w:p>
        </w:tc>
        <w:tc>
          <w:tcPr>
            <w:tcW w:w="882" w:type="dxa"/>
            <w:tcMar>
              <w:left w:w="0" w:type="dxa"/>
              <w:right w:w="0" w:type="dxa"/>
            </w:tcMar>
          </w:tcPr>
          <w:p w14:paraId="3A7CF0BF" w14:textId="77777777" w:rsidR="005A21FE" w:rsidRPr="00376CBB" w:rsidRDefault="005A21FE" w:rsidP="00376CBB">
            <w:pPr>
              <w:pStyle w:val="Text1"/>
              <w:ind w:left="0"/>
              <w:rPr>
                <w:noProof/>
                <w:spacing w:val="-4"/>
              </w:rPr>
            </w:pPr>
            <w:r w:rsidRPr="00376CBB">
              <w:rPr>
                <w:noProof/>
                <w:spacing w:val="-4"/>
              </w:rPr>
              <w:t>22,627</w:t>
            </w:r>
          </w:p>
        </w:tc>
        <w:tc>
          <w:tcPr>
            <w:tcW w:w="882" w:type="dxa"/>
            <w:tcMar>
              <w:left w:w="0" w:type="dxa"/>
              <w:right w:w="0" w:type="dxa"/>
            </w:tcMar>
          </w:tcPr>
          <w:p w14:paraId="662C919F" w14:textId="77777777" w:rsidR="005A21FE" w:rsidRPr="00376CBB" w:rsidRDefault="005A21FE" w:rsidP="00376CBB">
            <w:pPr>
              <w:pStyle w:val="Text1"/>
              <w:ind w:left="0"/>
              <w:rPr>
                <w:noProof/>
                <w:spacing w:val="-4"/>
              </w:rPr>
            </w:pPr>
            <w:r w:rsidRPr="00376CBB">
              <w:rPr>
                <w:noProof/>
                <w:spacing w:val="-4"/>
              </w:rPr>
              <w:t>16</w:t>
            </w:r>
          </w:p>
        </w:tc>
        <w:tc>
          <w:tcPr>
            <w:tcW w:w="882" w:type="dxa"/>
            <w:tcMar>
              <w:left w:w="0" w:type="dxa"/>
              <w:right w:w="0" w:type="dxa"/>
            </w:tcMar>
          </w:tcPr>
          <w:p w14:paraId="56DB707B" w14:textId="77777777" w:rsidR="005A21FE" w:rsidRPr="00376CBB" w:rsidRDefault="005A21FE" w:rsidP="00376CBB">
            <w:pPr>
              <w:pStyle w:val="Text1"/>
              <w:ind w:left="0"/>
              <w:rPr>
                <w:noProof/>
                <w:spacing w:val="-4"/>
              </w:rPr>
            </w:pPr>
            <w:r w:rsidRPr="00376CBB">
              <w:rPr>
                <w:noProof/>
                <w:spacing w:val="-4"/>
              </w:rPr>
              <w:t>11,314</w:t>
            </w:r>
          </w:p>
        </w:tc>
      </w:tr>
      <w:tr w:rsidR="005A21FE" w:rsidRPr="00376CBB" w14:paraId="6D1D0C8A" w14:textId="77777777" w:rsidTr="00376CBB">
        <w:tc>
          <w:tcPr>
            <w:tcW w:w="1276" w:type="dxa"/>
            <w:tcMar>
              <w:left w:w="0" w:type="dxa"/>
              <w:right w:w="0" w:type="dxa"/>
            </w:tcMar>
          </w:tcPr>
          <w:p w14:paraId="5D2929DC" w14:textId="77777777" w:rsidR="005A21FE" w:rsidRPr="00376CBB" w:rsidRDefault="005A21FE" w:rsidP="00376CBB">
            <w:pPr>
              <w:pStyle w:val="Text1"/>
              <w:ind w:left="0"/>
              <w:rPr>
                <w:noProof/>
                <w:spacing w:val="-4"/>
              </w:rPr>
            </w:pPr>
          </w:p>
        </w:tc>
        <w:tc>
          <w:tcPr>
            <w:tcW w:w="596" w:type="dxa"/>
            <w:tcMar>
              <w:left w:w="0" w:type="dxa"/>
              <w:right w:w="0" w:type="dxa"/>
            </w:tcMar>
          </w:tcPr>
          <w:p w14:paraId="0F37CBD2" w14:textId="77777777" w:rsidR="005A21FE" w:rsidRPr="00376CBB" w:rsidRDefault="005A21FE" w:rsidP="00376CBB">
            <w:pPr>
              <w:pStyle w:val="Text1"/>
              <w:ind w:left="0"/>
              <w:rPr>
                <w:noProof/>
                <w:spacing w:val="-4"/>
              </w:rPr>
            </w:pPr>
            <w:r w:rsidRPr="00376CBB">
              <w:rPr>
                <w:noProof/>
                <w:spacing w:val="-4"/>
              </w:rPr>
              <w:t>m &gt; 10</w:t>
            </w:r>
          </w:p>
        </w:tc>
        <w:tc>
          <w:tcPr>
            <w:tcW w:w="882" w:type="dxa"/>
            <w:tcMar>
              <w:left w:w="0" w:type="dxa"/>
              <w:right w:w="0" w:type="dxa"/>
            </w:tcMar>
          </w:tcPr>
          <w:p w14:paraId="6A92E42B" w14:textId="77777777" w:rsidR="005A21FE" w:rsidRPr="00376CBB" w:rsidRDefault="005A21FE" w:rsidP="00376CBB">
            <w:pPr>
              <w:pStyle w:val="Text1"/>
              <w:ind w:left="0"/>
              <w:rPr>
                <w:noProof/>
                <w:spacing w:val="-4"/>
              </w:rPr>
            </w:pPr>
            <w:r w:rsidRPr="00376CBB">
              <w:rPr>
                <w:noProof/>
                <w:spacing w:val="-4"/>
              </w:rPr>
              <w:t>5,657</w:t>
            </w:r>
          </w:p>
        </w:tc>
        <w:tc>
          <w:tcPr>
            <w:tcW w:w="882" w:type="dxa"/>
            <w:tcMar>
              <w:left w:w="0" w:type="dxa"/>
              <w:right w:w="0" w:type="dxa"/>
            </w:tcMar>
          </w:tcPr>
          <w:p w14:paraId="20483E42" w14:textId="77777777" w:rsidR="005A21FE" w:rsidRPr="00376CBB" w:rsidRDefault="005A21FE" w:rsidP="00376CBB">
            <w:pPr>
              <w:pStyle w:val="Text1"/>
              <w:ind w:left="0"/>
              <w:rPr>
                <w:noProof/>
                <w:spacing w:val="-4"/>
              </w:rPr>
            </w:pPr>
            <w:r w:rsidRPr="00376CBB">
              <w:rPr>
                <w:noProof/>
                <w:spacing w:val="-4"/>
              </w:rPr>
              <w:t>4</w:t>
            </w:r>
          </w:p>
        </w:tc>
        <w:tc>
          <w:tcPr>
            <w:tcW w:w="882" w:type="dxa"/>
            <w:tcMar>
              <w:left w:w="0" w:type="dxa"/>
              <w:right w:w="0" w:type="dxa"/>
            </w:tcMar>
          </w:tcPr>
          <w:p w14:paraId="0E892E64" w14:textId="77777777" w:rsidR="005A21FE" w:rsidRPr="00376CBB" w:rsidRDefault="005A21FE" w:rsidP="00376CBB">
            <w:pPr>
              <w:pStyle w:val="Text1"/>
              <w:ind w:left="0"/>
              <w:rPr>
                <w:noProof/>
                <w:spacing w:val="-4"/>
              </w:rPr>
            </w:pPr>
            <w:r w:rsidRPr="00376CBB">
              <w:rPr>
                <w:noProof/>
                <w:spacing w:val="-4"/>
              </w:rPr>
              <w:t>2,828</w:t>
            </w:r>
          </w:p>
        </w:tc>
        <w:tc>
          <w:tcPr>
            <w:tcW w:w="882" w:type="dxa"/>
            <w:tcMar>
              <w:left w:w="0" w:type="dxa"/>
              <w:right w:w="0" w:type="dxa"/>
            </w:tcMar>
          </w:tcPr>
          <w:p w14:paraId="3FC55F96" w14:textId="77777777" w:rsidR="005A21FE" w:rsidRPr="00376CBB" w:rsidRDefault="005A21FE" w:rsidP="00376CBB">
            <w:pPr>
              <w:pStyle w:val="Text1"/>
              <w:ind w:left="0"/>
              <w:rPr>
                <w:noProof/>
                <w:spacing w:val="-4"/>
              </w:rPr>
            </w:pPr>
            <w:r w:rsidRPr="00376CBB">
              <w:rPr>
                <w:noProof/>
                <w:spacing w:val="-4"/>
              </w:rPr>
              <w:t>16,971</w:t>
            </w:r>
          </w:p>
        </w:tc>
        <w:tc>
          <w:tcPr>
            <w:tcW w:w="882" w:type="dxa"/>
            <w:tcMar>
              <w:left w:w="0" w:type="dxa"/>
              <w:right w:w="0" w:type="dxa"/>
            </w:tcMar>
          </w:tcPr>
          <w:p w14:paraId="11F0CC3F" w14:textId="77777777" w:rsidR="005A21FE" w:rsidRPr="00376CBB" w:rsidRDefault="005A21FE" w:rsidP="00376CBB">
            <w:pPr>
              <w:pStyle w:val="Text1"/>
              <w:ind w:left="0"/>
              <w:rPr>
                <w:noProof/>
                <w:spacing w:val="-4"/>
              </w:rPr>
            </w:pPr>
            <w:r w:rsidRPr="00376CBB">
              <w:rPr>
                <w:noProof/>
                <w:spacing w:val="-4"/>
              </w:rPr>
              <w:t>12</w:t>
            </w:r>
          </w:p>
        </w:tc>
        <w:tc>
          <w:tcPr>
            <w:tcW w:w="882" w:type="dxa"/>
            <w:tcMar>
              <w:left w:w="0" w:type="dxa"/>
              <w:right w:w="0" w:type="dxa"/>
            </w:tcMar>
          </w:tcPr>
          <w:p w14:paraId="5DD83CB1" w14:textId="77777777" w:rsidR="005A21FE" w:rsidRPr="00376CBB" w:rsidRDefault="005A21FE" w:rsidP="00376CBB">
            <w:pPr>
              <w:pStyle w:val="Text1"/>
              <w:ind w:left="0"/>
              <w:rPr>
                <w:noProof/>
                <w:spacing w:val="-4"/>
              </w:rPr>
            </w:pPr>
            <w:r w:rsidRPr="00376CBB">
              <w:rPr>
                <w:noProof/>
                <w:spacing w:val="-4"/>
              </w:rPr>
              <w:t>8,485</w:t>
            </w:r>
          </w:p>
        </w:tc>
        <w:tc>
          <w:tcPr>
            <w:tcW w:w="882" w:type="dxa"/>
            <w:tcMar>
              <w:left w:w="0" w:type="dxa"/>
              <w:right w:w="0" w:type="dxa"/>
            </w:tcMar>
          </w:tcPr>
          <w:p w14:paraId="4B9D27CB" w14:textId="77777777" w:rsidR="005A21FE" w:rsidRPr="00376CBB" w:rsidRDefault="005A21FE" w:rsidP="00376CBB">
            <w:pPr>
              <w:pStyle w:val="Text1"/>
              <w:ind w:left="0"/>
              <w:rPr>
                <w:noProof/>
                <w:spacing w:val="-4"/>
              </w:rPr>
            </w:pPr>
            <w:r w:rsidRPr="00376CBB">
              <w:rPr>
                <w:noProof/>
                <w:spacing w:val="-4"/>
              </w:rPr>
              <w:t>22,627</w:t>
            </w:r>
          </w:p>
        </w:tc>
        <w:tc>
          <w:tcPr>
            <w:tcW w:w="882" w:type="dxa"/>
            <w:tcMar>
              <w:left w:w="0" w:type="dxa"/>
              <w:right w:w="0" w:type="dxa"/>
            </w:tcMar>
          </w:tcPr>
          <w:p w14:paraId="670C7A40" w14:textId="77777777" w:rsidR="005A21FE" w:rsidRPr="00376CBB" w:rsidRDefault="005A21FE" w:rsidP="00376CBB">
            <w:pPr>
              <w:pStyle w:val="Text1"/>
              <w:ind w:left="0"/>
              <w:rPr>
                <w:noProof/>
                <w:spacing w:val="-4"/>
              </w:rPr>
            </w:pPr>
            <w:r w:rsidRPr="00376CBB">
              <w:rPr>
                <w:noProof/>
                <w:spacing w:val="-4"/>
              </w:rPr>
              <w:t>16</w:t>
            </w:r>
          </w:p>
        </w:tc>
        <w:tc>
          <w:tcPr>
            <w:tcW w:w="882" w:type="dxa"/>
            <w:tcMar>
              <w:left w:w="0" w:type="dxa"/>
              <w:right w:w="0" w:type="dxa"/>
            </w:tcMar>
          </w:tcPr>
          <w:p w14:paraId="64BACB7B" w14:textId="77777777" w:rsidR="005A21FE" w:rsidRPr="00376CBB" w:rsidRDefault="005A21FE" w:rsidP="00376CBB">
            <w:pPr>
              <w:pStyle w:val="Text1"/>
              <w:ind w:left="0"/>
              <w:rPr>
                <w:noProof/>
                <w:spacing w:val="-4"/>
              </w:rPr>
            </w:pPr>
            <w:r w:rsidRPr="00376CBB">
              <w:rPr>
                <w:noProof/>
                <w:spacing w:val="-4"/>
              </w:rPr>
              <w:t>11,314</w:t>
            </w:r>
          </w:p>
        </w:tc>
      </w:tr>
      <w:tr w:rsidR="005A21FE" w:rsidRPr="00376CBB" w14:paraId="66D2DCBA" w14:textId="77777777" w:rsidTr="00376CBB">
        <w:tc>
          <w:tcPr>
            <w:tcW w:w="1276" w:type="dxa"/>
            <w:tcMar>
              <w:left w:w="0" w:type="dxa"/>
              <w:right w:w="0" w:type="dxa"/>
            </w:tcMar>
          </w:tcPr>
          <w:p w14:paraId="0E7708B1" w14:textId="77777777" w:rsidR="005A21FE" w:rsidRPr="00376CBB" w:rsidRDefault="005A21FE" w:rsidP="00376CBB">
            <w:pPr>
              <w:pStyle w:val="Text1"/>
              <w:ind w:left="0"/>
              <w:rPr>
                <w:noProof/>
                <w:spacing w:val="-4"/>
              </w:rPr>
            </w:pPr>
            <w:r w:rsidRPr="00376CBB">
              <w:rPr>
                <w:noProof/>
                <w:spacing w:val="-4"/>
              </w:rPr>
              <w:t>2 – 3</w:t>
            </w:r>
          </w:p>
        </w:tc>
        <w:tc>
          <w:tcPr>
            <w:tcW w:w="596" w:type="dxa"/>
            <w:tcMar>
              <w:left w:w="0" w:type="dxa"/>
              <w:right w:w="0" w:type="dxa"/>
            </w:tcMar>
          </w:tcPr>
          <w:p w14:paraId="079519D7" w14:textId="77777777" w:rsidR="005A21FE" w:rsidRPr="00376CBB" w:rsidRDefault="005A21FE" w:rsidP="00376CBB">
            <w:pPr>
              <w:pStyle w:val="Text1"/>
              <w:ind w:left="0"/>
              <w:rPr>
                <w:noProof/>
                <w:spacing w:val="-4"/>
              </w:rPr>
            </w:pPr>
            <w:r w:rsidRPr="00376CBB">
              <w:rPr>
                <w:noProof/>
                <w:spacing w:val="-4"/>
              </w:rPr>
              <w:t>m ≤ 1</w:t>
            </w:r>
          </w:p>
        </w:tc>
        <w:tc>
          <w:tcPr>
            <w:tcW w:w="882" w:type="dxa"/>
            <w:tcMar>
              <w:left w:w="0" w:type="dxa"/>
              <w:right w:w="0" w:type="dxa"/>
            </w:tcMar>
          </w:tcPr>
          <w:p w14:paraId="7E0CEEAB" w14:textId="77777777" w:rsidR="005A21FE" w:rsidRPr="00376CBB" w:rsidRDefault="005A21FE" w:rsidP="00376CBB">
            <w:pPr>
              <w:pStyle w:val="Text1"/>
              <w:ind w:left="0"/>
              <w:rPr>
                <w:noProof/>
                <w:spacing w:val="-4"/>
              </w:rPr>
            </w:pPr>
            <w:r w:rsidRPr="00376CBB">
              <w:rPr>
                <w:noProof/>
                <w:spacing w:val="-4"/>
              </w:rPr>
              <w:t>1,414</w:t>
            </w:r>
          </w:p>
        </w:tc>
        <w:tc>
          <w:tcPr>
            <w:tcW w:w="882" w:type="dxa"/>
            <w:tcMar>
              <w:left w:w="0" w:type="dxa"/>
              <w:right w:w="0" w:type="dxa"/>
            </w:tcMar>
          </w:tcPr>
          <w:p w14:paraId="512D24B5" w14:textId="77777777" w:rsidR="005A21FE" w:rsidRPr="00376CBB" w:rsidRDefault="005A21FE" w:rsidP="00376CBB">
            <w:pPr>
              <w:pStyle w:val="Text1"/>
              <w:ind w:left="0"/>
              <w:rPr>
                <w:noProof/>
                <w:spacing w:val="-4"/>
              </w:rPr>
            </w:pPr>
            <w:r w:rsidRPr="00376CBB">
              <w:rPr>
                <w:noProof/>
                <w:spacing w:val="-4"/>
              </w:rPr>
              <w:t>1</w:t>
            </w:r>
          </w:p>
        </w:tc>
        <w:tc>
          <w:tcPr>
            <w:tcW w:w="882" w:type="dxa"/>
            <w:tcMar>
              <w:left w:w="0" w:type="dxa"/>
              <w:right w:w="0" w:type="dxa"/>
            </w:tcMar>
          </w:tcPr>
          <w:p w14:paraId="4BE62711" w14:textId="77777777" w:rsidR="005A21FE" w:rsidRPr="00376CBB" w:rsidRDefault="005A21FE" w:rsidP="00376CBB">
            <w:pPr>
              <w:pStyle w:val="Text1"/>
              <w:ind w:left="0"/>
              <w:rPr>
                <w:noProof/>
                <w:spacing w:val="-4"/>
              </w:rPr>
            </w:pPr>
            <w:r w:rsidRPr="00376CBB">
              <w:rPr>
                <w:noProof/>
                <w:spacing w:val="-4"/>
              </w:rPr>
              <w:t>0,707</w:t>
            </w:r>
          </w:p>
        </w:tc>
        <w:tc>
          <w:tcPr>
            <w:tcW w:w="882" w:type="dxa"/>
            <w:tcMar>
              <w:left w:w="0" w:type="dxa"/>
              <w:right w:w="0" w:type="dxa"/>
            </w:tcMar>
          </w:tcPr>
          <w:p w14:paraId="5775A5EB" w14:textId="77777777" w:rsidR="005A21FE" w:rsidRPr="00376CBB" w:rsidRDefault="005A21FE" w:rsidP="00376CBB">
            <w:pPr>
              <w:pStyle w:val="Text1"/>
              <w:ind w:left="0"/>
              <w:rPr>
                <w:noProof/>
                <w:spacing w:val="-4"/>
              </w:rPr>
            </w:pPr>
            <w:r w:rsidRPr="00376CBB">
              <w:rPr>
                <w:noProof/>
                <w:spacing w:val="-4"/>
              </w:rPr>
              <w:t>2,828</w:t>
            </w:r>
          </w:p>
        </w:tc>
        <w:tc>
          <w:tcPr>
            <w:tcW w:w="882" w:type="dxa"/>
            <w:tcMar>
              <w:left w:w="0" w:type="dxa"/>
              <w:right w:w="0" w:type="dxa"/>
            </w:tcMar>
          </w:tcPr>
          <w:p w14:paraId="576B140B" w14:textId="77777777" w:rsidR="005A21FE" w:rsidRPr="00376CBB" w:rsidRDefault="005A21FE" w:rsidP="00376CBB">
            <w:pPr>
              <w:pStyle w:val="Text1"/>
              <w:ind w:left="0"/>
              <w:rPr>
                <w:noProof/>
                <w:spacing w:val="-4"/>
              </w:rPr>
            </w:pPr>
            <w:r w:rsidRPr="00376CBB">
              <w:rPr>
                <w:noProof/>
                <w:spacing w:val="-4"/>
              </w:rPr>
              <w:t>2</w:t>
            </w:r>
          </w:p>
        </w:tc>
        <w:tc>
          <w:tcPr>
            <w:tcW w:w="882" w:type="dxa"/>
            <w:tcMar>
              <w:left w:w="0" w:type="dxa"/>
              <w:right w:w="0" w:type="dxa"/>
            </w:tcMar>
          </w:tcPr>
          <w:p w14:paraId="41ECC482" w14:textId="77777777" w:rsidR="005A21FE" w:rsidRPr="00376CBB" w:rsidRDefault="005A21FE" w:rsidP="00376CBB">
            <w:pPr>
              <w:pStyle w:val="Text1"/>
              <w:ind w:left="0"/>
              <w:rPr>
                <w:noProof/>
                <w:spacing w:val="-4"/>
              </w:rPr>
            </w:pPr>
            <w:r w:rsidRPr="00376CBB">
              <w:rPr>
                <w:noProof/>
                <w:spacing w:val="-4"/>
              </w:rPr>
              <w:t>1,414</w:t>
            </w:r>
          </w:p>
        </w:tc>
        <w:tc>
          <w:tcPr>
            <w:tcW w:w="882" w:type="dxa"/>
            <w:tcMar>
              <w:left w:w="0" w:type="dxa"/>
              <w:right w:w="0" w:type="dxa"/>
            </w:tcMar>
          </w:tcPr>
          <w:p w14:paraId="333B9940" w14:textId="77777777" w:rsidR="005A21FE" w:rsidRPr="00376CBB" w:rsidRDefault="005A21FE" w:rsidP="00376CBB">
            <w:pPr>
              <w:pStyle w:val="Text1"/>
              <w:ind w:left="0"/>
              <w:rPr>
                <w:noProof/>
                <w:spacing w:val="-4"/>
              </w:rPr>
            </w:pPr>
            <w:r w:rsidRPr="00376CBB">
              <w:rPr>
                <w:noProof/>
                <w:spacing w:val="-4"/>
              </w:rPr>
              <w:t>5,657</w:t>
            </w:r>
          </w:p>
        </w:tc>
        <w:tc>
          <w:tcPr>
            <w:tcW w:w="882" w:type="dxa"/>
            <w:tcMar>
              <w:left w:w="0" w:type="dxa"/>
              <w:right w:w="0" w:type="dxa"/>
            </w:tcMar>
          </w:tcPr>
          <w:p w14:paraId="107306EB" w14:textId="77777777" w:rsidR="005A21FE" w:rsidRPr="00376CBB" w:rsidRDefault="005A21FE" w:rsidP="00376CBB">
            <w:pPr>
              <w:pStyle w:val="Text1"/>
              <w:ind w:left="0"/>
              <w:rPr>
                <w:noProof/>
                <w:spacing w:val="-4"/>
              </w:rPr>
            </w:pPr>
            <w:r w:rsidRPr="00376CBB">
              <w:rPr>
                <w:noProof/>
                <w:spacing w:val="-4"/>
              </w:rPr>
              <w:t>4</w:t>
            </w:r>
          </w:p>
        </w:tc>
        <w:tc>
          <w:tcPr>
            <w:tcW w:w="882" w:type="dxa"/>
            <w:tcMar>
              <w:left w:w="0" w:type="dxa"/>
              <w:right w:w="0" w:type="dxa"/>
            </w:tcMar>
          </w:tcPr>
          <w:p w14:paraId="27DD109B" w14:textId="77777777" w:rsidR="005A21FE" w:rsidRPr="00376CBB" w:rsidRDefault="005A21FE" w:rsidP="00376CBB">
            <w:pPr>
              <w:pStyle w:val="Text1"/>
              <w:ind w:left="0"/>
              <w:rPr>
                <w:noProof/>
                <w:spacing w:val="-4"/>
              </w:rPr>
            </w:pPr>
            <w:r w:rsidRPr="00376CBB">
              <w:rPr>
                <w:noProof/>
                <w:spacing w:val="-4"/>
              </w:rPr>
              <w:t>2,828</w:t>
            </w:r>
          </w:p>
        </w:tc>
      </w:tr>
      <w:tr w:rsidR="005A21FE" w:rsidRPr="00376CBB" w14:paraId="266CD53E" w14:textId="77777777" w:rsidTr="00376CBB">
        <w:tc>
          <w:tcPr>
            <w:tcW w:w="1276" w:type="dxa"/>
            <w:tcMar>
              <w:left w:w="0" w:type="dxa"/>
              <w:right w:w="0" w:type="dxa"/>
            </w:tcMar>
          </w:tcPr>
          <w:p w14:paraId="426AC448" w14:textId="77777777" w:rsidR="005A21FE" w:rsidRPr="00376CBB" w:rsidRDefault="005A21FE" w:rsidP="00376CBB">
            <w:pPr>
              <w:pStyle w:val="Text1"/>
              <w:ind w:left="0"/>
              <w:rPr>
                <w:noProof/>
                <w:spacing w:val="-4"/>
              </w:rPr>
            </w:pPr>
          </w:p>
        </w:tc>
        <w:tc>
          <w:tcPr>
            <w:tcW w:w="596" w:type="dxa"/>
            <w:tcMar>
              <w:left w:w="0" w:type="dxa"/>
              <w:right w:w="0" w:type="dxa"/>
            </w:tcMar>
          </w:tcPr>
          <w:p w14:paraId="14F8C989" w14:textId="77777777" w:rsidR="005A21FE" w:rsidRPr="00376CBB" w:rsidRDefault="005A21FE" w:rsidP="00376CBB">
            <w:pPr>
              <w:pStyle w:val="Text1"/>
              <w:ind w:left="0"/>
              <w:rPr>
                <w:noProof/>
                <w:spacing w:val="-4"/>
              </w:rPr>
            </w:pPr>
            <w:r w:rsidRPr="00376CBB">
              <w:rPr>
                <w:noProof/>
                <w:spacing w:val="-4"/>
              </w:rPr>
              <w:t>1 &lt; m ≤ 3</w:t>
            </w:r>
          </w:p>
        </w:tc>
        <w:tc>
          <w:tcPr>
            <w:tcW w:w="882" w:type="dxa"/>
            <w:tcMar>
              <w:left w:w="0" w:type="dxa"/>
              <w:right w:w="0" w:type="dxa"/>
            </w:tcMar>
          </w:tcPr>
          <w:p w14:paraId="27585C45" w14:textId="77777777" w:rsidR="005A21FE" w:rsidRPr="00376CBB" w:rsidRDefault="005A21FE" w:rsidP="00376CBB">
            <w:pPr>
              <w:pStyle w:val="Text1"/>
              <w:ind w:left="0"/>
              <w:rPr>
                <w:noProof/>
                <w:spacing w:val="-4"/>
              </w:rPr>
            </w:pPr>
            <w:r w:rsidRPr="00376CBB">
              <w:rPr>
                <w:noProof/>
                <w:spacing w:val="-4"/>
              </w:rPr>
              <w:t>4,243</w:t>
            </w:r>
          </w:p>
        </w:tc>
        <w:tc>
          <w:tcPr>
            <w:tcW w:w="882" w:type="dxa"/>
            <w:tcMar>
              <w:left w:w="0" w:type="dxa"/>
              <w:right w:w="0" w:type="dxa"/>
            </w:tcMar>
          </w:tcPr>
          <w:p w14:paraId="03D89232" w14:textId="77777777" w:rsidR="005A21FE" w:rsidRPr="00376CBB" w:rsidRDefault="005A21FE" w:rsidP="00376CBB">
            <w:pPr>
              <w:pStyle w:val="Text1"/>
              <w:ind w:left="0"/>
              <w:rPr>
                <w:noProof/>
                <w:spacing w:val="-4"/>
              </w:rPr>
            </w:pPr>
            <w:r w:rsidRPr="00376CBB">
              <w:rPr>
                <w:noProof/>
                <w:spacing w:val="-4"/>
              </w:rPr>
              <w:t>3</w:t>
            </w:r>
          </w:p>
        </w:tc>
        <w:tc>
          <w:tcPr>
            <w:tcW w:w="882" w:type="dxa"/>
            <w:tcMar>
              <w:left w:w="0" w:type="dxa"/>
              <w:right w:w="0" w:type="dxa"/>
            </w:tcMar>
          </w:tcPr>
          <w:p w14:paraId="266D3473" w14:textId="77777777" w:rsidR="005A21FE" w:rsidRPr="00376CBB" w:rsidRDefault="005A21FE" w:rsidP="00376CBB">
            <w:pPr>
              <w:pStyle w:val="Text1"/>
              <w:ind w:left="0"/>
              <w:rPr>
                <w:noProof/>
                <w:spacing w:val="-4"/>
              </w:rPr>
            </w:pPr>
            <w:r w:rsidRPr="00376CBB">
              <w:rPr>
                <w:noProof/>
                <w:spacing w:val="-4"/>
              </w:rPr>
              <w:t>2,121</w:t>
            </w:r>
          </w:p>
        </w:tc>
        <w:tc>
          <w:tcPr>
            <w:tcW w:w="882" w:type="dxa"/>
            <w:tcMar>
              <w:left w:w="0" w:type="dxa"/>
              <w:right w:w="0" w:type="dxa"/>
            </w:tcMar>
          </w:tcPr>
          <w:p w14:paraId="4681E0AA" w14:textId="77777777" w:rsidR="005A21FE" w:rsidRPr="00376CBB" w:rsidRDefault="005A21FE" w:rsidP="00376CBB">
            <w:pPr>
              <w:pStyle w:val="Text1"/>
              <w:ind w:left="0"/>
              <w:rPr>
                <w:noProof/>
                <w:spacing w:val="-4"/>
              </w:rPr>
            </w:pPr>
            <w:r w:rsidRPr="00376CBB">
              <w:rPr>
                <w:noProof/>
                <w:spacing w:val="-4"/>
              </w:rPr>
              <w:t>5,657</w:t>
            </w:r>
          </w:p>
        </w:tc>
        <w:tc>
          <w:tcPr>
            <w:tcW w:w="882" w:type="dxa"/>
            <w:tcMar>
              <w:left w:w="0" w:type="dxa"/>
              <w:right w:w="0" w:type="dxa"/>
            </w:tcMar>
          </w:tcPr>
          <w:p w14:paraId="7F94BF22" w14:textId="77777777" w:rsidR="005A21FE" w:rsidRPr="00376CBB" w:rsidRDefault="005A21FE" w:rsidP="00376CBB">
            <w:pPr>
              <w:pStyle w:val="Text1"/>
              <w:ind w:left="0"/>
              <w:rPr>
                <w:noProof/>
                <w:spacing w:val="-4"/>
              </w:rPr>
            </w:pPr>
            <w:r w:rsidRPr="00376CBB">
              <w:rPr>
                <w:noProof/>
                <w:spacing w:val="-4"/>
              </w:rPr>
              <w:t>4</w:t>
            </w:r>
          </w:p>
        </w:tc>
        <w:tc>
          <w:tcPr>
            <w:tcW w:w="882" w:type="dxa"/>
            <w:tcMar>
              <w:left w:w="0" w:type="dxa"/>
              <w:right w:w="0" w:type="dxa"/>
            </w:tcMar>
          </w:tcPr>
          <w:p w14:paraId="08757257" w14:textId="77777777" w:rsidR="005A21FE" w:rsidRPr="00376CBB" w:rsidRDefault="005A21FE" w:rsidP="00376CBB">
            <w:pPr>
              <w:pStyle w:val="Text1"/>
              <w:ind w:left="0"/>
              <w:rPr>
                <w:noProof/>
                <w:spacing w:val="-4"/>
              </w:rPr>
            </w:pPr>
            <w:r w:rsidRPr="00376CBB">
              <w:rPr>
                <w:noProof/>
                <w:spacing w:val="-4"/>
              </w:rPr>
              <w:t>2,828</w:t>
            </w:r>
          </w:p>
        </w:tc>
        <w:tc>
          <w:tcPr>
            <w:tcW w:w="882" w:type="dxa"/>
            <w:tcMar>
              <w:left w:w="0" w:type="dxa"/>
              <w:right w:w="0" w:type="dxa"/>
            </w:tcMar>
          </w:tcPr>
          <w:p w14:paraId="1CB0382B" w14:textId="77777777" w:rsidR="005A21FE" w:rsidRPr="00376CBB" w:rsidRDefault="005A21FE" w:rsidP="00376CBB">
            <w:pPr>
              <w:pStyle w:val="Text1"/>
              <w:ind w:left="0"/>
              <w:rPr>
                <w:noProof/>
                <w:spacing w:val="-4"/>
              </w:rPr>
            </w:pPr>
            <w:r w:rsidRPr="00376CBB">
              <w:rPr>
                <w:noProof/>
                <w:spacing w:val="-4"/>
              </w:rPr>
              <w:t>16,971</w:t>
            </w:r>
          </w:p>
        </w:tc>
        <w:tc>
          <w:tcPr>
            <w:tcW w:w="882" w:type="dxa"/>
            <w:tcMar>
              <w:left w:w="0" w:type="dxa"/>
              <w:right w:w="0" w:type="dxa"/>
            </w:tcMar>
          </w:tcPr>
          <w:p w14:paraId="2F6784D1" w14:textId="77777777" w:rsidR="005A21FE" w:rsidRPr="00376CBB" w:rsidRDefault="005A21FE" w:rsidP="00376CBB">
            <w:pPr>
              <w:pStyle w:val="Text1"/>
              <w:ind w:left="0"/>
              <w:rPr>
                <w:noProof/>
                <w:spacing w:val="-4"/>
              </w:rPr>
            </w:pPr>
            <w:r w:rsidRPr="00376CBB">
              <w:rPr>
                <w:noProof/>
                <w:spacing w:val="-4"/>
              </w:rPr>
              <w:t>12</w:t>
            </w:r>
          </w:p>
        </w:tc>
        <w:tc>
          <w:tcPr>
            <w:tcW w:w="882" w:type="dxa"/>
            <w:tcMar>
              <w:left w:w="0" w:type="dxa"/>
              <w:right w:w="0" w:type="dxa"/>
            </w:tcMar>
          </w:tcPr>
          <w:p w14:paraId="315F0C6F" w14:textId="77777777" w:rsidR="005A21FE" w:rsidRPr="00376CBB" w:rsidRDefault="005A21FE" w:rsidP="00376CBB">
            <w:pPr>
              <w:pStyle w:val="Text1"/>
              <w:ind w:left="0"/>
              <w:rPr>
                <w:noProof/>
                <w:spacing w:val="-4"/>
              </w:rPr>
            </w:pPr>
            <w:r w:rsidRPr="00376CBB">
              <w:rPr>
                <w:noProof/>
                <w:spacing w:val="-4"/>
              </w:rPr>
              <w:t>8,485</w:t>
            </w:r>
          </w:p>
        </w:tc>
      </w:tr>
      <w:tr w:rsidR="005A21FE" w:rsidRPr="00376CBB" w14:paraId="03B678AE" w14:textId="77777777" w:rsidTr="00376CBB">
        <w:tc>
          <w:tcPr>
            <w:tcW w:w="1276" w:type="dxa"/>
            <w:tcMar>
              <w:left w:w="0" w:type="dxa"/>
              <w:right w:w="0" w:type="dxa"/>
            </w:tcMar>
          </w:tcPr>
          <w:p w14:paraId="383D79F9" w14:textId="77777777" w:rsidR="005A21FE" w:rsidRPr="00376CBB" w:rsidRDefault="005A21FE" w:rsidP="00376CBB">
            <w:pPr>
              <w:pStyle w:val="Text1"/>
              <w:ind w:left="0"/>
              <w:rPr>
                <w:noProof/>
                <w:spacing w:val="-4"/>
              </w:rPr>
            </w:pPr>
          </w:p>
        </w:tc>
        <w:tc>
          <w:tcPr>
            <w:tcW w:w="596" w:type="dxa"/>
            <w:tcMar>
              <w:left w:w="0" w:type="dxa"/>
              <w:right w:w="0" w:type="dxa"/>
            </w:tcMar>
          </w:tcPr>
          <w:p w14:paraId="297D261E" w14:textId="77777777" w:rsidR="005A21FE" w:rsidRPr="00376CBB" w:rsidRDefault="005A21FE" w:rsidP="00376CBB">
            <w:pPr>
              <w:pStyle w:val="Text1"/>
              <w:ind w:left="0"/>
              <w:rPr>
                <w:noProof/>
                <w:spacing w:val="-4"/>
              </w:rPr>
            </w:pPr>
            <w:r w:rsidRPr="00376CBB">
              <w:rPr>
                <w:noProof/>
                <w:spacing w:val="-4"/>
              </w:rPr>
              <w:t>3 &lt; m ≤ 5</w:t>
            </w:r>
          </w:p>
        </w:tc>
        <w:tc>
          <w:tcPr>
            <w:tcW w:w="882" w:type="dxa"/>
            <w:tcMar>
              <w:left w:w="0" w:type="dxa"/>
              <w:right w:w="0" w:type="dxa"/>
            </w:tcMar>
          </w:tcPr>
          <w:p w14:paraId="412C0C83" w14:textId="77777777" w:rsidR="005A21FE" w:rsidRPr="00376CBB" w:rsidRDefault="005A21FE" w:rsidP="00376CBB">
            <w:pPr>
              <w:pStyle w:val="Text1"/>
              <w:ind w:left="0"/>
              <w:rPr>
                <w:noProof/>
                <w:spacing w:val="-4"/>
              </w:rPr>
            </w:pPr>
            <w:r w:rsidRPr="00376CBB">
              <w:rPr>
                <w:noProof/>
                <w:spacing w:val="-4"/>
              </w:rPr>
              <w:t>4,243</w:t>
            </w:r>
          </w:p>
        </w:tc>
        <w:tc>
          <w:tcPr>
            <w:tcW w:w="882" w:type="dxa"/>
            <w:tcMar>
              <w:left w:w="0" w:type="dxa"/>
              <w:right w:w="0" w:type="dxa"/>
            </w:tcMar>
          </w:tcPr>
          <w:p w14:paraId="51E8DF98" w14:textId="77777777" w:rsidR="005A21FE" w:rsidRPr="00376CBB" w:rsidRDefault="005A21FE" w:rsidP="00376CBB">
            <w:pPr>
              <w:pStyle w:val="Text1"/>
              <w:ind w:left="0"/>
              <w:rPr>
                <w:noProof/>
                <w:spacing w:val="-4"/>
              </w:rPr>
            </w:pPr>
            <w:r w:rsidRPr="00376CBB">
              <w:rPr>
                <w:noProof/>
                <w:spacing w:val="-4"/>
              </w:rPr>
              <w:t>3</w:t>
            </w:r>
          </w:p>
        </w:tc>
        <w:tc>
          <w:tcPr>
            <w:tcW w:w="882" w:type="dxa"/>
            <w:tcMar>
              <w:left w:w="0" w:type="dxa"/>
              <w:right w:w="0" w:type="dxa"/>
            </w:tcMar>
          </w:tcPr>
          <w:p w14:paraId="6DD6BA89" w14:textId="77777777" w:rsidR="005A21FE" w:rsidRPr="00376CBB" w:rsidRDefault="005A21FE" w:rsidP="00376CBB">
            <w:pPr>
              <w:pStyle w:val="Text1"/>
              <w:ind w:left="0"/>
              <w:rPr>
                <w:noProof/>
                <w:spacing w:val="-4"/>
              </w:rPr>
            </w:pPr>
            <w:r w:rsidRPr="00376CBB">
              <w:rPr>
                <w:noProof/>
                <w:spacing w:val="-4"/>
              </w:rPr>
              <w:t>2,121</w:t>
            </w:r>
          </w:p>
        </w:tc>
        <w:tc>
          <w:tcPr>
            <w:tcW w:w="882" w:type="dxa"/>
            <w:tcMar>
              <w:left w:w="0" w:type="dxa"/>
              <w:right w:w="0" w:type="dxa"/>
            </w:tcMar>
          </w:tcPr>
          <w:p w14:paraId="61BEFE52" w14:textId="77777777" w:rsidR="005A21FE" w:rsidRPr="00376CBB" w:rsidRDefault="005A21FE" w:rsidP="00376CBB">
            <w:pPr>
              <w:pStyle w:val="Text1"/>
              <w:ind w:left="0"/>
              <w:rPr>
                <w:noProof/>
                <w:spacing w:val="-4"/>
              </w:rPr>
            </w:pPr>
            <w:r w:rsidRPr="00376CBB">
              <w:rPr>
                <w:noProof/>
                <w:spacing w:val="-4"/>
              </w:rPr>
              <w:t>8,485</w:t>
            </w:r>
          </w:p>
        </w:tc>
        <w:tc>
          <w:tcPr>
            <w:tcW w:w="882" w:type="dxa"/>
            <w:tcMar>
              <w:left w:w="0" w:type="dxa"/>
              <w:right w:w="0" w:type="dxa"/>
            </w:tcMar>
          </w:tcPr>
          <w:p w14:paraId="772F86FF" w14:textId="77777777" w:rsidR="005A21FE" w:rsidRPr="00376CBB" w:rsidRDefault="005A21FE" w:rsidP="00376CBB">
            <w:pPr>
              <w:pStyle w:val="Text1"/>
              <w:ind w:left="0"/>
              <w:rPr>
                <w:noProof/>
                <w:spacing w:val="-4"/>
              </w:rPr>
            </w:pPr>
            <w:r w:rsidRPr="00376CBB">
              <w:rPr>
                <w:noProof/>
                <w:spacing w:val="-4"/>
              </w:rPr>
              <w:t>6</w:t>
            </w:r>
          </w:p>
        </w:tc>
        <w:tc>
          <w:tcPr>
            <w:tcW w:w="882" w:type="dxa"/>
            <w:tcMar>
              <w:left w:w="0" w:type="dxa"/>
              <w:right w:w="0" w:type="dxa"/>
            </w:tcMar>
          </w:tcPr>
          <w:p w14:paraId="755AE476" w14:textId="77777777" w:rsidR="005A21FE" w:rsidRPr="00376CBB" w:rsidRDefault="005A21FE" w:rsidP="00376CBB">
            <w:pPr>
              <w:pStyle w:val="Text1"/>
              <w:ind w:left="0"/>
              <w:rPr>
                <w:noProof/>
                <w:spacing w:val="-4"/>
              </w:rPr>
            </w:pPr>
            <w:r w:rsidRPr="00376CBB">
              <w:rPr>
                <w:noProof/>
                <w:spacing w:val="-4"/>
              </w:rPr>
              <w:t>4,243</w:t>
            </w:r>
          </w:p>
        </w:tc>
        <w:tc>
          <w:tcPr>
            <w:tcW w:w="882" w:type="dxa"/>
            <w:tcMar>
              <w:left w:w="0" w:type="dxa"/>
              <w:right w:w="0" w:type="dxa"/>
            </w:tcMar>
          </w:tcPr>
          <w:p w14:paraId="3AFB7E93" w14:textId="77777777" w:rsidR="005A21FE" w:rsidRPr="00376CBB" w:rsidRDefault="005A21FE" w:rsidP="00376CBB">
            <w:pPr>
              <w:pStyle w:val="Text1"/>
              <w:ind w:left="0"/>
              <w:rPr>
                <w:noProof/>
                <w:spacing w:val="-4"/>
              </w:rPr>
            </w:pPr>
            <w:r w:rsidRPr="00376CBB">
              <w:rPr>
                <w:noProof/>
                <w:spacing w:val="-4"/>
              </w:rPr>
              <w:t>16,971</w:t>
            </w:r>
          </w:p>
        </w:tc>
        <w:tc>
          <w:tcPr>
            <w:tcW w:w="882" w:type="dxa"/>
            <w:tcMar>
              <w:left w:w="0" w:type="dxa"/>
              <w:right w:w="0" w:type="dxa"/>
            </w:tcMar>
          </w:tcPr>
          <w:p w14:paraId="5D33A30B" w14:textId="77777777" w:rsidR="005A21FE" w:rsidRPr="00376CBB" w:rsidRDefault="005A21FE" w:rsidP="00376CBB">
            <w:pPr>
              <w:pStyle w:val="Text1"/>
              <w:ind w:left="0"/>
              <w:rPr>
                <w:noProof/>
                <w:spacing w:val="-4"/>
              </w:rPr>
            </w:pPr>
            <w:r w:rsidRPr="00376CBB">
              <w:rPr>
                <w:noProof/>
                <w:spacing w:val="-4"/>
              </w:rPr>
              <w:t>12</w:t>
            </w:r>
          </w:p>
        </w:tc>
        <w:tc>
          <w:tcPr>
            <w:tcW w:w="882" w:type="dxa"/>
            <w:tcMar>
              <w:left w:w="0" w:type="dxa"/>
              <w:right w:w="0" w:type="dxa"/>
            </w:tcMar>
          </w:tcPr>
          <w:p w14:paraId="2102CE71" w14:textId="77777777" w:rsidR="005A21FE" w:rsidRPr="00376CBB" w:rsidRDefault="005A21FE" w:rsidP="00376CBB">
            <w:pPr>
              <w:pStyle w:val="Text1"/>
              <w:ind w:left="0"/>
              <w:rPr>
                <w:noProof/>
                <w:spacing w:val="-4"/>
              </w:rPr>
            </w:pPr>
            <w:r w:rsidRPr="00376CBB">
              <w:rPr>
                <w:noProof/>
                <w:spacing w:val="-4"/>
              </w:rPr>
              <w:t>8,485</w:t>
            </w:r>
          </w:p>
        </w:tc>
      </w:tr>
      <w:tr w:rsidR="005A21FE" w:rsidRPr="00376CBB" w14:paraId="31774729" w14:textId="77777777" w:rsidTr="00376CBB">
        <w:tc>
          <w:tcPr>
            <w:tcW w:w="1276" w:type="dxa"/>
            <w:tcMar>
              <w:left w:w="0" w:type="dxa"/>
              <w:right w:w="0" w:type="dxa"/>
            </w:tcMar>
          </w:tcPr>
          <w:p w14:paraId="0A406476" w14:textId="77777777" w:rsidR="005A21FE" w:rsidRPr="00376CBB" w:rsidRDefault="005A21FE" w:rsidP="00376CBB">
            <w:pPr>
              <w:pStyle w:val="Text1"/>
              <w:ind w:left="0"/>
              <w:rPr>
                <w:noProof/>
                <w:spacing w:val="-4"/>
              </w:rPr>
            </w:pPr>
          </w:p>
        </w:tc>
        <w:tc>
          <w:tcPr>
            <w:tcW w:w="596" w:type="dxa"/>
            <w:tcMar>
              <w:left w:w="0" w:type="dxa"/>
              <w:right w:w="0" w:type="dxa"/>
            </w:tcMar>
          </w:tcPr>
          <w:p w14:paraId="635AADA6" w14:textId="77777777" w:rsidR="005A21FE" w:rsidRPr="00376CBB" w:rsidRDefault="005A21FE" w:rsidP="00376CBB">
            <w:pPr>
              <w:pStyle w:val="Text1"/>
              <w:ind w:left="0"/>
              <w:rPr>
                <w:noProof/>
                <w:spacing w:val="-4"/>
              </w:rPr>
            </w:pPr>
            <w:r w:rsidRPr="00376CBB">
              <w:rPr>
                <w:noProof/>
                <w:spacing w:val="-4"/>
              </w:rPr>
              <w:t>5 &lt; m ≤ 10</w:t>
            </w:r>
          </w:p>
        </w:tc>
        <w:tc>
          <w:tcPr>
            <w:tcW w:w="882" w:type="dxa"/>
            <w:tcMar>
              <w:left w:w="0" w:type="dxa"/>
              <w:right w:w="0" w:type="dxa"/>
            </w:tcMar>
          </w:tcPr>
          <w:p w14:paraId="28C4AEA5" w14:textId="77777777" w:rsidR="005A21FE" w:rsidRPr="00376CBB" w:rsidRDefault="005A21FE" w:rsidP="00376CBB">
            <w:pPr>
              <w:pStyle w:val="Text1"/>
              <w:ind w:left="0"/>
              <w:rPr>
                <w:noProof/>
                <w:spacing w:val="-4"/>
              </w:rPr>
            </w:pPr>
            <w:r w:rsidRPr="00376CBB">
              <w:rPr>
                <w:noProof/>
                <w:spacing w:val="-4"/>
              </w:rPr>
              <w:t>8,485</w:t>
            </w:r>
          </w:p>
        </w:tc>
        <w:tc>
          <w:tcPr>
            <w:tcW w:w="882" w:type="dxa"/>
            <w:tcMar>
              <w:left w:w="0" w:type="dxa"/>
              <w:right w:w="0" w:type="dxa"/>
            </w:tcMar>
          </w:tcPr>
          <w:p w14:paraId="1C6CB4A7" w14:textId="77777777" w:rsidR="005A21FE" w:rsidRPr="00376CBB" w:rsidRDefault="005A21FE" w:rsidP="00376CBB">
            <w:pPr>
              <w:pStyle w:val="Text1"/>
              <w:ind w:left="0"/>
              <w:rPr>
                <w:noProof/>
                <w:spacing w:val="-4"/>
              </w:rPr>
            </w:pPr>
            <w:r w:rsidRPr="00376CBB">
              <w:rPr>
                <w:noProof/>
                <w:spacing w:val="-4"/>
              </w:rPr>
              <w:t>6</w:t>
            </w:r>
          </w:p>
        </w:tc>
        <w:tc>
          <w:tcPr>
            <w:tcW w:w="882" w:type="dxa"/>
            <w:tcMar>
              <w:left w:w="0" w:type="dxa"/>
              <w:right w:w="0" w:type="dxa"/>
            </w:tcMar>
          </w:tcPr>
          <w:p w14:paraId="115B33CD" w14:textId="77777777" w:rsidR="005A21FE" w:rsidRPr="00376CBB" w:rsidRDefault="005A21FE" w:rsidP="00376CBB">
            <w:pPr>
              <w:pStyle w:val="Text1"/>
              <w:ind w:left="0"/>
              <w:rPr>
                <w:noProof/>
                <w:spacing w:val="-4"/>
              </w:rPr>
            </w:pPr>
            <w:r w:rsidRPr="00376CBB">
              <w:rPr>
                <w:noProof/>
                <w:spacing w:val="-4"/>
              </w:rPr>
              <w:t>4,243</w:t>
            </w:r>
          </w:p>
        </w:tc>
        <w:tc>
          <w:tcPr>
            <w:tcW w:w="882" w:type="dxa"/>
            <w:tcMar>
              <w:left w:w="0" w:type="dxa"/>
              <w:right w:w="0" w:type="dxa"/>
            </w:tcMar>
          </w:tcPr>
          <w:p w14:paraId="72DEFDBC" w14:textId="77777777" w:rsidR="005A21FE" w:rsidRPr="00376CBB" w:rsidRDefault="005A21FE" w:rsidP="00376CBB">
            <w:pPr>
              <w:pStyle w:val="Text1"/>
              <w:ind w:left="0"/>
              <w:rPr>
                <w:noProof/>
                <w:spacing w:val="-4"/>
              </w:rPr>
            </w:pPr>
            <w:r w:rsidRPr="00376CBB">
              <w:rPr>
                <w:noProof/>
                <w:spacing w:val="-4"/>
              </w:rPr>
              <w:t>16,971</w:t>
            </w:r>
          </w:p>
        </w:tc>
        <w:tc>
          <w:tcPr>
            <w:tcW w:w="882" w:type="dxa"/>
            <w:tcMar>
              <w:left w:w="0" w:type="dxa"/>
              <w:right w:w="0" w:type="dxa"/>
            </w:tcMar>
          </w:tcPr>
          <w:p w14:paraId="6FB91353" w14:textId="77777777" w:rsidR="005A21FE" w:rsidRPr="00376CBB" w:rsidRDefault="005A21FE" w:rsidP="00376CBB">
            <w:pPr>
              <w:pStyle w:val="Text1"/>
              <w:ind w:left="0"/>
              <w:rPr>
                <w:noProof/>
                <w:spacing w:val="-4"/>
              </w:rPr>
            </w:pPr>
            <w:r w:rsidRPr="00376CBB">
              <w:rPr>
                <w:noProof/>
                <w:spacing w:val="-4"/>
              </w:rPr>
              <w:t>12</w:t>
            </w:r>
          </w:p>
        </w:tc>
        <w:tc>
          <w:tcPr>
            <w:tcW w:w="882" w:type="dxa"/>
            <w:tcMar>
              <w:left w:w="0" w:type="dxa"/>
              <w:right w:w="0" w:type="dxa"/>
            </w:tcMar>
          </w:tcPr>
          <w:p w14:paraId="2A274513" w14:textId="77777777" w:rsidR="005A21FE" w:rsidRPr="00376CBB" w:rsidRDefault="005A21FE" w:rsidP="00376CBB">
            <w:pPr>
              <w:pStyle w:val="Text1"/>
              <w:ind w:left="0"/>
              <w:rPr>
                <w:noProof/>
                <w:spacing w:val="-4"/>
              </w:rPr>
            </w:pPr>
            <w:r w:rsidRPr="00376CBB">
              <w:rPr>
                <w:noProof/>
                <w:spacing w:val="-4"/>
              </w:rPr>
              <w:t>8,485</w:t>
            </w:r>
          </w:p>
        </w:tc>
        <w:tc>
          <w:tcPr>
            <w:tcW w:w="882" w:type="dxa"/>
            <w:tcMar>
              <w:left w:w="0" w:type="dxa"/>
              <w:right w:w="0" w:type="dxa"/>
            </w:tcMar>
          </w:tcPr>
          <w:p w14:paraId="3F91AF5C" w14:textId="77777777" w:rsidR="005A21FE" w:rsidRPr="00376CBB" w:rsidRDefault="005A21FE" w:rsidP="00376CBB">
            <w:pPr>
              <w:pStyle w:val="Text1"/>
              <w:ind w:left="0"/>
              <w:rPr>
                <w:noProof/>
                <w:spacing w:val="-4"/>
              </w:rPr>
            </w:pPr>
            <w:r w:rsidRPr="00376CBB">
              <w:rPr>
                <w:noProof/>
                <w:spacing w:val="-4"/>
              </w:rPr>
              <w:t>33,941</w:t>
            </w:r>
          </w:p>
        </w:tc>
        <w:tc>
          <w:tcPr>
            <w:tcW w:w="882" w:type="dxa"/>
            <w:tcMar>
              <w:left w:w="0" w:type="dxa"/>
              <w:right w:w="0" w:type="dxa"/>
            </w:tcMar>
          </w:tcPr>
          <w:p w14:paraId="530144DF" w14:textId="77777777" w:rsidR="005A21FE" w:rsidRPr="00376CBB" w:rsidRDefault="005A21FE" w:rsidP="00376CBB">
            <w:pPr>
              <w:pStyle w:val="Text1"/>
              <w:ind w:left="0"/>
              <w:rPr>
                <w:noProof/>
                <w:spacing w:val="-4"/>
              </w:rPr>
            </w:pPr>
            <w:r w:rsidRPr="00376CBB">
              <w:rPr>
                <w:noProof/>
                <w:spacing w:val="-4"/>
              </w:rPr>
              <w:t>24</w:t>
            </w:r>
          </w:p>
        </w:tc>
        <w:tc>
          <w:tcPr>
            <w:tcW w:w="882" w:type="dxa"/>
            <w:tcMar>
              <w:left w:w="0" w:type="dxa"/>
              <w:right w:w="0" w:type="dxa"/>
            </w:tcMar>
          </w:tcPr>
          <w:p w14:paraId="72BC00CA" w14:textId="77777777" w:rsidR="005A21FE" w:rsidRPr="00376CBB" w:rsidRDefault="005A21FE" w:rsidP="00376CBB">
            <w:pPr>
              <w:pStyle w:val="Text1"/>
              <w:ind w:left="0"/>
              <w:rPr>
                <w:noProof/>
                <w:spacing w:val="-4"/>
              </w:rPr>
            </w:pPr>
            <w:r w:rsidRPr="00376CBB">
              <w:rPr>
                <w:noProof/>
                <w:spacing w:val="-4"/>
              </w:rPr>
              <w:t>16,971</w:t>
            </w:r>
          </w:p>
        </w:tc>
      </w:tr>
      <w:tr w:rsidR="005A21FE" w:rsidRPr="00376CBB" w14:paraId="66F262CC" w14:textId="77777777" w:rsidTr="00376CBB">
        <w:tc>
          <w:tcPr>
            <w:tcW w:w="1276" w:type="dxa"/>
            <w:tcMar>
              <w:left w:w="0" w:type="dxa"/>
              <w:right w:w="0" w:type="dxa"/>
            </w:tcMar>
          </w:tcPr>
          <w:p w14:paraId="47F1BA73" w14:textId="77777777" w:rsidR="005A21FE" w:rsidRPr="00376CBB" w:rsidRDefault="005A21FE" w:rsidP="00376CBB">
            <w:pPr>
              <w:pStyle w:val="Text1"/>
              <w:ind w:left="0"/>
              <w:rPr>
                <w:noProof/>
                <w:spacing w:val="-4"/>
              </w:rPr>
            </w:pPr>
          </w:p>
        </w:tc>
        <w:tc>
          <w:tcPr>
            <w:tcW w:w="596" w:type="dxa"/>
            <w:tcMar>
              <w:left w:w="0" w:type="dxa"/>
              <w:right w:w="0" w:type="dxa"/>
            </w:tcMar>
          </w:tcPr>
          <w:p w14:paraId="1F8A9D5A" w14:textId="77777777" w:rsidR="005A21FE" w:rsidRPr="00376CBB" w:rsidRDefault="005A21FE" w:rsidP="00376CBB">
            <w:pPr>
              <w:pStyle w:val="Text1"/>
              <w:ind w:left="0"/>
              <w:rPr>
                <w:noProof/>
                <w:spacing w:val="-4"/>
              </w:rPr>
            </w:pPr>
            <w:r w:rsidRPr="00376CBB">
              <w:rPr>
                <w:noProof/>
                <w:spacing w:val="-4"/>
              </w:rPr>
              <w:t>m &gt; 10</w:t>
            </w:r>
          </w:p>
        </w:tc>
        <w:tc>
          <w:tcPr>
            <w:tcW w:w="882" w:type="dxa"/>
            <w:tcMar>
              <w:left w:w="0" w:type="dxa"/>
              <w:right w:w="0" w:type="dxa"/>
            </w:tcMar>
          </w:tcPr>
          <w:p w14:paraId="23C35BCA" w14:textId="77777777" w:rsidR="005A21FE" w:rsidRPr="00376CBB" w:rsidRDefault="005A21FE" w:rsidP="00376CBB">
            <w:pPr>
              <w:pStyle w:val="Text1"/>
              <w:ind w:left="0"/>
              <w:rPr>
                <w:noProof/>
                <w:spacing w:val="-4"/>
              </w:rPr>
            </w:pPr>
            <w:r w:rsidRPr="00376CBB">
              <w:rPr>
                <w:noProof/>
                <w:spacing w:val="-4"/>
              </w:rPr>
              <w:t>8,485</w:t>
            </w:r>
          </w:p>
        </w:tc>
        <w:tc>
          <w:tcPr>
            <w:tcW w:w="882" w:type="dxa"/>
            <w:tcMar>
              <w:left w:w="0" w:type="dxa"/>
              <w:right w:w="0" w:type="dxa"/>
            </w:tcMar>
          </w:tcPr>
          <w:p w14:paraId="18A522E9" w14:textId="77777777" w:rsidR="005A21FE" w:rsidRPr="00376CBB" w:rsidRDefault="005A21FE" w:rsidP="00376CBB">
            <w:pPr>
              <w:pStyle w:val="Text1"/>
              <w:ind w:left="0"/>
              <w:rPr>
                <w:noProof/>
                <w:spacing w:val="-4"/>
              </w:rPr>
            </w:pPr>
            <w:r w:rsidRPr="00376CBB">
              <w:rPr>
                <w:noProof/>
                <w:spacing w:val="-4"/>
              </w:rPr>
              <w:t>6</w:t>
            </w:r>
          </w:p>
        </w:tc>
        <w:tc>
          <w:tcPr>
            <w:tcW w:w="882" w:type="dxa"/>
            <w:tcMar>
              <w:left w:w="0" w:type="dxa"/>
              <w:right w:w="0" w:type="dxa"/>
            </w:tcMar>
          </w:tcPr>
          <w:p w14:paraId="123905E9" w14:textId="77777777" w:rsidR="005A21FE" w:rsidRPr="00376CBB" w:rsidRDefault="005A21FE" w:rsidP="00376CBB">
            <w:pPr>
              <w:pStyle w:val="Text1"/>
              <w:ind w:left="0"/>
              <w:rPr>
                <w:noProof/>
                <w:spacing w:val="-4"/>
              </w:rPr>
            </w:pPr>
            <w:r w:rsidRPr="00376CBB">
              <w:rPr>
                <w:noProof/>
                <w:spacing w:val="-4"/>
              </w:rPr>
              <w:t>4,243</w:t>
            </w:r>
          </w:p>
        </w:tc>
        <w:tc>
          <w:tcPr>
            <w:tcW w:w="882" w:type="dxa"/>
            <w:tcMar>
              <w:left w:w="0" w:type="dxa"/>
              <w:right w:w="0" w:type="dxa"/>
            </w:tcMar>
          </w:tcPr>
          <w:p w14:paraId="30A47724" w14:textId="77777777" w:rsidR="005A21FE" w:rsidRPr="00376CBB" w:rsidRDefault="005A21FE" w:rsidP="00376CBB">
            <w:pPr>
              <w:pStyle w:val="Text1"/>
              <w:ind w:left="0"/>
              <w:rPr>
                <w:noProof/>
                <w:spacing w:val="-4"/>
              </w:rPr>
            </w:pPr>
            <w:r w:rsidRPr="00376CBB">
              <w:rPr>
                <w:noProof/>
                <w:spacing w:val="-4"/>
              </w:rPr>
              <w:t>28,284</w:t>
            </w:r>
          </w:p>
        </w:tc>
        <w:tc>
          <w:tcPr>
            <w:tcW w:w="882" w:type="dxa"/>
            <w:tcMar>
              <w:left w:w="0" w:type="dxa"/>
              <w:right w:w="0" w:type="dxa"/>
            </w:tcMar>
          </w:tcPr>
          <w:p w14:paraId="307B5C19" w14:textId="77777777" w:rsidR="005A21FE" w:rsidRPr="00376CBB" w:rsidRDefault="005A21FE" w:rsidP="00376CBB">
            <w:pPr>
              <w:pStyle w:val="Text1"/>
              <w:ind w:left="0"/>
              <w:rPr>
                <w:noProof/>
                <w:spacing w:val="-4"/>
              </w:rPr>
            </w:pPr>
            <w:r w:rsidRPr="00376CBB">
              <w:rPr>
                <w:noProof/>
                <w:spacing w:val="-4"/>
              </w:rPr>
              <w:t>20</w:t>
            </w:r>
          </w:p>
        </w:tc>
        <w:tc>
          <w:tcPr>
            <w:tcW w:w="882" w:type="dxa"/>
            <w:tcMar>
              <w:left w:w="0" w:type="dxa"/>
              <w:right w:w="0" w:type="dxa"/>
            </w:tcMar>
          </w:tcPr>
          <w:p w14:paraId="0788F185" w14:textId="77777777" w:rsidR="005A21FE" w:rsidRPr="00376CBB" w:rsidRDefault="005A21FE" w:rsidP="00376CBB">
            <w:pPr>
              <w:pStyle w:val="Text1"/>
              <w:ind w:left="0"/>
              <w:rPr>
                <w:noProof/>
                <w:spacing w:val="-4"/>
              </w:rPr>
            </w:pPr>
            <w:r w:rsidRPr="00376CBB">
              <w:rPr>
                <w:noProof/>
                <w:spacing w:val="-4"/>
              </w:rPr>
              <w:t>14,142</w:t>
            </w:r>
          </w:p>
        </w:tc>
        <w:tc>
          <w:tcPr>
            <w:tcW w:w="882" w:type="dxa"/>
            <w:tcMar>
              <w:left w:w="0" w:type="dxa"/>
              <w:right w:w="0" w:type="dxa"/>
            </w:tcMar>
          </w:tcPr>
          <w:p w14:paraId="2BA624E7" w14:textId="77777777" w:rsidR="005A21FE" w:rsidRPr="00376CBB" w:rsidRDefault="005A21FE" w:rsidP="00376CBB">
            <w:pPr>
              <w:pStyle w:val="Text1"/>
              <w:ind w:left="0"/>
              <w:rPr>
                <w:noProof/>
                <w:spacing w:val="-4"/>
              </w:rPr>
            </w:pPr>
            <w:r w:rsidRPr="00376CBB">
              <w:rPr>
                <w:noProof/>
                <w:spacing w:val="-4"/>
              </w:rPr>
              <w:t>33,941</w:t>
            </w:r>
          </w:p>
        </w:tc>
        <w:tc>
          <w:tcPr>
            <w:tcW w:w="882" w:type="dxa"/>
            <w:tcMar>
              <w:left w:w="0" w:type="dxa"/>
              <w:right w:w="0" w:type="dxa"/>
            </w:tcMar>
          </w:tcPr>
          <w:p w14:paraId="1FE2847E" w14:textId="77777777" w:rsidR="005A21FE" w:rsidRPr="00376CBB" w:rsidRDefault="005A21FE" w:rsidP="00376CBB">
            <w:pPr>
              <w:pStyle w:val="Text1"/>
              <w:ind w:left="0"/>
              <w:rPr>
                <w:noProof/>
                <w:spacing w:val="-4"/>
              </w:rPr>
            </w:pPr>
            <w:r w:rsidRPr="00376CBB">
              <w:rPr>
                <w:noProof/>
                <w:spacing w:val="-4"/>
              </w:rPr>
              <w:t>24</w:t>
            </w:r>
          </w:p>
        </w:tc>
        <w:tc>
          <w:tcPr>
            <w:tcW w:w="882" w:type="dxa"/>
            <w:tcMar>
              <w:left w:w="0" w:type="dxa"/>
              <w:right w:w="0" w:type="dxa"/>
            </w:tcMar>
          </w:tcPr>
          <w:p w14:paraId="50018FB1" w14:textId="77777777" w:rsidR="005A21FE" w:rsidRPr="00376CBB" w:rsidRDefault="005A21FE" w:rsidP="00376CBB">
            <w:pPr>
              <w:pStyle w:val="Text1"/>
              <w:ind w:left="0"/>
              <w:rPr>
                <w:noProof/>
                <w:spacing w:val="-4"/>
              </w:rPr>
            </w:pPr>
            <w:r w:rsidRPr="00376CBB">
              <w:rPr>
                <w:noProof/>
                <w:spacing w:val="-4"/>
              </w:rPr>
              <w:t>16,971</w:t>
            </w:r>
          </w:p>
        </w:tc>
      </w:tr>
      <w:tr w:rsidR="005A21FE" w:rsidRPr="00376CBB" w14:paraId="2EBECA6F" w14:textId="77777777" w:rsidTr="00376CBB">
        <w:tc>
          <w:tcPr>
            <w:tcW w:w="1276" w:type="dxa"/>
            <w:tcMar>
              <w:left w:w="0" w:type="dxa"/>
              <w:right w:w="0" w:type="dxa"/>
            </w:tcMar>
          </w:tcPr>
          <w:p w14:paraId="7BC522B8" w14:textId="77777777" w:rsidR="005A21FE" w:rsidRPr="00376CBB" w:rsidRDefault="005A21FE" w:rsidP="00376CBB">
            <w:pPr>
              <w:pStyle w:val="Text1"/>
              <w:ind w:left="0"/>
              <w:rPr>
                <w:noProof/>
                <w:spacing w:val="-4"/>
              </w:rPr>
            </w:pPr>
            <w:r w:rsidRPr="00376CBB">
              <w:rPr>
                <w:noProof/>
                <w:spacing w:val="-4"/>
              </w:rPr>
              <w:t>4</w:t>
            </w:r>
          </w:p>
        </w:tc>
        <w:tc>
          <w:tcPr>
            <w:tcW w:w="596" w:type="dxa"/>
            <w:tcMar>
              <w:left w:w="0" w:type="dxa"/>
              <w:right w:w="0" w:type="dxa"/>
            </w:tcMar>
          </w:tcPr>
          <w:p w14:paraId="54D1DB4A" w14:textId="77777777" w:rsidR="005A21FE" w:rsidRPr="00376CBB" w:rsidRDefault="005A21FE" w:rsidP="00376CBB">
            <w:pPr>
              <w:pStyle w:val="Text1"/>
              <w:ind w:left="0"/>
              <w:rPr>
                <w:noProof/>
                <w:spacing w:val="-4"/>
              </w:rPr>
            </w:pPr>
            <w:r w:rsidRPr="00376CBB">
              <w:rPr>
                <w:noProof/>
                <w:spacing w:val="-4"/>
              </w:rPr>
              <w:t>všetky</w:t>
            </w:r>
          </w:p>
        </w:tc>
        <w:tc>
          <w:tcPr>
            <w:tcW w:w="882" w:type="dxa"/>
            <w:tcMar>
              <w:left w:w="0" w:type="dxa"/>
              <w:right w:w="0" w:type="dxa"/>
            </w:tcMar>
          </w:tcPr>
          <w:p w14:paraId="11D675D6" w14:textId="77777777" w:rsidR="005A21FE" w:rsidRPr="00376CBB" w:rsidRDefault="005A21FE" w:rsidP="00376CBB">
            <w:pPr>
              <w:pStyle w:val="Text1"/>
              <w:ind w:left="0"/>
              <w:rPr>
                <w:noProof/>
                <w:spacing w:val="-4"/>
              </w:rPr>
            </w:pPr>
            <w:r w:rsidRPr="00376CBB">
              <w:rPr>
                <w:noProof/>
                <w:spacing w:val="-4"/>
              </w:rPr>
              <w:t>21,213</w:t>
            </w:r>
          </w:p>
        </w:tc>
        <w:tc>
          <w:tcPr>
            <w:tcW w:w="882" w:type="dxa"/>
            <w:tcMar>
              <w:left w:w="0" w:type="dxa"/>
              <w:right w:w="0" w:type="dxa"/>
            </w:tcMar>
          </w:tcPr>
          <w:p w14:paraId="6B733EF3" w14:textId="77777777" w:rsidR="005A21FE" w:rsidRPr="00376CBB" w:rsidRDefault="005A21FE" w:rsidP="00376CBB">
            <w:pPr>
              <w:pStyle w:val="Text1"/>
              <w:ind w:left="0"/>
              <w:rPr>
                <w:noProof/>
                <w:spacing w:val="-4"/>
              </w:rPr>
            </w:pPr>
            <w:r w:rsidRPr="00376CBB">
              <w:rPr>
                <w:noProof/>
                <w:spacing w:val="-4"/>
              </w:rPr>
              <w:t>15</w:t>
            </w:r>
          </w:p>
        </w:tc>
        <w:tc>
          <w:tcPr>
            <w:tcW w:w="882" w:type="dxa"/>
            <w:tcMar>
              <w:left w:w="0" w:type="dxa"/>
              <w:right w:w="0" w:type="dxa"/>
            </w:tcMar>
          </w:tcPr>
          <w:p w14:paraId="3F42D090" w14:textId="77777777" w:rsidR="005A21FE" w:rsidRPr="00376CBB" w:rsidRDefault="005A21FE" w:rsidP="00376CBB">
            <w:pPr>
              <w:pStyle w:val="Text1"/>
              <w:ind w:left="0"/>
              <w:rPr>
                <w:noProof/>
                <w:spacing w:val="-4"/>
              </w:rPr>
            </w:pPr>
            <w:r w:rsidRPr="00376CBB">
              <w:rPr>
                <w:noProof/>
                <w:spacing w:val="-4"/>
              </w:rPr>
              <w:t>10,607</w:t>
            </w:r>
          </w:p>
        </w:tc>
        <w:tc>
          <w:tcPr>
            <w:tcW w:w="882" w:type="dxa"/>
            <w:tcMar>
              <w:left w:w="0" w:type="dxa"/>
              <w:right w:w="0" w:type="dxa"/>
            </w:tcMar>
          </w:tcPr>
          <w:p w14:paraId="0147E787" w14:textId="77777777" w:rsidR="005A21FE" w:rsidRPr="00376CBB" w:rsidRDefault="005A21FE" w:rsidP="00376CBB">
            <w:pPr>
              <w:pStyle w:val="Text1"/>
              <w:ind w:left="0"/>
              <w:rPr>
                <w:noProof/>
                <w:spacing w:val="-4"/>
              </w:rPr>
            </w:pPr>
            <w:r w:rsidRPr="00376CBB">
              <w:rPr>
                <w:noProof/>
                <w:spacing w:val="-4"/>
              </w:rPr>
              <w:t>neuvádza sa</w:t>
            </w:r>
          </w:p>
        </w:tc>
        <w:tc>
          <w:tcPr>
            <w:tcW w:w="882" w:type="dxa"/>
            <w:tcMar>
              <w:left w:w="0" w:type="dxa"/>
              <w:right w:w="0" w:type="dxa"/>
            </w:tcMar>
          </w:tcPr>
          <w:p w14:paraId="3E89D6E6" w14:textId="77777777" w:rsidR="005A21FE" w:rsidRPr="00376CBB" w:rsidRDefault="005A21FE" w:rsidP="00376CBB">
            <w:pPr>
              <w:pStyle w:val="Text1"/>
              <w:ind w:left="0"/>
              <w:rPr>
                <w:noProof/>
                <w:spacing w:val="-4"/>
              </w:rPr>
            </w:pPr>
            <w:r w:rsidRPr="00376CBB">
              <w:rPr>
                <w:noProof/>
                <w:spacing w:val="-4"/>
              </w:rPr>
              <w:t>neuvádza sa</w:t>
            </w:r>
          </w:p>
        </w:tc>
        <w:tc>
          <w:tcPr>
            <w:tcW w:w="882" w:type="dxa"/>
            <w:tcMar>
              <w:left w:w="0" w:type="dxa"/>
              <w:right w:w="0" w:type="dxa"/>
            </w:tcMar>
          </w:tcPr>
          <w:p w14:paraId="4905F984" w14:textId="77777777" w:rsidR="005A21FE" w:rsidRPr="00376CBB" w:rsidRDefault="005A21FE" w:rsidP="00376CBB">
            <w:pPr>
              <w:pStyle w:val="Text1"/>
              <w:ind w:left="0"/>
              <w:rPr>
                <w:noProof/>
                <w:spacing w:val="-4"/>
              </w:rPr>
            </w:pPr>
            <w:r w:rsidRPr="00376CBB">
              <w:rPr>
                <w:noProof/>
                <w:spacing w:val="-4"/>
              </w:rPr>
              <w:t>neuvádza sa</w:t>
            </w:r>
          </w:p>
        </w:tc>
        <w:tc>
          <w:tcPr>
            <w:tcW w:w="882" w:type="dxa"/>
            <w:tcMar>
              <w:left w:w="0" w:type="dxa"/>
              <w:right w:w="0" w:type="dxa"/>
            </w:tcMar>
          </w:tcPr>
          <w:p w14:paraId="05421898" w14:textId="77777777" w:rsidR="005A21FE" w:rsidRPr="00376CBB" w:rsidRDefault="005A21FE" w:rsidP="00376CBB">
            <w:pPr>
              <w:pStyle w:val="Text1"/>
              <w:ind w:left="0"/>
              <w:rPr>
                <w:noProof/>
                <w:spacing w:val="-4"/>
              </w:rPr>
            </w:pPr>
            <w:r w:rsidRPr="00376CBB">
              <w:rPr>
                <w:noProof/>
                <w:spacing w:val="-4"/>
              </w:rPr>
              <w:t>neuvádza sa</w:t>
            </w:r>
          </w:p>
        </w:tc>
        <w:tc>
          <w:tcPr>
            <w:tcW w:w="882" w:type="dxa"/>
            <w:tcMar>
              <w:left w:w="0" w:type="dxa"/>
              <w:right w:w="0" w:type="dxa"/>
            </w:tcMar>
          </w:tcPr>
          <w:p w14:paraId="53B63850" w14:textId="77777777" w:rsidR="005A21FE" w:rsidRPr="00376CBB" w:rsidRDefault="005A21FE" w:rsidP="00376CBB">
            <w:pPr>
              <w:pStyle w:val="Text1"/>
              <w:ind w:left="0"/>
              <w:rPr>
                <w:noProof/>
                <w:spacing w:val="-4"/>
              </w:rPr>
            </w:pPr>
            <w:r w:rsidRPr="00376CBB">
              <w:rPr>
                <w:noProof/>
                <w:spacing w:val="-4"/>
              </w:rPr>
              <w:t>neuvádza sa</w:t>
            </w:r>
          </w:p>
        </w:tc>
        <w:tc>
          <w:tcPr>
            <w:tcW w:w="882" w:type="dxa"/>
            <w:tcMar>
              <w:left w:w="0" w:type="dxa"/>
              <w:right w:w="0" w:type="dxa"/>
            </w:tcMar>
          </w:tcPr>
          <w:p w14:paraId="109B3EA4" w14:textId="77777777" w:rsidR="005A21FE" w:rsidRPr="00376CBB" w:rsidRDefault="005A21FE" w:rsidP="00376CBB">
            <w:pPr>
              <w:pStyle w:val="Text1"/>
              <w:ind w:left="0"/>
              <w:rPr>
                <w:noProof/>
                <w:spacing w:val="-4"/>
              </w:rPr>
            </w:pPr>
            <w:r w:rsidRPr="00376CBB">
              <w:rPr>
                <w:noProof/>
                <w:spacing w:val="-4"/>
              </w:rPr>
              <w:t>neuvádza sa</w:t>
            </w:r>
          </w:p>
        </w:tc>
      </w:tr>
    </w:tbl>
    <w:p w14:paraId="6868C848" w14:textId="77777777" w:rsidR="005A21FE" w:rsidRPr="004F01E9" w:rsidRDefault="005A21FE" w:rsidP="005A21FE">
      <w:pPr>
        <w:pStyle w:val="Text1"/>
        <w:jc w:val="center"/>
        <w:rPr>
          <w:i/>
          <w:noProof/>
        </w:rPr>
      </w:pPr>
      <w:r w:rsidRPr="004F01E9">
        <w:rPr>
          <w:i/>
          <w:noProof/>
        </w:rPr>
        <w:t>Tabuľka 2</w:t>
      </w:r>
    </w:p>
    <w:tbl>
      <w:tblPr>
        <w:tblStyle w:val="TableGrid"/>
        <w:tblW w:w="0" w:type="auto"/>
        <w:tblInd w:w="-459" w:type="dxa"/>
        <w:tblLook w:val="04A0" w:firstRow="1" w:lastRow="0" w:firstColumn="1" w:lastColumn="0" w:noHBand="0" w:noVBand="1"/>
      </w:tblPr>
      <w:tblGrid>
        <w:gridCol w:w="1072"/>
        <w:gridCol w:w="908"/>
        <w:gridCol w:w="864"/>
        <w:gridCol w:w="863"/>
        <w:gridCol w:w="863"/>
        <w:gridCol w:w="863"/>
        <w:gridCol w:w="863"/>
        <w:gridCol w:w="863"/>
        <w:gridCol w:w="863"/>
        <w:gridCol w:w="863"/>
        <w:gridCol w:w="863"/>
      </w:tblGrid>
      <w:tr w:rsidR="005A21FE" w:rsidRPr="004F01E9" w14:paraId="12B9AD40" w14:textId="77777777" w:rsidTr="00376CBB">
        <w:tc>
          <w:tcPr>
            <w:tcW w:w="1560" w:type="dxa"/>
          </w:tcPr>
          <w:p w14:paraId="16D868B2" w14:textId="46AC4B4A" w:rsidR="005A21FE" w:rsidRPr="004F01E9" w:rsidRDefault="005A21FE" w:rsidP="005A21FE">
            <w:pPr>
              <w:pStyle w:val="Text1"/>
              <w:ind w:left="0"/>
              <w:jc w:val="center"/>
              <w:rPr>
                <w:noProof/>
              </w:rPr>
            </w:pPr>
            <w:r w:rsidRPr="004F01E9">
              <w:rPr>
                <w:noProof/>
              </w:rPr>
              <w:t>Stupeň kreditnej kvality,</w:t>
            </w:r>
            <w:r w:rsidR="004F01E9">
              <w:rPr>
                <w:noProof/>
              </w:rPr>
              <w:t xml:space="preserve"> s </w:t>
            </w:r>
            <w:r w:rsidRPr="004F01E9">
              <w:rPr>
                <w:noProof/>
              </w:rPr>
              <w:t>ktorým je spojené ratingové hodnotenie krátkodobých dlhových cenných papierov</w:t>
            </w:r>
          </w:p>
        </w:tc>
        <w:tc>
          <w:tcPr>
            <w:tcW w:w="420" w:type="dxa"/>
          </w:tcPr>
          <w:p w14:paraId="073535C8" w14:textId="4A5FF439" w:rsidR="005A21FE" w:rsidRPr="004F01E9" w:rsidRDefault="005A21FE" w:rsidP="005A21FE">
            <w:pPr>
              <w:pStyle w:val="Text1"/>
              <w:ind w:left="0"/>
              <w:jc w:val="center"/>
              <w:rPr>
                <w:noProof/>
              </w:rPr>
            </w:pPr>
            <w:r w:rsidRPr="004F01E9">
              <w:rPr>
                <w:noProof/>
              </w:rPr>
              <w:t>Zostatková splatnosť (m) vyjadrená</w:t>
            </w:r>
            <w:r w:rsidR="004F01E9">
              <w:rPr>
                <w:noProof/>
              </w:rPr>
              <w:t xml:space="preserve"> v </w:t>
            </w:r>
            <w:r w:rsidRPr="004F01E9">
              <w:rPr>
                <w:noProof/>
              </w:rPr>
              <w:t>rokoch</w:t>
            </w:r>
          </w:p>
        </w:tc>
        <w:tc>
          <w:tcPr>
            <w:tcW w:w="2590" w:type="dxa"/>
            <w:gridSpan w:val="3"/>
          </w:tcPr>
          <w:p w14:paraId="1F5CE737" w14:textId="7D31A1F8" w:rsidR="005A21FE" w:rsidRPr="004F01E9" w:rsidRDefault="005A21FE" w:rsidP="005A21FE">
            <w:pPr>
              <w:pStyle w:val="Text1"/>
              <w:ind w:left="0"/>
              <w:jc w:val="center"/>
              <w:rPr>
                <w:noProof/>
              </w:rPr>
            </w:pPr>
            <w:r w:rsidRPr="004F01E9">
              <w:rPr>
                <w:noProof/>
              </w:rPr>
              <w:t>Úpravy</w:t>
            </w:r>
            <w:r w:rsidR="004F01E9">
              <w:rPr>
                <w:noProof/>
              </w:rPr>
              <w:t xml:space="preserve"> z </w:t>
            </w:r>
            <w:r w:rsidRPr="004F01E9">
              <w:rPr>
                <w:noProof/>
              </w:rPr>
              <w:t>dôvodu volatility pre dlhové cenné papiere emitované subjektmi uvedenými</w:t>
            </w:r>
            <w:r w:rsidR="004F01E9">
              <w:rPr>
                <w:noProof/>
              </w:rPr>
              <w:t xml:space="preserve"> v </w:t>
            </w:r>
            <w:r w:rsidRPr="004F01E9">
              <w:rPr>
                <w:noProof/>
              </w:rPr>
              <w:t>článku 197 ods. 1 písm. b)</w:t>
            </w:r>
            <w:r w:rsidR="004F01E9">
              <w:rPr>
                <w:noProof/>
              </w:rPr>
              <w:t xml:space="preserve"> s </w:t>
            </w:r>
            <w:r w:rsidRPr="004F01E9">
              <w:rPr>
                <w:noProof/>
              </w:rPr>
              <w:t>krátkodobým ratingovým hodnotením</w:t>
            </w:r>
          </w:p>
        </w:tc>
        <w:tc>
          <w:tcPr>
            <w:tcW w:w="2589" w:type="dxa"/>
            <w:gridSpan w:val="3"/>
          </w:tcPr>
          <w:p w14:paraId="4A1EED3D" w14:textId="584514EF" w:rsidR="005A21FE" w:rsidRPr="004F01E9" w:rsidRDefault="005A21FE" w:rsidP="005A21FE">
            <w:pPr>
              <w:pStyle w:val="Text1"/>
              <w:ind w:left="0"/>
              <w:jc w:val="center"/>
              <w:rPr>
                <w:noProof/>
              </w:rPr>
            </w:pPr>
            <w:r w:rsidRPr="004F01E9">
              <w:rPr>
                <w:noProof/>
              </w:rPr>
              <w:t>Úpravy</w:t>
            </w:r>
            <w:r w:rsidR="004F01E9">
              <w:rPr>
                <w:noProof/>
              </w:rPr>
              <w:t xml:space="preserve"> z </w:t>
            </w:r>
            <w:r w:rsidRPr="004F01E9">
              <w:rPr>
                <w:noProof/>
              </w:rPr>
              <w:t>dôvodu volatility pre dlhové cenné papiere emitované subjektmi uvedenými</w:t>
            </w:r>
            <w:r w:rsidR="004F01E9">
              <w:rPr>
                <w:noProof/>
              </w:rPr>
              <w:t xml:space="preserve"> v </w:t>
            </w:r>
            <w:r w:rsidRPr="004F01E9">
              <w:rPr>
                <w:noProof/>
              </w:rPr>
              <w:t>článku 197 ods. 1 písm. c)</w:t>
            </w:r>
            <w:r w:rsidR="004F01E9">
              <w:rPr>
                <w:noProof/>
              </w:rPr>
              <w:t xml:space="preserve"> a </w:t>
            </w:r>
            <w:r w:rsidRPr="004F01E9">
              <w:rPr>
                <w:noProof/>
              </w:rPr>
              <w:t>d)</w:t>
            </w:r>
            <w:r w:rsidR="004F01E9">
              <w:rPr>
                <w:noProof/>
              </w:rPr>
              <w:t xml:space="preserve"> s </w:t>
            </w:r>
            <w:r w:rsidRPr="004F01E9">
              <w:rPr>
                <w:noProof/>
              </w:rPr>
              <w:t>krátkodobým ratingovým hodnotením</w:t>
            </w:r>
          </w:p>
        </w:tc>
        <w:tc>
          <w:tcPr>
            <w:tcW w:w="2589" w:type="dxa"/>
            <w:gridSpan w:val="3"/>
          </w:tcPr>
          <w:p w14:paraId="1F802936" w14:textId="4604A87E" w:rsidR="005A21FE" w:rsidRPr="004F01E9" w:rsidRDefault="005A21FE" w:rsidP="005A21FE">
            <w:pPr>
              <w:pStyle w:val="Text1"/>
              <w:ind w:left="0"/>
              <w:jc w:val="center"/>
              <w:rPr>
                <w:noProof/>
              </w:rPr>
            </w:pPr>
            <w:r w:rsidRPr="004F01E9">
              <w:rPr>
                <w:noProof/>
              </w:rPr>
              <w:t>Úpravy</w:t>
            </w:r>
            <w:r w:rsidR="004F01E9">
              <w:rPr>
                <w:noProof/>
              </w:rPr>
              <w:t xml:space="preserve"> z </w:t>
            </w:r>
            <w:r w:rsidRPr="004F01E9">
              <w:rPr>
                <w:noProof/>
              </w:rPr>
              <w:t>dôvodu volatility pre sekuritizačné pozície ktoré spĺňajú kritériá uvedené</w:t>
            </w:r>
            <w:r w:rsidR="004F01E9">
              <w:rPr>
                <w:noProof/>
              </w:rPr>
              <w:t xml:space="preserve"> v </w:t>
            </w:r>
            <w:r w:rsidRPr="004F01E9">
              <w:rPr>
                <w:noProof/>
              </w:rPr>
              <w:t>článku 197 ods. 1 písm. h)</w:t>
            </w:r>
            <w:r w:rsidR="004F01E9">
              <w:rPr>
                <w:noProof/>
              </w:rPr>
              <w:t xml:space="preserve"> s </w:t>
            </w:r>
            <w:r w:rsidRPr="004F01E9">
              <w:rPr>
                <w:noProof/>
              </w:rPr>
              <w:t>krátkodobým ratingovým hodnotením</w:t>
            </w:r>
          </w:p>
        </w:tc>
      </w:tr>
      <w:tr w:rsidR="005A21FE" w:rsidRPr="004F01E9" w14:paraId="36838A5A" w14:textId="77777777" w:rsidTr="00376CBB">
        <w:tc>
          <w:tcPr>
            <w:tcW w:w="1560" w:type="dxa"/>
          </w:tcPr>
          <w:p w14:paraId="78381F4D" w14:textId="77777777" w:rsidR="005A21FE" w:rsidRPr="004F01E9" w:rsidRDefault="005A21FE" w:rsidP="005A21FE">
            <w:pPr>
              <w:pStyle w:val="Text1"/>
              <w:ind w:left="0"/>
              <w:rPr>
                <w:noProof/>
              </w:rPr>
            </w:pPr>
          </w:p>
        </w:tc>
        <w:tc>
          <w:tcPr>
            <w:tcW w:w="420" w:type="dxa"/>
          </w:tcPr>
          <w:p w14:paraId="1C15CFE0" w14:textId="77777777" w:rsidR="005A21FE" w:rsidRPr="004F01E9" w:rsidRDefault="005A21FE" w:rsidP="005A21FE">
            <w:pPr>
              <w:pStyle w:val="Text1"/>
              <w:ind w:left="0"/>
              <w:rPr>
                <w:noProof/>
              </w:rPr>
            </w:pPr>
          </w:p>
        </w:tc>
        <w:tc>
          <w:tcPr>
            <w:tcW w:w="864" w:type="dxa"/>
          </w:tcPr>
          <w:p w14:paraId="0BD48471" w14:textId="187EFD69" w:rsidR="005A21FE" w:rsidRPr="004F01E9" w:rsidRDefault="005A21FE" w:rsidP="005A21FE">
            <w:pPr>
              <w:pStyle w:val="Text1"/>
              <w:ind w:left="0"/>
              <w:rPr>
                <w:noProof/>
              </w:rPr>
            </w:pPr>
            <w:r w:rsidRPr="004F01E9">
              <w:rPr>
                <w:noProof/>
              </w:rPr>
              <w:t>20-dňová doba na zatvorenie pozície (v</w:t>
            </w:r>
            <w:r w:rsidR="004F01E9">
              <w:rPr>
                <w:noProof/>
              </w:rPr>
              <w:t> %</w:t>
            </w:r>
            <w:r w:rsidRPr="004F01E9">
              <w:rPr>
                <w:noProof/>
              </w:rPr>
              <w:t>)</w:t>
            </w:r>
          </w:p>
        </w:tc>
        <w:tc>
          <w:tcPr>
            <w:tcW w:w="863" w:type="dxa"/>
          </w:tcPr>
          <w:p w14:paraId="72E9A223" w14:textId="6B512A5D" w:rsidR="005A21FE" w:rsidRPr="004F01E9" w:rsidRDefault="005A21FE" w:rsidP="005A21FE">
            <w:pPr>
              <w:pStyle w:val="Text1"/>
              <w:ind w:left="0"/>
              <w:rPr>
                <w:noProof/>
              </w:rPr>
            </w:pPr>
            <w:r w:rsidRPr="004F01E9">
              <w:rPr>
                <w:noProof/>
              </w:rPr>
              <w:t>10-dňová doba na zatvorenie pozície (v</w:t>
            </w:r>
            <w:r w:rsidR="004F01E9">
              <w:rPr>
                <w:noProof/>
              </w:rPr>
              <w:t> %</w:t>
            </w:r>
            <w:r w:rsidRPr="004F01E9">
              <w:rPr>
                <w:noProof/>
              </w:rPr>
              <w:t>)</w:t>
            </w:r>
          </w:p>
        </w:tc>
        <w:tc>
          <w:tcPr>
            <w:tcW w:w="863" w:type="dxa"/>
          </w:tcPr>
          <w:p w14:paraId="07FE16AC" w14:textId="76A4DA80" w:rsidR="005A21FE" w:rsidRPr="004F01E9" w:rsidRDefault="005A21FE" w:rsidP="005A21FE">
            <w:pPr>
              <w:pStyle w:val="Text1"/>
              <w:ind w:left="0"/>
              <w:rPr>
                <w:noProof/>
              </w:rPr>
            </w:pPr>
            <w:r w:rsidRPr="004F01E9">
              <w:rPr>
                <w:noProof/>
              </w:rPr>
              <w:t>5-dňová doba na zatvorenie pozície (v</w:t>
            </w:r>
            <w:r w:rsidR="004F01E9">
              <w:rPr>
                <w:noProof/>
              </w:rPr>
              <w:t> %</w:t>
            </w:r>
            <w:r w:rsidRPr="004F01E9">
              <w:rPr>
                <w:noProof/>
              </w:rPr>
              <w:t>)</w:t>
            </w:r>
          </w:p>
        </w:tc>
        <w:tc>
          <w:tcPr>
            <w:tcW w:w="863" w:type="dxa"/>
          </w:tcPr>
          <w:p w14:paraId="39B88500" w14:textId="3F050B73" w:rsidR="005A21FE" w:rsidRPr="004F01E9" w:rsidRDefault="005A21FE" w:rsidP="005A21FE">
            <w:pPr>
              <w:pStyle w:val="Text1"/>
              <w:ind w:left="0"/>
              <w:rPr>
                <w:noProof/>
              </w:rPr>
            </w:pPr>
            <w:r w:rsidRPr="004F01E9">
              <w:rPr>
                <w:noProof/>
              </w:rPr>
              <w:t>20-dňová doba na zatvorenie pozície (v</w:t>
            </w:r>
            <w:r w:rsidR="004F01E9">
              <w:rPr>
                <w:noProof/>
              </w:rPr>
              <w:t> %</w:t>
            </w:r>
            <w:r w:rsidRPr="004F01E9">
              <w:rPr>
                <w:noProof/>
              </w:rPr>
              <w:t>)</w:t>
            </w:r>
          </w:p>
        </w:tc>
        <w:tc>
          <w:tcPr>
            <w:tcW w:w="863" w:type="dxa"/>
          </w:tcPr>
          <w:p w14:paraId="76D31389" w14:textId="570DCE82" w:rsidR="005A21FE" w:rsidRPr="004F01E9" w:rsidRDefault="005A21FE" w:rsidP="005A21FE">
            <w:pPr>
              <w:pStyle w:val="Text1"/>
              <w:ind w:left="0"/>
              <w:rPr>
                <w:noProof/>
              </w:rPr>
            </w:pPr>
            <w:r w:rsidRPr="004F01E9">
              <w:rPr>
                <w:noProof/>
              </w:rPr>
              <w:t>10-dňová doba na zatvorenie pozície (v</w:t>
            </w:r>
            <w:r w:rsidR="004F01E9">
              <w:rPr>
                <w:noProof/>
              </w:rPr>
              <w:t> %</w:t>
            </w:r>
            <w:r w:rsidRPr="004F01E9">
              <w:rPr>
                <w:noProof/>
              </w:rPr>
              <w:t>)</w:t>
            </w:r>
          </w:p>
        </w:tc>
        <w:tc>
          <w:tcPr>
            <w:tcW w:w="863" w:type="dxa"/>
          </w:tcPr>
          <w:p w14:paraId="1AA15400" w14:textId="7ED1E2EC" w:rsidR="005A21FE" w:rsidRPr="004F01E9" w:rsidRDefault="005A21FE" w:rsidP="005A21FE">
            <w:pPr>
              <w:pStyle w:val="Text1"/>
              <w:ind w:left="0"/>
              <w:rPr>
                <w:noProof/>
              </w:rPr>
            </w:pPr>
            <w:r w:rsidRPr="004F01E9">
              <w:rPr>
                <w:noProof/>
              </w:rPr>
              <w:t>5-dňová doba na zatvorenie pozície (v</w:t>
            </w:r>
            <w:r w:rsidR="004F01E9">
              <w:rPr>
                <w:noProof/>
              </w:rPr>
              <w:t> %</w:t>
            </w:r>
            <w:r w:rsidRPr="004F01E9">
              <w:rPr>
                <w:noProof/>
              </w:rPr>
              <w:t>)</w:t>
            </w:r>
          </w:p>
        </w:tc>
        <w:tc>
          <w:tcPr>
            <w:tcW w:w="863" w:type="dxa"/>
          </w:tcPr>
          <w:p w14:paraId="3A2046C3" w14:textId="4E6BA18D" w:rsidR="005A21FE" w:rsidRPr="004F01E9" w:rsidRDefault="005A21FE" w:rsidP="005A21FE">
            <w:pPr>
              <w:pStyle w:val="Text1"/>
              <w:ind w:left="0"/>
              <w:rPr>
                <w:noProof/>
              </w:rPr>
            </w:pPr>
            <w:r w:rsidRPr="004F01E9">
              <w:rPr>
                <w:noProof/>
              </w:rPr>
              <w:t>20-dňová doba na zatvorenie pozície (v</w:t>
            </w:r>
            <w:r w:rsidR="004F01E9">
              <w:rPr>
                <w:noProof/>
              </w:rPr>
              <w:t> %</w:t>
            </w:r>
            <w:r w:rsidRPr="004F01E9">
              <w:rPr>
                <w:noProof/>
              </w:rPr>
              <w:t>)</w:t>
            </w:r>
          </w:p>
        </w:tc>
        <w:tc>
          <w:tcPr>
            <w:tcW w:w="863" w:type="dxa"/>
          </w:tcPr>
          <w:p w14:paraId="03477A9D" w14:textId="2AD0DAEC" w:rsidR="005A21FE" w:rsidRPr="004F01E9" w:rsidRDefault="005A21FE" w:rsidP="005A21FE">
            <w:pPr>
              <w:pStyle w:val="Text1"/>
              <w:ind w:left="0"/>
              <w:rPr>
                <w:noProof/>
              </w:rPr>
            </w:pPr>
            <w:r w:rsidRPr="004F01E9">
              <w:rPr>
                <w:noProof/>
              </w:rPr>
              <w:t>10-dňová doba na zatvorenie pozície (v</w:t>
            </w:r>
            <w:r w:rsidR="004F01E9">
              <w:rPr>
                <w:noProof/>
              </w:rPr>
              <w:t> %</w:t>
            </w:r>
            <w:r w:rsidRPr="004F01E9">
              <w:rPr>
                <w:noProof/>
              </w:rPr>
              <w:t>)</w:t>
            </w:r>
          </w:p>
        </w:tc>
        <w:tc>
          <w:tcPr>
            <w:tcW w:w="863" w:type="dxa"/>
          </w:tcPr>
          <w:p w14:paraId="68378F5B" w14:textId="1836E428" w:rsidR="005A21FE" w:rsidRPr="004F01E9" w:rsidRDefault="005A21FE" w:rsidP="005A21FE">
            <w:pPr>
              <w:pStyle w:val="Text1"/>
              <w:ind w:left="0"/>
              <w:rPr>
                <w:noProof/>
              </w:rPr>
            </w:pPr>
            <w:r w:rsidRPr="004F01E9">
              <w:rPr>
                <w:noProof/>
              </w:rPr>
              <w:t>5-dňová doba na zatvorenie pozície (v</w:t>
            </w:r>
            <w:r w:rsidR="004F01E9">
              <w:rPr>
                <w:noProof/>
              </w:rPr>
              <w:t> %</w:t>
            </w:r>
            <w:r w:rsidRPr="004F01E9">
              <w:rPr>
                <w:noProof/>
              </w:rPr>
              <w:t>)</w:t>
            </w:r>
          </w:p>
        </w:tc>
      </w:tr>
      <w:tr w:rsidR="005A21FE" w:rsidRPr="004F01E9" w14:paraId="78DBC919" w14:textId="77777777" w:rsidTr="00376CBB">
        <w:tc>
          <w:tcPr>
            <w:tcW w:w="1560" w:type="dxa"/>
          </w:tcPr>
          <w:p w14:paraId="6F5F6593" w14:textId="77777777" w:rsidR="005A21FE" w:rsidRPr="004F01E9" w:rsidRDefault="005A21FE" w:rsidP="005A21FE">
            <w:pPr>
              <w:pStyle w:val="Text1"/>
              <w:ind w:left="0"/>
              <w:rPr>
                <w:noProof/>
              </w:rPr>
            </w:pPr>
            <w:r w:rsidRPr="004F01E9">
              <w:rPr>
                <w:noProof/>
              </w:rPr>
              <w:t>1</w:t>
            </w:r>
          </w:p>
        </w:tc>
        <w:tc>
          <w:tcPr>
            <w:tcW w:w="420" w:type="dxa"/>
          </w:tcPr>
          <w:p w14:paraId="39C8B229" w14:textId="77777777" w:rsidR="005A21FE" w:rsidRPr="004F01E9" w:rsidRDefault="005A21FE" w:rsidP="005A21FE">
            <w:pPr>
              <w:pStyle w:val="Text1"/>
              <w:ind w:left="0"/>
              <w:rPr>
                <w:noProof/>
              </w:rPr>
            </w:pPr>
          </w:p>
        </w:tc>
        <w:tc>
          <w:tcPr>
            <w:tcW w:w="864" w:type="dxa"/>
          </w:tcPr>
          <w:p w14:paraId="6367AF2D" w14:textId="77777777" w:rsidR="005A21FE" w:rsidRPr="004F01E9" w:rsidRDefault="005A21FE" w:rsidP="005A21FE">
            <w:pPr>
              <w:pStyle w:val="Text1"/>
              <w:ind w:left="0"/>
              <w:rPr>
                <w:noProof/>
              </w:rPr>
            </w:pPr>
            <w:r w:rsidRPr="004F01E9">
              <w:rPr>
                <w:noProof/>
              </w:rPr>
              <w:t>0,707</w:t>
            </w:r>
          </w:p>
        </w:tc>
        <w:tc>
          <w:tcPr>
            <w:tcW w:w="863" w:type="dxa"/>
          </w:tcPr>
          <w:p w14:paraId="1BB83AD9" w14:textId="77777777" w:rsidR="005A21FE" w:rsidRPr="004F01E9" w:rsidRDefault="005A21FE" w:rsidP="005A21FE">
            <w:pPr>
              <w:pStyle w:val="Text1"/>
              <w:ind w:left="0"/>
              <w:rPr>
                <w:noProof/>
              </w:rPr>
            </w:pPr>
            <w:r w:rsidRPr="004F01E9">
              <w:rPr>
                <w:noProof/>
              </w:rPr>
              <w:t>0,5</w:t>
            </w:r>
          </w:p>
        </w:tc>
        <w:tc>
          <w:tcPr>
            <w:tcW w:w="863" w:type="dxa"/>
          </w:tcPr>
          <w:p w14:paraId="05B66716" w14:textId="77777777" w:rsidR="005A21FE" w:rsidRPr="004F01E9" w:rsidRDefault="005A21FE" w:rsidP="005A21FE">
            <w:pPr>
              <w:pStyle w:val="Text1"/>
              <w:ind w:left="0"/>
              <w:rPr>
                <w:noProof/>
              </w:rPr>
            </w:pPr>
            <w:r w:rsidRPr="004F01E9">
              <w:rPr>
                <w:noProof/>
              </w:rPr>
              <w:t>0,354</w:t>
            </w:r>
          </w:p>
        </w:tc>
        <w:tc>
          <w:tcPr>
            <w:tcW w:w="863" w:type="dxa"/>
          </w:tcPr>
          <w:p w14:paraId="419D58B6" w14:textId="77777777" w:rsidR="005A21FE" w:rsidRPr="004F01E9" w:rsidRDefault="005A21FE" w:rsidP="005A21FE">
            <w:pPr>
              <w:pStyle w:val="Text1"/>
              <w:ind w:left="0"/>
              <w:rPr>
                <w:noProof/>
              </w:rPr>
            </w:pPr>
            <w:r w:rsidRPr="004F01E9">
              <w:rPr>
                <w:noProof/>
              </w:rPr>
              <w:t>1,414</w:t>
            </w:r>
          </w:p>
        </w:tc>
        <w:tc>
          <w:tcPr>
            <w:tcW w:w="863" w:type="dxa"/>
          </w:tcPr>
          <w:p w14:paraId="4C610DEA" w14:textId="77777777" w:rsidR="005A21FE" w:rsidRPr="004F01E9" w:rsidRDefault="005A21FE" w:rsidP="005A21FE">
            <w:pPr>
              <w:pStyle w:val="Text1"/>
              <w:ind w:left="0"/>
              <w:rPr>
                <w:noProof/>
              </w:rPr>
            </w:pPr>
            <w:r w:rsidRPr="004F01E9">
              <w:rPr>
                <w:noProof/>
              </w:rPr>
              <w:t>1</w:t>
            </w:r>
          </w:p>
        </w:tc>
        <w:tc>
          <w:tcPr>
            <w:tcW w:w="863" w:type="dxa"/>
          </w:tcPr>
          <w:p w14:paraId="425FB501" w14:textId="77777777" w:rsidR="005A21FE" w:rsidRPr="004F01E9" w:rsidRDefault="005A21FE" w:rsidP="005A21FE">
            <w:pPr>
              <w:pStyle w:val="Text1"/>
              <w:ind w:left="0"/>
              <w:rPr>
                <w:noProof/>
              </w:rPr>
            </w:pPr>
            <w:r w:rsidRPr="004F01E9">
              <w:rPr>
                <w:noProof/>
              </w:rPr>
              <w:t>0,707</w:t>
            </w:r>
          </w:p>
        </w:tc>
        <w:tc>
          <w:tcPr>
            <w:tcW w:w="863" w:type="dxa"/>
          </w:tcPr>
          <w:p w14:paraId="6CAFCFE3" w14:textId="77777777" w:rsidR="005A21FE" w:rsidRPr="004F01E9" w:rsidRDefault="005A21FE" w:rsidP="005A21FE">
            <w:pPr>
              <w:pStyle w:val="Text1"/>
              <w:ind w:left="0"/>
              <w:rPr>
                <w:noProof/>
              </w:rPr>
            </w:pPr>
            <w:r w:rsidRPr="004F01E9">
              <w:rPr>
                <w:noProof/>
              </w:rPr>
              <w:t>2,828</w:t>
            </w:r>
          </w:p>
        </w:tc>
        <w:tc>
          <w:tcPr>
            <w:tcW w:w="863" w:type="dxa"/>
          </w:tcPr>
          <w:p w14:paraId="2FC72037" w14:textId="77777777" w:rsidR="005A21FE" w:rsidRPr="004F01E9" w:rsidRDefault="005A21FE" w:rsidP="005A21FE">
            <w:pPr>
              <w:pStyle w:val="Text1"/>
              <w:ind w:left="0"/>
              <w:rPr>
                <w:noProof/>
              </w:rPr>
            </w:pPr>
            <w:r w:rsidRPr="004F01E9">
              <w:rPr>
                <w:noProof/>
              </w:rPr>
              <w:t>2</w:t>
            </w:r>
          </w:p>
        </w:tc>
        <w:tc>
          <w:tcPr>
            <w:tcW w:w="863" w:type="dxa"/>
          </w:tcPr>
          <w:p w14:paraId="052BB56D" w14:textId="77777777" w:rsidR="005A21FE" w:rsidRPr="004F01E9" w:rsidRDefault="005A21FE" w:rsidP="005A21FE">
            <w:pPr>
              <w:pStyle w:val="Text1"/>
              <w:ind w:left="0"/>
              <w:rPr>
                <w:noProof/>
              </w:rPr>
            </w:pPr>
            <w:r w:rsidRPr="004F01E9">
              <w:rPr>
                <w:noProof/>
              </w:rPr>
              <w:t>1,414</w:t>
            </w:r>
          </w:p>
        </w:tc>
      </w:tr>
      <w:tr w:rsidR="005A21FE" w:rsidRPr="004F01E9" w14:paraId="52DA82A1" w14:textId="77777777" w:rsidTr="00376CBB">
        <w:tc>
          <w:tcPr>
            <w:tcW w:w="1560" w:type="dxa"/>
          </w:tcPr>
          <w:p w14:paraId="22BEAE42" w14:textId="77777777" w:rsidR="005A21FE" w:rsidRPr="004F01E9" w:rsidRDefault="005A21FE" w:rsidP="005A21FE">
            <w:pPr>
              <w:pStyle w:val="Text1"/>
              <w:ind w:left="0"/>
              <w:rPr>
                <w:noProof/>
              </w:rPr>
            </w:pPr>
            <w:r w:rsidRPr="004F01E9">
              <w:rPr>
                <w:noProof/>
              </w:rPr>
              <w:t>2 – 3</w:t>
            </w:r>
          </w:p>
        </w:tc>
        <w:tc>
          <w:tcPr>
            <w:tcW w:w="420" w:type="dxa"/>
          </w:tcPr>
          <w:p w14:paraId="082FDC4B" w14:textId="77777777" w:rsidR="005A21FE" w:rsidRPr="004F01E9" w:rsidRDefault="005A21FE" w:rsidP="005A21FE">
            <w:pPr>
              <w:pStyle w:val="Text1"/>
              <w:ind w:left="0"/>
              <w:rPr>
                <w:noProof/>
              </w:rPr>
            </w:pPr>
          </w:p>
        </w:tc>
        <w:tc>
          <w:tcPr>
            <w:tcW w:w="864" w:type="dxa"/>
          </w:tcPr>
          <w:p w14:paraId="2F22D335" w14:textId="77777777" w:rsidR="005A21FE" w:rsidRPr="004F01E9" w:rsidRDefault="005A21FE" w:rsidP="005A21FE">
            <w:pPr>
              <w:pStyle w:val="Text1"/>
              <w:ind w:left="0"/>
              <w:rPr>
                <w:noProof/>
              </w:rPr>
            </w:pPr>
            <w:r w:rsidRPr="004F01E9">
              <w:rPr>
                <w:noProof/>
              </w:rPr>
              <w:t>1,414</w:t>
            </w:r>
          </w:p>
        </w:tc>
        <w:tc>
          <w:tcPr>
            <w:tcW w:w="863" w:type="dxa"/>
          </w:tcPr>
          <w:p w14:paraId="660D674D" w14:textId="77777777" w:rsidR="005A21FE" w:rsidRPr="004F01E9" w:rsidRDefault="005A21FE" w:rsidP="005A21FE">
            <w:pPr>
              <w:pStyle w:val="Text1"/>
              <w:ind w:left="0"/>
              <w:rPr>
                <w:noProof/>
              </w:rPr>
            </w:pPr>
            <w:r w:rsidRPr="004F01E9">
              <w:rPr>
                <w:noProof/>
              </w:rPr>
              <w:t>1</w:t>
            </w:r>
          </w:p>
        </w:tc>
        <w:tc>
          <w:tcPr>
            <w:tcW w:w="863" w:type="dxa"/>
          </w:tcPr>
          <w:p w14:paraId="2B40E704" w14:textId="77777777" w:rsidR="005A21FE" w:rsidRPr="004F01E9" w:rsidRDefault="005A21FE" w:rsidP="005A21FE">
            <w:pPr>
              <w:pStyle w:val="Text1"/>
              <w:ind w:left="0"/>
              <w:rPr>
                <w:noProof/>
              </w:rPr>
            </w:pPr>
            <w:r w:rsidRPr="004F01E9">
              <w:rPr>
                <w:noProof/>
              </w:rPr>
              <w:t>0,707</w:t>
            </w:r>
          </w:p>
        </w:tc>
        <w:tc>
          <w:tcPr>
            <w:tcW w:w="863" w:type="dxa"/>
          </w:tcPr>
          <w:p w14:paraId="73EB4976" w14:textId="77777777" w:rsidR="005A21FE" w:rsidRPr="004F01E9" w:rsidRDefault="005A21FE" w:rsidP="005A21FE">
            <w:pPr>
              <w:pStyle w:val="Text1"/>
              <w:ind w:left="0"/>
              <w:rPr>
                <w:noProof/>
              </w:rPr>
            </w:pPr>
            <w:r w:rsidRPr="004F01E9">
              <w:rPr>
                <w:noProof/>
              </w:rPr>
              <w:t>2,828</w:t>
            </w:r>
          </w:p>
        </w:tc>
        <w:tc>
          <w:tcPr>
            <w:tcW w:w="863" w:type="dxa"/>
          </w:tcPr>
          <w:p w14:paraId="246E18DF" w14:textId="77777777" w:rsidR="005A21FE" w:rsidRPr="004F01E9" w:rsidRDefault="005A21FE" w:rsidP="005A21FE">
            <w:pPr>
              <w:pStyle w:val="Text1"/>
              <w:ind w:left="0"/>
              <w:rPr>
                <w:noProof/>
              </w:rPr>
            </w:pPr>
            <w:r w:rsidRPr="004F01E9">
              <w:rPr>
                <w:noProof/>
              </w:rPr>
              <w:t>2</w:t>
            </w:r>
          </w:p>
        </w:tc>
        <w:tc>
          <w:tcPr>
            <w:tcW w:w="863" w:type="dxa"/>
          </w:tcPr>
          <w:p w14:paraId="2EBCF728" w14:textId="77777777" w:rsidR="005A21FE" w:rsidRPr="004F01E9" w:rsidRDefault="005A21FE" w:rsidP="005A21FE">
            <w:pPr>
              <w:pStyle w:val="Text1"/>
              <w:ind w:left="0"/>
              <w:rPr>
                <w:noProof/>
              </w:rPr>
            </w:pPr>
            <w:r w:rsidRPr="004F01E9">
              <w:rPr>
                <w:noProof/>
              </w:rPr>
              <w:t>1,414</w:t>
            </w:r>
          </w:p>
        </w:tc>
        <w:tc>
          <w:tcPr>
            <w:tcW w:w="863" w:type="dxa"/>
          </w:tcPr>
          <w:p w14:paraId="226292B3" w14:textId="77777777" w:rsidR="005A21FE" w:rsidRPr="004F01E9" w:rsidRDefault="005A21FE" w:rsidP="005A21FE">
            <w:pPr>
              <w:pStyle w:val="Text1"/>
              <w:ind w:left="0"/>
              <w:rPr>
                <w:noProof/>
              </w:rPr>
            </w:pPr>
            <w:r w:rsidRPr="004F01E9">
              <w:rPr>
                <w:noProof/>
              </w:rPr>
              <w:t>5,657</w:t>
            </w:r>
          </w:p>
        </w:tc>
        <w:tc>
          <w:tcPr>
            <w:tcW w:w="863" w:type="dxa"/>
          </w:tcPr>
          <w:p w14:paraId="3AA29659" w14:textId="77777777" w:rsidR="005A21FE" w:rsidRPr="004F01E9" w:rsidRDefault="005A21FE" w:rsidP="005A21FE">
            <w:pPr>
              <w:pStyle w:val="Text1"/>
              <w:ind w:left="0"/>
              <w:rPr>
                <w:noProof/>
              </w:rPr>
            </w:pPr>
            <w:r w:rsidRPr="004F01E9">
              <w:rPr>
                <w:noProof/>
              </w:rPr>
              <w:t>4</w:t>
            </w:r>
          </w:p>
        </w:tc>
        <w:tc>
          <w:tcPr>
            <w:tcW w:w="863" w:type="dxa"/>
          </w:tcPr>
          <w:p w14:paraId="0A6EAC74" w14:textId="77777777" w:rsidR="005A21FE" w:rsidRPr="004F01E9" w:rsidRDefault="005A21FE" w:rsidP="005A21FE">
            <w:pPr>
              <w:pStyle w:val="Text1"/>
              <w:ind w:left="0"/>
              <w:rPr>
                <w:noProof/>
              </w:rPr>
            </w:pPr>
            <w:r w:rsidRPr="004F01E9">
              <w:rPr>
                <w:noProof/>
              </w:rPr>
              <w:t>2,828</w:t>
            </w:r>
          </w:p>
        </w:tc>
      </w:tr>
    </w:tbl>
    <w:p w14:paraId="23D245F0" w14:textId="77777777" w:rsidR="005A21FE" w:rsidRPr="004F01E9" w:rsidRDefault="005A21FE" w:rsidP="005A21FE">
      <w:pPr>
        <w:pStyle w:val="Text1"/>
        <w:jc w:val="center"/>
        <w:rPr>
          <w:i/>
          <w:noProof/>
        </w:rPr>
      </w:pPr>
      <w:r w:rsidRPr="004F01E9">
        <w:rPr>
          <w:i/>
          <w:noProof/>
        </w:rPr>
        <w:t>Tabuľka 3</w:t>
      </w:r>
    </w:p>
    <w:p w14:paraId="54D1CDCC" w14:textId="77777777" w:rsidR="005A21FE" w:rsidRPr="004F01E9" w:rsidRDefault="005A21FE" w:rsidP="005A21FE">
      <w:pPr>
        <w:pStyle w:val="Text1"/>
        <w:jc w:val="center"/>
        <w:rPr>
          <w:b/>
          <w:noProof/>
        </w:rPr>
      </w:pPr>
      <w:r w:rsidRPr="004F01E9">
        <w:rPr>
          <w:b/>
          <w:noProof/>
        </w:rPr>
        <w:t>Ostatné druhy kolaterálov alebo expozícií</w:t>
      </w:r>
    </w:p>
    <w:tbl>
      <w:tblPr>
        <w:tblStyle w:val="TableGrid"/>
        <w:tblW w:w="9039" w:type="dxa"/>
        <w:tblInd w:w="850" w:type="dxa"/>
        <w:tblLayout w:type="fixed"/>
        <w:tblLook w:val="04A0" w:firstRow="1" w:lastRow="0" w:firstColumn="1" w:lastColumn="0" w:noHBand="0" w:noVBand="1"/>
      </w:tblPr>
      <w:tblGrid>
        <w:gridCol w:w="2944"/>
        <w:gridCol w:w="2693"/>
        <w:gridCol w:w="1985"/>
        <w:gridCol w:w="1417"/>
      </w:tblGrid>
      <w:tr w:rsidR="005A21FE" w:rsidRPr="004F01E9" w14:paraId="118EC8C0" w14:textId="77777777" w:rsidTr="005A21FE">
        <w:tc>
          <w:tcPr>
            <w:tcW w:w="2944" w:type="dxa"/>
          </w:tcPr>
          <w:p w14:paraId="0FD0DB23" w14:textId="77777777" w:rsidR="005A21FE" w:rsidRPr="004F01E9" w:rsidRDefault="005A21FE" w:rsidP="005A21FE">
            <w:pPr>
              <w:pStyle w:val="Text1"/>
              <w:ind w:left="0"/>
              <w:rPr>
                <w:noProof/>
              </w:rPr>
            </w:pPr>
          </w:p>
        </w:tc>
        <w:tc>
          <w:tcPr>
            <w:tcW w:w="2693" w:type="dxa"/>
          </w:tcPr>
          <w:p w14:paraId="5A7380E4" w14:textId="5CE769F1" w:rsidR="005A21FE" w:rsidRPr="004F01E9" w:rsidRDefault="005A21FE" w:rsidP="005A21FE">
            <w:pPr>
              <w:pStyle w:val="Text1"/>
              <w:ind w:left="0"/>
              <w:rPr>
                <w:noProof/>
              </w:rPr>
            </w:pPr>
            <w:r w:rsidRPr="004F01E9">
              <w:rPr>
                <w:noProof/>
              </w:rPr>
              <w:t>20-dňová doba na zatvorenie pozície (v</w:t>
            </w:r>
            <w:r w:rsidR="004F01E9">
              <w:rPr>
                <w:noProof/>
              </w:rPr>
              <w:t> %</w:t>
            </w:r>
            <w:r w:rsidRPr="004F01E9">
              <w:rPr>
                <w:noProof/>
              </w:rPr>
              <w:t>)</w:t>
            </w:r>
          </w:p>
        </w:tc>
        <w:tc>
          <w:tcPr>
            <w:tcW w:w="1985" w:type="dxa"/>
          </w:tcPr>
          <w:p w14:paraId="1C2486FE" w14:textId="61785D7D" w:rsidR="005A21FE" w:rsidRPr="004F01E9" w:rsidRDefault="005A21FE" w:rsidP="005A21FE">
            <w:pPr>
              <w:pStyle w:val="Text1"/>
              <w:ind w:left="0"/>
              <w:rPr>
                <w:noProof/>
              </w:rPr>
            </w:pPr>
            <w:r w:rsidRPr="004F01E9">
              <w:rPr>
                <w:noProof/>
              </w:rPr>
              <w:t>10-dňová doba na zatvorenie pozície (v</w:t>
            </w:r>
            <w:r w:rsidR="004F01E9">
              <w:rPr>
                <w:noProof/>
              </w:rPr>
              <w:t> %</w:t>
            </w:r>
            <w:r w:rsidRPr="004F01E9">
              <w:rPr>
                <w:noProof/>
              </w:rPr>
              <w:t>)</w:t>
            </w:r>
          </w:p>
        </w:tc>
        <w:tc>
          <w:tcPr>
            <w:tcW w:w="1417" w:type="dxa"/>
          </w:tcPr>
          <w:p w14:paraId="405B81C9" w14:textId="71F37413" w:rsidR="005A21FE" w:rsidRPr="004F01E9" w:rsidRDefault="005A21FE" w:rsidP="005A21FE">
            <w:pPr>
              <w:pStyle w:val="Text1"/>
              <w:ind w:left="0"/>
              <w:rPr>
                <w:noProof/>
              </w:rPr>
            </w:pPr>
            <w:r w:rsidRPr="004F01E9">
              <w:rPr>
                <w:noProof/>
              </w:rPr>
              <w:t>5-dňová doba na zatvorenie pozície (v</w:t>
            </w:r>
            <w:r w:rsidR="004F01E9">
              <w:rPr>
                <w:noProof/>
              </w:rPr>
              <w:t> %</w:t>
            </w:r>
            <w:r w:rsidRPr="004F01E9">
              <w:rPr>
                <w:noProof/>
              </w:rPr>
              <w:t>)</w:t>
            </w:r>
          </w:p>
        </w:tc>
      </w:tr>
      <w:tr w:rsidR="005A21FE" w:rsidRPr="004F01E9" w14:paraId="3D45C50D" w14:textId="77777777" w:rsidTr="005A21FE">
        <w:tc>
          <w:tcPr>
            <w:tcW w:w="2944" w:type="dxa"/>
          </w:tcPr>
          <w:p w14:paraId="2DB8213A" w14:textId="77777777" w:rsidR="005A21FE" w:rsidRPr="004F01E9" w:rsidRDefault="005A21FE" w:rsidP="005A21FE">
            <w:pPr>
              <w:pStyle w:val="Text1"/>
              <w:ind w:left="0"/>
              <w:rPr>
                <w:noProof/>
              </w:rPr>
            </w:pPr>
            <w:r w:rsidRPr="004F01E9">
              <w:rPr>
                <w:noProof/>
              </w:rPr>
              <w:t>Kapitálové cenné papiere hlavného indexu, konvertibilné dlhopisy hlavného indexu</w:t>
            </w:r>
          </w:p>
        </w:tc>
        <w:tc>
          <w:tcPr>
            <w:tcW w:w="2693" w:type="dxa"/>
          </w:tcPr>
          <w:p w14:paraId="0BDF7FBF" w14:textId="77777777" w:rsidR="005A21FE" w:rsidRPr="004F01E9" w:rsidRDefault="005A21FE" w:rsidP="005A21FE">
            <w:pPr>
              <w:pStyle w:val="Text1"/>
              <w:ind w:left="0"/>
              <w:rPr>
                <w:noProof/>
              </w:rPr>
            </w:pPr>
            <w:r w:rsidRPr="004F01E9">
              <w:rPr>
                <w:noProof/>
              </w:rPr>
              <w:t>28,284</w:t>
            </w:r>
          </w:p>
        </w:tc>
        <w:tc>
          <w:tcPr>
            <w:tcW w:w="1985" w:type="dxa"/>
          </w:tcPr>
          <w:p w14:paraId="1834756A" w14:textId="77777777" w:rsidR="005A21FE" w:rsidRPr="004F01E9" w:rsidRDefault="005A21FE" w:rsidP="005A21FE">
            <w:pPr>
              <w:pStyle w:val="Text1"/>
              <w:ind w:left="0"/>
              <w:rPr>
                <w:noProof/>
              </w:rPr>
            </w:pPr>
            <w:r w:rsidRPr="004F01E9">
              <w:rPr>
                <w:noProof/>
              </w:rPr>
              <w:t>20</w:t>
            </w:r>
          </w:p>
        </w:tc>
        <w:tc>
          <w:tcPr>
            <w:tcW w:w="1417" w:type="dxa"/>
          </w:tcPr>
          <w:p w14:paraId="2F8931BC" w14:textId="77777777" w:rsidR="005A21FE" w:rsidRPr="004F01E9" w:rsidRDefault="005A21FE" w:rsidP="005A21FE">
            <w:pPr>
              <w:pStyle w:val="Text1"/>
              <w:ind w:left="0"/>
              <w:rPr>
                <w:noProof/>
              </w:rPr>
            </w:pPr>
            <w:r w:rsidRPr="004F01E9">
              <w:rPr>
                <w:noProof/>
              </w:rPr>
              <w:t>14,142</w:t>
            </w:r>
          </w:p>
        </w:tc>
      </w:tr>
      <w:tr w:rsidR="005A21FE" w:rsidRPr="004F01E9" w14:paraId="17BEFE00" w14:textId="77777777" w:rsidTr="005A21FE">
        <w:tc>
          <w:tcPr>
            <w:tcW w:w="2944" w:type="dxa"/>
          </w:tcPr>
          <w:p w14:paraId="38A54FB3" w14:textId="77777777" w:rsidR="005A21FE" w:rsidRPr="004F01E9" w:rsidRDefault="005A21FE" w:rsidP="005A21FE">
            <w:pPr>
              <w:pStyle w:val="Text1"/>
              <w:ind w:left="0"/>
              <w:rPr>
                <w:noProof/>
              </w:rPr>
            </w:pPr>
            <w:r w:rsidRPr="004F01E9">
              <w:rPr>
                <w:noProof/>
              </w:rPr>
              <w:t>Ostatné kapitálové cenné papiere alebo konvertibilné dlhopisy kótované na uznanej burze</w:t>
            </w:r>
          </w:p>
        </w:tc>
        <w:tc>
          <w:tcPr>
            <w:tcW w:w="2693" w:type="dxa"/>
          </w:tcPr>
          <w:p w14:paraId="38EF66E9" w14:textId="77777777" w:rsidR="005A21FE" w:rsidRPr="004F01E9" w:rsidRDefault="005A21FE" w:rsidP="005A21FE">
            <w:pPr>
              <w:pStyle w:val="Text1"/>
              <w:ind w:left="0"/>
              <w:rPr>
                <w:noProof/>
              </w:rPr>
            </w:pPr>
            <w:r w:rsidRPr="004F01E9">
              <w:rPr>
                <w:noProof/>
              </w:rPr>
              <w:t>42,426</w:t>
            </w:r>
          </w:p>
        </w:tc>
        <w:tc>
          <w:tcPr>
            <w:tcW w:w="1985" w:type="dxa"/>
          </w:tcPr>
          <w:p w14:paraId="534BCD2A" w14:textId="77777777" w:rsidR="005A21FE" w:rsidRPr="004F01E9" w:rsidRDefault="005A21FE" w:rsidP="005A21FE">
            <w:pPr>
              <w:pStyle w:val="Text1"/>
              <w:ind w:left="0"/>
              <w:rPr>
                <w:noProof/>
              </w:rPr>
            </w:pPr>
            <w:r w:rsidRPr="004F01E9">
              <w:rPr>
                <w:noProof/>
              </w:rPr>
              <w:t>30</w:t>
            </w:r>
          </w:p>
        </w:tc>
        <w:tc>
          <w:tcPr>
            <w:tcW w:w="1417" w:type="dxa"/>
          </w:tcPr>
          <w:p w14:paraId="1E0A99E7" w14:textId="77777777" w:rsidR="005A21FE" w:rsidRPr="004F01E9" w:rsidRDefault="005A21FE" w:rsidP="005A21FE">
            <w:pPr>
              <w:pStyle w:val="Text1"/>
              <w:ind w:left="0"/>
              <w:rPr>
                <w:noProof/>
              </w:rPr>
            </w:pPr>
            <w:r w:rsidRPr="004F01E9">
              <w:rPr>
                <w:noProof/>
              </w:rPr>
              <w:t>21,213</w:t>
            </w:r>
          </w:p>
        </w:tc>
      </w:tr>
      <w:tr w:rsidR="005A21FE" w:rsidRPr="004F01E9" w14:paraId="5DC69FE8" w14:textId="77777777" w:rsidTr="005A21FE">
        <w:tc>
          <w:tcPr>
            <w:tcW w:w="2944" w:type="dxa"/>
          </w:tcPr>
          <w:p w14:paraId="1522F9A1" w14:textId="77777777" w:rsidR="005A21FE" w:rsidRPr="004F01E9" w:rsidRDefault="005A21FE" w:rsidP="005A21FE">
            <w:pPr>
              <w:pStyle w:val="Text1"/>
              <w:ind w:left="0"/>
              <w:rPr>
                <w:noProof/>
              </w:rPr>
            </w:pPr>
            <w:r w:rsidRPr="004F01E9">
              <w:rPr>
                <w:noProof/>
              </w:rPr>
              <w:t>Peňažné prostriedky</w:t>
            </w:r>
          </w:p>
        </w:tc>
        <w:tc>
          <w:tcPr>
            <w:tcW w:w="2693" w:type="dxa"/>
          </w:tcPr>
          <w:p w14:paraId="79CF4EBB" w14:textId="77777777" w:rsidR="005A21FE" w:rsidRPr="004F01E9" w:rsidRDefault="005A21FE" w:rsidP="005A21FE">
            <w:pPr>
              <w:pStyle w:val="Text1"/>
              <w:ind w:left="0"/>
              <w:rPr>
                <w:noProof/>
              </w:rPr>
            </w:pPr>
            <w:r w:rsidRPr="004F01E9">
              <w:rPr>
                <w:noProof/>
              </w:rPr>
              <w:t>0</w:t>
            </w:r>
          </w:p>
        </w:tc>
        <w:tc>
          <w:tcPr>
            <w:tcW w:w="1985" w:type="dxa"/>
          </w:tcPr>
          <w:p w14:paraId="210C5372" w14:textId="77777777" w:rsidR="005A21FE" w:rsidRPr="004F01E9" w:rsidRDefault="005A21FE" w:rsidP="005A21FE">
            <w:pPr>
              <w:pStyle w:val="Text1"/>
              <w:ind w:left="0"/>
              <w:rPr>
                <w:noProof/>
              </w:rPr>
            </w:pPr>
            <w:r w:rsidRPr="004F01E9">
              <w:rPr>
                <w:noProof/>
              </w:rPr>
              <w:t>0</w:t>
            </w:r>
          </w:p>
        </w:tc>
        <w:tc>
          <w:tcPr>
            <w:tcW w:w="1417" w:type="dxa"/>
          </w:tcPr>
          <w:p w14:paraId="70EA0B76" w14:textId="77777777" w:rsidR="005A21FE" w:rsidRPr="004F01E9" w:rsidRDefault="005A21FE" w:rsidP="005A21FE">
            <w:pPr>
              <w:pStyle w:val="Text1"/>
              <w:ind w:left="0"/>
              <w:rPr>
                <w:noProof/>
              </w:rPr>
            </w:pPr>
            <w:r w:rsidRPr="004F01E9">
              <w:rPr>
                <w:noProof/>
              </w:rPr>
              <w:t>0</w:t>
            </w:r>
          </w:p>
        </w:tc>
      </w:tr>
      <w:tr w:rsidR="005A21FE" w:rsidRPr="004F01E9" w14:paraId="12217CF7" w14:textId="77777777" w:rsidTr="005A21FE">
        <w:tc>
          <w:tcPr>
            <w:tcW w:w="2944" w:type="dxa"/>
          </w:tcPr>
          <w:p w14:paraId="27F172CE" w14:textId="77777777" w:rsidR="005A21FE" w:rsidRPr="004F01E9" w:rsidRDefault="005A21FE" w:rsidP="005A21FE">
            <w:pPr>
              <w:pStyle w:val="Text1"/>
              <w:ind w:left="0"/>
              <w:rPr>
                <w:noProof/>
              </w:rPr>
            </w:pPr>
            <w:r w:rsidRPr="004F01E9">
              <w:rPr>
                <w:noProof/>
              </w:rPr>
              <w:t>Zásoby zlata</w:t>
            </w:r>
          </w:p>
        </w:tc>
        <w:tc>
          <w:tcPr>
            <w:tcW w:w="2693" w:type="dxa"/>
          </w:tcPr>
          <w:p w14:paraId="74CE1569" w14:textId="77777777" w:rsidR="005A21FE" w:rsidRPr="004F01E9" w:rsidRDefault="005A21FE" w:rsidP="005A21FE">
            <w:pPr>
              <w:pStyle w:val="Text1"/>
              <w:ind w:left="0"/>
              <w:rPr>
                <w:noProof/>
              </w:rPr>
            </w:pPr>
            <w:r w:rsidRPr="004F01E9">
              <w:rPr>
                <w:noProof/>
              </w:rPr>
              <w:t>28,284</w:t>
            </w:r>
          </w:p>
        </w:tc>
        <w:tc>
          <w:tcPr>
            <w:tcW w:w="1985" w:type="dxa"/>
          </w:tcPr>
          <w:p w14:paraId="21184F6A" w14:textId="77777777" w:rsidR="005A21FE" w:rsidRPr="004F01E9" w:rsidRDefault="005A21FE" w:rsidP="005A21FE">
            <w:pPr>
              <w:pStyle w:val="Text1"/>
              <w:ind w:left="0"/>
              <w:rPr>
                <w:noProof/>
              </w:rPr>
            </w:pPr>
            <w:r w:rsidRPr="004F01E9">
              <w:rPr>
                <w:noProof/>
              </w:rPr>
              <w:t>20</w:t>
            </w:r>
          </w:p>
        </w:tc>
        <w:tc>
          <w:tcPr>
            <w:tcW w:w="1417" w:type="dxa"/>
          </w:tcPr>
          <w:p w14:paraId="3CAB4922" w14:textId="77777777" w:rsidR="005A21FE" w:rsidRPr="004F01E9" w:rsidRDefault="005A21FE" w:rsidP="005A21FE">
            <w:pPr>
              <w:pStyle w:val="Text1"/>
              <w:ind w:left="0"/>
              <w:rPr>
                <w:noProof/>
              </w:rPr>
            </w:pPr>
            <w:r w:rsidRPr="004F01E9">
              <w:rPr>
                <w:noProof/>
              </w:rPr>
              <w:t>14,142</w:t>
            </w:r>
          </w:p>
        </w:tc>
      </w:tr>
    </w:tbl>
    <w:p w14:paraId="29C3BA84" w14:textId="77777777" w:rsidR="005A21FE" w:rsidRPr="004F01E9" w:rsidRDefault="005A21FE" w:rsidP="005A21FE">
      <w:pPr>
        <w:pStyle w:val="Text1"/>
        <w:jc w:val="center"/>
        <w:rPr>
          <w:i/>
          <w:noProof/>
        </w:rPr>
      </w:pPr>
      <w:r w:rsidRPr="004F01E9">
        <w:rPr>
          <w:i/>
          <w:noProof/>
        </w:rPr>
        <w:t>Tabuľka 4</w:t>
      </w:r>
    </w:p>
    <w:p w14:paraId="54D728ED" w14:textId="6ADB69B3" w:rsidR="005A21FE" w:rsidRPr="004F01E9" w:rsidRDefault="005A21FE" w:rsidP="005A21FE">
      <w:pPr>
        <w:pStyle w:val="Text1"/>
        <w:jc w:val="center"/>
        <w:rPr>
          <w:b/>
          <w:noProof/>
        </w:rPr>
      </w:pPr>
      <w:r w:rsidRPr="004F01E9">
        <w:rPr>
          <w:b/>
          <w:noProof/>
        </w:rPr>
        <w:t>Úprava</w:t>
      </w:r>
      <w:r w:rsidR="004F01E9">
        <w:rPr>
          <w:b/>
          <w:noProof/>
        </w:rPr>
        <w:t xml:space="preserve"> z </w:t>
      </w:r>
      <w:r w:rsidRPr="004F01E9">
        <w:rPr>
          <w:b/>
          <w:noProof/>
        </w:rPr>
        <w:t>dôvodu volatility pre nesúlad mien (</w:t>
      </w:r>
      <w:r w:rsidRPr="004F01E9">
        <w:rPr>
          <w:b/>
          <w:i/>
          <w:noProof/>
        </w:rPr>
        <w:t>H</w:t>
      </w:r>
      <w:r w:rsidRPr="004F01E9">
        <w:rPr>
          <w:b/>
          <w:i/>
          <w:noProof/>
          <w:vertAlign w:val="subscript"/>
        </w:rPr>
        <w:t>fx</w:t>
      </w:r>
      <w:r w:rsidRPr="004F01E9">
        <w:rPr>
          <w:b/>
          <w:noProof/>
        </w:rPr>
        <w:t>)</w:t>
      </w:r>
    </w:p>
    <w:tbl>
      <w:tblPr>
        <w:tblStyle w:val="TableGrid"/>
        <w:tblW w:w="6771" w:type="dxa"/>
        <w:jc w:val="center"/>
        <w:tblLayout w:type="fixed"/>
        <w:tblLook w:val="04A0" w:firstRow="1" w:lastRow="0" w:firstColumn="1" w:lastColumn="0" w:noHBand="0" w:noVBand="1"/>
      </w:tblPr>
      <w:tblGrid>
        <w:gridCol w:w="2235"/>
        <w:gridCol w:w="2443"/>
        <w:gridCol w:w="2093"/>
      </w:tblGrid>
      <w:tr w:rsidR="005A21FE" w:rsidRPr="004F01E9" w14:paraId="1FA24800" w14:textId="77777777" w:rsidTr="005A21FE">
        <w:trPr>
          <w:jc w:val="center"/>
        </w:trPr>
        <w:tc>
          <w:tcPr>
            <w:tcW w:w="2235" w:type="dxa"/>
          </w:tcPr>
          <w:p w14:paraId="5D49F72B" w14:textId="0B769F1D" w:rsidR="005A21FE" w:rsidRPr="004F01E9" w:rsidRDefault="005A21FE" w:rsidP="005A21FE">
            <w:pPr>
              <w:pStyle w:val="Text1"/>
              <w:ind w:left="0"/>
              <w:jc w:val="center"/>
              <w:rPr>
                <w:noProof/>
              </w:rPr>
            </w:pPr>
            <w:r w:rsidRPr="004F01E9">
              <w:rPr>
                <w:noProof/>
              </w:rPr>
              <w:t>20-dňová doba na zatvorenie pozície (v</w:t>
            </w:r>
            <w:r w:rsidR="004F01E9">
              <w:rPr>
                <w:noProof/>
              </w:rPr>
              <w:t> %</w:t>
            </w:r>
            <w:r w:rsidRPr="004F01E9">
              <w:rPr>
                <w:noProof/>
              </w:rPr>
              <w:t>)</w:t>
            </w:r>
          </w:p>
        </w:tc>
        <w:tc>
          <w:tcPr>
            <w:tcW w:w="2443" w:type="dxa"/>
          </w:tcPr>
          <w:p w14:paraId="799C1C1C" w14:textId="2BC620B0" w:rsidR="005A21FE" w:rsidRPr="004F01E9" w:rsidRDefault="005A21FE" w:rsidP="005A21FE">
            <w:pPr>
              <w:pStyle w:val="Text1"/>
              <w:ind w:left="0"/>
              <w:jc w:val="center"/>
              <w:rPr>
                <w:noProof/>
              </w:rPr>
            </w:pPr>
            <w:r w:rsidRPr="004F01E9">
              <w:rPr>
                <w:noProof/>
              </w:rPr>
              <w:t>10-dňová doba na zatvorenie pozície (v</w:t>
            </w:r>
            <w:r w:rsidR="004F01E9">
              <w:rPr>
                <w:noProof/>
              </w:rPr>
              <w:t> %</w:t>
            </w:r>
            <w:r w:rsidRPr="004F01E9">
              <w:rPr>
                <w:noProof/>
              </w:rPr>
              <w:t>)</w:t>
            </w:r>
          </w:p>
        </w:tc>
        <w:tc>
          <w:tcPr>
            <w:tcW w:w="2093" w:type="dxa"/>
          </w:tcPr>
          <w:p w14:paraId="74EF6929" w14:textId="4B9D00AB" w:rsidR="005A21FE" w:rsidRPr="004F01E9" w:rsidRDefault="005A21FE" w:rsidP="005A21FE">
            <w:pPr>
              <w:pStyle w:val="Text1"/>
              <w:ind w:left="0"/>
              <w:jc w:val="center"/>
              <w:rPr>
                <w:noProof/>
              </w:rPr>
            </w:pPr>
            <w:r w:rsidRPr="004F01E9">
              <w:rPr>
                <w:noProof/>
              </w:rPr>
              <w:t>5-dňová doba na zatvorenie pozície (v</w:t>
            </w:r>
            <w:r w:rsidR="004F01E9">
              <w:rPr>
                <w:noProof/>
              </w:rPr>
              <w:t> %</w:t>
            </w:r>
            <w:r w:rsidRPr="004F01E9">
              <w:rPr>
                <w:noProof/>
              </w:rPr>
              <w:t>)</w:t>
            </w:r>
          </w:p>
        </w:tc>
      </w:tr>
      <w:tr w:rsidR="005A21FE" w:rsidRPr="004F01E9" w14:paraId="30F79DFB" w14:textId="77777777" w:rsidTr="005A21FE">
        <w:trPr>
          <w:jc w:val="center"/>
        </w:trPr>
        <w:tc>
          <w:tcPr>
            <w:tcW w:w="2235" w:type="dxa"/>
          </w:tcPr>
          <w:p w14:paraId="2FB0F674" w14:textId="77777777" w:rsidR="005A21FE" w:rsidRPr="004F01E9" w:rsidRDefault="005A21FE" w:rsidP="005A21FE">
            <w:pPr>
              <w:pStyle w:val="Text1"/>
              <w:ind w:left="0"/>
              <w:jc w:val="center"/>
              <w:rPr>
                <w:noProof/>
              </w:rPr>
            </w:pPr>
            <w:r w:rsidRPr="004F01E9">
              <w:rPr>
                <w:noProof/>
              </w:rPr>
              <w:t>11,314</w:t>
            </w:r>
          </w:p>
        </w:tc>
        <w:tc>
          <w:tcPr>
            <w:tcW w:w="2443" w:type="dxa"/>
          </w:tcPr>
          <w:p w14:paraId="32EB7A70" w14:textId="77777777" w:rsidR="005A21FE" w:rsidRPr="004F01E9" w:rsidRDefault="005A21FE" w:rsidP="005A21FE">
            <w:pPr>
              <w:pStyle w:val="Text1"/>
              <w:tabs>
                <w:tab w:val="center" w:pos="884"/>
              </w:tabs>
              <w:ind w:left="0"/>
              <w:jc w:val="center"/>
              <w:rPr>
                <w:noProof/>
              </w:rPr>
            </w:pPr>
            <w:r w:rsidRPr="004F01E9">
              <w:rPr>
                <w:noProof/>
              </w:rPr>
              <w:t>8</w:t>
            </w:r>
          </w:p>
        </w:tc>
        <w:tc>
          <w:tcPr>
            <w:tcW w:w="2093" w:type="dxa"/>
          </w:tcPr>
          <w:p w14:paraId="0EC4DA4E" w14:textId="77777777" w:rsidR="005A21FE" w:rsidRPr="004F01E9" w:rsidRDefault="005A21FE" w:rsidP="005A21FE">
            <w:pPr>
              <w:pStyle w:val="Text1"/>
              <w:ind w:left="0"/>
              <w:jc w:val="center"/>
              <w:rPr>
                <w:noProof/>
              </w:rPr>
            </w:pPr>
            <w:r w:rsidRPr="004F01E9">
              <w:rPr>
                <w:noProof/>
              </w:rPr>
              <w:t>5,657</w:t>
            </w:r>
          </w:p>
        </w:tc>
      </w:tr>
    </w:tbl>
    <w:p w14:paraId="26747024" w14:textId="77777777" w:rsidR="005A21FE" w:rsidRPr="004F01E9" w:rsidRDefault="005A21FE" w:rsidP="005A21FE">
      <w:pPr>
        <w:pStyle w:val="Text1"/>
        <w:rPr>
          <w:noProof/>
        </w:rPr>
      </w:pPr>
      <w:r w:rsidRPr="004F01E9">
        <w:rPr>
          <w:noProof/>
        </w:rPr>
        <w:t>“.</w:t>
      </w:r>
    </w:p>
    <w:p w14:paraId="5BFED344" w14:textId="2A46E6E5" w:rsidR="005A21FE" w:rsidRPr="004F01E9" w:rsidRDefault="00B16452" w:rsidP="00B16452">
      <w:pPr>
        <w:pStyle w:val="Point0"/>
        <w:rPr>
          <w:noProof/>
        </w:rPr>
      </w:pPr>
      <w:r w:rsidRPr="00B16452">
        <w:rPr>
          <w:noProof/>
        </w:rPr>
        <w:t>114</w:t>
      </w:r>
      <w:r>
        <w:rPr>
          <w:noProof/>
        </w:rPr>
        <w:t>.</w:t>
      </w:r>
      <w:r w:rsidRPr="00B16452">
        <w:rPr>
          <w:noProof/>
        </w:rPr>
        <w:tab/>
      </w:r>
      <w:r w:rsidR="005A21FE" w:rsidRPr="004F01E9">
        <w:rPr>
          <w:noProof/>
        </w:rPr>
        <w:t>Článok 225 sa vypúšťa.</w:t>
      </w:r>
    </w:p>
    <w:p w14:paraId="59FBCEC3" w14:textId="3323391A" w:rsidR="005A21FE" w:rsidRPr="004F01E9" w:rsidRDefault="00B16452" w:rsidP="00B16452">
      <w:pPr>
        <w:pStyle w:val="Point0"/>
        <w:rPr>
          <w:noProof/>
        </w:rPr>
      </w:pPr>
      <w:r w:rsidRPr="00B16452">
        <w:rPr>
          <w:noProof/>
        </w:rPr>
        <w:t>115</w:t>
      </w:r>
      <w:r>
        <w:rPr>
          <w:noProof/>
        </w:rPr>
        <w:t>.</w:t>
      </w:r>
      <w:r w:rsidRPr="00B16452">
        <w:rPr>
          <w:noProof/>
        </w:rPr>
        <w:tab/>
      </w:r>
      <w:r w:rsidR="005A21FE" w:rsidRPr="004F01E9">
        <w:rPr>
          <w:noProof/>
        </w:rPr>
        <w:t>Článok 226 sa nahrádza takto:</w:t>
      </w:r>
    </w:p>
    <w:p w14:paraId="7B80E35E" w14:textId="193FBCEA" w:rsidR="005A21FE" w:rsidRPr="004F01E9" w:rsidRDefault="005A21FE" w:rsidP="00693C09">
      <w:pPr>
        <w:pStyle w:val="Titrearticle"/>
        <w:spacing w:before="120"/>
        <w:rPr>
          <w:b/>
          <w:i w:val="0"/>
          <w:noProof/>
        </w:rPr>
      </w:pPr>
      <w:r w:rsidRPr="004F01E9">
        <w:rPr>
          <w:noProof/>
        </w:rPr>
        <w:t xml:space="preserve">„Článok 226 </w:t>
      </w:r>
      <w:r w:rsidRPr="004F01E9">
        <w:rPr>
          <w:noProof/>
        </w:rPr>
        <w:br/>
      </w:r>
      <w:r w:rsidRPr="004F01E9">
        <w:rPr>
          <w:b/>
          <w:i w:val="0"/>
          <w:noProof/>
        </w:rPr>
        <w:t>Škálovanie úprav</w:t>
      </w:r>
      <w:r w:rsidR="004F01E9">
        <w:rPr>
          <w:b/>
          <w:i w:val="0"/>
          <w:noProof/>
        </w:rPr>
        <w:t xml:space="preserve"> z </w:t>
      </w:r>
      <w:r w:rsidRPr="004F01E9">
        <w:rPr>
          <w:b/>
          <w:i w:val="0"/>
          <w:noProof/>
        </w:rPr>
        <w:t>dôvodu volatility podľa súhrnnej metódy nakladania</w:t>
      </w:r>
      <w:r w:rsidR="004F01E9">
        <w:rPr>
          <w:b/>
          <w:i w:val="0"/>
          <w:noProof/>
        </w:rPr>
        <w:t xml:space="preserve"> s </w:t>
      </w:r>
      <w:r w:rsidRPr="004F01E9">
        <w:rPr>
          <w:b/>
          <w:i w:val="0"/>
          <w:noProof/>
        </w:rPr>
        <w:t>finančným kolaterálom</w:t>
      </w:r>
    </w:p>
    <w:p w14:paraId="1A9F7A66" w14:textId="6EF9C276" w:rsidR="005A21FE" w:rsidRPr="004F01E9" w:rsidRDefault="005A21FE" w:rsidP="005A21FE">
      <w:pPr>
        <w:pStyle w:val="Text1"/>
        <w:rPr>
          <w:noProof/>
        </w:rPr>
      </w:pPr>
      <w:r w:rsidRPr="004F01E9">
        <w:rPr>
          <w:noProof/>
        </w:rPr>
        <w:t>Úpravy</w:t>
      </w:r>
      <w:r w:rsidR="004F01E9">
        <w:rPr>
          <w:noProof/>
        </w:rPr>
        <w:t xml:space="preserve"> z </w:t>
      </w:r>
      <w:r w:rsidRPr="004F01E9">
        <w:rPr>
          <w:noProof/>
        </w:rPr>
        <w:t>dôvodu volatility stanovené</w:t>
      </w:r>
      <w:r w:rsidR="004F01E9">
        <w:rPr>
          <w:noProof/>
        </w:rPr>
        <w:t xml:space="preserve"> v </w:t>
      </w:r>
      <w:r w:rsidRPr="004F01E9">
        <w:rPr>
          <w:noProof/>
        </w:rPr>
        <w:t>článku 224 sú úpravy</w:t>
      </w:r>
      <w:r w:rsidR="004F01E9">
        <w:rPr>
          <w:noProof/>
        </w:rPr>
        <w:t xml:space="preserve"> z </w:t>
      </w:r>
      <w:r w:rsidRPr="004F01E9">
        <w:rPr>
          <w:noProof/>
        </w:rPr>
        <w:t>dôvodu volatility, ktoré inštitúcia uplatní pri dennom preceňovaní. Keď preceňovanie vykonáva menej často než raz denne, inštitúcie použijú väčšie úpravy</w:t>
      </w:r>
      <w:r w:rsidR="004F01E9">
        <w:rPr>
          <w:noProof/>
        </w:rPr>
        <w:t xml:space="preserve"> z </w:t>
      </w:r>
      <w:r w:rsidRPr="004F01E9">
        <w:rPr>
          <w:noProof/>
        </w:rPr>
        <w:t>dôvodu volatility. Tieto sa počítajú preškálovaním úprav</w:t>
      </w:r>
      <w:r w:rsidR="004F01E9">
        <w:rPr>
          <w:noProof/>
        </w:rPr>
        <w:t xml:space="preserve"> z </w:t>
      </w:r>
      <w:r w:rsidRPr="004F01E9">
        <w:rPr>
          <w:noProof/>
        </w:rPr>
        <w:t>dôvodu volatility pri dennom preceňovaní nahor,</w:t>
      </w:r>
      <w:r w:rsidR="004F01E9">
        <w:rPr>
          <w:noProof/>
        </w:rPr>
        <w:t xml:space="preserve"> a </w:t>
      </w:r>
      <w:r w:rsidRPr="004F01E9">
        <w:rPr>
          <w:noProof/>
        </w:rPr>
        <w:t>to pomocou tohto vzorca:</w:t>
      </w:r>
    </w:p>
    <w:p w14:paraId="450B13F1" w14:textId="753012FB" w:rsidR="005A21FE" w:rsidRPr="004F01E9" w:rsidRDefault="005A21FE" w:rsidP="005A21FE">
      <w:pPr>
        <w:pStyle w:val="Text1"/>
        <w:rPr>
          <w:noProof/>
        </w:rPr>
      </w:pPr>
      <m:oMathPara>
        <m:oMath>
          <m:r>
            <w:rPr>
              <w:rFonts w:ascii="Cambria Math" w:eastAsiaTheme="minorEastAsia" w:hAnsi="Cambria Math"/>
              <w:noProof/>
            </w:rPr>
            <m:t>H</m:t>
          </m:r>
          <m:r>
            <m:rPr>
              <m:sty m:val="p"/>
            </m:rPr>
            <w:rPr>
              <w:rFonts w:ascii="Cambria Math" w:eastAsiaTheme="minorEastAsia" w:hAnsi="Cambria Math"/>
              <w:noProof/>
            </w:rPr>
            <m:t>=</m:t>
          </m:r>
          <m:sSub>
            <m:sSubPr>
              <m:ctrlPr>
                <w:rPr>
                  <w:rFonts w:ascii="Cambria Math" w:eastAsiaTheme="minorEastAsia" w:hAnsi="Cambria Math"/>
                  <w:noProof/>
                </w:rPr>
              </m:ctrlPr>
            </m:sSubPr>
            <m:e>
              <m:r>
                <w:rPr>
                  <w:rFonts w:ascii="Cambria Math" w:eastAsiaTheme="minorEastAsia" w:hAnsi="Cambria Math"/>
                  <w:noProof/>
                </w:rPr>
                <m:t>H</m:t>
              </m:r>
            </m:e>
            <m:sub>
              <m:r>
                <w:rPr>
                  <w:rFonts w:ascii="Cambria Math" w:eastAsiaTheme="minorEastAsia" w:hAnsi="Cambria Math"/>
                  <w:noProof/>
                </w:rPr>
                <m:t>M</m:t>
              </m:r>
            </m:sub>
          </m:sSub>
          <m:r>
            <w:rPr>
              <w:rFonts w:ascii="Cambria Math" w:hAnsi="Cambria Math"/>
              <w:noProof/>
            </w:rPr>
            <m:t xml:space="preserve">⋅ </m:t>
          </m:r>
          <m:rad>
            <m:radPr>
              <m:degHide m:val="1"/>
              <m:ctrlPr>
                <w:rPr>
                  <w:rFonts w:ascii="Cambria Math" w:hAnsi="Cambria Math"/>
                  <w:i/>
                  <w:noProof/>
                </w:rPr>
              </m:ctrlPr>
            </m:radPr>
            <m:deg/>
            <m:e>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N</m:t>
                      </m:r>
                    </m:e>
                    <m:sub>
                      <m:r>
                        <w:rPr>
                          <w:rFonts w:ascii="Cambria Math" w:hAnsi="Cambria Math"/>
                          <w:noProof/>
                        </w:rPr>
                        <m:t>R</m:t>
                      </m:r>
                    </m:sub>
                  </m:sSub>
                  <m:r>
                    <w:rPr>
                      <w:rFonts w:ascii="Cambria Math" w:hAnsi="Cambria Math"/>
                      <w:noProof/>
                    </w:rPr>
                    <m:t>+(</m:t>
                  </m:r>
                  <m:sSub>
                    <m:sSubPr>
                      <m:ctrlPr>
                        <w:rPr>
                          <w:rFonts w:ascii="Cambria Math" w:hAnsi="Cambria Math"/>
                          <w:i/>
                          <w:noProof/>
                        </w:rPr>
                      </m:ctrlPr>
                    </m:sSubPr>
                    <m:e>
                      <m:r>
                        <w:rPr>
                          <w:rFonts w:ascii="Cambria Math" w:hAnsi="Cambria Math"/>
                          <w:noProof/>
                        </w:rPr>
                        <m:t>T</m:t>
                      </m:r>
                    </m:e>
                    <m:sub>
                      <m:r>
                        <w:rPr>
                          <w:rFonts w:ascii="Cambria Math" w:hAnsi="Cambria Math"/>
                          <w:noProof/>
                        </w:rPr>
                        <m:t>M</m:t>
                      </m:r>
                    </m:sub>
                  </m:sSub>
                  <m:r>
                    <w:rPr>
                      <w:rFonts w:ascii="Cambria Math" w:hAnsi="Cambria Math"/>
                      <w:noProof/>
                    </w:rPr>
                    <m:t>-1)</m:t>
                  </m:r>
                </m:num>
                <m:den>
                  <m:sSub>
                    <m:sSubPr>
                      <m:ctrlPr>
                        <w:rPr>
                          <w:rFonts w:ascii="Cambria Math" w:hAnsi="Cambria Math"/>
                          <w:i/>
                          <w:noProof/>
                        </w:rPr>
                      </m:ctrlPr>
                    </m:sSubPr>
                    <m:e>
                      <m:r>
                        <w:rPr>
                          <w:rFonts w:ascii="Cambria Math" w:hAnsi="Cambria Math"/>
                          <w:noProof/>
                        </w:rPr>
                        <m:t>T</m:t>
                      </m:r>
                    </m:e>
                    <m:sub>
                      <m:r>
                        <w:rPr>
                          <w:rFonts w:ascii="Cambria Math" w:hAnsi="Cambria Math"/>
                          <w:noProof/>
                        </w:rPr>
                        <m:t>M</m:t>
                      </m:r>
                    </m:sub>
                  </m:sSub>
                </m:den>
              </m:f>
            </m:e>
          </m:rad>
        </m:oMath>
      </m:oMathPara>
    </w:p>
    <w:p w14:paraId="5508DEFD" w14:textId="77777777" w:rsidR="005A21FE" w:rsidRPr="004F01E9" w:rsidRDefault="005A21FE" w:rsidP="005A21FE">
      <w:pPr>
        <w:pStyle w:val="Text1"/>
        <w:rPr>
          <w:noProof/>
        </w:rPr>
      </w:pPr>
      <w:r w:rsidRPr="004F01E9">
        <w:rPr>
          <w:noProof/>
        </w:rPr>
        <w:t>kde:</w:t>
      </w:r>
    </w:p>
    <w:p w14:paraId="505F72F7" w14:textId="63437E4E" w:rsidR="005A21FE" w:rsidRPr="004F01E9" w:rsidRDefault="005A21FE" w:rsidP="005A21FE">
      <w:pPr>
        <w:pStyle w:val="Text1"/>
        <w:rPr>
          <w:noProof/>
        </w:rPr>
      </w:pPr>
      <w:r w:rsidRPr="004F01E9">
        <w:rPr>
          <w:noProof/>
        </w:rPr>
        <w:t>H = úprava</w:t>
      </w:r>
      <w:r w:rsidR="004F01E9">
        <w:rPr>
          <w:noProof/>
        </w:rPr>
        <w:t xml:space="preserve"> z </w:t>
      </w:r>
      <w:r w:rsidRPr="004F01E9">
        <w:rPr>
          <w:noProof/>
        </w:rPr>
        <w:t>dôvodu volatility, ktorá sa použije;</w:t>
      </w:r>
    </w:p>
    <w:p w14:paraId="78CA4C83" w14:textId="62E721AF" w:rsidR="005A21FE" w:rsidRPr="004F01E9" w:rsidRDefault="00EE12EE" w:rsidP="005A21FE">
      <w:pPr>
        <w:pStyle w:val="Text1"/>
        <w:rPr>
          <w:noProof/>
        </w:rPr>
      </w:pPr>
      <m:oMath>
        <m:sSub>
          <m:sSubPr>
            <m:ctrlPr>
              <w:rPr>
                <w:rFonts w:ascii="Cambria Math" w:eastAsiaTheme="minorEastAsia" w:hAnsi="Cambria Math"/>
                <w:noProof/>
              </w:rPr>
            </m:ctrlPr>
          </m:sSubPr>
          <m:e>
            <m:r>
              <w:rPr>
                <w:rFonts w:ascii="Cambria Math" w:eastAsiaTheme="minorEastAsia" w:hAnsi="Cambria Math"/>
                <w:noProof/>
              </w:rPr>
              <m:t>H</m:t>
            </m:r>
          </m:e>
          <m:sub>
            <m:r>
              <w:rPr>
                <w:rFonts w:ascii="Cambria Math" w:eastAsiaTheme="minorEastAsia" w:hAnsi="Cambria Math"/>
                <w:noProof/>
              </w:rPr>
              <m:t>M</m:t>
            </m:r>
          </m:sub>
        </m:sSub>
      </m:oMath>
      <w:r w:rsidR="00DE1B1D" w:rsidRPr="004F01E9">
        <w:rPr>
          <w:noProof/>
        </w:rPr>
        <w:t xml:space="preserve"> = úprava</w:t>
      </w:r>
      <w:r w:rsidR="004F01E9">
        <w:rPr>
          <w:noProof/>
        </w:rPr>
        <w:t xml:space="preserve"> z </w:t>
      </w:r>
      <w:r w:rsidR="00DE1B1D" w:rsidRPr="004F01E9">
        <w:rPr>
          <w:noProof/>
        </w:rPr>
        <w:t>dôvodu volatility pri dennom preceňovaní;</w:t>
      </w:r>
    </w:p>
    <w:p w14:paraId="03E6352E" w14:textId="77777777" w:rsidR="005A21FE" w:rsidRPr="004F01E9" w:rsidRDefault="00EE12EE" w:rsidP="005A21FE">
      <w:pPr>
        <w:pStyle w:val="Text1"/>
        <w:rPr>
          <w:noProof/>
        </w:rPr>
      </w:pPr>
      <m:oMath>
        <m:sSub>
          <m:sSubPr>
            <m:ctrlPr>
              <w:rPr>
                <w:rFonts w:ascii="Cambria Math" w:hAnsi="Cambria Math"/>
                <w:i/>
                <w:noProof/>
              </w:rPr>
            </m:ctrlPr>
          </m:sSubPr>
          <m:e>
            <m:r>
              <w:rPr>
                <w:rFonts w:ascii="Cambria Math" w:hAnsi="Cambria Math"/>
                <w:noProof/>
              </w:rPr>
              <m:t>N</m:t>
            </m:r>
          </m:e>
          <m:sub>
            <m:r>
              <w:rPr>
                <w:rFonts w:ascii="Cambria Math" w:hAnsi="Cambria Math"/>
                <w:noProof/>
              </w:rPr>
              <m:t>R</m:t>
            </m:r>
          </m:sub>
        </m:sSub>
      </m:oMath>
      <w:r w:rsidR="00DE1B1D" w:rsidRPr="004F01E9">
        <w:rPr>
          <w:noProof/>
        </w:rPr>
        <w:t xml:space="preserve"> = skutočný počet obchodných dní medzi preceneniami;</w:t>
      </w:r>
    </w:p>
    <w:p w14:paraId="690D5ED5" w14:textId="3A6CC48A" w:rsidR="005A21FE" w:rsidRPr="004F01E9" w:rsidRDefault="00EE12EE" w:rsidP="005A21FE">
      <w:pPr>
        <w:pStyle w:val="Text1"/>
        <w:rPr>
          <w:noProof/>
        </w:rPr>
      </w:pPr>
      <m:oMath>
        <m:sSub>
          <m:sSubPr>
            <m:ctrlPr>
              <w:rPr>
                <w:rFonts w:ascii="Cambria Math" w:hAnsi="Cambria Math"/>
                <w:i/>
                <w:noProof/>
              </w:rPr>
            </m:ctrlPr>
          </m:sSubPr>
          <m:e>
            <m:r>
              <w:rPr>
                <w:rFonts w:ascii="Cambria Math" w:hAnsi="Cambria Math"/>
                <w:noProof/>
              </w:rPr>
              <m:t>T</m:t>
            </m:r>
          </m:e>
          <m:sub>
            <m:r>
              <w:rPr>
                <w:rFonts w:ascii="Cambria Math" w:hAnsi="Cambria Math"/>
                <w:noProof/>
              </w:rPr>
              <m:t>M</m:t>
            </m:r>
          </m:sub>
        </m:sSub>
      </m:oMath>
      <w:r w:rsidR="00DE1B1D" w:rsidRPr="004F01E9">
        <w:rPr>
          <w:noProof/>
        </w:rPr>
        <w:t xml:space="preserve"> = doba na zatvorenie pozície pre daný druh transakcie.“</w:t>
      </w:r>
    </w:p>
    <w:p w14:paraId="40FC013F" w14:textId="2E864478" w:rsidR="005A21FE" w:rsidRPr="004F01E9" w:rsidRDefault="00B16452" w:rsidP="00B16452">
      <w:pPr>
        <w:pStyle w:val="Point0"/>
        <w:rPr>
          <w:noProof/>
        </w:rPr>
      </w:pPr>
      <w:r w:rsidRPr="00B16452">
        <w:rPr>
          <w:noProof/>
        </w:rPr>
        <w:t>116</w:t>
      </w:r>
      <w:r>
        <w:rPr>
          <w:noProof/>
        </w:rPr>
        <w:t>.</w:t>
      </w:r>
      <w:r w:rsidRPr="00B16452">
        <w:rPr>
          <w:noProof/>
        </w:rPr>
        <w:tab/>
      </w:r>
      <w:r w:rsidR="005A21FE" w:rsidRPr="004F01E9">
        <w:rPr>
          <w:noProof/>
        </w:rPr>
        <w:t>V článku 227 sa odsek 1 nahrádza takto:</w:t>
      </w:r>
    </w:p>
    <w:p w14:paraId="1EC8AEFF" w14:textId="7538A61B" w:rsidR="005A21FE" w:rsidRPr="004F01E9" w:rsidRDefault="005A21FE" w:rsidP="005A21FE">
      <w:pPr>
        <w:pStyle w:val="Text1"/>
        <w:rPr>
          <w:noProof/>
        </w:rPr>
      </w:pPr>
      <w:r w:rsidRPr="004F01E9">
        <w:rPr>
          <w:noProof/>
        </w:rPr>
        <w:t>„1. Inštitúcie, ktoré používajú prístup úprav</w:t>
      </w:r>
      <w:r w:rsidR="004F01E9">
        <w:rPr>
          <w:noProof/>
        </w:rPr>
        <w:t xml:space="preserve"> z </w:t>
      </w:r>
      <w:r w:rsidRPr="004F01E9">
        <w:rPr>
          <w:noProof/>
        </w:rPr>
        <w:t>dôvodu volatility stanovených orgánom dohľadu uvedený</w:t>
      </w:r>
      <w:r w:rsidR="004F01E9">
        <w:rPr>
          <w:noProof/>
        </w:rPr>
        <w:t xml:space="preserve"> v </w:t>
      </w:r>
      <w:r w:rsidRPr="004F01E9">
        <w:rPr>
          <w:noProof/>
        </w:rPr>
        <w:t>článku 224, môžu pri repo transakciách</w:t>
      </w:r>
      <w:r w:rsidR="004F01E9">
        <w:rPr>
          <w:noProof/>
        </w:rPr>
        <w:t xml:space="preserve"> a </w:t>
      </w:r>
      <w:r w:rsidRPr="004F01E9">
        <w:rPr>
          <w:noProof/>
        </w:rPr>
        <w:t>transakciách požičiavania alebo vypožičiavania cenných papierov namiesto úprav</w:t>
      </w:r>
      <w:r w:rsidR="004F01E9">
        <w:rPr>
          <w:noProof/>
        </w:rPr>
        <w:t xml:space="preserve"> z </w:t>
      </w:r>
      <w:r w:rsidRPr="004F01E9">
        <w:rPr>
          <w:noProof/>
        </w:rPr>
        <w:t>dôvodu volatility vypočítaných podľa článkov 224 až 226 uplatniť úpravu</w:t>
      </w:r>
      <w:r w:rsidR="004F01E9">
        <w:rPr>
          <w:noProof/>
        </w:rPr>
        <w:t xml:space="preserve"> z </w:t>
      </w:r>
      <w:r w:rsidRPr="004F01E9">
        <w:rPr>
          <w:noProof/>
        </w:rPr>
        <w:t>dôvodu volatility 0</w:t>
      </w:r>
      <w:r w:rsidR="004F01E9">
        <w:rPr>
          <w:noProof/>
        </w:rPr>
        <w:t> %</w:t>
      </w:r>
      <w:r w:rsidRPr="004F01E9">
        <w:rPr>
          <w:noProof/>
        </w:rPr>
        <w:t xml:space="preserve"> za predpokladu, že sú splnené podmienky stanovené</w:t>
      </w:r>
      <w:r w:rsidR="004F01E9">
        <w:rPr>
          <w:noProof/>
        </w:rPr>
        <w:t xml:space="preserve"> v </w:t>
      </w:r>
      <w:r w:rsidRPr="004F01E9">
        <w:rPr>
          <w:noProof/>
        </w:rPr>
        <w:t>odseku 2 písm. a) až h). Inštitúcie, ktoré používajú prístup interných modelov podľa článku 221, nemôžu používať postup ustanovený</w:t>
      </w:r>
      <w:r w:rsidR="004F01E9">
        <w:rPr>
          <w:noProof/>
        </w:rPr>
        <w:t xml:space="preserve"> v </w:t>
      </w:r>
      <w:r w:rsidRPr="004F01E9">
        <w:rPr>
          <w:noProof/>
        </w:rPr>
        <w:t>tomto článku.“</w:t>
      </w:r>
    </w:p>
    <w:p w14:paraId="69399F59" w14:textId="4EAFF5D0" w:rsidR="00806B81" w:rsidRPr="004F01E9" w:rsidRDefault="00B16452" w:rsidP="00B16452">
      <w:pPr>
        <w:pStyle w:val="Point0"/>
        <w:rPr>
          <w:noProof/>
        </w:rPr>
      </w:pPr>
      <w:r w:rsidRPr="00B16452">
        <w:rPr>
          <w:noProof/>
        </w:rPr>
        <w:t>117</w:t>
      </w:r>
      <w:r>
        <w:rPr>
          <w:noProof/>
        </w:rPr>
        <w:t>.</w:t>
      </w:r>
      <w:r w:rsidRPr="00B16452">
        <w:rPr>
          <w:noProof/>
        </w:rPr>
        <w:tab/>
      </w:r>
      <w:r w:rsidR="005A21FE" w:rsidRPr="004F01E9">
        <w:rPr>
          <w:noProof/>
        </w:rPr>
        <w:t>Článok 228 sa mení takto:</w:t>
      </w:r>
    </w:p>
    <w:p w14:paraId="33A8AF4F" w14:textId="33D21176" w:rsidR="005A21FE" w:rsidRPr="004F01E9" w:rsidRDefault="00DB2DEE" w:rsidP="00DB2DEE">
      <w:pPr>
        <w:pStyle w:val="Point1"/>
        <w:rPr>
          <w:noProof/>
        </w:rPr>
      </w:pPr>
      <w:r w:rsidRPr="004F01E9">
        <w:rPr>
          <w:noProof/>
        </w:rPr>
        <w:t>a)</w:t>
      </w:r>
      <w:r w:rsidRPr="004F01E9">
        <w:rPr>
          <w:noProof/>
        </w:rPr>
        <w:tab/>
        <w:t>Názov sa nahrádza takto:</w:t>
      </w:r>
    </w:p>
    <w:p w14:paraId="695A35E6" w14:textId="4FF0DC99" w:rsidR="005A21FE" w:rsidRPr="004F01E9" w:rsidRDefault="005A21FE" w:rsidP="005A21FE">
      <w:pPr>
        <w:pStyle w:val="Titrearticle"/>
        <w:rPr>
          <w:noProof/>
        </w:rPr>
      </w:pPr>
      <w:r w:rsidRPr="004F01E9">
        <w:rPr>
          <w:noProof/>
        </w:rPr>
        <w:t>„</w:t>
      </w:r>
      <w:r w:rsidRPr="004F01E9">
        <w:rPr>
          <w:b/>
          <w:i w:val="0"/>
          <w:noProof/>
        </w:rPr>
        <w:t>Výpočet hodnôt rizikovo vážených expozícií podľa súhrnnej metódy nakladania</w:t>
      </w:r>
      <w:r w:rsidR="004F01E9">
        <w:rPr>
          <w:b/>
          <w:i w:val="0"/>
          <w:noProof/>
        </w:rPr>
        <w:t xml:space="preserve"> s </w:t>
      </w:r>
      <w:r w:rsidRPr="004F01E9">
        <w:rPr>
          <w:b/>
          <w:i w:val="0"/>
          <w:noProof/>
        </w:rPr>
        <w:t>finančným kolaterálom pre expozície podľa štandardizovaného prístupu</w:t>
      </w:r>
      <w:r w:rsidRPr="004F01E9">
        <w:rPr>
          <w:noProof/>
        </w:rPr>
        <w:t>“;</w:t>
      </w:r>
    </w:p>
    <w:p w14:paraId="44D2AE58" w14:textId="4A822C22" w:rsidR="005A21FE" w:rsidRPr="004F01E9" w:rsidRDefault="00DB2DEE" w:rsidP="00DB2DEE">
      <w:pPr>
        <w:pStyle w:val="Point1"/>
        <w:rPr>
          <w:noProof/>
        </w:rPr>
      </w:pPr>
      <w:r w:rsidRPr="004F01E9">
        <w:rPr>
          <w:noProof/>
        </w:rPr>
        <w:t>b)</w:t>
      </w:r>
      <w:r w:rsidRPr="004F01E9">
        <w:rPr>
          <w:noProof/>
        </w:rPr>
        <w:tab/>
        <w:t>Odsek 2 sa vypúšťa.</w:t>
      </w:r>
    </w:p>
    <w:p w14:paraId="7CFAE88B" w14:textId="3AF2312B" w:rsidR="00806B81" w:rsidRPr="004F01E9" w:rsidRDefault="00B16452" w:rsidP="00B16452">
      <w:pPr>
        <w:pStyle w:val="Point0"/>
        <w:rPr>
          <w:noProof/>
        </w:rPr>
      </w:pPr>
      <w:r w:rsidRPr="00B16452">
        <w:rPr>
          <w:noProof/>
        </w:rPr>
        <w:t>118</w:t>
      </w:r>
      <w:r>
        <w:rPr>
          <w:noProof/>
        </w:rPr>
        <w:t>.</w:t>
      </w:r>
      <w:r w:rsidRPr="00B16452">
        <w:rPr>
          <w:noProof/>
        </w:rPr>
        <w:tab/>
      </w:r>
      <w:r w:rsidR="005A21FE" w:rsidRPr="004F01E9">
        <w:rPr>
          <w:noProof/>
        </w:rPr>
        <w:t>Článok 229 sa mení takto:</w:t>
      </w:r>
    </w:p>
    <w:p w14:paraId="34315865" w14:textId="266814E2" w:rsidR="005A21FE" w:rsidRPr="004F01E9" w:rsidRDefault="00CE071F" w:rsidP="00CE071F">
      <w:pPr>
        <w:pStyle w:val="Point1"/>
        <w:rPr>
          <w:noProof/>
        </w:rPr>
      </w:pPr>
      <w:r w:rsidRPr="004F01E9">
        <w:rPr>
          <w:noProof/>
        </w:rPr>
        <w:t>a)</w:t>
      </w:r>
      <w:r w:rsidRPr="004F01E9">
        <w:rPr>
          <w:noProof/>
        </w:rPr>
        <w:tab/>
        <w:t>Názov sa nahrádza takto:</w:t>
      </w:r>
    </w:p>
    <w:p w14:paraId="6418DB34" w14:textId="77777777" w:rsidR="005A21FE" w:rsidRPr="004F01E9" w:rsidRDefault="005A21FE" w:rsidP="005A21FE">
      <w:pPr>
        <w:pStyle w:val="Titrearticle"/>
        <w:rPr>
          <w:noProof/>
        </w:rPr>
      </w:pPr>
      <w:r w:rsidRPr="004F01E9">
        <w:rPr>
          <w:noProof/>
        </w:rPr>
        <w:t>„</w:t>
      </w:r>
      <w:r w:rsidRPr="004F01E9">
        <w:rPr>
          <w:b/>
          <w:i w:val="0"/>
          <w:noProof/>
        </w:rPr>
        <w:t>Zásady oceňovania pre prípustný kolaterál iný než finančný kolaterál</w:t>
      </w:r>
      <w:r w:rsidRPr="004F01E9">
        <w:rPr>
          <w:noProof/>
        </w:rPr>
        <w:t>“;</w:t>
      </w:r>
    </w:p>
    <w:p w14:paraId="289E42CB" w14:textId="64BDB6BF" w:rsidR="005A21FE" w:rsidRPr="004F01E9" w:rsidRDefault="00CE071F" w:rsidP="00CE071F">
      <w:pPr>
        <w:pStyle w:val="Point1"/>
        <w:rPr>
          <w:noProof/>
        </w:rPr>
      </w:pPr>
      <w:r w:rsidRPr="004F01E9">
        <w:rPr>
          <w:noProof/>
        </w:rPr>
        <w:t>b)</w:t>
      </w:r>
      <w:r w:rsidRPr="004F01E9">
        <w:rPr>
          <w:noProof/>
        </w:rPr>
        <w:tab/>
        <w:t>Odsek 1 sa nahrádza takto:</w:t>
      </w:r>
    </w:p>
    <w:p w14:paraId="5A75249C" w14:textId="77777777" w:rsidR="005A21FE" w:rsidRPr="004F01E9" w:rsidRDefault="005A21FE" w:rsidP="005A21FE">
      <w:pPr>
        <w:pStyle w:val="Text2"/>
        <w:rPr>
          <w:noProof/>
        </w:rPr>
      </w:pPr>
      <w:r w:rsidRPr="004F01E9">
        <w:rPr>
          <w:noProof/>
        </w:rPr>
        <w:t>„1. Ocenenie nehnuteľného majetku musí spĺňať všetky tieto požiadavky:</w:t>
      </w:r>
    </w:p>
    <w:p w14:paraId="5B0A5DB8" w14:textId="2B267D5A" w:rsidR="005A21FE" w:rsidRPr="004F01E9" w:rsidRDefault="005A21FE" w:rsidP="005A21FE">
      <w:pPr>
        <w:pStyle w:val="Point2"/>
        <w:rPr>
          <w:noProof/>
        </w:rPr>
      </w:pPr>
      <w:r w:rsidRPr="004F01E9">
        <w:rPr>
          <w:noProof/>
        </w:rPr>
        <w:t>a)</w:t>
      </w:r>
      <w:r w:rsidRPr="004F01E9">
        <w:rPr>
          <w:noProof/>
        </w:rPr>
        <w:tab/>
        <w:t>hodnotu posudzuje nezávislý oceňovateľ, ktorý má požadovanú kvalifikáciu, schopnosti</w:t>
      </w:r>
      <w:r w:rsidR="004F01E9">
        <w:rPr>
          <w:noProof/>
        </w:rPr>
        <w:t xml:space="preserve"> a </w:t>
      </w:r>
      <w:r w:rsidRPr="004F01E9">
        <w:rPr>
          <w:noProof/>
        </w:rPr>
        <w:t>skúsenosti na vykonanie ocenenia, nezávisle od procesu inštitúcie súvisiaceho</w:t>
      </w:r>
      <w:r w:rsidR="004F01E9">
        <w:rPr>
          <w:noProof/>
        </w:rPr>
        <w:t xml:space="preserve"> s </w:t>
      </w:r>
      <w:r w:rsidRPr="004F01E9">
        <w:rPr>
          <w:noProof/>
        </w:rPr>
        <w:t>nadobudnutím hypotéky, spracovaním úverov</w:t>
      </w:r>
      <w:r w:rsidR="004F01E9">
        <w:rPr>
          <w:noProof/>
        </w:rPr>
        <w:t xml:space="preserve"> a </w:t>
      </w:r>
      <w:r w:rsidRPr="004F01E9">
        <w:rPr>
          <w:noProof/>
        </w:rPr>
        <w:t>rozhodovaním</w:t>
      </w:r>
      <w:r w:rsidR="004F01E9">
        <w:rPr>
          <w:noProof/>
        </w:rPr>
        <w:t xml:space="preserve"> o </w:t>
      </w:r>
      <w:r w:rsidRPr="004F01E9">
        <w:rPr>
          <w:noProof/>
        </w:rPr>
        <w:t>poskytnutí úveru;</w:t>
      </w:r>
    </w:p>
    <w:p w14:paraId="37BA4F02" w14:textId="55622333" w:rsidR="005A21FE" w:rsidRPr="004F01E9" w:rsidRDefault="005A21FE" w:rsidP="005A21FE">
      <w:pPr>
        <w:pStyle w:val="Point2"/>
        <w:rPr>
          <w:noProof/>
        </w:rPr>
      </w:pPr>
      <w:r w:rsidRPr="004F01E9">
        <w:rPr>
          <w:noProof/>
        </w:rPr>
        <w:t>b)</w:t>
      </w:r>
      <w:r w:rsidRPr="004F01E9">
        <w:rPr>
          <w:noProof/>
        </w:rPr>
        <w:tab/>
        <w:t>hodnota sa posudzuje</w:t>
      </w:r>
      <w:r w:rsidR="004F01E9">
        <w:rPr>
          <w:noProof/>
        </w:rPr>
        <w:t xml:space="preserve"> s </w:t>
      </w:r>
      <w:r w:rsidRPr="004F01E9">
        <w:rPr>
          <w:noProof/>
        </w:rPr>
        <w:t>použitím obozretne konzervatívnych kritérií oceňovania, ktoré spĺňajú všetky tieto požiadavky:</w:t>
      </w:r>
    </w:p>
    <w:p w14:paraId="0175E08A" w14:textId="77777777" w:rsidR="005A21FE" w:rsidRPr="004F01E9" w:rsidRDefault="005A21FE" w:rsidP="005A21FE">
      <w:pPr>
        <w:pStyle w:val="Point3"/>
        <w:rPr>
          <w:noProof/>
        </w:rPr>
      </w:pPr>
      <w:r w:rsidRPr="004F01E9">
        <w:rPr>
          <w:noProof/>
        </w:rPr>
        <w:t>i)</w:t>
      </w:r>
      <w:r w:rsidRPr="004F01E9">
        <w:rPr>
          <w:noProof/>
        </w:rPr>
        <w:tab/>
        <w:t>hodnota nezahŕňa očakávania týkajúce sa zvyšovania cien;</w:t>
      </w:r>
    </w:p>
    <w:p w14:paraId="2233B553" w14:textId="77777777" w:rsidR="005A21FE" w:rsidRPr="004F01E9" w:rsidRDefault="005A21FE" w:rsidP="005A21FE">
      <w:pPr>
        <w:pStyle w:val="Point3"/>
        <w:rPr>
          <w:noProof/>
        </w:rPr>
      </w:pPr>
      <w:r w:rsidRPr="004F01E9">
        <w:rPr>
          <w:noProof/>
        </w:rPr>
        <w:t>ii)</w:t>
      </w:r>
      <w:r w:rsidRPr="004F01E9">
        <w:rPr>
          <w:noProof/>
        </w:rPr>
        <w:tab/>
        <w:t>hodnota sa upravuje tak, aby zohľadňovala potenciál súčasnej trhovej ceny nachádzať sa výrazne nad hodnotou, ktorá by bola udržateľná počas celej doby trvania úveru;</w:t>
      </w:r>
    </w:p>
    <w:p w14:paraId="34BFE48E" w14:textId="77777777" w:rsidR="005A21FE" w:rsidRPr="004F01E9" w:rsidRDefault="005A21FE" w:rsidP="005A21FE">
      <w:pPr>
        <w:pStyle w:val="Point2"/>
        <w:rPr>
          <w:noProof/>
        </w:rPr>
      </w:pPr>
      <w:r w:rsidRPr="004F01E9">
        <w:rPr>
          <w:noProof/>
        </w:rPr>
        <w:t>c)</w:t>
      </w:r>
      <w:r w:rsidRPr="004F01E9">
        <w:rPr>
          <w:noProof/>
        </w:rPr>
        <w:tab/>
        <w:t>hodnota nie je vyššia ako trhová hodnota nehnuteľného majetku, ak je možné takúto trhovú hodnotu určiť.</w:t>
      </w:r>
    </w:p>
    <w:p w14:paraId="40AFF1CB" w14:textId="6A11C6C9" w:rsidR="005A21FE" w:rsidRPr="00376CBB" w:rsidRDefault="005A21FE" w:rsidP="005A21FE">
      <w:pPr>
        <w:pStyle w:val="Text2"/>
        <w:rPr>
          <w:noProof/>
          <w:spacing w:val="-8"/>
        </w:rPr>
      </w:pPr>
      <w:r w:rsidRPr="00376CBB">
        <w:rPr>
          <w:noProof/>
          <w:spacing w:val="-8"/>
        </w:rPr>
        <w:t>Hodnota kolaterálu odzrkadľuje výsledky monitorovania požadovaného podľa článku 208 ods. 3</w:t>
      </w:r>
      <w:r w:rsidR="004F01E9" w:rsidRPr="00376CBB">
        <w:rPr>
          <w:noProof/>
          <w:spacing w:val="-8"/>
        </w:rPr>
        <w:t xml:space="preserve"> a </w:t>
      </w:r>
      <w:r w:rsidRPr="00376CBB">
        <w:rPr>
          <w:noProof/>
          <w:spacing w:val="-8"/>
        </w:rPr>
        <w:t>zohľadňuje všetky predchádzajúce nároky na nehnuteľný majetok.“</w:t>
      </w:r>
    </w:p>
    <w:p w14:paraId="38DBBE8B" w14:textId="01C8FBE8" w:rsidR="005A21FE" w:rsidRPr="004F01E9" w:rsidRDefault="00B16452" w:rsidP="00B16452">
      <w:pPr>
        <w:pStyle w:val="Point0"/>
        <w:rPr>
          <w:noProof/>
        </w:rPr>
      </w:pPr>
      <w:r w:rsidRPr="00B16452">
        <w:rPr>
          <w:noProof/>
        </w:rPr>
        <w:t>119</w:t>
      </w:r>
      <w:r>
        <w:rPr>
          <w:noProof/>
        </w:rPr>
        <w:t>.</w:t>
      </w:r>
      <w:r w:rsidRPr="00B16452">
        <w:rPr>
          <w:noProof/>
        </w:rPr>
        <w:tab/>
      </w:r>
      <w:r w:rsidR="005A21FE" w:rsidRPr="004F01E9">
        <w:rPr>
          <w:noProof/>
        </w:rPr>
        <w:t>Článok 230 sa nahrádza takto:</w:t>
      </w:r>
    </w:p>
    <w:p w14:paraId="6129A8B8" w14:textId="7F1AB0CB" w:rsidR="005A21FE" w:rsidRPr="004F01E9" w:rsidRDefault="005A21FE" w:rsidP="005A21FE">
      <w:pPr>
        <w:pStyle w:val="Titrearticle"/>
        <w:rPr>
          <w:noProof/>
        </w:rPr>
      </w:pPr>
      <w:r w:rsidRPr="004F01E9">
        <w:rPr>
          <w:noProof/>
        </w:rPr>
        <w:t>„Článok 230</w:t>
      </w:r>
      <w:r w:rsidRPr="004F01E9">
        <w:rPr>
          <w:noProof/>
        </w:rPr>
        <w:br/>
      </w:r>
      <w:r w:rsidRPr="004F01E9">
        <w:rPr>
          <w:b/>
          <w:i w:val="0"/>
          <w:noProof/>
        </w:rPr>
        <w:t>Výpočet hodnoty rizikovo vážených expozícií</w:t>
      </w:r>
      <w:r w:rsidR="004F01E9">
        <w:rPr>
          <w:b/>
          <w:i w:val="0"/>
          <w:noProof/>
        </w:rPr>
        <w:t xml:space="preserve"> a </w:t>
      </w:r>
      <w:r w:rsidRPr="004F01E9">
        <w:rPr>
          <w:b/>
          <w:i w:val="0"/>
          <w:noProof/>
        </w:rPr>
        <w:t>výšky očakávaných strát pre expozíciu</w:t>
      </w:r>
      <w:r w:rsidR="004F01E9">
        <w:rPr>
          <w:b/>
          <w:i w:val="0"/>
          <w:noProof/>
        </w:rPr>
        <w:t xml:space="preserve"> s </w:t>
      </w:r>
      <w:r w:rsidRPr="004F01E9">
        <w:rPr>
          <w:b/>
          <w:i w:val="0"/>
          <w:noProof/>
        </w:rPr>
        <w:t>prípustným FCP podľa prístupu IRB</w:t>
      </w:r>
    </w:p>
    <w:p w14:paraId="163A8CF6" w14:textId="209FFD25" w:rsidR="005A21FE" w:rsidRPr="004F01E9" w:rsidRDefault="005A21FE" w:rsidP="005A21FE">
      <w:pPr>
        <w:pStyle w:val="Text1"/>
        <w:rPr>
          <w:noProof/>
        </w:rPr>
      </w:pPr>
      <w:r w:rsidRPr="004F01E9">
        <w:rPr>
          <w:noProof/>
        </w:rPr>
        <w:t>1.</w:t>
      </w:r>
      <w:r w:rsidR="004F01E9">
        <w:rPr>
          <w:noProof/>
        </w:rPr>
        <w:t xml:space="preserve"> S </w:t>
      </w:r>
      <w:r w:rsidRPr="004F01E9">
        <w:rPr>
          <w:noProof/>
        </w:rPr>
        <w:t>cieľom uznať financované kreditné zabezpečenie prípustné podľa tejto kapitoly použijú inštitúcie</w:t>
      </w:r>
      <w:r w:rsidR="004F01E9">
        <w:rPr>
          <w:noProof/>
        </w:rPr>
        <w:t xml:space="preserve"> v </w:t>
      </w:r>
      <w:r w:rsidRPr="004F01E9">
        <w:rPr>
          <w:noProof/>
        </w:rPr>
        <w:t>rámci prístupu IRB,</w:t>
      </w:r>
      <w:r w:rsidR="004F01E9">
        <w:rPr>
          <w:noProof/>
        </w:rPr>
        <w:t xml:space="preserve"> s </w:t>
      </w:r>
      <w:r w:rsidRPr="004F01E9">
        <w:rPr>
          <w:noProof/>
        </w:rPr>
        <w:t>výnimkou expozícií, ktoré patria do rozsahu pôsobnosti článku 220, skutočnú LGD (LGD*) ako LGD na účely kapitoly 3. Inštitúcie vypočítavajú LGD* takto:</w:t>
      </w:r>
    </w:p>
    <w:p w14:paraId="0990868A" w14:textId="77777777" w:rsidR="00806B81" w:rsidRPr="004F01E9" w:rsidRDefault="005A21FE" w:rsidP="005A21FE">
      <w:pPr>
        <w:pStyle w:val="Text1"/>
        <w:rPr>
          <w:rFonts w:ascii="Cambria Math" w:hAnsi="Cambria Math"/>
          <w:noProof/>
          <w:oMath/>
        </w:rPr>
      </w:pPr>
      <m:oMathPara>
        <m:oMath>
          <m:r>
            <w:rPr>
              <w:rFonts w:ascii="Cambria Math" w:hAnsi="Cambria Math"/>
              <w:noProof/>
            </w:rPr>
            <m:t>LG</m:t>
          </m:r>
          <m:sSup>
            <m:sSupPr>
              <m:ctrlPr>
                <w:rPr>
                  <w:rFonts w:ascii="Cambria Math" w:hAnsi="Cambria Math"/>
                  <w:noProof/>
                </w:rPr>
              </m:ctrlPr>
            </m:sSupPr>
            <m:e>
              <m:r>
                <w:rPr>
                  <w:rFonts w:ascii="Cambria Math" w:hAnsi="Cambria Math"/>
                  <w:noProof/>
                </w:rPr>
                <m:t>D</m:t>
              </m:r>
            </m:e>
            <m:sup>
              <m:r>
                <m:rPr>
                  <m:sty m:val="p"/>
                </m:rPr>
                <w:rPr>
                  <w:rFonts w:ascii="Cambria Math" w:hAnsi="Cambria Math"/>
                  <w:noProof/>
                </w:rPr>
                <m:t>*</m:t>
              </m:r>
            </m:sup>
          </m:sSup>
          <m:r>
            <m:rPr>
              <m:sty m:val="p"/>
            </m:rPr>
            <w:rPr>
              <w:rFonts w:ascii="Cambria Math" w:hAnsi="Cambria Math"/>
              <w:noProof/>
            </w:rPr>
            <m:t>=</m:t>
          </m:r>
          <m:r>
            <w:rPr>
              <w:rFonts w:ascii="Cambria Math" w:hAnsi="Cambria Math"/>
              <w:noProof/>
            </w:rPr>
            <m:t>LG</m:t>
          </m:r>
          <m:sSub>
            <m:sSubPr>
              <m:ctrlPr>
                <w:rPr>
                  <w:rFonts w:ascii="Cambria Math" w:hAnsi="Cambria Math"/>
                  <w:noProof/>
                </w:rPr>
              </m:ctrlPr>
            </m:sSubPr>
            <m:e>
              <m:r>
                <w:rPr>
                  <w:rFonts w:ascii="Cambria Math" w:hAnsi="Cambria Math"/>
                  <w:noProof/>
                </w:rPr>
                <m:t>D</m:t>
              </m:r>
            </m:e>
            <m:sub>
              <m:r>
                <w:rPr>
                  <w:rFonts w:ascii="Cambria Math" w:hAnsi="Cambria Math"/>
                  <w:noProof/>
                </w:rPr>
                <m:t>U</m:t>
              </m:r>
            </m:sub>
          </m:sSub>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E</m:t>
                  </m:r>
                </m:e>
                <m:sub>
                  <m:r>
                    <w:rPr>
                      <w:rFonts w:ascii="Cambria Math" w:hAnsi="Cambria Math"/>
                      <w:noProof/>
                    </w:rPr>
                    <m:t>U</m:t>
                  </m:r>
                </m:sub>
              </m:sSub>
            </m:num>
            <m:den>
              <m:r>
                <w:rPr>
                  <w:rFonts w:ascii="Cambria Math" w:hAnsi="Cambria Math"/>
                  <w:noProof/>
                </w:rPr>
                <m:t>E</m:t>
              </m:r>
              <m:r>
                <m:rPr>
                  <m:sty m:val="p"/>
                </m:rPr>
                <w:rPr>
                  <w:rFonts w:ascii="Cambria Math" w:hAnsi="Cambria Math"/>
                  <w:noProof/>
                </w:rPr>
                <m:t>⋅</m:t>
              </m:r>
              <m:d>
                <m:dPr>
                  <m:ctrlPr>
                    <w:rPr>
                      <w:rFonts w:ascii="Cambria Math" w:hAnsi="Cambria Math"/>
                      <w:noProof/>
                    </w:rPr>
                  </m:ctrlPr>
                </m:dPr>
                <m:e>
                  <m:r>
                    <m:rPr>
                      <m:sty m:val="p"/>
                    </m:rPr>
                    <w:rPr>
                      <w:rFonts w:ascii="Cambria Math" w:hAnsi="Cambria Math"/>
                      <w:noProof/>
                    </w:rPr>
                    <m:t>1+</m:t>
                  </m:r>
                  <m:sSub>
                    <m:sSubPr>
                      <m:ctrlPr>
                        <w:rPr>
                          <w:rFonts w:ascii="Cambria Math" w:hAnsi="Cambria Math"/>
                          <w:noProof/>
                        </w:rPr>
                      </m:ctrlPr>
                    </m:sSubPr>
                    <m:e>
                      <m:r>
                        <w:rPr>
                          <w:rFonts w:ascii="Cambria Math" w:hAnsi="Cambria Math"/>
                          <w:noProof/>
                        </w:rPr>
                        <m:t>H</m:t>
                      </m:r>
                    </m:e>
                    <m:sub>
                      <m:r>
                        <w:rPr>
                          <w:rFonts w:ascii="Cambria Math" w:hAnsi="Cambria Math"/>
                          <w:noProof/>
                        </w:rPr>
                        <m:t>E</m:t>
                      </m:r>
                    </m:sub>
                  </m:sSub>
                </m:e>
              </m:d>
            </m:den>
          </m:f>
          <m:r>
            <m:rPr>
              <m:sty m:val="p"/>
            </m:rPr>
            <w:rPr>
              <w:rFonts w:ascii="Cambria Math" w:hAnsi="Cambria Math"/>
              <w:noProof/>
            </w:rPr>
            <m:t>+</m:t>
          </m:r>
          <m:r>
            <w:rPr>
              <w:rFonts w:ascii="Cambria Math" w:hAnsi="Cambria Math"/>
              <w:noProof/>
            </w:rPr>
            <m:t>LG</m:t>
          </m:r>
          <m:sSub>
            <m:sSubPr>
              <m:ctrlPr>
                <w:rPr>
                  <w:rFonts w:ascii="Cambria Math" w:hAnsi="Cambria Math"/>
                  <w:noProof/>
                </w:rPr>
              </m:ctrlPr>
            </m:sSubPr>
            <m:e>
              <m:r>
                <w:rPr>
                  <w:rFonts w:ascii="Cambria Math" w:hAnsi="Cambria Math"/>
                  <w:noProof/>
                </w:rPr>
                <m:t>D</m:t>
              </m:r>
            </m:e>
            <m:sub>
              <m:r>
                <w:rPr>
                  <w:rFonts w:ascii="Cambria Math" w:hAnsi="Cambria Math"/>
                  <w:noProof/>
                </w:rPr>
                <m:t>S</m:t>
              </m:r>
            </m:sub>
          </m:sSub>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E</m:t>
                  </m:r>
                </m:e>
                <m:sub>
                  <m:r>
                    <w:rPr>
                      <w:rFonts w:ascii="Cambria Math" w:hAnsi="Cambria Math"/>
                      <w:noProof/>
                    </w:rPr>
                    <m:t>S</m:t>
                  </m:r>
                </m:sub>
              </m:sSub>
            </m:num>
            <m:den>
              <m:r>
                <w:rPr>
                  <w:rFonts w:ascii="Cambria Math" w:hAnsi="Cambria Math"/>
                  <w:noProof/>
                </w:rPr>
                <m:t>E</m:t>
              </m:r>
              <m:r>
                <m:rPr>
                  <m:sty m:val="p"/>
                </m:rPr>
                <w:rPr>
                  <w:rFonts w:ascii="Cambria Math" w:hAnsi="Cambria Math"/>
                  <w:noProof/>
                </w:rPr>
                <m:t>⋅(1+</m:t>
              </m:r>
              <m:sSub>
                <m:sSubPr>
                  <m:ctrlPr>
                    <w:rPr>
                      <w:rFonts w:ascii="Cambria Math" w:hAnsi="Cambria Math"/>
                      <w:noProof/>
                    </w:rPr>
                  </m:ctrlPr>
                </m:sSubPr>
                <m:e>
                  <m:r>
                    <w:rPr>
                      <w:rFonts w:ascii="Cambria Math" w:hAnsi="Cambria Math"/>
                      <w:noProof/>
                    </w:rPr>
                    <m:t>H</m:t>
                  </m:r>
                </m:e>
                <m:sub>
                  <m:r>
                    <w:rPr>
                      <w:rFonts w:ascii="Cambria Math" w:hAnsi="Cambria Math"/>
                      <w:noProof/>
                    </w:rPr>
                    <m:t>E</m:t>
                  </m:r>
                </m:sub>
              </m:sSub>
              <m:r>
                <m:rPr>
                  <m:sty m:val="p"/>
                </m:rPr>
                <w:rPr>
                  <w:rFonts w:ascii="Cambria Math" w:hAnsi="Cambria Math"/>
                  <w:noProof/>
                </w:rPr>
                <m:t>)</m:t>
              </m:r>
            </m:den>
          </m:f>
        </m:oMath>
      </m:oMathPara>
    </w:p>
    <w:p w14:paraId="7C8E61D9" w14:textId="42CB3A83" w:rsidR="005A21FE" w:rsidRPr="004F01E9" w:rsidRDefault="005A21FE" w:rsidP="005A21FE">
      <w:pPr>
        <w:pStyle w:val="Text1"/>
        <w:rPr>
          <w:noProof/>
        </w:rPr>
      </w:pPr>
      <w:r w:rsidRPr="004F01E9">
        <w:rPr>
          <w:noProof/>
        </w:rPr>
        <w:t>kde:</w:t>
      </w:r>
    </w:p>
    <w:p w14:paraId="6B31A18D" w14:textId="2A034656" w:rsidR="00806B81" w:rsidRPr="00376CBB" w:rsidRDefault="005A21FE" w:rsidP="005A21FE">
      <w:pPr>
        <w:pStyle w:val="Text1"/>
        <w:rPr>
          <w:noProof/>
          <w:spacing w:val="-4"/>
        </w:rPr>
      </w:pPr>
      <w:r w:rsidRPr="00376CBB">
        <w:rPr>
          <w:i/>
          <w:noProof/>
          <w:spacing w:val="-4"/>
        </w:rPr>
        <w:t>E</w:t>
      </w:r>
      <w:r w:rsidRPr="00376CBB">
        <w:rPr>
          <w:noProof/>
          <w:spacing w:val="-4"/>
        </w:rPr>
        <w:tab/>
        <w:t>= hodnota expozície pred zohľadnením účinku financovaného kreditného zabezpečenia.</w:t>
      </w:r>
      <w:r w:rsidR="004F01E9" w:rsidRPr="00376CBB">
        <w:rPr>
          <w:noProof/>
          <w:spacing w:val="-4"/>
        </w:rPr>
        <w:t xml:space="preserve"> V </w:t>
      </w:r>
      <w:r w:rsidRPr="00376CBB">
        <w:rPr>
          <w:noProof/>
          <w:spacing w:val="-4"/>
        </w:rPr>
        <w:t>prípade expozície zabezpečenej finančným kolaterálom prípustným</w:t>
      </w:r>
      <w:r w:rsidR="004F01E9" w:rsidRPr="00376CBB">
        <w:rPr>
          <w:noProof/>
          <w:spacing w:val="-4"/>
        </w:rPr>
        <w:t xml:space="preserve"> v </w:t>
      </w:r>
      <w:r w:rsidRPr="00376CBB">
        <w:rPr>
          <w:noProof/>
          <w:spacing w:val="-4"/>
        </w:rPr>
        <w:t>súlade</w:t>
      </w:r>
      <w:r w:rsidR="004F01E9" w:rsidRPr="00376CBB">
        <w:rPr>
          <w:noProof/>
          <w:spacing w:val="-4"/>
        </w:rPr>
        <w:t xml:space="preserve"> s </w:t>
      </w:r>
      <w:r w:rsidRPr="00376CBB">
        <w:rPr>
          <w:noProof/>
          <w:spacing w:val="-4"/>
        </w:rPr>
        <w:t>touto kapitolou sa uvedená hodnota vypočíta</w:t>
      </w:r>
      <w:r w:rsidR="004F01E9" w:rsidRPr="00376CBB">
        <w:rPr>
          <w:noProof/>
          <w:spacing w:val="-4"/>
        </w:rPr>
        <w:t xml:space="preserve"> v </w:t>
      </w:r>
      <w:r w:rsidRPr="00376CBB">
        <w:rPr>
          <w:noProof/>
          <w:spacing w:val="-4"/>
        </w:rPr>
        <w:t>súlade</w:t>
      </w:r>
      <w:r w:rsidR="004F01E9" w:rsidRPr="00376CBB">
        <w:rPr>
          <w:noProof/>
          <w:spacing w:val="-4"/>
        </w:rPr>
        <w:t xml:space="preserve"> s </w:t>
      </w:r>
      <w:r w:rsidRPr="00376CBB">
        <w:rPr>
          <w:noProof/>
          <w:spacing w:val="-4"/>
        </w:rPr>
        <w:t>článkom 223 ods. 3.</w:t>
      </w:r>
      <w:r w:rsidR="004F01E9" w:rsidRPr="00376CBB">
        <w:rPr>
          <w:noProof/>
          <w:spacing w:val="-4"/>
        </w:rPr>
        <w:t xml:space="preserve"> V </w:t>
      </w:r>
      <w:r w:rsidRPr="00376CBB">
        <w:rPr>
          <w:noProof/>
          <w:spacing w:val="-4"/>
        </w:rPr>
        <w:t>prípade požičaných alebo poskytnutých cenných papierov sa táto suma rovná požičanej hotovosti alebo požičaným alebo poskytnutým cenným papierom.</w:t>
      </w:r>
      <w:r w:rsidR="004F01E9" w:rsidRPr="00376CBB">
        <w:rPr>
          <w:noProof/>
          <w:spacing w:val="-4"/>
        </w:rPr>
        <w:t xml:space="preserve"> V </w:t>
      </w:r>
      <w:r w:rsidRPr="00376CBB">
        <w:rPr>
          <w:noProof/>
          <w:spacing w:val="-4"/>
        </w:rPr>
        <w:t>prípade cenných papierov, ktoré sú požičané alebo poskytnuté, sa hodnota expozície zvýši uplatnením úpravy</w:t>
      </w:r>
      <w:r w:rsidR="004F01E9" w:rsidRPr="00376CBB">
        <w:rPr>
          <w:noProof/>
          <w:spacing w:val="-4"/>
        </w:rPr>
        <w:t xml:space="preserve"> z </w:t>
      </w:r>
      <w:r w:rsidRPr="00376CBB">
        <w:rPr>
          <w:noProof/>
          <w:spacing w:val="-4"/>
        </w:rPr>
        <w:t>dôvodu volatility (</w:t>
      </w:r>
      <w:r w:rsidRPr="00376CBB">
        <w:rPr>
          <w:i/>
          <w:noProof/>
          <w:spacing w:val="-4"/>
        </w:rPr>
        <w:t>H</w:t>
      </w:r>
      <w:r w:rsidRPr="00376CBB">
        <w:rPr>
          <w:i/>
          <w:noProof/>
          <w:spacing w:val="-4"/>
          <w:vertAlign w:val="subscript"/>
        </w:rPr>
        <w:t>E</w:t>
      </w:r>
      <w:r w:rsidRPr="00376CBB">
        <w:rPr>
          <w:noProof/>
          <w:spacing w:val="-4"/>
        </w:rPr>
        <w:t>)</w:t>
      </w:r>
      <w:r w:rsidR="004F01E9" w:rsidRPr="00376CBB">
        <w:rPr>
          <w:noProof/>
          <w:spacing w:val="-4"/>
        </w:rPr>
        <w:t xml:space="preserve"> v </w:t>
      </w:r>
      <w:r w:rsidRPr="00376CBB">
        <w:rPr>
          <w:noProof/>
          <w:spacing w:val="-4"/>
        </w:rPr>
        <w:t>súlade</w:t>
      </w:r>
      <w:r w:rsidR="004F01E9" w:rsidRPr="00376CBB">
        <w:rPr>
          <w:noProof/>
          <w:spacing w:val="-4"/>
        </w:rPr>
        <w:t xml:space="preserve"> s </w:t>
      </w:r>
      <w:r w:rsidRPr="00376CBB">
        <w:rPr>
          <w:noProof/>
          <w:spacing w:val="-4"/>
        </w:rPr>
        <w:t>článkami 223 až 227;</w:t>
      </w:r>
    </w:p>
    <w:p w14:paraId="03F08E21" w14:textId="087F7DC2" w:rsidR="005A21FE" w:rsidRPr="004F01E9" w:rsidRDefault="005A21FE" w:rsidP="005A21FE">
      <w:pPr>
        <w:pStyle w:val="Text1"/>
        <w:rPr>
          <w:noProof/>
        </w:rPr>
      </w:pPr>
      <w:r w:rsidRPr="004F01E9">
        <w:rPr>
          <w:i/>
          <w:noProof/>
        </w:rPr>
        <w:t>E</w:t>
      </w:r>
      <w:r w:rsidRPr="004F01E9">
        <w:rPr>
          <w:i/>
          <w:noProof/>
          <w:vertAlign w:val="subscript"/>
        </w:rPr>
        <w:t>S</w:t>
      </w:r>
      <w:r w:rsidRPr="004F01E9">
        <w:rPr>
          <w:noProof/>
        </w:rPr>
        <w:tab/>
        <w:t>= súčasná hodnota financovaného kreditného zabezpečenia prijatého po uplatnení úpravy</w:t>
      </w:r>
      <w:r w:rsidR="004F01E9">
        <w:rPr>
          <w:noProof/>
        </w:rPr>
        <w:t xml:space="preserve"> z </w:t>
      </w:r>
      <w:r w:rsidRPr="004F01E9">
        <w:rPr>
          <w:noProof/>
        </w:rPr>
        <w:t>dôvodu volatility uplatniteľnej na daný typ financovaného kreditného zabezpečenia (</w:t>
      </w:r>
      <w:r w:rsidRPr="004F01E9">
        <w:rPr>
          <w:i/>
          <w:noProof/>
        </w:rPr>
        <w:t>H</w:t>
      </w:r>
      <w:r w:rsidRPr="004F01E9">
        <w:rPr>
          <w:i/>
          <w:noProof/>
          <w:vertAlign w:val="subscript"/>
        </w:rPr>
        <w:t>C</w:t>
      </w:r>
      <w:r w:rsidRPr="004F01E9">
        <w:rPr>
          <w:noProof/>
        </w:rPr>
        <w:t>)</w:t>
      </w:r>
      <w:r w:rsidR="004F01E9">
        <w:rPr>
          <w:noProof/>
        </w:rPr>
        <w:t xml:space="preserve"> a </w:t>
      </w:r>
      <w:r w:rsidRPr="004F01E9">
        <w:rPr>
          <w:noProof/>
        </w:rPr>
        <w:t>po uplatnení úpravy</w:t>
      </w:r>
      <w:r w:rsidR="004F01E9">
        <w:rPr>
          <w:noProof/>
        </w:rPr>
        <w:t xml:space="preserve"> z </w:t>
      </w:r>
      <w:r w:rsidRPr="004F01E9">
        <w:rPr>
          <w:noProof/>
        </w:rPr>
        <w:t>dôvodu volatility pre nesúlad mien (</w:t>
      </w:r>
      <w:r w:rsidRPr="004F01E9">
        <w:rPr>
          <w:i/>
          <w:noProof/>
        </w:rPr>
        <w:t>H</w:t>
      </w:r>
      <w:r w:rsidRPr="004F01E9">
        <w:rPr>
          <w:i/>
          <w:noProof/>
          <w:vertAlign w:val="subscript"/>
        </w:rPr>
        <w:t>fx</w:t>
      </w:r>
      <w:r w:rsidRPr="004F01E9">
        <w:rPr>
          <w:noProof/>
        </w:rPr>
        <w:t>) medzi expozíciou</w:t>
      </w:r>
      <w:r w:rsidR="004F01E9">
        <w:rPr>
          <w:noProof/>
        </w:rPr>
        <w:t xml:space="preserve"> a </w:t>
      </w:r>
      <w:r w:rsidRPr="004F01E9">
        <w:rPr>
          <w:noProof/>
        </w:rPr>
        <w:t>financovaným kreditným zabezpečením</w:t>
      </w:r>
      <w:r w:rsidR="004F01E9">
        <w:rPr>
          <w:noProof/>
        </w:rPr>
        <w:t xml:space="preserve"> v </w:t>
      </w:r>
      <w:r w:rsidRPr="004F01E9">
        <w:rPr>
          <w:noProof/>
        </w:rPr>
        <w:t>súlade</w:t>
      </w:r>
      <w:r w:rsidR="004F01E9">
        <w:rPr>
          <w:noProof/>
        </w:rPr>
        <w:t xml:space="preserve"> s </w:t>
      </w:r>
      <w:r w:rsidRPr="004F01E9">
        <w:rPr>
          <w:noProof/>
        </w:rPr>
        <w:t>odsekmi 2</w:t>
      </w:r>
      <w:r w:rsidR="004F01E9">
        <w:rPr>
          <w:noProof/>
        </w:rPr>
        <w:t xml:space="preserve"> a </w:t>
      </w:r>
      <w:r w:rsidRPr="004F01E9">
        <w:rPr>
          <w:noProof/>
        </w:rPr>
        <w:t xml:space="preserve">2a. </w:t>
      </w:r>
      <w:r w:rsidRPr="004F01E9">
        <w:rPr>
          <w:i/>
          <w:noProof/>
        </w:rPr>
        <w:t>E</w:t>
      </w:r>
      <w:r w:rsidRPr="004F01E9">
        <w:rPr>
          <w:i/>
          <w:noProof/>
          <w:vertAlign w:val="subscript"/>
        </w:rPr>
        <w:t>S</w:t>
      </w:r>
      <w:r w:rsidRPr="004F01E9">
        <w:rPr>
          <w:noProof/>
        </w:rPr>
        <w:t xml:space="preserve"> musí byť zhora ohraničená touto hodnotou: </w:t>
      </w:r>
      <w:r w:rsidRPr="004F01E9">
        <w:rPr>
          <w:i/>
          <w:noProof/>
        </w:rPr>
        <w:t>E</w:t>
      </w:r>
      <w:r w:rsidRPr="004F01E9">
        <w:rPr>
          <w:noProof/>
        </w:rPr>
        <w:t xml:space="preserve"> · (1 + </w:t>
      </w:r>
      <w:r w:rsidRPr="004F01E9">
        <w:rPr>
          <w:i/>
          <w:noProof/>
        </w:rPr>
        <w:t>H</w:t>
      </w:r>
      <w:r w:rsidRPr="004F01E9">
        <w:rPr>
          <w:i/>
          <w:noProof/>
          <w:vertAlign w:val="subscript"/>
        </w:rPr>
        <w:t>E</w:t>
      </w:r>
      <w:r w:rsidRPr="004F01E9">
        <w:rPr>
          <w:noProof/>
        </w:rPr>
        <w:t>);</w:t>
      </w:r>
    </w:p>
    <w:p w14:paraId="3E892CC7" w14:textId="35772A39" w:rsidR="005A21FE" w:rsidRPr="004F01E9" w:rsidRDefault="005A21FE" w:rsidP="005A21FE">
      <w:pPr>
        <w:pStyle w:val="Text1"/>
        <w:rPr>
          <w:noProof/>
        </w:rPr>
      </w:pPr>
      <w:r w:rsidRPr="004F01E9">
        <w:rPr>
          <w:i/>
          <w:noProof/>
        </w:rPr>
        <w:t>E</w:t>
      </w:r>
      <w:r w:rsidRPr="004F01E9">
        <w:rPr>
          <w:i/>
          <w:noProof/>
          <w:vertAlign w:val="subscript"/>
        </w:rPr>
        <w:t>U</w:t>
      </w:r>
      <w:r w:rsidRPr="004F01E9">
        <w:rPr>
          <w:noProof/>
        </w:rPr>
        <w:tab/>
        <w:t xml:space="preserve">= </w:t>
      </w:r>
      <w:r w:rsidRPr="004F01E9">
        <w:rPr>
          <w:noProof/>
          <w:vertAlign w:val="subscript"/>
        </w:rPr>
        <w:t>E</w:t>
      </w:r>
      <w:r w:rsidRPr="004F01E9">
        <w:rPr>
          <w:noProof/>
        </w:rPr>
        <w:t xml:space="preserve"> · (1+ </w:t>
      </w:r>
      <w:r w:rsidRPr="004F01E9">
        <w:rPr>
          <w:i/>
          <w:noProof/>
        </w:rPr>
        <w:t>H</w:t>
      </w:r>
      <w:r w:rsidRPr="004F01E9">
        <w:rPr>
          <w:i/>
          <w:noProof/>
          <w:vertAlign w:val="subscript"/>
        </w:rPr>
        <w:t>E</w:t>
      </w:r>
      <w:r w:rsidRPr="004F01E9">
        <w:rPr>
          <w:noProof/>
        </w:rPr>
        <w:t xml:space="preserve">) – </w:t>
      </w:r>
      <w:r w:rsidRPr="004F01E9">
        <w:rPr>
          <w:i/>
          <w:noProof/>
        </w:rPr>
        <w:t>E</w:t>
      </w:r>
      <w:r w:rsidRPr="004F01E9">
        <w:rPr>
          <w:i/>
          <w:noProof/>
          <w:vertAlign w:val="subscript"/>
        </w:rPr>
        <w:t>S</w:t>
      </w:r>
      <w:r w:rsidRPr="004F01E9">
        <w:rPr>
          <w:noProof/>
        </w:rPr>
        <w:t>;</w:t>
      </w:r>
    </w:p>
    <w:p w14:paraId="2F87AF40" w14:textId="22BDC679" w:rsidR="005A21FE" w:rsidRPr="004F01E9" w:rsidRDefault="005A21FE" w:rsidP="005A21FE">
      <w:pPr>
        <w:pStyle w:val="Text1"/>
        <w:rPr>
          <w:noProof/>
        </w:rPr>
      </w:pPr>
      <w:r w:rsidRPr="004F01E9">
        <w:rPr>
          <w:i/>
          <w:noProof/>
        </w:rPr>
        <w:t>LGD</w:t>
      </w:r>
      <w:r w:rsidRPr="004F01E9">
        <w:rPr>
          <w:i/>
          <w:noProof/>
          <w:vertAlign w:val="subscript"/>
        </w:rPr>
        <w:t>U</w:t>
      </w:r>
      <w:r w:rsidRPr="004F01E9">
        <w:rPr>
          <w:noProof/>
        </w:rPr>
        <w:t xml:space="preserve"> = LGD uplatniteľná na nezabezpečenú expozíciu, ako sa stanovuje</w:t>
      </w:r>
      <w:r w:rsidR="004F01E9">
        <w:rPr>
          <w:noProof/>
        </w:rPr>
        <w:t xml:space="preserve"> v </w:t>
      </w:r>
      <w:r w:rsidRPr="004F01E9">
        <w:rPr>
          <w:noProof/>
        </w:rPr>
        <w:t>článku 161 ods. 1</w:t>
      </w:r>
    </w:p>
    <w:p w14:paraId="035B05BE" w14:textId="55D6C186" w:rsidR="005A21FE" w:rsidRPr="004F01E9" w:rsidRDefault="005A21FE" w:rsidP="005A21FE">
      <w:pPr>
        <w:pStyle w:val="Text1"/>
        <w:rPr>
          <w:noProof/>
        </w:rPr>
      </w:pPr>
      <w:r w:rsidRPr="004F01E9">
        <w:rPr>
          <w:i/>
          <w:noProof/>
        </w:rPr>
        <w:t>LGD</w:t>
      </w:r>
      <w:r w:rsidRPr="004F01E9">
        <w:rPr>
          <w:i/>
          <w:noProof/>
          <w:vertAlign w:val="subscript"/>
        </w:rPr>
        <w:t>S</w:t>
      </w:r>
      <w:r w:rsidRPr="004F01E9">
        <w:rPr>
          <w:noProof/>
        </w:rPr>
        <w:t xml:space="preserve"> = LGD uplatniteľná na expozície zabezpečené typom prípustného FCP použitým</w:t>
      </w:r>
      <w:r w:rsidR="004F01E9">
        <w:rPr>
          <w:noProof/>
        </w:rPr>
        <w:t xml:space="preserve"> v </w:t>
      </w:r>
      <w:r w:rsidRPr="004F01E9">
        <w:rPr>
          <w:noProof/>
        </w:rPr>
        <w:t>transakcii, ako sa uvádza</w:t>
      </w:r>
      <w:r w:rsidR="004F01E9">
        <w:rPr>
          <w:noProof/>
        </w:rPr>
        <w:t xml:space="preserve"> v </w:t>
      </w:r>
      <w:r w:rsidRPr="004F01E9">
        <w:rPr>
          <w:noProof/>
        </w:rPr>
        <w:t>tabuľke 2 ods. 2aaa.</w:t>
      </w:r>
    </w:p>
    <w:p w14:paraId="55F7F52E" w14:textId="39350CE0" w:rsidR="005A21FE" w:rsidRPr="004F01E9" w:rsidRDefault="005A21FE" w:rsidP="005A21FE">
      <w:pPr>
        <w:pStyle w:val="Text1"/>
        <w:rPr>
          <w:noProof/>
        </w:rPr>
      </w:pPr>
      <w:r w:rsidRPr="004F01E9">
        <w:rPr>
          <w:noProof/>
        </w:rPr>
        <w:t>2.</w:t>
      </w:r>
      <w:r w:rsidR="004F01E9">
        <w:rPr>
          <w:noProof/>
        </w:rPr>
        <w:t xml:space="preserve"> V </w:t>
      </w:r>
      <w:r w:rsidRPr="004F01E9">
        <w:rPr>
          <w:noProof/>
        </w:rPr>
        <w:t xml:space="preserve">tabuľke 2aaa sa uvádzajú hodnoty </w:t>
      </w:r>
      <w:r w:rsidRPr="004F01E9">
        <w:rPr>
          <w:i/>
          <w:noProof/>
        </w:rPr>
        <w:t>LGD</w:t>
      </w:r>
      <w:r w:rsidRPr="004F01E9">
        <w:rPr>
          <w:i/>
          <w:noProof/>
          <w:vertAlign w:val="subscript"/>
        </w:rPr>
        <w:t>S</w:t>
      </w:r>
      <w:r w:rsidR="004F01E9">
        <w:rPr>
          <w:noProof/>
        </w:rPr>
        <w:t xml:space="preserve"> a </w:t>
      </w:r>
      <w:r w:rsidRPr="004F01E9">
        <w:rPr>
          <w:i/>
          <w:noProof/>
        </w:rPr>
        <w:t>H</w:t>
      </w:r>
      <w:r w:rsidRPr="004F01E9">
        <w:rPr>
          <w:i/>
          <w:noProof/>
          <w:vertAlign w:val="subscript"/>
        </w:rPr>
        <w:t>c</w:t>
      </w:r>
      <w:r w:rsidRPr="004F01E9">
        <w:rPr>
          <w:noProof/>
        </w:rPr>
        <w:t xml:space="preserve"> uplatniteľné vo vzorci stanovenom</w:t>
      </w:r>
      <w:r w:rsidR="004F01E9">
        <w:rPr>
          <w:noProof/>
        </w:rPr>
        <w:t xml:space="preserve"> v </w:t>
      </w:r>
      <w:r w:rsidRPr="004F01E9">
        <w:rPr>
          <w:noProof/>
        </w:rPr>
        <w:t>odseku 1.</w:t>
      </w:r>
    </w:p>
    <w:p w14:paraId="2485D787" w14:textId="5FEBD23A" w:rsidR="005A21FE" w:rsidRPr="004F01E9" w:rsidRDefault="005A21FE" w:rsidP="005A21FE">
      <w:pPr>
        <w:pStyle w:val="Text1"/>
        <w:jc w:val="center"/>
        <w:rPr>
          <w:i/>
          <w:noProof/>
        </w:rPr>
      </w:pPr>
      <w:r w:rsidRPr="004F01E9">
        <w:rPr>
          <w:i/>
          <w:noProof/>
        </w:rPr>
        <w:t>Tabuľka 2aaa</w:t>
      </w:r>
    </w:p>
    <w:tbl>
      <w:tblPr>
        <w:tblStyle w:val="TableGrid"/>
        <w:tblW w:w="8897" w:type="dxa"/>
        <w:tblInd w:w="850" w:type="dxa"/>
        <w:tblLook w:val="04A0" w:firstRow="1" w:lastRow="0" w:firstColumn="1" w:lastColumn="0" w:noHBand="0" w:noVBand="1"/>
      </w:tblPr>
      <w:tblGrid>
        <w:gridCol w:w="2240"/>
        <w:gridCol w:w="2148"/>
        <w:gridCol w:w="4509"/>
      </w:tblGrid>
      <w:tr w:rsidR="005A21FE" w:rsidRPr="004F01E9" w14:paraId="7AC4A1E3" w14:textId="77777777" w:rsidTr="005A21FE">
        <w:tc>
          <w:tcPr>
            <w:tcW w:w="2167" w:type="dxa"/>
            <w:vAlign w:val="center"/>
          </w:tcPr>
          <w:p w14:paraId="3DAA2C83" w14:textId="77777777" w:rsidR="005A21FE" w:rsidRPr="004F01E9" w:rsidRDefault="005A21FE" w:rsidP="005A21FE">
            <w:pPr>
              <w:pStyle w:val="Text1"/>
              <w:rPr>
                <w:noProof/>
              </w:rPr>
            </w:pPr>
            <w:r w:rsidRPr="004F01E9">
              <w:rPr>
                <w:noProof/>
              </w:rPr>
              <w:t>Typ FCP</w:t>
            </w:r>
          </w:p>
        </w:tc>
        <w:tc>
          <w:tcPr>
            <w:tcW w:w="2153" w:type="dxa"/>
            <w:vAlign w:val="center"/>
          </w:tcPr>
          <w:p w14:paraId="447A6898" w14:textId="77777777" w:rsidR="005A21FE" w:rsidRPr="004F01E9" w:rsidRDefault="005A21FE" w:rsidP="005A21FE">
            <w:pPr>
              <w:pStyle w:val="Text1"/>
              <w:rPr>
                <w:noProof/>
              </w:rPr>
            </w:pPr>
            <w:r w:rsidRPr="004F01E9">
              <w:rPr>
                <w:noProof/>
              </w:rPr>
              <w:t>LGD</w:t>
            </w:r>
            <w:r w:rsidRPr="004F01E9">
              <w:rPr>
                <w:noProof/>
                <w:vertAlign w:val="subscript"/>
              </w:rPr>
              <w:t>S</w:t>
            </w:r>
          </w:p>
        </w:tc>
        <w:tc>
          <w:tcPr>
            <w:tcW w:w="4577" w:type="dxa"/>
            <w:vAlign w:val="center"/>
          </w:tcPr>
          <w:p w14:paraId="270B623E" w14:textId="240E1625" w:rsidR="005A21FE" w:rsidRPr="004F01E9" w:rsidRDefault="005A21FE" w:rsidP="005A21FE">
            <w:pPr>
              <w:pStyle w:val="Text1"/>
              <w:rPr>
                <w:noProof/>
              </w:rPr>
            </w:pPr>
            <w:r w:rsidRPr="004F01E9">
              <w:rPr>
                <w:noProof/>
              </w:rPr>
              <w:t xml:space="preserve"> Úprava</w:t>
            </w:r>
            <w:r w:rsidR="004F01E9">
              <w:rPr>
                <w:noProof/>
              </w:rPr>
              <w:t xml:space="preserve"> z </w:t>
            </w:r>
            <w:r w:rsidRPr="004F01E9">
              <w:rPr>
                <w:noProof/>
              </w:rPr>
              <w:t>dôvodu volatility (</w:t>
            </w:r>
            <w:r w:rsidRPr="004F01E9">
              <w:rPr>
                <w:i/>
                <w:noProof/>
              </w:rPr>
              <w:t>H</w:t>
            </w:r>
            <w:r w:rsidRPr="004F01E9">
              <w:rPr>
                <w:i/>
                <w:noProof/>
                <w:vertAlign w:val="subscript"/>
              </w:rPr>
              <w:t>c</w:t>
            </w:r>
            <w:r w:rsidRPr="004F01E9">
              <w:rPr>
                <w:noProof/>
              </w:rPr>
              <w:t>)</w:t>
            </w:r>
          </w:p>
        </w:tc>
      </w:tr>
      <w:tr w:rsidR="005A21FE" w:rsidRPr="004F01E9" w14:paraId="3B784730" w14:textId="77777777" w:rsidTr="005A21FE">
        <w:tc>
          <w:tcPr>
            <w:tcW w:w="2167" w:type="dxa"/>
            <w:vAlign w:val="center"/>
          </w:tcPr>
          <w:p w14:paraId="64837899" w14:textId="77777777" w:rsidR="005A21FE" w:rsidRPr="004F01E9" w:rsidRDefault="005A21FE" w:rsidP="005A21FE">
            <w:pPr>
              <w:pStyle w:val="Text1"/>
              <w:rPr>
                <w:noProof/>
              </w:rPr>
            </w:pPr>
            <w:r w:rsidRPr="004F01E9">
              <w:rPr>
                <w:noProof/>
              </w:rPr>
              <w:t>Finančný kolaterál</w:t>
            </w:r>
          </w:p>
        </w:tc>
        <w:tc>
          <w:tcPr>
            <w:tcW w:w="2153" w:type="dxa"/>
            <w:vAlign w:val="center"/>
          </w:tcPr>
          <w:p w14:paraId="22B67E98" w14:textId="2C5FCA3D" w:rsidR="005A21FE" w:rsidRPr="004F01E9" w:rsidRDefault="005A21FE" w:rsidP="005A21FE">
            <w:pPr>
              <w:pStyle w:val="Text1"/>
              <w:rPr>
                <w:noProof/>
              </w:rPr>
            </w:pPr>
            <w:r w:rsidRPr="004F01E9">
              <w:rPr>
                <w:noProof/>
              </w:rPr>
              <w:t>0</w:t>
            </w:r>
            <w:r w:rsidR="004F01E9">
              <w:rPr>
                <w:noProof/>
              </w:rPr>
              <w:t> %</w:t>
            </w:r>
          </w:p>
        </w:tc>
        <w:tc>
          <w:tcPr>
            <w:tcW w:w="4577" w:type="dxa"/>
            <w:vAlign w:val="center"/>
          </w:tcPr>
          <w:p w14:paraId="4E234E1B" w14:textId="45ADD0E8" w:rsidR="005A21FE" w:rsidRPr="004F01E9" w:rsidRDefault="005A21FE" w:rsidP="005A21FE">
            <w:pPr>
              <w:pStyle w:val="Text1"/>
              <w:rPr>
                <w:noProof/>
              </w:rPr>
            </w:pPr>
            <w:r w:rsidRPr="004F01E9">
              <w:rPr>
                <w:noProof/>
              </w:rPr>
              <w:t>Úprava</w:t>
            </w:r>
            <w:r w:rsidR="004F01E9">
              <w:rPr>
                <w:noProof/>
              </w:rPr>
              <w:t xml:space="preserve"> z </w:t>
            </w:r>
            <w:r w:rsidRPr="004F01E9">
              <w:rPr>
                <w:noProof/>
              </w:rPr>
              <w:t xml:space="preserve">dôvodu volatility </w:t>
            </w:r>
            <w:r w:rsidRPr="004F01E9">
              <w:rPr>
                <w:i/>
                <w:noProof/>
              </w:rPr>
              <w:t>H</w:t>
            </w:r>
            <w:r w:rsidRPr="004F01E9">
              <w:rPr>
                <w:i/>
                <w:noProof/>
                <w:vertAlign w:val="subscript"/>
              </w:rPr>
              <w:t>c</w:t>
            </w:r>
            <w:r w:rsidRPr="004F01E9">
              <w:rPr>
                <w:noProof/>
              </w:rPr>
              <w:t>, ako sa stanovuje</w:t>
            </w:r>
            <w:r w:rsidR="004F01E9">
              <w:rPr>
                <w:noProof/>
              </w:rPr>
              <w:t xml:space="preserve"> v </w:t>
            </w:r>
            <w:r w:rsidRPr="004F01E9">
              <w:rPr>
                <w:noProof/>
              </w:rPr>
              <w:t>článkoch 224 až 227.</w:t>
            </w:r>
          </w:p>
        </w:tc>
      </w:tr>
      <w:tr w:rsidR="005A21FE" w:rsidRPr="004F01E9" w14:paraId="61FE5A0B" w14:textId="77777777" w:rsidTr="005A21FE">
        <w:tc>
          <w:tcPr>
            <w:tcW w:w="2167" w:type="dxa"/>
            <w:vAlign w:val="center"/>
          </w:tcPr>
          <w:p w14:paraId="104FCD10" w14:textId="77777777" w:rsidR="005A21FE" w:rsidRPr="004F01E9" w:rsidRDefault="005A21FE" w:rsidP="005A21FE">
            <w:pPr>
              <w:pStyle w:val="Text1"/>
              <w:rPr>
                <w:noProof/>
              </w:rPr>
            </w:pPr>
            <w:r w:rsidRPr="004F01E9">
              <w:rPr>
                <w:noProof/>
              </w:rPr>
              <w:t>Pohľadávky</w:t>
            </w:r>
          </w:p>
        </w:tc>
        <w:tc>
          <w:tcPr>
            <w:tcW w:w="2153" w:type="dxa"/>
            <w:vAlign w:val="center"/>
          </w:tcPr>
          <w:p w14:paraId="607AA35F" w14:textId="76F6C122" w:rsidR="005A21FE" w:rsidRPr="004F01E9" w:rsidRDefault="005A21FE" w:rsidP="005A21FE">
            <w:pPr>
              <w:pStyle w:val="Text1"/>
              <w:rPr>
                <w:noProof/>
              </w:rPr>
            </w:pPr>
            <w:r w:rsidRPr="004F01E9">
              <w:rPr>
                <w:noProof/>
              </w:rPr>
              <w:t>20</w:t>
            </w:r>
            <w:r w:rsidR="004F01E9">
              <w:rPr>
                <w:noProof/>
              </w:rPr>
              <w:t> %</w:t>
            </w:r>
          </w:p>
        </w:tc>
        <w:tc>
          <w:tcPr>
            <w:tcW w:w="4577" w:type="dxa"/>
            <w:vAlign w:val="center"/>
          </w:tcPr>
          <w:p w14:paraId="5BDA5511" w14:textId="30210122" w:rsidR="005A21FE" w:rsidRPr="004F01E9" w:rsidRDefault="005A21FE" w:rsidP="005A21FE">
            <w:pPr>
              <w:pStyle w:val="Text1"/>
              <w:rPr>
                <w:noProof/>
              </w:rPr>
            </w:pPr>
            <w:r w:rsidRPr="004F01E9">
              <w:rPr>
                <w:noProof/>
              </w:rPr>
              <w:t>40</w:t>
            </w:r>
            <w:r w:rsidR="004F01E9">
              <w:rPr>
                <w:noProof/>
              </w:rPr>
              <w:t> %</w:t>
            </w:r>
          </w:p>
        </w:tc>
      </w:tr>
      <w:tr w:rsidR="005A21FE" w:rsidRPr="004F01E9" w14:paraId="459774A2" w14:textId="77777777" w:rsidTr="005A21FE">
        <w:tc>
          <w:tcPr>
            <w:tcW w:w="2167" w:type="dxa"/>
            <w:vAlign w:val="center"/>
          </w:tcPr>
          <w:p w14:paraId="75D15546" w14:textId="67BAF620" w:rsidR="005A21FE" w:rsidRPr="004F01E9" w:rsidRDefault="005A21FE" w:rsidP="005A21FE">
            <w:pPr>
              <w:pStyle w:val="Text1"/>
              <w:rPr>
                <w:noProof/>
              </w:rPr>
            </w:pPr>
            <w:r w:rsidRPr="004F01E9">
              <w:rPr>
                <w:noProof/>
              </w:rPr>
              <w:t>Nehnuteľný majetok určený na bývanie</w:t>
            </w:r>
            <w:r w:rsidR="004F01E9">
              <w:rPr>
                <w:noProof/>
              </w:rPr>
              <w:t xml:space="preserve"> a </w:t>
            </w:r>
            <w:r w:rsidRPr="004F01E9">
              <w:rPr>
                <w:noProof/>
              </w:rPr>
              <w:t>na podnikanie</w:t>
            </w:r>
          </w:p>
        </w:tc>
        <w:tc>
          <w:tcPr>
            <w:tcW w:w="2153" w:type="dxa"/>
            <w:vAlign w:val="center"/>
          </w:tcPr>
          <w:p w14:paraId="7AC1533D" w14:textId="7DB6844D" w:rsidR="005A21FE" w:rsidRPr="004F01E9" w:rsidRDefault="005A21FE" w:rsidP="005A21FE">
            <w:pPr>
              <w:pStyle w:val="Text1"/>
              <w:rPr>
                <w:noProof/>
              </w:rPr>
            </w:pPr>
            <w:r w:rsidRPr="004F01E9">
              <w:rPr>
                <w:noProof/>
              </w:rPr>
              <w:t>20</w:t>
            </w:r>
            <w:r w:rsidR="004F01E9">
              <w:rPr>
                <w:noProof/>
              </w:rPr>
              <w:t> %</w:t>
            </w:r>
          </w:p>
        </w:tc>
        <w:tc>
          <w:tcPr>
            <w:tcW w:w="4577" w:type="dxa"/>
            <w:vAlign w:val="center"/>
          </w:tcPr>
          <w:p w14:paraId="65A35241" w14:textId="07AE50ED" w:rsidR="005A21FE" w:rsidRPr="004F01E9" w:rsidRDefault="005A21FE" w:rsidP="005A21FE">
            <w:pPr>
              <w:pStyle w:val="Text1"/>
              <w:rPr>
                <w:noProof/>
              </w:rPr>
            </w:pPr>
            <w:r w:rsidRPr="004F01E9">
              <w:rPr>
                <w:noProof/>
              </w:rPr>
              <w:t>40</w:t>
            </w:r>
            <w:r w:rsidR="004F01E9">
              <w:rPr>
                <w:noProof/>
              </w:rPr>
              <w:t> %</w:t>
            </w:r>
          </w:p>
        </w:tc>
      </w:tr>
      <w:tr w:rsidR="005A21FE" w:rsidRPr="004F01E9" w14:paraId="4277E8DD" w14:textId="77777777" w:rsidTr="005A21FE">
        <w:tc>
          <w:tcPr>
            <w:tcW w:w="2167" w:type="dxa"/>
            <w:vAlign w:val="center"/>
          </w:tcPr>
          <w:p w14:paraId="5E624FB4" w14:textId="77777777" w:rsidR="005A21FE" w:rsidRPr="004F01E9" w:rsidRDefault="005A21FE" w:rsidP="005A21FE">
            <w:pPr>
              <w:pStyle w:val="Text1"/>
              <w:rPr>
                <w:noProof/>
              </w:rPr>
            </w:pPr>
            <w:r w:rsidRPr="004F01E9">
              <w:rPr>
                <w:noProof/>
              </w:rPr>
              <w:t>Iný nefinančný kolaterál</w:t>
            </w:r>
          </w:p>
        </w:tc>
        <w:tc>
          <w:tcPr>
            <w:tcW w:w="2153" w:type="dxa"/>
            <w:vAlign w:val="center"/>
          </w:tcPr>
          <w:p w14:paraId="7C9898F5" w14:textId="0C02CC7C" w:rsidR="005A21FE" w:rsidRPr="004F01E9" w:rsidRDefault="005A21FE" w:rsidP="005A21FE">
            <w:pPr>
              <w:pStyle w:val="Text1"/>
              <w:rPr>
                <w:noProof/>
              </w:rPr>
            </w:pPr>
            <w:r w:rsidRPr="004F01E9">
              <w:rPr>
                <w:noProof/>
              </w:rPr>
              <w:t>25</w:t>
            </w:r>
            <w:r w:rsidR="004F01E9">
              <w:rPr>
                <w:noProof/>
              </w:rPr>
              <w:t> %</w:t>
            </w:r>
          </w:p>
        </w:tc>
        <w:tc>
          <w:tcPr>
            <w:tcW w:w="4577" w:type="dxa"/>
            <w:vAlign w:val="center"/>
          </w:tcPr>
          <w:p w14:paraId="0530F6C7" w14:textId="4CD11C4A" w:rsidR="005A21FE" w:rsidRPr="004F01E9" w:rsidRDefault="005A21FE" w:rsidP="005A21FE">
            <w:pPr>
              <w:pStyle w:val="Text1"/>
              <w:rPr>
                <w:noProof/>
              </w:rPr>
            </w:pPr>
            <w:r w:rsidRPr="004F01E9">
              <w:rPr>
                <w:noProof/>
              </w:rPr>
              <w:t>40</w:t>
            </w:r>
            <w:r w:rsidR="004F01E9">
              <w:rPr>
                <w:noProof/>
              </w:rPr>
              <w:t> %</w:t>
            </w:r>
          </w:p>
        </w:tc>
      </w:tr>
      <w:tr w:rsidR="005A21FE" w:rsidRPr="004F01E9" w14:paraId="36B2BA9F" w14:textId="77777777" w:rsidTr="005A21FE">
        <w:tc>
          <w:tcPr>
            <w:tcW w:w="2167" w:type="dxa"/>
            <w:vAlign w:val="center"/>
          </w:tcPr>
          <w:p w14:paraId="0D2D4573" w14:textId="77777777" w:rsidR="005A21FE" w:rsidRPr="004F01E9" w:rsidRDefault="005A21FE" w:rsidP="005A21FE">
            <w:pPr>
              <w:pStyle w:val="Text1"/>
              <w:rPr>
                <w:noProof/>
              </w:rPr>
            </w:pPr>
            <w:r w:rsidRPr="004F01E9">
              <w:rPr>
                <w:noProof/>
              </w:rPr>
              <w:t>Neprípustné FCP</w:t>
            </w:r>
          </w:p>
        </w:tc>
        <w:tc>
          <w:tcPr>
            <w:tcW w:w="2153" w:type="dxa"/>
            <w:vAlign w:val="center"/>
          </w:tcPr>
          <w:p w14:paraId="1CCDF41E" w14:textId="77777777" w:rsidR="005A21FE" w:rsidRPr="004F01E9" w:rsidRDefault="005A21FE" w:rsidP="005A21FE">
            <w:pPr>
              <w:pStyle w:val="Text1"/>
              <w:rPr>
                <w:noProof/>
              </w:rPr>
            </w:pPr>
            <w:r w:rsidRPr="004F01E9">
              <w:rPr>
                <w:noProof/>
              </w:rPr>
              <w:t>neuvádza sa</w:t>
            </w:r>
          </w:p>
        </w:tc>
        <w:tc>
          <w:tcPr>
            <w:tcW w:w="4577" w:type="dxa"/>
            <w:vAlign w:val="center"/>
          </w:tcPr>
          <w:p w14:paraId="241AE43D" w14:textId="19C82F2E" w:rsidR="005A21FE" w:rsidRPr="004F01E9" w:rsidRDefault="005A21FE" w:rsidP="005A21FE">
            <w:pPr>
              <w:pStyle w:val="Text1"/>
              <w:rPr>
                <w:noProof/>
              </w:rPr>
            </w:pPr>
            <w:r w:rsidRPr="004F01E9">
              <w:rPr>
                <w:noProof/>
              </w:rPr>
              <w:t>100</w:t>
            </w:r>
            <w:r w:rsidR="004F01E9">
              <w:rPr>
                <w:noProof/>
              </w:rPr>
              <w:t> %</w:t>
            </w:r>
          </w:p>
        </w:tc>
      </w:tr>
    </w:tbl>
    <w:p w14:paraId="01AE4407" w14:textId="42450AAE" w:rsidR="005A21FE" w:rsidRPr="004F01E9" w:rsidRDefault="005A21FE" w:rsidP="005A21FE">
      <w:pPr>
        <w:pStyle w:val="Text1"/>
        <w:rPr>
          <w:noProof/>
        </w:rPr>
      </w:pPr>
      <w:r w:rsidRPr="004F01E9">
        <w:rPr>
          <w:noProof/>
        </w:rPr>
        <w:t>2a. Ak je prípustné financované kreditné zabezpečenie denominované</w:t>
      </w:r>
      <w:r w:rsidR="004F01E9">
        <w:rPr>
          <w:noProof/>
        </w:rPr>
        <w:t xml:space="preserve"> v </w:t>
      </w:r>
      <w:r w:rsidRPr="004F01E9">
        <w:rPr>
          <w:noProof/>
        </w:rPr>
        <w:t>inej mene, než je mena expozície, úprava</w:t>
      </w:r>
      <w:r w:rsidR="004F01E9">
        <w:rPr>
          <w:noProof/>
        </w:rPr>
        <w:t xml:space="preserve"> z </w:t>
      </w:r>
      <w:r w:rsidRPr="004F01E9">
        <w:rPr>
          <w:noProof/>
        </w:rPr>
        <w:t>dôvodu volatility pre nesúlad mien (</w:t>
      </w:r>
      <w:r w:rsidRPr="004F01E9">
        <w:rPr>
          <w:i/>
          <w:noProof/>
        </w:rPr>
        <w:t>H</w:t>
      </w:r>
      <w:r w:rsidRPr="004F01E9">
        <w:rPr>
          <w:i/>
          <w:noProof/>
          <w:vertAlign w:val="subscript"/>
        </w:rPr>
        <w:t>fx</w:t>
      </w:r>
      <w:r w:rsidRPr="004F01E9">
        <w:rPr>
          <w:noProof/>
        </w:rPr>
        <w:t>) je rovnaká ako tá, ktorá sa uplatňuje podľa článkov 224 až 227.</w:t>
      </w:r>
    </w:p>
    <w:p w14:paraId="16B6AB73" w14:textId="73B08176" w:rsidR="00806B81" w:rsidRPr="00376CBB" w:rsidRDefault="005A21FE" w:rsidP="005A21FE">
      <w:pPr>
        <w:pStyle w:val="Text1"/>
        <w:rPr>
          <w:noProof/>
          <w:spacing w:val="-4"/>
        </w:rPr>
      </w:pPr>
      <w:r w:rsidRPr="00376CBB">
        <w:rPr>
          <w:noProof/>
          <w:spacing w:val="-4"/>
        </w:rPr>
        <w:t>3. Inštitúcie môžu ako alternatívu</w:t>
      </w:r>
      <w:r w:rsidR="004F01E9" w:rsidRPr="00376CBB">
        <w:rPr>
          <w:noProof/>
          <w:spacing w:val="-4"/>
        </w:rPr>
        <w:t xml:space="preserve"> k </w:t>
      </w:r>
      <w:r w:rsidRPr="00376CBB">
        <w:rPr>
          <w:noProof/>
          <w:spacing w:val="-4"/>
        </w:rPr>
        <w:t>zaobchádzaniu stanovenému</w:t>
      </w:r>
      <w:r w:rsidR="004F01E9" w:rsidRPr="00376CBB">
        <w:rPr>
          <w:noProof/>
          <w:spacing w:val="-4"/>
        </w:rPr>
        <w:t xml:space="preserve"> v </w:t>
      </w:r>
      <w:r w:rsidRPr="00376CBB">
        <w:rPr>
          <w:noProof/>
          <w:spacing w:val="-4"/>
        </w:rPr>
        <w:t>odsekoch 1</w:t>
      </w:r>
      <w:r w:rsidR="004F01E9" w:rsidRPr="00376CBB">
        <w:rPr>
          <w:noProof/>
          <w:spacing w:val="-4"/>
        </w:rPr>
        <w:t xml:space="preserve"> a </w:t>
      </w:r>
      <w:r w:rsidRPr="00376CBB">
        <w:rPr>
          <w:noProof/>
          <w:spacing w:val="-4"/>
        </w:rPr>
        <w:t>2</w:t>
      </w:r>
      <w:r w:rsidR="004F01E9" w:rsidRPr="00376CBB">
        <w:rPr>
          <w:noProof/>
          <w:spacing w:val="-4"/>
        </w:rPr>
        <w:t xml:space="preserve"> a </w:t>
      </w:r>
      <w:r w:rsidRPr="00376CBB">
        <w:rPr>
          <w:noProof/>
          <w:spacing w:val="-4"/>
        </w:rPr>
        <w:t>podľa článku 124 ods. 7 priradiť 50</w:t>
      </w:r>
      <w:r w:rsidR="004F01E9" w:rsidRPr="00376CBB">
        <w:rPr>
          <w:noProof/>
          <w:spacing w:val="-4"/>
        </w:rPr>
        <w:t> %</w:t>
      </w:r>
      <w:r w:rsidRPr="00376CBB">
        <w:rPr>
          <w:noProof/>
          <w:spacing w:val="-4"/>
        </w:rPr>
        <w:t xml:space="preserve"> rizikovú váhu časti expozície, ktorá je</w:t>
      </w:r>
      <w:r w:rsidR="004F01E9" w:rsidRPr="00376CBB">
        <w:rPr>
          <w:noProof/>
          <w:spacing w:val="-4"/>
        </w:rPr>
        <w:t xml:space="preserve"> v </w:t>
      </w:r>
      <w:r w:rsidRPr="00376CBB">
        <w:rPr>
          <w:noProof/>
          <w:spacing w:val="-4"/>
        </w:rPr>
        <w:t>limitoch stanovených</w:t>
      </w:r>
      <w:r w:rsidR="004F01E9" w:rsidRPr="00376CBB">
        <w:rPr>
          <w:noProof/>
          <w:spacing w:val="-4"/>
        </w:rPr>
        <w:t xml:space="preserve"> v </w:t>
      </w:r>
      <w:r w:rsidRPr="00376CBB">
        <w:rPr>
          <w:noProof/>
          <w:spacing w:val="-4"/>
        </w:rPr>
        <w:t>článku 125 ods. 1 písm. a), resp.</w:t>
      </w:r>
      <w:r w:rsidR="004F01E9" w:rsidRPr="00376CBB">
        <w:rPr>
          <w:noProof/>
          <w:spacing w:val="-4"/>
        </w:rPr>
        <w:t xml:space="preserve"> v </w:t>
      </w:r>
      <w:r w:rsidRPr="00376CBB">
        <w:rPr>
          <w:noProof/>
          <w:spacing w:val="-4"/>
        </w:rPr>
        <w:t>článku 126 ods. 1 písm. a), plne zabezpečenou kolaterálom vo forme nehnuteľného majetku určeného na bývanie alebo nehnuteľného majetku určeného na podnikanie nachádzajúcich sa na území členského štátu, ak sú splnené všetky podmienky stanovené</w:t>
      </w:r>
      <w:r w:rsidR="004F01E9" w:rsidRPr="00376CBB">
        <w:rPr>
          <w:noProof/>
          <w:spacing w:val="-4"/>
        </w:rPr>
        <w:t xml:space="preserve"> v </w:t>
      </w:r>
      <w:r w:rsidRPr="00376CBB">
        <w:rPr>
          <w:noProof/>
          <w:spacing w:val="-4"/>
        </w:rPr>
        <w:t>článku 199 ods. 3 alebo 4.</w:t>
      </w:r>
    </w:p>
    <w:p w14:paraId="2CB99657" w14:textId="7C8FDB7F" w:rsidR="005A21FE" w:rsidRPr="004F01E9" w:rsidRDefault="005A21FE" w:rsidP="005A21FE">
      <w:pPr>
        <w:pStyle w:val="Text1"/>
        <w:rPr>
          <w:noProof/>
        </w:rPr>
      </w:pPr>
      <w:r w:rsidRPr="004F01E9">
        <w:rPr>
          <w:noProof/>
        </w:rPr>
        <w:t>4. Inštitúcie používajú na výpočet hodnoty rizikovo vážených expozícií</w:t>
      </w:r>
      <w:r w:rsidR="004F01E9">
        <w:rPr>
          <w:noProof/>
        </w:rPr>
        <w:t xml:space="preserve"> a </w:t>
      </w:r>
      <w:r w:rsidRPr="004F01E9">
        <w:rPr>
          <w:noProof/>
        </w:rPr>
        <w:t>výšky očakávaných strát pre expozície IRB, ktoré patria do rozsahu pôsobnosti článku 220, E*</w:t>
      </w:r>
      <w:r w:rsidR="004F01E9">
        <w:rPr>
          <w:noProof/>
        </w:rPr>
        <w:t xml:space="preserve"> v </w:t>
      </w:r>
      <w:r w:rsidRPr="004F01E9">
        <w:rPr>
          <w:noProof/>
        </w:rPr>
        <w:t>súlade</w:t>
      </w:r>
      <w:r w:rsidR="004F01E9">
        <w:rPr>
          <w:noProof/>
        </w:rPr>
        <w:t xml:space="preserve"> s </w:t>
      </w:r>
      <w:r w:rsidRPr="004F01E9">
        <w:rPr>
          <w:noProof/>
        </w:rPr>
        <w:t>článkom 220 ods. 4</w:t>
      </w:r>
      <w:r w:rsidR="004F01E9">
        <w:rPr>
          <w:noProof/>
        </w:rPr>
        <w:t xml:space="preserve"> a </w:t>
      </w:r>
      <w:r w:rsidRPr="004F01E9">
        <w:rPr>
          <w:noProof/>
        </w:rPr>
        <w:t>LGD pre nezabezpečené expozície, ako sa stanovuje</w:t>
      </w:r>
      <w:r w:rsidR="004F01E9">
        <w:rPr>
          <w:noProof/>
        </w:rPr>
        <w:t xml:space="preserve"> v </w:t>
      </w:r>
      <w:r w:rsidRPr="004F01E9">
        <w:rPr>
          <w:noProof/>
        </w:rPr>
        <w:t>článku 161 ods. 1 písm. a), aa)</w:t>
      </w:r>
      <w:r w:rsidR="004F01E9">
        <w:rPr>
          <w:noProof/>
        </w:rPr>
        <w:t xml:space="preserve"> a </w:t>
      </w:r>
      <w:r w:rsidRPr="004F01E9">
        <w:rPr>
          <w:noProof/>
        </w:rPr>
        <w:t>b).“</w:t>
      </w:r>
    </w:p>
    <w:p w14:paraId="66C95C92" w14:textId="44A5BFCF" w:rsidR="00B359AC" w:rsidRPr="004F01E9" w:rsidRDefault="00B16452" w:rsidP="00B16452">
      <w:pPr>
        <w:pStyle w:val="Point0"/>
        <w:rPr>
          <w:noProof/>
        </w:rPr>
      </w:pPr>
      <w:r w:rsidRPr="00B16452">
        <w:rPr>
          <w:noProof/>
        </w:rPr>
        <w:t>120</w:t>
      </w:r>
      <w:r>
        <w:rPr>
          <w:noProof/>
        </w:rPr>
        <w:t>.</w:t>
      </w:r>
      <w:r w:rsidRPr="00B16452">
        <w:rPr>
          <w:noProof/>
        </w:rPr>
        <w:tab/>
      </w:r>
      <w:r w:rsidR="00B359AC" w:rsidRPr="004F01E9">
        <w:rPr>
          <w:noProof/>
        </w:rPr>
        <w:t>Článok 231 sa nahrádza takto:</w:t>
      </w:r>
    </w:p>
    <w:p w14:paraId="55F14C7E" w14:textId="1A333CF3" w:rsidR="00B359AC" w:rsidRPr="004F01E9" w:rsidRDefault="00B359AC" w:rsidP="00B359AC">
      <w:pPr>
        <w:pStyle w:val="Titrearticle"/>
        <w:rPr>
          <w:b/>
          <w:i w:val="0"/>
          <w:noProof/>
        </w:rPr>
      </w:pPr>
      <w:r w:rsidRPr="004F01E9">
        <w:rPr>
          <w:noProof/>
        </w:rPr>
        <w:t xml:space="preserve">„Článok 231 </w:t>
      </w:r>
      <w:r w:rsidRPr="004F01E9">
        <w:rPr>
          <w:noProof/>
        </w:rPr>
        <w:br/>
      </w:r>
      <w:r w:rsidRPr="004F01E9">
        <w:rPr>
          <w:b/>
          <w:i w:val="0"/>
          <w:noProof/>
        </w:rPr>
        <w:t>Výpočet hodnoty rizikovo vážených expozícií</w:t>
      </w:r>
      <w:r w:rsidR="004F01E9">
        <w:rPr>
          <w:b/>
          <w:i w:val="0"/>
          <w:noProof/>
        </w:rPr>
        <w:t xml:space="preserve"> a </w:t>
      </w:r>
      <w:r w:rsidRPr="004F01E9">
        <w:rPr>
          <w:b/>
          <w:i w:val="0"/>
          <w:noProof/>
        </w:rPr>
        <w:t>výšky očakávaných strát</w:t>
      </w:r>
      <w:r w:rsidR="004F01E9">
        <w:rPr>
          <w:b/>
          <w:i w:val="0"/>
          <w:noProof/>
        </w:rPr>
        <w:t xml:space="preserve"> v </w:t>
      </w:r>
      <w:r w:rsidRPr="004F01E9">
        <w:rPr>
          <w:b/>
          <w:i w:val="0"/>
          <w:noProof/>
        </w:rPr>
        <w:t>prípade skupín prípustných financovaných kreditných zabezpečení pre expozíciu podľa prístupu IRB</w:t>
      </w:r>
    </w:p>
    <w:p w14:paraId="48AC07F5" w14:textId="3EB52452" w:rsidR="00806B81" w:rsidRPr="004F01E9" w:rsidRDefault="00B359AC" w:rsidP="00B359AC">
      <w:pPr>
        <w:pStyle w:val="Text1"/>
        <w:rPr>
          <w:noProof/>
        </w:rPr>
      </w:pPr>
      <w:r w:rsidRPr="004F01E9">
        <w:rPr>
          <w:noProof/>
        </w:rPr>
        <w:t>Inštitúcie, ktoré získali viacero typov financovaného kreditného zabezpečenia, môžu</w:t>
      </w:r>
      <w:r w:rsidR="004F01E9">
        <w:rPr>
          <w:noProof/>
        </w:rPr>
        <w:t xml:space="preserve"> v </w:t>
      </w:r>
      <w:r w:rsidRPr="004F01E9">
        <w:rPr>
          <w:noProof/>
        </w:rPr>
        <w:t>prípade expozícií,</w:t>
      </w:r>
      <w:r w:rsidR="004F01E9">
        <w:rPr>
          <w:noProof/>
        </w:rPr>
        <w:t xml:space="preserve"> s </w:t>
      </w:r>
      <w:r w:rsidRPr="004F01E9">
        <w:rPr>
          <w:noProof/>
        </w:rPr>
        <w:t>ktorými sa zaobchádza podľa prístupu IRB, postupne uplatňovať vzorec stanovený</w:t>
      </w:r>
      <w:r w:rsidR="004F01E9">
        <w:rPr>
          <w:noProof/>
        </w:rPr>
        <w:t xml:space="preserve"> v </w:t>
      </w:r>
      <w:r w:rsidRPr="004F01E9">
        <w:rPr>
          <w:noProof/>
        </w:rPr>
        <w:t>článku 230 na každý jednotlivý druh kolaterálu. Uvedené inštitúcie na uvedený účel po každom kroku uznania každého jednotlivého typu FCP znížia zostatkovú hodnotu nezabezpečenej expozície (</w:t>
      </w:r>
      <w:r w:rsidRPr="004F01E9">
        <w:rPr>
          <w:i/>
          <w:noProof/>
        </w:rPr>
        <w:t>E</w:t>
      </w:r>
      <w:r w:rsidRPr="004F01E9">
        <w:rPr>
          <w:i/>
          <w:noProof/>
          <w:vertAlign w:val="subscript"/>
        </w:rPr>
        <w:t>U</w:t>
      </w:r>
      <w:r w:rsidRPr="004F01E9">
        <w:rPr>
          <w:noProof/>
        </w:rPr>
        <w:t>)</w:t>
      </w:r>
      <w:r w:rsidR="004F01E9">
        <w:rPr>
          <w:noProof/>
        </w:rPr>
        <w:t xml:space="preserve"> o </w:t>
      </w:r>
      <w:r w:rsidRPr="004F01E9">
        <w:rPr>
          <w:noProof/>
        </w:rPr>
        <w:t>upravenú hodnotu kolaterálu (</w:t>
      </w:r>
      <w:r w:rsidRPr="004F01E9">
        <w:rPr>
          <w:i/>
          <w:noProof/>
        </w:rPr>
        <w:t>E</w:t>
      </w:r>
      <w:r w:rsidRPr="004F01E9">
        <w:rPr>
          <w:i/>
          <w:noProof/>
          <w:vertAlign w:val="subscript"/>
        </w:rPr>
        <w:t>S</w:t>
      </w:r>
      <w:r w:rsidRPr="004F01E9">
        <w:rPr>
          <w:noProof/>
        </w:rPr>
        <w:t>) uznaného</w:t>
      </w:r>
      <w:r w:rsidR="004F01E9">
        <w:rPr>
          <w:noProof/>
        </w:rPr>
        <w:t xml:space="preserve"> v </w:t>
      </w:r>
      <w:r w:rsidRPr="004F01E9">
        <w:rPr>
          <w:noProof/>
        </w:rPr>
        <w:t>danom kroku.</w:t>
      </w:r>
      <w:r w:rsidR="004F01E9">
        <w:rPr>
          <w:noProof/>
        </w:rPr>
        <w:t xml:space="preserve"> V </w:t>
      </w:r>
      <w:r w:rsidRPr="004F01E9">
        <w:rPr>
          <w:noProof/>
        </w:rPr>
        <w:t>súlade</w:t>
      </w:r>
      <w:r w:rsidR="004F01E9">
        <w:rPr>
          <w:noProof/>
        </w:rPr>
        <w:t xml:space="preserve"> s </w:t>
      </w:r>
      <w:r w:rsidRPr="004F01E9">
        <w:rPr>
          <w:noProof/>
        </w:rPr>
        <w:t xml:space="preserve">článkom 230 ods. 1 sa celková výška </w:t>
      </w:r>
      <w:r w:rsidRPr="004F01E9">
        <w:rPr>
          <w:i/>
          <w:noProof/>
        </w:rPr>
        <w:t>E</w:t>
      </w:r>
      <w:r w:rsidRPr="004F01E9">
        <w:rPr>
          <w:i/>
          <w:noProof/>
          <w:vertAlign w:val="subscript"/>
        </w:rPr>
        <w:t>S</w:t>
      </w:r>
      <w:r w:rsidRPr="004F01E9">
        <w:rPr>
          <w:noProof/>
        </w:rPr>
        <w:t xml:space="preserve"> vo všetkých typoch financovaného kreditného zabezpečenia zhora ohraničuje hodnotou </w:t>
      </w:r>
      <w:r w:rsidRPr="004F01E9">
        <w:rPr>
          <w:i/>
          <w:noProof/>
        </w:rPr>
        <w:t>E</w:t>
      </w:r>
      <w:r w:rsidRPr="004F01E9">
        <w:rPr>
          <w:noProof/>
        </w:rPr>
        <w:t xml:space="preserve"> · (1 + </w:t>
      </w:r>
      <w:r w:rsidRPr="004F01E9">
        <w:rPr>
          <w:i/>
          <w:noProof/>
        </w:rPr>
        <w:t>H</w:t>
      </w:r>
      <w:r w:rsidRPr="004F01E9">
        <w:rPr>
          <w:i/>
          <w:noProof/>
          <w:vertAlign w:val="subscript"/>
        </w:rPr>
        <w:t>E</w:t>
      </w:r>
      <w:r w:rsidRPr="004F01E9">
        <w:rPr>
          <w:noProof/>
        </w:rPr>
        <w:t>), výsledkom čoho je tento vzorec:</w:t>
      </w:r>
    </w:p>
    <w:p w14:paraId="7ED2D5A5" w14:textId="27F6F89B" w:rsidR="00B359AC" w:rsidRPr="004F01E9" w:rsidRDefault="00B359AC" w:rsidP="00B359AC">
      <w:pPr>
        <w:pStyle w:val="Text1"/>
        <w:rPr>
          <w:noProof/>
        </w:rPr>
      </w:pPr>
      <m:oMathPara>
        <m:oMath>
          <m:r>
            <w:rPr>
              <w:rFonts w:ascii="Cambria Math" w:hAnsi="Cambria Math"/>
              <w:noProof/>
            </w:rPr>
            <m:t>LG</m:t>
          </m:r>
          <m:sSup>
            <m:sSupPr>
              <m:ctrlPr>
                <w:rPr>
                  <w:rFonts w:ascii="Cambria Math" w:hAnsi="Cambria Math"/>
                  <w:noProof/>
                </w:rPr>
              </m:ctrlPr>
            </m:sSupPr>
            <m:e>
              <m:r>
                <w:rPr>
                  <w:rFonts w:ascii="Cambria Math" w:hAnsi="Cambria Math"/>
                  <w:noProof/>
                </w:rPr>
                <m:t>D</m:t>
              </m:r>
            </m:e>
            <m:sup>
              <m:r>
                <m:rPr>
                  <m:sty m:val="p"/>
                </m:rPr>
                <w:rPr>
                  <w:rFonts w:ascii="Cambria Math" w:hAnsi="Cambria Math"/>
                  <w:noProof/>
                </w:rPr>
                <m:t>*</m:t>
              </m:r>
            </m:sup>
          </m:sSup>
          <m:r>
            <m:rPr>
              <m:sty m:val="p"/>
            </m:rPr>
            <w:rPr>
              <w:rFonts w:ascii="Cambria Math" w:hAnsi="Cambria Math"/>
              <w:noProof/>
            </w:rPr>
            <m:t>=</m:t>
          </m:r>
          <m:r>
            <w:rPr>
              <w:rFonts w:ascii="Cambria Math" w:hAnsi="Cambria Math"/>
              <w:noProof/>
            </w:rPr>
            <m:t>LG</m:t>
          </m:r>
          <m:sSub>
            <m:sSubPr>
              <m:ctrlPr>
                <w:rPr>
                  <w:rFonts w:ascii="Cambria Math" w:hAnsi="Cambria Math"/>
                  <w:noProof/>
                </w:rPr>
              </m:ctrlPr>
            </m:sSubPr>
            <m:e>
              <m:r>
                <w:rPr>
                  <w:rFonts w:ascii="Cambria Math" w:hAnsi="Cambria Math"/>
                  <w:noProof/>
                </w:rPr>
                <m:t>D</m:t>
              </m:r>
            </m:e>
            <m:sub>
              <m:r>
                <w:rPr>
                  <w:rFonts w:ascii="Cambria Math" w:hAnsi="Cambria Math"/>
                  <w:noProof/>
                </w:rPr>
                <m:t>U</m:t>
              </m:r>
            </m:sub>
          </m:sSub>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E</m:t>
                  </m:r>
                </m:e>
                <m:sub>
                  <m:r>
                    <w:rPr>
                      <w:rFonts w:ascii="Cambria Math" w:hAnsi="Cambria Math"/>
                      <w:noProof/>
                    </w:rPr>
                    <m:t>U</m:t>
                  </m:r>
                </m:sub>
              </m:sSub>
            </m:num>
            <m:den>
              <m:r>
                <w:rPr>
                  <w:rFonts w:ascii="Cambria Math" w:hAnsi="Cambria Math"/>
                  <w:noProof/>
                </w:rPr>
                <m:t>E</m:t>
              </m:r>
              <m:r>
                <m:rPr>
                  <m:sty m:val="p"/>
                </m:rPr>
                <w:rPr>
                  <w:rFonts w:ascii="Cambria Math" w:hAnsi="Cambria Math"/>
                  <w:noProof/>
                </w:rPr>
                <m:t>⋅</m:t>
              </m:r>
              <m:d>
                <m:dPr>
                  <m:ctrlPr>
                    <w:rPr>
                      <w:rFonts w:ascii="Cambria Math" w:hAnsi="Cambria Math"/>
                      <w:noProof/>
                    </w:rPr>
                  </m:ctrlPr>
                </m:dPr>
                <m:e>
                  <m:r>
                    <m:rPr>
                      <m:sty m:val="p"/>
                    </m:rPr>
                    <w:rPr>
                      <w:rFonts w:ascii="Cambria Math" w:hAnsi="Cambria Math"/>
                      <w:noProof/>
                    </w:rPr>
                    <m:t>1+</m:t>
                  </m:r>
                  <m:sSub>
                    <m:sSubPr>
                      <m:ctrlPr>
                        <w:rPr>
                          <w:rFonts w:ascii="Cambria Math" w:hAnsi="Cambria Math"/>
                          <w:noProof/>
                        </w:rPr>
                      </m:ctrlPr>
                    </m:sSubPr>
                    <m:e>
                      <m:r>
                        <w:rPr>
                          <w:rFonts w:ascii="Cambria Math" w:hAnsi="Cambria Math"/>
                          <w:noProof/>
                        </w:rPr>
                        <m:t>H</m:t>
                      </m:r>
                    </m:e>
                    <m:sub>
                      <m:r>
                        <w:rPr>
                          <w:rFonts w:ascii="Cambria Math" w:hAnsi="Cambria Math"/>
                          <w:noProof/>
                        </w:rPr>
                        <m:t>E</m:t>
                      </m:r>
                    </m:sub>
                  </m:sSub>
                </m:e>
              </m:d>
            </m:den>
          </m:f>
          <m:r>
            <m:rPr>
              <m:sty m:val="p"/>
            </m:rPr>
            <w:rPr>
              <w:rFonts w:ascii="Cambria Math" w:hAnsi="Cambria Math"/>
              <w:noProof/>
            </w:rPr>
            <m:t>+</m:t>
          </m:r>
          <m:nary>
            <m:naryPr>
              <m:chr m:val="∑"/>
              <m:limLoc m:val="undOvr"/>
              <m:supHide m:val="1"/>
              <m:ctrlPr>
                <w:rPr>
                  <w:rFonts w:ascii="Cambria Math" w:hAnsi="Cambria Math"/>
                  <w:noProof/>
                </w:rPr>
              </m:ctrlPr>
            </m:naryPr>
            <m:sub>
              <m:r>
                <w:rPr>
                  <w:rFonts w:ascii="Cambria Math" w:hAnsi="Cambria Math"/>
                  <w:noProof/>
                </w:rPr>
                <m:t>i</m:t>
              </m:r>
            </m:sub>
            <m:sup/>
            <m:e>
              <m:r>
                <w:rPr>
                  <w:rFonts w:ascii="Cambria Math" w:hAnsi="Cambria Math"/>
                  <w:noProof/>
                </w:rPr>
                <m:t>LG</m:t>
              </m:r>
              <m:sSub>
                <m:sSubPr>
                  <m:ctrlPr>
                    <w:rPr>
                      <w:rFonts w:ascii="Cambria Math" w:hAnsi="Cambria Math"/>
                      <w:noProof/>
                    </w:rPr>
                  </m:ctrlPr>
                </m:sSubPr>
                <m:e>
                  <m:r>
                    <w:rPr>
                      <w:rFonts w:ascii="Cambria Math" w:hAnsi="Cambria Math"/>
                      <w:noProof/>
                    </w:rPr>
                    <m:t>D</m:t>
                  </m:r>
                </m:e>
                <m:sub>
                  <m:r>
                    <w:rPr>
                      <w:rFonts w:ascii="Cambria Math" w:hAnsi="Cambria Math"/>
                      <w:noProof/>
                    </w:rPr>
                    <m:t>S</m:t>
                  </m:r>
                  <m:r>
                    <m:rPr>
                      <m:sty m:val="p"/>
                    </m:rPr>
                    <w:rPr>
                      <w:rFonts w:ascii="Cambria Math" w:hAnsi="Cambria Math"/>
                      <w:noProof/>
                    </w:rPr>
                    <m:t>,</m:t>
                  </m:r>
                  <m:r>
                    <w:rPr>
                      <w:rFonts w:ascii="Cambria Math" w:hAnsi="Cambria Math"/>
                      <w:noProof/>
                    </w:rPr>
                    <m:t>i</m:t>
                  </m:r>
                </m:sub>
              </m:sSub>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E</m:t>
                      </m:r>
                    </m:e>
                    <m:sub>
                      <m:r>
                        <w:rPr>
                          <w:rFonts w:ascii="Cambria Math" w:hAnsi="Cambria Math"/>
                          <w:noProof/>
                        </w:rPr>
                        <m:t>S</m:t>
                      </m:r>
                      <m:r>
                        <m:rPr>
                          <m:sty m:val="p"/>
                        </m:rPr>
                        <w:rPr>
                          <w:rFonts w:ascii="Cambria Math" w:hAnsi="Cambria Math"/>
                          <w:noProof/>
                        </w:rPr>
                        <m:t>,</m:t>
                      </m:r>
                      <m:r>
                        <w:rPr>
                          <w:rFonts w:ascii="Cambria Math" w:hAnsi="Cambria Math"/>
                          <w:noProof/>
                        </w:rPr>
                        <m:t>i</m:t>
                      </m:r>
                    </m:sub>
                  </m:sSub>
                </m:num>
                <m:den>
                  <m:r>
                    <w:rPr>
                      <w:rFonts w:ascii="Cambria Math" w:hAnsi="Cambria Math"/>
                      <w:noProof/>
                    </w:rPr>
                    <m:t>E</m:t>
                  </m:r>
                  <m:r>
                    <m:rPr>
                      <m:sty m:val="p"/>
                    </m:rPr>
                    <w:rPr>
                      <w:rFonts w:ascii="Cambria Math" w:hAnsi="Cambria Math"/>
                      <w:noProof/>
                    </w:rPr>
                    <m:t>⋅(1+</m:t>
                  </m:r>
                  <m:sSub>
                    <m:sSubPr>
                      <m:ctrlPr>
                        <w:rPr>
                          <w:rFonts w:ascii="Cambria Math" w:hAnsi="Cambria Math"/>
                          <w:noProof/>
                        </w:rPr>
                      </m:ctrlPr>
                    </m:sSubPr>
                    <m:e>
                      <m:r>
                        <w:rPr>
                          <w:rFonts w:ascii="Cambria Math" w:hAnsi="Cambria Math"/>
                          <w:noProof/>
                        </w:rPr>
                        <m:t>H</m:t>
                      </m:r>
                    </m:e>
                    <m:sub>
                      <m:r>
                        <w:rPr>
                          <w:rFonts w:ascii="Cambria Math" w:hAnsi="Cambria Math"/>
                          <w:noProof/>
                        </w:rPr>
                        <m:t>E</m:t>
                      </m:r>
                    </m:sub>
                  </m:sSub>
                  <m:r>
                    <m:rPr>
                      <m:sty m:val="p"/>
                    </m:rPr>
                    <w:rPr>
                      <w:rFonts w:ascii="Cambria Math" w:hAnsi="Cambria Math"/>
                      <w:noProof/>
                    </w:rPr>
                    <m:t>)</m:t>
                  </m:r>
                </m:den>
              </m:f>
            </m:e>
          </m:nary>
        </m:oMath>
      </m:oMathPara>
    </w:p>
    <w:p w14:paraId="795B0BC8" w14:textId="77777777" w:rsidR="00B359AC" w:rsidRPr="004F01E9" w:rsidRDefault="00B359AC" w:rsidP="00B359AC">
      <w:pPr>
        <w:pStyle w:val="Text1"/>
        <w:rPr>
          <w:noProof/>
        </w:rPr>
      </w:pPr>
      <w:r w:rsidRPr="004F01E9">
        <w:rPr>
          <w:noProof/>
        </w:rPr>
        <w:t>kde:</w:t>
      </w:r>
    </w:p>
    <w:p w14:paraId="34DFE6C7" w14:textId="06C1144A" w:rsidR="00B359AC" w:rsidRPr="004F01E9" w:rsidRDefault="00B359AC" w:rsidP="00B359AC">
      <w:pPr>
        <w:pStyle w:val="Text1"/>
        <w:rPr>
          <w:noProof/>
        </w:rPr>
      </w:pPr>
      <w:r w:rsidRPr="004F01E9">
        <w:rPr>
          <w:i/>
          <w:noProof/>
        </w:rPr>
        <w:t>LGD</w:t>
      </w:r>
      <w:r w:rsidRPr="004F01E9">
        <w:rPr>
          <w:i/>
          <w:noProof/>
          <w:vertAlign w:val="subscript"/>
        </w:rPr>
        <w:t>S,i</w:t>
      </w:r>
      <w:r w:rsidRPr="004F01E9">
        <w:rPr>
          <w:noProof/>
        </w:rPr>
        <w:t xml:space="preserve"> =</w:t>
      </w:r>
      <w:r w:rsidRPr="004F01E9">
        <w:rPr>
          <w:noProof/>
        </w:rPr>
        <w:tab/>
        <w:t xml:space="preserve">LGD uplatniteľná na FCP </w:t>
      </w:r>
      <w:r w:rsidRPr="004F01E9">
        <w:rPr>
          <w:i/>
          <w:noProof/>
        </w:rPr>
        <w:t>i</w:t>
      </w:r>
      <w:r w:rsidRPr="004F01E9">
        <w:rPr>
          <w:noProof/>
        </w:rPr>
        <w:t>, ako sa uvádza</w:t>
      </w:r>
      <w:r w:rsidR="004F01E9">
        <w:rPr>
          <w:noProof/>
        </w:rPr>
        <w:t xml:space="preserve"> v </w:t>
      </w:r>
      <w:r w:rsidRPr="004F01E9">
        <w:rPr>
          <w:noProof/>
        </w:rPr>
        <w:t>článku 230 ods. 2;</w:t>
      </w:r>
    </w:p>
    <w:p w14:paraId="0CA52229" w14:textId="2522AB96" w:rsidR="00B359AC" w:rsidRPr="004F01E9" w:rsidRDefault="00B359AC" w:rsidP="00B359AC">
      <w:pPr>
        <w:pStyle w:val="Text1"/>
        <w:rPr>
          <w:i/>
          <w:noProof/>
          <w:vertAlign w:val="subscript"/>
        </w:rPr>
      </w:pPr>
      <w:r w:rsidRPr="004F01E9">
        <w:rPr>
          <w:i/>
          <w:noProof/>
        </w:rPr>
        <w:t>E</w:t>
      </w:r>
      <w:r w:rsidRPr="004F01E9">
        <w:rPr>
          <w:i/>
          <w:noProof/>
          <w:vertAlign w:val="subscript"/>
        </w:rPr>
        <w:t>S,i</w:t>
      </w:r>
      <w:r w:rsidRPr="004F01E9">
        <w:rPr>
          <w:noProof/>
        </w:rPr>
        <w:t xml:space="preserve"> =</w:t>
      </w:r>
      <w:r w:rsidRPr="004F01E9">
        <w:rPr>
          <w:noProof/>
        </w:rPr>
        <w:tab/>
        <w:t>súčasná hodnota FCP</w:t>
      </w:r>
      <w:r w:rsidR="004F01E9">
        <w:rPr>
          <w:noProof/>
        </w:rPr>
        <w:t xml:space="preserve"> i </w:t>
      </w:r>
      <w:r w:rsidRPr="004F01E9">
        <w:rPr>
          <w:noProof/>
        </w:rPr>
        <w:t>prijatého po uplatnení úpravy</w:t>
      </w:r>
      <w:r w:rsidR="004F01E9">
        <w:rPr>
          <w:noProof/>
        </w:rPr>
        <w:t xml:space="preserve"> z </w:t>
      </w:r>
      <w:r w:rsidRPr="004F01E9">
        <w:rPr>
          <w:noProof/>
        </w:rPr>
        <w:t>dôvodu volatility uplatniteľnej na typ FCP (</w:t>
      </w:r>
      <w:r w:rsidRPr="004F01E9">
        <w:rPr>
          <w:i/>
          <w:noProof/>
        </w:rPr>
        <w:t>H</w:t>
      </w:r>
      <w:r w:rsidRPr="004F01E9">
        <w:rPr>
          <w:i/>
          <w:noProof/>
          <w:vertAlign w:val="subscript"/>
        </w:rPr>
        <w:t>c</w:t>
      </w:r>
      <w:r w:rsidRPr="004F01E9">
        <w:rPr>
          <w:noProof/>
        </w:rPr>
        <w:t>) podľa článku 230 ods. 2.“</w:t>
      </w:r>
    </w:p>
    <w:p w14:paraId="60F14C7F" w14:textId="16F8B605" w:rsidR="00806B81" w:rsidRPr="004F01E9" w:rsidRDefault="00B16452" w:rsidP="00B16452">
      <w:pPr>
        <w:pStyle w:val="Point0"/>
        <w:rPr>
          <w:noProof/>
        </w:rPr>
      </w:pPr>
      <w:r w:rsidRPr="00B16452">
        <w:rPr>
          <w:noProof/>
        </w:rPr>
        <w:t>121</w:t>
      </w:r>
      <w:r>
        <w:rPr>
          <w:noProof/>
        </w:rPr>
        <w:t>.</w:t>
      </w:r>
      <w:r w:rsidRPr="00B16452">
        <w:rPr>
          <w:noProof/>
        </w:rPr>
        <w:tab/>
      </w:r>
      <w:r w:rsidR="00B359AC" w:rsidRPr="004F01E9">
        <w:rPr>
          <w:noProof/>
        </w:rPr>
        <w:t>V článku 232 sa odsek 1 nahrádza takto:</w:t>
      </w:r>
    </w:p>
    <w:p w14:paraId="70D3EE8E" w14:textId="70737BAB" w:rsidR="00B359AC" w:rsidRPr="004F01E9" w:rsidRDefault="00B359AC" w:rsidP="00B359AC">
      <w:pPr>
        <w:pStyle w:val="Text1"/>
        <w:rPr>
          <w:noProof/>
        </w:rPr>
      </w:pPr>
      <w:r w:rsidRPr="004F01E9">
        <w:rPr>
          <w:noProof/>
        </w:rPr>
        <w:t>„1. Ak sú splnené podmienky stanovené</w:t>
      </w:r>
      <w:r w:rsidR="004F01E9">
        <w:rPr>
          <w:noProof/>
        </w:rPr>
        <w:t xml:space="preserve"> v </w:t>
      </w:r>
      <w:r w:rsidRPr="004F01E9">
        <w:rPr>
          <w:noProof/>
        </w:rPr>
        <w:t>článku 212 ods. 1,</w:t>
      </w:r>
      <w:r w:rsidR="004F01E9">
        <w:rPr>
          <w:noProof/>
        </w:rPr>
        <w:t xml:space="preserve"> s </w:t>
      </w:r>
      <w:r w:rsidRPr="004F01E9">
        <w:rPr>
          <w:noProof/>
        </w:rPr>
        <w:t>peňažným vkladom</w:t>
      </w:r>
      <w:r w:rsidR="004F01E9">
        <w:rPr>
          <w:noProof/>
        </w:rPr>
        <w:t xml:space="preserve"> v </w:t>
      </w:r>
      <w:r w:rsidRPr="004F01E9">
        <w:rPr>
          <w:noProof/>
        </w:rPr>
        <w:t>inštitúcii, ktorá je treťou stranou, alebo</w:t>
      </w:r>
      <w:r w:rsidR="004F01E9">
        <w:rPr>
          <w:noProof/>
        </w:rPr>
        <w:t xml:space="preserve"> s </w:t>
      </w:r>
      <w:r w:rsidRPr="004F01E9">
        <w:rPr>
          <w:noProof/>
        </w:rPr>
        <w:t>nástrojmi hotovostného typu, ktoré sú</w:t>
      </w:r>
      <w:r w:rsidR="004F01E9">
        <w:rPr>
          <w:noProof/>
        </w:rPr>
        <w:t xml:space="preserve"> v </w:t>
      </w:r>
      <w:r w:rsidRPr="004F01E9">
        <w:rPr>
          <w:noProof/>
        </w:rPr>
        <w:t>držbe tejto inštitúcie na základe inej dohody než je dohoda</w:t>
      </w:r>
      <w:r w:rsidR="004F01E9">
        <w:rPr>
          <w:noProof/>
        </w:rPr>
        <w:t xml:space="preserve"> o </w:t>
      </w:r>
      <w:r w:rsidRPr="004F01E9">
        <w:rPr>
          <w:noProof/>
        </w:rPr>
        <w:t>správe</w:t>
      </w:r>
      <w:r w:rsidR="004F01E9">
        <w:rPr>
          <w:noProof/>
        </w:rPr>
        <w:t xml:space="preserve"> a </w:t>
      </w:r>
      <w:r w:rsidRPr="004F01E9">
        <w:rPr>
          <w:noProof/>
        </w:rPr>
        <w:t>založenými</w:t>
      </w:r>
      <w:r w:rsidR="004F01E9">
        <w:rPr>
          <w:noProof/>
        </w:rPr>
        <w:t xml:space="preserve"> v </w:t>
      </w:r>
      <w:r w:rsidRPr="004F01E9">
        <w:rPr>
          <w:noProof/>
        </w:rPr>
        <w:t>prospech požičiavajúcej inštitúcie, sa môže zaobchádzať ako so zárukou poskytnutou inštitúciou, ktorá je treťou stranou.“</w:t>
      </w:r>
    </w:p>
    <w:p w14:paraId="638307F8" w14:textId="6185CD0A" w:rsidR="00806B81" w:rsidRPr="004F01E9" w:rsidRDefault="00B16452" w:rsidP="00B16452">
      <w:pPr>
        <w:pStyle w:val="Point0"/>
        <w:rPr>
          <w:noProof/>
        </w:rPr>
      </w:pPr>
      <w:r w:rsidRPr="00B16452">
        <w:rPr>
          <w:noProof/>
        </w:rPr>
        <w:t>122</w:t>
      </w:r>
      <w:r>
        <w:rPr>
          <w:noProof/>
        </w:rPr>
        <w:t>.</w:t>
      </w:r>
      <w:r w:rsidRPr="00B16452">
        <w:rPr>
          <w:noProof/>
        </w:rPr>
        <w:tab/>
      </w:r>
      <w:r w:rsidR="00B359AC" w:rsidRPr="004F01E9">
        <w:rPr>
          <w:noProof/>
        </w:rPr>
        <w:t>V článku 233 sa odsek 4 nahrádza takto:</w:t>
      </w:r>
    </w:p>
    <w:p w14:paraId="29CF3C61" w14:textId="05D1CF87" w:rsidR="00B359AC" w:rsidRPr="004F01E9" w:rsidRDefault="00B359AC" w:rsidP="00B359AC">
      <w:pPr>
        <w:pStyle w:val="Text1"/>
        <w:rPr>
          <w:noProof/>
        </w:rPr>
      </w:pPr>
      <w:r w:rsidRPr="004F01E9">
        <w:rPr>
          <w:noProof/>
        </w:rPr>
        <w:t>„4. Inštitúcie zakladajú úpravy</w:t>
      </w:r>
      <w:r w:rsidR="004F01E9">
        <w:rPr>
          <w:noProof/>
        </w:rPr>
        <w:t xml:space="preserve"> z </w:t>
      </w:r>
      <w:r w:rsidRPr="004F01E9">
        <w:rPr>
          <w:noProof/>
        </w:rPr>
        <w:t>dôvodu volatility pre všetky prípady nesúladu mien na dobe na zatvorenie pozície</w:t>
      </w:r>
      <w:r w:rsidR="004F01E9">
        <w:rPr>
          <w:noProof/>
        </w:rPr>
        <w:t xml:space="preserve"> v </w:t>
      </w:r>
      <w:r w:rsidRPr="004F01E9">
        <w:rPr>
          <w:noProof/>
        </w:rPr>
        <w:t>trvaní 10 obchodných dní, ak sa vykonáva denné preceňovanie,</w:t>
      </w:r>
      <w:r w:rsidR="004F01E9">
        <w:rPr>
          <w:noProof/>
        </w:rPr>
        <w:t xml:space="preserve"> a </w:t>
      </w:r>
      <w:r w:rsidRPr="004F01E9">
        <w:rPr>
          <w:noProof/>
        </w:rPr>
        <w:t>uvedené úpravy vypočítavajú na základe úprav</w:t>
      </w:r>
      <w:r w:rsidR="004F01E9">
        <w:rPr>
          <w:noProof/>
        </w:rPr>
        <w:t xml:space="preserve"> z </w:t>
      </w:r>
      <w:r w:rsidRPr="004F01E9">
        <w:rPr>
          <w:noProof/>
        </w:rPr>
        <w:t>dôvodu volatility stanovených orgánom dohľadu, ako sa uvádza</w:t>
      </w:r>
      <w:r w:rsidR="004F01E9">
        <w:rPr>
          <w:noProof/>
        </w:rPr>
        <w:t xml:space="preserve"> v </w:t>
      </w:r>
      <w:r w:rsidRPr="004F01E9">
        <w:rPr>
          <w:noProof/>
        </w:rPr>
        <w:t>článku 224. Inštitúcie škálujú úpravy</w:t>
      </w:r>
      <w:r w:rsidR="004F01E9">
        <w:rPr>
          <w:noProof/>
        </w:rPr>
        <w:t xml:space="preserve"> z </w:t>
      </w:r>
      <w:r w:rsidRPr="004F01E9">
        <w:rPr>
          <w:noProof/>
        </w:rPr>
        <w:t>dôvodu volatility</w:t>
      </w:r>
      <w:r w:rsidR="004F01E9">
        <w:rPr>
          <w:noProof/>
        </w:rPr>
        <w:t xml:space="preserve"> v </w:t>
      </w:r>
      <w:r w:rsidRPr="004F01E9">
        <w:rPr>
          <w:noProof/>
        </w:rPr>
        <w:t>súlade</w:t>
      </w:r>
      <w:r w:rsidR="004F01E9">
        <w:rPr>
          <w:noProof/>
        </w:rPr>
        <w:t xml:space="preserve"> s </w:t>
      </w:r>
      <w:r w:rsidRPr="004F01E9">
        <w:rPr>
          <w:noProof/>
        </w:rPr>
        <w:t>článkom 226.“</w:t>
      </w:r>
    </w:p>
    <w:p w14:paraId="4F204674" w14:textId="3697FFDC" w:rsidR="00806B81" w:rsidRPr="004F01E9" w:rsidRDefault="00B16452" w:rsidP="00B16452">
      <w:pPr>
        <w:pStyle w:val="Point0"/>
        <w:rPr>
          <w:noProof/>
        </w:rPr>
      </w:pPr>
      <w:r w:rsidRPr="00B16452">
        <w:rPr>
          <w:noProof/>
        </w:rPr>
        <w:t>123</w:t>
      </w:r>
      <w:r>
        <w:rPr>
          <w:noProof/>
        </w:rPr>
        <w:t>.</w:t>
      </w:r>
      <w:r w:rsidRPr="00B16452">
        <w:rPr>
          <w:noProof/>
        </w:rPr>
        <w:tab/>
      </w:r>
      <w:r w:rsidR="00B359AC" w:rsidRPr="004F01E9">
        <w:rPr>
          <w:noProof/>
        </w:rPr>
        <w:t>Článok 235 sa mení takto:</w:t>
      </w:r>
    </w:p>
    <w:p w14:paraId="36DD20A3" w14:textId="0276BDAE" w:rsidR="00806B81" w:rsidRPr="004F01E9" w:rsidRDefault="00CE071F" w:rsidP="00CE071F">
      <w:pPr>
        <w:pStyle w:val="Point1"/>
        <w:rPr>
          <w:noProof/>
        </w:rPr>
      </w:pPr>
      <w:r w:rsidRPr="004F01E9">
        <w:rPr>
          <w:noProof/>
        </w:rPr>
        <w:t>a)</w:t>
      </w:r>
      <w:r w:rsidRPr="004F01E9">
        <w:rPr>
          <w:noProof/>
        </w:rPr>
        <w:tab/>
        <w:t>Názov sa mení takto:</w:t>
      </w:r>
    </w:p>
    <w:p w14:paraId="0FD648CE" w14:textId="37D66493" w:rsidR="00B359AC" w:rsidRPr="004F01E9" w:rsidRDefault="00B359AC" w:rsidP="00B359AC">
      <w:pPr>
        <w:pStyle w:val="Titrearticle"/>
        <w:rPr>
          <w:b/>
          <w:i w:val="0"/>
          <w:noProof/>
        </w:rPr>
      </w:pPr>
      <w:r w:rsidRPr="004F01E9">
        <w:rPr>
          <w:noProof/>
        </w:rPr>
        <w:tab/>
      </w:r>
      <w:r w:rsidRPr="004F01E9">
        <w:rPr>
          <w:b/>
          <w:i w:val="0"/>
          <w:noProof/>
        </w:rPr>
        <w:t>„Výpočet hodnoty rizikovo vážených expozícií podľa substitučného prístupu, keď sa so zaručenou expozíciou zaobchádza podľa štandardizovaného prístupu</w:t>
      </w:r>
      <w:r w:rsidRPr="004F01E9">
        <w:rPr>
          <w:i w:val="0"/>
          <w:noProof/>
        </w:rPr>
        <w:t>“</w:t>
      </w:r>
      <w:r w:rsidRPr="004F01E9">
        <w:rPr>
          <w:noProof/>
        </w:rPr>
        <w:t>;</w:t>
      </w:r>
    </w:p>
    <w:p w14:paraId="2AB3C481" w14:textId="38CDCF25" w:rsidR="00B359AC" w:rsidRPr="004F01E9" w:rsidRDefault="00CE071F" w:rsidP="00CE071F">
      <w:pPr>
        <w:pStyle w:val="Point1"/>
        <w:rPr>
          <w:noProof/>
        </w:rPr>
      </w:pPr>
      <w:r w:rsidRPr="004F01E9">
        <w:rPr>
          <w:noProof/>
        </w:rPr>
        <w:t>b)</w:t>
      </w:r>
      <w:r w:rsidRPr="004F01E9">
        <w:rPr>
          <w:noProof/>
        </w:rPr>
        <w:tab/>
        <w:t>Odsek 1 sa nahrádza takto:</w:t>
      </w:r>
    </w:p>
    <w:p w14:paraId="4D864F25" w14:textId="0BC45451" w:rsidR="00B359AC" w:rsidRPr="004F01E9" w:rsidRDefault="00B359AC" w:rsidP="00B359AC">
      <w:pPr>
        <w:pStyle w:val="Text2"/>
        <w:rPr>
          <w:noProof/>
        </w:rPr>
      </w:pPr>
      <w:r w:rsidRPr="004F01E9">
        <w:rPr>
          <w:noProof/>
        </w:rPr>
        <w:t>„1. Na účely článku 113 ods. 3 inštitúcie vypočítavajú hodnoty rizikovo vážených expozícií pre expozície</w:t>
      </w:r>
      <w:r w:rsidR="004F01E9">
        <w:rPr>
          <w:noProof/>
        </w:rPr>
        <w:t xml:space="preserve"> s </w:t>
      </w:r>
      <w:r w:rsidRPr="004F01E9">
        <w:rPr>
          <w:noProof/>
        </w:rPr>
        <w:t>nefinancovaným kreditným zabezpečením, na ktoré tieto inštitúcie uplatňujú štandardizovaný prístup, bez ohľadu na zaobchádzanie</w:t>
      </w:r>
      <w:r w:rsidR="004F01E9">
        <w:rPr>
          <w:noProof/>
        </w:rPr>
        <w:t xml:space="preserve"> s </w:t>
      </w:r>
      <w:r w:rsidRPr="004F01E9">
        <w:rPr>
          <w:noProof/>
        </w:rPr>
        <w:t>porovnateľnou priamou expozíciou voči poskytovateľovi zabezpečenia,</w:t>
      </w:r>
      <w:r w:rsidR="004F01E9">
        <w:rPr>
          <w:noProof/>
        </w:rPr>
        <w:t xml:space="preserve"> v </w:t>
      </w:r>
      <w:r w:rsidRPr="004F01E9">
        <w:rPr>
          <w:noProof/>
        </w:rPr>
        <w:t>súlade</w:t>
      </w:r>
      <w:r w:rsidR="004F01E9">
        <w:rPr>
          <w:noProof/>
        </w:rPr>
        <w:t xml:space="preserve"> s </w:t>
      </w:r>
      <w:r w:rsidRPr="004F01E9">
        <w:rPr>
          <w:noProof/>
        </w:rPr>
        <w:t>týmto vzorcom:</w:t>
      </w:r>
    </w:p>
    <w:p w14:paraId="349726D1" w14:textId="74ECE28B" w:rsidR="00B359AC" w:rsidRPr="004F01E9" w:rsidRDefault="00B359AC" w:rsidP="00CE071F">
      <w:pPr>
        <w:pStyle w:val="Text2"/>
        <w:jc w:val="center"/>
        <w:rPr>
          <w:noProof/>
        </w:rPr>
      </w:pPr>
      <w:r w:rsidRPr="004F01E9">
        <w:rPr>
          <w:noProof/>
        </w:rPr>
        <w:t>max{0, E − G</w:t>
      </w:r>
      <w:r w:rsidRPr="004F01E9">
        <w:rPr>
          <w:noProof/>
          <w:vertAlign w:val="subscript"/>
        </w:rPr>
        <w:t>A</w:t>
      </w:r>
      <w:r w:rsidRPr="004F01E9">
        <w:rPr>
          <w:noProof/>
        </w:rPr>
        <w:t>}</w:t>
      </w:r>
      <w:r w:rsidRPr="004F01E9">
        <w:rPr>
          <w:i/>
          <w:noProof/>
          <w:sz w:val="19"/>
          <w:szCs w:val="19"/>
        </w:rPr>
        <w:t xml:space="preserve"> </w:t>
      </w:r>
      <w:r w:rsidRPr="004F01E9">
        <w:rPr>
          <w:i/>
          <w:iCs/>
          <w:noProof/>
          <w:sz w:val="19"/>
          <w:szCs w:val="19"/>
        </w:rPr>
        <w:t>·</w:t>
      </w:r>
      <w:r w:rsidRPr="004F01E9">
        <w:rPr>
          <w:i/>
          <w:noProof/>
          <w:sz w:val="19"/>
          <w:szCs w:val="19"/>
        </w:rPr>
        <w:t xml:space="preserve"> r + </w:t>
      </w:r>
      <w:r w:rsidRPr="004F01E9">
        <w:rPr>
          <w:noProof/>
        </w:rPr>
        <w:t>G</w:t>
      </w:r>
      <w:r w:rsidRPr="004F01E9">
        <w:rPr>
          <w:noProof/>
          <w:vertAlign w:val="subscript"/>
        </w:rPr>
        <w:t>A</w:t>
      </w:r>
      <w:r w:rsidRPr="004F01E9">
        <w:rPr>
          <w:i/>
          <w:noProof/>
          <w:sz w:val="19"/>
          <w:szCs w:val="19"/>
        </w:rPr>
        <w:t xml:space="preserve"> </w:t>
      </w:r>
      <w:r w:rsidRPr="004F01E9">
        <w:rPr>
          <w:i/>
          <w:iCs/>
          <w:noProof/>
          <w:sz w:val="19"/>
          <w:szCs w:val="19"/>
        </w:rPr>
        <w:t>·</w:t>
      </w:r>
      <w:r w:rsidRPr="004F01E9">
        <w:rPr>
          <w:i/>
          <w:noProof/>
          <w:sz w:val="19"/>
          <w:szCs w:val="19"/>
        </w:rPr>
        <w:t xml:space="preserve"> </w:t>
      </w:r>
      <w:r w:rsidRPr="004F01E9">
        <w:rPr>
          <w:noProof/>
        </w:rPr>
        <w:t>g</w:t>
      </w:r>
    </w:p>
    <w:p w14:paraId="25B8FABE" w14:textId="77777777" w:rsidR="00B359AC" w:rsidRPr="004F01E9" w:rsidRDefault="00B359AC" w:rsidP="00B359AC">
      <w:pPr>
        <w:pStyle w:val="Text2"/>
        <w:rPr>
          <w:noProof/>
        </w:rPr>
      </w:pPr>
      <w:r w:rsidRPr="004F01E9">
        <w:rPr>
          <w:noProof/>
        </w:rPr>
        <w:t>kde:</w:t>
      </w:r>
    </w:p>
    <w:p w14:paraId="44780432" w14:textId="63D9A4B3" w:rsidR="00B359AC" w:rsidRPr="004F01E9" w:rsidRDefault="00B359AC" w:rsidP="00B359AC">
      <w:pPr>
        <w:pStyle w:val="Text2"/>
        <w:rPr>
          <w:noProof/>
        </w:rPr>
      </w:pPr>
      <w:r w:rsidRPr="004F01E9">
        <w:rPr>
          <w:noProof/>
        </w:rPr>
        <w:t>E</w:t>
      </w:r>
      <w:r w:rsidRPr="004F01E9">
        <w:rPr>
          <w:noProof/>
        </w:rPr>
        <w:tab/>
        <w:t>= hodnota expozície vypočítaná</w:t>
      </w:r>
      <w:r w:rsidR="004F01E9">
        <w:rPr>
          <w:noProof/>
        </w:rPr>
        <w:t xml:space="preserve"> v </w:t>
      </w:r>
      <w:r w:rsidRPr="004F01E9">
        <w:rPr>
          <w:noProof/>
        </w:rPr>
        <w:t>súlade</w:t>
      </w:r>
      <w:r w:rsidR="004F01E9">
        <w:rPr>
          <w:noProof/>
        </w:rPr>
        <w:t xml:space="preserve"> s </w:t>
      </w:r>
      <w:r w:rsidRPr="004F01E9">
        <w:rPr>
          <w:noProof/>
        </w:rPr>
        <w:t>článkom 111. Na uvedený účel musí byť hodnota expozície podsúvahovej položky uvedenej</w:t>
      </w:r>
      <w:r w:rsidR="004F01E9">
        <w:rPr>
          <w:noProof/>
        </w:rPr>
        <w:t xml:space="preserve"> v </w:t>
      </w:r>
      <w:r w:rsidRPr="004F01E9">
        <w:rPr>
          <w:noProof/>
        </w:rPr>
        <w:t>prílohe I skôr 100</w:t>
      </w:r>
      <w:r w:rsidR="004F01E9">
        <w:rPr>
          <w:noProof/>
        </w:rPr>
        <w:t> %</w:t>
      </w:r>
      <w:r w:rsidRPr="004F01E9">
        <w:rPr>
          <w:noProof/>
        </w:rPr>
        <w:t xml:space="preserve"> jej hodnoty než hodnota expozície uvedená</w:t>
      </w:r>
      <w:r w:rsidR="004F01E9">
        <w:rPr>
          <w:noProof/>
        </w:rPr>
        <w:t xml:space="preserve"> v </w:t>
      </w:r>
      <w:r w:rsidRPr="004F01E9">
        <w:rPr>
          <w:noProof/>
        </w:rPr>
        <w:t>článku 111 ods. 1;</w:t>
      </w:r>
    </w:p>
    <w:p w14:paraId="4B45BC58" w14:textId="02FC10CB" w:rsidR="00B359AC" w:rsidRPr="00376CBB" w:rsidRDefault="00B359AC" w:rsidP="00B359AC">
      <w:pPr>
        <w:pStyle w:val="Text2"/>
        <w:rPr>
          <w:noProof/>
          <w:spacing w:val="-4"/>
        </w:rPr>
      </w:pPr>
      <w:r w:rsidRPr="00376CBB">
        <w:rPr>
          <w:noProof/>
          <w:spacing w:val="-4"/>
        </w:rPr>
        <w:t>G</w:t>
      </w:r>
      <w:r w:rsidRPr="00376CBB">
        <w:rPr>
          <w:noProof/>
          <w:spacing w:val="-4"/>
          <w:vertAlign w:val="subscript"/>
        </w:rPr>
        <w:t>A</w:t>
      </w:r>
      <w:r w:rsidRPr="00376CBB">
        <w:rPr>
          <w:noProof/>
          <w:spacing w:val="-4"/>
        </w:rPr>
        <w:t xml:space="preserve"> =</w:t>
      </w:r>
      <w:r w:rsidRPr="00376CBB">
        <w:rPr>
          <w:noProof/>
          <w:spacing w:val="-4"/>
        </w:rPr>
        <w:tab/>
        <w:t>výška zabezpečenia vypočítaná podľa článku 233 ods. 3 (G*) ďalej upravená</w:t>
      </w:r>
      <w:r w:rsidR="004F01E9" w:rsidRPr="00376CBB">
        <w:rPr>
          <w:noProof/>
          <w:spacing w:val="-4"/>
        </w:rPr>
        <w:t xml:space="preserve"> z </w:t>
      </w:r>
      <w:r w:rsidRPr="00376CBB">
        <w:rPr>
          <w:noProof/>
          <w:spacing w:val="-4"/>
        </w:rPr>
        <w:t>dôvodu akéhokoľvek nesúladu splatností, ako sa uvádza</w:t>
      </w:r>
      <w:r w:rsidR="004F01E9" w:rsidRPr="00376CBB">
        <w:rPr>
          <w:noProof/>
          <w:spacing w:val="-4"/>
        </w:rPr>
        <w:t xml:space="preserve"> v </w:t>
      </w:r>
      <w:r w:rsidRPr="00376CBB">
        <w:rPr>
          <w:noProof/>
          <w:spacing w:val="-4"/>
        </w:rPr>
        <w:t>oddiele 5;</w:t>
      </w:r>
    </w:p>
    <w:p w14:paraId="4D574F10" w14:textId="086CD69C" w:rsidR="00B359AC" w:rsidRPr="004F01E9" w:rsidRDefault="00B359AC" w:rsidP="00B359AC">
      <w:pPr>
        <w:pStyle w:val="Text2"/>
        <w:rPr>
          <w:noProof/>
        </w:rPr>
      </w:pPr>
      <w:r w:rsidRPr="004F01E9">
        <w:rPr>
          <w:noProof/>
        </w:rPr>
        <w:t>r =</w:t>
      </w:r>
      <w:r w:rsidRPr="004F01E9">
        <w:rPr>
          <w:noProof/>
        </w:rPr>
        <w:tab/>
        <w:t>riziková váha expozícií voči dlžníkovi, ako sa uvádza</w:t>
      </w:r>
      <w:r w:rsidR="004F01E9">
        <w:rPr>
          <w:noProof/>
        </w:rPr>
        <w:t xml:space="preserve"> v </w:t>
      </w:r>
      <w:r w:rsidRPr="004F01E9">
        <w:rPr>
          <w:noProof/>
        </w:rPr>
        <w:t>kapitole 2;</w:t>
      </w:r>
    </w:p>
    <w:p w14:paraId="29810383" w14:textId="7580777D" w:rsidR="00B359AC" w:rsidRPr="004F01E9" w:rsidRDefault="00B359AC" w:rsidP="00B359AC">
      <w:pPr>
        <w:pStyle w:val="Text2"/>
        <w:rPr>
          <w:noProof/>
        </w:rPr>
      </w:pPr>
      <w:r w:rsidRPr="004F01E9">
        <w:rPr>
          <w:noProof/>
        </w:rPr>
        <w:t>g =</w:t>
      </w:r>
      <w:r w:rsidRPr="004F01E9">
        <w:rPr>
          <w:noProof/>
        </w:rPr>
        <w:tab/>
        <w:t>riziková váha expozícií voči poskytovateľovi zabezpečenia, ako sa uvádza</w:t>
      </w:r>
      <w:r w:rsidR="004F01E9">
        <w:rPr>
          <w:noProof/>
        </w:rPr>
        <w:t xml:space="preserve"> v </w:t>
      </w:r>
      <w:r w:rsidRPr="004F01E9">
        <w:rPr>
          <w:noProof/>
        </w:rPr>
        <w:t>kapitole 2.“;</w:t>
      </w:r>
    </w:p>
    <w:p w14:paraId="5570853E" w14:textId="29E247BE" w:rsidR="00B359AC" w:rsidRPr="004F01E9" w:rsidRDefault="00CE071F" w:rsidP="00CE071F">
      <w:pPr>
        <w:pStyle w:val="Point1"/>
        <w:rPr>
          <w:noProof/>
        </w:rPr>
      </w:pPr>
      <w:r w:rsidRPr="004F01E9">
        <w:rPr>
          <w:noProof/>
        </w:rPr>
        <w:t>c)</w:t>
      </w:r>
      <w:r w:rsidRPr="004F01E9">
        <w:rPr>
          <w:noProof/>
        </w:rPr>
        <w:tab/>
        <w:t>Odsek 3 sa nahrádza takto:</w:t>
      </w:r>
    </w:p>
    <w:p w14:paraId="58B46E65" w14:textId="3F957889" w:rsidR="00B359AC" w:rsidRPr="004F01E9" w:rsidRDefault="00B359AC" w:rsidP="00B359AC">
      <w:pPr>
        <w:pStyle w:val="Text2"/>
        <w:rPr>
          <w:noProof/>
        </w:rPr>
      </w:pPr>
      <w:r w:rsidRPr="004F01E9">
        <w:rPr>
          <w:noProof/>
        </w:rPr>
        <w:t>„3. Inštitúcie môžu rozšíriť preferenčné zaobchádzanie stanovené</w:t>
      </w:r>
      <w:r w:rsidR="004F01E9">
        <w:rPr>
          <w:noProof/>
        </w:rPr>
        <w:t xml:space="preserve"> v </w:t>
      </w:r>
      <w:r w:rsidRPr="004F01E9">
        <w:rPr>
          <w:noProof/>
        </w:rPr>
        <w:t>článku 114 ods. 4</w:t>
      </w:r>
      <w:r w:rsidR="004F01E9">
        <w:rPr>
          <w:noProof/>
        </w:rPr>
        <w:t xml:space="preserve"> a </w:t>
      </w:r>
      <w:r w:rsidRPr="004F01E9">
        <w:rPr>
          <w:noProof/>
        </w:rPr>
        <w:t>7 na expozície alebo časti expozícií zaručené ústrednou vládou alebo centrálnou bankou, ako keby tieto expozície boli priamymi expozíciami voči ústrednej vláde alebo centrálnej banke, za predpokladu, že pri takýchto priamych expozíciách sú splnené podmienky uvedené</w:t>
      </w:r>
      <w:r w:rsidR="004F01E9">
        <w:rPr>
          <w:noProof/>
        </w:rPr>
        <w:t xml:space="preserve"> v </w:t>
      </w:r>
      <w:r w:rsidRPr="004F01E9">
        <w:rPr>
          <w:noProof/>
        </w:rPr>
        <w:t>článku 114 ods. 4 alebo prípadne 7.“</w:t>
      </w:r>
    </w:p>
    <w:p w14:paraId="63515DD7" w14:textId="7C0BB516" w:rsidR="00806B81" w:rsidRPr="004F01E9" w:rsidRDefault="00B16452" w:rsidP="00B16452">
      <w:pPr>
        <w:pStyle w:val="Point0"/>
        <w:rPr>
          <w:noProof/>
        </w:rPr>
      </w:pPr>
      <w:r w:rsidRPr="00B16452">
        <w:rPr>
          <w:noProof/>
        </w:rPr>
        <w:t>124</w:t>
      </w:r>
      <w:r>
        <w:rPr>
          <w:noProof/>
        </w:rPr>
        <w:t>.</w:t>
      </w:r>
      <w:r w:rsidRPr="00B16452">
        <w:rPr>
          <w:noProof/>
        </w:rPr>
        <w:tab/>
      </w:r>
      <w:r w:rsidR="00B359AC" w:rsidRPr="004F01E9">
        <w:rPr>
          <w:noProof/>
        </w:rPr>
        <w:t>Vkladá sa tento článok 235a:</w:t>
      </w:r>
    </w:p>
    <w:p w14:paraId="07F8E411" w14:textId="64FFFE0F" w:rsidR="00B359AC" w:rsidRPr="004F01E9" w:rsidRDefault="00B359AC" w:rsidP="00B359AC">
      <w:pPr>
        <w:pStyle w:val="Titrearticle"/>
        <w:rPr>
          <w:i w:val="0"/>
          <w:noProof/>
        </w:rPr>
      </w:pPr>
      <w:r w:rsidRPr="004F01E9">
        <w:rPr>
          <w:noProof/>
        </w:rPr>
        <w:t xml:space="preserve">„Článok 235a </w:t>
      </w:r>
      <w:r w:rsidRPr="004F01E9">
        <w:rPr>
          <w:noProof/>
        </w:rPr>
        <w:br/>
      </w:r>
      <w:r w:rsidRPr="004F01E9">
        <w:rPr>
          <w:b/>
          <w:i w:val="0"/>
          <w:noProof/>
        </w:rPr>
        <w:t>Výpočet hodnoty rizikovo vážených expozícií</w:t>
      </w:r>
      <w:r w:rsidR="004F01E9">
        <w:rPr>
          <w:b/>
          <w:i w:val="0"/>
          <w:noProof/>
        </w:rPr>
        <w:t xml:space="preserve"> a </w:t>
      </w:r>
      <w:r w:rsidRPr="004F01E9">
        <w:rPr>
          <w:b/>
          <w:i w:val="0"/>
          <w:noProof/>
        </w:rPr>
        <w:t>výšky očakávaných strát podľa substitučného prístupu, keď sa so zaručenou expozíciou zaobchádza podľa prístupu IRB</w:t>
      </w:r>
      <w:r w:rsidR="004F01E9">
        <w:rPr>
          <w:b/>
          <w:i w:val="0"/>
          <w:noProof/>
        </w:rPr>
        <w:t xml:space="preserve"> a s </w:t>
      </w:r>
      <w:r w:rsidRPr="004F01E9">
        <w:rPr>
          <w:b/>
          <w:i w:val="0"/>
          <w:noProof/>
        </w:rPr>
        <w:t>porovnateľnými priamymi expozíciami voči poskytovateľovi zabezpečenia sa zaobchádza podľa štandardizovaného prístupu IRB</w:t>
      </w:r>
    </w:p>
    <w:p w14:paraId="6CD8B603" w14:textId="7F4F17B1" w:rsidR="00806B81" w:rsidRPr="004F01E9" w:rsidRDefault="00B359AC" w:rsidP="00B359AC">
      <w:pPr>
        <w:pStyle w:val="Text1"/>
        <w:rPr>
          <w:noProof/>
        </w:rPr>
      </w:pPr>
      <w:r w:rsidRPr="004F01E9">
        <w:rPr>
          <w:noProof/>
        </w:rPr>
        <w:t>1.</w:t>
      </w:r>
      <w:r w:rsidR="004F01E9">
        <w:rPr>
          <w:noProof/>
        </w:rPr>
        <w:t xml:space="preserve"> V </w:t>
      </w:r>
      <w:r w:rsidRPr="004F01E9">
        <w:rPr>
          <w:noProof/>
        </w:rPr>
        <w:t>prípade expozícií</w:t>
      </w:r>
      <w:r w:rsidR="004F01E9">
        <w:rPr>
          <w:noProof/>
        </w:rPr>
        <w:t xml:space="preserve"> s </w:t>
      </w:r>
      <w:r w:rsidRPr="004F01E9">
        <w:rPr>
          <w:noProof/>
        </w:rPr>
        <w:t>nefinancovaným kreditným zabezpečením, na ktoré inštitúcia uplatňuje prístup IRB uvedený</w:t>
      </w:r>
      <w:r w:rsidR="004F01E9">
        <w:rPr>
          <w:noProof/>
        </w:rPr>
        <w:t xml:space="preserve"> v </w:t>
      </w:r>
      <w:r w:rsidRPr="004F01E9">
        <w:rPr>
          <w:noProof/>
        </w:rPr>
        <w:t>kapitole 3,</w:t>
      </w:r>
      <w:r w:rsidR="004F01E9">
        <w:rPr>
          <w:noProof/>
        </w:rPr>
        <w:t xml:space="preserve"> a </w:t>
      </w:r>
      <w:r w:rsidRPr="004F01E9">
        <w:rPr>
          <w:noProof/>
        </w:rPr>
        <w:t>ak sa</w:t>
      </w:r>
      <w:r w:rsidR="004F01E9">
        <w:rPr>
          <w:noProof/>
        </w:rPr>
        <w:t xml:space="preserve"> s </w:t>
      </w:r>
      <w:r w:rsidRPr="004F01E9">
        <w:rPr>
          <w:noProof/>
        </w:rPr>
        <w:t>porovnateľnými priamymi expozíciami voči poskytovateľovi zabezpečenia zaobchádza podľa štandardizovaného prístupu, inštitúcie vypočítavajú hodnoty rizikovo vážených expozícií</w:t>
      </w:r>
      <w:r w:rsidR="004F01E9">
        <w:rPr>
          <w:noProof/>
        </w:rPr>
        <w:t xml:space="preserve"> v </w:t>
      </w:r>
      <w:r w:rsidRPr="004F01E9">
        <w:rPr>
          <w:noProof/>
        </w:rPr>
        <w:t>súlade</w:t>
      </w:r>
      <w:r w:rsidR="004F01E9">
        <w:rPr>
          <w:noProof/>
        </w:rPr>
        <w:t xml:space="preserve"> s </w:t>
      </w:r>
      <w:r w:rsidRPr="004F01E9">
        <w:rPr>
          <w:noProof/>
        </w:rPr>
        <w:t>týmto vzorcom:</w:t>
      </w:r>
    </w:p>
    <w:p w14:paraId="50924D4E" w14:textId="3EBBE8C8" w:rsidR="00B359AC" w:rsidRPr="004F01E9" w:rsidRDefault="00B359AC" w:rsidP="00B359AC">
      <w:pPr>
        <w:pStyle w:val="Text1"/>
        <w:jc w:val="center"/>
        <w:rPr>
          <w:noProof/>
        </w:rPr>
      </w:pPr>
      <w:r w:rsidRPr="004F01E9">
        <w:rPr>
          <w:noProof/>
        </w:rPr>
        <w:t>max{0, E − G</w:t>
      </w:r>
      <w:r w:rsidRPr="004F01E9">
        <w:rPr>
          <w:noProof/>
          <w:vertAlign w:val="subscript"/>
        </w:rPr>
        <w:t>A</w:t>
      </w:r>
      <w:r w:rsidRPr="004F01E9">
        <w:rPr>
          <w:noProof/>
        </w:rPr>
        <w:t>}</w:t>
      </w:r>
      <w:r w:rsidRPr="004F01E9">
        <w:rPr>
          <w:i/>
          <w:noProof/>
          <w:sz w:val="19"/>
          <w:szCs w:val="19"/>
        </w:rPr>
        <w:t xml:space="preserve"> </w:t>
      </w:r>
      <w:r w:rsidRPr="004F01E9">
        <w:rPr>
          <w:i/>
          <w:iCs/>
          <w:noProof/>
          <w:sz w:val="19"/>
          <w:szCs w:val="19"/>
        </w:rPr>
        <w:t>·</w:t>
      </w:r>
      <w:r w:rsidRPr="004F01E9">
        <w:rPr>
          <w:i/>
          <w:noProof/>
          <w:sz w:val="19"/>
          <w:szCs w:val="19"/>
        </w:rPr>
        <w:t xml:space="preserve"> r + </w:t>
      </w:r>
      <w:r w:rsidRPr="004F01E9">
        <w:rPr>
          <w:noProof/>
        </w:rPr>
        <w:t>G</w:t>
      </w:r>
      <w:r w:rsidRPr="004F01E9">
        <w:rPr>
          <w:noProof/>
          <w:vertAlign w:val="subscript"/>
        </w:rPr>
        <w:t>A</w:t>
      </w:r>
      <w:r w:rsidRPr="004F01E9">
        <w:rPr>
          <w:i/>
          <w:noProof/>
          <w:sz w:val="19"/>
          <w:szCs w:val="19"/>
        </w:rPr>
        <w:t xml:space="preserve"> </w:t>
      </w:r>
      <w:r w:rsidRPr="004F01E9">
        <w:rPr>
          <w:i/>
          <w:iCs/>
          <w:noProof/>
          <w:sz w:val="19"/>
          <w:szCs w:val="19"/>
        </w:rPr>
        <w:t>·</w:t>
      </w:r>
      <w:r w:rsidRPr="004F01E9">
        <w:rPr>
          <w:i/>
          <w:noProof/>
          <w:sz w:val="19"/>
          <w:szCs w:val="19"/>
        </w:rPr>
        <w:t xml:space="preserve"> </w:t>
      </w:r>
      <w:r w:rsidRPr="004F01E9">
        <w:rPr>
          <w:noProof/>
        </w:rPr>
        <w:t>g</w:t>
      </w:r>
    </w:p>
    <w:p w14:paraId="32DD1D9E" w14:textId="77777777" w:rsidR="00806B81" w:rsidRPr="004F01E9" w:rsidRDefault="00B359AC" w:rsidP="00B359AC">
      <w:pPr>
        <w:pStyle w:val="Text1"/>
        <w:rPr>
          <w:noProof/>
        </w:rPr>
      </w:pPr>
      <w:r w:rsidRPr="004F01E9">
        <w:rPr>
          <w:noProof/>
        </w:rPr>
        <w:t>kde:</w:t>
      </w:r>
    </w:p>
    <w:p w14:paraId="5EF14686" w14:textId="4F2BD2C1" w:rsidR="00806B81" w:rsidRPr="004F01E9" w:rsidRDefault="00B359AC" w:rsidP="00B359AC">
      <w:pPr>
        <w:pStyle w:val="Text1"/>
        <w:rPr>
          <w:noProof/>
        </w:rPr>
      </w:pPr>
      <w:r w:rsidRPr="004F01E9">
        <w:rPr>
          <w:noProof/>
        </w:rPr>
        <w:t>E</w:t>
      </w:r>
      <w:r w:rsidRPr="004F01E9">
        <w:rPr>
          <w:noProof/>
        </w:rPr>
        <w:tab/>
        <w:t>= hodnota expozície určená</w:t>
      </w:r>
      <w:r w:rsidR="004F01E9">
        <w:rPr>
          <w:noProof/>
        </w:rPr>
        <w:t xml:space="preserve"> v </w:t>
      </w:r>
      <w:r w:rsidRPr="004F01E9">
        <w:rPr>
          <w:noProof/>
        </w:rPr>
        <w:t>súlade</w:t>
      </w:r>
      <w:r w:rsidR="004F01E9">
        <w:rPr>
          <w:noProof/>
        </w:rPr>
        <w:t xml:space="preserve"> s </w:t>
      </w:r>
      <w:r w:rsidRPr="004F01E9">
        <w:rPr>
          <w:noProof/>
        </w:rPr>
        <w:t>oddielom 5 kapitoly 3. Na uvedený účel inštitúcie vypočítavajú hodnotu expozície pre podsúvahové položky iné ako deriváty,</w:t>
      </w:r>
      <w:r w:rsidR="004F01E9">
        <w:rPr>
          <w:noProof/>
        </w:rPr>
        <w:t xml:space="preserve"> s </w:t>
      </w:r>
      <w:r w:rsidRPr="004F01E9">
        <w:rPr>
          <w:noProof/>
        </w:rPr>
        <w:t>ktorými sa zaobchádza podľa prístupu IRB,</w:t>
      </w:r>
      <w:r w:rsidR="004F01E9">
        <w:rPr>
          <w:noProof/>
        </w:rPr>
        <w:t xml:space="preserve"> s </w:t>
      </w:r>
      <w:r w:rsidRPr="004F01E9">
        <w:rPr>
          <w:noProof/>
        </w:rPr>
        <w:t>použitím CCF vo výške 100</w:t>
      </w:r>
      <w:r w:rsidR="004F01E9">
        <w:rPr>
          <w:noProof/>
        </w:rPr>
        <w:t> %</w:t>
      </w:r>
      <w:r w:rsidRPr="004F01E9">
        <w:rPr>
          <w:noProof/>
        </w:rPr>
        <w:t xml:space="preserve"> namiesto SA-CCF alebo IRB-CCF stanovených</w:t>
      </w:r>
      <w:r w:rsidR="004F01E9">
        <w:rPr>
          <w:noProof/>
        </w:rPr>
        <w:t xml:space="preserve"> v </w:t>
      </w:r>
      <w:r w:rsidRPr="004F01E9">
        <w:rPr>
          <w:noProof/>
        </w:rPr>
        <w:t>článku 166 ods. 8, 8a</w:t>
      </w:r>
      <w:r w:rsidR="004F01E9">
        <w:rPr>
          <w:noProof/>
        </w:rPr>
        <w:t xml:space="preserve"> a </w:t>
      </w:r>
      <w:r w:rsidRPr="004F01E9">
        <w:rPr>
          <w:noProof/>
        </w:rPr>
        <w:t>8b;</w:t>
      </w:r>
    </w:p>
    <w:p w14:paraId="7C5082F7" w14:textId="3E54A36D" w:rsidR="00B359AC" w:rsidRPr="004F01E9" w:rsidRDefault="00B359AC" w:rsidP="00B359AC">
      <w:pPr>
        <w:pStyle w:val="Text1"/>
        <w:rPr>
          <w:noProof/>
        </w:rPr>
      </w:pPr>
      <w:r w:rsidRPr="004F01E9">
        <w:rPr>
          <w:noProof/>
        </w:rPr>
        <w:t>G</w:t>
      </w:r>
      <w:r w:rsidRPr="004F01E9">
        <w:rPr>
          <w:noProof/>
          <w:vertAlign w:val="subscript"/>
        </w:rPr>
        <w:t>A</w:t>
      </w:r>
      <w:r w:rsidRPr="004F01E9">
        <w:rPr>
          <w:noProof/>
        </w:rPr>
        <w:tab/>
        <w:t>= výška zabezpečenia vypočítaná</w:t>
      </w:r>
      <w:r w:rsidR="004F01E9">
        <w:rPr>
          <w:noProof/>
        </w:rPr>
        <w:t xml:space="preserve"> v </w:t>
      </w:r>
      <w:r w:rsidRPr="004F01E9">
        <w:rPr>
          <w:noProof/>
        </w:rPr>
        <w:t>súlade</w:t>
      </w:r>
      <w:r w:rsidR="004F01E9">
        <w:rPr>
          <w:noProof/>
        </w:rPr>
        <w:t xml:space="preserve"> s </w:t>
      </w:r>
      <w:r w:rsidRPr="004F01E9">
        <w:rPr>
          <w:noProof/>
        </w:rPr>
        <w:t>článkom 233 ods. 3 (G*) ďalej upravená</w:t>
      </w:r>
      <w:r w:rsidR="004F01E9">
        <w:rPr>
          <w:noProof/>
        </w:rPr>
        <w:t xml:space="preserve"> z </w:t>
      </w:r>
      <w:r w:rsidRPr="004F01E9">
        <w:rPr>
          <w:noProof/>
        </w:rPr>
        <w:t>dôvodu akéhokoľvek nesúladu splatností, ako sa stanovuje</w:t>
      </w:r>
      <w:r w:rsidR="004F01E9">
        <w:rPr>
          <w:noProof/>
        </w:rPr>
        <w:t xml:space="preserve"> v </w:t>
      </w:r>
      <w:r w:rsidRPr="004F01E9">
        <w:rPr>
          <w:noProof/>
        </w:rPr>
        <w:t>kapitole 3 oddiele 5;</w:t>
      </w:r>
    </w:p>
    <w:p w14:paraId="37BD311F" w14:textId="43C7A1D2" w:rsidR="00B359AC" w:rsidRPr="004F01E9" w:rsidRDefault="00B359AC" w:rsidP="00B359AC">
      <w:pPr>
        <w:pStyle w:val="Text1"/>
        <w:rPr>
          <w:noProof/>
        </w:rPr>
      </w:pPr>
      <w:r w:rsidRPr="004F01E9">
        <w:rPr>
          <w:noProof/>
        </w:rPr>
        <w:t>r =</w:t>
      </w:r>
      <w:r w:rsidRPr="004F01E9">
        <w:rPr>
          <w:noProof/>
        </w:rPr>
        <w:tab/>
        <w:t>riziková váha expozícií voči dlžníkovi, ako sa uvádza</w:t>
      </w:r>
      <w:r w:rsidR="004F01E9">
        <w:rPr>
          <w:noProof/>
        </w:rPr>
        <w:t xml:space="preserve"> v </w:t>
      </w:r>
      <w:r w:rsidRPr="004F01E9">
        <w:rPr>
          <w:noProof/>
        </w:rPr>
        <w:t>kapitole 3;</w:t>
      </w:r>
    </w:p>
    <w:p w14:paraId="7012419C" w14:textId="49649A78" w:rsidR="00B359AC" w:rsidRPr="004F01E9" w:rsidRDefault="00B359AC" w:rsidP="00B359AC">
      <w:pPr>
        <w:pStyle w:val="Text1"/>
        <w:rPr>
          <w:noProof/>
        </w:rPr>
      </w:pPr>
      <w:r w:rsidRPr="004F01E9">
        <w:rPr>
          <w:noProof/>
        </w:rPr>
        <w:t>g =</w:t>
      </w:r>
      <w:r w:rsidRPr="004F01E9">
        <w:rPr>
          <w:noProof/>
        </w:rPr>
        <w:tab/>
        <w:t>riziková váha expozícií voči poskytovateľovi zabezpečenia, ako sa uvádza</w:t>
      </w:r>
      <w:r w:rsidR="004F01E9">
        <w:rPr>
          <w:noProof/>
        </w:rPr>
        <w:t xml:space="preserve"> v </w:t>
      </w:r>
      <w:r w:rsidRPr="004F01E9">
        <w:rPr>
          <w:noProof/>
        </w:rPr>
        <w:t>kapitole 2.“;</w:t>
      </w:r>
    </w:p>
    <w:p w14:paraId="320F9918" w14:textId="115025C8" w:rsidR="00806B81" w:rsidRPr="004F01E9" w:rsidRDefault="00B359AC" w:rsidP="00B359AC">
      <w:pPr>
        <w:pStyle w:val="Text1"/>
        <w:rPr>
          <w:noProof/>
        </w:rPr>
      </w:pPr>
      <w:r w:rsidRPr="004F01E9">
        <w:rPr>
          <w:noProof/>
        </w:rPr>
        <w:t>2. Ak je zabezpečená suma (G</w:t>
      </w:r>
      <w:r w:rsidRPr="004F01E9">
        <w:rPr>
          <w:noProof/>
          <w:vertAlign w:val="subscript"/>
        </w:rPr>
        <w:t>A</w:t>
      </w:r>
      <w:r w:rsidRPr="004F01E9">
        <w:rPr>
          <w:noProof/>
        </w:rPr>
        <w:t>) nižšia než hodnota expozície (E), inštitúcie môžu uplatniť vzorec uvedený</w:t>
      </w:r>
      <w:r w:rsidR="004F01E9">
        <w:rPr>
          <w:noProof/>
        </w:rPr>
        <w:t xml:space="preserve"> v </w:t>
      </w:r>
      <w:r w:rsidRPr="004F01E9">
        <w:rPr>
          <w:noProof/>
        </w:rPr>
        <w:t>odseku 1 iba vtedy, keď zabezpečené</w:t>
      </w:r>
      <w:r w:rsidR="004F01E9">
        <w:rPr>
          <w:noProof/>
        </w:rPr>
        <w:t xml:space="preserve"> a </w:t>
      </w:r>
      <w:r w:rsidRPr="004F01E9">
        <w:rPr>
          <w:noProof/>
        </w:rPr>
        <w:t>nezabezpečené časti expozície majú rovnakú úroveň nadriadenosti.</w:t>
      </w:r>
    </w:p>
    <w:p w14:paraId="514596BF" w14:textId="2C196161" w:rsidR="00B359AC" w:rsidRPr="004F01E9" w:rsidRDefault="00B359AC" w:rsidP="00B359AC">
      <w:pPr>
        <w:pStyle w:val="Text1"/>
        <w:rPr>
          <w:noProof/>
        </w:rPr>
      </w:pPr>
      <w:r w:rsidRPr="004F01E9">
        <w:rPr>
          <w:noProof/>
        </w:rPr>
        <w:t>3. Inštitúcie môžu rozšíriť preferenčné zaobchádzanie stanovené</w:t>
      </w:r>
      <w:r w:rsidR="004F01E9">
        <w:rPr>
          <w:noProof/>
        </w:rPr>
        <w:t xml:space="preserve"> v </w:t>
      </w:r>
      <w:r w:rsidRPr="004F01E9">
        <w:rPr>
          <w:noProof/>
        </w:rPr>
        <w:t>článku 114 ods. 4</w:t>
      </w:r>
      <w:r w:rsidR="004F01E9">
        <w:rPr>
          <w:noProof/>
        </w:rPr>
        <w:t xml:space="preserve"> a </w:t>
      </w:r>
      <w:r w:rsidRPr="004F01E9">
        <w:rPr>
          <w:noProof/>
        </w:rPr>
        <w:t>7 na expozície alebo časti expozícií zaručené ústrednou vládou alebo centrálnou bankou, ako keby tieto expozície boli priamymi expozíciami voči ústrednej vláde alebo centrálnej banke, za predpokladu, že sú pre takéto priame expozície splnené podmienky uvedené</w:t>
      </w:r>
      <w:r w:rsidR="004F01E9">
        <w:rPr>
          <w:noProof/>
        </w:rPr>
        <w:t xml:space="preserve"> v </w:t>
      </w:r>
      <w:r w:rsidRPr="004F01E9">
        <w:rPr>
          <w:noProof/>
        </w:rPr>
        <w:t>článku 114 ods. 4 alebo prípadne 7.</w:t>
      </w:r>
    </w:p>
    <w:p w14:paraId="63A0C6B3" w14:textId="77777777" w:rsidR="00806B81" w:rsidRPr="004F01E9" w:rsidRDefault="00B359AC" w:rsidP="00B359AC">
      <w:pPr>
        <w:pStyle w:val="Text1"/>
        <w:rPr>
          <w:noProof/>
        </w:rPr>
      </w:pPr>
      <w:r w:rsidRPr="004F01E9">
        <w:rPr>
          <w:noProof/>
        </w:rPr>
        <w:t>4. Výška očakávanej straty pre krytú časť hodnoty expozície sa rovná nule.</w:t>
      </w:r>
    </w:p>
    <w:p w14:paraId="38B9F20C" w14:textId="3FBD96C2" w:rsidR="00B359AC" w:rsidRPr="004F01E9" w:rsidRDefault="00B359AC" w:rsidP="00B359AC">
      <w:pPr>
        <w:pStyle w:val="Text1"/>
        <w:rPr>
          <w:noProof/>
        </w:rPr>
      </w:pPr>
      <w:r w:rsidRPr="004F01E9">
        <w:rPr>
          <w:noProof/>
        </w:rPr>
        <w:t>5. Pre akúkoľvek nekrytú časť hodnoty expozície (E) inštitúcia použije rizikovú váhu</w:t>
      </w:r>
      <w:r w:rsidR="004F01E9">
        <w:rPr>
          <w:noProof/>
        </w:rPr>
        <w:t xml:space="preserve"> a </w:t>
      </w:r>
      <w:r w:rsidRPr="004F01E9">
        <w:rPr>
          <w:noProof/>
        </w:rPr>
        <w:t>očakávanú stratu zodpovedajúce podkladovej expozícii. Na účely výpočtu stanoveného</w:t>
      </w:r>
      <w:r w:rsidR="004F01E9">
        <w:rPr>
          <w:noProof/>
        </w:rPr>
        <w:t xml:space="preserve"> v </w:t>
      </w:r>
      <w:r w:rsidRPr="004F01E9">
        <w:rPr>
          <w:noProof/>
        </w:rPr>
        <w:t>článku 159 inštitúcie priraďujú</w:t>
      </w:r>
      <w:r w:rsidR="004F01E9">
        <w:rPr>
          <w:noProof/>
        </w:rPr>
        <w:t xml:space="preserve"> k </w:t>
      </w:r>
      <w:r w:rsidRPr="004F01E9">
        <w:rPr>
          <w:noProof/>
        </w:rPr>
        <w:t>nekrytej časti hodnoty expozície všetky všeobecné alebo špecifické úpravy kreditného rizika alebo dodatočné úpravy ocenenia</w:t>
      </w:r>
      <w:r w:rsidR="004F01E9">
        <w:rPr>
          <w:noProof/>
        </w:rPr>
        <w:t xml:space="preserve"> v </w:t>
      </w:r>
      <w:r w:rsidRPr="004F01E9">
        <w:rPr>
          <w:noProof/>
        </w:rPr>
        <w:t>súlade</w:t>
      </w:r>
      <w:r w:rsidR="004F01E9">
        <w:rPr>
          <w:noProof/>
        </w:rPr>
        <w:t xml:space="preserve"> s </w:t>
      </w:r>
      <w:r w:rsidRPr="004F01E9">
        <w:rPr>
          <w:noProof/>
        </w:rPr>
        <w:t>článkom 34 týkajúce sa činnosti inštitúcie</w:t>
      </w:r>
      <w:r w:rsidR="004F01E9">
        <w:rPr>
          <w:noProof/>
        </w:rPr>
        <w:t xml:space="preserve"> v </w:t>
      </w:r>
      <w:r w:rsidRPr="004F01E9">
        <w:rPr>
          <w:noProof/>
        </w:rPr>
        <w:t>neobchodnej knihe alebo iné zníženia vlastných zdrojov súvisiacich</w:t>
      </w:r>
      <w:r w:rsidR="004F01E9">
        <w:rPr>
          <w:noProof/>
        </w:rPr>
        <w:t xml:space="preserve"> s </w:t>
      </w:r>
      <w:r w:rsidRPr="004F01E9">
        <w:rPr>
          <w:noProof/>
        </w:rPr>
        <w:t>expozíciou.“</w:t>
      </w:r>
    </w:p>
    <w:p w14:paraId="50878AA7" w14:textId="5A990974" w:rsidR="00B359AC" w:rsidRPr="004F01E9" w:rsidRDefault="00B16452" w:rsidP="00B16452">
      <w:pPr>
        <w:pStyle w:val="Point0"/>
        <w:rPr>
          <w:noProof/>
        </w:rPr>
      </w:pPr>
      <w:r w:rsidRPr="00B16452">
        <w:rPr>
          <w:noProof/>
        </w:rPr>
        <w:t>125</w:t>
      </w:r>
      <w:r>
        <w:rPr>
          <w:noProof/>
        </w:rPr>
        <w:t>.</w:t>
      </w:r>
      <w:r w:rsidRPr="00B16452">
        <w:rPr>
          <w:noProof/>
        </w:rPr>
        <w:tab/>
      </w:r>
      <w:r w:rsidR="00B359AC" w:rsidRPr="004F01E9">
        <w:rPr>
          <w:noProof/>
        </w:rPr>
        <w:t>Článok 236 sa mení takto:</w:t>
      </w:r>
    </w:p>
    <w:p w14:paraId="5CBC0E5C" w14:textId="5947476F" w:rsidR="00806B81" w:rsidRPr="004F01E9" w:rsidRDefault="001D2C3B" w:rsidP="001D2C3B">
      <w:pPr>
        <w:pStyle w:val="Point1"/>
        <w:rPr>
          <w:noProof/>
        </w:rPr>
      </w:pPr>
      <w:r w:rsidRPr="004F01E9">
        <w:rPr>
          <w:noProof/>
        </w:rPr>
        <w:t>a)</w:t>
      </w:r>
      <w:r w:rsidRPr="004F01E9">
        <w:rPr>
          <w:noProof/>
        </w:rPr>
        <w:tab/>
        <w:t>Názov sa nahrádza takto:</w:t>
      </w:r>
    </w:p>
    <w:p w14:paraId="5A6CD002" w14:textId="166214BC" w:rsidR="00B359AC" w:rsidRPr="004F01E9" w:rsidRDefault="00B359AC" w:rsidP="00B359AC">
      <w:pPr>
        <w:pStyle w:val="Titrearticle"/>
        <w:rPr>
          <w:i w:val="0"/>
          <w:noProof/>
        </w:rPr>
      </w:pPr>
      <w:r w:rsidRPr="004F01E9">
        <w:rPr>
          <w:i w:val="0"/>
          <w:noProof/>
        </w:rPr>
        <w:t>„</w:t>
      </w:r>
      <w:r w:rsidRPr="004F01E9">
        <w:rPr>
          <w:b/>
          <w:i w:val="0"/>
          <w:noProof/>
        </w:rPr>
        <w:t>Výpočet hodnoty rizikovo vážených expozícií</w:t>
      </w:r>
      <w:r w:rsidR="004F01E9">
        <w:rPr>
          <w:b/>
          <w:i w:val="0"/>
          <w:noProof/>
        </w:rPr>
        <w:t xml:space="preserve"> a </w:t>
      </w:r>
      <w:r w:rsidRPr="004F01E9">
        <w:rPr>
          <w:b/>
          <w:i w:val="0"/>
          <w:noProof/>
        </w:rPr>
        <w:t>výšky očakávaných strát podľa substitučného prístupu, keď sa so zaručenou expozíciou zaobchádza podľa prístupu IRB</w:t>
      </w:r>
      <w:r w:rsidR="004F01E9">
        <w:rPr>
          <w:b/>
          <w:i w:val="0"/>
          <w:noProof/>
        </w:rPr>
        <w:t xml:space="preserve"> a s </w:t>
      </w:r>
      <w:r w:rsidRPr="004F01E9">
        <w:rPr>
          <w:b/>
          <w:i w:val="0"/>
          <w:noProof/>
        </w:rPr>
        <w:t>porovnateľnou priamou expozíciou voči poskytovateľovi zabezpečenia sa zaobchádza podľa prístupu IRB</w:t>
      </w:r>
      <w:r w:rsidRPr="004F01E9">
        <w:rPr>
          <w:noProof/>
        </w:rPr>
        <w:t>“</w:t>
      </w:r>
      <w:r w:rsidRPr="004F01E9">
        <w:rPr>
          <w:i w:val="0"/>
          <w:noProof/>
        </w:rPr>
        <w:t>;</w:t>
      </w:r>
    </w:p>
    <w:p w14:paraId="1B74B5AB" w14:textId="51EACFCD" w:rsidR="00B359AC" w:rsidRPr="004F01E9" w:rsidRDefault="001D2C3B" w:rsidP="001D2C3B">
      <w:pPr>
        <w:pStyle w:val="Point1"/>
        <w:rPr>
          <w:noProof/>
        </w:rPr>
      </w:pPr>
      <w:r w:rsidRPr="004F01E9">
        <w:rPr>
          <w:noProof/>
        </w:rPr>
        <w:t>b)</w:t>
      </w:r>
      <w:r w:rsidRPr="004F01E9">
        <w:rPr>
          <w:noProof/>
        </w:rPr>
        <w:tab/>
        <w:t>Odsek 1 sa nahrádza takto:</w:t>
      </w:r>
    </w:p>
    <w:p w14:paraId="676A2BE6" w14:textId="2A066D33" w:rsidR="00B359AC" w:rsidRPr="00376CBB" w:rsidRDefault="00B359AC" w:rsidP="00B359AC">
      <w:pPr>
        <w:pStyle w:val="Text2"/>
        <w:rPr>
          <w:noProof/>
          <w:spacing w:val="-8"/>
        </w:rPr>
      </w:pPr>
      <w:r w:rsidRPr="00376CBB">
        <w:rPr>
          <w:noProof/>
          <w:spacing w:val="-8"/>
        </w:rPr>
        <w:t>„1.</w:t>
      </w:r>
      <w:r w:rsidR="004F01E9" w:rsidRPr="00376CBB">
        <w:rPr>
          <w:noProof/>
          <w:spacing w:val="-8"/>
        </w:rPr>
        <w:t xml:space="preserve"> V </w:t>
      </w:r>
      <w:r w:rsidRPr="00376CBB">
        <w:rPr>
          <w:noProof/>
          <w:spacing w:val="-8"/>
        </w:rPr>
        <w:t>prípade expozície</w:t>
      </w:r>
      <w:r w:rsidR="004F01E9" w:rsidRPr="00376CBB">
        <w:rPr>
          <w:noProof/>
          <w:spacing w:val="-8"/>
        </w:rPr>
        <w:t xml:space="preserve"> s </w:t>
      </w:r>
      <w:r w:rsidRPr="00376CBB">
        <w:rPr>
          <w:noProof/>
          <w:spacing w:val="-8"/>
        </w:rPr>
        <w:t>nefinancovaným kreditným zabezpečením, na ktorú inštitúcia uplatňuje prístup IRB uvedený</w:t>
      </w:r>
      <w:r w:rsidR="004F01E9" w:rsidRPr="00376CBB">
        <w:rPr>
          <w:noProof/>
          <w:spacing w:val="-8"/>
        </w:rPr>
        <w:t xml:space="preserve"> v </w:t>
      </w:r>
      <w:r w:rsidRPr="00376CBB">
        <w:rPr>
          <w:noProof/>
          <w:spacing w:val="-8"/>
        </w:rPr>
        <w:t>kapitole 3, ale bez použitia svojich vlastných odhadov straty</w:t>
      </w:r>
      <w:r w:rsidR="004F01E9" w:rsidRPr="00376CBB">
        <w:rPr>
          <w:noProof/>
          <w:spacing w:val="-8"/>
        </w:rPr>
        <w:t xml:space="preserve"> v </w:t>
      </w:r>
      <w:r w:rsidRPr="00376CBB">
        <w:rPr>
          <w:noProof/>
          <w:spacing w:val="-8"/>
        </w:rPr>
        <w:t>prípade zlyhania (LGD),</w:t>
      </w:r>
      <w:r w:rsidR="004F01E9" w:rsidRPr="00376CBB">
        <w:rPr>
          <w:noProof/>
          <w:spacing w:val="-8"/>
        </w:rPr>
        <w:t xml:space="preserve"> a </w:t>
      </w:r>
      <w:r w:rsidRPr="00376CBB">
        <w:rPr>
          <w:noProof/>
          <w:spacing w:val="-8"/>
        </w:rPr>
        <w:t>ak sa</w:t>
      </w:r>
      <w:r w:rsidR="004F01E9" w:rsidRPr="00376CBB">
        <w:rPr>
          <w:noProof/>
          <w:spacing w:val="-8"/>
        </w:rPr>
        <w:t xml:space="preserve"> s </w:t>
      </w:r>
      <w:r w:rsidRPr="00376CBB">
        <w:rPr>
          <w:noProof/>
          <w:spacing w:val="-8"/>
        </w:rPr>
        <w:t>porovnateľnými priamymi expozíciami voči poskytovateľovi zabezpečenia zaobchádza podľa prístupu IRB stanoveného</w:t>
      </w:r>
      <w:r w:rsidR="004F01E9" w:rsidRPr="00376CBB">
        <w:rPr>
          <w:noProof/>
          <w:spacing w:val="-8"/>
        </w:rPr>
        <w:t xml:space="preserve"> v </w:t>
      </w:r>
      <w:r w:rsidRPr="00376CBB">
        <w:rPr>
          <w:noProof/>
          <w:spacing w:val="-8"/>
        </w:rPr>
        <w:t>kapitole 3, inštitúcie určia krytú časť expozície ako nižšiu</w:t>
      </w:r>
      <w:r w:rsidR="004F01E9" w:rsidRPr="00376CBB">
        <w:rPr>
          <w:noProof/>
          <w:spacing w:val="-8"/>
        </w:rPr>
        <w:t xml:space="preserve"> z </w:t>
      </w:r>
      <w:r w:rsidRPr="00376CBB">
        <w:rPr>
          <w:noProof/>
          <w:spacing w:val="-8"/>
        </w:rPr>
        <w:t>hodnoty expozície E</w:t>
      </w:r>
      <w:r w:rsidR="004F01E9" w:rsidRPr="00376CBB">
        <w:rPr>
          <w:noProof/>
          <w:spacing w:val="-8"/>
        </w:rPr>
        <w:t xml:space="preserve"> a </w:t>
      </w:r>
      <w:r w:rsidRPr="00376CBB">
        <w:rPr>
          <w:noProof/>
          <w:spacing w:val="-8"/>
        </w:rPr>
        <w:t>upravenej hodnoty nefinancovaného zabezpečenia G</w:t>
      </w:r>
      <w:r w:rsidRPr="00376CBB">
        <w:rPr>
          <w:noProof/>
          <w:spacing w:val="-8"/>
          <w:vertAlign w:val="subscript"/>
        </w:rPr>
        <w:t>A</w:t>
      </w:r>
      <w:r w:rsidRPr="00376CBB">
        <w:rPr>
          <w:noProof/>
          <w:spacing w:val="-8"/>
        </w:rPr>
        <w:t>;“;</w:t>
      </w:r>
    </w:p>
    <w:p w14:paraId="6F22FB08" w14:textId="7F50FD13" w:rsidR="00B359AC" w:rsidRPr="004F01E9" w:rsidRDefault="001D2C3B" w:rsidP="001D2C3B">
      <w:pPr>
        <w:pStyle w:val="Point1"/>
        <w:rPr>
          <w:noProof/>
        </w:rPr>
      </w:pPr>
      <w:r w:rsidRPr="004F01E9">
        <w:rPr>
          <w:noProof/>
        </w:rPr>
        <w:t>c)</w:t>
      </w:r>
      <w:r w:rsidRPr="004F01E9">
        <w:rPr>
          <w:noProof/>
        </w:rPr>
        <w:tab/>
        <w:t>Vkladajú sa tieto odseky 1a až 1d:</w:t>
      </w:r>
    </w:p>
    <w:p w14:paraId="54F5AEB4" w14:textId="234C2358" w:rsidR="00806B81" w:rsidRPr="00376CBB" w:rsidRDefault="00B359AC" w:rsidP="00B359AC">
      <w:pPr>
        <w:pStyle w:val="Text2"/>
        <w:rPr>
          <w:noProof/>
          <w:spacing w:val="-4"/>
        </w:rPr>
      </w:pPr>
      <w:r w:rsidRPr="00376CBB">
        <w:rPr>
          <w:noProof/>
          <w:spacing w:val="-4"/>
        </w:rPr>
        <w:t>„1a) Inštitúcia, ktorá uplatňuje prístup IRB na porovnateľné priame expozície voči poskytovateľovi zabezpečenia</w:t>
      </w:r>
      <w:r w:rsidR="004F01E9" w:rsidRPr="00376CBB">
        <w:rPr>
          <w:noProof/>
          <w:spacing w:val="-4"/>
        </w:rPr>
        <w:t xml:space="preserve"> s </w:t>
      </w:r>
      <w:r w:rsidRPr="00376CBB">
        <w:rPr>
          <w:noProof/>
          <w:spacing w:val="-4"/>
        </w:rPr>
        <w:t>použitím vlastných odhadov PD, vypočítava hodnotu rizikovo váženej expozície</w:t>
      </w:r>
      <w:r w:rsidR="004F01E9" w:rsidRPr="00376CBB">
        <w:rPr>
          <w:noProof/>
          <w:spacing w:val="-4"/>
        </w:rPr>
        <w:t xml:space="preserve"> a </w:t>
      </w:r>
      <w:r w:rsidRPr="00376CBB">
        <w:rPr>
          <w:noProof/>
          <w:spacing w:val="-4"/>
        </w:rPr>
        <w:t>výšku očakávanej straty pre krytú časť hodnoty expozície</w:t>
      </w:r>
      <w:r w:rsidR="004F01E9" w:rsidRPr="00376CBB">
        <w:rPr>
          <w:noProof/>
          <w:spacing w:val="-4"/>
        </w:rPr>
        <w:t xml:space="preserve"> s </w:t>
      </w:r>
      <w:r w:rsidRPr="00376CBB">
        <w:rPr>
          <w:noProof/>
          <w:spacing w:val="-4"/>
        </w:rPr>
        <w:t>použitím PD poskytovateľa zabezpečenia</w:t>
      </w:r>
      <w:r w:rsidR="004F01E9" w:rsidRPr="00376CBB">
        <w:rPr>
          <w:noProof/>
          <w:spacing w:val="-4"/>
        </w:rPr>
        <w:t xml:space="preserve"> a </w:t>
      </w:r>
      <w:r w:rsidRPr="00376CBB">
        <w:rPr>
          <w:noProof/>
          <w:spacing w:val="-4"/>
        </w:rPr>
        <w:t>LGD uplatniteľnej na porovnateľnú priamu expozíciu voči poskytovateľovi zabezpečenia, ako sa uvádza</w:t>
      </w:r>
      <w:r w:rsidR="004F01E9" w:rsidRPr="00376CBB">
        <w:rPr>
          <w:noProof/>
          <w:spacing w:val="-4"/>
        </w:rPr>
        <w:t xml:space="preserve"> v </w:t>
      </w:r>
      <w:r w:rsidRPr="00376CBB">
        <w:rPr>
          <w:noProof/>
          <w:spacing w:val="-4"/>
        </w:rPr>
        <w:t>článku 161 ods. 1,</w:t>
      </w:r>
      <w:r w:rsidR="004F01E9" w:rsidRPr="00376CBB">
        <w:rPr>
          <w:noProof/>
          <w:spacing w:val="-4"/>
        </w:rPr>
        <w:t xml:space="preserve"> v </w:t>
      </w:r>
      <w:r w:rsidRPr="00376CBB">
        <w:rPr>
          <w:noProof/>
          <w:spacing w:val="-4"/>
        </w:rPr>
        <w:t>súlade</w:t>
      </w:r>
      <w:r w:rsidR="004F01E9" w:rsidRPr="00376CBB">
        <w:rPr>
          <w:noProof/>
          <w:spacing w:val="-4"/>
        </w:rPr>
        <w:t xml:space="preserve"> s </w:t>
      </w:r>
      <w:r w:rsidRPr="00376CBB">
        <w:rPr>
          <w:noProof/>
          <w:spacing w:val="-4"/>
        </w:rPr>
        <w:t>odsekom 1b.</w:t>
      </w:r>
      <w:r w:rsidR="004F01E9" w:rsidRPr="00376CBB">
        <w:rPr>
          <w:noProof/>
          <w:spacing w:val="-4"/>
        </w:rPr>
        <w:t xml:space="preserve"> V </w:t>
      </w:r>
      <w:r w:rsidRPr="00376CBB">
        <w:rPr>
          <w:noProof/>
          <w:spacing w:val="-4"/>
        </w:rPr>
        <w:t>prípade podriadených expozícií</w:t>
      </w:r>
      <w:r w:rsidR="004F01E9" w:rsidRPr="00376CBB">
        <w:rPr>
          <w:noProof/>
          <w:spacing w:val="-4"/>
        </w:rPr>
        <w:t xml:space="preserve"> a </w:t>
      </w:r>
      <w:r w:rsidRPr="00376CBB">
        <w:rPr>
          <w:noProof/>
          <w:spacing w:val="-4"/>
        </w:rPr>
        <w:t>nepodriadeného nefinancovaného kreditného zabezpečenia LGD, ktorú majú inštitúcie uplatniť na krytú časť hodnoty expozície, je LGD spojená</w:t>
      </w:r>
      <w:r w:rsidR="004F01E9" w:rsidRPr="00376CBB">
        <w:rPr>
          <w:noProof/>
          <w:spacing w:val="-4"/>
        </w:rPr>
        <w:t xml:space="preserve"> s </w:t>
      </w:r>
      <w:r w:rsidRPr="00376CBB">
        <w:rPr>
          <w:noProof/>
          <w:spacing w:val="-4"/>
        </w:rPr>
        <w:t>nadriadenými pohľadávkami,</w:t>
      </w:r>
      <w:r w:rsidR="004F01E9" w:rsidRPr="00376CBB">
        <w:rPr>
          <w:noProof/>
          <w:spacing w:val="-4"/>
        </w:rPr>
        <w:t xml:space="preserve"> a v </w:t>
      </w:r>
      <w:r w:rsidRPr="00376CBB">
        <w:rPr>
          <w:noProof/>
          <w:spacing w:val="-4"/>
        </w:rPr>
        <w:t>ktorej môže byť zohľadnená akákoľvek kolateralizácia podkladovej expozície</w:t>
      </w:r>
      <w:r w:rsidR="004F01E9" w:rsidRPr="00376CBB">
        <w:rPr>
          <w:noProof/>
          <w:spacing w:val="-4"/>
        </w:rPr>
        <w:t xml:space="preserve"> v </w:t>
      </w:r>
      <w:r w:rsidRPr="00376CBB">
        <w:rPr>
          <w:noProof/>
          <w:spacing w:val="-4"/>
        </w:rPr>
        <w:t>súlade</w:t>
      </w:r>
      <w:r w:rsidR="004F01E9" w:rsidRPr="00376CBB">
        <w:rPr>
          <w:noProof/>
          <w:spacing w:val="-4"/>
        </w:rPr>
        <w:t xml:space="preserve"> s </w:t>
      </w:r>
      <w:r w:rsidRPr="00376CBB">
        <w:rPr>
          <w:noProof/>
          <w:spacing w:val="-4"/>
        </w:rPr>
        <w:t>touto kapitolou.</w:t>
      </w:r>
    </w:p>
    <w:p w14:paraId="632799A6" w14:textId="3C32D97D" w:rsidR="00B359AC" w:rsidRPr="00376CBB" w:rsidRDefault="00B359AC" w:rsidP="00B359AC">
      <w:pPr>
        <w:pStyle w:val="Text2"/>
        <w:rPr>
          <w:noProof/>
          <w:spacing w:val="-4"/>
        </w:rPr>
      </w:pPr>
      <w:r w:rsidRPr="00376CBB">
        <w:rPr>
          <w:noProof/>
          <w:spacing w:val="-4"/>
        </w:rPr>
        <w:t>1b. Inštitúcie vypočítavajú rizikovú váhu</w:t>
      </w:r>
      <w:r w:rsidR="004F01E9" w:rsidRPr="00376CBB">
        <w:rPr>
          <w:noProof/>
          <w:spacing w:val="-4"/>
        </w:rPr>
        <w:t xml:space="preserve"> a </w:t>
      </w:r>
      <w:r w:rsidRPr="00376CBB">
        <w:rPr>
          <w:noProof/>
          <w:spacing w:val="-4"/>
        </w:rPr>
        <w:t>očakávanú stratu uplatniteľné na krytú časť podkladovej expozície</w:t>
      </w:r>
      <w:r w:rsidR="004F01E9" w:rsidRPr="00376CBB">
        <w:rPr>
          <w:noProof/>
          <w:spacing w:val="-4"/>
        </w:rPr>
        <w:t xml:space="preserve"> s </w:t>
      </w:r>
      <w:r w:rsidRPr="00376CBB">
        <w:rPr>
          <w:noProof/>
          <w:spacing w:val="-4"/>
        </w:rPr>
        <w:t>použitím PD, LGD uvedenej</w:t>
      </w:r>
      <w:r w:rsidR="004F01E9" w:rsidRPr="00376CBB">
        <w:rPr>
          <w:noProof/>
          <w:spacing w:val="-4"/>
        </w:rPr>
        <w:t xml:space="preserve"> v </w:t>
      </w:r>
      <w:r w:rsidRPr="00376CBB">
        <w:rPr>
          <w:noProof/>
          <w:spacing w:val="-4"/>
        </w:rPr>
        <w:t>odseku 1a</w:t>
      </w:r>
      <w:r w:rsidR="004F01E9" w:rsidRPr="00376CBB">
        <w:rPr>
          <w:noProof/>
          <w:spacing w:val="-4"/>
        </w:rPr>
        <w:t xml:space="preserve"> a </w:t>
      </w:r>
      <w:r w:rsidRPr="00376CBB">
        <w:rPr>
          <w:noProof/>
          <w:spacing w:val="-4"/>
        </w:rPr>
        <w:t>rovnakej funkcie rizikovej váhy ako tie, ktoré sa používajú pre porovnateľnú priamu expozíciu voči poskytovateľovi zabezpečenia,</w:t>
      </w:r>
      <w:r w:rsidR="004F01E9" w:rsidRPr="00376CBB">
        <w:rPr>
          <w:noProof/>
          <w:spacing w:val="-4"/>
        </w:rPr>
        <w:t xml:space="preserve"> a </w:t>
      </w:r>
      <w:r w:rsidRPr="00376CBB">
        <w:rPr>
          <w:noProof/>
          <w:spacing w:val="-4"/>
        </w:rPr>
        <w:t>prípadne používajú splatnosť M súvisiacu</w:t>
      </w:r>
      <w:r w:rsidR="004F01E9" w:rsidRPr="00376CBB">
        <w:rPr>
          <w:noProof/>
          <w:spacing w:val="-4"/>
        </w:rPr>
        <w:t xml:space="preserve"> s </w:t>
      </w:r>
      <w:r w:rsidRPr="00376CBB">
        <w:rPr>
          <w:noProof/>
          <w:spacing w:val="-4"/>
        </w:rPr>
        <w:t>podkladovou expozíciou vypočítanú</w:t>
      </w:r>
      <w:r w:rsidR="004F01E9" w:rsidRPr="00376CBB">
        <w:rPr>
          <w:noProof/>
          <w:spacing w:val="-4"/>
        </w:rPr>
        <w:t xml:space="preserve"> v </w:t>
      </w:r>
      <w:r w:rsidRPr="00376CBB">
        <w:rPr>
          <w:noProof/>
          <w:spacing w:val="-4"/>
        </w:rPr>
        <w:t>súlade</w:t>
      </w:r>
      <w:r w:rsidR="004F01E9" w:rsidRPr="00376CBB">
        <w:rPr>
          <w:noProof/>
          <w:spacing w:val="-4"/>
        </w:rPr>
        <w:t xml:space="preserve"> s </w:t>
      </w:r>
      <w:r w:rsidRPr="00376CBB">
        <w:rPr>
          <w:noProof/>
          <w:spacing w:val="-4"/>
        </w:rPr>
        <w:t>článkom 162.</w:t>
      </w:r>
    </w:p>
    <w:p w14:paraId="013E525F" w14:textId="2D2924C0" w:rsidR="00B359AC" w:rsidRPr="00376CBB" w:rsidRDefault="00B359AC" w:rsidP="00B359AC">
      <w:pPr>
        <w:pStyle w:val="Text2"/>
        <w:rPr>
          <w:noProof/>
          <w:spacing w:val="-6"/>
        </w:rPr>
      </w:pPr>
      <w:r w:rsidRPr="00376CBB">
        <w:rPr>
          <w:noProof/>
          <w:spacing w:val="-6"/>
        </w:rPr>
        <w:t>1c. Inštitúcie, ktoré na porovnateľné priame expozície voči poskytovateľovi zabezpečenia uplatňujú prístup IRB</w:t>
      </w:r>
      <w:r w:rsidR="004F01E9" w:rsidRPr="00376CBB">
        <w:rPr>
          <w:noProof/>
          <w:spacing w:val="-6"/>
        </w:rPr>
        <w:t xml:space="preserve"> s </w:t>
      </w:r>
      <w:r w:rsidRPr="00376CBB">
        <w:rPr>
          <w:noProof/>
          <w:spacing w:val="-6"/>
        </w:rPr>
        <w:t>použitím metódy stanovenej</w:t>
      </w:r>
      <w:r w:rsidR="004F01E9" w:rsidRPr="00376CBB">
        <w:rPr>
          <w:noProof/>
          <w:spacing w:val="-6"/>
        </w:rPr>
        <w:t xml:space="preserve"> v </w:t>
      </w:r>
      <w:r w:rsidRPr="00376CBB">
        <w:rPr>
          <w:noProof/>
          <w:spacing w:val="-6"/>
        </w:rPr>
        <w:t>článku 153 ods. 5, používajú rizikovú váhu</w:t>
      </w:r>
      <w:r w:rsidR="004F01E9" w:rsidRPr="00376CBB">
        <w:rPr>
          <w:noProof/>
          <w:spacing w:val="-6"/>
        </w:rPr>
        <w:t xml:space="preserve"> a </w:t>
      </w:r>
      <w:r w:rsidRPr="00376CBB">
        <w:rPr>
          <w:noProof/>
          <w:spacing w:val="-6"/>
        </w:rPr>
        <w:t>očakávanú stratu uplatniteľné na krytú časť expozície, ktoré zodpovedajú tým, ktoré sú stanovené</w:t>
      </w:r>
      <w:r w:rsidR="004F01E9" w:rsidRPr="00376CBB">
        <w:rPr>
          <w:noProof/>
          <w:spacing w:val="-6"/>
        </w:rPr>
        <w:t xml:space="preserve"> v </w:t>
      </w:r>
      <w:r w:rsidRPr="00376CBB">
        <w:rPr>
          <w:noProof/>
          <w:spacing w:val="-6"/>
        </w:rPr>
        <w:t>článku 153 ods. 5</w:t>
      </w:r>
      <w:r w:rsidR="004F01E9" w:rsidRPr="00376CBB">
        <w:rPr>
          <w:noProof/>
          <w:spacing w:val="-6"/>
        </w:rPr>
        <w:t xml:space="preserve"> a </w:t>
      </w:r>
      <w:r w:rsidRPr="00376CBB">
        <w:rPr>
          <w:noProof/>
          <w:spacing w:val="-6"/>
        </w:rPr>
        <w:t>článku 158 ods. 6.</w:t>
      </w:r>
    </w:p>
    <w:p w14:paraId="4EEAAA8D" w14:textId="1B58A8F3" w:rsidR="00B359AC" w:rsidRPr="004F01E9" w:rsidRDefault="00B359AC" w:rsidP="00B359AC">
      <w:pPr>
        <w:pStyle w:val="Text2"/>
        <w:rPr>
          <w:noProof/>
        </w:rPr>
      </w:pPr>
      <w:r w:rsidRPr="004F01E9">
        <w:rPr>
          <w:noProof/>
        </w:rPr>
        <w:t>1d. Bez ohľadu na odsek 1c inštitúcie, ktoré na zaručené expozície uplatňujú prístup IRB</w:t>
      </w:r>
      <w:r w:rsidR="004F01E9">
        <w:rPr>
          <w:noProof/>
        </w:rPr>
        <w:t xml:space="preserve"> s </w:t>
      </w:r>
      <w:r w:rsidRPr="004F01E9">
        <w:rPr>
          <w:noProof/>
        </w:rPr>
        <w:t>použitím metódy stanovenej</w:t>
      </w:r>
      <w:r w:rsidR="004F01E9">
        <w:rPr>
          <w:noProof/>
        </w:rPr>
        <w:t xml:space="preserve"> v </w:t>
      </w:r>
      <w:r w:rsidRPr="004F01E9">
        <w:rPr>
          <w:noProof/>
        </w:rPr>
        <w:t>článku 153 ods. 5, vypočítavajú rizikovú váhu</w:t>
      </w:r>
      <w:r w:rsidR="004F01E9">
        <w:rPr>
          <w:noProof/>
        </w:rPr>
        <w:t xml:space="preserve"> a </w:t>
      </w:r>
      <w:r w:rsidRPr="004F01E9">
        <w:rPr>
          <w:noProof/>
        </w:rPr>
        <w:t>očakávanú stratu uplatniteľné na krytú časť expozície</w:t>
      </w:r>
      <w:r w:rsidR="004F01E9">
        <w:rPr>
          <w:noProof/>
        </w:rPr>
        <w:t xml:space="preserve"> s </w:t>
      </w:r>
      <w:r w:rsidRPr="004F01E9">
        <w:rPr>
          <w:noProof/>
        </w:rPr>
        <w:t>použitím PD, LGD uplatniteľnej na porovnateľnú priamu expozíciu voči poskytovateľovi zabezpečenia, ako sa uvádza</w:t>
      </w:r>
      <w:r w:rsidR="004F01E9">
        <w:rPr>
          <w:noProof/>
        </w:rPr>
        <w:t xml:space="preserve"> v </w:t>
      </w:r>
      <w:r w:rsidRPr="004F01E9">
        <w:rPr>
          <w:noProof/>
        </w:rPr>
        <w:t>článku 161 ods. 1,</w:t>
      </w:r>
      <w:r w:rsidR="004F01E9">
        <w:rPr>
          <w:noProof/>
        </w:rPr>
        <w:t xml:space="preserve"> v </w:t>
      </w:r>
      <w:r w:rsidRPr="004F01E9">
        <w:rPr>
          <w:noProof/>
        </w:rPr>
        <w:t>súlade</w:t>
      </w:r>
      <w:r w:rsidR="004F01E9">
        <w:rPr>
          <w:noProof/>
        </w:rPr>
        <w:t xml:space="preserve"> s </w:t>
      </w:r>
      <w:r w:rsidRPr="004F01E9">
        <w:rPr>
          <w:noProof/>
        </w:rPr>
        <w:t>odsekom 1b</w:t>
      </w:r>
      <w:r w:rsidR="004F01E9">
        <w:rPr>
          <w:noProof/>
        </w:rPr>
        <w:t xml:space="preserve"> a </w:t>
      </w:r>
      <w:r w:rsidRPr="004F01E9">
        <w:rPr>
          <w:noProof/>
        </w:rPr>
        <w:t>rovnakej funkcie rizikovej váhy ako tie, ktoré sa používajú pre porovnateľnú priamu expozíciu voči poskytovateľovi zabezpečenia,</w:t>
      </w:r>
      <w:r w:rsidR="004F01E9">
        <w:rPr>
          <w:noProof/>
        </w:rPr>
        <w:t xml:space="preserve"> a </w:t>
      </w:r>
      <w:r w:rsidRPr="004F01E9">
        <w:rPr>
          <w:noProof/>
        </w:rPr>
        <w:t>prípadne použijú splatnosť M súvisiacu</w:t>
      </w:r>
      <w:r w:rsidR="004F01E9">
        <w:rPr>
          <w:noProof/>
        </w:rPr>
        <w:t xml:space="preserve"> s </w:t>
      </w:r>
      <w:r w:rsidRPr="004F01E9">
        <w:rPr>
          <w:noProof/>
        </w:rPr>
        <w:t>podkladovou expozíciou vypočítanú</w:t>
      </w:r>
      <w:r w:rsidR="004F01E9">
        <w:rPr>
          <w:noProof/>
        </w:rPr>
        <w:t xml:space="preserve"> v </w:t>
      </w:r>
      <w:r w:rsidRPr="004F01E9">
        <w:rPr>
          <w:noProof/>
        </w:rPr>
        <w:t>súlade</w:t>
      </w:r>
      <w:r w:rsidR="004F01E9">
        <w:rPr>
          <w:noProof/>
        </w:rPr>
        <w:t xml:space="preserve"> s </w:t>
      </w:r>
      <w:r w:rsidRPr="004F01E9">
        <w:rPr>
          <w:noProof/>
        </w:rPr>
        <w:t>článkom 162.</w:t>
      </w:r>
      <w:r w:rsidR="004F01E9">
        <w:rPr>
          <w:noProof/>
        </w:rPr>
        <w:t xml:space="preserve"> V </w:t>
      </w:r>
      <w:r w:rsidRPr="004F01E9">
        <w:rPr>
          <w:noProof/>
        </w:rPr>
        <w:t>prípade podriadených expozícií</w:t>
      </w:r>
      <w:r w:rsidR="004F01E9">
        <w:rPr>
          <w:noProof/>
        </w:rPr>
        <w:t xml:space="preserve"> a </w:t>
      </w:r>
      <w:r w:rsidRPr="004F01E9">
        <w:rPr>
          <w:noProof/>
        </w:rPr>
        <w:t>nepodriadeného nefinancovaného kreditného zabezpečenia LGD, ktorú majú inštitúcie uplatniť na krytú časť hodnoty expozície, je LGD spojená</w:t>
      </w:r>
      <w:r w:rsidR="004F01E9">
        <w:rPr>
          <w:noProof/>
        </w:rPr>
        <w:t xml:space="preserve"> s </w:t>
      </w:r>
      <w:r w:rsidRPr="004F01E9">
        <w:rPr>
          <w:noProof/>
        </w:rPr>
        <w:t>nadriadenými pohľadávkami,</w:t>
      </w:r>
      <w:r w:rsidR="004F01E9">
        <w:rPr>
          <w:noProof/>
        </w:rPr>
        <w:t xml:space="preserve"> a v </w:t>
      </w:r>
      <w:r w:rsidRPr="004F01E9">
        <w:rPr>
          <w:noProof/>
        </w:rPr>
        <w:t>ktorej môže byť zohľadnená akákoľvek kolateralizácia podkladovej expozície</w:t>
      </w:r>
      <w:r w:rsidR="004F01E9">
        <w:rPr>
          <w:noProof/>
        </w:rPr>
        <w:t xml:space="preserve"> v </w:t>
      </w:r>
      <w:r w:rsidRPr="004F01E9">
        <w:rPr>
          <w:noProof/>
        </w:rPr>
        <w:t>súlade</w:t>
      </w:r>
      <w:r w:rsidR="004F01E9">
        <w:rPr>
          <w:noProof/>
        </w:rPr>
        <w:t xml:space="preserve"> s </w:t>
      </w:r>
      <w:r w:rsidRPr="004F01E9">
        <w:rPr>
          <w:noProof/>
        </w:rPr>
        <w:t>touto kapitolou.“;</w:t>
      </w:r>
    </w:p>
    <w:p w14:paraId="1B9DCB3A" w14:textId="0B30F85B" w:rsidR="00B359AC" w:rsidRPr="004F01E9" w:rsidRDefault="001D2C3B" w:rsidP="001D2C3B">
      <w:pPr>
        <w:pStyle w:val="Point1"/>
        <w:rPr>
          <w:noProof/>
        </w:rPr>
      </w:pPr>
      <w:r w:rsidRPr="004F01E9">
        <w:rPr>
          <w:noProof/>
        </w:rPr>
        <w:t>d)</w:t>
      </w:r>
      <w:r w:rsidRPr="004F01E9">
        <w:rPr>
          <w:noProof/>
        </w:rPr>
        <w:tab/>
        <w:t>Odsek 2 sa nahrádza takto:</w:t>
      </w:r>
    </w:p>
    <w:p w14:paraId="0F8A3382" w14:textId="42B5A3DB" w:rsidR="00B359AC" w:rsidRPr="00376CBB" w:rsidRDefault="00B359AC" w:rsidP="00B359AC">
      <w:pPr>
        <w:pStyle w:val="Text2"/>
        <w:rPr>
          <w:noProof/>
          <w:spacing w:val="-4"/>
        </w:rPr>
      </w:pPr>
      <w:r w:rsidRPr="00376CBB">
        <w:rPr>
          <w:noProof/>
          <w:spacing w:val="-4"/>
        </w:rPr>
        <w:t>„2. Pre akúkoľvek nekrytú časť hodnoty expozície (E) inštitúcie používajú rizikovú váhu</w:t>
      </w:r>
      <w:r w:rsidR="004F01E9" w:rsidRPr="00376CBB">
        <w:rPr>
          <w:noProof/>
          <w:spacing w:val="-4"/>
        </w:rPr>
        <w:t xml:space="preserve"> a </w:t>
      </w:r>
      <w:r w:rsidRPr="00376CBB">
        <w:rPr>
          <w:noProof/>
          <w:spacing w:val="-4"/>
        </w:rPr>
        <w:t>očakávanú stratu zodpovedajúce podkladovej expozícii. Na účely výpočtu stanoveného</w:t>
      </w:r>
      <w:r w:rsidR="004F01E9" w:rsidRPr="00376CBB">
        <w:rPr>
          <w:noProof/>
          <w:spacing w:val="-4"/>
        </w:rPr>
        <w:t xml:space="preserve"> v </w:t>
      </w:r>
      <w:r w:rsidRPr="00376CBB">
        <w:rPr>
          <w:noProof/>
          <w:spacing w:val="-4"/>
        </w:rPr>
        <w:t>článku 159 inštitúcie priraďujú</w:t>
      </w:r>
      <w:r w:rsidR="004F01E9" w:rsidRPr="00376CBB">
        <w:rPr>
          <w:noProof/>
          <w:spacing w:val="-4"/>
        </w:rPr>
        <w:t xml:space="preserve"> k </w:t>
      </w:r>
      <w:r w:rsidRPr="00376CBB">
        <w:rPr>
          <w:noProof/>
          <w:spacing w:val="-4"/>
        </w:rPr>
        <w:t>nekrytej časti hodnoty expozície všetky všeobecné</w:t>
      </w:r>
      <w:r w:rsidR="004F01E9" w:rsidRPr="00376CBB">
        <w:rPr>
          <w:noProof/>
          <w:spacing w:val="-4"/>
        </w:rPr>
        <w:t xml:space="preserve"> a </w:t>
      </w:r>
      <w:r w:rsidRPr="00376CBB">
        <w:rPr>
          <w:noProof/>
          <w:spacing w:val="-4"/>
        </w:rPr>
        <w:t>špecifické úpravy kreditného rizika, dodatočné úpravy ocenenia súvisiace</w:t>
      </w:r>
      <w:r w:rsidR="004F01E9" w:rsidRPr="00376CBB">
        <w:rPr>
          <w:noProof/>
          <w:spacing w:val="-4"/>
        </w:rPr>
        <w:t xml:space="preserve"> s </w:t>
      </w:r>
      <w:r w:rsidRPr="00376CBB">
        <w:rPr>
          <w:noProof/>
          <w:spacing w:val="-4"/>
        </w:rPr>
        <w:t>činnosťami inštitúcie</w:t>
      </w:r>
      <w:r w:rsidR="004F01E9" w:rsidRPr="00376CBB">
        <w:rPr>
          <w:noProof/>
          <w:spacing w:val="-4"/>
        </w:rPr>
        <w:t xml:space="preserve"> v </w:t>
      </w:r>
      <w:r w:rsidRPr="00376CBB">
        <w:rPr>
          <w:noProof/>
          <w:spacing w:val="-4"/>
        </w:rPr>
        <w:t>neobchodnej knihe, ako sa uvádza</w:t>
      </w:r>
      <w:r w:rsidR="004F01E9" w:rsidRPr="00376CBB">
        <w:rPr>
          <w:noProof/>
          <w:spacing w:val="-4"/>
        </w:rPr>
        <w:t xml:space="preserve"> v </w:t>
      </w:r>
      <w:r w:rsidRPr="00376CBB">
        <w:rPr>
          <w:noProof/>
          <w:spacing w:val="-4"/>
        </w:rPr>
        <w:t>článku 34</w:t>
      </w:r>
      <w:r w:rsidR="004F01E9" w:rsidRPr="00376CBB">
        <w:rPr>
          <w:noProof/>
          <w:spacing w:val="-4"/>
        </w:rPr>
        <w:t xml:space="preserve"> a </w:t>
      </w:r>
      <w:r w:rsidRPr="00376CBB">
        <w:rPr>
          <w:noProof/>
          <w:spacing w:val="-4"/>
        </w:rPr>
        <w:t>iné zníženia vlastných zdrojov súvisiace</w:t>
      </w:r>
      <w:r w:rsidR="004F01E9" w:rsidRPr="00376CBB">
        <w:rPr>
          <w:noProof/>
          <w:spacing w:val="-4"/>
        </w:rPr>
        <w:t xml:space="preserve"> s </w:t>
      </w:r>
      <w:r w:rsidRPr="00376CBB">
        <w:rPr>
          <w:noProof/>
          <w:spacing w:val="-4"/>
        </w:rPr>
        <w:t>danou expozíciou okrem odpočtov vykonaných</w:t>
      </w:r>
      <w:r w:rsidR="004F01E9" w:rsidRPr="00376CBB">
        <w:rPr>
          <w:noProof/>
          <w:spacing w:val="-4"/>
        </w:rPr>
        <w:t xml:space="preserve"> v </w:t>
      </w:r>
      <w:r w:rsidRPr="00376CBB">
        <w:rPr>
          <w:noProof/>
          <w:spacing w:val="-4"/>
        </w:rPr>
        <w:t>súlade</w:t>
      </w:r>
      <w:r w:rsidR="004F01E9" w:rsidRPr="00376CBB">
        <w:rPr>
          <w:noProof/>
          <w:spacing w:val="-4"/>
        </w:rPr>
        <w:t xml:space="preserve"> s </w:t>
      </w:r>
      <w:r w:rsidRPr="00376CBB">
        <w:rPr>
          <w:noProof/>
          <w:spacing w:val="-4"/>
        </w:rPr>
        <w:t>článkom 36 ods. 1 písm. m).“</w:t>
      </w:r>
    </w:p>
    <w:p w14:paraId="1F66C6E1" w14:textId="09954D50" w:rsidR="00806B81" w:rsidRPr="004F01E9" w:rsidRDefault="00B16452" w:rsidP="00B16452">
      <w:pPr>
        <w:pStyle w:val="Point0"/>
        <w:rPr>
          <w:noProof/>
        </w:rPr>
      </w:pPr>
      <w:r w:rsidRPr="00B16452">
        <w:rPr>
          <w:noProof/>
        </w:rPr>
        <w:t>126</w:t>
      </w:r>
      <w:r>
        <w:rPr>
          <w:noProof/>
        </w:rPr>
        <w:t>.</w:t>
      </w:r>
      <w:r w:rsidRPr="00B16452">
        <w:rPr>
          <w:noProof/>
        </w:rPr>
        <w:tab/>
      </w:r>
      <w:r w:rsidR="00B359AC" w:rsidRPr="004F01E9">
        <w:rPr>
          <w:noProof/>
        </w:rPr>
        <w:t>Vkladá sa tento článok 236a:</w:t>
      </w:r>
    </w:p>
    <w:p w14:paraId="2A880887" w14:textId="4BD90425" w:rsidR="00B359AC" w:rsidRPr="004F01E9" w:rsidRDefault="00B359AC" w:rsidP="00B359AC">
      <w:pPr>
        <w:pStyle w:val="Titrearticle"/>
        <w:spacing w:before="120"/>
        <w:rPr>
          <w:b/>
          <w:i w:val="0"/>
          <w:noProof/>
        </w:rPr>
      </w:pPr>
      <w:r w:rsidRPr="004F01E9">
        <w:rPr>
          <w:noProof/>
        </w:rPr>
        <w:t>„Článok 236a</w:t>
      </w:r>
      <w:r w:rsidRPr="004F01E9">
        <w:rPr>
          <w:noProof/>
        </w:rPr>
        <w:br/>
      </w:r>
      <w:r w:rsidRPr="004F01E9">
        <w:rPr>
          <w:b/>
          <w:i w:val="0"/>
          <w:noProof/>
        </w:rPr>
        <w:t>Výpočet hodnoty rizikovo vážených expozícií</w:t>
      </w:r>
      <w:r w:rsidR="004F01E9">
        <w:rPr>
          <w:b/>
          <w:i w:val="0"/>
          <w:noProof/>
        </w:rPr>
        <w:t xml:space="preserve"> a </w:t>
      </w:r>
      <w:r w:rsidRPr="004F01E9">
        <w:rPr>
          <w:b/>
          <w:i w:val="0"/>
          <w:noProof/>
        </w:rPr>
        <w:t>výšky očakávaných strát podľa substitučného prístupu, keď sa so zaručenou expozíciou zaobchádza podľa prístupu IRB</w:t>
      </w:r>
      <w:r w:rsidR="004F01E9">
        <w:rPr>
          <w:b/>
          <w:i w:val="0"/>
          <w:noProof/>
        </w:rPr>
        <w:t xml:space="preserve"> s </w:t>
      </w:r>
      <w:r w:rsidRPr="004F01E9">
        <w:rPr>
          <w:b/>
          <w:i w:val="0"/>
          <w:noProof/>
        </w:rPr>
        <w:t>použitím svojich vlastných odhadov straty</w:t>
      </w:r>
      <w:r w:rsidR="004F01E9">
        <w:rPr>
          <w:b/>
          <w:i w:val="0"/>
          <w:noProof/>
        </w:rPr>
        <w:t xml:space="preserve"> v </w:t>
      </w:r>
      <w:r w:rsidRPr="004F01E9">
        <w:rPr>
          <w:b/>
          <w:i w:val="0"/>
          <w:noProof/>
        </w:rPr>
        <w:t>prípade zlyhania (LGD)</w:t>
      </w:r>
      <w:r w:rsidR="004F01E9">
        <w:rPr>
          <w:b/>
          <w:i w:val="0"/>
          <w:noProof/>
        </w:rPr>
        <w:t xml:space="preserve"> a s </w:t>
      </w:r>
      <w:r w:rsidRPr="004F01E9">
        <w:rPr>
          <w:b/>
          <w:i w:val="0"/>
          <w:noProof/>
        </w:rPr>
        <w:t>porovnateľnou priamou expozíciou voči poskytovateľovi zabezpečenia sa zaobchádza podľa prístupu IRB</w:t>
      </w:r>
    </w:p>
    <w:p w14:paraId="3FBBD997" w14:textId="2213CC88" w:rsidR="00B359AC" w:rsidRPr="004F01E9" w:rsidRDefault="00B359AC" w:rsidP="00B359AC">
      <w:pPr>
        <w:pStyle w:val="Text1"/>
        <w:rPr>
          <w:noProof/>
        </w:rPr>
      </w:pPr>
      <w:r w:rsidRPr="004F01E9">
        <w:rPr>
          <w:noProof/>
        </w:rPr>
        <w:t>1.</w:t>
      </w:r>
      <w:r w:rsidR="004F01E9">
        <w:rPr>
          <w:noProof/>
        </w:rPr>
        <w:t xml:space="preserve"> V </w:t>
      </w:r>
      <w:r w:rsidRPr="004F01E9">
        <w:rPr>
          <w:noProof/>
        </w:rPr>
        <w:t>prípade expozície</w:t>
      </w:r>
      <w:r w:rsidR="004F01E9">
        <w:rPr>
          <w:noProof/>
        </w:rPr>
        <w:t xml:space="preserve"> s </w:t>
      </w:r>
      <w:r w:rsidRPr="004F01E9">
        <w:rPr>
          <w:noProof/>
        </w:rPr>
        <w:t>nefinancovaným kreditným zabezpečením, na ktorú inštitúcia uplatňuje prístup IRB uvedený</w:t>
      </w:r>
      <w:r w:rsidR="004F01E9">
        <w:rPr>
          <w:noProof/>
        </w:rPr>
        <w:t xml:space="preserve"> v </w:t>
      </w:r>
      <w:r w:rsidRPr="004F01E9">
        <w:rPr>
          <w:noProof/>
        </w:rPr>
        <w:t>kapitole 3 pomocou svojich vlastných odhadov straty</w:t>
      </w:r>
      <w:r w:rsidR="004F01E9">
        <w:rPr>
          <w:noProof/>
        </w:rPr>
        <w:t xml:space="preserve"> v </w:t>
      </w:r>
      <w:r w:rsidRPr="004F01E9">
        <w:rPr>
          <w:noProof/>
        </w:rPr>
        <w:t>prípade zlyhania (LGD),</w:t>
      </w:r>
      <w:r w:rsidR="004F01E9">
        <w:rPr>
          <w:noProof/>
        </w:rPr>
        <w:t xml:space="preserve"> a </w:t>
      </w:r>
      <w:r w:rsidRPr="004F01E9">
        <w:rPr>
          <w:noProof/>
        </w:rPr>
        <w:t>ak sa</w:t>
      </w:r>
      <w:r w:rsidR="004F01E9">
        <w:rPr>
          <w:noProof/>
        </w:rPr>
        <w:t xml:space="preserve"> s </w:t>
      </w:r>
      <w:r w:rsidRPr="004F01E9">
        <w:rPr>
          <w:noProof/>
        </w:rPr>
        <w:t>porovnateľnými priamymi expozíciami voči poskytovateľovi zabezpečenia zaobchádza podľa prístupu IRB uvedeného</w:t>
      </w:r>
      <w:r w:rsidR="004F01E9">
        <w:rPr>
          <w:noProof/>
        </w:rPr>
        <w:t xml:space="preserve"> v </w:t>
      </w:r>
      <w:r w:rsidRPr="004F01E9">
        <w:rPr>
          <w:noProof/>
        </w:rPr>
        <w:t>kapitole 3, inštitúcie určujú krytú časť expozície ako nižšiu</w:t>
      </w:r>
      <w:r w:rsidR="004F01E9">
        <w:rPr>
          <w:noProof/>
        </w:rPr>
        <w:t xml:space="preserve"> z </w:t>
      </w:r>
      <w:r w:rsidRPr="004F01E9">
        <w:rPr>
          <w:noProof/>
        </w:rPr>
        <w:t>hodnoty expozície E</w:t>
      </w:r>
      <w:r w:rsidR="004F01E9">
        <w:rPr>
          <w:noProof/>
        </w:rPr>
        <w:t xml:space="preserve"> a </w:t>
      </w:r>
      <w:r w:rsidRPr="004F01E9">
        <w:rPr>
          <w:noProof/>
        </w:rPr>
        <w:t>upravenej hodnoty nefinancovaného kreditného zabezpečenia G</w:t>
      </w:r>
      <w:r w:rsidRPr="004F01E9">
        <w:rPr>
          <w:noProof/>
          <w:vertAlign w:val="subscript"/>
        </w:rPr>
        <w:t>A</w:t>
      </w:r>
      <w:r w:rsidRPr="004F01E9">
        <w:rPr>
          <w:noProof/>
        </w:rPr>
        <w:t>. Hodnota rizikovo váženej expozície</w:t>
      </w:r>
      <w:r w:rsidR="004F01E9">
        <w:rPr>
          <w:noProof/>
        </w:rPr>
        <w:t xml:space="preserve"> a </w:t>
      </w:r>
      <w:r w:rsidRPr="004F01E9">
        <w:rPr>
          <w:noProof/>
        </w:rPr>
        <w:t>výška očakávanej straty pre krytú časť hodnoty expozície sa vypočítavajú použitím PD, LGD</w:t>
      </w:r>
      <w:r w:rsidR="004F01E9">
        <w:rPr>
          <w:noProof/>
        </w:rPr>
        <w:t xml:space="preserve"> a </w:t>
      </w:r>
      <w:r w:rsidRPr="004F01E9">
        <w:rPr>
          <w:noProof/>
        </w:rPr>
        <w:t>rovnakej funkcie rizikovej váhy ako tie, ktoré sa používajú pre porovnateľnú priamu expozíciu voči poskytovateľovi zabezpečenia,</w:t>
      </w:r>
      <w:r w:rsidR="004F01E9">
        <w:rPr>
          <w:noProof/>
        </w:rPr>
        <w:t xml:space="preserve"> a </w:t>
      </w:r>
      <w:r w:rsidRPr="004F01E9">
        <w:rPr>
          <w:noProof/>
        </w:rPr>
        <w:t>prípadne použijú splatnosť M súvisiacu</w:t>
      </w:r>
      <w:r w:rsidR="004F01E9">
        <w:rPr>
          <w:noProof/>
        </w:rPr>
        <w:t xml:space="preserve"> s </w:t>
      </w:r>
      <w:r w:rsidRPr="004F01E9">
        <w:rPr>
          <w:noProof/>
        </w:rPr>
        <w:t>podkladovou expozíciou vypočítanú</w:t>
      </w:r>
      <w:r w:rsidR="004F01E9">
        <w:rPr>
          <w:noProof/>
        </w:rPr>
        <w:t xml:space="preserve"> v </w:t>
      </w:r>
      <w:r w:rsidRPr="004F01E9">
        <w:rPr>
          <w:noProof/>
        </w:rPr>
        <w:t>súlade</w:t>
      </w:r>
      <w:r w:rsidR="004F01E9">
        <w:rPr>
          <w:noProof/>
        </w:rPr>
        <w:t xml:space="preserve"> s </w:t>
      </w:r>
      <w:r w:rsidRPr="004F01E9">
        <w:rPr>
          <w:noProof/>
        </w:rPr>
        <w:t>článkom 162.</w:t>
      </w:r>
    </w:p>
    <w:p w14:paraId="249758B0" w14:textId="26B61570" w:rsidR="00B359AC" w:rsidRPr="004F01E9" w:rsidRDefault="00B359AC" w:rsidP="00B359AC">
      <w:pPr>
        <w:pStyle w:val="Text1"/>
        <w:rPr>
          <w:noProof/>
        </w:rPr>
      </w:pPr>
      <w:r w:rsidRPr="004F01E9">
        <w:rPr>
          <w:noProof/>
        </w:rPr>
        <w:t>2. Inštitúcia, ktorá uplatňuje prístup IRB uvedený</w:t>
      </w:r>
      <w:r w:rsidR="004F01E9">
        <w:rPr>
          <w:noProof/>
        </w:rPr>
        <w:t xml:space="preserve"> v </w:t>
      </w:r>
      <w:r w:rsidRPr="004F01E9">
        <w:rPr>
          <w:noProof/>
        </w:rPr>
        <w:t>kapitole 3, ale bez použitia vlastných odhadov straty</w:t>
      </w:r>
      <w:r w:rsidR="004F01E9">
        <w:rPr>
          <w:noProof/>
        </w:rPr>
        <w:t xml:space="preserve"> v </w:t>
      </w:r>
      <w:r w:rsidRPr="004F01E9">
        <w:rPr>
          <w:noProof/>
        </w:rPr>
        <w:t>prípade zlyhania (LGD) na porovnateľné priame expozície voči poskytovateľovi zabezpečenia, určuje LGD</w:t>
      </w:r>
      <w:r w:rsidR="004F01E9">
        <w:rPr>
          <w:noProof/>
        </w:rPr>
        <w:t xml:space="preserve"> v </w:t>
      </w:r>
      <w:r w:rsidRPr="004F01E9">
        <w:rPr>
          <w:noProof/>
        </w:rPr>
        <w:t>súlade</w:t>
      </w:r>
      <w:r w:rsidR="004F01E9">
        <w:rPr>
          <w:noProof/>
        </w:rPr>
        <w:t xml:space="preserve"> s </w:t>
      </w:r>
      <w:r w:rsidRPr="004F01E9">
        <w:rPr>
          <w:noProof/>
        </w:rPr>
        <w:t>článkom 161.</w:t>
      </w:r>
      <w:r w:rsidR="004F01E9">
        <w:rPr>
          <w:noProof/>
        </w:rPr>
        <w:t xml:space="preserve"> V </w:t>
      </w:r>
      <w:r w:rsidRPr="004F01E9">
        <w:rPr>
          <w:noProof/>
        </w:rPr>
        <w:t>prípade podriadených expozícií</w:t>
      </w:r>
      <w:r w:rsidR="004F01E9">
        <w:rPr>
          <w:noProof/>
        </w:rPr>
        <w:t xml:space="preserve"> a </w:t>
      </w:r>
      <w:r w:rsidRPr="004F01E9">
        <w:rPr>
          <w:noProof/>
        </w:rPr>
        <w:t>nepodriadeného nefinancovaného kreditného zabezpečenia LGD, ktorú majú inštitúcie uplatniť na krytú časť hodnoty expozície, je LGD spojená</w:t>
      </w:r>
      <w:r w:rsidR="004F01E9">
        <w:rPr>
          <w:noProof/>
        </w:rPr>
        <w:t xml:space="preserve"> s </w:t>
      </w:r>
      <w:r w:rsidRPr="004F01E9">
        <w:rPr>
          <w:noProof/>
        </w:rPr>
        <w:t>nadriadenými pohľadávkami,</w:t>
      </w:r>
      <w:r w:rsidR="004F01E9">
        <w:rPr>
          <w:noProof/>
        </w:rPr>
        <w:t xml:space="preserve"> a v </w:t>
      </w:r>
      <w:r w:rsidRPr="004F01E9">
        <w:rPr>
          <w:noProof/>
        </w:rPr>
        <w:t>ktorej môže byť zohľadnená akákoľvek kolateralizácia podkladovej expozície</w:t>
      </w:r>
      <w:r w:rsidR="004F01E9">
        <w:rPr>
          <w:noProof/>
        </w:rPr>
        <w:t xml:space="preserve"> v </w:t>
      </w:r>
      <w:r w:rsidRPr="004F01E9">
        <w:rPr>
          <w:noProof/>
        </w:rPr>
        <w:t>súlade</w:t>
      </w:r>
      <w:r w:rsidR="004F01E9">
        <w:rPr>
          <w:noProof/>
        </w:rPr>
        <w:t xml:space="preserve"> s </w:t>
      </w:r>
      <w:r w:rsidRPr="004F01E9">
        <w:rPr>
          <w:noProof/>
        </w:rPr>
        <w:t>touto kapitolou.</w:t>
      </w:r>
    </w:p>
    <w:p w14:paraId="5D3221D1" w14:textId="2E636397" w:rsidR="00B359AC" w:rsidRPr="004F01E9" w:rsidRDefault="00B359AC" w:rsidP="00B359AC">
      <w:pPr>
        <w:pStyle w:val="Text1"/>
        <w:rPr>
          <w:noProof/>
        </w:rPr>
      </w:pPr>
      <w:r w:rsidRPr="004F01E9">
        <w:rPr>
          <w:noProof/>
        </w:rPr>
        <w:t>3. Inštitúcie ktoré uplatňujú prístup IRB uvedený</w:t>
      </w:r>
      <w:r w:rsidR="004F01E9">
        <w:rPr>
          <w:noProof/>
        </w:rPr>
        <w:t xml:space="preserve"> v </w:t>
      </w:r>
      <w:r w:rsidRPr="004F01E9">
        <w:rPr>
          <w:noProof/>
        </w:rPr>
        <w:t>kapitole 3 pomocou svojich vlastných odhadov LGD na porovnateľné priame expozície voči poskytovateľovi zabezpečenia, vypočítavajú rizikovú váhu</w:t>
      </w:r>
      <w:r w:rsidR="004F01E9">
        <w:rPr>
          <w:noProof/>
        </w:rPr>
        <w:t xml:space="preserve"> a </w:t>
      </w:r>
      <w:r w:rsidRPr="004F01E9">
        <w:rPr>
          <w:noProof/>
        </w:rPr>
        <w:t>očakávanú stratu, ktoré sa vzťahujú na krytú časť podkladovej expozície,</w:t>
      </w:r>
      <w:r w:rsidR="004F01E9">
        <w:rPr>
          <w:noProof/>
        </w:rPr>
        <w:t xml:space="preserve"> s </w:t>
      </w:r>
      <w:r w:rsidRPr="004F01E9">
        <w:rPr>
          <w:noProof/>
        </w:rPr>
        <w:t>použitím PD, LGD</w:t>
      </w:r>
      <w:r w:rsidR="004F01E9">
        <w:rPr>
          <w:noProof/>
        </w:rPr>
        <w:t xml:space="preserve"> a </w:t>
      </w:r>
      <w:r w:rsidRPr="004F01E9">
        <w:rPr>
          <w:noProof/>
        </w:rPr>
        <w:t>rovnakej funkcie rizikovej váhy ako tie, ktoré sa používajú pre porovnateľnú priamu expozíciu voči poskytovateľovi zabezpečenia,</w:t>
      </w:r>
      <w:r w:rsidR="004F01E9">
        <w:rPr>
          <w:noProof/>
        </w:rPr>
        <w:t xml:space="preserve"> a </w:t>
      </w:r>
      <w:r w:rsidRPr="004F01E9">
        <w:rPr>
          <w:noProof/>
        </w:rPr>
        <w:t>prípadne použijú splatnosť M súvisiacu</w:t>
      </w:r>
      <w:r w:rsidR="004F01E9">
        <w:rPr>
          <w:noProof/>
        </w:rPr>
        <w:t xml:space="preserve"> s </w:t>
      </w:r>
      <w:r w:rsidRPr="004F01E9">
        <w:rPr>
          <w:noProof/>
        </w:rPr>
        <w:t>podkladovou expozíciou vypočítanú</w:t>
      </w:r>
      <w:r w:rsidR="004F01E9">
        <w:rPr>
          <w:noProof/>
        </w:rPr>
        <w:t xml:space="preserve"> v </w:t>
      </w:r>
      <w:r w:rsidRPr="004F01E9">
        <w:rPr>
          <w:noProof/>
        </w:rPr>
        <w:t>súlade</w:t>
      </w:r>
      <w:r w:rsidR="004F01E9">
        <w:rPr>
          <w:noProof/>
        </w:rPr>
        <w:t xml:space="preserve"> s </w:t>
      </w:r>
      <w:r w:rsidRPr="004F01E9">
        <w:rPr>
          <w:noProof/>
        </w:rPr>
        <w:t>článkom 162.</w:t>
      </w:r>
    </w:p>
    <w:p w14:paraId="67482C82" w14:textId="03454819" w:rsidR="00B359AC" w:rsidRPr="004F01E9" w:rsidRDefault="00B359AC" w:rsidP="00B359AC">
      <w:pPr>
        <w:pStyle w:val="Text1"/>
        <w:rPr>
          <w:noProof/>
        </w:rPr>
      </w:pPr>
      <w:r w:rsidRPr="004F01E9">
        <w:rPr>
          <w:noProof/>
        </w:rPr>
        <w:t>4. Inštitúcia, ktorá na porovnateľné priame expozície voči poskytovateľovi zabezpečenia uplatňuje prístup IRB</w:t>
      </w:r>
      <w:r w:rsidR="004F01E9">
        <w:rPr>
          <w:noProof/>
        </w:rPr>
        <w:t xml:space="preserve"> s </w:t>
      </w:r>
      <w:r w:rsidRPr="004F01E9">
        <w:rPr>
          <w:noProof/>
        </w:rPr>
        <w:t>použitím metódy stanovenej</w:t>
      </w:r>
      <w:r w:rsidR="004F01E9">
        <w:rPr>
          <w:noProof/>
        </w:rPr>
        <w:t xml:space="preserve"> v </w:t>
      </w:r>
      <w:r w:rsidRPr="004F01E9">
        <w:rPr>
          <w:noProof/>
        </w:rPr>
        <w:t>článku 153 ods. 5, používa rizikovú váhu</w:t>
      </w:r>
      <w:r w:rsidR="004F01E9">
        <w:rPr>
          <w:noProof/>
        </w:rPr>
        <w:t xml:space="preserve"> a </w:t>
      </w:r>
      <w:r w:rsidRPr="004F01E9">
        <w:rPr>
          <w:noProof/>
        </w:rPr>
        <w:t>očakávanú stratu uplatniteľné na krytú časť expozície, ktoré zodpovedajú tým, ktoré sú stanovené</w:t>
      </w:r>
      <w:r w:rsidR="004F01E9">
        <w:rPr>
          <w:noProof/>
        </w:rPr>
        <w:t xml:space="preserve"> v </w:t>
      </w:r>
      <w:r w:rsidRPr="004F01E9">
        <w:rPr>
          <w:noProof/>
        </w:rPr>
        <w:t>článku 153 ods. 5</w:t>
      </w:r>
      <w:r w:rsidR="004F01E9">
        <w:rPr>
          <w:noProof/>
        </w:rPr>
        <w:t xml:space="preserve"> a </w:t>
      </w:r>
      <w:r w:rsidRPr="004F01E9">
        <w:rPr>
          <w:noProof/>
        </w:rPr>
        <w:t>článku 158 ods. 6.</w:t>
      </w:r>
    </w:p>
    <w:p w14:paraId="56E07268" w14:textId="32357D3C" w:rsidR="00B359AC" w:rsidRPr="004F01E9" w:rsidRDefault="00B359AC" w:rsidP="00B359AC">
      <w:pPr>
        <w:pStyle w:val="Text1"/>
        <w:rPr>
          <w:noProof/>
        </w:rPr>
      </w:pPr>
      <w:r w:rsidRPr="004F01E9">
        <w:rPr>
          <w:noProof/>
        </w:rPr>
        <w:t>5. Pre akúkoľvek nekrytú časť hodnoty expozície (E) inštitúcie používajú rizikovú váhu</w:t>
      </w:r>
      <w:r w:rsidR="004F01E9">
        <w:rPr>
          <w:noProof/>
        </w:rPr>
        <w:t xml:space="preserve"> a </w:t>
      </w:r>
      <w:r w:rsidRPr="004F01E9">
        <w:rPr>
          <w:noProof/>
        </w:rPr>
        <w:t>očakávanú stratu zodpovedajúce podkladovej expozícii. Na účely výpočtu stanoveného</w:t>
      </w:r>
      <w:r w:rsidR="004F01E9">
        <w:rPr>
          <w:noProof/>
        </w:rPr>
        <w:t xml:space="preserve"> v </w:t>
      </w:r>
      <w:r w:rsidRPr="004F01E9">
        <w:rPr>
          <w:noProof/>
        </w:rPr>
        <w:t>článku 159 inštitúcie priraďujú</w:t>
      </w:r>
      <w:r w:rsidR="004F01E9">
        <w:rPr>
          <w:noProof/>
        </w:rPr>
        <w:t xml:space="preserve"> k </w:t>
      </w:r>
      <w:r w:rsidRPr="004F01E9">
        <w:rPr>
          <w:noProof/>
        </w:rPr>
        <w:t>nekrytej časti hodnoty expozície všetky všeobecné</w:t>
      </w:r>
      <w:r w:rsidR="004F01E9">
        <w:rPr>
          <w:noProof/>
        </w:rPr>
        <w:t xml:space="preserve"> a </w:t>
      </w:r>
      <w:r w:rsidRPr="004F01E9">
        <w:rPr>
          <w:noProof/>
        </w:rPr>
        <w:t>špecifické úpravy kreditného rizika, dodatočné úpravy ocenenia súvisiace</w:t>
      </w:r>
      <w:r w:rsidR="004F01E9">
        <w:rPr>
          <w:noProof/>
        </w:rPr>
        <w:t xml:space="preserve"> s </w:t>
      </w:r>
      <w:r w:rsidRPr="004F01E9">
        <w:rPr>
          <w:noProof/>
        </w:rPr>
        <w:t>činnosťou inštitúcie</w:t>
      </w:r>
      <w:r w:rsidR="004F01E9">
        <w:rPr>
          <w:noProof/>
        </w:rPr>
        <w:t xml:space="preserve"> v </w:t>
      </w:r>
      <w:r w:rsidRPr="004F01E9">
        <w:rPr>
          <w:noProof/>
        </w:rPr>
        <w:t>neobchodnej knihe, ako sa uvádza</w:t>
      </w:r>
      <w:r w:rsidR="004F01E9">
        <w:rPr>
          <w:noProof/>
        </w:rPr>
        <w:t xml:space="preserve"> v </w:t>
      </w:r>
      <w:r w:rsidRPr="004F01E9">
        <w:rPr>
          <w:noProof/>
        </w:rPr>
        <w:t>článku 34</w:t>
      </w:r>
      <w:r w:rsidR="004F01E9">
        <w:rPr>
          <w:noProof/>
        </w:rPr>
        <w:t xml:space="preserve"> a </w:t>
      </w:r>
      <w:r w:rsidRPr="004F01E9">
        <w:rPr>
          <w:noProof/>
        </w:rPr>
        <w:t>iné zníženia vlastných zdrojov súvisiace</w:t>
      </w:r>
      <w:r w:rsidR="004F01E9">
        <w:rPr>
          <w:noProof/>
        </w:rPr>
        <w:t xml:space="preserve"> s </w:t>
      </w:r>
      <w:r w:rsidRPr="004F01E9">
        <w:rPr>
          <w:noProof/>
        </w:rPr>
        <w:t>danou expozíciou okrem odpočtov vykonaných</w:t>
      </w:r>
      <w:r w:rsidR="004F01E9">
        <w:rPr>
          <w:noProof/>
        </w:rPr>
        <w:t xml:space="preserve"> v </w:t>
      </w:r>
      <w:r w:rsidRPr="004F01E9">
        <w:rPr>
          <w:noProof/>
        </w:rPr>
        <w:t>súlade</w:t>
      </w:r>
      <w:r w:rsidR="004F01E9">
        <w:rPr>
          <w:noProof/>
        </w:rPr>
        <w:t xml:space="preserve"> s </w:t>
      </w:r>
      <w:r w:rsidRPr="004F01E9">
        <w:rPr>
          <w:noProof/>
        </w:rPr>
        <w:t>článkom 36 ods. 1 písm. m).“</w:t>
      </w:r>
    </w:p>
    <w:p w14:paraId="645D9A3A" w14:textId="67D665A6" w:rsidR="00806B81" w:rsidRPr="004F01E9" w:rsidRDefault="00B16452" w:rsidP="00B16452">
      <w:pPr>
        <w:pStyle w:val="Point0"/>
        <w:rPr>
          <w:noProof/>
        </w:rPr>
      </w:pPr>
      <w:r w:rsidRPr="00B16452">
        <w:rPr>
          <w:noProof/>
        </w:rPr>
        <w:t>127</w:t>
      </w:r>
      <w:r>
        <w:rPr>
          <w:noProof/>
        </w:rPr>
        <w:t>.</w:t>
      </w:r>
      <w:r w:rsidRPr="00B16452">
        <w:rPr>
          <w:noProof/>
        </w:rPr>
        <w:tab/>
      </w:r>
      <w:r w:rsidR="00B359AC" w:rsidRPr="004F01E9">
        <w:rPr>
          <w:noProof/>
        </w:rPr>
        <w:t>V tretej časti hlave II kapitole 4 sa vypúšťa oddiel 6.</w:t>
      </w:r>
    </w:p>
    <w:p w14:paraId="28E2D191" w14:textId="081BAD9C" w:rsidR="00B359AC" w:rsidRPr="004F01E9" w:rsidRDefault="00B16452" w:rsidP="00B16452">
      <w:pPr>
        <w:pStyle w:val="Point0"/>
        <w:rPr>
          <w:noProof/>
        </w:rPr>
      </w:pPr>
      <w:r w:rsidRPr="00B16452">
        <w:rPr>
          <w:noProof/>
        </w:rPr>
        <w:t>128</w:t>
      </w:r>
      <w:r>
        <w:rPr>
          <w:noProof/>
        </w:rPr>
        <w:t>.</w:t>
      </w:r>
      <w:r w:rsidRPr="00B16452">
        <w:rPr>
          <w:noProof/>
        </w:rPr>
        <w:tab/>
      </w:r>
      <w:r w:rsidR="00B359AC" w:rsidRPr="004F01E9">
        <w:rPr>
          <w:noProof/>
        </w:rPr>
        <w:t>V článku 273 ods. 3 sa písmeno b) nahrádza takto:</w:t>
      </w:r>
    </w:p>
    <w:p w14:paraId="208E8351" w14:textId="2E8B531B" w:rsidR="00B359AC" w:rsidRPr="004F01E9" w:rsidRDefault="00B359AC" w:rsidP="00615061">
      <w:pPr>
        <w:pStyle w:val="Text2"/>
        <w:rPr>
          <w:noProof/>
        </w:rPr>
      </w:pPr>
      <w:r w:rsidRPr="004F01E9">
        <w:rPr>
          <w:noProof/>
        </w:rPr>
        <w:t>„b)</w:t>
      </w:r>
      <w:r w:rsidRPr="004F01E9">
        <w:rPr>
          <w:noProof/>
        </w:rPr>
        <w:tab/>
        <w:t>článkom 183, ak bolo udelené povolenie</w:t>
      </w:r>
      <w:r w:rsidR="004F01E9">
        <w:rPr>
          <w:noProof/>
        </w:rPr>
        <w:t xml:space="preserve"> v </w:t>
      </w:r>
      <w:r w:rsidRPr="004F01E9">
        <w:rPr>
          <w:noProof/>
        </w:rPr>
        <w:t>súlade</w:t>
      </w:r>
      <w:r w:rsidR="004F01E9">
        <w:rPr>
          <w:noProof/>
        </w:rPr>
        <w:t xml:space="preserve"> s </w:t>
      </w:r>
      <w:r w:rsidRPr="004F01E9">
        <w:rPr>
          <w:noProof/>
        </w:rPr>
        <w:t>článkom 143.“</w:t>
      </w:r>
    </w:p>
    <w:p w14:paraId="434C505B" w14:textId="652589A3" w:rsidR="00806B81" w:rsidRPr="004F01E9" w:rsidRDefault="00B16452" w:rsidP="00B16452">
      <w:pPr>
        <w:pStyle w:val="Point0"/>
        <w:rPr>
          <w:noProof/>
        </w:rPr>
      </w:pPr>
      <w:r w:rsidRPr="00B16452">
        <w:rPr>
          <w:noProof/>
        </w:rPr>
        <w:t>129</w:t>
      </w:r>
      <w:r>
        <w:rPr>
          <w:noProof/>
        </w:rPr>
        <w:t>.</w:t>
      </w:r>
      <w:r w:rsidRPr="00B16452">
        <w:rPr>
          <w:noProof/>
        </w:rPr>
        <w:tab/>
      </w:r>
      <w:r w:rsidR="00B359AC" w:rsidRPr="004F01E9">
        <w:rPr>
          <w:noProof/>
        </w:rPr>
        <w:t>Článok 273b sa mení takto:</w:t>
      </w:r>
    </w:p>
    <w:p w14:paraId="276C9EE4" w14:textId="38CF9EB4" w:rsidR="00B359AC" w:rsidRPr="004F01E9" w:rsidRDefault="00853C2E" w:rsidP="00853C2E">
      <w:pPr>
        <w:pStyle w:val="Point1"/>
        <w:rPr>
          <w:noProof/>
        </w:rPr>
      </w:pPr>
      <w:r w:rsidRPr="004F01E9">
        <w:rPr>
          <w:noProof/>
        </w:rPr>
        <w:t>a)</w:t>
      </w:r>
      <w:r w:rsidRPr="004F01E9">
        <w:rPr>
          <w:noProof/>
        </w:rPr>
        <w:tab/>
        <w:t>Názov sa nahrádza takto:</w:t>
      </w:r>
    </w:p>
    <w:p w14:paraId="0D18680C" w14:textId="59891E71" w:rsidR="00B359AC" w:rsidRPr="004F01E9" w:rsidRDefault="00B359AC" w:rsidP="00B359AC">
      <w:pPr>
        <w:pStyle w:val="Titrearticle"/>
        <w:spacing w:before="240" w:after="240"/>
        <w:rPr>
          <w:b/>
          <w:i w:val="0"/>
          <w:noProof/>
        </w:rPr>
      </w:pPr>
      <w:r w:rsidRPr="004F01E9">
        <w:rPr>
          <w:noProof/>
        </w:rPr>
        <w:t xml:space="preserve">„Článok 273b </w:t>
      </w:r>
      <w:r w:rsidRPr="004F01E9">
        <w:rPr>
          <w:noProof/>
        </w:rPr>
        <w:br/>
        <w:t>Neplnenie podmienok používania zjednodušených metód výpočtu hodnoty expozície derivátov</w:t>
      </w:r>
      <w:r w:rsidR="004F01E9">
        <w:rPr>
          <w:noProof/>
        </w:rPr>
        <w:t xml:space="preserve"> a </w:t>
      </w:r>
      <w:r w:rsidRPr="004F01E9">
        <w:rPr>
          <w:noProof/>
        </w:rPr>
        <w:t>zjednodušeného prístupu</w:t>
      </w:r>
      <w:r w:rsidR="004F01E9">
        <w:rPr>
          <w:noProof/>
        </w:rPr>
        <w:t xml:space="preserve"> k </w:t>
      </w:r>
      <w:r w:rsidRPr="004F01E9">
        <w:rPr>
          <w:noProof/>
        </w:rPr>
        <w:t>výpočtu požiadavky na vlastné zdroje pre riziko úpravy ocenenia pohľadávok“;</w:t>
      </w:r>
    </w:p>
    <w:p w14:paraId="7C5C5851" w14:textId="69A0FB6B" w:rsidR="00B359AC" w:rsidRPr="004F01E9" w:rsidRDefault="00853C2E" w:rsidP="00853C2E">
      <w:pPr>
        <w:pStyle w:val="Point1"/>
        <w:rPr>
          <w:noProof/>
        </w:rPr>
      </w:pPr>
      <w:r w:rsidRPr="004F01E9">
        <w:rPr>
          <w:noProof/>
        </w:rPr>
        <w:t>b)</w:t>
      </w:r>
      <w:r w:rsidRPr="004F01E9">
        <w:rPr>
          <w:noProof/>
        </w:rPr>
        <w:tab/>
        <w:t>V odseku 2 sa úvodná veta nahrádza takto:</w:t>
      </w:r>
    </w:p>
    <w:p w14:paraId="7DB511F5" w14:textId="4BA4654F" w:rsidR="00B359AC" w:rsidRPr="004F01E9" w:rsidRDefault="00B359AC" w:rsidP="00B359AC">
      <w:pPr>
        <w:pStyle w:val="Text1"/>
        <w:rPr>
          <w:noProof/>
        </w:rPr>
      </w:pPr>
      <w:r w:rsidRPr="004F01E9">
        <w:rPr>
          <w:noProof/>
        </w:rPr>
        <w:t>„Inštitúcia prestane vypočítavať hodnoty expozícií svojich derivátových pozícií</w:t>
      </w:r>
      <w:r w:rsidR="004F01E9">
        <w:rPr>
          <w:noProof/>
        </w:rPr>
        <w:t xml:space="preserve"> v </w:t>
      </w:r>
      <w:r w:rsidRPr="004F01E9">
        <w:rPr>
          <w:noProof/>
        </w:rPr>
        <w:t>súlade</w:t>
      </w:r>
      <w:r w:rsidR="004F01E9">
        <w:rPr>
          <w:noProof/>
        </w:rPr>
        <w:t xml:space="preserve"> s </w:t>
      </w:r>
      <w:r w:rsidRPr="004F01E9">
        <w:rPr>
          <w:noProof/>
        </w:rPr>
        <w:t>oddielom 4 alebo prípadne 5</w:t>
      </w:r>
      <w:r w:rsidR="004F01E9">
        <w:rPr>
          <w:noProof/>
        </w:rPr>
        <w:t xml:space="preserve"> a </w:t>
      </w:r>
      <w:r w:rsidRPr="004F01E9">
        <w:rPr>
          <w:noProof/>
        </w:rPr>
        <w:t>vypočítavať požiadavku na vlastné zdroje pre riziko úpravy ocenenia pohľadávok</w:t>
      </w:r>
      <w:r w:rsidR="004F01E9">
        <w:rPr>
          <w:noProof/>
        </w:rPr>
        <w:t xml:space="preserve"> v </w:t>
      </w:r>
      <w:r w:rsidRPr="004F01E9">
        <w:rPr>
          <w:noProof/>
        </w:rPr>
        <w:t>súlade</w:t>
      </w:r>
      <w:r w:rsidR="004F01E9">
        <w:rPr>
          <w:noProof/>
        </w:rPr>
        <w:t xml:space="preserve"> s </w:t>
      </w:r>
      <w:r w:rsidRPr="004F01E9">
        <w:rPr>
          <w:noProof/>
        </w:rPr>
        <w:t>článkom 385 do troch mesiacov odo dňa, keď dôjde</w:t>
      </w:r>
      <w:r w:rsidR="004F01E9">
        <w:rPr>
          <w:noProof/>
        </w:rPr>
        <w:t xml:space="preserve"> k </w:t>
      </w:r>
      <w:r w:rsidRPr="004F01E9">
        <w:rPr>
          <w:noProof/>
        </w:rPr>
        <w:t>jednému</w:t>
      </w:r>
      <w:r w:rsidR="004F01E9">
        <w:rPr>
          <w:noProof/>
        </w:rPr>
        <w:t xml:space="preserve"> z </w:t>
      </w:r>
      <w:r w:rsidRPr="004F01E9">
        <w:rPr>
          <w:noProof/>
        </w:rPr>
        <w:t>týchto prípadov:“;</w:t>
      </w:r>
    </w:p>
    <w:p w14:paraId="267EF1FF" w14:textId="554520FA" w:rsidR="00B359AC" w:rsidRPr="004F01E9" w:rsidRDefault="00853C2E" w:rsidP="00853C2E">
      <w:pPr>
        <w:pStyle w:val="Point1"/>
        <w:rPr>
          <w:noProof/>
        </w:rPr>
      </w:pPr>
      <w:r w:rsidRPr="004F01E9">
        <w:rPr>
          <w:noProof/>
        </w:rPr>
        <w:t>c)</w:t>
      </w:r>
      <w:r w:rsidRPr="004F01E9">
        <w:rPr>
          <w:noProof/>
        </w:rPr>
        <w:tab/>
        <w:t>Odsek 3 sa nahrádza takto:</w:t>
      </w:r>
    </w:p>
    <w:p w14:paraId="6F167F34" w14:textId="5BF6B648" w:rsidR="00B359AC" w:rsidRPr="00376CBB" w:rsidRDefault="00B359AC" w:rsidP="00B359AC">
      <w:pPr>
        <w:pStyle w:val="Text1"/>
        <w:rPr>
          <w:noProof/>
          <w:spacing w:val="-4"/>
        </w:rPr>
      </w:pPr>
      <w:r w:rsidRPr="00376CBB">
        <w:rPr>
          <w:noProof/>
          <w:spacing w:val="-4"/>
        </w:rPr>
        <w:t>„3.</w:t>
      </w:r>
      <w:r w:rsidRPr="00376CBB">
        <w:rPr>
          <w:noProof/>
          <w:spacing w:val="-4"/>
        </w:rPr>
        <w:tab/>
        <w:t>Inštitúcie, ktoré prestali vypočítavať svoje hodnoty expozícií derivátových pozícií</w:t>
      </w:r>
      <w:r w:rsidR="004F01E9" w:rsidRPr="00376CBB">
        <w:rPr>
          <w:noProof/>
          <w:spacing w:val="-4"/>
        </w:rPr>
        <w:t xml:space="preserve"> v </w:t>
      </w:r>
      <w:r w:rsidRPr="00376CBB">
        <w:rPr>
          <w:noProof/>
          <w:spacing w:val="-4"/>
        </w:rPr>
        <w:t>súlade</w:t>
      </w:r>
      <w:r w:rsidR="004F01E9" w:rsidRPr="00376CBB">
        <w:rPr>
          <w:noProof/>
          <w:spacing w:val="-4"/>
        </w:rPr>
        <w:t xml:space="preserve"> s </w:t>
      </w:r>
      <w:r w:rsidRPr="00376CBB">
        <w:rPr>
          <w:noProof/>
          <w:spacing w:val="-4"/>
        </w:rPr>
        <w:t>oddielom 4 alebo prípadne 5</w:t>
      </w:r>
      <w:r w:rsidR="004F01E9" w:rsidRPr="00376CBB">
        <w:rPr>
          <w:noProof/>
          <w:spacing w:val="-4"/>
        </w:rPr>
        <w:t xml:space="preserve"> a </w:t>
      </w:r>
      <w:r w:rsidRPr="00376CBB">
        <w:rPr>
          <w:noProof/>
          <w:spacing w:val="-4"/>
        </w:rPr>
        <w:t>vypočítavať požiadavku na vlastné zdroje pre riziko úpravy ocenenia pohľadávok</w:t>
      </w:r>
      <w:r w:rsidR="004F01E9" w:rsidRPr="00376CBB">
        <w:rPr>
          <w:noProof/>
          <w:spacing w:val="-4"/>
        </w:rPr>
        <w:t xml:space="preserve"> v </w:t>
      </w:r>
      <w:r w:rsidRPr="00376CBB">
        <w:rPr>
          <w:noProof/>
          <w:spacing w:val="-4"/>
        </w:rPr>
        <w:t>súlade</w:t>
      </w:r>
      <w:r w:rsidR="004F01E9" w:rsidRPr="00376CBB">
        <w:rPr>
          <w:noProof/>
          <w:spacing w:val="-4"/>
        </w:rPr>
        <w:t xml:space="preserve"> s </w:t>
      </w:r>
      <w:r w:rsidRPr="00376CBB">
        <w:rPr>
          <w:noProof/>
          <w:spacing w:val="-4"/>
        </w:rPr>
        <w:t>článkom 385, smú znova vypočítavať svoje hodnoty expozícií derivátových pozícií, ako sa stanovuje</w:t>
      </w:r>
      <w:r w:rsidR="004F01E9" w:rsidRPr="00376CBB">
        <w:rPr>
          <w:noProof/>
          <w:spacing w:val="-4"/>
        </w:rPr>
        <w:t xml:space="preserve"> v </w:t>
      </w:r>
      <w:r w:rsidRPr="00376CBB">
        <w:rPr>
          <w:noProof/>
          <w:spacing w:val="-4"/>
        </w:rPr>
        <w:t>oddiele 4 alebo 5</w:t>
      </w:r>
      <w:r w:rsidR="004F01E9" w:rsidRPr="00376CBB">
        <w:rPr>
          <w:noProof/>
          <w:spacing w:val="-4"/>
        </w:rPr>
        <w:t xml:space="preserve"> a </w:t>
      </w:r>
      <w:r w:rsidRPr="00376CBB">
        <w:rPr>
          <w:noProof/>
          <w:spacing w:val="-4"/>
        </w:rPr>
        <w:t>požiadavku na vlastné zdroje pre riziko úpravy ocenenia pohľadávok</w:t>
      </w:r>
      <w:r w:rsidR="004F01E9" w:rsidRPr="00376CBB">
        <w:rPr>
          <w:noProof/>
          <w:spacing w:val="-4"/>
        </w:rPr>
        <w:t xml:space="preserve"> v </w:t>
      </w:r>
      <w:r w:rsidRPr="00376CBB">
        <w:rPr>
          <w:noProof/>
          <w:spacing w:val="-4"/>
        </w:rPr>
        <w:t>súlade</w:t>
      </w:r>
      <w:r w:rsidR="004F01E9" w:rsidRPr="00376CBB">
        <w:rPr>
          <w:noProof/>
          <w:spacing w:val="-4"/>
        </w:rPr>
        <w:t xml:space="preserve"> s </w:t>
      </w:r>
      <w:r w:rsidRPr="00376CBB">
        <w:rPr>
          <w:noProof/>
          <w:spacing w:val="-4"/>
        </w:rPr>
        <w:t>článkom 385 len vtedy, ak príslušnému orgánu preukážu, že všetky podmienky stanovené</w:t>
      </w:r>
      <w:r w:rsidR="004F01E9" w:rsidRPr="00376CBB">
        <w:rPr>
          <w:noProof/>
          <w:spacing w:val="-4"/>
        </w:rPr>
        <w:t xml:space="preserve"> v </w:t>
      </w:r>
      <w:r w:rsidRPr="00376CBB">
        <w:rPr>
          <w:noProof/>
          <w:spacing w:val="-4"/>
        </w:rPr>
        <w:t>článku 273a ods. 1 alebo 2 boli splnené nepretržite počas jedného roka.“</w:t>
      </w:r>
    </w:p>
    <w:p w14:paraId="44E041EF" w14:textId="47AB74E6" w:rsidR="00806B81" w:rsidRPr="00376CBB" w:rsidRDefault="00B16452" w:rsidP="00B16452">
      <w:pPr>
        <w:pStyle w:val="Point0"/>
        <w:rPr>
          <w:noProof/>
        </w:rPr>
      </w:pPr>
      <w:r w:rsidRPr="00B16452">
        <w:rPr>
          <w:noProof/>
        </w:rPr>
        <w:t>130</w:t>
      </w:r>
      <w:r>
        <w:rPr>
          <w:noProof/>
        </w:rPr>
        <w:t>.</w:t>
      </w:r>
      <w:r w:rsidRPr="00B16452">
        <w:rPr>
          <w:noProof/>
        </w:rPr>
        <w:tab/>
      </w:r>
      <w:r w:rsidR="00B359AC" w:rsidRPr="004F01E9">
        <w:rPr>
          <w:noProof/>
        </w:rPr>
        <w:t>Článok 274 sa mení takto:</w:t>
      </w:r>
    </w:p>
    <w:p w14:paraId="19C027FD" w14:textId="4EC5BFF7" w:rsidR="00B359AC" w:rsidRPr="004F01E9" w:rsidRDefault="00853C2E" w:rsidP="00853C2E">
      <w:pPr>
        <w:pStyle w:val="Point1"/>
        <w:rPr>
          <w:noProof/>
        </w:rPr>
      </w:pPr>
      <w:r w:rsidRPr="004F01E9">
        <w:rPr>
          <w:noProof/>
        </w:rPr>
        <w:t>a)</w:t>
      </w:r>
      <w:r w:rsidRPr="004F01E9">
        <w:rPr>
          <w:noProof/>
        </w:rPr>
        <w:tab/>
        <w:t>Odsek 4 sa nahrádza takto:</w:t>
      </w:r>
    </w:p>
    <w:p w14:paraId="3C3F9331" w14:textId="38DAE383" w:rsidR="00806B81" w:rsidRPr="00376CBB" w:rsidRDefault="00853C2E" w:rsidP="00853C2E">
      <w:pPr>
        <w:pStyle w:val="Text2"/>
        <w:rPr>
          <w:noProof/>
          <w:spacing w:val="-10"/>
        </w:rPr>
      </w:pPr>
      <w:r w:rsidRPr="00376CBB">
        <w:rPr>
          <w:noProof/>
          <w:spacing w:val="-10"/>
        </w:rPr>
        <w:t>„4. Ak sa na ten istý súbor vzájomného započítavania vzťahujú viaceré dohody</w:t>
      </w:r>
      <w:r w:rsidR="004F01E9" w:rsidRPr="00376CBB">
        <w:rPr>
          <w:noProof/>
          <w:spacing w:val="-10"/>
        </w:rPr>
        <w:t xml:space="preserve"> o </w:t>
      </w:r>
      <w:r w:rsidRPr="00376CBB">
        <w:rPr>
          <w:noProof/>
          <w:spacing w:val="-10"/>
        </w:rPr>
        <w:t>dozabezpečení alebo ak ten istý súbor vzájomného započítavania zahŕňa transakcie, na ktoré sa vzťahuje dohoda</w:t>
      </w:r>
      <w:r w:rsidR="004F01E9" w:rsidRPr="00376CBB">
        <w:rPr>
          <w:noProof/>
          <w:spacing w:val="-10"/>
        </w:rPr>
        <w:t xml:space="preserve"> o </w:t>
      </w:r>
      <w:r w:rsidRPr="00376CBB">
        <w:rPr>
          <w:noProof/>
          <w:spacing w:val="-10"/>
        </w:rPr>
        <w:t>dozabezpečení, ako aj transakcie, ktoré nie sú predmetom dohody</w:t>
      </w:r>
      <w:r w:rsidR="004F01E9" w:rsidRPr="00376CBB">
        <w:rPr>
          <w:noProof/>
          <w:spacing w:val="-10"/>
        </w:rPr>
        <w:t xml:space="preserve"> o </w:t>
      </w:r>
      <w:r w:rsidRPr="00376CBB">
        <w:rPr>
          <w:noProof/>
          <w:spacing w:val="-10"/>
        </w:rPr>
        <w:t>dozabezpečení, inštitúcia vypočítava svoju hodnotu expozície takto:</w:t>
      </w:r>
    </w:p>
    <w:p w14:paraId="2E1FE802" w14:textId="50D1ED5C" w:rsidR="00B359AC" w:rsidRPr="00376CBB" w:rsidRDefault="00B359AC" w:rsidP="00B359AC">
      <w:pPr>
        <w:pStyle w:val="Point2"/>
        <w:rPr>
          <w:noProof/>
          <w:spacing w:val="-8"/>
        </w:rPr>
      </w:pPr>
      <w:r w:rsidRPr="00376CBB">
        <w:rPr>
          <w:noProof/>
          <w:spacing w:val="-8"/>
        </w:rPr>
        <w:t>a)</w:t>
      </w:r>
      <w:r w:rsidRPr="00376CBB">
        <w:rPr>
          <w:noProof/>
          <w:spacing w:val="-8"/>
        </w:rPr>
        <w:tab/>
        <w:t>inštitúcia stanovuje príslušné hypotetické podsúbory vzájomného započítavania zložené</w:t>
      </w:r>
      <w:r w:rsidR="004F01E9" w:rsidRPr="00376CBB">
        <w:rPr>
          <w:noProof/>
          <w:spacing w:val="-8"/>
        </w:rPr>
        <w:t xml:space="preserve"> z </w:t>
      </w:r>
      <w:r w:rsidRPr="00376CBB">
        <w:rPr>
          <w:noProof/>
          <w:spacing w:val="-8"/>
        </w:rPr>
        <w:t>transakcií zahrnutých do súboru vzájomného započítavania takto:</w:t>
      </w:r>
    </w:p>
    <w:p w14:paraId="1914613B" w14:textId="17C368AC" w:rsidR="00B359AC" w:rsidRPr="004F01E9" w:rsidRDefault="00B359AC" w:rsidP="00B359AC">
      <w:pPr>
        <w:pStyle w:val="Point3"/>
        <w:rPr>
          <w:noProof/>
        </w:rPr>
      </w:pPr>
      <w:r w:rsidRPr="004F01E9">
        <w:rPr>
          <w:noProof/>
        </w:rPr>
        <w:t>i)</w:t>
      </w:r>
      <w:r w:rsidRPr="004F01E9">
        <w:rPr>
          <w:noProof/>
        </w:rPr>
        <w:tab/>
        <w:t>všetky transakcie, na ktoré sa vzťahuje dohoda</w:t>
      </w:r>
      <w:r w:rsidR="004F01E9">
        <w:rPr>
          <w:noProof/>
        </w:rPr>
        <w:t xml:space="preserve"> o </w:t>
      </w:r>
      <w:r w:rsidRPr="004F01E9">
        <w:rPr>
          <w:noProof/>
        </w:rPr>
        <w:t>dozabezpečení</w:t>
      </w:r>
      <w:r w:rsidR="004F01E9">
        <w:rPr>
          <w:noProof/>
        </w:rPr>
        <w:t xml:space="preserve"> a </w:t>
      </w:r>
      <w:r w:rsidRPr="004F01E9">
        <w:rPr>
          <w:noProof/>
        </w:rPr>
        <w:t>rovnaké obdobie rizika dozabezpečenia určené</w:t>
      </w:r>
      <w:r w:rsidR="004F01E9">
        <w:rPr>
          <w:noProof/>
        </w:rPr>
        <w:t xml:space="preserve"> v </w:t>
      </w:r>
      <w:r w:rsidRPr="004F01E9">
        <w:rPr>
          <w:noProof/>
        </w:rPr>
        <w:t>súlade</w:t>
      </w:r>
      <w:r w:rsidR="004F01E9">
        <w:rPr>
          <w:noProof/>
        </w:rPr>
        <w:t xml:space="preserve"> s </w:t>
      </w:r>
      <w:r w:rsidRPr="004F01E9">
        <w:rPr>
          <w:noProof/>
        </w:rPr>
        <w:t>článkom 285 ods. 2 až 5, sa priradia</w:t>
      </w:r>
      <w:r w:rsidR="004F01E9">
        <w:rPr>
          <w:noProof/>
        </w:rPr>
        <w:t xml:space="preserve"> k </w:t>
      </w:r>
      <w:r w:rsidRPr="004F01E9">
        <w:rPr>
          <w:noProof/>
        </w:rPr>
        <w:t>rovnakému podsúboru vzájomného započítavania;</w:t>
      </w:r>
    </w:p>
    <w:p w14:paraId="3DE2D95E" w14:textId="5DB78237" w:rsidR="00B359AC" w:rsidRPr="004F01E9" w:rsidRDefault="00B359AC" w:rsidP="00B359AC">
      <w:pPr>
        <w:pStyle w:val="Point3"/>
        <w:rPr>
          <w:noProof/>
        </w:rPr>
      </w:pPr>
      <w:r w:rsidRPr="004F01E9">
        <w:rPr>
          <w:noProof/>
        </w:rPr>
        <w:t>ii)</w:t>
      </w:r>
      <w:r w:rsidRPr="004F01E9">
        <w:rPr>
          <w:noProof/>
        </w:rPr>
        <w:tab/>
        <w:t>všetky transakcie, na ktoré sa nevzťahuje dohoda</w:t>
      </w:r>
      <w:r w:rsidR="004F01E9">
        <w:rPr>
          <w:noProof/>
        </w:rPr>
        <w:t xml:space="preserve"> o </w:t>
      </w:r>
      <w:r w:rsidRPr="004F01E9">
        <w:rPr>
          <w:noProof/>
        </w:rPr>
        <w:t>dozabezpečení, sa priradia</w:t>
      </w:r>
      <w:r w:rsidR="004F01E9">
        <w:rPr>
          <w:noProof/>
        </w:rPr>
        <w:t xml:space="preserve"> k </w:t>
      </w:r>
      <w:r w:rsidRPr="004F01E9">
        <w:rPr>
          <w:noProof/>
        </w:rPr>
        <w:t>rovnakému podsúboru vzájomného započítavania odlišnému od podsúborov vzájomného započítavania zriadených</w:t>
      </w:r>
      <w:r w:rsidR="004F01E9">
        <w:rPr>
          <w:noProof/>
        </w:rPr>
        <w:t xml:space="preserve"> v </w:t>
      </w:r>
      <w:r w:rsidRPr="004F01E9">
        <w:rPr>
          <w:noProof/>
        </w:rPr>
        <w:t>súlade</w:t>
      </w:r>
      <w:r w:rsidR="004F01E9">
        <w:rPr>
          <w:noProof/>
        </w:rPr>
        <w:t xml:space="preserve"> s </w:t>
      </w:r>
      <w:r w:rsidRPr="004F01E9">
        <w:rPr>
          <w:noProof/>
        </w:rPr>
        <w:t>bodom i);</w:t>
      </w:r>
    </w:p>
    <w:p w14:paraId="42B9C92F" w14:textId="36D4184F" w:rsidR="00B359AC" w:rsidRPr="004F01E9" w:rsidRDefault="00B359AC" w:rsidP="00B359AC">
      <w:pPr>
        <w:pStyle w:val="Point2"/>
        <w:rPr>
          <w:noProof/>
        </w:rPr>
      </w:pPr>
      <w:r w:rsidRPr="004F01E9">
        <w:rPr>
          <w:noProof/>
        </w:rPr>
        <w:t>b)</w:t>
      </w:r>
      <w:r w:rsidRPr="004F01E9">
        <w:rPr>
          <w:noProof/>
        </w:rPr>
        <w:tab/>
        <w:t>inštitúcia vypočítava reprodukčné náklady súboru vzájomného započítavania uvedeného</w:t>
      </w:r>
      <w:r w:rsidR="004F01E9">
        <w:rPr>
          <w:noProof/>
        </w:rPr>
        <w:t xml:space="preserve"> v </w:t>
      </w:r>
      <w:r w:rsidRPr="004F01E9">
        <w:rPr>
          <w:noProof/>
        </w:rPr>
        <w:t>úvodnej vete tohto odseku</w:t>
      </w:r>
      <w:r w:rsidR="004F01E9">
        <w:rPr>
          <w:noProof/>
        </w:rPr>
        <w:t xml:space="preserve"> v </w:t>
      </w:r>
      <w:r w:rsidRPr="004F01E9">
        <w:rPr>
          <w:noProof/>
        </w:rPr>
        <w:t>súlade</w:t>
      </w:r>
      <w:r w:rsidR="004F01E9">
        <w:rPr>
          <w:noProof/>
        </w:rPr>
        <w:t xml:space="preserve"> s </w:t>
      </w:r>
      <w:r w:rsidRPr="004F01E9">
        <w:rPr>
          <w:noProof/>
        </w:rPr>
        <w:t>článkom 275 ods. 2 tak, že zohľadní všetky transakcie</w:t>
      </w:r>
      <w:r w:rsidR="004F01E9">
        <w:rPr>
          <w:noProof/>
        </w:rPr>
        <w:t xml:space="preserve"> v </w:t>
      </w:r>
      <w:r w:rsidRPr="004F01E9">
        <w:rPr>
          <w:noProof/>
        </w:rPr>
        <w:t>rámci súboru vzájomného započítavania, na ktoré sa vzťahuje alebo nevzťahuje dohoda</w:t>
      </w:r>
      <w:r w:rsidR="004F01E9">
        <w:rPr>
          <w:noProof/>
        </w:rPr>
        <w:t xml:space="preserve"> o </w:t>
      </w:r>
      <w:r w:rsidRPr="004F01E9">
        <w:rPr>
          <w:noProof/>
        </w:rPr>
        <w:t>dozabezpečení,</w:t>
      </w:r>
      <w:r w:rsidR="004F01E9">
        <w:rPr>
          <w:noProof/>
        </w:rPr>
        <w:t xml:space="preserve"> a </w:t>
      </w:r>
      <w:r w:rsidRPr="004F01E9">
        <w:rPr>
          <w:noProof/>
        </w:rPr>
        <w:t>uplatňuje všetky tieto aspekty:</w:t>
      </w:r>
    </w:p>
    <w:p w14:paraId="6C67E856" w14:textId="27950683" w:rsidR="00B359AC" w:rsidRPr="004F01E9" w:rsidRDefault="00B359AC" w:rsidP="00B359AC">
      <w:pPr>
        <w:pStyle w:val="Point3"/>
        <w:rPr>
          <w:noProof/>
        </w:rPr>
      </w:pPr>
      <w:r w:rsidRPr="004F01E9">
        <w:rPr>
          <w:noProof/>
        </w:rPr>
        <w:t>i)</w:t>
      </w:r>
      <w:r w:rsidRPr="004F01E9">
        <w:rPr>
          <w:noProof/>
        </w:rPr>
        <w:tab/>
        <w:t>CMV sa vypočíta pre všetky transakcie</w:t>
      </w:r>
      <w:r w:rsidR="004F01E9">
        <w:rPr>
          <w:noProof/>
        </w:rPr>
        <w:t xml:space="preserve"> v </w:t>
      </w:r>
      <w:r w:rsidRPr="004F01E9">
        <w:rPr>
          <w:noProof/>
        </w:rPr>
        <w:t>rámci súboru vzájomného započítavania bez odpočítania prípadného držaného alebo poskytnutého kolaterálu, keď sa pri výpočte CMV kladné</w:t>
      </w:r>
      <w:r w:rsidR="004F01E9">
        <w:rPr>
          <w:noProof/>
        </w:rPr>
        <w:t xml:space="preserve"> a </w:t>
      </w:r>
      <w:r w:rsidRPr="004F01E9">
        <w:rPr>
          <w:noProof/>
        </w:rPr>
        <w:t>záporné trhové hodnoty vzájomne započítajú;</w:t>
      </w:r>
    </w:p>
    <w:p w14:paraId="69492A65" w14:textId="5B1D4F53" w:rsidR="00B359AC" w:rsidRPr="004F01E9" w:rsidRDefault="00B359AC" w:rsidP="00B359AC">
      <w:pPr>
        <w:pStyle w:val="Point3"/>
        <w:rPr>
          <w:noProof/>
        </w:rPr>
      </w:pPr>
      <w:r w:rsidRPr="004F01E9">
        <w:rPr>
          <w:noProof/>
        </w:rPr>
        <w:t>ii)</w:t>
      </w:r>
      <w:r w:rsidRPr="004F01E9">
        <w:rPr>
          <w:noProof/>
        </w:rPr>
        <w:tab/>
        <w:t>NICA, VM, TH,</w:t>
      </w:r>
      <w:r w:rsidR="004F01E9">
        <w:rPr>
          <w:noProof/>
        </w:rPr>
        <w:t xml:space="preserve"> a </w:t>
      </w:r>
      <w:r w:rsidRPr="004F01E9">
        <w:rPr>
          <w:noProof/>
        </w:rPr>
        <w:t>prípadne MTA sa vypočítavajú samostatne ako súčet všetkých rovnakých vstupov uplatniteľných na každú jednotlivú dohodu</w:t>
      </w:r>
      <w:r w:rsidR="004F01E9">
        <w:rPr>
          <w:noProof/>
        </w:rPr>
        <w:t xml:space="preserve"> o </w:t>
      </w:r>
      <w:r w:rsidRPr="004F01E9">
        <w:rPr>
          <w:noProof/>
        </w:rPr>
        <w:t>dozabezpečení súboru vzájomného započítavania;</w:t>
      </w:r>
    </w:p>
    <w:p w14:paraId="36EC47F9" w14:textId="77777777" w:rsidR="00B359AC" w:rsidRPr="004F01E9" w:rsidRDefault="00B359AC" w:rsidP="00B359AC">
      <w:pPr>
        <w:pStyle w:val="Point2"/>
        <w:rPr>
          <w:noProof/>
        </w:rPr>
      </w:pPr>
      <w:r w:rsidRPr="004F01E9">
        <w:rPr>
          <w:noProof/>
        </w:rPr>
        <w:t>c)</w:t>
      </w:r>
      <w:r w:rsidRPr="004F01E9">
        <w:rPr>
          <w:noProof/>
        </w:rPr>
        <w:tab/>
        <w:t>inštitúcia vypočítava potenciálnu budúcu expozíciu súboru vzájomného započítavania podľa článku 278 uplatnením všetkých týchto aspektov:</w:t>
      </w:r>
    </w:p>
    <w:p w14:paraId="2191E8C9" w14:textId="554EAE42" w:rsidR="00B359AC" w:rsidRPr="004F01E9" w:rsidRDefault="00B359AC" w:rsidP="00B359AC">
      <w:pPr>
        <w:pStyle w:val="Point3"/>
        <w:rPr>
          <w:noProof/>
        </w:rPr>
      </w:pPr>
      <w:r w:rsidRPr="004F01E9">
        <w:rPr>
          <w:noProof/>
        </w:rPr>
        <w:t>i)</w:t>
      </w:r>
      <w:r w:rsidRPr="004F01E9">
        <w:rPr>
          <w:noProof/>
        </w:rPr>
        <w:tab/>
        <w:t>multiplikátor uvedený</w:t>
      </w:r>
      <w:r w:rsidR="004F01E9">
        <w:rPr>
          <w:noProof/>
        </w:rPr>
        <w:t xml:space="preserve"> v </w:t>
      </w:r>
      <w:r w:rsidRPr="004F01E9">
        <w:rPr>
          <w:noProof/>
        </w:rPr>
        <w:t>článku 278 ods. 1 sa</w:t>
      </w:r>
      <w:r w:rsidR="004F01E9">
        <w:rPr>
          <w:noProof/>
        </w:rPr>
        <w:t xml:space="preserve"> v </w:t>
      </w:r>
      <w:r w:rsidRPr="004F01E9">
        <w:rPr>
          <w:noProof/>
        </w:rPr>
        <w:t>prípade potreby zakladá na vstupoch CMV, NICA</w:t>
      </w:r>
      <w:r w:rsidR="004F01E9">
        <w:rPr>
          <w:noProof/>
        </w:rPr>
        <w:t xml:space="preserve"> a </w:t>
      </w:r>
      <w:r w:rsidRPr="004F01E9">
        <w:rPr>
          <w:noProof/>
        </w:rPr>
        <w:t>VM</w:t>
      </w:r>
      <w:r w:rsidR="004F01E9">
        <w:rPr>
          <w:noProof/>
        </w:rPr>
        <w:t xml:space="preserve"> v </w:t>
      </w:r>
      <w:r w:rsidRPr="004F01E9">
        <w:rPr>
          <w:noProof/>
        </w:rPr>
        <w:t>súlade</w:t>
      </w:r>
      <w:r w:rsidR="004F01E9">
        <w:rPr>
          <w:noProof/>
        </w:rPr>
        <w:t xml:space="preserve"> s </w:t>
      </w:r>
      <w:r w:rsidRPr="004F01E9">
        <w:rPr>
          <w:noProof/>
        </w:rPr>
        <w:t>písmenom b) tohto odseku;</w:t>
      </w:r>
    </w:p>
    <w:p w14:paraId="759C2BE0" w14:textId="47EDC29E" w:rsidR="00B359AC" w:rsidRPr="004F01E9" w:rsidRDefault="00B359AC" w:rsidP="00B359AC">
      <w:pPr>
        <w:pStyle w:val="Point3"/>
        <w:rPr>
          <w:noProof/>
        </w:rPr>
      </w:pPr>
      <w:r w:rsidRPr="004F01E9">
        <w:rPr>
          <w:noProof/>
        </w:rPr>
        <w:t>ii)</w:t>
      </w:r>
      <w:r w:rsidRPr="004F01E9">
        <w:rPr>
          <w:noProof/>
        </w:rPr>
        <w:tab/>
      </w:r>
      <m:oMath>
        <m:nary>
          <m:naryPr>
            <m:chr m:val="∑"/>
            <m:limLoc m:val="undOvr"/>
            <m:supHide m:val="1"/>
            <m:ctrlPr>
              <w:rPr>
                <w:rFonts w:ascii="Cambria Math" w:hAnsi="Cambria Math"/>
                <w:noProof/>
              </w:rPr>
            </m:ctrlPr>
          </m:naryPr>
          <m:sub>
            <m:r>
              <w:rPr>
                <w:rFonts w:ascii="Cambria Math" w:hAnsi="Cambria Math"/>
                <w:noProof/>
              </w:rPr>
              <m:t>a</m:t>
            </m:r>
          </m:sub>
          <m:sup/>
          <m:e>
            <m:sSup>
              <m:sSupPr>
                <m:ctrlPr>
                  <w:rPr>
                    <w:rFonts w:ascii="Cambria Math" w:hAnsi="Cambria Math"/>
                    <w:noProof/>
                  </w:rPr>
                </m:ctrlPr>
              </m:sSupPr>
              <m:e>
                <m:r>
                  <w:rPr>
                    <w:rFonts w:ascii="Cambria Math" w:hAnsi="Cambria Math"/>
                    <w:noProof/>
                  </w:rPr>
                  <m:t>AddOn</m:t>
                </m:r>
              </m:e>
              <m:sup>
                <m:r>
                  <m:rPr>
                    <m:sty m:val="p"/>
                  </m:rPr>
                  <w:rPr>
                    <w:rFonts w:ascii="Cambria Math" w:hAnsi="Cambria Math"/>
                    <w:noProof/>
                  </w:rPr>
                  <m:t>(</m:t>
                </m:r>
                <m:r>
                  <w:rPr>
                    <w:rFonts w:ascii="Cambria Math" w:hAnsi="Cambria Math"/>
                    <w:noProof/>
                  </w:rPr>
                  <m:t>a</m:t>
                </m:r>
                <m:r>
                  <m:rPr>
                    <m:sty m:val="p"/>
                  </m:rPr>
                  <w:rPr>
                    <w:rFonts w:ascii="Cambria Math" w:hAnsi="Cambria Math"/>
                    <w:noProof/>
                  </w:rPr>
                  <m:t>)</m:t>
                </m:r>
              </m:sup>
            </m:sSup>
          </m:e>
        </m:nary>
      </m:oMath>
      <w:r w:rsidRPr="004F01E9">
        <w:rPr>
          <w:noProof/>
        </w:rPr>
        <w:t xml:space="preserve"> vypočítava sa</w:t>
      </w:r>
      <w:r w:rsidR="004F01E9">
        <w:rPr>
          <w:noProof/>
        </w:rPr>
        <w:t xml:space="preserve"> v </w:t>
      </w:r>
      <w:r w:rsidRPr="004F01E9">
        <w:rPr>
          <w:noProof/>
        </w:rPr>
        <w:t>súlade</w:t>
      </w:r>
      <w:r w:rsidR="004F01E9">
        <w:rPr>
          <w:noProof/>
        </w:rPr>
        <w:t xml:space="preserve"> s </w:t>
      </w:r>
      <w:r w:rsidRPr="004F01E9">
        <w:rPr>
          <w:noProof/>
        </w:rPr>
        <w:t>článkom 278 osobitne pre každý hypotetický podsúbor vzájomného započítavania uvedený</w:t>
      </w:r>
      <w:r w:rsidR="004F01E9">
        <w:rPr>
          <w:noProof/>
        </w:rPr>
        <w:t xml:space="preserve"> v </w:t>
      </w:r>
      <w:r w:rsidRPr="004F01E9">
        <w:rPr>
          <w:noProof/>
        </w:rPr>
        <w:t>písmene a)“;</w:t>
      </w:r>
    </w:p>
    <w:p w14:paraId="034C2DCF" w14:textId="34FFCE95" w:rsidR="00B359AC" w:rsidRPr="004F01E9" w:rsidRDefault="00853C2E" w:rsidP="00853C2E">
      <w:pPr>
        <w:pStyle w:val="Point1"/>
        <w:rPr>
          <w:noProof/>
        </w:rPr>
      </w:pPr>
      <w:r w:rsidRPr="004F01E9">
        <w:rPr>
          <w:noProof/>
        </w:rPr>
        <w:t>b)</w:t>
      </w:r>
      <w:r w:rsidRPr="004F01E9">
        <w:rPr>
          <w:noProof/>
        </w:rPr>
        <w:tab/>
        <w:t>V odseku 6 sa dopĺňa tento pododsek:</w:t>
      </w:r>
    </w:p>
    <w:p w14:paraId="1C861460" w14:textId="39935E3D" w:rsidR="00B359AC" w:rsidRPr="004F01E9" w:rsidRDefault="00B359AC" w:rsidP="00B359AC">
      <w:pPr>
        <w:pStyle w:val="Text2"/>
        <w:rPr>
          <w:noProof/>
        </w:rPr>
      </w:pPr>
      <w:r w:rsidRPr="004F01E9">
        <w:rPr>
          <w:noProof/>
        </w:rPr>
        <w:t>„Odchylne od prvého pododseku inštitúcie nahrádzajú digitálnu vanilla opciu, ktorej realizačná cena sa rovná K, príslušnou collar kombináciou dvoch predaných</w:t>
      </w:r>
      <w:r w:rsidR="004F01E9">
        <w:rPr>
          <w:noProof/>
        </w:rPr>
        <w:t xml:space="preserve"> a </w:t>
      </w:r>
      <w:r w:rsidRPr="004F01E9">
        <w:rPr>
          <w:noProof/>
        </w:rPr>
        <w:t>kúpených kúpnych alebo predajných vanilla opcií, ktoré spĺňajú tieto požiadavky:</w:t>
      </w:r>
    </w:p>
    <w:p w14:paraId="095D888A" w14:textId="6A8F59ED" w:rsidR="00806B81" w:rsidRPr="004F01E9" w:rsidRDefault="00B359AC" w:rsidP="00B359AC">
      <w:pPr>
        <w:pStyle w:val="Point2"/>
        <w:rPr>
          <w:noProof/>
        </w:rPr>
      </w:pPr>
      <w:r w:rsidRPr="004F01E9">
        <w:rPr>
          <w:noProof/>
        </w:rPr>
        <w:t>a)</w:t>
      </w:r>
      <w:r w:rsidRPr="004F01E9">
        <w:rPr>
          <w:noProof/>
        </w:rPr>
        <w:tab/>
        <w:t>obe opcie</w:t>
      </w:r>
      <w:r w:rsidR="004F01E9">
        <w:rPr>
          <w:noProof/>
        </w:rPr>
        <w:t xml:space="preserve"> s </w:t>
      </w:r>
      <w:r w:rsidRPr="004F01E9">
        <w:rPr>
          <w:noProof/>
        </w:rPr>
        <w:t>collar kombináciou musia mať:</w:t>
      </w:r>
    </w:p>
    <w:p w14:paraId="491F21C6" w14:textId="59AABC3B" w:rsidR="00B359AC" w:rsidRPr="004F01E9" w:rsidRDefault="00B359AC" w:rsidP="00B359AC">
      <w:pPr>
        <w:pStyle w:val="Point3"/>
        <w:rPr>
          <w:noProof/>
        </w:rPr>
      </w:pPr>
      <w:r w:rsidRPr="004F01E9">
        <w:rPr>
          <w:noProof/>
        </w:rPr>
        <w:t>i)</w:t>
      </w:r>
      <w:r w:rsidRPr="004F01E9">
        <w:rPr>
          <w:noProof/>
        </w:rPr>
        <w:tab/>
        <w:t>rovnaký dátum splatnosti</w:t>
      </w:r>
      <w:r w:rsidR="004F01E9">
        <w:rPr>
          <w:noProof/>
        </w:rPr>
        <w:t xml:space="preserve"> a </w:t>
      </w:r>
      <w:r w:rsidRPr="004F01E9">
        <w:rPr>
          <w:noProof/>
        </w:rPr>
        <w:t>rovnakú spotovú alebo forwardovú cenu podkladového nástroja ako digitálna vanilla opcia;</w:t>
      </w:r>
      <w:r w:rsidRPr="004F01E9">
        <w:rPr>
          <w:noProof/>
        </w:rPr>
        <w:tab/>
      </w:r>
    </w:p>
    <w:p w14:paraId="4A5F7B93" w14:textId="537432F8" w:rsidR="00B359AC" w:rsidRPr="004F01E9" w:rsidRDefault="00B359AC" w:rsidP="00B359AC">
      <w:pPr>
        <w:pStyle w:val="Point3"/>
        <w:rPr>
          <w:noProof/>
        </w:rPr>
      </w:pPr>
      <w:r w:rsidRPr="004F01E9">
        <w:rPr>
          <w:noProof/>
        </w:rPr>
        <w:t>ii)</w:t>
      </w:r>
      <w:r w:rsidRPr="004F01E9">
        <w:rPr>
          <w:noProof/>
        </w:rPr>
        <w:tab/>
        <w:t>realizačné ceny rovnajúce sa 0,95</w:t>
      </w:r>
      <w:r w:rsidR="004F01E9">
        <w:rPr>
          <w:noProof/>
        </w:rPr>
        <w:t xml:space="preserve"> K </w:t>
      </w:r>
      <w:r w:rsidRPr="004F01E9">
        <w:rPr>
          <w:noProof/>
        </w:rPr>
        <w:t>resp. 1,05 K;</w:t>
      </w:r>
    </w:p>
    <w:p w14:paraId="4C149DA7" w14:textId="2506FEEB" w:rsidR="00B359AC" w:rsidRPr="004F01E9" w:rsidRDefault="00B359AC" w:rsidP="00B359AC">
      <w:pPr>
        <w:pStyle w:val="Point2"/>
        <w:rPr>
          <w:noProof/>
        </w:rPr>
      </w:pPr>
      <w:r w:rsidRPr="004F01E9">
        <w:rPr>
          <w:noProof/>
        </w:rPr>
        <w:t>b)</w:t>
      </w:r>
      <w:r w:rsidRPr="004F01E9">
        <w:rPr>
          <w:noProof/>
        </w:rPr>
        <w:tab/>
        <w:t>collar kombinácia presne kopíruje vyplatenie digitálnej vanilla opcie mimo rozpätia medzi dvomi realizačnými cenami uvedenými</w:t>
      </w:r>
      <w:r w:rsidR="004F01E9">
        <w:rPr>
          <w:noProof/>
        </w:rPr>
        <w:t xml:space="preserve"> v </w:t>
      </w:r>
      <w:r w:rsidRPr="004F01E9">
        <w:rPr>
          <w:noProof/>
        </w:rPr>
        <w:t>písmene a).</w:t>
      </w:r>
    </w:p>
    <w:p w14:paraId="4DF0F50C" w14:textId="58E42904" w:rsidR="00B359AC" w:rsidRPr="004F01E9" w:rsidRDefault="00B359AC" w:rsidP="00B359AC">
      <w:pPr>
        <w:pStyle w:val="Text2"/>
        <w:rPr>
          <w:noProof/>
        </w:rPr>
      </w:pPr>
      <w:r w:rsidRPr="004F01E9">
        <w:rPr>
          <w:noProof/>
        </w:rPr>
        <w:t>Riziková pozícia dvoch opcií</w:t>
      </w:r>
      <w:r w:rsidR="004F01E9">
        <w:rPr>
          <w:noProof/>
        </w:rPr>
        <w:t xml:space="preserve"> s </w:t>
      </w:r>
      <w:r w:rsidRPr="004F01E9">
        <w:rPr>
          <w:noProof/>
        </w:rPr>
        <w:t>collar kombináciou sa vypočítava osobitne</w:t>
      </w:r>
      <w:r w:rsidR="004F01E9">
        <w:rPr>
          <w:noProof/>
        </w:rPr>
        <w:t xml:space="preserve"> v </w:t>
      </w:r>
      <w:r w:rsidRPr="004F01E9">
        <w:rPr>
          <w:noProof/>
        </w:rPr>
        <w:t>súlade</w:t>
      </w:r>
      <w:r w:rsidR="004F01E9">
        <w:rPr>
          <w:noProof/>
        </w:rPr>
        <w:t xml:space="preserve"> s </w:t>
      </w:r>
      <w:r w:rsidRPr="004F01E9">
        <w:rPr>
          <w:noProof/>
        </w:rPr>
        <w:t>článkom 279.“</w:t>
      </w:r>
    </w:p>
    <w:p w14:paraId="468D5FEC" w14:textId="47D69454" w:rsidR="00806B81" w:rsidRPr="004F01E9" w:rsidRDefault="00B16452" w:rsidP="00B16452">
      <w:pPr>
        <w:pStyle w:val="Point0"/>
        <w:rPr>
          <w:noProof/>
        </w:rPr>
      </w:pPr>
      <w:r w:rsidRPr="00B16452">
        <w:rPr>
          <w:noProof/>
        </w:rPr>
        <w:t>131</w:t>
      </w:r>
      <w:r>
        <w:rPr>
          <w:noProof/>
        </w:rPr>
        <w:t>.</w:t>
      </w:r>
      <w:r w:rsidRPr="00B16452">
        <w:rPr>
          <w:noProof/>
        </w:rPr>
        <w:tab/>
      </w:r>
      <w:r w:rsidR="00426FD2" w:rsidRPr="004F01E9">
        <w:rPr>
          <w:noProof/>
        </w:rPr>
        <w:t>V tretej časti sa hlava III nahrádza takto:</w:t>
      </w:r>
    </w:p>
    <w:p w14:paraId="7CBA911A" w14:textId="1E4420B3" w:rsidR="00426FD2" w:rsidRPr="004F01E9" w:rsidRDefault="00426FD2" w:rsidP="00426FD2">
      <w:pPr>
        <w:pStyle w:val="PartTitle"/>
        <w:pageBreakBefore w:val="0"/>
        <w:rPr>
          <w:noProof/>
        </w:rPr>
      </w:pPr>
      <w:r w:rsidRPr="004F01E9">
        <w:rPr>
          <w:noProof/>
        </w:rPr>
        <w:t>„HLAVA III</w:t>
      </w:r>
      <w:r w:rsidR="004F01E9" w:rsidRPr="004F01E9">
        <w:rPr>
          <w:noProof/>
        </w:rPr>
        <w:t xml:space="preserve"> </w:t>
      </w:r>
      <w:r w:rsidRPr="004F01E9">
        <w:rPr>
          <w:noProof/>
        </w:rPr>
        <w:br/>
        <w:t>POŽIADAVKY NA VLASTNÉ ZDROJE PRE OPERAČNÉ RIZIKO</w:t>
      </w:r>
    </w:p>
    <w:p w14:paraId="1C5D9A5E" w14:textId="77777777" w:rsidR="00426FD2" w:rsidRPr="004F01E9" w:rsidRDefault="00426FD2" w:rsidP="00426FD2">
      <w:pPr>
        <w:pStyle w:val="Titrearticle"/>
        <w:rPr>
          <w:noProof/>
        </w:rPr>
      </w:pPr>
      <w:r w:rsidRPr="004F01E9">
        <w:rPr>
          <w:noProof/>
        </w:rPr>
        <w:t xml:space="preserve">Článok 311a </w:t>
      </w:r>
      <w:r w:rsidRPr="004F01E9">
        <w:rPr>
          <w:noProof/>
        </w:rPr>
        <w:br/>
      </w:r>
      <w:r w:rsidRPr="004F01E9">
        <w:rPr>
          <w:b/>
          <w:i w:val="0"/>
          <w:noProof/>
        </w:rPr>
        <w:t>Vymedzenie pojmov</w:t>
      </w:r>
    </w:p>
    <w:p w14:paraId="4DF7CECE" w14:textId="77777777" w:rsidR="00426FD2" w:rsidRPr="004F01E9" w:rsidRDefault="00426FD2" w:rsidP="00426FD2">
      <w:pPr>
        <w:pStyle w:val="Text1"/>
        <w:rPr>
          <w:noProof/>
        </w:rPr>
      </w:pPr>
      <w:r w:rsidRPr="004F01E9">
        <w:rPr>
          <w:noProof/>
        </w:rPr>
        <w:t>Na účely tejto hlavy sa uplatňuje toto vymedzenie pojmov:</w:t>
      </w:r>
    </w:p>
    <w:p w14:paraId="36C599B1" w14:textId="6DB68E6D" w:rsidR="00426FD2" w:rsidRPr="004F01E9" w:rsidRDefault="00853C2E" w:rsidP="00853C2E">
      <w:pPr>
        <w:pStyle w:val="Point1"/>
        <w:rPr>
          <w:noProof/>
        </w:rPr>
      </w:pPr>
      <w:r w:rsidRPr="004F01E9">
        <w:rPr>
          <w:noProof/>
        </w:rPr>
        <w:t>a)</w:t>
      </w:r>
      <w:r w:rsidRPr="004F01E9">
        <w:rPr>
          <w:noProof/>
        </w:rPr>
        <w:tab/>
        <w:t>„udalosť operačného rizika“ je každá udalosť súvisiaca</w:t>
      </w:r>
      <w:r w:rsidR="004F01E9">
        <w:rPr>
          <w:noProof/>
        </w:rPr>
        <w:t xml:space="preserve"> s </w:t>
      </w:r>
      <w:r w:rsidRPr="004F01E9">
        <w:rPr>
          <w:noProof/>
        </w:rPr>
        <w:t>operačným rizikom, ktorá vytvára stratu alebo viaceré straty počas obdobia jedného alebo viacerých finančných rokov;</w:t>
      </w:r>
    </w:p>
    <w:p w14:paraId="137E6784" w14:textId="2838FBB6" w:rsidR="00806B81" w:rsidRPr="004F01E9" w:rsidRDefault="00853C2E" w:rsidP="00853C2E">
      <w:pPr>
        <w:pStyle w:val="Point1"/>
        <w:rPr>
          <w:noProof/>
        </w:rPr>
      </w:pPr>
      <w:r w:rsidRPr="004F01E9">
        <w:rPr>
          <w:noProof/>
        </w:rPr>
        <w:t>b)</w:t>
      </w:r>
      <w:r w:rsidRPr="004F01E9">
        <w:rPr>
          <w:noProof/>
        </w:rPr>
        <w:tab/>
        <w:t>„súhrnná hrubá výška strát“ je súčet všetkých hrubých strát súvisiacich</w:t>
      </w:r>
      <w:r w:rsidR="004F01E9">
        <w:rPr>
          <w:noProof/>
        </w:rPr>
        <w:t xml:space="preserve"> s </w:t>
      </w:r>
      <w:r w:rsidRPr="004F01E9">
        <w:rPr>
          <w:noProof/>
        </w:rPr>
        <w:t>tou istou udalosťou operačného rizika počas jedného alebo viacerých finančných rokov;</w:t>
      </w:r>
    </w:p>
    <w:p w14:paraId="57C919A2" w14:textId="585C7F52" w:rsidR="00426FD2" w:rsidRPr="004F01E9" w:rsidRDefault="00853C2E" w:rsidP="00853C2E">
      <w:pPr>
        <w:pStyle w:val="Point1"/>
        <w:rPr>
          <w:noProof/>
        </w:rPr>
      </w:pPr>
      <w:r w:rsidRPr="004F01E9">
        <w:rPr>
          <w:noProof/>
        </w:rPr>
        <w:t>c)</w:t>
      </w:r>
      <w:r w:rsidRPr="004F01E9">
        <w:rPr>
          <w:noProof/>
        </w:rPr>
        <w:tab/>
        <w:t>„súhrnná čistá výška strát“ je súčet všetkých čistých strát súvisiacich</w:t>
      </w:r>
      <w:r w:rsidR="004F01E9">
        <w:rPr>
          <w:noProof/>
        </w:rPr>
        <w:t xml:space="preserve"> s </w:t>
      </w:r>
      <w:r w:rsidRPr="004F01E9">
        <w:rPr>
          <w:noProof/>
        </w:rPr>
        <w:t>tou istou udalosťou operačného rizika počas jedného alebo viacerých finančných rokov.</w:t>
      </w:r>
    </w:p>
    <w:p w14:paraId="58E93AC9" w14:textId="0974587E" w:rsidR="00426FD2" w:rsidRPr="004F01E9" w:rsidRDefault="00426FD2" w:rsidP="00426FD2">
      <w:pPr>
        <w:pStyle w:val="ChapterTitle"/>
        <w:spacing w:before="360"/>
        <w:rPr>
          <w:noProof/>
        </w:rPr>
      </w:pPr>
      <w:r w:rsidRPr="004F01E9">
        <w:rPr>
          <w:noProof/>
        </w:rPr>
        <w:t>KAPITOLA 1</w:t>
      </w:r>
      <w:r w:rsidR="004F01E9" w:rsidRPr="004F01E9">
        <w:rPr>
          <w:noProof/>
        </w:rPr>
        <w:t xml:space="preserve"> </w:t>
      </w:r>
      <w:r w:rsidRPr="004F01E9">
        <w:rPr>
          <w:noProof/>
        </w:rPr>
        <w:br/>
        <w:t>Výpočet požiadaviek na vlastné zdroje pre operačné riziko</w:t>
      </w:r>
    </w:p>
    <w:p w14:paraId="0681102F" w14:textId="77777777" w:rsidR="00426FD2" w:rsidRPr="004F01E9" w:rsidRDefault="00426FD2" w:rsidP="00426FD2">
      <w:pPr>
        <w:pStyle w:val="Titrearticle"/>
        <w:rPr>
          <w:noProof/>
        </w:rPr>
      </w:pPr>
      <w:r w:rsidRPr="004F01E9">
        <w:rPr>
          <w:noProof/>
        </w:rPr>
        <w:t xml:space="preserve">Článok 312 </w:t>
      </w:r>
      <w:r w:rsidRPr="004F01E9">
        <w:rPr>
          <w:noProof/>
        </w:rPr>
        <w:br/>
      </w:r>
      <w:r w:rsidRPr="004F01E9">
        <w:rPr>
          <w:b/>
          <w:i w:val="0"/>
          <w:noProof/>
        </w:rPr>
        <w:t>Požiadavka na vlastné zdroje pre špecifické riziko</w:t>
      </w:r>
    </w:p>
    <w:p w14:paraId="2056826A" w14:textId="45502612" w:rsidR="00426FD2" w:rsidRPr="004F01E9" w:rsidRDefault="00426FD2" w:rsidP="00426FD2">
      <w:pPr>
        <w:pStyle w:val="Text1"/>
        <w:rPr>
          <w:noProof/>
          <w:szCs w:val="24"/>
        </w:rPr>
      </w:pPr>
      <w:r w:rsidRPr="004F01E9">
        <w:rPr>
          <w:noProof/>
        </w:rPr>
        <w:t>Požiadavka na vlastné zdroje pre operačné riziko je zložkou ukazovateľa obchodovania vypočítanou</w:t>
      </w:r>
      <w:r w:rsidR="004F01E9">
        <w:rPr>
          <w:noProof/>
        </w:rPr>
        <w:t xml:space="preserve"> v </w:t>
      </w:r>
      <w:r w:rsidRPr="004F01E9">
        <w:rPr>
          <w:noProof/>
        </w:rPr>
        <w:t>súlade</w:t>
      </w:r>
      <w:r w:rsidR="004F01E9">
        <w:rPr>
          <w:noProof/>
        </w:rPr>
        <w:t xml:space="preserve"> s </w:t>
      </w:r>
      <w:r w:rsidRPr="004F01E9">
        <w:rPr>
          <w:noProof/>
        </w:rPr>
        <w:t>článkom 313.</w:t>
      </w:r>
    </w:p>
    <w:p w14:paraId="31D5DDD9" w14:textId="77777777" w:rsidR="00426FD2" w:rsidRPr="004F01E9" w:rsidRDefault="00426FD2" w:rsidP="00426FD2">
      <w:pPr>
        <w:pStyle w:val="Titrearticle"/>
        <w:rPr>
          <w:noProof/>
        </w:rPr>
      </w:pPr>
      <w:r w:rsidRPr="004F01E9">
        <w:rPr>
          <w:noProof/>
        </w:rPr>
        <w:t xml:space="preserve">Článok 313 </w:t>
      </w:r>
      <w:r w:rsidRPr="004F01E9">
        <w:rPr>
          <w:noProof/>
        </w:rPr>
        <w:br/>
      </w:r>
      <w:r w:rsidRPr="004F01E9">
        <w:rPr>
          <w:b/>
          <w:i w:val="0"/>
          <w:noProof/>
        </w:rPr>
        <w:t>Zložka ukazovateľa obchodovania</w:t>
      </w:r>
    </w:p>
    <w:p w14:paraId="74AC904A" w14:textId="77777777" w:rsidR="00426FD2" w:rsidRPr="004F01E9" w:rsidRDefault="00426FD2" w:rsidP="00426FD2">
      <w:pPr>
        <w:pStyle w:val="Text1"/>
        <w:rPr>
          <w:noProof/>
          <w:szCs w:val="24"/>
        </w:rPr>
      </w:pPr>
      <w:r w:rsidRPr="004F01E9">
        <w:rPr>
          <w:noProof/>
        </w:rPr>
        <w:t>Inštitúcie vypočítavajú zložku ukazovateľa obchodovania podľa tohto vzorca:</w:t>
      </w:r>
    </w:p>
    <w:p w14:paraId="61BD7397" w14:textId="0D22DC2B" w:rsidR="00853C2E" w:rsidRPr="004F01E9" w:rsidRDefault="00853C2E" w:rsidP="00853C2E">
      <w:pPr>
        <w:pStyle w:val="Text1"/>
        <w:rPr>
          <w:noProof/>
        </w:rPr>
      </w:pPr>
      <m:oMathPara>
        <m:oMath>
          <m:r>
            <w:rPr>
              <w:rFonts w:ascii="Cambria Math" w:hAnsi="Cambria Math"/>
              <w:noProof/>
            </w:rPr>
            <m:t>BIC=</m:t>
          </m:r>
          <m:d>
            <m:dPr>
              <m:begChr m:val="{"/>
              <m:endChr m:val=""/>
              <m:ctrlPr>
                <w:rPr>
                  <w:rFonts w:ascii="Cambria Math" w:hAnsi="Cambria Math"/>
                  <w:i/>
                  <w:noProof/>
                </w:rPr>
              </m:ctrlPr>
            </m:dPr>
            <m:e>
              <m:m>
                <m:mPr>
                  <m:mcs>
                    <m:mc>
                      <m:mcPr>
                        <m:count m:val="2"/>
                        <m:mcJc m:val="center"/>
                      </m:mcPr>
                    </m:mc>
                  </m:mcs>
                  <m:ctrlPr>
                    <w:rPr>
                      <w:rFonts w:ascii="Cambria Math" w:hAnsi="Cambria Math"/>
                      <w:i/>
                      <w:noProof/>
                    </w:rPr>
                  </m:ctrlPr>
                </m:mPr>
                <m:mr>
                  <m:e>
                    <m:r>
                      <m:rPr>
                        <m:sty m:val="p"/>
                      </m:rPr>
                      <w:rPr>
                        <w:rFonts w:ascii="Cambria Math" w:hAnsi="Cambria Math"/>
                        <w:noProof/>
                      </w:rPr>
                      <m:t>0.12∙BI,</m:t>
                    </m:r>
                  </m:e>
                  <m:e>
                    <m:r>
                      <m:rPr>
                        <m:sty m:val="p"/>
                      </m:rPr>
                      <w:rPr>
                        <w:rFonts w:ascii="Cambria Math" w:hAnsi="Cambria Math"/>
                        <w:noProof/>
                      </w:rPr>
                      <m:t xml:space="preserve"> where BI≤1</m:t>
                    </m:r>
                  </m:e>
                </m:mr>
                <m:mr>
                  <m:e>
                    <m:r>
                      <m:rPr>
                        <m:sty m:val="p"/>
                      </m:rPr>
                      <w:rPr>
                        <w:rFonts w:ascii="Cambria Math" w:hAnsi="Cambria Math"/>
                        <w:noProof/>
                      </w:rPr>
                      <m:t>0.12+0.15∙</m:t>
                    </m:r>
                    <m:d>
                      <m:dPr>
                        <m:ctrlPr>
                          <w:rPr>
                            <w:rFonts w:ascii="Cambria Math" w:hAnsi="Cambria Math"/>
                            <w:noProof/>
                          </w:rPr>
                        </m:ctrlPr>
                      </m:dPr>
                      <m:e>
                        <m:r>
                          <m:rPr>
                            <m:sty m:val="p"/>
                          </m:rPr>
                          <w:rPr>
                            <w:rFonts w:ascii="Cambria Math" w:hAnsi="Cambria Math"/>
                            <w:noProof/>
                          </w:rPr>
                          <m:t>BI-1</m:t>
                        </m:r>
                      </m:e>
                    </m:d>
                    <m:r>
                      <w:rPr>
                        <w:rFonts w:ascii="Cambria Math" w:hAnsi="Cambria Math"/>
                        <w:noProof/>
                      </w:rPr>
                      <m:t>,</m:t>
                    </m:r>
                  </m:e>
                  <m:e>
                    <m:r>
                      <m:rPr>
                        <m:sty m:val="p"/>
                      </m:rPr>
                      <w:rPr>
                        <w:rFonts w:ascii="Cambria Math" w:hAnsi="Cambria Math"/>
                        <w:noProof/>
                      </w:rPr>
                      <m:t>where 1&lt;BI≤30</m:t>
                    </m:r>
                  </m:e>
                </m:mr>
                <m:mr>
                  <m:e>
                    <m:r>
                      <m:rPr>
                        <m:sty m:val="p"/>
                      </m:rPr>
                      <w:rPr>
                        <w:rFonts w:ascii="Cambria Math" w:eastAsia="Cambria Math" w:hAnsi="Cambria Math"/>
                        <w:noProof/>
                      </w:rPr>
                      <m:t>4.47+0.18∙</m:t>
                    </m:r>
                    <m:d>
                      <m:dPr>
                        <m:ctrlPr>
                          <w:rPr>
                            <w:rFonts w:ascii="Cambria Math" w:eastAsia="Cambria Math" w:hAnsi="Cambria Math"/>
                            <w:noProof/>
                          </w:rPr>
                        </m:ctrlPr>
                      </m:dPr>
                      <m:e>
                        <m:r>
                          <m:rPr>
                            <m:sty m:val="p"/>
                          </m:rPr>
                          <w:rPr>
                            <w:rFonts w:ascii="Cambria Math" w:eastAsia="Cambria Math" w:hAnsi="Cambria Math"/>
                            <w:noProof/>
                          </w:rPr>
                          <m:t>BI-30</m:t>
                        </m:r>
                      </m:e>
                    </m:d>
                    <m:r>
                      <w:rPr>
                        <w:rFonts w:ascii="Cambria Math" w:eastAsia="Cambria Math" w:hAnsi="Cambria Math"/>
                        <w:noProof/>
                      </w:rPr>
                      <m:t>,</m:t>
                    </m:r>
                  </m:e>
                  <m:e>
                    <m:r>
                      <m:rPr>
                        <m:sty m:val="p"/>
                      </m:rPr>
                      <w:rPr>
                        <w:rFonts w:ascii="Cambria Math" w:eastAsia="Cambria Math" w:hAnsi="Cambria Math"/>
                        <w:noProof/>
                      </w:rPr>
                      <m:t>where BI&gt;30</m:t>
                    </m:r>
                  </m:e>
                </m:mr>
              </m:m>
            </m:e>
          </m:d>
        </m:oMath>
      </m:oMathPara>
    </w:p>
    <w:p w14:paraId="65744385" w14:textId="77777777" w:rsidR="004F01E9" w:rsidRDefault="00426FD2" w:rsidP="00426FD2">
      <w:pPr>
        <w:pStyle w:val="Text1"/>
        <w:rPr>
          <w:noProof/>
        </w:rPr>
      </w:pPr>
      <w:r w:rsidRPr="004F01E9">
        <w:rPr>
          <w:noProof/>
        </w:rPr>
        <w:t>kde</w:t>
      </w:r>
      <w:r w:rsidR="004F01E9">
        <w:rPr>
          <w:noProof/>
        </w:rPr>
        <w:t>:</w:t>
      </w:r>
    </w:p>
    <w:p w14:paraId="3E52E270" w14:textId="4F5AB23A" w:rsidR="00426FD2" w:rsidRPr="004F01E9" w:rsidRDefault="00426FD2" w:rsidP="00426FD2">
      <w:pPr>
        <w:pStyle w:val="Text1"/>
        <w:rPr>
          <w:noProof/>
          <w:szCs w:val="24"/>
        </w:rPr>
      </w:pPr>
      <w:r w:rsidRPr="004F01E9">
        <w:rPr>
          <w:noProof/>
        </w:rPr>
        <w:t>BIC</w:t>
      </w:r>
      <w:r w:rsidRPr="004F01E9">
        <w:rPr>
          <w:noProof/>
        </w:rPr>
        <w:tab/>
        <w:t>=</w:t>
      </w:r>
      <w:r w:rsidRPr="004F01E9">
        <w:rPr>
          <w:noProof/>
        </w:rPr>
        <w:tab/>
        <w:t>zložka ukazovateľa obchodovania;</w:t>
      </w:r>
    </w:p>
    <w:p w14:paraId="0CC5BEED" w14:textId="638328AC" w:rsidR="00426FD2" w:rsidRPr="004F01E9" w:rsidRDefault="00426FD2" w:rsidP="00426FD2">
      <w:pPr>
        <w:pStyle w:val="Text1"/>
        <w:rPr>
          <w:noProof/>
          <w:szCs w:val="24"/>
        </w:rPr>
      </w:pPr>
      <w:r w:rsidRPr="004F01E9">
        <w:rPr>
          <w:noProof/>
        </w:rPr>
        <w:t>BI</w:t>
      </w:r>
      <w:r w:rsidRPr="004F01E9">
        <w:rPr>
          <w:noProof/>
        </w:rPr>
        <w:tab/>
        <w:t>=</w:t>
      </w:r>
      <w:r w:rsidRPr="004F01E9">
        <w:rPr>
          <w:noProof/>
        </w:rPr>
        <w:tab/>
        <w:t>ukazovateľ obchodovania vyjadrený</w:t>
      </w:r>
      <w:r w:rsidR="004F01E9">
        <w:rPr>
          <w:noProof/>
        </w:rPr>
        <w:t xml:space="preserve"> v </w:t>
      </w:r>
      <w:r w:rsidRPr="004F01E9">
        <w:rPr>
          <w:noProof/>
        </w:rPr>
        <w:t>miliardách EUR vypočítaný</w:t>
      </w:r>
      <w:r w:rsidR="004F01E9">
        <w:rPr>
          <w:noProof/>
        </w:rPr>
        <w:t xml:space="preserve"> v </w:t>
      </w:r>
      <w:r w:rsidRPr="004F01E9">
        <w:rPr>
          <w:noProof/>
        </w:rPr>
        <w:t>súlade</w:t>
      </w:r>
      <w:r w:rsidR="004F01E9">
        <w:rPr>
          <w:noProof/>
        </w:rPr>
        <w:t xml:space="preserve"> s </w:t>
      </w:r>
      <w:r w:rsidRPr="004F01E9">
        <w:rPr>
          <w:noProof/>
        </w:rPr>
        <w:t>článkom 314.</w:t>
      </w:r>
    </w:p>
    <w:p w14:paraId="193A5494" w14:textId="77777777" w:rsidR="00426FD2" w:rsidRPr="004F01E9" w:rsidRDefault="00426FD2" w:rsidP="00426FD2">
      <w:pPr>
        <w:pStyle w:val="Titrearticle"/>
        <w:rPr>
          <w:noProof/>
        </w:rPr>
      </w:pPr>
      <w:r w:rsidRPr="004F01E9">
        <w:rPr>
          <w:noProof/>
        </w:rPr>
        <w:t xml:space="preserve">Článok 314 </w:t>
      </w:r>
      <w:r w:rsidRPr="004F01E9">
        <w:rPr>
          <w:noProof/>
        </w:rPr>
        <w:br/>
      </w:r>
      <w:r w:rsidRPr="004F01E9">
        <w:rPr>
          <w:b/>
          <w:i w:val="0"/>
          <w:noProof/>
        </w:rPr>
        <w:t>Ukazovateľ obchodovania</w:t>
      </w:r>
    </w:p>
    <w:p w14:paraId="6DCB7A5E" w14:textId="77777777" w:rsidR="00426FD2" w:rsidRPr="004F01E9" w:rsidRDefault="00426FD2" w:rsidP="00426FD2">
      <w:pPr>
        <w:pStyle w:val="Text1"/>
        <w:rPr>
          <w:noProof/>
        </w:rPr>
      </w:pPr>
      <w:r w:rsidRPr="004F01E9">
        <w:rPr>
          <w:noProof/>
        </w:rPr>
        <w:t>1. Inštitúcie vypočítavajú svoj ukazovateľ obchodovania podľa tohto vzorca:</w:t>
      </w:r>
    </w:p>
    <w:p w14:paraId="322268BA" w14:textId="77777777" w:rsidR="00426FD2" w:rsidRPr="004F01E9" w:rsidRDefault="00426FD2" w:rsidP="00426FD2">
      <w:pPr>
        <w:pStyle w:val="Text1"/>
        <w:rPr>
          <w:noProof/>
        </w:rPr>
      </w:pPr>
      <m:oMathPara>
        <m:oMath>
          <m:r>
            <w:rPr>
              <w:rFonts w:ascii="Cambria Math" w:hAnsi="Cambria Math"/>
              <w:noProof/>
            </w:rPr>
            <m:t>BI</m:t>
          </m:r>
          <m:r>
            <m:rPr>
              <m:sty m:val="p"/>
            </m:rPr>
            <w:rPr>
              <w:rFonts w:ascii="Cambria Math" w:hAnsi="Cambria Math"/>
              <w:noProof/>
            </w:rPr>
            <m:t>=</m:t>
          </m:r>
          <m:r>
            <w:rPr>
              <w:rFonts w:ascii="Cambria Math" w:hAnsi="Cambria Math"/>
              <w:noProof/>
            </w:rPr>
            <m:t>ILDC</m:t>
          </m:r>
          <m:r>
            <m:rPr>
              <m:sty m:val="p"/>
            </m:rPr>
            <w:rPr>
              <w:rFonts w:ascii="Cambria Math" w:hAnsi="Cambria Math"/>
              <w:noProof/>
            </w:rPr>
            <m:t>+</m:t>
          </m:r>
          <m:r>
            <w:rPr>
              <w:rFonts w:ascii="Cambria Math" w:hAnsi="Cambria Math"/>
              <w:noProof/>
            </w:rPr>
            <m:t>SC</m:t>
          </m:r>
          <m:r>
            <m:rPr>
              <m:sty m:val="p"/>
            </m:rPr>
            <w:rPr>
              <w:rFonts w:ascii="Cambria Math" w:hAnsi="Cambria Math"/>
              <w:noProof/>
            </w:rPr>
            <m:t>+</m:t>
          </m:r>
          <m:r>
            <w:rPr>
              <w:rFonts w:ascii="Cambria Math" w:hAnsi="Cambria Math"/>
              <w:noProof/>
            </w:rPr>
            <m:t>FC</m:t>
          </m:r>
        </m:oMath>
      </m:oMathPara>
    </w:p>
    <w:p w14:paraId="6D1875B8" w14:textId="77777777" w:rsidR="00426FD2" w:rsidRPr="004F01E9" w:rsidRDefault="00426FD2" w:rsidP="00426FD2">
      <w:pPr>
        <w:pStyle w:val="Text1"/>
        <w:rPr>
          <w:noProof/>
        </w:rPr>
      </w:pPr>
      <w:r w:rsidRPr="004F01E9">
        <w:rPr>
          <w:noProof/>
        </w:rPr>
        <w:t>kde:</w:t>
      </w:r>
    </w:p>
    <w:p w14:paraId="5E68FEFD" w14:textId="05C22E7F" w:rsidR="00426FD2" w:rsidRPr="004F01E9" w:rsidRDefault="00426FD2" w:rsidP="00426FD2">
      <w:pPr>
        <w:pStyle w:val="Text1"/>
        <w:rPr>
          <w:noProof/>
        </w:rPr>
      </w:pPr>
      <w:r w:rsidRPr="004F01E9">
        <w:rPr>
          <w:noProof/>
        </w:rPr>
        <w:t>BI</w:t>
      </w:r>
      <w:r w:rsidRPr="004F01E9">
        <w:rPr>
          <w:noProof/>
        </w:rPr>
        <w:tab/>
        <w:t>=</w:t>
      </w:r>
      <w:r w:rsidRPr="004F01E9">
        <w:rPr>
          <w:noProof/>
        </w:rPr>
        <w:tab/>
        <w:t>ukazovateľ obchodovania vyjadrený</w:t>
      </w:r>
      <w:r w:rsidR="004F01E9">
        <w:rPr>
          <w:noProof/>
        </w:rPr>
        <w:t xml:space="preserve"> v </w:t>
      </w:r>
      <w:r w:rsidRPr="004F01E9">
        <w:rPr>
          <w:noProof/>
        </w:rPr>
        <w:t>miliardách EUR;</w:t>
      </w:r>
    </w:p>
    <w:p w14:paraId="7D0B2685" w14:textId="122D5D2E" w:rsidR="00426FD2" w:rsidRPr="004F01E9" w:rsidRDefault="00426FD2" w:rsidP="00426FD2">
      <w:pPr>
        <w:pStyle w:val="Text1"/>
        <w:rPr>
          <w:noProof/>
        </w:rPr>
      </w:pPr>
      <w:r w:rsidRPr="004F01E9">
        <w:rPr>
          <w:noProof/>
        </w:rPr>
        <w:t>ILDC</w:t>
      </w:r>
      <w:r w:rsidRPr="004F01E9">
        <w:rPr>
          <w:noProof/>
        </w:rPr>
        <w:tab/>
        <w:t>=</w:t>
      </w:r>
      <w:r w:rsidRPr="004F01E9">
        <w:rPr>
          <w:noProof/>
        </w:rPr>
        <w:tab/>
        <w:t>zložka úrokov, lízingov</w:t>
      </w:r>
      <w:r w:rsidR="004F01E9">
        <w:rPr>
          <w:noProof/>
        </w:rPr>
        <w:t xml:space="preserve"> a </w:t>
      </w:r>
      <w:r w:rsidRPr="004F01E9">
        <w:rPr>
          <w:noProof/>
        </w:rPr>
        <w:t>dividend vyjadrená</w:t>
      </w:r>
      <w:r w:rsidR="004F01E9">
        <w:rPr>
          <w:noProof/>
        </w:rPr>
        <w:t xml:space="preserve"> v </w:t>
      </w:r>
      <w:r w:rsidRPr="004F01E9">
        <w:rPr>
          <w:noProof/>
        </w:rPr>
        <w:t>miliardách EUR</w:t>
      </w:r>
      <w:r w:rsidR="004F01E9">
        <w:rPr>
          <w:noProof/>
        </w:rPr>
        <w:t xml:space="preserve"> a </w:t>
      </w:r>
      <w:r w:rsidRPr="004F01E9">
        <w:rPr>
          <w:noProof/>
        </w:rPr>
        <w:t>vypočítaná</w:t>
      </w:r>
      <w:r w:rsidR="004F01E9">
        <w:rPr>
          <w:noProof/>
        </w:rPr>
        <w:t xml:space="preserve"> v </w:t>
      </w:r>
      <w:r w:rsidRPr="004F01E9">
        <w:rPr>
          <w:noProof/>
        </w:rPr>
        <w:t>súlade</w:t>
      </w:r>
      <w:r w:rsidR="004F01E9">
        <w:rPr>
          <w:noProof/>
        </w:rPr>
        <w:t xml:space="preserve"> s </w:t>
      </w:r>
      <w:r w:rsidRPr="004F01E9">
        <w:rPr>
          <w:noProof/>
        </w:rPr>
        <w:t>odsekom 2;</w:t>
      </w:r>
    </w:p>
    <w:p w14:paraId="2FD1AAC3" w14:textId="7E9670CA" w:rsidR="00426FD2" w:rsidRPr="004F01E9" w:rsidRDefault="00426FD2" w:rsidP="00426FD2">
      <w:pPr>
        <w:pStyle w:val="Text1"/>
        <w:rPr>
          <w:noProof/>
        </w:rPr>
      </w:pPr>
      <w:r w:rsidRPr="004F01E9">
        <w:rPr>
          <w:noProof/>
        </w:rPr>
        <w:t>SC</w:t>
      </w:r>
      <w:r w:rsidRPr="004F01E9">
        <w:rPr>
          <w:noProof/>
        </w:rPr>
        <w:tab/>
        <w:t>=</w:t>
      </w:r>
      <w:r w:rsidRPr="004F01E9">
        <w:rPr>
          <w:noProof/>
        </w:rPr>
        <w:tab/>
        <w:t>zložka služieb vyjadrená</w:t>
      </w:r>
      <w:r w:rsidR="004F01E9">
        <w:rPr>
          <w:noProof/>
        </w:rPr>
        <w:t xml:space="preserve"> v </w:t>
      </w:r>
      <w:r w:rsidRPr="004F01E9">
        <w:rPr>
          <w:noProof/>
        </w:rPr>
        <w:t>miliardách EUR</w:t>
      </w:r>
      <w:r w:rsidR="004F01E9">
        <w:rPr>
          <w:noProof/>
        </w:rPr>
        <w:t xml:space="preserve"> a </w:t>
      </w:r>
      <w:r w:rsidRPr="004F01E9">
        <w:rPr>
          <w:noProof/>
        </w:rPr>
        <w:t>vypočítaná</w:t>
      </w:r>
      <w:r w:rsidR="004F01E9">
        <w:rPr>
          <w:noProof/>
        </w:rPr>
        <w:t xml:space="preserve"> v </w:t>
      </w:r>
      <w:r w:rsidRPr="004F01E9">
        <w:rPr>
          <w:noProof/>
        </w:rPr>
        <w:t>súlade</w:t>
      </w:r>
      <w:r w:rsidR="004F01E9">
        <w:rPr>
          <w:noProof/>
        </w:rPr>
        <w:t xml:space="preserve"> s </w:t>
      </w:r>
      <w:r w:rsidRPr="004F01E9">
        <w:rPr>
          <w:noProof/>
        </w:rPr>
        <w:t>odsekom 3;</w:t>
      </w:r>
    </w:p>
    <w:p w14:paraId="1990CACA" w14:textId="6A071753" w:rsidR="00426FD2" w:rsidRPr="004F01E9" w:rsidRDefault="00426FD2" w:rsidP="00426FD2">
      <w:pPr>
        <w:pStyle w:val="Text1"/>
        <w:rPr>
          <w:noProof/>
        </w:rPr>
      </w:pPr>
      <w:r w:rsidRPr="004F01E9">
        <w:rPr>
          <w:noProof/>
        </w:rPr>
        <w:t>FC</w:t>
      </w:r>
      <w:r w:rsidRPr="004F01E9">
        <w:rPr>
          <w:noProof/>
        </w:rPr>
        <w:tab/>
        <w:t>=</w:t>
      </w:r>
      <w:r w:rsidRPr="004F01E9">
        <w:rPr>
          <w:noProof/>
        </w:rPr>
        <w:tab/>
        <w:t>finančná zložka vyjadrená</w:t>
      </w:r>
      <w:r w:rsidR="004F01E9">
        <w:rPr>
          <w:noProof/>
        </w:rPr>
        <w:t xml:space="preserve"> v </w:t>
      </w:r>
      <w:r w:rsidRPr="004F01E9">
        <w:rPr>
          <w:noProof/>
        </w:rPr>
        <w:t>miliardách EUR</w:t>
      </w:r>
      <w:r w:rsidR="004F01E9">
        <w:rPr>
          <w:noProof/>
        </w:rPr>
        <w:t xml:space="preserve"> a </w:t>
      </w:r>
      <w:r w:rsidRPr="004F01E9">
        <w:rPr>
          <w:noProof/>
        </w:rPr>
        <w:t>vypočítaná</w:t>
      </w:r>
      <w:r w:rsidR="004F01E9">
        <w:rPr>
          <w:noProof/>
        </w:rPr>
        <w:t xml:space="preserve"> v </w:t>
      </w:r>
      <w:r w:rsidRPr="004F01E9">
        <w:rPr>
          <w:noProof/>
        </w:rPr>
        <w:t>súlade</w:t>
      </w:r>
      <w:r w:rsidR="004F01E9">
        <w:rPr>
          <w:noProof/>
        </w:rPr>
        <w:t xml:space="preserve"> s </w:t>
      </w:r>
      <w:r w:rsidRPr="004F01E9">
        <w:rPr>
          <w:noProof/>
        </w:rPr>
        <w:t>odsekom 4.</w:t>
      </w:r>
    </w:p>
    <w:p w14:paraId="62C079F4" w14:textId="5BEF1179" w:rsidR="00426FD2" w:rsidRPr="004F01E9" w:rsidRDefault="00426FD2" w:rsidP="00426FD2">
      <w:pPr>
        <w:pStyle w:val="Text1"/>
        <w:rPr>
          <w:noProof/>
        </w:rPr>
      </w:pPr>
      <w:r w:rsidRPr="004F01E9">
        <w:rPr>
          <w:noProof/>
        </w:rPr>
        <w:t>2. Na účely odseku 1 sa zložka úrokov, lízingov</w:t>
      </w:r>
      <w:r w:rsidR="004F01E9">
        <w:rPr>
          <w:noProof/>
        </w:rPr>
        <w:t xml:space="preserve"> a </w:t>
      </w:r>
      <w:r w:rsidRPr="004F01E9">
        <w:rPr>
          <w:noProof/>
        </w:rPr>
        <w:t>dividend vypočítava podľa tohto vzorca:</w:t>
      </w:r>
    </w:p>
    <w:p w14:paraId="0D1365ED" w14:textId="77777777" w:rsidR="00426FD2" w:rsidRPr="004F01E9" w:rsidRDefault="00426FD2" w:rsidP="00426FD2">
      <w:pPr>
        <w:pStyle w:val="Text1"/>
        <w:rPr>
          <w:noProof/>
        </w:rPr>
      </w:pPr>
      <m:oMathPara>
        <m:oMath>
          <m:r>
            <w:rPr>
              <w:rFonts w:ascii="Cambria Math" w:hAnsi="Cambria Math"/>
              <w:noProof/>
            </w:rPr>
            <m:t>ILDC</m:t>
          </m:r>
          <m:r>
            <m:rPr>
              <m:sty m:val="p"/>
            </m:rPr>
            <w:rPr>
              <w:rFonts w:ascii="Cambria Math" w:hAnsi="Cambria Math"/>
              <w:noProof/>
            </w:rPr>
            <m:t>=</m:t>
          </m:r>
          <m:func>
            <m:funcPr>
              <m:ctrlPr>
                <w:rPr>
                  <w:rFonts w:ascii="Cambria Math" w:hAnsi="Cambria Math"/>
                  <w:noProof/>
                </w:rPr>
              </m:ctrlPr>
            </m:funcPr>
            <m:fName>
              <m:r>
                <m:rPr>
                  <m:sty m:val="p"/>
                </m:rPr>
                <w:rPr>
                  <w:rFonts w:ascii="Cambria Math" w:hAnsi="Cambria Math"/>
                  <w:noProof/>
                </w:rPr>
                <m:t>min</m:t>
              </m:r>
            </m:fName>
            <m:e>
              <m:d>
                <m:dPr>
                  <m:ctrlPr>
                    <w:rPr>
                      <w:rFonts w:ascii="Cambria Math" w:hAnsi="Cambria Math"/>
                      <w:noProof/>
                    </w:rPr>
                  </m:ctrlPr>
                </m:dPr>
                <m:e>
                  <m:r>
                    <w:rPr>
                      <w:rFonts w:ascii="Cambria Math" w:hAnsi="Cambria Math"/>
                      <w:noProof/>
                    </w:rPr>
                    <m:t>IC</m:t>
                  </m:r>
                  <m:r>
                    <m:rPr>
                      <m:sty m:val="p"/>
                    </m:rPr>
                    <w:rPr>
                      <w:rFonts w:ascii="Cambria Math" w:hAnsi="Cambria Math"/>
                      <w:noProof/>
                    </w:rPr>
                    <m:t>,0.0225*</m:t>
                  </m:r>
                  <m:r>
                    <w:rPr>
                      <w:rFonts w:ascii="Cambria Math" w:hAnsi="Cambria Math"/>
                      <w:noProof/>
                    </w:rPr>
                    <m:t>AC</m:t>
                  </m:r>
                </m:e>
              </m:d>
            </m:e>
          </m:func>
          <m:r>
            <m:rPr>
              <m:sty m:val="p"/>
            </m:rPr>
            <w:rPr>
              <w:rFonts w:ascii="Cambria Math" w:hAnsi="Cambria Math"/>
              <w:noProof/>
            </w:rPr>
            <m:t>+</m:t>
          </m:r>
          <m:r>
            <w:rPr>
              <w:rFonts w:ascii="Cambria Math" w:hAnsi="Cambria Math"/>
              <w:noProof/>
            </w:rPr>
            <m:t>DC</m:t>
          </m:r>
        </m:oMath>
      </m:oMathPara>
    </w:p>
    <w:p w14:paraId="3C39F83C" w14:textId="77777777" w:rsidR="00426FD2" w:rsidRPr="004F01E9" w:rsidRDefault="00426FD2" w:rsidP="00426FD2">
      <w:pPr>
        <w:pStyle w:val="Text1"/>
        <w:rPr>
          <w:noProof/>
        </w:rPr>
      </w:pPr>
      <w:r w:rsidRPr="004F01E9">
        <w:rPr>
          <w:noProof/>
        </w:rPr>
        <w:t>kde:</w:t>
      </w:r>
    </w:p>
    <w:p w14:paraId="16F4E60C" w14:textId="6FEF3DBD" w:rsidR="00426FD2" w:rsidRPr="004F01E9" w:rsidRDefault="00426FD2" w:rsidP="00426FD2">
      <w:pPr>
        <w:pStyle w:val="Text1"/>
        <w:rPr>
          <w:noProof/>
        </w:rPr>
      </w:pPr>
      <w:r w:rsidRPr="004F01E9">
        <w:rPr>
          <w:noProof/>
        </w:rPr>
        <w:t>ILDC</w:t>
      </w:r>
      <w:r w:rsidRPr="004F01E9">
        <w:rPr>
          <w:noProof/>
        </w:rPr>
        <w:tab/>
        <w:t>=</w:t>
      </w:r>
      <w:r w:rsidRPr="004F01E9">
        <w:rPr>
          <w:noProof/>
        </w:rPr>
        <w:tab/>
        <w:t>zložka úrokov, lízingov</w:t>
      </w:r>
      <w:r w:rsidR="004F01E9">
        <w:rPr>
          <w:noProof/>
        </w:rPr>
        <w:t xml:space="preserve"> a </w:t>
      </w:r>
      <w:r w:rsidRPr="004F01E9">
        <w:rPr>
          <w:noProof/>
        </w:rPr>
        <w:t>dividend;</w:t>
      </w:r>
    </w:p>
    <w:p w14:paraId="4C2A2271" w14:textId="33B501B0" w:rsidR="00426FD2" w:rsidRPr="004F01E9" w:rsidRDefault="00426FD2" w:rsidP="00426FD2">
      <w:pPr>
        <w:pStyle w:val="Text1"/>
        <w:rPr>
          <w:noProof/>
        </w:rPr>
      </w:pPr>
      <w:r w:rsidRPr="004F01E9">
        <w:rPr>
          <w:noProof/>
        </w:rPr>
        <w:t>IC</w:t>
      </w:r>
      <w:r w:rsidRPr="004F01E9">
        <w:rPr>
          <w:noProof/>
        </w:rPr>
        <w:tab/>
        <w:t>=</w:t>
      </w:r>
      <w:r w:rsidRPr="004F01E9">
        <w:rPr>
          <w:noProof/>
        </w:rPr>
        <w:tab/>
        <w:t>zložka úrokov, ktorá predstavuje úrokové výnosy inštitúcie zo všetkých finančných aktív</w:t>
      </w:r>
      <w:r w:rsidR="004F01E9">
        <w:rPr>
          <w:noProof/>
        </w:rPr>
        <w:t xml:space="preserve"> a </w:t>
      </w:r>
      <w:r w:rsidRPr="004F01E9">
        <w:rPr>
          <w:noProof/>
        </w:rPr>
        <w:t>ostatných úrokových príjmov vrátane finančných výnosov</w:t>
      </w:r>
      <w:r w:rsidR="004F01E9">
        <w:rPr>
          <w:noProof/>
        </w:rPr>
        <w:t xml:space="preserve"> z </w:t>
      </w:r>
      <w:r w:rsidRPr="004F01E9">
        <w:rPr>
          <w:noProof/>
        </w:rPr>
        <w:t>finančného</w:t>
      </w:r>
      <w:r w:rsidR="004F01E9">
        <w:rPr>
          <w:noProof/>
        </w:rPr>
        <w:t xml:space="preserve"> a </w:t>
      </w:r>
      <w:r w:rsidRPr="004F01E9">
        <w:rPr>
          <w:noProof/>
        </w:rPr>
        <w:t>operatívneho lízingu</w:t>
      </w:r>
      <w:r w:rsidR="004F01E9">
        <w:rPr>
          <w:noProof/>
        </w:rPr>
        <w:t xml:space="preserve"> a </w:t>
      </w:r>
      <w:r w:rsidRPr="004F01E9">
        <w:rPr>
          <w:noProof/>
        </w:rPr>
        <w:t>ziskov</w:t>
      </w:r>
      <w:r w:rsidR="004F01E9">
        <w:rPr>
          <w:noProof/>
        </w:rPr>
        <w:t xml:space="preserve"> z </w:t>
      </w:r>
      <w:r w:rsidRPr="004F01E9">
        <w:rPr>
          <w:noProof/>
        </w:rPr>
        <w:t>majetku, ktorý je predmetom lízingu, po odpočítaní úrokových nákladov inštitúcie zo všetkých finančných záväzkov</w:t>
      </w:r>
      <w:r w:rsidR="004F01E9">
        <w:rPr>
          <w:noProof/>
        </w:rPr>
        <w:t xml:space="preserve"> a </w:t>
      </w:r>
      <w:r w:rsidRPr="004F01E9">
        <w:rPr>
          <w:noProof/>
        </w:rPr>
        <w:t>ostatných úrokových nákladov vrátane úrokových nákladov</w:t>
      </w:r>
      <w:r w:rsidR="004F01E9">
        <w:rPr>
          <w:noProof/>
        </w:rPr>
        <w:t xml:space="preserve"> z </w:t>
      </w:r>
      <w:r w:rsidRPr="004F01E9">
        <w:rPr>
          <w:noProof/>
        </w:rPr>
        <w:t>finančného</w:t>
      </w:r>
      <w:r w:rsidR="004F01E9">
        <w:rPr>
          <w:noProof/>
        </w:rPr>
        <w:t xml:space="preserve"> a </w:t>
      </w:r>
      <w:r w:rsidRPr="004F01E9">
        <w:rPr>
          <w:noProof/>
        </w:rPr>
        <w:t>operatívneho lízingu, odpisov, zníženia hodnoty</w:t>
      </w:r>
      <w:r w:rsidR="004F01E9">
        <w:rPr>
          <w:noProof/>
        </w:rPr>
        <w:t xml:space="preserve"> a </w:t>
      </w:r>
      <w:r w:rsidRPr="004F01E9">
        <w:rPr>
          <w:noProof/>
        </w:rPr>
        <w:t>strát</w:t>
      </w:r>
      <w:r w:rsidR="004F01E9">
        <w:rPr>
          <w:noProof/>
        </w:rPr>
        <w:t xml:space="preserve"> z </w:t>
      </w:r>
      <w:r w:rsidRPr="004F01E9">
        <w:rPr>
          <w:noProof/>
        </w:rPr>
        <w:t>majetku, ktorý je predmetom operatívneho lízingu, vypočítaná ako ročný priemer absolútnych hodnôt rozdielu za predchádzajúce tri finančné roky;</w:t>
      </w:r>
    </w:p>
    <w:p w14:paraId="7ED64E5D" w14:textId="4547FBA1" w:rsidR="00806B81" w:rsidRPr="004F01E9" w:rsidRDefault="00426FD2" w:rsidP="00426FD2">
      <w:pPr>
        <w:pStyle w:val="Text1"/>
        <w:rPr>
          <w:noProof/>
        </w:rPr>
      </w:pPr>
      <w:r w:rsidRPr="004F01E9">
        <w:rPr>
          <w:noProof/>
        </w:rPr>
        <w:t>AC</w:t>
      </w:r>
      <w:r w:rsidRPr="004F01E9">
        <w:rPr>
          <w:noProof/>
        </w:rPr>
        <w:tab/>
        <w:t>=</w:t>
      </w:r>
      <w:r w:rsidRPr="004F01E9">
        <w:rPr>
          <w:noProof/>
        </w:rPr>
        <w:tab/>
        <w:t>zložka aktív, ktorá predstavuje súčet celkových hrubých nesplatených úverov inštitúcie, záloh, úročených cenných papierov vrátane štátnych dlhopisov</w:t>
      </w:r>
      <w:r w:rsidR="004F01E9">
        <w:rPr>
          <w:noProof/>
        </w:rPr>
        <w:t xml:space="preserve"> a </w:t>
      </w:r>
      <w:r w:rsidRPr="004F01E9">
        <w:rPr>
          <w:noProof/>
        </w:rPr>
        <w:t>lízingových aktív, vypočítaná ako ročný priemer za predchádzajúce tri finančné roky na základe súm na konci každého</w:t>
      </w:r>
      <w:r w:rsidR="004F01E9">
        <w:rPr>
          <w:noProof/>
        </w:rPr>
        <w:t xml:space="preserve"> z </w:t>
      </w:r>
      <w:r w:rsidRPr="004F01E9">
        <w:rPr>
          <w:noProof/>
        </w:rPr>
        <w:t>príslušných účtovných rokov;</w:t>
      </w:r>
    </w:p>
    <w:p w14:paraId="1B4EA543" w14:textId="196F5D86" w:rsidR="00806B81" w:rsidRPr="004F01E9" w:rsidRDefault="00426FD2" w:rsidP="00426FD2">
      <w:pPr>
        <w:pStyle w:val="Text1"/>
        <w:rPr>
          <w:noProof/>
        </w:rPr>
      </w:pPr>
      <w:r w:rsidRPr="004F01E9">
        <w:rPr>
          <w:noProof/>
        </w:rPr>
        <w:t>DC</w:t>
      </w:r>
      <w:r w:rsidRPr="004F01E9">
        <w:rPr>
          <w:noProof/>
        </w:rPr>
        <w:tab/>
        <w:t>=</w:t>
      </w:r>
      <w:r w:rsidRPr="004F01E9">
        <w:rPr>
          <w:noProof/>
        </w:rPr>
        <w:tab/>
        <w:t>zložka dividend, ktorá predstavuje dividendové výnosy inštitúcie</w:t>
      </w:r>
      <w:r w:rsidR="004F01E9">
        <w:rPr>
          <w:noProof/>
        </w:rPr>
        <w:t xml:space="preserve"> z </w:t>
      </w:r>
      <w:r w:rsidRPr="004F01E9">
        <w:rPr>
          <w:noProof/>
        </w:rPr>
        <w:t>investícií do akcií</w:t>
      </w:r>
      <w:r w:rsidR="004F01E9">
        <w:rPr>
          <w:noProof/>
        </w:rPr>
        <w:t xml:space="preserve"> a </w:t>
      </w:r>
      <w:r w:rsidRPr="004F01E9">
        <w:rPr>
          <w:noProof/>
        </w:rPr>
        <w:t>fondov nekonsolidovaných</w:t>
      </w:r>
      <w:r w:rsidR="004F01E9">
        <w:rPr>
          <w:noProof/>
        </w:rPr>
        <w:t xml:space="preserve"> v </w:t>
      </w:r>
      <w:r w:rsidRPr="004F01E9">
        <w:rPr>
          <w:noProof/>
        </w:rPr>
        <w:t>účtovnej závierke inštitúcie, vrátane dividendových výnosov</w:t>
      </w:r>
      <w:r w:rsidR="004F01E9">
        <w:rPr>
          <w:noProof/>
        </w:rPr>
        <w:t xml:space="preserve"> z </w:t>
      </w:r>
      <w:r w:rsidRPr="004F01E9">
        <w:rPr>
          <w:noProof/>
        </w:rPr>
        <w:t>nekonsolidovaných dcérskych spoločností, pridružených podnikov</w:t>
      </w:r>
      <w:r w:rsidR="004F01E9">
        <w:rPr>
          <w:noProof/>
        </w:rPr>
        <w:t xml:space="preserve"> a </w:t>
      </w:r>
      <w:r w:rsidRPr="004F01E9">
        <w:rPr>
          <w:noProof/>
        </w:rPr>
        <w:t>spoločných podnikov, vypočítaná ako ročný priemer za predchádzajúce tri finančné roky.</w:t>
      </w:r>
    </w:p>
    <w:p w14:paraId="282AD88B" w14:textId="35586605" w:rsidR="00426FD2" w:rsidRPr="004F01E9" w:rsidRDefault="00426FD2" w:rsidP="00426FD2">
      <w:pPr>
        <w:pStyle w:val="Text1"/>
        <w:rPr>
          <w:noProof/>
        </w:rPr>
      </w:pPr>
      <w:r w:rsidRPr="004F01E9">
        <w:rPr>
          <w:noProof/>
        </w:rPr>
        <w:t>3. Na účely odseku 1 sa zložka služieb vypočítava podľa tohto vzorca:</w:t>
      </w:r>
    </w:p>
    <w:p w14:paraId="0EC20EE3" w14:textId="77777777" w:rsidR="00426FD2" w:rsidRPr="004F01E9" w:rsidRDefault="00426FD2" w:rsidP="00426FD2">
      <w:pPr>
        <w:pStyle w:val="Text1"/>
        <w:rPr>
          <w:noProof/>
        </w:rPr>
      </w:pPr>
      <m:oMathPara>
        <m:oMath>
          <m:r>
            <w:rPr>
              <w:rFonts w:ascii="Cambria Math" w:hAnsi="Cambria Math"/>
              <w:noProof/>
            </w:rPr>
            <m:t>SC</m:t>
          </m:r>
          <m:r>
            <m:rPr>
              <m:sty m:val="p"/>
            </m:rPr>
            <w:rPr>
              <w:rFonts w:ascii="Cambria Math" w:hAnsi="Cambria Math"/>
              <w:noProof/>
            </w:rPr>
            <m:t>=max⁡(</m:t>
          </m:r>
          <m:r>
            <w:rPr>
              <w:rFonts w:ascii="Cambria Math" w:hAnsi="Cambria Math"/>
              <w:noProof/>
            </w:rPr>
            <m:t>OI</m:t>
          </m:r>
          <m:r>
            <m:rPr>
              <m:sty m:val="p"/>
            </m:rPr>
            <w:rPr>
              <w:rFonts w:ascii="Cambria Math" w:hAnsi="Cambria Math"/>
              <w:noProof/>
            </w:rPr>
            <m:t xml:space="preserve">, </m:t>
          </m:r>
          <m:r>
            <w:rPr>
              <w:rFonts w:ascii="Cambria Math" w:hAnsi="Cambria Math"/>
              <w:noProof/>
            </w:rPr>
            <m:t>OE</m:t>
          </m:r>
          <m:r>
            <m:rPr>
              <m:sty m:val="p"/>
            </m:rPr>
            <w:rPr>
              <w:rFonts w:ascii="Cambria Math" w:hAnsi="Cambria Math"/>
              <w:noProof/>
            </w:rPr>
            <m:t>)+max⁡(</m:t>
          </m:r>
          <m:r>
            <w:rPr>
              <w:rFonts w:ascii="Cambria Math" w:hAnsi="Cambria Math"/>
              <w:noProof/>
            </w:rPr>
            <m:t>FI</m:t>
          </m:r>
          <m:r>
            <m:rPr>
              <m:sty m:val="p"/>
            </m:rPr>
            <w:rPr>
              <w:rFonts w:ascii="Cambria Math" w:hAnsi="Cambria Math"/>
              <w:noProof/>
            </w:rPr>
            <m:t>,</m:t>
          </m:r>
          <m:r>
            <w:rPr>
              <w:rFonts w:ascii="Cambria Math" w:hAnsi="Cambria Math"/>
              <w:noProof/>
            </w:rPr>
            <m:t>FE</m:t>
          </m:r>
          <m:r>
            <m:rPr>
              <m:sty m:val="p"/>
            </m:rPr>
            <w:rPr>
              <w:rFonts w:ascii="Cambria Math" w:hAnsi="Cambria Math"/>
              <w:noProof/>
            </w:rPr>
            <m:t>)</m:t>
          </m:r>
        </m:oMath>
      </m:oMathPara>
    </w:p>
    <w:p w14:paraId="45C1CB65" w14:textId="77777777" w:rsidR="00426FD2" w:rsidRPr="004F01E9" w:rsidRDefault="00426FD2" w:rsidP="00426FD2">
      <w:pPr>
        <w:pStyle w:val="Text1"/>
        <w:rPr>
          <w:noProof/>
        </w:rPr>
      </w:pPr>
      <w:r w:rsidRPr="004F01E9">
        <w:rPr>
          <w:noProof/>
        </w:rPr>
        <w:t>kde:</w:t>
      </w:r>
    </w:p>
    <w:p w14:paraId="36A4AC9F" w14:textId="77777777" w:rsidR="00426FD2" w:rsidRPr="004F01E9" w:rsidRDefault="00426FD2" w:rsidP="00426FD2">
      <w:pPr>
        <w:pStyle w:val="Text1"/>
        <w:rPr>
          <w:noProof/>
        </w:rPr>
      </w:pPr>
      <w:r w:rsidRPr="004F01E9">
        <w:rPr>
          <w:noProof/>
        </w:rPr>
        <w:t>SC</w:t>
      </w:r>
      <w:r w:rsidRPr="004F01E9">
        <w:rPr>
          <w:noProof/>
        </w:rPr>
        <w:tab/>
        <w:t>=</w:t>
      </w:r>
      <w:r w:rsidRPr="004F01E9">
        <w:rPr>
          <w:noProof/>
        </w:rPr>
        <w:tab/>
        <w:t>zložka služieb;</w:t>
      </w:r>
    </w:p>
    <w:p w14:paraId="667F1BD0" w14:textId="69765E2A" w:rsidR="00426FD2" w:rsidRPr="004F01E9" w:rsidRDefault="00426FD2" w:rsidP="00426FD2">
      <w:pPr>
        <w:pStyle w:val="Text1"/>
        <w:rPr>
          <w:noProof/>
        </w:rPr>
      </w:pPr>
      <w:r w:rsidRPr="004F01E9">
        <w:rPr>
          <w:noProof/>
        </w:rPr>
        <w:t>OI</w:t>
      </w:r>
      <w:r w:rsidRPr="004F01E9">
        <w:rPr>
          <w:noProof/>
        </w:rPr>
        <w:tab/>
        <w:t>=</w:t>
      </w:r>
      <w:r w:rsidRPr="004F01E9">
        <w:rPr>
          <w:noProof/>
        </w:rPr>
        <w:tab/>
        <w:t>ostatné prevádzkové výnosy, ktoré predstavujú ročný priemer</w:t>
      </w:r>
      <w:r w:rsidR="004F01E9">
        <w:rPr>
          <w:noProof/>
        </w:rPr>
        <w:t xml:space="preserve"> z </w:t>
      </w:r>
      <w:r w:rsidRPr="004F01E9">
        <w:rPr>
          <w:noProof/>
        </w:rPr>
        <w:t>príjmov inštitúcie</w:t>
      </w:r>
      <w:r w:rsidR="004F01E9">
        <w:rPr>
          <w:noProof/>
        </w:rPr>
        <w:t xml:space="preserve"> z </w:t>
      </w:r>
      <w:r w:rsidRPr="004F01E9">
        <w:rPr>
          <w:noProof/>
        </w:rPr>
        <w:t>bežných bankových operácií</w:t>
      </w:r>
      <w:r w:rsidR="004F01E9">
        <w:rPr>
          <w:noProof/>
        </w:rPr>
        <w:t xml:space="preserve"> a </w:t>
      </w:r>
      <w:r w:rsidRPr="004F01E9">
        <w:rPr>
          <w:noProof/>
        </w:rPr>
        <w:t>predchádzajúce tri finančné roky, ktoré nie sú zahrnuté</w:t>
      </w:r>
      <w:r w:rsidR="004F01E9">
        <w:rPr>
          <w:noProof/>
        </w:rPr>
        <w:t xml:space="preserve"> v </w:t>
      </w:r>
      <w:r w:rsidRPr="004F01E9">
        <w:rPr>
          <w:noProof/>
        </w:rPr>
        <w:t>ostatných položkách ukazovateľa obchodovania, ale majú podobnú povahu;</w:t>
      </w:r>
    </w:p>
    <w:p w14:paraId="355AE26A" w14:textId="69317094" w:rsidR="00426FD2" w:rsidRPr="004F01E9" w:rsidRDefault="00426FD2" w:rsidP="00426FD2">
      <w:pPr>
        <w:pStyle w:val="Text1"/>
        <w:rPr>
          <w:noProof/>
        </w:rPr>
      </w:pPr>
      <w:r w:rsidRPr="004F01E9">
        <w:rPr>
          <w:noProof/>
        </w:rPr>
        <w:t>OE</w:t>
      </w:r>
      <w:r w:rsidRPr="004F01E9">
        <w:rPr>
          <w:noProof/>
        </w:rPr>
        <w:tab/>
        <w:t>=</w:t>
      </w:r>
      <w:r w:rsidRPr="004F01E9">
        <w:rPr>
          <w:noProof/>
        </w:rPr>
        <w:tab/>
        <w:t>ostatné prevádzkové náklady, ktoré predstavujú ročný priemer nákladov inštitúcie</w:t>
      </w:r>
      <w:r w:rsidR="004F01E9">
        <w:rPr>
          <w:noProof/>
        </w:rPr>
        <w:t xml:space="preserve"> a </w:t>
      </w:r>
      <w:r w:rsidRPr="004F01E9">
        <w:rPr>
          <w:noProof/>
        </w:rPr>
        <w:t>strát</w:t>
      </w:r>
      <w:r w:rsidR="004F01E9">
        <w:rPr>
          <w:noProof/>
        </w:rPr>
        <w:t xml:space="preserve"> z </w:t>
      </w:r>
      <w:r w:rsidRPr="004F01E9">
        <w:rPr>
          <w:noProof/>
        </w:rPr>
        <w:t>bežných bankových operácií za predchádzajúce tri finančné roky, ktoré nie sú zahrnuté</w:t>
      </w:r>
      <w:r w:rsidR="004F01E9">
        <w:rPr>
          <w:noProof/>
        </w:rPr>
        <w:t xml:space="preserve"> v </w:t>
      </w:r>
      <w:r w:rsidRPr="004F01E9">
        <w:rPr>
          <w:noProof/>
        </w:rPr>
        <w:t>ostatných položkách ukazovateľa obchodovania, ale majú podobnú povahu,</w:t>
      </w:r>
      <w:r w:rsidR="004F01E9">
        <w:rPr>
          <w:noProof/>
        </w:rPr>
        <w:t xml:space="preserve"> a z </w:t>
      </w:r>
      <w:r w:rsidRPr="004F01E9">
        <w:rPr>
          <w:noProof/>
        </w:rPr>
        <w:t>udalostí operačného rizika;</w:t>
      </w:r>
    </w:p>
    <w:p w14:paraId="7AACCCE7" w14:textId="7DB3A74D" w:rsidR="00426FD2" w:rsidRPr="004F01E9" w:rsidRDefault="00426FD2" w:rsidP="00426FD2">
      <w:pPr>
        <w:pStyle w:val="Text1"/>
        <w:rPr>
          <w:noProof/>
        </w:rPr>
      </w:pPr>
      <w:r w:rsidRPr="004F01E9">
        <w:rPr>
          <w:noProof/>
        </w:rPr>
        <w:t>FI</w:t>
      </w:r>
      <w:r w:rsidRPr="004F01E9">
        <w:rPr>
          <w:noProof/>
        </w:rPr>
        <w:tab/>
        <w:t>=</w:t>
      </w:r>
      <w:r w:rsidRPr="004F01E9">
        <w:rPr>
          <w:noProof/>
        </w:rPr>
        <w:tab/>
        <w:t>zložka príjmov</w:t>
      </w:r>
      <w:r w:rsidR="004F01E9">
        <w:rPr>
          <w:noProof/>
        </w:rPr>
        <w:t xml:space="preserve"> z </w:t>
      </w:r>
      <w:r w:rsidRPr="004F01E9">
        <w:rPr>
          <w:noProof/>
        </w:rPr>
        <w:t>poplatkov</w:t>
      </w:r>
      <w:r w:rsidR="004F01E9">
        <w:rPr>
          <w:noProof/>
        </w:rPr>
        <w:t xml:space="preserve"> a </w:t>
      </w:r>
      <w:r w:rsidRPr="004F01E9">
        <w:rPr>
          <w:noProof/>
        </w:rPr>
        <w:t>provízií, ktorá predstavuje ročný priemer príjmov inštitúcie získaných</w:t>
      </w:r>
      <w:r w:rsidR="004F01E9">
        <w:rPr>
          <w:noProof/>
        </w:rPr>
        <w:t xml:space="preserve"> z </w:t>
      </w:r>
      <w:r w:rsidRPr="004F01E9">
        <w:rPr>
          <w:noProof/>
        </w:rPr>
        <w:t>poskytovania poradenstva</w:t>
      </w:r>
      <w:r w:rsidR="004F01E9">
        <w:rPr>
          <w:noProof/>
        </w:rPr>
        <w:t xml:space="preserve"> a </w:t>
      </w:r>
      <w:r w:rsidRPr="004F01E9">
        <w:rPr>
          <w:noProof/>
        </w:rPr>
        <w:t>služieb za predchádzajúce tri finančné roky vrátane príjmov, ktoré inštitúcia získa ako externý poskytovateľ finančných služieb;</w:t>
      </w:r>
    </w:p>
    <w:p w14:paraId="523DB64C" w14:textId="36D36E5B" w:rsidR="00426FD2" w:rsidRPr="004F01E9" w:rsidRDefault="00426FD2" w:rsidP="00426FD2">
      <w:pPr>
        <w:pStyle w:val="Text1"/>
        <w:rPr>
          <w:noProof/>
        </w:rPr>
      </w:pPr>
      <w:r w:rsidRPr="004F01E9">
        <w:rPr>
          <w:noProof/>
        </w:rPr>
        <w:t>FE</w:t>
      </w:r>
      <w:r w:rsidRPr="004F01E9">
        <w:rPr>
          <w:noProof/>
        </w:rPr>
        <w:tab/>
        <w:t>=</w:t>
      </w:r>
      <w:r w:rsidRPr="004F01E9">
        <w:rPr>
          <w:noProof/>
        </w:rPr>
        <w:tab/>
        <w:t>zložka nákladov na poplatky</w:t>
      </w:r>
      <w:r w:rsidR="004F01E9">
        <w:rPr>
          <w:noProof/>
        </w:rPr>
        <w:t xml:space="preserve"> a </w:t>
      </w:r>
      <w:r w:rsidRPr="004F01E9">
        <w:rPr>
          <w:noProof/>
        </w:rPr>
        <w:t>provízie, ktorá predstavuje ročný priemer výdavkov inštitúcie za predchádzajúce tri finančné roky zaplatených za prijímanie poradenstva</w:t>
      </w:r>
      <w:r w:rsidR="004F01E9">
        <w:rPr>
          <w:noProof/>
        </w:rPr>
        <w:t xml:space="preserve"> a </w:t>
      </w:r>
      <w:r w:rsidRPr="004F01E9">
        <w:rPr>
          <w:noProof/>
        </w:rPr>
        <w:t>služieb vrátane poplatkov za externé zabezpečovanie činností, ktoré inštitúcia platí za poskytovanie finančných služieb, ale</w:t>
      </w:r>
      <w:r w:rsidR="004F01E9">
        <w:rPr>
          <w:noProof/>
        </w:rPr>
        <w:t xml:space="preserve"> s </w:t>
      </w:r>
      <w:r w:rsidRPr="004F01E9">
        <w:rPr>
          <w:noProof/>
        </w:rPr>
        <w:t>výnimkou poplatkov za externé zabezpečovanie činností platených za poskytovanie nefinančných služieb.</w:t>
      </w:r>
    </w:p>
    <w:p w14:paraId="24876F88" w14:textId="77777777" w:rsidR="00426FD2" w:rsidRPr="004F01E9" w:rsidRDefault="00426FD2" w:rsidP="00426FD2">
      <w:pPr>
        <w:pStyle w:val="Text1"/>
        <w:rPr>
          <w:noProof/>
        </w:rPr>
      </w:pPr>
      <w:r w:rsidRPr="004F01E9">
        <w:rPr>
          <w:noProof/>
        </w:rPr>
        <w:t>4. Na účely odseku 1 sa finančná zložka vypočítava podľa tohto vzorca:</w:t>
      </w:r>
    </w:p>
    <w:p w14:paraId="7ACE79C9" w14:textId="77777777" w:rsidR="00426FD2" w:rsidRPr="004F01E9" w:rsidRDefault="00426FD2" w:rsidP="00426FD2">
      <w:pPr>
        <w:pStyle w:val="Text1"/>
        <w:rPr>
          <w:rFonts w:eastAsiaTheme="minorEastAsia"/>
          <w:noProof/>
        </w:rPr>
      </w:pPr>
      <m:oMathPara>
        <m:oMath>
          <m:r>
            <w:rPr>
              <w:rFonts w:ascii="Cambria Math" w:hAnsi="Cambria Math"/>
              <w:noProof/>
            </w:rPr>
            <m:t>FC</m:t>
          </m:r>
          <m:r>
            <m:rPr>
              <m:sty m:val="p"/>
            </m:rPr>
            <w:rPr>
              <w:rFonts w:ascii="Cambria Math" w:hAnsi="Cambria Math"/>
              <w:noProof/>
            </w:rPr>
            <m:t>=</m:t>
          </m:r>
          <m:r>
            <w:rPr>
              <w:rFonts w:ascii="Cambria Math" w:hAnsi="Cambria Math"/>
              <w:noProof/>
            </w:rPr>
            <m:t>TC</m:t>
          </m:r>
          <m:r>
            <m:rPr>
              <m:sty m:val="p"/>
            </m:rPr>
            <w:rPr>
              <w:rFonts w:ascii="Cambria Math" w:hAnsi="Cambria Math"/>
              <w:noProof/>
            </w:rPr>
            <m:t>+</m:t>
          </m:r>
          <m:r>
            <w:rPr>
              <w:rFonts w:ascii="Cambria Math" w:hAnsi="Cambria Math"/>
              <w:noProof/>
            </w:rPr>
            <m:t>BC</m:t>
          </m:r>
        </m:oMath>
      </m:oMathPara>
    </w:p>
    <w:p w14:paraId="5E231BDD" w14:textId="77777777" w:rsidR="00426FD2" w:rsidRPr="004F01E9" w:rsidRDefault="00426FD2" w:rsidP="00426FD2">
      <w:pPr>
        <w:pStyle w:val="Text1"/>
        <w:rPr>
          <w:noProof/>
        </w:rPr>
      </w:pPr>
      <w:r w:rsidRPr="004F01E9">
        <w:rPr>
          <w:noProof/>
        </w:rPr>
        <w:t>kde:</w:t>
      </w:r>
    </w:p>
    <w:p w14:paraId="03F0D344" w14:textId="77777777" w:rsidR="00426FD2" w:rsidRPr="004F01E9" w:rsidRDefault="00426FD2" w:rsidP="00426FD2">
      <w:pPr>
        <w:pStyle w:val="Text1"/>
        <w:rPr>
          <w:noProof/>
        </w:rPr>
      </w:pPr>
      <w:r w:rsidRPr="004F01E9">
        <w:rPr>
          <w:noProof/>
        </w:rPr>
        <w:t>FC</w:t>
      </w:r>
      <w:r w:rsidRPr="004F01E9">
        <w:rPr>
          <w:noProof/>
        </w:rPr>
        <w:tab/>
        <w:t>=</w:t>
      </w:r>
      <w:r w:rsidRPr="004F01E9">
        <w:rPr>
          <w:noProof/>
        </w:rPr>
        <w:tab/>
        <w:t>finančná zložka;</w:t>
      </w:r>
    </w:p>
    <w:p w14:paraId="48E59359" w14:textId="53717164" w:rsidR="00426FD2" w:rsidRPr="004F01E9" w:rsidRDefault="00426FD2" w:rsidP="00426FD2">
      <w:pPr>
        <w:pStyle w:val="Text1"/>
        <w:rPr>
          <w:noProof/>
        </w:rPr>
      </w:pPr>
      <w:r w:rsidRPr="004F01E9">
        <w:rPr>
          <w:noProof/>
        </w:rPr>
        <w:t>TC</w:t>
      </w:r>
      <w:r w:rsidRPr="004F01E9">
        <w:rPr>
          <w:noProof/>
        </w:rPr>
        <w:tab/>
        <w:t>=</w:t>
      </w:r>
      <w:r w:rsidRPr="004F01E9">
        <w:rPr>
          <w:noProof/>
        </w:rPr>
        <w:tab/>
        <w:t>zložka obchodnej knihy, ktorá predstavuje ročný priemer absolútnych hodnôt čistého zisku alebo prípadne straty</w:t>
      </w:r>
      <w:r w:rsidR="004F01E9">
        <w:rPr>
          <w:noProof/>
        </w:rPr>
        <w:t xml:space="preserve"> v </w:t>
      </w:r>
      <w:r w:rsidRPr="004F01E9">
        <w:rPr>
          <w:noProof/>
        </w:rPr>
        <w:t>obchodnej knihe inštitúcie za predchádzajúce tri finančné roky vrátane obchodných aktív</w:t>
      </w:r>
      <w:r w:rsidR="004F01E9">
        <w:rPr>
          <w:noProof/>
        </w:rPr>
        <w:t xml:space="preserve"> a </w:t>
      </w:r>
      <w:r w:rsidRPr="004F01E9">
        <w:rPr>
          <w:noProof/>
        </w:rPr>
        <w:t>obchodných záväzkov,</w:t>
      </w:r>
      <w:r w:rsidR="004F01E9">
        <w:rPr>
          <w:noProof/>
        </w:rPr>
        <w:t xml:space="preserve"> z </w:t>
      </w:r>
      <w:r w:rsidRPr="004F01E9">
        <w:rPr>
          <w:noProof/>
        </w:rPr>
        <w:t>účtovania hedžingu</w:t>
      </w:r>
      <w:r w:rsidR="004F01E9">
        <w:rPr>
          <w:noProof/>
        </w:rPr>
        <w:t xml:space="preserve"> a z </w:t>
      </w:r>
      <w:r w:rsidRPr="004F01E9">
        <w:rPr>
          <w:noProof/>
        </w:rPr>
        <w:t>kurzových rozdielov;</w:t>
      </w:r>
    </w:p>
    <w:p w14:paraId="2A52874A" w14:textId="5FC99016" w:rsidR="00426FD2" w:rsidRPr="004F01E9" w:rsidRDefault="00426FD2" w:rsidP="00426FD2">
      <w:pPr>
        <w:pStyle w:val="Text1"/>
        <w:rPr>
          <w:noProof/>
        </w:rPr>
      </w:pPr>
      <w:r w:rsidRPr="004F01E9">
        <w:rPr>
          <w:noProof/>
        </w:rPr>
        <w:t>BC</w:t>
      </w:r>
      <w:r w:rsidRPr="004F01E9">
        <w:rPr>
          <w:noProof/>
        </w:rPr>
        <w:tab/>
        <w:t>=</w:t>
      </w:r>
      <w:r w:rsidRPr="004F01E9">
        <w:rPr>
          <w:noProof/>
        </w:rPr>
        <w:tab/>
        <w:t>zložka bankovej knihy, ktorá predstavuje ročný priemer absolútnych hodnôt čistého zisku alebo prípadne straty za predchádzajúce tri finančné roky</w:t>
      </w:r>
      <w:r w:rsidR="004F01E9">
        <w:rPr>
          <w:noProof/>
        </w:rPr>
        <w:t xml:space="preserve"> v </w:t>
      </w:r>
      <w:r w:rsidRPr="004F01E9">
        <w:rPr>
          <w:noProof/>
        </w:rPr>
        <w:t>bankovej knihe inštitúcie vrátane finančných aktív</w:t>
      </w:r>
      <w:r w:rsidR="004F01E9">
        <w:rPr>
          <w:noProof/>
        </w:rPr>
        <w:t xml:space="preserve"> a </w:t>
      </w:r>
      <w:r w:rsidRPr="004F01E9">
        <w:rPr>
          <w:noProof/>
        </w:rPr>
        <w:t>záväzkov oceňovaných reálnou hodnotou cez výsledok hospodárenia,</w:t>
      </w:r>
      <w:r w:rsidR="004F01E9">
        <w:rPr>
          <w:noProof/>
        </w:rPr>
        <w:t xml:space="preserve"> z </w:t>
      </w:r>
      <w:r w:rsidRPr="004F01E9">
        <w:rPr>
          <w:noProof/>
        </w:rPr>
        <w:t>účtovania hedžingu,</w:t>
      </w:r>
      <w:r w:rsidR="004F01E9">
        <w:rPr>
          <w:noProof/>
        </w:rPr>
        <w:t xml:space="preserve"> z </w:t>
      </w:r>
      <w:r w:rsidRPr="004F01E9">
        <w:rPr>
          <w:noProof/>
        </w:rPr>
        <w:t>kurzových rozdielov</w:t>
      </w:r>
      <w:r w:rsidR="004F01E9">
        <w:rPr>
          <w:noProof/>
        </w:rPr>
        <w:t xml:space="preserve"> a </w:t>
      </w:r>
      <w:r w:rsidRPr="004F01E9">
        <w:rPr>
          <w:noProof/>
        </w:rPr>
        <w:t>realizovaných ziskov</w:t>
      </w:r>
      <w:r w:rsidR="004F01E9">
        <w:rPr>
          <w:noProof/>
        </w:rPr>
        <w:t xml:space="preserve"> a </w:t>
      </w:r>
      <w:r w:rsidRPr="004F01E9">
        <w:rPr>
          <w:noProof/>
        </w:rPr>
        <w:t>strát</w:t>
      </w:r>
      <w:r w:rsidR="004F01E9">
        <w:rPr>
          <w:noProof/>
        </w:rPr>
        <w:t xml:space="preserve"> z </w:t>
      </w:r>
      <w:r w:rsidRPr="004F01E9">
        <w:rPr>
          <w:noProof/>
        </w:rPr>
        <w:t>finančných aktív</w:t>
      </w:r>
      <w:r w:rsidR="004F01E9">
        <w:rPr>
          <w:noProof/>
        </w:rPr>
        <w:t xml:space="preserve"> a </w:t>
      </w:r>
      <w:r w:rsidRPr="004F01E9">
        <w:rPr>
          <w:noProof/>
        </w:rPr>
        <w:t>záväzkov neoceňovaných reálnou hodnotou cez výsledok hospodárenia.</w:t>
      </w:r>
    </w:p>
    <w:p w14:paraId="3B1CE013" w14:textId="721C856D" w:rsidR="00426FD2" w:rsidRPr="004F01E9" w:rsidRDefault="00426FD2" w:rsidP="00426FD2">
      <w:pPr>
        <w:pStyle w:val="Text1"/>
        <w:rPr>
          <w:noProof/>
        </w:rPr>
      </w:pPr>
      <w:r w:rsidRPr="004F01E9">
        <w:rPr>
          <w:noProof/>
        </w:rPr>
        <w:t>5. Inštitúcie pri výpočte svojho ukazovateľa obchodovania nepoužívajú žiadny</w:t>
      </w:r>
      <w:r w:rsidR="004F01E9">
        <w:rPr>
          <w:noProof/>
        </w:rPr>
        <w:t xml:space="preserve"> z </w:t>
      </w:r>
      <w:r w:rsidRPr="004F01E9">
        <w:rPr>
          <w:noProof/>
        </w:rPr>
        <w:t>týchto prvkov:</w:t>
      </w:r>
    </w:p>
    <w:p w14:paraId="45E4DB0C" w14:textId="4F47626E" w:rsidR="00806B81" w:rsidRPr="004F01E9" w:rsidRDefault="00853C2E" w:rsidP="00853C2E">
      <w:pPr>
        <w:pStyle w:val="Point1"/>
        <w:rPr>
          <w:noProof/>
        </w:rPr>
      </w:pPr>
      <w:r w:rsidRPr="004F01E9">
        <w:rPr>
          <w:noProof/>
        </w:rPr>
        <w:t>a)</w:t>
      </w:r>
      <w:r w:rsidRPr="004F01E9">
        <w:rPr>
          <w:noProof/>
        </w:rPr>
        <w:tab/>
        <w:t>príjmy</w:t>
      </w:r>
      <w:r w:rsidR="004F01E9">
        <w:rPr>
          <w:noProof/>
        </w:rPr>
        <w:t xml:space="preserve"> a </w:t>
      </w:r>
      <w:r w:rsidRPr="004F01E9">
        <w:rPr>
          <w:noProof/>
        </w:rPr>
        <w:t>výdavky</w:t>
      </w:r>
      <w:r w:rsidR="004F01E9">
        <w:rPr>
          <w:noProof/>
        </w:rPr>
        <w:t xml:space="preserve"> z </w:t>
      </w:r>
      <w:r w:rsidRPr="004F01E9">
        <w:rPr>
          <w:noProof/>
        </w:rPr>
        <w:t>poistenia alebo zaistenia;</w:t>
      </w:r>
    </w:p>
    <w:p w14:paraId="1DF6247A" w14:textId="62865E3C" w:rsidR="00426FD2" w:rsidRPr="004F01E9" w:rsidRDefault="00853C2E" w:rsidP="00853C2E">
      <w:pPr>
        <w:pStyle w:val="Point1"/>
        <w:rPr>
          <w:noProof/>
        </w:rPr>
      </w:pPr>
      <w:r w:rsidRPr="004F01E9">
        <w:rPr>
          <w:noProof/>
        </w:rPr>
        <w:t>b)</w:t>
      </w:r>
      <w:r w:rsidRPr="004F01E9">
        <w:rPr>
          <w:noProof/>
        </w:rPr>
        <w:tab/>
        <w:t>zaplatené poistné</w:t>
      </w:r>
      <w:r w:rsidR="004F01E9">
        <w:rPr>
          <w:noProof/>
        </w:rPr>
        <w:t xml:space="preserve"> a </w:t>
      </w:r>
      <w:r w:rsidRPr="004F01E9">
        <w:rPr>
          <w:noProof/>
        </w:rPr>
        <w:t>platby prijaté</w:t>
      </w:r>
      <w:r w:rsidR="004F01E9">
        <w:rPr>
          <w:noProof/>
        </w:rPr>
        <w:t xml:space="preserve"> z </w:t>
      </w:r>
      <w:r w:rsidRPr="004F01E9">
        <w:rPr>
          <w:noProof/>
        </w:rPr>
        <w:t>kúpených poistných alebo zaistných zmlúv;</w:t>
      </w:r>
    </w:p>
    <w:p w14:paraId="11154B7F" w14:textId="62B2FE87" w:rsidR="00806B81" w:rsidRPr="004F01E9" w:rsidRDefault="00853C2E" w:rsidP="00853C2E">
      <w:pPr>
        <w:pStyle w:val="Point1"/>
        <w:rPr>
          <w:noProof/>
        </w:rPr>
      </w:pPr>
      <w:r w:rsidRPr="004F01E9">
        <w:rPr>
          <w:noProof/>
        </w:rPr>
        <w:t>c)</w:t>
      </w:r>
      <w:r w:rsidRPr="004F01E9">
        <w:rPr>
          <w:noProof/>
        </w:rPr>
        <w:tab/>
        <w:t>administratívne náklady vrátane výdavkov na zamestnancov, poplatkov za externé zabezpečovanie činností platených za poskytovanie nefinančných služieb</w:t>
      </w:r>
      <w:r w:rsidR="004F01E9">
        <w:rPr>
          <w:noProof/>
        </w:rPr>
        <w:t xml:space="preserve"> a </w:t>
      </w:r>
      <w:r w:rsidRPr="004F01E9">
        <w:rPr>
          <w:noProof/>
        </w:rPr>
        <w:t>ostatné administratívne výdavky;</w:t>
      </w:r>
    </w:p>
    <w:p w14:paraId="2A0ED093" w14:textId="57C451B8" w:rsidR="00426FD2" w:rsidRPr="004F01E9" w:rsidRDefault="00853C2E" w:rsidP="00853C2E">
      <w:pPr>
        <w:pStyle w:val="Point1"/>
        <w:rPr>
          <w:noProof/>
        </w:rPr>
      </w:pPr>
      <w:r w:rsidRPr="004F01E9">
        <w:rPr>
          <w:noProof/>
        </w:rPr>
        <w:t>d)</w:t>
      </w:r>
      <w:r w:rsidRPr="004F01E9">
        <w:rPr>
          <w:noProof/>
        </w:rPr>
        <w:tab/>
        <w:t>vymáhanie administratívnych výdavkov vrátane vymáhania platieb</w:t>
      </w:r>
      <w:r w:rsidR="004F01E9">
        <w:rPr>
          <w:noProof/>
        </w:rPr>
        <w:t xml:space="preserve"> v </w:t>
      </w:r>
      <w:r w:rsidRPr="004F01E9">
        <w:rPr>
          <w:noProof/>
        </w:rPr>
        <w:t>mene zákazníkov;</w:t>
      </w:r>
    </w:p>
    <w:p w14:paraId="15646ACD" w14:textId="080341B4" w:rsidR="00426FD2" w:rsidRPr="004F01E9" w:rsidRDefault="00853C2E" w:rsidP="00853C2E">
      <w:pPr>
        <w:pStyle w:val="Point1"/>
        <w:rPr>
          <w:noProof/>
        </w:rPr>
      </w:pPr>
      <w:r w:rsidRPr="004F01E9">
        <w:rPr>
          <w:noProof/>
        </w:rPr>
        <w:t>e)</w:t>
      </w:r>
      <w:r w:rsidRPr="004F01E9">
        <w:rPr>
          <w:noProof/>
        </w:rPr>
        <w:tab/>
        <w:t>náklady na priestory</w:t>
      </w:r>
      <w:r w:rsidR="004F01E9">
        <w:rPr>
          <w:noProof/>
        </w:rPr>
        <w:t xml:space="preserve"> a </w:t>
      </w:r>
      <w:r w:rsidRPr="004F01E9">
        <w:rPr>
          <w:noProof/>
        </w:rPr>
        <w:t>fixné aktíva</w:t>
      </w:r>
      <w:r w:rsidR="004F01E9">
        <w:rPr>
          <w:noProof/>
        </w:rPr>
        <w:t xml:space="preserve"> s </w:t>
      </w:r>
      <w:r w:rsidRPr="004F01E9">
        <w:rPr>
          <w:noProof/>
        </w:rPr>
        <w:t>výnimkou prípadov, keď tieto náklady vyplývajú</w:t>
      </w:r>
      <w:r w:rsidR="004F01E9">
        <w:rPr>
          <w:noProof/>
        </w:rPr>
        <w:t xml:space="preserve"> z </w:t>
      </w:r>
      <w:r w:rsidRPr="004F01E9">
        <w:rPr>
          <w:noProof/>
        </w:rPr>
        <w:t>udalostí operačných strát;</w:t>
      </w:r>
    </w:p>
    <w:p w14:paraId="4861F451" w14:textId="04D9E108" w:rsidR="00426FD2" w:rsidRPr="004F01E9" w:rsidRDefault="00853C2E" w:rsidP="00853C2E">
      <w:pPr>
        <w:pStyle w:val="Point1"/>
        <w:rPr>
          <w:noProof/>
        </w:rPr>
      </w:pPr>
      <w:r w:rsidRPr="004F01E9">
        <w:rPr>
          <w:noProof/>
        </w:rPr>
        <w:t>f)</w:t>
      </w:r>
      <w:r w:rsidRPr="004F01E9">
        <w:rPr>
          <w:noProof/>
        </w:rPr>
        <w:tab/>
        <w:t>odpisy hmotných aktív</w:t>
      </w:r>
      <w:r w:rsidR="004F01E9">
        <w:rPr>
          <w:noProof/>
        </w:rPr>
        <w:t xml:space="preserve"> a </w:t>
      </w:r>
      <w:r w:rsidRPr="004F01E9">
        <w:rPr>
          <w:noProof/>
        </w:rPr>
        <w:t>amortizácia nehmotných aktív</w:t>
      </w:r>
      <w:r w:rsidR="004F01E9">
        <w:rPr>
          <w:noProof/>
        </w:rPr>
        <w:t xml:space="preserve"> s </w:t>
      </w:r>
      <w:r w:rsidRPr="004F01E9">
        <w:rPr>
          <w:noProof/>
        </w:rPr>
        <w:t>výnimkou odpisov súvisiacich</w:t>
      </w:r>
      <w:r w:rsidR="004F01E9">
        <w:rPr>
          <w:noProof/>
        </w:rPr>
        <w:t xml:space="preserve"> s </w:t>
      </w:r>
      <w:r w:rsidRPr="004F01E9">
        <w:rPr>
          <w:noProof/>
        </w:rPr>
        <w:t>aktívami operatívneho lízingu, ktoré sa zahrňujú do finančných nákladov</w:t>
      </w:r>
      <w:r w:rsidR="004F01E9">
        <w:rPr>
          <w:noProof/>
        </w:rPr>
        <w:t xml:space="preserve"> a </w:t>
      </w:r>
      <w:r w:rsidRPr="004F01E9">
        <w:rPr>
          <w:noProof/>
        </w:rPr>
        <w:t>výdavkov na operatívny lízing;</w:t>
      </w:r>
    </w:p>
    <w:p w14:paraId="70E6A9F4" w14:textId="0A29E4E1" w:rsidR="00426FD2" w:rsidRPr="004F01E9" w:rsidRDefault="00853C2E" w:rsidP="00853C2E">
      <w:pPr>
        <w:pStyle w:val="Point1"/>
        <w:rPr>
          <w:noProof/>
        </w:rPr>
      </w:pPr>
      <w:r w:rsidRPr="004F01E9">
        <w:rPr>
          <w:noProof/>
        </w:rPr>
        <w:t>g)</w:t>
      </w:r>
      <w:r w:rsidRPr="004F01E9">
        <w:rPr>
          <w:noProof/>
        </w:rPr>
        <w:tab/>
        <w:t>rezervy</w:t>
      </w:r>
      <w:r w:rsidR="004F01E9">
        <w:rPr>
          <w:noProof/>
        </w:rPr>
        <w:t xml:space="preserve"> a </w:t>
      </w:r>
      <w:r w:rsidRPr="004F01E9">
        <w:rPr>
          <w:noProof/>
        </w:rPr>
        <w:t>zrušenie rezerv</w:t>
      </w:r>
      <w:r w:rsidR="004F01E9">
        <w:rPr>
          <w:noProof/>
        </w:rPr>
        <w:t xml:space="preserve"> s </w:t>
      </w:r>
      <w:r w:rsidRPr="004F01E9">
        <w:rPr>
          <w:noProof/>
        </w:rPr>
        <w:t>výnimkou prípadov, keď sa tieto rezervy týkajú udalostí operačných strát;</w:t>
      </w:r>
    </w:p>
    <w:p w14:paraId="5C12F05F" w14:textId="190F8C3A" w:rsidR="00426FD2" w:rsidRPr="004F01E9" w:rsidRDefault="00853C2E" w:rsidP="00853C2E">
      <w:pPr>
        <w:pStyle w:val="Point1"/>
        <w:rPr>
          <w:noProof/>
        </w:rPr>
      </w:pPr>
      <w:r w:rsidRPr="004F01E9">
        <w:rPr>
          <w:noProof/>
        </w:rPr>
        <w:t>h)</w:t>
      </w:r>
      <w:r w:rsidRPr="004F01E9">
        <w:rPr>
          <w:noProof/>
        </w:rPr>
        <w:tab/>
        <w:t>výdavky na akciový kapitál splatný na požiadanie;</w:t>
      </w:r>
    </w:p>
    <w:p w14:paraId="5D9C5ABB" w14:textId="6253FAED" w:rsidR="00426FD2" w:rsidRPr="004F01E9" w:rsidRDefault="00853C2E" w:rsidP="00853C2E">
      <w:pPr>
        <w:pStyle w:val="Point1"/>
        <w:rPr>
          <w:noProof/>
        </w:rPr>
      </w:pPr>
      <w:r w:rsidRPr="004F01E9">
        <w:rPr>
          <w:noProof/>
        </w:rPr>
        <w:t>i)</w:t>
      </w:r>
      <w:r w:rsidRPr="004F01E9">
        <w:rPr>
          <w:noProof/>
        </w:rPr>
        <w:tab/>
        <w:t>zníženie hodnoty</w:t>
      </w:r>
      <w:r w:rsidR="004F01E9">
        <w:rPr>
          <w:noProof/>
        </w:rPr>
        <w:t xml:space="preserve"> a </w:t>
      </w:r>
      <w:r w:rsidRPr="004F01E9">
        <w:rPr>
          <w:noProof/>
        </w:rPr>
        <w:t>zrušenie zníženia hodnoty;</w:t>
      </w:r>
    </w:p>
    <w:p w14:paraId="52519931" w14:textId="45993533" w:rsidR="00426FD2" w:rsidRPr="004F01E9" w:rsidRDefault="00853C2E" w:rsidP="00853C2E">
      <w:pPr>
        <w:pStyle w:val="Point1"/>
        <w:rPr>
          <w:noProof/>
        </w:rPr>
      </w:pPr>
      <w:r w:rsidRPr="004F01E9">
        <w:rPr>
          <w:noProof/>
        </w:rPr>
        <w:t>j)</w:t>
      </w:r>
      <w:r w:rsidRPr="004F01E9">
        <w:rPr>
          <w:noProof/>
        </w:rPr>
        <w:tab/>
        <w:t>zmeny goodwillu vykázané vo výsledku hospodárenia;</w:t>
      </w:r>
    </w:p>
    <w:p w14:paraId="1F6EBDCD" w14:textId="603589AC" w:rsidR="00426FD2" w:rsidRPr="004F01E9" w:rsidRDefault="00853C2E" w:rsidP="00853C2E">
      <w:pPr>
        <w:pStyle w:val="Point1"/>
        <w:rPr>
          <w:noProof/>
        </w:rPr>
      </w:pPr>
      <w:r w:rsidRPr="004F01E9">
        <w:rPr>
          <w:noProof/>
        </w:rPr>
        <w:t>k)</w:t>
      </w:r>
      <w:r w:rsidRPr="004F01E9">
        <w:rPr>
          <w:noProof/>
        </w:rPr>
        <w:tab/>
        <w:t>daň</w:t>
      </w:r>
      <w:r w:rsidR="004F01E9">
        <w:rPr>
          <w:noProof/>
        </w:rPr>
        <w:t xml:space="preserve"> z </w:t>
      </w:r>
      <w:r w:rsidRPr="004F01E9">
        <w:rPr>
          <w:noProof/>
        </w:rPr>
        <w:t>príjmu právnických osôb</w:t>
      </w:r>
    </w:p>
    <w:p w14:paraId="76742282" w14:textId="10B453B8" w:rsidR="00426FD2" w:rsidRPr="00275EE7" w:rsidRDefault="00426FD2" w:rsidP="00275EE7">
      <w:pPr>
        <w:pStyle w:val="Text1"/>
        <w:keepNext/>
        <w:keepLines/>
        <w:rPr>
          <w:noProof/>
          <w:spacing w:val="-4"/>
        </w:rPr>
      </w:pPr>
      <w:r w:rsidRPr="00275EE7">
        <w:rPr>
          <w:noProof/>
          <w:spacing w:val="-4"/>
        </w:rPr>
        <w:t>6. EBA vypracuje návrh regulačných technických predpisov</w:t>
      </w:r>
      <w:r w:rsidR="004F01E9" w:rsidRPr="00275EE7">
        <w:rPr>
          <w:noProof/>
          <w:spacing w:val="-4"/>
        </w:rPr>
        <w:t xml:space="preserve"> s </w:t>
      </w:r>
      <w:r w:rsidRPr="00275EE7">
        <w:rPr>
          <w:noProof/>
          <w:spacing w:val="-4"/>
        </w:rPr>
        <w:t>cieľom presne stanoviť:</w:t>
      </w:r>
    </w:p>
    <w:p w14:paraId="605CC88A" w14:textId="77777777" w:rsidR="00426FD2" w:rsidRPr="004F01E9" w:rsidRDefault="00426FD2" w:rsidP="00275EE7">
      <w:pPr>
        <w:pStyle w:val="Point1"/>
        <w:keepNext/>
        <w:keepLines/>
        <w:rPr>
          <w:noProof/>
        </w:rPr>
      </w:pPr>
      <w:r w:rsidRPr="004F01E9">
        <w:rPr>
          <w:noProof/>
        </w:rPr>
        <w:t>a)</w:t>
      </w:r>
      <w:r w:rsidRPr="004F01E9">
        <w:rPr>
          <w:noProof/>
        </w:rPr>
        <w:tab/>
        <w:t>zložky ukazovateľa obchodovania zostavením zoznamu typických podpoložiek, pričom sa zohľadnia medzinárodné regulačné normy;</w:t>
      </w:r>
    </w:p>
    <w:p w14:paraId="628644F3" w14:textId="4047C653" w:rsidR="00426FD2" w:rsidRPr="004F01E9" w:rsidRDefault="00426FD2" w:rsidP="00275EE7">
      <w:pPr>
        <w:pStyle w:val="Point1"/>
        <w:keepNext/>
        <w:keepLines/>
        <w:rPr>
          <w:noProof/>
        </w:rPr>
      </w:pPr>
      <w:r w:rsidRPr="004F01E9">
        <w:rPr>
          <w:noProof/>
        </w:rPr>
        <w:t>b)</w:t>
      </w:r>
      <w:r w:rsidRPr="004F01E9">
        <w:rPr>
          <w:noProof/>
        </w:rPr>
        <w:tab/>
        <w:t>prvky uvedené</w:t>
      </w:r>
      <w:r w:rsidR="004F01E9">
        <w:rPr>
          <w:noProof/>
        </w:rPr>
        <w:t xml:space="preserve"> v </w:t>
      </w:r>
      <w:r w:rsidRPr="004F01E9">
        <w:rPr>
          <w:noProof/>
        </w:rPr>
        <w:t>odseku 5.</w:t>
      </w:r>
    </w:p>
    <w:p w14:paraId="541010EB" w14:textId="77777777" w:rsidR="00426FD2" w:rsidRPr="00275EE7" w:rsidRDefault="00426FD2" w:rsidP="00426FD2">
      <w:pPr>
        <w:pStyle w:val="Text1"/>
        <w:rPr>
          <w:noProof/>
          <w:spacing w:val="-4"/>
        </w:rPr>
      </w:pPr>
      <w:r w:rsidRPr="00275EE7">
        <w:rPr>
          <w:noProof/>
          <w:spacing w:val="-4"/>
        </w:rPr>
        <w:t>EBA predloží Komisii uvedený návrh regulačných technických predpisov do [Úrad pre publikácie, vložte dátum = 18 mesiacov po nadobudnutí účinnosti tohto nariadenia].</w:t>
      </w:r>
    </w:p>
    <w:p w14:paraId="0765DDC4" w14:textId="07112FAB" w:rsidR="00426FD2" w:rsidRPr="004F01E9" w:rsidRDefault="00426FD2" w:rsidP="00426FD2">
      <w:pPr>
        <w:pStyle w:val="Text1"/>
        <w:rPr>
          <w:noProof/>
        </w:rPr>
      </w:pPr>
      <w:r w:rsidRPr="004F01E9">
        <w:rPr>
          <w:noProof/>
        </w:rPr>
        <w:t>Na Komisiu sa deleguje právomoc prijať regulačné technické predpisy uvedené</w:t>
      </w:r>
      <w:r w:rsidR="004F01E9">
        <w:rPr>
          <w:noProof/>
        </w:rPr>
        <w:t xml:space="preserve"> v </w:t>
      </w:r>
      <w:r w:rsidRPr="004F01E9">
        <w:rPr>
          <w:noProof/>
        </w:rPr>
        <w:t>prvom pododseku</w:t>
      </w:r>
      <w:r w:rsidR="004F01E9">
        <w:rPr>
          <w:noProof/>
        </w:rPr>
        <w:t xml:space="preserve"> v </w:t>
      </w:r>
      <w:r w:rsidRPr="004F01E9">
        <w:rPr>
          <w:noProof/>
        </w:rPr>
        <w:t>súlade</w:t>
      </w:r>
      <w:r w:rsidR="004F01E9">
        <w:rPr>
          <w:noProof/>
        </w:rPr>
        <w:t xml:space="preserve"> s </w:t>
      </w:r>
      <w:r w:rsidRPr="004F01E9">
        <w:rPr>
          <w:noProof/>
        </w:rPr>
        <w:t xml:space="preserve">článkami 10 až 14 nariadenia (EÚ) </w:t>
      </w:r>
      <w:r w:rsidR="004F01E9">
        <w:rPr>
          <w:noProof/>
        </w:rPr>
        <w:t>č. </w:t>
      </w:r>
      <w:r w:rsidRPr="004F01E9">
        <w:rPr>
          <w:noProof/>
        </w:rPr>
        <w:t>1093/2010.</w:t>
      </w:r>
    </w:p>
    <w:p w14:paraId="69F96C3C" w14:textId="69DEAB73" w:rsidR="00426FD2" w:rsidRPr="004F01E9" w:rsidRDefault="00426FD2" w:rsidP="00426FD2">
      <w:pPr>
        <w:pStyle w:val="Text1"/>
        <w:rPr>
          <w:noProof/>
        </w:rPr>
      </w:pPr>
      <w:r w:rsidRPr="004F01E9">
        <w:rPr>
          <w:noProof/>
        </w:rPr>
        <w:t>7. EBA vypracuje návrh vykonávacích technických predpisov</w:t>
      </w:r>
      <w:r w:rsidR="004F01E9">
        <w:rPr>
          <w:noProof/>
        </w:rPr>
        <w:t xml:space="preserve"> s </w:t>
      </w:r>
      <w:r w:rsidRPr="004F01E9">
        <w:rPr>
          <w:noProof/>
        </w:rPr>
        <w:t>cieľom presne stanoviť položky ukazovateľa obchodovania na základe priradenia týchto položiek</w:t>
      </w:r>
      <w:r w:rsidR="004F01E9">
        <w:rPr>
          <w:noProof/>
        </w:rPr>
        <w:t xml:space="preserve"> k </w:t>
      </w:r>
      <w:r w:rsidRPr="004F01E9">
        <w:rPr>
          <w:noProof/>
        </w:rPr>
        <w:t>príslušným bunkám na vykazovanie stanoveným vo vykonávacom nariadení Komisie (EÚ) 2021/451</w:t>
      </w:r>
      <w:r w:rsidRPr="004F01E9">
        <w:rPr>
          <w:noProof/>
          <w:vertAlign w:val="superscript"/>
        </w:rPr>
        <w:t>*5</w:t>
      </w:r>
      <w:r w:rsidRPr="004F01E9">
        <w:rPr>
          <w:noProof/>
        </w:rPr>
        <w:t>.</w:t>
      </w:r>
    </w:p>
    <w:p w14:paraId="20BA374E" w14:textId="77777777" w:rsidR="00426FD2" w:rsidRPr="00275EE7" w:rsidRDefault="00426FD2" w:rsidP="00426FD2">
      <w:pPr>
        <w:pStyle w:val="Text1"/>
        <w:rPr>
          <w:noProof/>
          <w:spacing w:val="-4"/>
        </w:rPr>
      </w:pPr>
      <w:r w:rsidRPr="00275EE7">
        <w:rPr>
          <w:noProof/>
          <w:spacing w:val="-4"/>
        </w:rPr>
        <w:t>EBA predloží Komisii uvedený návrh regulačných technických predpisov do [Úrad pre publikácie, vložte dátum = 24 mesiacov po nadobudnutí účinnosti tohto nariadenia].</w:t>
      </w:r>
    </w:p>
    <w:p w14:paraId="22E86854" w14:textId="7816B048" w:rsidR="00426FD2" w:rsidRPr="004F01E9" w:rsidRDefault="00426FD2" w:rsidP="00426FD2">
      <w:pPr>
        <w:pStyle w:val="Text1"/>
        <w:rPr>
          <w:noProof/>
        </w:rPr>
      </w:pPr>
      <w:r w:rsidRPr="004F01E9">
        <w:rPr>
          <w:noProof/>
        </w:rPr>
        <w:t>Na Komisiu sa deleguje právomoc prijať vykonávacie technické predpisy uvedené</w:t>
      </w:r>
      <w:r w:rsidR="004F01E9">
        <w:rPr>
          <w:noProof/>
        </w:rPr>
        <w:t xml:space="preserve"> v </w:t>
      </w:r>
      <w:r w:rsidRPr="004F01E9">
        <w:rPr>
          <w:noProof/>
        </w:rPr>
        <w:t>prvom pododseku</w:t>
      </w:r>
      <w:r w:rsidR="004F01E9">
        <w:rPr>
          <w:noProof/>
        </w:rPr>
        <w:t xml:space="preserve"> v </w:t>
      </w:r>
      <w:r w:rsidRPr="004F01E9">
        <w:rPr>
          <w:noProof/>
        </w:rPr>
        <w:t>súlade</w:t>
      </w:r>
      <w:r w:rsidR="004F01E9">
        <w:rPr>
          <w:noProof/>
        </w:rPr>
        <w:t xml:space="preserve"> s </w:t>
      </w:r>
      <w:r w:rsidRPr="004F01E9">
        <w:rPr>
          <w:noProof/>
        </w:rPr>
        <w:t xml:space="preserve">článkom 15 nariadenia (EÚ) </w:t>
      </w:r>
      <w:r w:rsidR="004F01E9">
        <w:rPr>
          <w:noProof/>
        </w:rPr>
        <w:t>č. </w:t>
      </w:r>
      <w:r w:rsidRPr="004F01E9">
        <w:rPr>
          <w:noProof/>
        </w:rPr>
        <w:t>1093/2010.</w:t>
      </w:r>
    </w:p>
    <w:p w14:paraId="48F732CF" w14:textId="77777777" w:rsidR="00426FD2" w:rsidRPr="004F01E9" w:rsidRDefault="00426FD2" w:rsidP="00426FD2">
      <w:pPr>
        <w:pStyle w:val="Titrearticle"/>
        <w:rPr>
          <w:noProof/>
        </w:rPr>
      </w:pPr>
      <w:r w:rsidRPr="004F01E9">
        <w:rPr>
          <w:noProof/>
        </w:rPr>
        <w:t xml:space="preserve">Článok 315 </w:t>
      </w:r>
      <w:r w:rsidRPr="004F01E9">
        <w:rPr>
          <w:noProof/>
        </w:rPr>
        <w:br/>
      </w:r>
      <w:r w:rsidRPr="004F01E9">
        <w:rPr>
          <w:b/>
          <w:i w:val="0"/>
          <w:noProof/>
        </w:rPr>
        <w:t>Úpravy ukazovateľa obchodovania</w:t>
      </w:r>
    </w:p>
    <w:p w14:paraId="4E65164D" w14:textId="680862B2" w:rsidR="00426FD2" w:rsidRPr="004F01E9" w:rsidRDefault="00426FD2" w:rsidP="00426FD2">
      <w:pPr>
        <w:pStyle w:val="Text1"/>
        <w:rPr>
          <w:noProof/>
        </w:rPr>
      </w:pPr>
      <w:r w:rsidRPr="004F01E9">
        <w:rPr>
          <w:noProof/>
        </w:rPr>
        <w:t>1. Inštitúcie zahrňujú položky ukazovateľa obchodovania zlúčených alebo nadobudnutých subjektov alebo činností do výpočtu svojho ukazovateľa obchodovania od času zlúčenia alebo prípadne nadobudnutia,</w:t>
      </w:r>
      <w:r w:rsidR="004F01E9">
        <w:rPr>
          <w:noProof/>
        </w:rPr>
        <w:t xml:space="preserve"> a </w:t>
      </w:r>
      <w:r w:rsidRPr="004F01E9">
        <w:rPr>
          <w:noProof/>
        </w:rPr>
        <w:t>pokrývajú predchádzajúce tri finančné roky.</w:t>
      </w:r>
    </w:p>
    <w:p w14:paraId="17155F6B" w14:textId="7FB21D69" w:rsidR="00426FD2" w:rsidRPr="004F01E9" w:rsidRDefault="00426FD2" w:rsidP="00426FD2">
      <w:pPr>
        <w:pStyle w:val="Text1"/>
        <w:rPr>
          <w:noProof/>
        </w:rPr>
      </w:pPr>
      <w:r w:rsidRPr="004F01E9">
        <w:rPr>
          <w:noProof/>
        </w:rPr>
        <w:t>2. Inštitúcie môžu požiadať príslušný orgán</w:t>
      </w:r>
      <w:r w:rsidR="004F01E9">
        <w:rPr>
          <w:noProof/>
        </w:rPr>
        <w:t xml:space="preserve"> o </w:t>
      </w:r>
      <w:r w:rsidRPr="004F01E9">
        <w:rPr>
          <w:noProof/>
        </w:rPr>
        <w:t>povolenie vylúčiť položky ukazovateľov obchodovania týkajúce sa scudzených subjektov alebo činností</w:t>
      </w:r>
      <w:r w:rsidR="004F01E9">
        <w:rPr>
          <w:noProof/>
        </w:rPr>
        <w:t xml:space="preserve"> z </w:t>
      </w:r>
      <w:r w:rsidRPr="004F01E9">
        <w:rPr>
          <w:noProof/>
        </w:rPr>
        <w:t>výpočtu svojho ukazovateľa obchodovania.</w:t>
      </w:r>
    </w:p>
    <w:p w14:paraId="29FA3E60" w14:textId="09E90A98" w:rsidR="00426FD2" w:rsidRPr="00275EE7" w:rsidRDefault="00426FD2" w:rsidP="00426FD2">
      <w:pPr>
        <w:pStyle w:val="Text1"/>
        <w:rPr>
          <w:noProof/>
          <w:spacing w:val="-4"/>
        </w:rPr>
      </w:pPr>
      <w:r w:rsidRPr="00275EE7">
        <w:rPr>
          <w:noProof/>
          <w:spacing w:val="-4"/>
        </w:rPr>
        <w:t>3. EBA vypracuje návrh regulačných technických predpisov</w:t>
      </w:r>
      <w:r w:rsidR="004F01E9" w:rsidRPr="00275EE7">
        <w:rPr>
          <w:noProof/>
          <w:spacing w:val="-4"/>
        </w:rPr>
        <w:t xml:space="preserve"> s </w:t>
      </w:r>
      <w:r w:rsidRPr="00275EE7">
        <w:rPr>
          <w:noProof/>
          <w:spacing w:val="-4"/>
        </w:rPr>
        <w:t>cieľom presne stanoviť:</w:t>
      </w:r>
    </w:p>
    <w:p w14:paraId="0037ACB0" w14:textId="563A24E9" w:rsidR="00426FD2" w:rsidRPr="00275EE7" w:rsidRDefault="00426FD2" w:rsidP="00426FD2">
      <w:pPr>
        <w:pStyle w:val="Point1"/>
        <w:rPr>
          <w:noProof/>
          <w:spacing w:val="-6"/>
        </w:rPr>
      </w:pPr>
      <w:r w:rsidRPr="00275EE7">
        <w:rPr>
          <w:noProof/>
          <w:spacing w:val="-6"/>
        </w:rPr>
        <w:t>a)</w:t>
      </w:r>
      <w:r w:rsidRPr="00275EE7">
        <w:rPr>
          <w:noProof/>
          <w:spacing w:val="-6"/>
        </w:rPr>
        <w:tab/>
        <w:t>ako inštitúcie určujú úpravy ukazovateľa obchodovania uvedeného</w:t>
      </w:r>
      <w:r w:rsidR="004F01E9" w:rsidRPr="00275EE7">
        <w:rPr>
          <w:noProof/>
          <w:spacing w:val="-6"/>
        </w:rPr>
        <w:t xml:space="preserve"> v </w:t>
      </w:r>
      <w:r w:rsidRPr="00275EE7">
        <w:rPr>
          <w:noProof/>
          <w:spacing w:val="-6"/>
        </w:rPr>
        <w:t>odsekoch 1</w:t>
      </w:r>
      <w:r w:rsidR="004F01E9" w:rsidRPr="00275EE7">
        <w:rPr>
          <w:noProof/>
          <w:spacing w:val="-6"/>
        </w:rPr>
        <w:t xml:space="preserve"> a </w:t>
      </w:r>
      <w:r w:rsidRPr="00275EE7">
        <w:rPr>
          <w:noProof/>
          <w:spacing w:val="-6"/>
        </w:rPr>
        <w:t>2;</w:t>
      </w:r>
    </w:p>
    <w:p w14:paraId="72E89E2C" w14:textId="349581DF" w:rsidR="00426FD2" w:rsidRPr="00275EE7" w:rsidRDefault="00426FD2" w:rsidP="00426FD2">
      <w:pPr>
        <w:pStyle w:val="Point1"/>
        <w:rPr>
          <w:noProof/>
          <w:spacing w:val="-6"/>
        </w:rPr>
      </w:pPr>
      <w:r w:rsidRPr="00275EE7">
        <w:rPr>
          <w:noProof/>
          <w:spacing w:val="-6"/>
        </w:rPr>
        <w:t>b)</w:t>
      </w:r>
      <w:r w:rsidRPr="00275EE7">
        <w:rPr>
          <w:noProof/>
          <w:spacing w:val="-6"/>
        </w:rPr>
        <w:tab/>
        <w:t>podmienky, za ktorých môžu príslušné orgány udeliť povolenie uvedené</w:t>
      </w:r>
      <w:r w:rsidR="004F01E9" w:rsidRPr="00275EE7">
        <w:rPr>
          <w:noProof/>
          <w:spacing w:val="-6"/>
        </w:rPr>
        <w:t xml:space="preserve"> v </w:t>
      </w:r>
      <w:r w:rsidRPr="00275EE7">
        <w:rPr>
          <w:noProof/>
          <w:spacing w:val="-6"/>
        </w:rPr>
        <w:t>odseku 2;</w:t>
      </w:r>
    </w:p>
    <w:p w14:paraId="6108EDB4" w14:textId="419F5AC6" w:rsidR="00426FD2" w:rsidRPr="00275EE7" w:rsidRDefault="00426FD2" w:rsidP="00426FD2">
      <w:pPr>
        <w:pStyle w:val="Point1"/>
        <w:rPr>
          <w:noProof/>
          <w:spacing w:val="-4"/>
        </w:rPr>
      </w:pPr>
      <w:r w:rsidRPr="00275EE7">
        <w:rPr>
          <w:noProof/>
          <w:spacing w:val="-4"/>
        </w:rPr>
        <w:t>c)</w:t>
      </w:r>
      <w:r w:rsidRPr="00275EE7">
        <w:rPr>
          <w:noProof/>
          <w:spacing w:val="-4"/>
        </w:rPr>
        <w:tab/>
        <w:t>termíny úprav uvedených</w:t>
      </w:r>
      <w:r w:rsidR="004F01E9" w:rsidRPr="00275EE7">
        <w:rPr>
          <w:noProof/>
          <w:spacing w:val="-4"/>
        </w:rPr>
        <w:t xml:space="preserve"> v </w:t>
      </w:r>
      <w:r w:rsidRPr="00275EE7">
        <w:rPr>
          <w:noProof/>
          <w:spacing w:val="-4"/>
        </w:rPr>
        <w:t>odseku 2.</w:t>
      </w:r>
    </w:p>
    <w:p w14:paraId="2E93F406" w14:textId="77777777" w:rsidR="00426FD2" w:rsidRPr="00275EE7" w:rsidRDefault="00426FD2" w:rsidP="00426FD2">
      <w:pPr>
        <w:pStyle w:val="Text1"/>
        <w:rPr>
          <w:noProof/>
          <w:spacing w:val="-4"/>
        </w:rPr>
      </w:pPr>
      <w:r w:rsidRPr="00275EE7">
        <w:rPr>
          <w:noProof/>
          <w:spacing w:val="-4"/>
        </w:rPr>
        <w:t>EBA predloží Komisii uvedený návrh regulačných technických predpisov do [Úrad pre publikácie, vložte dátum = 18 mesiacov po nadobudnutí účinnosti tohto nariadenia].</w:t>
      </w:r>
    </w:p>
    <w:p w14:paraId="7D0557A7" w14:textId="540DF215" w:rsidR="00426FD2" w:rsidRPr="004F01E9" w:rsidRDefault="00426FD2" w:rsidP="00426FD2">
      <w:pPr>
        <w:pStyle w:val="Text1"/>
        <w:rPr>
          <w:noProof/>
        </w:rPr>
      </w:pPr>
      <w:r w:rsidRPr="004F01E9">
        <w:rPr>
          <w:noProof/>
        </w:rPr>
        <w:t>Na Komisiu sa deleguje právomoc prijať regulačné technické predpisy uvedené</w:t>
      </w:r>
      <w:r w:rsidR="004F01E9">
        <w:rPr>
          <w:noProof/>
        </w:rPr>
        <w:t xml:space="preserve"> v </w:t>
      </w:r>
      <w:r w:rsidRPr="004F01E9">
        <w:rPr>
          <w:noProof/>
        </w:rPr>
        <w:t>prvom pododseku</w:t>
      </w:r>
      <w:r w:rsidR="004F01E9">
        <w:rPr>
          <w:noProof/>
        </w:rPr>
        <w:t xml:space="preserve"> v </w:t>
      </w:r>
      <w:r w:rsidRPr="004F01E9">
        <w:rPr>
          <w:noProof/>
        </w:rPr>
        <w:t>súlade</w:t>
      </w:r>
      <w:r w:rsidR="004F01E9">
        <w:rPr>
          <w:noProof/>
        </w:rPr>
        <w:t xml:space="preserve"> s </w:t>
      </w:r>
      <w:r w:rsidRPr="004F01E9">
        <w:rPr>
          <w:noProof/>
        </w:rPr>
        <w:t xml:space="preserve">článkami 10 až 14 nariadenia (EÚ) </w:t>
      </w:r>
      <w:r w:rsidR="004F01E9">
        <w:rPr>
          <w:noProof/>
        </w:rPr>
        <w:t>č. </w:t>
      </w:r>
      <w:r w:rsidRPr="004F01E9">
        <w:rPr>
          <w:noProof/>
        </w:rPr>
        <w:t>1093/2010.</w:t>
      </w:r>
    </w:p>
    <w:p w14:paraId="51009AD4" w14:textId="1EB5BC1B" w:rsidR="00426FD2" w:rsidRPr="004F01E9" w:rsidRDefault="00426FD2" w:rsidP="00426FD2">
      <w:pPr>
        <w:pStyle w:val="ChapterTitle"/>
        <w:spacing w:before="360"/>
        <w:rPr>
          <w:b w:val="0"/>
          <w:i/>
          <w:noProof/>
        </w:rPr>
      </w:pPr>
      <w:r w:rsidRPr="004F01E9">
        <w:rPr>
          <w:noProof/>
        </w:rPr>
        <w:t xml:space="preserve">KAPITOLA 2 </w:t>
      </w:r>
      <w:r w:rsidRPr="004F01E9">
        <w:rPr>
          <w:noProof/>
        </w:rPr>
        <w:br/>
      </w:r>
      <w:r w:rsidRPr="004F01E9">
        <w:rPr>
          <w:i/>
          <w:iCs/>
          <w:noProof/>
        </w:rPr>
        <w:t>Zber údajov</w:t>
      </w:r>
      <w:r w:rsidR="004F01E9">
        <w:rPr>
          <w:i/>
          <w:iCs/>
          <w:noProof/>
        </w:rPr>
        <w:t xml:space="preserve"> a </w:t>
      </w:r>
      <w:r w:rsidRPr="004F01E9">
        <w:rPr>
          <w:i/>
          <w:iCs/>
          <w:noProof/>
        </w:rPr>
        <w:t>správa</w:t>
      </w:r>
      <w:r w:rsidR="004F01E9">
        <w:rPr>
          <w:i/>
          <w:iCs/>
          <w:noProof/>
        </w:rPr>
        <w:t xml:space="preserve"> a </w:t>
      </w:r>
      <w:r w:rsidRPr="004F01E9">
        <w:rPr>
          <w:i/>
          <w:iCs/>
          <w:noProof/>
        </w:rPr>
        <w:t>riadenie</w:t>
      </w:r>
    </w:p>
    <w:p w14:paraId="1F4085EB" w14:textId="1B897D81" w:rsidR="00426FD2" w:rsidRPr="004F01E9" w:rsidRDefault="00426FD2" w:rsidP="00426FD2">
      <w:pPr>
        <w:pStyle w:val="Titrearticle"/>
        <w:rPr>
          <w:b/>
          <w:bCs/>
          <w:noProof/>
        </w:rPr>
      </w:pPr>
      <w:r w:rsidRPr="004F01E9">
        <w:rPr>
          <w:noProof/>
        </w:rPr>
        <w:t xml:space="preserve">Článok 316 </w:t>
      </w:r>
      <w:r w:rsidRPr="004F01E9">
        <w:rPr>
          <w:noProof/>
        </w:rPr>
        <w:br/>
      </w:r>
      <w:r w:rsidRPr="004F01E9">
        <w:rPr>
          <w:b/>
          <w:i w:val="0"/>
          <w:noProof/>
        </w:rPr>
        <w:t>Výpočet ročnej straty</w:t>
      </w:r>
      <w:r w:rsidR="004F01E9">
        <w:rPr>
          <w:b/>
          <w:i w:val="0"/>
          <w:noProof/>
        </w:rPr>
        <w:t xml:space="preserve"> z </w:t>
      </w:r>
      <w:r w:rsidRPr="004F01E9">
        <w:rPr>
          <w:b/>
          <w:i w:val="0"/>
          <w:noProof/>
        </w:rPr>
        <w:t>operačného rizika</w:t>
      </w:r>
    </w:p>
    <w:p w14:paraId="095E461E" w14:textId="1E283A3D" w:rsidR="00426FD2" w:rsidRPr="004F01E9" w:rsidRDefault="00426FD2" w:rsidP="00426FD2">
      <w:pPr>
        <w:pStyle w:val="Text1"/>
        <w:rPr>
          <w:noProof/>
        </w:rPr>
      </w:pPr>
      <w:r w:rsidRPr="004F01E9">
        <w:rPr>
          <w:noProof/>
        </w:rPr>
        <w:t>1. Inštitúcie, ktorých ukazovateľ obchodovania sa rovná alebo presahuje 750 miliónov EUR, vypočítavajú ročné straty</w:t>
      </w:r>
      <w:r w:rsidR="004F01E9">
        <w:rPr>
          <w:noProof/>
        </w:rPr>
        <w:t xml:space="preserve"> z </w:t>
      </w:r>
      <w:r w:rsidRPr="004F01E9">
        <w:rPr>
          <w:noProof/>
        </w:rPr>
        <w:t>operačného rizika ako súčet všetkých čistých strát za daný finančný rok vypočítaných</w:t>
      </w:r>
      <w:r w:rsidR="004F01E9">
        <w:rPr>
          <w:noProof/>
        </w:rPr>
        <w:t xml:space="preserve"> v </w:t>
      </w:r>
      <w:r w:rsidRPr="004F01E9">
        <w:rPr>
          <w:noProof/>
        </w:rPr>
        <w:t>súlade</w:t>
      </w:r>
      <w:r w:rsidR="004F01E9">
        <w:rPr>
          <w:noProof/>
        </w:rPr>
        <w:t xml:space="preserve"> s </w:t>
      </w:r>
      <w:r w:rsidRPr="004F01E9">
        <w:rPr>
          <w:noProof/>
        </w:rPr>
        <w:t>článkom 318 ods. 1, ktoré sa rovnajú prahovým hodnotám údajov</w:t>
      </w:r>
      <w:r w:rsidR="004F01E9">
        <w:rPr>
          <w:noProof/>
        </w:rPr>
        <w:t xml:space="preserve"> o </w:t>
      </w:r>
      <w:r w:rsidRPr="004F01E9">
        <w:rPr>
          <w:noProof/>
        </w:rPr>
        <w:t>stratách stanoveným</w:t>
      </w:r>
      <w:r w:rsidR="004F01E9">
        <w:rPr>
          <w:noProof/>
        </w:rPr>
        <w:t xml:space="preserve"> v </w:t>
      </w:r>
      <w:r w:rsidRPr="004F01E9">
        <w:rPr>
          <w:noProof/>
        </w:rPr>
        <w:t>článku 319 ods. 1 alebo 2 alebo ich presahujú.</w:t>
      </w:r>
    </w:p>
    <w:p w14:paraId="00B493CA" w14:textId="4777D13E" w:rsidR="00426FD2" w:rsidRPr="004F01E9" w:rsidRDefault="00426FD2" w:rsidP="00426FD2">
      <w:pPr>
        <w:pStyle w:val="Text1"/>
        <w:rPr>
          <w:noProof/>
        </w:rPr>
      </w:pPr>
      <w:r w:rsidRPr="004F01E9">
        <w:rPr>
          <w:noProof/>
        </w:rPr>
        <w:t>Odchylne od prvého pododseku môžu príslušné orgány udeliť výnimku</w:t>
      </w:r>
      <w:r w:rsidR="004F01E9">
        <w:rPr>
          <w:noProof/>
        </w:rPr>
        <w:t xml:space="preserve"> z </w:t>
      </w:r>
      <w:r w:rsidRPr="004F01E9">
        <w:rPr>
          <w:noProof/>
        </w:rPr>
        <w:t>požiadavky na výpočet ročnej straty</w:t>
      </w:r>
      <w:r w:rsidR="004F01E9">
        <w:rPr>
          <w:noProof/>
        </w:rPr>
        <w:t xml:space="preserve"> z </w:t>
      </w:r>
      <w:r w:rsidRPr="004F01E9">
        <w:rPr>
          <w:noProof/>
        </w:rPr>
        <w:t>operačného rizika inštitúciám, ktorých ukazovateľ obchodovania nepresahuje 1 miliardu EUR, za predpokladu, že inštitúcia preukázala</w:t>
      </w:r>
      <w:r w:rsidR="004F01E9">
        <w:rPr>
          <w:noProof/>
        </w:rPr>
        <w:t xml:space="preserve"> k </w:t>
      </w:r>
      <w:r w:rsidRPr="004F01E9">
        <w:rPr>
          <w:noProof/>
        </w:rPr>
        <w:t>spokojnosti príslušného orgánu, že uplatňovanie prvého pododseku by pre ňu bolo neprimerane zaťažujúce.</w:t>
      </w:r>
    </w:p>
    <w:p w14:paraId="2A966A46" w14:textId="5A45779B" w:rsidR="00426FD2" w:rsidRPr="004F01E9" w:rsidRDefault="00426FD2" w:rsidP="00426FD2">
      <w:pPr>
        <w:pStyle w:val="Text1"/>
        <w:rPr>
          <w:noProof/>
        </w:rPr>
      </w:pPr>
      <w:r w:rsidRPr="004F01E9">
        <w:rPr>
          <w:noProof/>
        </w:rPr>
        <w:t>2. Na účely odseku 1 je relevantným ukazovateľom obchodovania najvyššia hodnota ukazovateľa obchodovania, ktorú inštitúcia oznámila</w:t>
      </w:r>
      <w:r w:rsidR="004F01E9">
        <w:rPr>
          <w:noProof/>
        </w:rPr>
        <w:t xml:space="preserve"> k </w:t>
      </w:r>
      <w:r w:rsidRPr="004F01E9">
        <w:rPr>
          <w:noProof/>
        </w:rPr>
        <w:t>posledným ôsmim referenčným dátumom vykazovania. Inštitúcia, ktorá svoj ukazovateľ obchodovania ešte neoznámila, používa svoj najaktuálnejší ukazovateľ obchodovania.</w:t>
      </w:r>
    </w:p>
    <w:p w14:paraId="6777DA9E" w14:textId="00A84CBD" w:rsidR="00426FD2" w:rsidRPr="004F01E9" w:rsidRDefault="00426FD2" w:rsidP="00426FD2">
      <w:pPr>
        <w:pStyle w:val="Text1"/>
        <w:rPr>
          <w:noProof/>
        </w:rPr>
      </w:pPr>
      <w:r w:rsidRPr="004F01E9">
        <w:rPr>
          <w:noProof/>
        </w:rPr>
        <w:t>3. EBA vypracuje návrh regulačných technických predpisov</w:t>
      </w:r>
      <w:r w:rsidR="004F01E9">
        <w:rPr>
          <w:noProof/>
        </w:rPr>
        <w:t xml:space="preserve"> s </w:t>
      </w:r>
      <w:r w:rsidRPr="004F01E9">
        <w:rPr>
          <w:noProof/>
        </w:rPr>
        <w:t>cieľom presne stanoviť podmienku „neprimeranej záťaže“ na účely prvého odseku.</w:t>
      </w:r>
    </w:p>
    <w:p w14:paraId="7C0AC6E9" w14:textId="77777777" w:rsidR="00426FD2" w:rsidRPr="004F01E9" w:rsidRDefault="00426FD2" w:rsidP="00426FD2">
      <w:pPr>
        <w:pStyle w:val="Text1"/>
        <w:rPr>
          <w:noProof/>
        </w:rPr>
      </w:pPr>
      <w:r w:rsidRPr="004F01E9">
        <w:rPr>
          <w:noProof/>
        </w:rPr>
        <w:t>EBA predloží Komisii uvedený návrh regulačných technických predpisov do [Úrad pre publikácie, vložte dátum = 18 mesiacov po nadobudnutí účinnosti tohto nariadenia].</w:t>
      </w:r>
    </w:p>
    <w:p w14:paraId="447DC331" w14:textId="29D84196" w:rsidR="00426FD2" w:rsidRPr="004F01E9" w:rsidRDefault="00426FD2" w:rsidP="00426FD2">
      <w:pPr>
        <w:pStyle w:val="Text1"/>
        <w:rPr>
          <w:noProof/>
        </w:rPr>
      </w:pPr>
      <w:r w:rsidRPr="004F01E9">
        <w:rPr>
          <w:noProof/>
        </w:rPr>
        <w:t>Na Komisiu sa deleguje právomoc prijať regulačné technické predpisy uvedené</w:t>
      </w:r>
      <w:r w:rsidR="004F01E9">
        <w:rPr>
          <w:noProof/>
        </w:rPr>
        <w:t xml:space="preserve"> v </w:t>
      </w:r>
      <w:r w:rsidRPr="004F01E9">
        <w:rPr>
          <w:noProof/>
        </w:rPr>
        <w:t>prvom pododseku</w:t>
      </w:r>
      <w:r w:rsidR="004F01E9">
        <w:rPr>
          <w:noProof/>
        </w:rPr>
        <w:t xml:space="preserve"> v </w:t>
      </w:r>
      <w:r w:rsidRPr="004F01E9">
        <w:rPr>
          <w:noProof/>
        </w:rPr>
        <w:t>súlade</w:t>
      </w:r>
      <w:r w:rsidR="004F01E9">
        <w:rPr>
          <w:noProof/>
        </w:rPr>
        <w:t xml:space="preserve"> s </w:t>
      </w:r>
      <w:r w:rsidRPr="004F01E9">
        <w:rPr>
          <w:noProof/>
        </w:rPr>
        <w:t xml:space="preserve">článkami 10 až 14 nariadenia (EÚ) </w:t>
      </w:r>
      <w:r w:rsidR="004F01E9">
        <w:rPr>
          <w:noProof/>
        </w:rPr>
        <w:t>č. </w:t>
      </w:r>
      <w:r w:rsidRPr="004F01E9">
        <w:rPr>
          <w:noProof/>
        </w:rPr>
        <w:t>1093/2010.</w:t>
      </w:r>
    </w:p>
    <w:p w14:paraId="27B61408" w14:textId="173C9FB7" w:rsidR="00426FD2" w:rsidRPr="004F01E9" w:rsidRDefault="00426FD2" w:rsidP="00426FD2">
      <w:pPr>
        <w:pStyle w:val="Titrearticle"/>
        <w:rPr>
          <w:b/>
          <w:bCs/>
          <w:noProof/>
        </w:rPr>
      </w:pPr>
      <w:r w:rsidRPr="004F01E9">
        <w:rPr>
          <w:noProof/>
        </w:rPr>
        <w:t xml:space="preserve">Článok 317 </w:t>
      </w:r>
      <w:r w:rsidRPr="004F01E9">
        <w:rPr>
          <w:noProof/>
        </w:rPr>
        <w:br/>
      </w:r>
      <w:r w:rsidRPr="004F01E9">
        <w:rPr>
          <w:b/>
          <w:i w:val="0"/>
          <w:noProof/>
        </w:rPr>
        <w:t>Súbor údajov</w:t>
      </w:r>
      <w:r w:rsidR="004F01E9">
        <w:rPr>
          <w:b/>
          <w:i w:val="0"/>
          <w:noProof/>
        </w:rPr>
        <w:t xml:space="preserve"> o </w:t>
      </w:r>
      <w:r w:rsidRPr="004F01E9">
        <w:rPr>
          <w:b/>
          <w:i w:val="0"/>
          <w:noProof/>
        </w:rPr>
        <w:t>stratách</w:t>
      </w:r>
    </w:p>
    <w:p w14:paraId="500C5C2B" w14:textId="4B7EE93F" w:rsidR="00806B81" w:rsidRPr="004F01E9" w:rsidRDefault="00426FD2" w:rsidP="00426FD2">
      <w:pPr>
        <w:pStyle w:val="Text1"/>
        <w:rPr>
          <w:noProof/>
        </w:rPr>
      </w:pPr>
      <w:r w:rsidRPr="004F01E9">
        <w:rPr>
          <w:noProof/>
        </w:rPr>
        <w:t>1. Inštitúcie, ktoré vypočítavajú ročné straty</w:t>
      </w:r>
      <w:r w:rsidR="004F01E9">
        <w:rPr>
          <w:noProof/>
        </w:rPr>
        <w:t xml:space="preserve"> z </w:t>
      </w:r>
      <w:r w:rsidRPr="004F01E9">
        <w:rPr>
          <w:noProof/>
        </w:rPr>
        <w:t>operačného rizika</w:t>
      </w:r>
      <w:r w:rsidR="004F01E9">
        <w:rPr>
          <w:noProof/>
        </w:rPr>
        <w:t xml:space="preserve"> v </w:t>
      </w:r>
      <w:r w:rsidRPr="004F01E9">
        <w:rPr>
          <w:noProof/>
        </w:rPr>
        <w:t>súlade</w:t>
      </w:r>
      <w:r w:rsidR="004F01E9">
        <w:rPr>
          <w:noProof/>
        </w:rPr>
        <w:t xml:space="preserve"> s </w:t>
      </w:r>
      <w:r w:rsidRPr="004F01E9">
        <w:rPr>
          <w:noProof/>
        </w:rPr>
        <w:t>článkom 316 ods. 1, musia mať zavedené opatrenia, postupy</w:t>
      </w:r>
      <w:r w:rsidR="004F01E9">
        <w:rPr>
          <w:noProof/>
        </w:rPr>
        <w:t xml:space="preserve"> a </w:t>
      </w:r>
      <w:r w:rsidRPr="004F01E9">
        <w:rPr>
          <w:noProof/>
        </w:rPr>
        <w:t>mechanizmy na priebežné informovanie</w:t>
      </w:r>
      <w:r w:rsidR="004F01E9">
        <w:rPr>
          <w:noProof/>
        </w:rPr>
        <w:t xml:space="preserve"> a </w:t>
      </w:r>
      <w:r w:rsidRPr="004F01E9">
        <w:rPr>
          <w:noProof/>
        </w:rPr>
        <w:t>udržiavanie aktualizovaného súboru údajov</w:t>
      </w:r>
      <w:r w:rsidR="004F01E9">
        <w:rPr>
          <w:noProof/>
        </w:rPr>
        <w:t xml:space="preserve"> o </w:t>
      </w:r>
      <w:r w:rsidRPr="004F01E9">
        <w:rPr>
          <w:noProof/>
        </w:rPr>
        <w:t>stratách,</w:t>
      </w:r>
      <w:r w:rsidR="004F01E9">
        <w:rPr>
          <w:noProof/>
        </w:rPr>
        <w:t xml:space="preserve"> v </w:t>
      </w:r>
      <w:r w:rsidRPr="004F01E9">
        <w:rPr>
          <w:noProof/>
        </w:rPr>
        <w:t>ktorej sa pre každú zaznamenanú udalosť operačného rizika zostavujú sumy hrubých strát, nepoistné náhrady, poistné náhrady, referenčný dátum</w:t>
      </w:r>
      <w:r w:rsidR="004F01E9">
        <w:rPr>
          <w:noProof/>
        </w:rPr>
        <w:t xml:space="preserve"> a </w:t>
      </w:r>
      <w:r w:rsidRPr="004F01E9">
        <w:rPr>
          <w:noProof/>
        </w:rPr>
        <w:t>zoskupené straty vrátane strát vyplývajúcich</w:t>
      </w:r>
      <w:r w:rsidR="004F01E9">
        <w:rPr>
          <w:noProof/>
        </w:rPr>
        <w:t xml:space="preserve"> z </w:t>
      </w:r>
      <w:r w:rsidRPr="004F01E9">
        <w:rPr>
          <w:noProof/>
        </w:rPr>
        <w:t>udalostí vyvolaných pochybením.</w:t>
      </w:r>
    </w:p>
    <w:p w14:paraId="1429C1D5" w14:textId="3C17B073" w:rsidR="00806B81" w:rsidRPr="004F01E9" w:rsidRDefault="00426FD2" w:rsidP="00426FD2">
      <w:pPr>
        <w:pStyle w:val="Text1"/>
        <w:rPr>
          <w:noProof/>
        </w:rPr>
      </w:pPr>
      <w:r w:rsidRPr="004F01E9">
        <w:rPr>
          <w:noProof/>
        </w:rPr>
        <w:t>2. Súbor údajov</w:t>
      </w:r>
      <w:r w:rsidR="004F01E9">
        <w:rPr>
          <w:noProof/>
        </w:rPr>
        <w:t xml:space="preserve"> o </w:t>
      </w:r>
      <w:r w:rsidRPr="004F01E9">
        <w:rPr>
          <w:noProof/>
        </w:rPr>
        <w:t>stratách inštitúcie zachytáva všetky udalosti operačného rizika vyplývajúce zo všetkých subjektov, ktoré sú súčasťou rozsahu pôsobnosti konsolidácií podľa prvej časti hlavy II kapitoly 2.</w:t>
      </w:r>
    </w:p>
    <w:p w14:paraId="6FC0E8FF" w14:textId="77777777" w:rsidR="00806B81" w:rsidRPr="004F01E9" w:rsidRDefault="00426FD2" w:rsidP="00426FD2">
      <w:pPr>
        <w:pStyle w:val="Text1"/>
        <w:rPr>
          <w:noProof/>
        </w:rPr>
      </w:pPr>
      <w:r w:rsidRPr="004F01E9">
        <w:rPr>
          <w:noProof/>
        </w:rPr>
        <w:t>3. Na účel odseku 1 musia inštitúcie:</w:t>
      </w:r>
    </w:p>
    <w:p w14:paraId="7F6B38AC" w14:textId="69659CCC" w:rsidR="00426FD2" w:rsidRPr="004F01E9" w:rsidRDefault="00426FD2" w:rsidP="00426FD2">
      <w:pPr>
        <w:pStyle w:val="Point1"/>
        <w:rPr>
          <w:noProof/>
        </w:rPr>
      </w:pPr>
      <w:r w:rsidRPr="004F01E9">
        <w:rPr>
          <w:noProof/>
        </w:rPr>
        <w:t>a)</w:t>
      </w:r>
      <w:r w:rsidRPr="004F01E9">
        <w:rPr>
          <w:noProof/>
        </w:rPr>
        <w:tab/>
        <w:t>zahrnúť do súboru údajov</w:t>
      </w:r>
      <w:r w:rsidR="004F01E9">
        <w:rPr>
          <w:noProof/>
        </w:rPr>
        <w:t xml:space="preserve"> o </w:t>
      </w:r>
      <w:r w:rsidRPr="004F01E9">
        <w:rPr>
          <w:noProof/>
        </w:rPr>
        <w:t>stratách každú udalosť operačného rizika zaznamenanú počas jedného alebo viacerých finančných rokov;</w:t>
      </w:r>
    </w:p>
    <w:p w14:paraId="0829FAEE" w14:textId="486DC9BB" w:rsidR="00806B81" w:rsidRPr="004F01E9" w:rsidRDefault="00426FD2" w:rsidP="00426FD2">
      <w:pPr>
        <w:pStyle w:val="Point1"/>
        <w:rPr>
          <w:noProof/>
        </w:rPr>
      </w:pPr>
      <w:r w:rsidRPr="004F01E9">
        <w:rPr>
          <w:noProof/>
        </w:rPr>
        <w:t>b)</w:t>
      </w:r>
      <w:r w:rsidRPr="004F01E9">
        <w:rPr>
          <w:noProof/>
        </w:rPr>
        <w:tab/>
        <w:t>použiť dátum najneskôr</w:t>
      </w:r>
      <w:r w:rsidR="004F01E9">
        <w:rPr>
          <w:noProof/>
        </w:rPr>
        <w:t xml:space="preserve"> k </w:t>
      </w:r>
      <w:r w:rsidRPr="004F01E9">
        <w:rPr>
          <w:noProof/>
        </w:rPr>
        <w:t>dátumu zaúčtovania strát súvisiacich</w:t>
      </w:r>
      <w:r w:rsidR="004F01E9">
        <w:rPr>
          <w:noProof/>
        </w:rPr>
        <w:t xml:space="preserve"> s </w:t>
      </w:r>
      <w:r w:rsidRPr="004F01E9">
        <w:rPr>
          <w:noProof/>
        </w:rPr>
        <w:t>udalosťami operačného rizika do súboru údajov</w:t>
      </w:r>
      <w:r w:rsidR="004F01E9">
        <w:rPr>
          <w:noProof/>
        </w:rPr>
        <w:t xml:space="preserve"> o </w:t>
      </w:r>
      <w:r w:rsidRPr="004F01E9">
        <w:rPr>
          <w:noProof/>
        </w:rPr>
        <w:t>strate;</w:t>
      </w:r>
    </w:p>
    <w:p w14:paraId="352537E4" w14:textId="113DC05E" w:rsidR="00426FD2" w:rsidRPr="004F01E9" w:rsidRDefault="00426FD2" w:rsidP="00426FD2">
      <w:pPr>
        <w:pStyle w:val="Point1"/>
        <w:rPr>
          <w:noProof/>
        </w:rPr>
      </w:pPr>
      <w:r w:rsidRPr="004F01E9">
        <w:rPr>
          <w:noProof/>
        </w:rPr>
        <w:t>c)</w:t>
      </w:r>
      <w:r w:rsidRPr="004F01E9">
        <w:rPr>
          <w:noProof/>
        </w:rPr>
        <w:tab/>
        <w:t>v súlade so svojim postupom účtovania rozdeliť straty</w:t>
      </w:r>
      <w:r w:rsidR="004F01E9">
        <w:rPr>
          <w:noProof/>
        </w:rPr>
        <w:t xml:space="preserve"> a </w:t>
      </w:r>
      <w:r w:rsidRPr="004F01E9">
        <w:rPr>
          <w:noProof/>
        </w:rPr>
        <w:t>súvisiace náhrady vykázané na účtoch počas niekoľkých rokov do zodpovedajúcich finančných rokov súboru údajov</w:t>
      </w:r>
      <w:r w:rsidR="004F01E9">
        <w:rPr>
          <w:noProof/>
        </w:rPr>
        <w:t xml:space="preserve"> o </w:t>
      </w:r>
      <w:r w:rsidRPr="004F01E9">
        <w:rPr>
          <w:noProof/>
        </w:rPr>
        <w:t>stratách.</w:t>
      </w:r>
    </w:p>
    <w:p w14:paraId="6FDDEAE9" w14:textId="77777777" w:rsidR="00426FD2" w:rsidRPr="004F01E9" w:rsidRDefault="00426FD2" w:rsidP="00426FD2">
      <w:pPr>
        <w:pStyle w:val="Text1"/>
        <w:rPr>
          <w:noProof/>
        </w:rPr>
      </w:pPr>
      <w:r w:rsidRPr="004F01E9">
        <w:rPr>
          <w:noProof/>
        </w:rPr>
        <w:t>4. Inštitúcie takisto zhromažďujú:</w:t>
      </w:r>
    </w:p>
    <w:p w14:paraId="2F89D89E" w14:textId="6F97EE38" w:rsidR="00426FD2" w:rsidRPr="004F01E9" w:rsidRDefault="00426FD2" w:rsidP="00426FD2">
      <w:pPr>
        <w:pStyle w:val="Point1"/>
        <w:rPr>
          <w:noProof/>
        </w:rPr>
      </w:pPr>
      <w:r w:rsidRPr="004F01E9">
        <w:rPr>
          <w:noProof/>
        </w:rPr>
        <w:t>a)</w:t>
      </w:r>
      <w:r w:rsidRPr="004F01E9">
        <w:rPr>
          <w:noProof/>
        </w:rPr>
        <w:tab/>
        <w:t>informácie</w:t>
      </w:r>
      <w:r w:rsidR="004F01E9">
        <w:rPr>
          <w:noProof/>
        </w:rPr>
        <w:t xml:space="preserve"> o </w:t>
      </w:r>
      <w:r w:rsidRPr="004F01E9">
        <w:rPr>
          <w:noProof/>
        </w:rPr>
        <w:t>referenčných dátumoch udalostí operačného rizika vrátane:</w:t>
      </w:r>
    </w:p>
    <w:p w14:paraId="2D7E4460" w14:textId="6BACDD7F" w:rsidR="00806B81" w:rsidRPr="004F01E9" w:rsidRDefault="00426FD2" w:rsidP="00426FD2">
      <w:pPr>
        <w:pStyle w:val="Point2"/>
        <w:rPr>
          <w:noProof/>
        </w:rPr>
      </w:pPr>
      <w:r w:rsidRPr="004F01E9">
        <w:rPr>
          <w:noProof/>
        </w:rPr>
        <w:t>i)</w:t>
      </w:r>
      <w:r w:rsidRPr="004F01E9">
        <w:rPr>
          <w:noProof/>
        </w:rPr>
        <w:tab/>
        <w:t>dátumu, kedy nastala alebo prvýkrát začala udalosť operačného rizika („dátum výskytu udalosti“), ak je</w:t>
      </w:r>
      <w:r w:rsidR="004F01E9">
        <w:rPr>
          <w:noProof/>
        </w:rPr>
        <w:t xml:space="preserve"> k </w:t>
      </w:r>
      <w:r w:rsidRPr="004F01E9">
        <w:rPr>
          <w:noProof/>
        </w:rPr>
        <w:t>dispozícii;</w:t>
      </w:r>
    </w:p>
    <w:p w14:paraId="429C27FC" w14:textId="77801878" w:rsidR="00806B81" w:rsidRPr="004F01E9" w:rsidRDefault="00426FD2" w:rsidP="00426FD2">
      <w:pPr>
        <w:pStyle w:val="Point2"/>
        <w:rPr>
          <w:noProof/>
        </w:rPr>
      </w:pPr>
      <w:r w:rsidRPr="004F01E9">
        <w:rPr>
          <w:noProof/>
        </w:rPr>
        <w:t>ii)</w:t>
      </w:r>
      <w:r w:rsidRPr="004F01E9">
        <w:rPr>
          <w:noProof/>
        </w:rPr>
        <w:tab/>
        <w:t>dátumu, keď sa inštitúcia dozvedela</w:t>
      </w:r>
      <w:r w:rsidR="004F01E9">
        <w:rPr>
          <w:noProof/>
        </w:rPr>
        <w:t xml:space="preserve"> o </w:t>
      </w:r>
      <w:r w:rsidRPr="004F01E9">
        <w:rPr>
          <w:noProof/>
        </w:rPr>
        <w:t>udalosti operačného rizika („dátum zistenia“);</w:t>
      </w:r>
    </w:p>
    <w:p w14:paraId="1B75D8DB" w14:textId="4C98A051" w:rsidR="00806B81" w:rsidRPr="004F01E9" w:rsidRDefault="00426FD2" w:rsidP="00426FD2">
      <w:pPr>
        <w:pStyle w:val="Point2"/>
        <w:rPr>
          <w:noProof/>
        </w:rPr>
      </w:pPr>
      <w:r w:rsidRPr="004F01E9">
        <w:rPr>
          <w:noProof/>
        </w:rPr>
        <w:t>iii)</w:t>
      </w:r>
      <w:r w:rsidRPr="004F01E9">
        <w:rPr>
          <w:noProof/>
        </w:rPr>
        <w:tab/>
        <w:t>dátumu alebo dátumov, ku ktorým udalosť operačného rizika vedie</w:t>
      </w:r>
      <w:r w:rsidR="004F01E9">
        <w:rPr>
          <w:noProof/>
        </w:rPr>
        <w:t xml:space="preserve"> k </w:t>
      </w:r>
      <w:r w:rsidRPr="004F01E9">
        <w:rPr>
          <w:noProof/>
        </w:rPr>
        <w:t>strate alebo</w:t>
      </w:r>
      <w:r w:rsidR="004F01E9">
        <w:rPr>
          <w:noProof/>
        </w:rPr>
        <w:t xml:space="preserve"> k </w:t>
      </w:r>
      <w:r w:rsidRPr="004F01E9">
        <w:rPr>
          <w:noProof/>
        </w:rPr>
        <w:t>rezerve na stratu vykázanej vo výkazoch ziskov</w:t>
      </w:r>
      <w:r w:rsidR="004F01E9">
        <w:rPr>
          <w:noProof/>
        </w:rPr>
        <w:t xml:space="preserve"> a </w:t>
      </w:r>
      <w:r w:rsidRPr="004F01E9">
        <w:rPr>
          <w:noProof/>
        </w:rPr>
        <w:t>strát inštitúcie („dátum zaúčtovania“);</w:t>
      </w:r>
    </w:p>
    <w:p w14:paraId="6BFE2E5C" w14:textId="59A87E7A" w:rsidR="00806B81" w:rsidRPr="004F01E9" w:rsidRDefault="00426FD2" w:rsidP="00426FD2">
      <w:pPr>
        <w:pStyle w:val="Point1"/>
        <w:rPr>
          <w:noProof/>
        </w:rPr>
      </w:pPr>
      <w:r w:rsidRPr="004F01E9">
        <w:rPr>
          <w:noProof/>
        </w:rPr>
        <w:t>b)</w:t>
      </w:r>
      <w:r w:rsidRPr="004F01E9">
        <w:rPr>
          <w:noProof/>
        </w:rPr>
        <w:tab/>
        <w:t>informácií</w:t>
      </w:r>
      <w:r w:rsidR="004F01E9">
        <w:rPr>
          <w:noProof/>
        </w:rPr>
        <w:t xml:space="preserve"> o </w:t>
      </w:r>
      <w:r w:rsidRPr="004F01E9">
        <w:rPr>
          <w:noProof/>
        </w:rPr>
        <w:t>akýchkoľvek realizovaných náhradách hrubých strát, ako aj opisných informácií</w:t>
      </w:r>
      <w:r w:rsidR="004F01E9">
        <w:rPr>
          <w:noProof/>
        </w:rPr>
        <w:t xml:space="preserve"> o </w:t>
      </w:r>
      <w:r w:rsidRPr="004F01E9">
        <w:rPr>
          <w:noProof/>
        </w:rPr>
        <w:t>faktoroch alebo príčinách stratových udalostí.</w:t>
      </w:r>
    </w:p>
    <w:p w14:paraId="693FDC87" w14:textId="0FC0A171" w:rsidR="00426FD2" w:rsidRPr="004F01E9" w:rsidRDefault="00426FD2" w:rsidP="00426FD2">
      <w:pPr>
        <w:pStyle w:val="Text1"/>
        <w:rPr>
          <w:noProof/>
        </w:rPr>
      </w:pPr>
      <w:r w:rsidRPr="004F01E9">
        <w:rPr>
          <w:noProof/>
        </w:rPr>
        <w:t>Miera podrobnosti akýchkoľvek opisných informácií musí zodpovedať výške hrubej straty.</w:t>
      </w:r>
    </w:p>
    <w:p w14:paraId="51FC12A4" w14:textId="61BB16A8" w:rsidR="00426FD2" w:rsidRPr="004F01E9" w:rsidRDefault="00426FD2" w:rsidP="00426FD2">
      <w:pPr>
        <w:pStyle w:val="Text1"/>
        <w:rPr>
          <w:noProof/>
        </w:rPr>
      </w:pPr>
      <w:r w:rsidRPr="004F01E9">
        <w:rPr>
          <w:noProof/>
        </w:rPr>
        <w:t>5. Inštitúcia do súboru údajov</w:t>
      </w:r>
      <w:r w:rsidR="004F01E9">
        <w:rPr>
          <w:noProof/>
        </w:rPr>
        <w:t xml:space="preserve"> o </w:t>
      </w:r>
      <w:r w:rsidRPr="004F01E9">
        <w:rPr>
          <w:noProof/>
        </w:rPr>
        <w:t>stratách nezahrnie udalosti operačného rizika súvisiace</w:t>
      </w:r>
      <w:r w:rsidR="004F01E9">
        <w:rPr>
          <w:noProof/>
        </w:rPr>
        <w:t xml:space="preserve"> s </w:t>
      </w:r>
      <w:r w:rsidRPr="004F01E9">
        <w:rPr>
          <w:noProof/>
        </w:rPr>
        <w:t>kreditným rizikom, ktoré sú započítané do hodnoty rizikovo váženej expozície pre kreditné riziko. Udalosti operačného rizika, ktoré súvisia</w:t>
      </w:r>
      <w:r w:rsidR="004F01E9">
        <w:rPr>
          <w:noProof/>
        </w:rPr>
        <w:t xml:space="preserve"> s </w:t>
      </w:r>
      <w:r w:rsidRPr="004F01E9">
        <w:rPr>
          <w:noProof/>
        </w:rPr>
        <w:t>kreditným rizika, ale nie sú započítané do hodnoty rizikovo váženej expozície pre kreditné riziko, sa zahŕňajú do súboru údajov</w:t>
      </w:r>
      <w:r w:rsidR="004F01E9">
        <w:rPr>
          <w:noProof/>
        </w:rPr>
        <w:t xml:space="preserve"> o </w:t>
      </w:r>
      <w:r w:rsidRPr="004F01E9">
        <w:rPr>
          <w:noProof/>
        </w:rPr>
        <w:t>stratách.</w:t>
      </w:r>
    </w:p>
    <w:p w14:paraId="4E63F11F" w14:textId="59FC5364" w:rsidR="00426FD2" w:rsidRPr="004F01E9" w:rsidRDefault="00426FD2" w:rsidP="00426FD2">
      <w:pPr>
        <w:pStyle w:val="Text1"/>
        <w:rPr>
          <w:noProof/>
        </w:rPr>
      </w:pPr>
      <w:r w:rsidRPr="004F01E9">
        <w:rPr>
          <w:noProof/>
        </w:rPr>
        <w:t>6.</w:t>
      </w:r>
      <w:r w:rsidR="004F01E9">
        <w:rPr>
          <w:noProof/>
        </w:rPr>
        <w:t xml:space="preserve"> S </w:t>
      </w:r>
      <w:r w:rsidRPr="004F01E9">
        <w:rPr>
          <w:noProof/>
        </w:rPr>
        <w:t>udalosťami operačného rizika súvisiacimi</w:t>
      </w:r>
      <w:r w:rsidR="004F01E9">
        <w:rPr>
          <w:noProof/>
        </w:rPr>
        <w:t xml:space="preserve"> s </w:t>
      </w:r>
      <w:r w:rsidRPr="004F01E9">
        <w:rPr>
          <w:noProof/>
        </w:rPr>
        <w:t>trhovým rizikom sa zaobchádza ako</w:t>
      </w:r>
      <w:r w:rsidR="004F01E9">
        <w:rPr>
          <w:noProof/>
        </w:rPr>
        <w:t xml:space="preserve"> s </w:t>
      </w:r>
      <w:r w:rsidRPr="004F01E9">
        <w:rPr>
          <w:noProof/>
        </w:rPr>
        <w:t>operačným rizikom</w:t>
      </w:r>
      <w:r w:rsidR="004F01E9">
        <w:rPr>
          <w:noProof/>
        </w:rPr>
        <w:t xml:space="preserve"> a </w:t>
      </w:r>
      <w:r w:rsidRPr="004F01E9">
        <w:rPr>
          <w:noProof/>
        </w:rPr>
        <w:t>zahŕňajú sa do súboru údajov</w:t>
      </w:r>
      <w:r w:rsidR="004F01E9">
        <w:rPr>
          <w:noProof/>
        </w:rPr>
        <w:t xml:space="preserve"> o </w:t>
      </w:r>
      <w:r w:rsidRPr="004F01E9">
        <w:rPr>
          <w:noProof/>
        </w:rPr>
        <w:t>stratách.</w:t>
      </w:r>
    </w:p>
    <w:p w14:paraId="6B262067" w14:textId="66FABE18" w:rsidR="00426FD2" w:rsidRPr="004F01E9" w:rsidRDefault="00426FD2" w:rsidP="00426FD2">
      <w:pPr>
        <w:pStyle w:val="Text1"/>
        <w:rPr>
          <w:noProof/>
        </w:rPr>
      </w:pPr>
      <w:r w:rsidRPr="004F01E9">
        <w:rPr>
          <w:noProof/>
        </w:rPr>
        <w:t>7. Inštitúcia na žiadosť príslušného orgánu priraďuje svoje historické interné údaje</w:t>
      </w:r>
      <w:r w:rsidR="004F01E9">
        <w:rPr>
          <w:noProof/>
        </w:rPr>
        <w:t xml:space="preserve"> o </w:t>
      </w:r>
      <w:r w:rsidRPr="004F01E9">
        <w:rPr>
          <w:noProof/>
        </w:rPr>
        <w:t>stratách</w:t>
      </w:r>
      <w:r w:rsidR="004F01E9">
        <w:rPr>
          <w:noProof/>
        </w:rPr>
        <w:t xml:space="preserve"> k </w:t>
      </w:r>
      <w:r w:rsidRPr="004F01E9">
        <w:rPr>
          <w:noProof/>
        </w:rPr>
        <w:t>druhu udalostí.</w:t>
      </w:r>
    </w:p>
    <w:p w14:paraId="30B61012" w14:textId="49D7C8D5" w:rsidR="00426FD2" w:rsidRPr="004F01E9" w:rsidRDefault="00426FD2" w:rsidP="00426FD2">
      <w:pPr>
        <w:pStyle w:val="Text1"/>
        <w:rPr>
          <w:noProof/>
        </w:rPr>
      </w:pPr>
      <w:r w:rsidRPr="004F01E9">
        <w:rPr>
          <w:noProof/>
        </w:rPr>
        <w:t>8. Na účely tohto článku inštitúcie zabezpečujú spoľahlivosť, odolnosť</w:t>
      </w:r>
      <w:r w:rsidR="004F01E9">
        <w:rPr>
          <w:noProof/>
        </w:rPr>
        <w:t xml:space="preserve"> a </w:t>
      </w:r>
      <w:r w:rsidRPr="004F01E9">
        <w:rPr>
          <w:noProof/>
        </w:rPr>
        <w:t>výkonnosť infraštruktúry IT potrebnej na udržiavanie</w:t>
      </w:r>
      <w:r w:rsidR="004F01E9">
        <w:rPr>
          <w:noProof/>
        </w:rPr>
        <w:t xml:space="preserve"> a </w:t>
      </w:r>
      <w:r w:rsidRPr="004F01E9">
        <w:rPr>
          <w:noProof/>
        </w:rPr>
        <w:t>aktualizáciu súboru údajov</w:t>
      </w:r>
      <w:r w:rsidR="004F01E9">
        <w:rPr>
          <w:noProof/>
        </w:rPr>
        <w:t xml:space="preserve"> o </w:t>
      </w:r>
      <w:r w:rsidRPr="004F01E9">
        <w:rPr>
          <w:noProof/>
        </w:rPr>
        <w:t>stratách potvrdením všetkých týchto skutočností:</w:t>
      </w:r>
    </w:p>
    <w:p w14:paraId="539357BB" w14:textId="04EBA09A" w:rsidR="00426FD2" w:rsidRPr="004F01E9" w:rsidRDefault="00426FD2" w:rsidP="00426FD2">
      <w:pPr>
        <w:pStyle w:val="Point1"/>
        <w:rPr>
          <w:noProof/>
        </w:rPr>
      </w:pPr>
      <w:r w:rsidRPr="004F01E9">
        <w:rPr>
          <w:noProof/>
        </w:rPr>
        <w:t>a)</w:t>
      </w:r>
      <w:r w:rsidRPr="004F01E9">
        <w:rPr>
          <w:noProof/>
        </w:rPr>
        <w:tab/>
        <w:t>že IT systémy</w:t>
      </w:r>
      <w:r w:rsidR="004F01E9">
        <w:rPr>
          <w:noProof/>
        </w:rPr>
        <w:t xml:space="preserve"> a </w:t>
      </w:r>
      <w:r w:rsidRPr="004F01E9">
        <w:rPr>
          <w:noProof/>
        </w:rPr>
        <w:t>infraštruktúra inštitúcie na účely tohto článku sú odolné</w:t>
      </w:r>
      <w:r w:rsidR="004F01E9">
        <w:rPr>
          <w:noProof/>
        </w:rPr>
        <w:t xml:space="preserve"> a </w:t>
      </w:r>
      <w:r w:rsidRPr="004F01E9">
        <w:rPr>
          <w:noProof/>
        </w:rPr>
        <w:t>spoľahlivé</w:t>
      </w:r>
      <w:r w:rsidR="004F01E9">
        <w:rPr>
          <w:noProof/>
        </w:rPr>
        <w:t xml:space="preserve"> a </w:t>
      </w:r>
      <w:r w:rsidRPr="004F01E9">
        <w:rPr>
          <w:noProof/>
        </w:rPr>
        <w:t>že túto odolnosť</w:t>
      </w:r>
      <w:r w:rsidR="004F01E9">
        <w:rPr>
          <w:noProof/>
        </w:rPr>
        <w:t xml:space="preserve"> a </w:t>
      </w:r>
      <w:r w:rsidRPr="004F01E9">
        <w:rPr>
          <w:noProof/>
        </w:rPr>
        <w:t>spoľahlivosť možno priebežne udržiavať;</w:t>
      </w:r>
    </w:p>
    <w:p w14:paraId="0641EFFA" w14:textId="77164F5E" w:rsidR="00806B81" w:rsidRPr="004F01E9" w:rsidRDefault="00426FD2" w:rsidP="00426FD2">
      <w:pPr>
        <w:pStyle w:val="Point1"/>
        <w:rPr>
          <w:noProof/>
        </w:rPr>
      </w:pPr>
      <w:r w:rsidRPr="004F01E9">
        <w:rPr>
          <w:noProof/>
        </w:rPr>
        <w:t>b)</w:t>
      </w:r>
      <w:r w:rsidRPr="004F01E9">
        <w:rPr>
          <w:noProof/>
        </w:rPr>
        <w:tab/>
        <w:t>že IT infraštruktúra inštitúcie implementovaná na účely tohto článku podlieha procesom riadenia konfigurácie, riadenia zmien</w:t>
      </w:r>
      <w:r w:rsidR="004F01E9">
        <w:rPr>
          <w:noProof/>
        </w:rPr>
        <w:t xml:space="preserve"> a </w:t>
      </w:r>
      <w:r w:rsidRPr="004F01E9">
        <w:rPr>
          <w:noProof/>
        </w:rPr>
        <w:t>plánu riadenia zverejňovania;</w:t>
      </w:r>
    </w:p>
    <w:p w14:paraId="5C0D0CD0" w14:textId="610F8A68" w:rsidR="00426FD2" w:rsidRPr="004F01E9" w:rsidRDefault="00426FD2" w:rsidP="00426FD2">
      <w:pPr>
        <w:pStyle w:val="Point1"/>
        <w:rPr>
          <w:noProof/>
        </w:rPr>
      </w:pPr>
      <w:r w:rsidRPr="004F01E9">
        <w:rPr>
          <w:noProof/>
        </w:rPr>
        <w:t>c)</w:t>
      </w:r>
      <w:r w:rsidRPr="004F01E9">
        <w:rPr>
          <w:noProof/>
        </w:rPr>
        <w:tab/>
        <w:t>ak inštitúcia externe zabezpečuje časti údržby IT infraštruktúry implementovanej na účely tohto článku, že spoľahlivosť, odolnosť</w:t>
      </w:r>
      <w:r w:rsidR="004F01E9">
        <w:rPr>
          <w:noProof/>
        </w:rPr>
        <w:t xml:space="preserve"> a </w:t>
      </w:r>
      <w:r w:rsidRPr="004F01E9">
        <w:rPr>
          <w:noProof/>
        </w:rPr>
        <w:t>výkonnosť infraštruktúry IT je zabezpečená potvrdením aspoň toho, že:</w:t>
      </w:r>
    </w:p>
    <w:p w14:paraId="6A3F3C4B" w14:textId="451168B5" w:rsidR="00806B81" w:rsidRPr="004F01E9" w:rsidRDefault="00426FD2" w:rsidP="00426FD2">
      <w:pPr>
        <w:pStyle w:val="Point2"/>
        <w:rPr>
          <w:noProof/>
        </w:rPr>
      </w:pPr>
      <w:r w:rsidRPr="004F01E9">
        <w:rPr>
          <w:noProof/>
        </w:rPr>
        <w:t>i)</w:t>
      </w:r>
      <w:r w:rsidRPr="004F01E9">
        <w:rPr>
          <w:noProof/>
        </w:rPr>
        <w:tab/>
        <w:t>IT systémy</w:t>
      </w:r>
      <w:r w:rsidR="004F01E9">
        <w:rPr>
          <w:noProof/>
        </w:rPr>
        <w:t xml:space="preserve"> a </w:t>
      </w:r>
      <w:r w:rsidRPr="004F01E9">
        <w:rPr>
          <w:noProof/>
        </w:rPr>
        <w:t>infraštruktúra inštitúcie na účely tohto článku sú odolné</w:t>
      </w:r>
      <w:r w:rsidR="004F01E9">
        <w:rPr>
          <w:noProof/>
        </w:rPr>
        <w:t xml:space="preserve"> a </w:t>
      </w:r>
      <w:r w:rsidRPr="004F01E9">
        <w:rPr>
          <w:noProof/>
        </w:rPr>
        <w:t>spoľahlivé</w:t>
      </w:r>
      <w:r w:rsidR="004F01E9">
        <w:rPr>
          <w:noProof/>
        </w:rPr>
        <w:t xml:space="preserve"> a </w:t>
      </w:r>
      <w:r w:rsidRPr="004F01E9">
        <w:rPr>
          <w:noProof/>
        </w:rPr>
        <w:t>že tieto vlastnosti možno priebežne udržiavať;</w:t>
      </w:r>
    </w:p>
    <w:p w14:paraId="5F799803" w14:textId="37B5FA67" w:rsidR="00426FD2" w:rsidRPr="004F01E9" w:rsidRDefault="00426FD2" w:rsidP="00426FD2">
      <w:pPr>
        <w:pStyle w:val="Point2"/>
        <w:rPr>
          <w:noProof/>
        </w:rPr>
      </w:pPr>
      <w:r w:rsidRPr="004F01E9">
        <w:rPr>
          <w:noProof/>
        </w:rPr>
        <w:t>ii)</w:t>
      </w:r>
      <w:r w:rsidRPr="004F01E9">
        <w:rPr>
          <w:noProof/>
        </w:rPr>
        <w:tab/>
        <w:t>proces plánovania, vytvárania, testovania</w:t>
      </w:r>
      <w:r w:rsidR="004F01E9">
        <w:rPr>
          <w:noProof/>
        </w:rPr>
        <w:t xml:space="preserve"> a </w:t>
      </w:r>
      <w:r w:rsidRPr="004F01E9">
        <w:rPr>
          <w:noProof/>
        </w:rPr>
        <w:t>zavádzania infraštruktúry IT na účely tohto článku je odolný</w:t>
      </w:r>
      <w:r w:rsidR="004F01E9">
        <w:rPr>
          <w:noProof/>
        </w:rPr>
        <w:t xml:space="preserve"> a </w:t>
      </w:r>
      <w:r w:rsidRPr="004F01E9">
        <w:rPr>
          <w:noProof/>
        </w:rPr>
        <w:t>vhodný, pokiaľ ide</w:t>
      </w:r>
      <w:r w:rsidR="004F01E9">
        <w:rPr>
          <w:noProof/>
        </w:rPr>
        <w:t xml:space="preserve"> o </w:t>
      </w:r>
      <w:r w:rsidRPr="004F01E9">
        <w:rPr>
          <w:noProof/>
        </w:rPr>
        <w:t>riadenie projektov, riadenie rizík, inžinierstvo, zabezpečenie kvality</w:t>
      </w:r>
      <w:r w:rsidR="004F01E9">
        <w:rPr>
          <w:noProof/>
        </w:rPr>
        <w:t xml:space="preserve"> a </w:t>
      </w:r>
      <w:r w:rsidRPr="004F01E9">
        <w:rPr>
          <w:noProof/>
        </w:rPr>
        <w:t>plánovanie testov, modelovanie</w:t>
      </w:r>
      <w:r w:rsidR="004F01E9">
        <w:rPr>
          <w:noProof/>
        </w:rPr>
        <w:t xml:space="preserve"> a </w:t>
      </w:r>
      <w:r w:rsidRPr="004F01E9">
        <w:rPr>
          <w:noProof/>
        </w:rPr>
        <w:t>vývoj systémov, zabezpečenie kvality vo všetkých činnostiach vrátane preskúmaní kódu</w:t>
      </w:r>
      <w:r w:rsidR="004F01E9">
        <w:rPr>
          <w:noProof/>
        </w:rPr>
        <w:t xml:space="preserve"> a </w:t>
      </w:r>
      <w:r w:rsidRPr="004F01E9">
        <w:rPr>
          <w:noProof/>
        </w:rPr>
        <w:t>prípadne aj overenia kódu</w:t>
      </w:r>
      <w:r w:rsidR="004F01E9">
        <w:rPr>
          <w:noProof/>
        </w:rPr>
        <w:t xml:space="preserve"> a </w:t>
      </w:r>
      <w:r w:rsidRPr="004F01E9">
        <w:rPr>
          <w:noProof/>
        </w:rPr>
        <w:t>testovanie vrátane prijatia používateľmi;</w:t>
      </w:r>
    </w:p>
    <w:p w14:paraId="56C982AE" w14:textId="40ACF26E" w:rsidR="00426FD2" w:rsidRPr="004F01E9" w:rsidRDefault="00426FD2" w:rsidP="00426FD2">
      <w:pPr>
        <w:pStyle w:val="Point2"/>
        <w:rPr>
          <w:noProof/>
        </w:rPr>
      </w:pPr>
      <w:r w:rsidRPr="004F01E9">
        <w:rPr>
          <w:noProof/>
        </w:rPr>
        <w:t>iii)</w:t>
      </w:r>
      <w:r w:rsidRPr="004F01E9">
        <w:rPr>
          <w:noProof/>
        </w:rPr>
        <w:tab/>
        <w:t>IT infraštruktúra inštitúcie implementovaná na účely tohto článku podlieha procesom riadenia konfigurácie, riadenia zmien</w:t>
      </w:r>
      <w:r w:rsidR="004F01E9">
        <w:rPr>
          <w:noProof/>
        </w:rPr>
        <w:t xml:space="preserve"> a </w:t>
      </w:r>
      <w:r w:rsidRPr="004F01E9">
        <w:rPr>
          <w:noProof/>
        </w:rPr>
        <w:t>plánu riadenia zverejňovania;</w:t>
      </w:r>
    </w:p>
    <w:p w14:paraId="3A5A0E2F" w14:textId="6FC9D359" w:rsidR="00806B81" w:rsidRPr="004F01E9" w:rsidRDefault="00426FD2" w:rsidP="00426FD2">
      <w:pPr>
        <w:pStyle w:val="Point2"/>
        <w:rPr>
          <w:noProof/>
        </w:rPr>
      </w:pPr>
      <w:r w:rsidRPr="004F01E9">
        <w:rPr>
          <w:noProof/>
        </w:rPr>
        <w:t>iv)</w:t>
      </w:r>
      <w:r w:rsidRPr="004F01E9">
        <w:rPr>
          <w:noProof/>
        </w:rPr>
        <w:tab/>
        <w:t>proces plánovania, vytvárania, testovania</w:t>
      </w:r>
      <w:r w:rsidR="004F01E9">
        <w:rPr>
          <w:noProof/>
        </w:rPr>
        <w:t xml:space="preserve"> a </w:t>
      </w:r>
      <w:r w:rsidRPr="004F01E9">
        <w:rPr>
          <w:noProof/>
        </w:rPr>
        <w:t>zavádzania IT infraštruktúry</w:t>
      </w:r>
      <w:r w:rsidR="004F01E9">
        <w:rPr>
          <w:noProof/>
        </w:rPr>
        <w:t xml:space="preserve"> a </w:t>
      </w:r>
      <w:r w:rsidRPr="004F01E9">
        <w:rPr>
          <w:noProof/>
        </w:rPr>
        <w:t>pohotovostných plánov na účely tohto článku schvaľuje riadiaci orgán alebo vrcholový manažment inštitúcie</w:t>
      </w:r>
      <w:r w:rsidR="004F01E9">
        <w:rPr>
          <w:noProof/>
        </w:rPr>
        <w:t xml:space="preserve"> a </w:t>
      </w:r>
      <w:r w:rsidRPr="004F01E9">
        <w:rPr>
          <w:noProof/>
        </w:rPr>
        <w:t>že uvedený riadiaci orgán</w:t>
      </w:r>
      <w:r w:rsidR="004F01E9">
        <w:rPr>
          <w:noProof/>
        </w:rPr>
        <w:t xml:space="preserve"> a </w:t>
      </w:r>
      <w:r w:rsidRPr="004F01E9">
        <w:rPr>
          <w:noProof/>
        </w:rPr>
        <w:t>vrcholový manažment sú</w:t>
      </w:r>
      <w:r w:rsidR="004F01E9">
        <w:rPr>
          <w:noProof/>
        </w:rPr>
        <w:t xml:space="preserve"> o </w:t>
      </w:r>
      <w:r w:rsidRPr="004F01E9">
        <w:rPr>
          <w:noProof/>
        </w:rPr>
        <w:t>výkonnosti IT infraštruktúry na účely tohto článku pravidelne informovaní.</w:t>
      </w:r>
    </w:p>
    <w:p w14:paraId="7C5FE79B" w14:textId="0B0E3810" w:rsidR="00806B81" w:rsidRPr="004F01E9" w:rsidRDefault="00426FD2" w:rsidP="00426FD2">
      <w:pPr>
        <w:pStyle w:val="Text1"/>
        <w:rPr>
          <w:noProof/>
        </w:rPr>
      </w:pPr>
      <w:r w:rsidRPr="004F01E9">
        <w:rPr>
          <w:noProof/>
        </w:rPr>
        <w:t>9. Na účely odseku 6 tohto článku je EBA poverený vypracovaním návrhu regulačných technických predpisov, ktorými sa stanoví taxonómia rizík pre operačné riziko</w:t>
      </w:r>
      <w:r w:rsidR="004F01E9">
        <w:rPr>
          <w:noProof/>
        </w:rPr>
        <w:t xml:space="preserve"> a </w:t>
      </w:r>
      <w:r w:rsidRPr="004F01E9">
        <w:rPr>
          <w:noProof/>
        </w:rPr>
        <w:t>metodika klasifikácie stratových udalostí zahrnutých do súboru údajov</w:t>
      </w:r>
      <w:r w:rsidR="004F01E9">
        <w:rPr>
          <w:noProof/>
        </w:rPr>
        <w:t xml:space="preserve"> o </w:t>
      </w:r>
      <w:r w:rsidRPr="004F01E9">
        <w:rPr>
          <w:noProof/>
        </w:rPr>
        <w:t>stratách na základe uvedenej taxonómie rizík pre operačné riziko.</w:t>
      </w:r>
    </w:p>
    <w:p w14:paraId="4D2F5E2A" w14:textId="3FB420ED" w:rsidR="00426FD2" w:rsidRPr="004F01E9" w:rsidRDefault="00426FD2" w:rsidP="00426FD2">
      <w:pPr>
        <w:pStyle w:val="Text1"/>
        <w:rPr>
          <w:noProof/>
        </w:rPr>
      </w:pPr>
      <w:r w:rsidRPr="004F01E9">
        <w:rPr>
          <w:noProof/>
        </w:rPr>
        <w:t>EBA predloží Komisii uvedený návrh regulačných technických predpisov do [Úrad pre publikácie, vložte dátum = 18 mesiacov po nadobudnutí účinnosti tohto nariadenia].</w:t>
      </w:r>
    </w:p>
    <w:p w14:paraId="2D3C59EF" w14:textId="322FF51A" w:rsidR="00426FD2" w:rsidRPr="004F01E9" w:rsidRDefault="00426FD2" w:rsidP="00426FD2">
      <w:pPr>
        <w:pStyle w:val="Text1"/>
        <w:rPr>
          <w:noProof/>
        </w:rPr>
      </w:pPr>
      <w:r w:rsidRPr="004F01E9">
        <w:rPr>
          <w:noProof/>
        </w:rPr>
        <w:t>Na Komisiu sa deleguje právomoc prijať regulačné technické predpisy uvedené</w:t>
      </w:r>
      <w:r w:rsidR="004F01E9">
        <w:rPr>
          <w:noProof/>
        </w:rPr>
        <w:t xml:space="preserve"> v </w:t>
      </w:r>
      <w:r w:rsidRPr="004F01E9">
        <w:rPr>
          <w:noProof/>
        </w:rPr>
        <w:t>prvom pododseku</w:t>
      </w:r>
      <w:r w:rsidR="004F01E9">
        <w:rPr>
          <w:noProof/>
        </w:rPr>
        <w:t xml:space="preserve"> v </w:t>
      </w:r>
      <w:r w:rsidRPr="004F01E9">
        <w:rPr>
          <w:noProof/>
        </w:rPr>
        <w:t>súlade</w:t>
      </w:r>
      <w:r w:rsidR="004F01E9">
        <w:rPr>
          <w:noProof/>
        </w:rPr>
        <w:t xml:space="preserve"> s </w:t>
      </w:r>
      <w:r w:rsidRPr="004F01E9">
        <w:rPr>
          <w:noProof/>
        </w:rPr>
        <w:t xml:space="preserve">článkami 10 až 14 nariadenia (EÚ) </w:t>
      </w:r>
      <w:r w:rsidR="004F01E9">
        <w:rPr>
          <w:noProof/>
        </w:rPr>
        <w:t>č. </w:t>
      </w:r>
      <w:r w:rsidRPr="004F01E9">
        <w:rPr>
          <w:noProof/>
        </w:rPr>
        <w:t>1093/2010.</w:t>
      </w:r>
    </w:p>
    <w:p w14:paraId="48A37BAD" w14:textId="73FE5AA2" w:rsidR="00806B81" w:rsidRPr="004F01E9" w:rsidRDefault="00426FD2" w:rsidP="00426FD2">
      <w:pPr>
        <w:pStyle w:val="Text1"/>
        <w:rPr>
          <w:noProof/>
        </w:rPr>
      </w:pPr>
      <w:r w:rsidRPr="004F01E9">
        <w:rPr>
          <w:noProof/>
        </w:rPr>
        <w:t>10. Na účely odseku 7 vypracuje EBA usmernenia vysvetľujúce technické prvky potrebné na zabezpečenie spoľahlivosti, odolnosti</w:t>
      </w:r>
      <w:r w:rsidR="004F01E9">
        <w:rPr>
          <w:noProof/>
        </w:rPr>
        <w:t xml:space="preserve"> a </w:t>
      </w:r>
      <w:r w:rsidRPr="004F01E9">
        <w:rPr>
          <w:noProof/>
        </w:rPr>
        <w:t>výkonnosti mechanizmov správy</w:t>
      </w:r>
      <w:r w:rsidR="004F01E9">
        <w:rPr>
          <w:noProof/>
        </w:rPr>
        <w:t xml:space="preserve"> a </w:t>
      </w:r>
      <w:r w:rsidRPr="004F01E9">
        <w:rPr>
          <w:noProof/>
        </w:rPr>
        <w:t>riadenia na udržiavanie súboru údajov</w:t>
      </w:r>
      <w:r w:rsidR="004F01E9">
        <w:rPr>
          <w:noProof/>
        </w:rPr>
        <w:t xml:space="preserve"> o </w:t>
      </w:r>
      <w:r w:rsidRPr="004F01E9">
        <w:rPr>
          <w:noProof/>
        </w:rPr>
        <w:t>stratách, pričom sa osobitne zameria na IT systémy</w:t>
      </w:r>
      <w:r w:rsidR="004F01E9">
        <w:rPr>
          <w:noProof/>
        </w:rPr>
        <w:t xml:space="preserve"> a </w:t>
      </w:r>
      <w:r w:rsidRPr="004F01E9">
        <w:rPr>
          <w:noProof/>
        </w:rPr>
        <w:t>infraštruktúry.</w:t>
      </w:r>
    </w:p>
    <w:p w14:paraId="2CB9DEDB" w14:textId="05DBF008" w:rsidR="00426FD2" w:rsidRPr="004F01E9" w:rsidRDefault="00426FD2" w:rsidP="00426FD2">
      <w:pPr>
        <w:pStyle w:val="Text1"/>
        <w:rPr>
          <w:noProof/>
        </w:rPr>
      </w:pPr>
      <w:r w:rsidRPr="004F01E9">
        <w:rPr>
          <w:noProof/>
        </w:rPr>
        <w:t>Uvedené usmernenia sa vydajú</w:t>
      </w:r>
      <w:r w:rsidR="004F01E9">
        <w:rPr>
          <w:noProof/>
        </w:rPr>
        <w:t xml:space="preserve"> v </w:t>
      </w:r>
      <w:r w:rsidRPr="004F01E9">
        <w:rPr>
          <w:noProof/>
        </w:rPr>
        <w:t>súlade</w:t>
      </w:r>
      <w:r w:rsidR="004F01E9">
        <w:rPr>
          <w:noProof/>
        </w:rPr>
        <w:t xml:space="preserve"> s </w:t>
      </w:r>
      <w:r w:rsidRPr="004F01E9">
        <w:rPr>
          <w:noProof/>
        </w:rPr>
        <w:t xml:space="preserve">článkom 16 nariadenia (EÚ) </w:t>
      </w:r>
      <w:r w:rsidR="004F01E9">
        <w:rPr>
          <w:noProof/>
        </w:rPr>
        <w:t>č. </w:t>
      </w:r>
      <w:r w:rsidRPr="004F01E9">
        <w:rPr>
          <w:noProof/>
        </w:rPr>
        <w:t>1093/2010.</w:t>
      </w:r>
    </w:p>
    <w:p w14:paraId="71A7434F" w14:textId="7CF7B1B2" w:rsidR="00426FD2" w:rsidRPr="004F01E9" w:rsidRDefault="00426FD2" w:rsidP="00426FD2">
      <w:pPr>
        <w:pStyle w:val="Titrearticle"/>
        <w:rPr>
          <w:noProof/>
        </w:rPr>
      </w:pPr>
      <w:r w:rsidRPr="004F01E9">
        <w:rPr>
          <w:noProof/>
        </w:rPr>
        <w:t xml:space="preserve">Článok 318 </w:t>
      </w:r>
      <w:r w:rsidRPr="004F01E9">
        <w:rPr>
          <w:noProof/>
        </w:rPr>
        <w:br/>
      </w:r>
      <w:r w:rsidRPr="004F01E9">
        <w:rPr>
          <w:b/>
          <w:i w:val="0"/>
          <w:noProof/>
        </w:rPr>
        <w:t>Výpočet čistej straty</w:t>
      </w:r>
      <w:r w:rsidR="004F01E9">
        <w:rPr>
          <w:b/>
          <w:i w:val="0"/>
          <w:noProof/>
        </w:rPr>
        <w:t xml:space="preserve"> a </w:t>
      </w:r>
      <w:r w:rsidRPr="004F01E9">
        <w:rPr>
          <w:b/>
          <w:i w:val="0"/>
          <w:noProof/>
        </w:rPr>
        <w:t>hrubej straty</w:t>
      </w:r>
    </w:p>
    <w:p w14:paraId="38CE200A" w14:textId="77777777" w:rsidR="00426FD2" w:rsidRPr="004F01E9" w:rsidRDefault="00426FD2" w:rsidP="00426FD2">
      <w:pPr>
        <w:pStyle w:val="Text1"/>
        <w:rPr>
          <w:noProof/>
        </w:rPr>
      </w:pPr>
      <w:r w:rsidRPr="004F01E9">
        <w:rPr>
          <w:noProof/>
        </w:rPr>
        <w:t>1. Na účely článku 316 ods. 1 inštitúcie pre každú udalosť operačného rizika vypočítavajú čistú stratu takto:</w:t>
      </w:r>
    </w:p>
    <w:p w14:paraId="56B000AA" w14:textId="77777777" w:rsidR="00426FD2" w:rsidRPr="004F01E9" w:rsidRDefault="00426FD2" w:rsidP="00615061">
      <w:pPr>
        <w:pStyle w:val="Text1"/>
        <w:jc w:val="center"/>
        <w:rPr>
          <w:noProof/>
        </w:rPr>
      </w:pPr>
      <w:r w:rsidRPr="004F01E9">
        <w:rPr>
          <w:noProof/>
        </w:rPr>
        <w:t>Čistá strata = hrubá strata – náhrada</w:t>
      </w:r>
    </w:p>
    <w:p w14:paraId="2444C8D0" w14:textId="77777777" w:rsidR="00806B81" w:rsidRPr="004F01E9" w:rsidRDefault="00426FD2" w:rsidP="00426FD2">
      <w:pPr>
        <w:pStyle w:val="Text1"/>
        <w:rPr>
          <w:noProof/>
        </w:rPr>
      </w:pPr>
      <w:r w:rsidRPr="004F01E9">
        <w:rPr>
          <w:noProof/>
        </w:rPr>
        <w:t>kde:</w:t>
      </w:r>
    </w:p>
    <w:p w14:paraId="29DC7762" w14:textId="2AE987DC" w:rsidR="00426FD2" w:rsidRPr="004F01E9" w:rsidRDefault="00F354AD" w:rsidP="00426FD2">
      <w:pPr>
        <w:pStyle w:val="Text1"/>
        <w:rPr>
          <w:noProof/>
        </w:rPr>
      </w:pPr>
      <w:r w:rsidRPr="004F01E9">
        <w:rPr>
          <w:noProof/>
        </w:rPr>
        <w:t>hrubá strata = strata spojená</w:t>
      </w:r>
      <w:r w:rsidR="004F01E9">
        <w:rPr>
          <w:noProof/>
        </w:rPr>
        <w:t xml:space="preserve"> s </w:t>
      </w:r>
      <w:r w:rsidRPr="004F01E9">
        <w:rPr>
          <w:noProof/>
        </w:rPr>
        <w:t>udalosťou operačného rizika pred realizáciou náhrad akéhokoľvek druhu;</w:t>
      </w:r>
    </w:p>
    <w:p w14:paraId="09DCB66F" w14:textId="659D1E89" w:rsidR="00426FD2" w:rsidRPr="004F01E9" w:rsidRDefault="00F354AD" w:rsidP="00426FD2">
      <w:pPr>
        <w:pStyle w:val="Text1"/>
        <w:rPr>
          <w:noProof/>
        </w:rPr>
      </w:pPr>
      <w:r w:rsidRPr="004F01E9">
        <w:rPr>
          <w:noProof/>
        </w:rPr>
        <w:t>náhrada = jedna alebo viacero nezávislých udalostí súvisiacich</w:t>
      </w:r>
      <w:r w:rsidR="004F01E9">
        <w:rPr>
          <w:noProof/>
        </w:rPr>
        <w:t xml:space="preserve"> s </w:t>
      </w:r>
      <w:r w:rsidRPr="004F01E9">
        <w:rPr>
          <w:noProof/>
        </w:rPr>
        <w:t>pôvodnou udalosťou operačného rizika, ktoré sú oddelené</w:t>
      </w:r>
      <w:r w:rsidR="004F01E9">
        <w:rPr>
          <w:noProof/>
        </w:rPr>
        <w:t xml:space="preserve"> v </w:t>
      </w:r>
      <w:r w:rsidRPr="004F01E9">
        <w:rPr>
          <w:noProof/>
        </w:rPr>
        <w:t>čase</w:t>
      </w:r>
      <w:r w:rsidR="004F01E9">
        <w:rPr>
          <w:noProof/>
        </w:rPr>
        <w:t xml:space="preserve"> a </w:t>
      </w:r>
      <w:r w:rsidRPr="004F01E9">
        <w:rPr>
          <w:noProof/>
        </w:rPr>
        <w:t>pri ktorých sa prijímajú zdroje alebo kladné peňažné toky hospodárskych úžitkov od tretej strany.</w:t>
      </w:r>
    </w:p>
    <w:p w14:paraId="734F6CE7" w14:textId="157078BF" w:rsidR="00426FD2" w:rsidRPr="004F01E9" w:rsidRDefault="00426FD2" w:rsidP="00426FD2">
      <w:pPr>
        <w:pStyle w:val="Text1"/>
        <w:rPr>
          <w:noProof/>
        </w:rPr>
      </w:pPr>
      <w:r w:rsidRPr="004F01E9">
        <w:rPr>
          <w:noProof/>
        </w:rPr>
        <w:t>Inštitúcie priebežne vykonávajú aktualizovaný výpočet čistej straty pre každú konkrétnu udalosť operačného rizika. Na tento účel inštitúcie aktualizujú výpočet čistej straty na základe zistených alebo odhadovaných odlišností hrubej straty</w:t>
      </w:r>
      <w:r w:rsidR="004F01E9">
        <w:rPr>
          <w:noProof/>
        </w:rPr>
        <w:t xml:space="preserve"> a </w:t>
      </w:r>
      <w:r w:rsidRPr="004F01E9">
        <w:rPr>
          <w:noProof/>
        </w:rPr>
        <w:t>náhrady za každý</w:t>
      </w:r>
      <w:r w:rsidR="004F01E9">
        <w:rPr>
          <w:noProof/>
        </w:rPr>
        <w:t xml:space="preserve"> z </w:t>
      </w:r>
      <w:r w:rsidRPr="004F01E9">
        <w:rPr>
          <w:noProof/>
        </w:rPr>
        <w:t>posledných desiatich finančných rokov. Ak sa počas viacerých finančných rokov</w:t>
      </w:r>
      <w:r w:rsidR="004F01E9">
        <w:rPr>
          <w:noProof/>
        </w:rPr>
        <w:t xml:space="preserve"> v </w:t>
      </w:r>
      <w:r w:rsidRPr="004F01E9">
        <w:rPr>
          <w:noProof/>
        </w:rPr>
        <w:t>rámci tohto desaťročného časového intervalu zistia straty spojené</w:t>
      </w:r>
      <w:r w:rsidR="004F01E9">
        <w:rPr>
          <w:noProof/>
        </w:rPr>
        <w:t xml:space="preserve"> s </w:t>
      </w:r>
      <w:r w:rsidRPr="004F01E9">
        <w:rPr>
          <w:noProof/>
        </w:rPr>
        <w:t>tou istou udalosťou operačného rizika, inštitúcia vypočíta</w:t>
      </w:r>
      <w:r w:rsidR="004F01E9">
        <w:rPr>
          <w:noProof/>
        </w:rPr>
        <w:t xml:space="preserve"> a </w:t>
      </w:r>
      <w:r w:rsidRPr="004F01E9">
        <w:rPr>
          <w:noProof/>
        </w:rPr>
        <w:t>aktualizuje:</w:t>
      </w:r>
    </w:p>
    <w:p w14:paraId="4911DD0B" w14:textId="5510D583" w:rsidR="00426FD2" w:rsidRPr="004F01E9" w:rsidRDefault="00426FD2" w:rsidP="00426FD2">
      <w:pPr>
        <w:pStyle w:val="Point1"/>
        <w:rPr>
          <w:noProof/>
        </w:rPr>
      </w:pPr>
      <w:r w:rsidRPr="004F01E9">
        <w:rPr>
          <w:noProof/>
        </w:rPr>
        <w:t>a)</w:t>
      </w:r>
      <w:r w:rsidRPr="004F01E9">
        <w:rPr>
          <w:noProof/>
        </w:rPr>
        <w:tab/>
        <w:t>čistú stratu, hrubú stratu</w:t>
      </w:r>
      <w:r w:rsidR="004F01E9">
        <w:rPr>
          <w:noProof/>
        </w:rPr>
        <w:t xml:space="preserve"> a </w:t>
      </w:r>
      <w:r w:rsidRPr="004F01E9">
        <w:rPr>
          <w:noProof/>
        </w:rPr>
        <w:t>náhradu za každý finančný rok</w:t>
      </w:r>
      <w:r w:rsidR="004F01E9">
        <w:rPr>
          <w:noProof/>
        </w:rPr>
        <w:t xml:space="preserve"> v </w:t>
      </w:r>
      <w:r w:rsidRPr="004F01E9">
        <w:rPr>
          <w:noProof/>
        </w:rPr>
        <w:t>rámci desaťročného časového intervalu,</w:t>
      </w:r>
      <w:r w:rsidR="004F01E9">
        <w:rPr>
          <w:noProof/>
        </w:rPr>
        <w:t xml:space="preserve"> v </w:t>
      </w:r>
      <w:r w:rsidRPr="004F01E9">
        <w:rPr>
          <w:noProof/>
        </w:rPr>
        <w:t>ktorom bola zaznamenaná čistá strata, hrubá strata</w:t>
      </w:r>
      <w:r w:rsidR="004F01E9">
        <w:rPr>
          <w:noProof/>
        </w:rPr>
        <w:t xml:space="preserve"> a </w:t>
      </w:r>
      <w:r w:rsidRPr="004F01E9">
        <w:rPr>
          <w:noProof/>
        </w:rPr>
        <w:t>náhrada;</w:t>
      </w:r>
    </w:p>
    <w:p w14:paraId="4D59C40A" w14:textId="6A0BE07C" w:rsidR="00426FD2" w:rsidRPr="004F01E9" w:rsidRDefault="00426FD2" w:rsidP="00426FD2">
      <w:pPr>
        <w:pStyle w:val="Point1"/>
        <w:rPr>
          <w:noProof/>
        </w:rPr>
      </w:pPr>
      <w:r w:rsidRPr="004F01E9">
        <w:rPr>
          <w:noProof/>
        </w:rPr>
        <w:t>b)</w:t>
      </w:r>
      <w:r w:rsidRPr="004F01E9">
        <w:rPr>
          <w:noProof/>
        </w:rPr>
        <w:tab/>
        <w:t>súhrnnú čistú výšku strát, súhrnnú hrubú výšku strát</w:t>
      </w:r>
      <w:r w:rsidR="004F01E9">
        <w:rPr>
          <w:noProof/>
        </w:rPr>
        <w:t xml:space="preserve"> a </w:t>
      </w:r>
      <w:r w:rsidRPr="004F01E9">
        <w:rPr>
          <w:noProof/>
        </w:rPr>
        <w:t>súhrnnú náhradu všetkých príslušných finančných rokov</w:t>
      </w:r>
      <w:r w:rsidR="004F01E9">
        <w:rPr>
          <w:noProof/>
        </w:rPr>
        <w:t xml:space="preserve"> v </w:t>
      </w:r>
      <w:r w:rsidRPr="004F01E9">
        <w:rPr>
          <w:noProof/>
        </w:rPr>
        <w:t>rámci desaťročného časového intervalu.</w:t>
      </w:r>
    </w:p>
    <w:p w14:paraId="07C293B2" w14:textId="77777777" w:rsidR="00426FD2" w:rsidRPr="004F01E9" w:rsidRDefault="00426FD2" w:rsidP="00426FD2">
      <w:pPr>
        <w:pStyle w:val="Text1"/>
        <w:rPr>
          <w:noProof/>
        </w:rPr>
      </w:pPr>
      <w:r w:rsidRPr="004F01E9">
        <w:rPr>
          <w:noProof/>
        </w:rPr>
        <w:t>2. Na účely odseku 1 sa do výpočtu hrubej straty zahŕňajú tieto položky:</w:t>
      </w:r>
    </w:p>
    <w:p w14:paraId="4D991EC3" w14:textId="17A2ADCA" w:rsidR="00806B81" w:rsidRPr="004F01E9" w:rsidRDefault="00426FD2" w:rsidP="00426FD2">
      <w:pPr>
        <w:pStyle w:val="Point1"/>
        <w:rPr>
          <w:noProof/>
        </w:rPr>
      </w:pPr>
      <w:r w:rsidRPr="004F01E9">
        <w:rPr>
          <w:noProof/>
        </w:rPr>
        <w:t>a)</w:t>
      </w:r>
      <w:r w:rsidRPr="004F01E9">
        <w:rPr>
          <w:noProof/>
        </w:rPr>
        <w:tab/>
        <w:t>priame poplatky, vrátane zníženia hodnoty, vyrovnania, súm vyplatených na náhradu škody, sankcií, úrokov</w:t>
      </w:r>
      <w:r w:rsidR="004F01E9">
        <w:rPr>
          <w:noProof/>
        </w:rPr>
        <w:t xml:space="preserve"> z </w:t>
      </w:r>
      <w:r w:rsidRPr="004F01E9">
        <w:rPr>
          <w:noProof/>
        </w:rPr>
        <w:t>omeškania</w:t>
      </w:r>
      <w:r w:rsidR="004F01E9">
        <w:rPr>
          <w:noProof/>
        </w:rPr>
        <w:t xml:space="preserve"> a </w:t>
      </w:r>
      <w:r w:rsidRPr="004F01E9">
        <w:rPr>
          <w:noProof/>
        </w:rPr>
        <w:t>právnych poplatkov vo výkazoch ziskov</w:t>
      </w:r>
      <w:r w:rsidR="004F01E9">
        <w:rPr>
          <w:noProof/>
        </w:rPr>
        <w:t xml:space="preserve"> a </w:t>
      </w:r>
      <w:r w:rsidRPr="004F01E9">
        <w:rPr>
          <w:noProof/>
        </w:rPr>
        <w:t>strát inštitúcie</w:t>
      </w:r>
      <w:r w:rsidR="004F01E9">
        <w:rPr>
          <w:noProof/>
        </w:rPr>
        <w:t xml:space="preserve"> a </w:t>
      </w:r>
      <w:r w:rsidRPr="004F01E9">
        <w:rPr>
          <w:noProof/>
        </w:rPr>
        <w:t>odpisov</w:t>
      </w:r>
      <w:r w:rsidR="004F01E9">
        <w:rPr>
          <w:noProof/>
        </w:rPr>
        <w:t xml:space="preserve"> z </w:t>
      </w:r>
      <w:r w:rsidRPr="004F01E9">
        <w:rPr>
          <w:noProof/>
        </w:rPr>
        <w:t>dôvodu udalosti operačného rizika, vrátane:</w:t>
      </w:r>
    </w:p>
    <w:p w14:paraId="2A20524D" w14:textId="77777777" w:rsidR="00806B81" w:rsidRPr="004F01E9" w:rsidRDefault="00426FD2" w:rsidP="00426FD2">
      <w:pPr>
        <w:pStyle w:val="Point2"/>
        <w:rPr>
          <w:noProof/>
        </w:rPr>
      </w:pPr>
      <w:r w:rsidRPr="004F01E9">
        <w:rPr>
          <w:noProof/>
        </w:rPr>
        <w:t>i)</w:t>
      </w:r>
      <w:r w:rsidRPr="004F01E9">
        <w:rPr>
          <w:noProof/>
        </w:rPr>
        <w:tab/>
        <w:t>nákladov na zrušenie trhových pozícií vo výške spätne získanej straty položiek operačného rizika, ak sa udalosť operačného rizika týka trhového rizika;</w:t>
      </w:r>
    </w:p>
    <w:p w14:paraId="53F987CB" w14:textId="6DDB775D" w:rsidR="00426FD2" w:rsidRPr="004F01E9" w:rsidRDefault="00426FD2" w:rsidP="00426FD2">
      <w:pPr>
        <w:pStyle w:val="Point2"/>
        <w:rPr>
          <w:noProof/>
        </w:rPr>
      </w:pPr>
      <w:r w:rsidRPr="004F01E9">
        <w:rPr>
          <w:noProof/>
        </w:rPr>
        <w:t>ii)</w:t>
      </w:r>
      <w:r w:rsidRPr="004F01E9">
        <w:rPr>
          <w:noProof/>
        </w:rPr>
        <w:tab/>
        <w:t>sankcií, úrokov, poplatkov za neskoré platby</w:t>
      </w:r>
      <w:r w:rsidR="004F01E9">
        <w:rPr>
          <w:noProof/>
        </w:rPr>
        <w:t xml:space="preserve"> a </w:t>
      </w:r>
      <w:r w:rsidRPr="004F01E9">
        <w:rPr>
          <w:noProof/>
        </w:rPr>
        <w:t>právnych poplatkov</w:t>
      </w:r>
      <w:r w:rsidR="004F01E9">
        <w:rPr>
          <w:noProof/>
        </w:rPr>
        <w:t xml:space="preserve"> a s </w:t>
      </w:r>
      <w:r w:rsidRPr="004F01E9">
        <w:rPr>
          <w:noProof/>
        </w:rPr>
        <w:t>výnimkou pôvodne splatnej dane, daní, ak sa platby týkajú zlyhaní alebo neprimeraných procesov inštitúcie;</w:t>
      </w:r>
    </w:p>
    <w:p w14:paraId="26DB511D" w14:textId="04C93BDA" w:rsidR="00426FD2" w:rsidRPr="004F01E9" w:rsidRDefault="00426FD2" w:rsidP="00426FD2">
      <w:pPr>
        <w:pStyle w:val="Point1"/>
        <w:rPr>
          <w:noProof/>
        </w:rPr>
      </w:pPr>
      <w:r w:rsidRPr="004F01E9">
        <w:rPr>
          <w:noProof/>
        </w:rPr>
        <w:t>b)</w:t>
      </w:r>
      <w:r w:rsidRPr="004F01E9">
        <w:rPr>
          <w:noProof/>
        </w:rPr>
        <w:tab/>
        <w:t>náklady vzniknuté</w:t>
      </w:r>
      <w:r w:rsidR="004F01E9">
        <w:rPr>
          <w:noProof/>
        </w:rPr>
        <w:t xml:space="preserve"> v </w:t>
      </w:r>
      <w:r w:rsidRPr="004F01E9">
        <w:rPr>
          <w:noProof/>
        </w:rPr>
        <w:t>dôsledku udalosti operačného rizika vrátane externých výdavkov</w:t>
      </w:r>
      <w:r w:rsidR="004F01E9">
        <w:rPr>
          <w:noProof/>
        </w:rPr>
        <w:t xml:space="preserve"> s </w:t>
      </w:r>
      <w:r w:rsidRPr="004F01E9">
        <w:rPr>
          <w:noProof/>
        </w:rPr>
        <w:t>priamym prepojením na udalosť operačného rizika</w:t>
      </w:r>
      <w:r w:rsidR="004F01E9">
        <w:rPr>
          <w:noProof/>
        </w:rPr>
        <w:t xml:space="preserve"> a </w:t>
      </w:r>
      <w:r w:rsidRPr="004F01E9">
        <w:rPr>
          <w:noProof/>
        </w:rPr>
        <w:t>opravné alebo reprodukčné náklady, ktoré vznikli</w:t>
      </w:r>
      <w:r w:rsidR="004F01E9">
        <w:rPr>
          <w:noProof/>
        </w:rPr>
        <w:t xml:space="preserve"> s </w:t>
      </w:r>
      <w:r w:rsidRPr="004F01E9">
        <w:rPr>
          <w:noProof/>
        </w:rPr>
        <w:t>cieľom obnoviť pozíciu, ktorá existovala pred udalosťou operačného rizika;</w:t>
      </w:r>
    </w:p>
    <w:p w14:paraId="46C37B42" w14:textId="0C388746" w:rsidR="00426FD2" w:rsidRPr="004F01E9" w:rsidRDefault="00426FD2" w:rsidP="00426FD2">
      <w:pPr>
        <w:pStyle w:val="Point1"/>
        <w:rPr>
          <w:noProof/>
        </w:rPr>
      </w:pPr>
      <w:r w:rsidRPr="004F01E9">
        <w:rPr>
          <w:noProof/>
        </w:rPr>
        <w:t>c)</w:t>
      </w:r>
      <w:r w:rsidRPr="004F01E9">
        <w:rPr>
          <w:noProof/>
        </w:rPr>
        <w:tab/>
        <w:t>rezervy zaúčtované vo výkazoch ziskov</w:t>
      </w:r>
      <w:r w:rsidR="004F01E9">
        <w:rPr>
          <w:noProof/>
        </w:rPr>
        <w:t xml:space="preserve"> a </w:t>
      </w:r>
      <w:r w:rsidRPr="004F01E9">
        <w:rPr>
          <w:noProof/>
        </w:rPr>
        <w:t>strát na potenciálny vplyv strát</w:t>
      </w:r>
      <w:r w:rsidR="004F01E9">
        <w:rPr>
          <w:noProof/>
        </w:rPr>
        <w:t xml:space="preserve"> z </w:t>
      </w:r>
      <w:r w:rsidRPr="004F01E9">
        <w:rPr>
          <w:noProof/>
        </w:rPr>
        <w:t>operačného rizika vrátane strát</w:t>
      </w:r>
      <w:r w:rsidR="004F01E9">
        <w:rPr>
          <w:noProof/>
        </w:rPr>
        <w:t xml:space="preserve"> z </w:t>
      </w:r>
      <w:r w:rsidRPr="004F01E9">
        <w:rPr>
          <w:noProof/>
        </w:rPr>
        <w:t>udalostí vyvolaných pochybením;</w:t>
      </w:r>
    </w:p>
    <w:p w14:paraId="545C75E2" w14:textId="1F15DC30" w:rsidR="00426FD2" w:rsidRPr="004F01E9" w:rsidRDefault="00426FD2" w:rsidP="00426FD2">
      <w:pPr>
        <w:pStyle w:val="Point1"/>
        <w:rPr>
          <w:noProof/>
        </w:rPr>
      </w:pPr>
      <w:r w:rsidRPr="004F01E9">
        <w:rPr>
          <w:noProof/>
        </w:rPr>
        <w:t>d)</w:t>
      </w:r>
      <w:r w:rsidRPr="004F01E9">
        <w:rPr>
          <w:noProof/>
        </w:rPr>
        <w:tab/>
        <w:t>straty pochádzajúce</w:t>
      </w:r>
      <w:r w:rsidR="004F01E9">
        <w:rPr>
          <w:noProof/>
        </w:rPr>
        <w:t xml:space="preserve"> z </w:t>
      </w:r>
      <w:r w:rsidRPr="004F01E9">
        <w:rPr>
          <w:noProof/>
        </w:rPr>
        <w:t>udalostí operačného rizika</w:t>
      </w:r>
      <w:r w:rsidR="004F01E9">
        <w:rPr>
          <w:noProof/>
        </w:rPr>
        <w:t xml:space="preserve"> s </w:t>
      </w:r>
      <w:r w:rsidRPr="004F01E9">
        <w:rPr>
          <w:noProof/>
        </w:rPr>
        <w:t>konečným finančným vplyvom, ktoré sa dočasne zaúčtujú</w:t>
      </w:r>
      <w:r w:rsidR="004F01E9">
        <w:rPr>
          <w:noProof/>
        </w:rPr>
        <w:t xml:space="preserve"> v </w:t>
      </w:r>
      <w:r w:rsidRPr="004F01E9">
        <w:rPr>
          <w:noProof/>
        </w:rPr>
        <w:t>tranzitných alebo prechodných účtoch</w:t>
      </w:r>
      <w:r w:rsidR="004F01E9">
        <w:rPr>
          <w:noProof/>
        </w:rPr>
        <w:t xml:space="preserve"> a </w:t>
      </w:r>
      <w:r w:rsidRPr="004F01E9">
        <w:rPr>
          <w:noProof/>
        </w:rPr>
        <w:t>ktoré sa ešte nepremietli do výkazov ziskov</w:t>
      </w:r>
      <w:r w:rsidR="004F01E9">
        <w:rPr>
          <w:noProof/>
        </w:rPr>
        <w:t xml:space="preserve"> a </w:t>
      </w:r>
      <w:r w:rsidRPr="004F01E9">
        <w:rPr>
          <w:noProof/>
        </w:rPr>
        <w:t>strát („nezaúčtované straty“);</w:t>
      </w:r>
    </w:p>
    <w:p w14:paraId="7A232FF2" w14:textId="282E7D0A" w:rsidR="00426FD2" w:rsidRPr="004F01E9" w:rsidRDefault="00426FD2" w:rsidP="00426FD2">
      <w:pPr>
        <w:pStyle w:val="Point1"/>
        <w:rPr>
          <w:noProof/>
        </w:rPr>
      </w:pPr>
      <w:r w:rsidRPr="004F01E9">
        <w:rPr>
          <w:noProof/>
        </w:rPr>
        <w:t>e)</w:t>
      </w:r>
      <w:r w:rsidRPr="004F01E9">
        <w:rPr>
          <w:noProof/>
        </w:rPr>
        <w:tab/>
        <w:t>negatívne hospodárske vplyvy zaúčtované vo finančnom roku, ktoré sú spôsobené udalosťami operačného rizika ovplyvňujúcimi peňažné toky alebo účtovné závierky</w:t>
      </w:r>
      <w:r w:rsidR="004F01E9">
        <w:rPr>
          <w:noProof/>
        </w:rPr>
        <w:t xml:space="preserve"> z </w:t>
      </w:r>
      <w:r w:rsidRPr="004F01E9">
        <w:rPr>
          <w:noProof/>
        </w:rPr>
        <w:t>predchádzajúcich finančných rokov („straty</w:t>
      </w:r>
      <w:r w:rsidR="004F01E9">
        <w:rPr>
          <w:noProof/>
        </w:rPr>
        <w:t xml:space="preserve"> z </w:t>
      </w:r>
      <w:r w:rsidRPr="004F01E9">
        <w:rPr>
          <w:noProof/>
        </w:rPr>
        <w:t>načasovania“).</w:t>
      </w:r>
    </w:p>
    <w:p w14:paraId="32F356BE" w14:textId="145058C3" w:rsidR="00426FD2" w:rsidRPr="004F01E9" w:rsidRDefault="00426FD2" w:rsidP="00426FD2">
      <w:pPr>
        <w:pStyle w:val="Text1"/>
        <w:rPr>
          <w:noProof/>
        </w:rPr>
      </w:pPr>
      <w:r w:rsidRPr="004F01E9">
        <w:rPr>
          <w:noProof/>
        </w:rPr>
        <w:t>Na účely písmena d) sa významné nezaúčtované straty zahrňujú do súboru údajov</w:t>
      </w:r>
      <w:r w:rsidR="004F01E9">
        <w:rPr>
          <w:noProof/>
        </w:rPr>
        <w:t xml:space="preserve"> o </w:t>
      </w:r>
      <w:r w:rsidRPr="004F01E9">
        <w:rPr>
          <w:noProof/>
        </w:rPr>
        <w:t>stratách</w:t>
      </w:r>
      <w:r w:rsidR="004F01E9">
        <w:rPr>
          <w:noProof/>
        </w:rPr>
        <w:t xml:space="preserve"> v </w:t>
      </w:r>
      <w:r w:rsidRPr="004F01E9">
        <w:rPr>
          <w:noProof/>
        </w:rPr>
        <w:t>lehote zodpovedajúcej veľkosti</w:t>
      </w:r>
      <w:r w:rsidR="004F01E9">
        <w:rPr>
          <w:noProof/>
        </w:rPr>
        <w:t xml:space="preserve"> a </w:t>
      </w:r>
      <w:r w:rsidRPr="004F01E9">
        <w:rPr>
          <w:noProof/>
        </w:rPr>
        <w:t>veku nezaúčtovanej položky.</w:t>
      </w:r>
    </w:p>
    <w:p w14:paraId="3A7E4F1D" w14:textId="60BEBC96" w:rsidR="004F01E9" w:rsidRDefault="00426FD2" w:rsidP="00426FD2">
      <w:pPr>
        <w:pStyle w:val="Text1"/>
        <w:rPr>
          <w:noProof/>
        </w:rPr>
      </w:pPr>
      <w:r w:rsidRPr="004F01E9">
        <w:rPr>
          <w:noProof/>
        </w:rPr>
        <w:t>Na účely písmena e) inštitúcia zahrňuje do súboru údajov</w:t>
      </w:r>
      <w:r w:rsidR="004F01E9">
        <w:rPr>
          <w:noProof/>
        </w:rPr>
        <w:t xml:space="preserve"> o </w:t>
      </w:r>
      <w:r w:rsidRPr="004F01E9">
        <w:rPr>
          <w:noProof/>
        </w:rPr>
        <w:t>stratách významné straty</w:t>
      </w:r>
      <w:r w:rsidR="004F01E9">
        <w:rPr>
          <w:noProof/>
        </w:rPr>
        <w:t xml:space="preserve"> z </w:t>
      </w:r>
      <w:r w:rsidRPr="004F01E9">
        <w:rPr>
          <w:noProof/>
        </w:rPr>
        <w:t>načasovania, ak sú tieto straty spôsobené udalosťami operačného rizika, ktoré trvajú viac ako jeden finančný rok</w:t>
      </w:r>
      <w:r w:rsidR="004F01E9">
        <w:rPr>
          <w:noProof/>
        </w:rPr>
        <w:t xml:space="preserve"> a </w:t>
      </w:r>
      <w:r w:rsidRPr="004F01E9">
        <w:rPr>
          <w:noProof/>
        </w:rPr>
        <w:t>vedú</w:t>
      </w:r>
      <w:r w:rsidR="004F01E9">
        <w:rPr>
          <w:noProof/>
        </w:rPr>
        <w:t xml:space="preserve"> k </w:t>
      </w:r>
      <w:r w:rsidRPr="004F01E9">
        <w:rPr>
          <w:noProof/>
        </w:rPr>
        <w:t>právnemu riziku. Inštitúcie zahrňujú do zaznamenanej výšky straty položky operačného rizika finančného roka straty, ktoré vznikli</w:t>
      </w:r>
      <w:r w:rsidR="004F01E9">
        <w:rPr>
          <w:noProof/>
        </w:rPr>
        <w:t xml:space="preserve"> v </w:t>
      </w:r>
      <w:r w:rsidRPr="004F01E9">
        <w:rPr>
          <w:noProof/>
        </w:rPr>
        <w:t>dôsledku opravy účtovných chýb, ku ktorým došlo</w:t>
      </w:r>
      <w:r w:rsidR="004F01E9">
        <w:rPr>
          <w:noProof/>
        </w:rPr>
        <w:t xml:space="preserve"> v </w:t>
      </w:r>
      <w:r w:rsidRPr="004F01E9">
        <w:rPr>
          <w:noProof/>
        </w:rPr>
        <w:t>predchádzajúcom finančnom roku,</w:t>
      </w:r>
      <w:r w:rsidR="004F01E9">
        <w:rPr>
          <w:noProof/>
        </w:rPr>
        <w:t xml:space="preserve"> a </w:t>
      </w:r>
      <w:r w:rsidRPr="004F01E9">
        <w:rPr>
          <w:noProof/>
        </w:rPr>
        <w:t>to aj vtedy, keď tieto straty nemajú priamy vplyv na tretie strany. Ak vznikli významné straty</w:t>
      </w:r>
      <w:r w:rsidR="004F01E9">
        <w:rPr>
          <w:noProof/>
        </w:rPr>
        <w:t xml:space="preserve"> z </w:t>
      </w:r>
      <w:r w:rsidRPr="004F01E9">
        <w:rPr>
          <w:noProof/>
        </w:rPr>
        <w:t>načasovania</w:t>
      </w:r>
      <w:r w:rsidR="004F01E9">
        <w:rPr>
          <w:noProof/>
        </w:rPr>
        <w:t xml:space="preserve"> a </w:t>
      </w:r>
      <w:r w:rsidRPr="004F01E9">
        <w:rPr>
          <w:noProof/>
        </w:rPr>
        <w:t>udalosť operačného rizika priamo ovplyvňuje tretie strany vrátane zákazníkov, poskytovateľov</w:t>
      </w:r>
      <w:r w:rsidR="004F01E9">
        <w:rPr>
          <w:noProof/>
        </w:rPr>
        <w:t xml:space="preserve"> a </w:t>
      </w:r>
      <w:r w:rsidRPr="004F01E9">
        <w:rPr>
          <w:noProof/>
        </w:rPr>
        <w:t>zamestnancov inštitúcie, inštitúcia takisto do nej zahrnie oficiálne prehodnotenie predtým vydaných finančných správ</w:t>
      </w:r>
      <w:r w:rsidR="004F01E9">
        <w:rPr>
          <w:noProof/>
        </w:rPr>
        <w:t>.</w:t>
      </w:r>
    </w:p>
    <w:p w14:paraId="6C3CC7B7" w14:textId="12A49B92" w:rsidR="00426FD2" w:rsidRPr="004F01E9" w:rsidRDefault="00426FD2" w:rsidP="00426FD2">
      <w:pPr>
        <w:pStyle w:val="Text1"/>
        <w:rPr>
          <w:noProof/>
        </w:rPr>
      </w:pPr>
      <w:r w:rsidRPr="004F01E9">
        <w:rPr>
          <w:noProof/>
        </w:rPr>
        <w:t>3. Na účely odseku 1 sa</w:t>
      </w:r>
      <w:r w:rsidR="004F01E9">
        <w:rPr>
          <w:noProof/>
        </w:rPr>
        <w:t xml:space="preserve"> z </w:t>
      </w:r>
      <w:r w:rsidRPr="004F01E9">
        <w:rPr>
          <w:noProof/>
        </w:rPr>
        <w:t>výpočtu hrubej straty vylučujú tieto položky:</w:t>
      </w:r>
    </w:p>
    <w:p w14:paraId="72C6A1F3" w14:textId="346EE59F" w:rsidR="00426FD2" w:rsidRPr="004F01E9" w:rsidRDefault="00426FD2" w:rsidP="00426FD2">
      <w:pPr>
        <w:pStyle w:val="Point1"/>
        <w:rPr>
          <w:noProof/>
        </w:rPr>
      </w:pPr>
      <w:r w:rsidRPr="004F01E9">
        <w:rPr>
          <w:noProof/>
        </w:rPr>
        <w:t>a)</w:t>
      </w:r>
      <w:r w:rsidRPr="004F01E9">
        <w:rPr>
          <w:noProof/>
        </w:rPr>
        <w:tab/>
        <w:t>náklady na zmluvy</w:t>
      </w:r>
      <w:r w:rsidR="004F01E9">
        <w:rPr>
          <w:noProof/>
        </w:rPr>
        <w:t xml:space="preserve"> o </w:t>
      </w:r>
      <w:r w:rsidRPr="004F01E9">
        <w:rPr>
          <w:noProof/>
        </w:rPr>
        <w:t>všeobecnej údržbe nehnuteľností, strojov alebo zariadení;</w:t>
      </w:r>
    </w:p>
    <w:p w14:paraId="493FEBD3" w14:textId="44EE1542" w:rsidR="00426FD2" w:rsidRPr="004F01E9" w:rsidRDefault="00426FD2" w:rsidP="00426FD2">
      <w:pPr>
        <w:pStyle w:val="Point1"/>
        <w:rPr>
          <w:noProof/>
        </w:rPr>
      </w:pPr>
      <w:r w:rsidRPr="004F01E9">
        <w:rPr>
          <w:noProof/>
        </w:rPr>
        <w:t>b)</w:t>
      </w:r>
      <w:r w:rsidRPr="004F01E9">
        <w:rPr>
          <w:noProof/>
        </w:rPr>
        <w:tab/>
        <w:t>interné alebo externé výdavky, ktorých cieľom je zlepšiť podnikanie po stratách</w:t>
      </w:r>
      <w:r w:rsidR="004F01E9">
        <w:rPr>
          <w:noProof/>
        </w:rPr>
        <w:t xml:space="preserve"> z </w:t>
      </w:r>
      <w:r w:rsidRPr="004F01E9">
        <w:rPr>
          <w:noProof/>
        </w:rPr>
        <w:t>operačného rizika, vrátane modernizácie, zlepšení, iniciatív na posúdenie rizík</w:t>
      </w:r>
      <w:r w:rsidR="004F01E9">
        <w:rPr>
          <w:noProof/>
        </w:rPr>
        <w:t xml:space="preserve"> a </w:t>
      </w:r>
      <w:r w:rsidRPr="004F01E9">
        <w:rPr>
          <w:noProof/>
        </w:rPr>
        <w:t>vylepšení kvality;</w:t>
      </w:r>
    </w:p>
    <w:p w14:paraId="22FA52CD" w14:textId="77777777" w:rsidR="00806B81" w:rsidRPr="004F01E9" w:rsidRDefault="00426FD2" w:rsidP="00426FD2">
      <w:pPr>
        <w:pStyle w:val="Point1"/>
        <w:rPr>
          <w:noProof/>
        </w:rPr>
      </w:pPr>
      <w:r w:rsidRPr="004F01E9">
        <w:rPr>
          <w:noProof/>
        </w:rPr>
        <w:t>c)</w:t>
      </w:r>
      <w:r w:rsidRPr="004F01E9">
        <w:rPr>
          <w:noProof/>
        </w:rPr>
        <w:tab/>
        <w:t>poistné.</w:t>
      </w:r>
    </w:p>
    <w:p w14:paraId="1EA2F8FB" w14:textId="64EE3F2B" w:rsidR="00426FD2" w:rsidRPr="004F01E9" w:rsidRDefault="00426FD2" w:rsidP="00426FD2">
      <w:pPr>
        <w:pStyle w:val="Text1"/>
        <w:rPr>
          <w:noProof/>
        </w:rPr>
      </w:pPr>
      <w:r w:rsidRPr="004F01E9">
        <w:rPr>
          <w:noProof/>
        </w:rPr>
        <w:t>4. Na účely odseku 1 sa náhrady použijú na zníženie hrubých strát len vtedy, ak inštitúcia prijala platbu. Pohľadávky sa nepovažujú za náhrady.</w:t>
      </w:r>
    </w:p>
    <w:p w14:paraId="6D366EA7" w14:textId="64398F15" w:rsidR="00426FD2" w:rsidRPr="004F01E9" w:rsidRDefault="00426FD2" w:rsidP="00426FD2">
      <w:pPr>
        <w:pStyle w:val="Text1"/>
        <w:rPr>
          <w:noProof/>
        </w:rPr>
      </w:pPr>
      <w:r w:rsidRPr="004F01E9">
        <w:rPr>
          <w:noProof/>
        </w:rPr>
        <w:t>Na žiadosť príslušného orgánu inštitúcia poskytuje celú dokumentáciu potrebnú na overenie prijatých platieb</w:t>
      </w:r>
      <w:r w:rsidR="004F01E9">
        <w:rPr>
          <w:noProof/>
        </w:rPr>
        <w:t xml:space="preserve"> a </w:t>
      </w:r>
      <w:r w:rsidRPr="004F01E9">
        <w:rPr>
          <w:noProof/>
        </w:rPr>
        <w:t>zohľadnených pri výpočte čistej straty súvisiacej</w:t>
      </w:r>
      <w:r w:rsidR="004F01E9">
        <w:rPr>
          <w:noProof/>
        </w:rPr>
        <w:t xml:space="preserve"> s </w:t>
      </w:r>
      <w:r w:rsidRPr="004F01E9">
        <w:rPr>
          <w:noProof/>
        </w:rPr>
        <w:t>udalosťou operačného rizika.</w:t>
      </w:r>
    </w:p>
    <w:p w14:paraId="5C3FE2B8" w14:textId="4DA3B2FD" w:rsidR="00426FD2" w:rsidRPr="004F01E9" w:rsidRDefault="00426FD2" w:rsidP="00426FD2">
      <w:pPr>
        <w:pStyle w:val="Titrearticle"/>
        <w:rPr>
          <w:noProof/>
        </w:rPr>
      </w:pPr>
      <w:r w:rsidRPr="004F01E9">
        <w:rPr>
          <w:noProof/>
        </w:rPr>
        <w:t xml:space="preserve">Článok 319 </w:t>
      </w:r>
      <w:r w:rsidRPr="004F01E9">
        <w:rPr>
          <w:noProof/>
        </w:rPr>
        <w:br/>
      </w:r>
      <w:r w:rsidRPr="004F01E9">
        <w:rPr>
          <w:b/>
          <w:i w:val="0"/>
          <w:noProof/>
        </w:rPr>
        <w:t>Prahové hodnoty údajov</w:t>
      </w:r>
      <w:r w:rsidR="004F01E9">
        <w:rPr>
          <w:b/>
          <w:i w:val="0"/>
          <w:noProof/>
        </w:rPr>
        <w:t xml:space="preserve"> o </w:t>
      </w:r>
      <w:r w:rsidRPr="004F01E9">
        <w:rPr>
          <w:b/>
          <w:i w:val="0"/>
          <w:noProof/>
        </w:rPr>
        <w:t>stratách</w:t>
      </w:r>
    </w:p>
    <w:p w14:paraId="19E995F9" w14:textId="184F5EAB" w:rsidR="00426FD2" w:rsidRPr="004F01E9" w:rsidRDefault="00426FD2" w:rsidP="00426FD2">
      <w:pPr>
        <w:pStyle w:val="Text1"/>
        <w:rPr>
          <w:noProof/>
        </w:rPr>
      </w:pPr>
      <w:r w:rsidRPr="004F01E9">
        <w:rPr>
          <w:noProof/>
        </w:rPr>
        <w:t>1. Na výpočet ročnej straty</w:t>
      </w:r>
      <w:r w:rsidR="004F01E9">
        <w:rPr>
          <w:noProof/>
        </w:rPr>
        <w:t xml:space="preserve"> z </w:t>
      </w:r>
      <w:r w:rsidRPr="004F01E9">
        <w:rPr>
          <w:noProof/>
        </w:rPr>
        <w:t>operačného rizika, ako sa vyžaduje</w:t>
      </w:r>
      <w:r w:rsidR="004F01E9">
        <w:rPr>
          <w:noProof/>
        </w:rPr>
        <w:t xml:space="preserve"> v </w:t>
      </w:r>
      <w:r w:rsidRPr="004F01E9">
        <w:rPr>
          <w:noProof/>
        </w:rPr>
        <w:t>článku 316 ods. 1, zohľadňujú inštitúcie zo súboru údajov</w:t>
      </w:r>
      <w:r w:rsidR="004F01E9">
        <w:rPr>
          <w:noProof/>
        </w:rPr>
        <w:t xml:space="preserve"> o </w:t>
      </w:r>
      <w:r w:rsidRPr="004F01E9">
        <w:rPr>
          <w:noProof/>
        </w:rPr>
        <w:t>stratách udalosti operačného rizika</w:t>
      </w:r>
      <w:r w:rsidR="004F01E9">
        <w:rPr>
          <w:noProof/>
        </w:rPr>
        <w:t xml:space="preserve"> s </w:t>
      </w:r>
      <w:r w:rsidRPr="004F01E9">
        <w:rPr>
          <w:noProof/>
        </w:rPr>
        <w:t>čistou stratou</w:t>
      </w:r>
      <w:r w:rsidRPr="004F01E9">
        <w:rPr>
          <w:noProof/>
          <w:color w:val="000000" w:themeColor="text1"/>
        </w:rPr>
        <w:t xml:space="preserve"> vypočítanou</w:t>
      </w:r>
      <w:r w:rsidR="004F01E9">
        <w:rPr>
          <w:noProof/>
          <w:color w:val="000000" w:themeColor="text1"/>
        </w:rPr>
        <w:t xml:space="preserve"> v </w:t>
      </w:r>
      <w:r w:rsidRPr="004F01E9">
        <w:rPr>
          <w:noProof/>
          <w:color w:val="000000" w:themeColor="text1"/>
        </w:rPr>
        <w:t>súlade</w:t>
      </w:r>
      <w:r w:rsidR="004F01E9">
        <w:rPr>
          <w:noProof/>
          <w:color w:val="000000" w:themeColor="text1"/>
        </w:rPr>
        <w:t xml:space="preserve"> s </w:t>
      </w:r>
      <w:r w:rsidRPr="004F01E9">
        <w:rPr>
          <w:noProof/>
          <w:color w:val="000000" w:themeColor="text1"/>
        </w:rPr>
        <w:t xml:space="preserve">článkom 318, ktoré sa </w:t>
      </w:r>
      <w:r w:rsidRPr="004F01E9">
        <w:rPr>
          <w:noProof/>
        </w:rPr>
        <w:t>rovnajú alebo sú vyššie ako 20 000 EUR.</w:t>
      </w:r>
    </w:p>
    <w:p w14:paraId="7FC37CBC" w14:textId="361E771F" w:rsidR="00806B81" w:rsidRPr="004F01E9" w:rsidRDefault="00426FD2" w:rsidP="00426FD2">
      <w:pPr>
        <w:pStyle w:val="Text1"/>
        <w:rPr>
          <w:noProof/>
        </w:rPr>
      </w:pPr>
      <w:r w:rsidRPr="004F01E9">
        <w:rPr>
          <w:noProof/>
        </w:rPr>
        <w:t>2. Bez toho, aby bol dotknutý odsek 1</w:t>
      </w:r>
      <w:r w:rsidR="004F01E9">
        <w:rPr>
          <w:noProof/>
        </w:rPr>
        <w:t xml:space="preserve"> a </w:t>
      </w:r>
      <w:r w:rsidRPr="004F01E9">
        <w:rPr>
          <w:noProof/>
        </w:rPr>
        <w:t>na účely článku 446 vypočítavajú inštitúcie aj ročnú stratu</w:t>
      </w:r>
      <w:r w:rsidR="004F01E9">
        <w:rPr>
          <w:noProof/>
        </w:rPr>
        <w:t xml:space="preserve"> z </w:t>
      </w:r>
      <w:r w:rsidRPr="004F01E9">
        <w:rPr>
          <w:noProof/>
        </w:rPr>
        <w:t>operačného rizika uvedenú</w:t>
      </w:r>
      <w:r w:rsidR="004F01E9">
        <w:rPr>
          <w:noProof/>
        </w:rPr>
        <w:t xml:space="preserve"> v </w:t>
      </w:r>
      <w:r w:rsidRPr="004F01E9">
        <w:rPr>
          <w:noProof/>
        </w:rPr>
        <w:t>článku 316 ods. 1, pričom zo súboru údajov</w:t>
      </w:r>
      <w:r w:rsidR="004F01E9">
        <w:rPr>
          <w:noProof/>
        </w:rPr>
        <w:t xml:space="preserve"> o </w:t>
      </w:r>
      <w:r w:rsidRPr="004F01E9">
        <w:rPr>
          <w:noProof/>
        </w:rPr>
        <w:t>stratách zohľadňujú udalosti operačného rizika</w:t>
      </w:r>
      <w:r w:rsidR="004F01E9">
        <w:rPr>
          <w:noProof/>
        </w:rPr>
        <w:t xml:space="preserve"> s </w:t>
      </w:r>
      <w:r w:rsidRPr="004F01E9">
        <w:rPr>
          <w:noProof/>
        </w:rPr>
        <w:t>čistou stratou vypočítanou</w:t>
      </w:r>
      <w:r w:rsidR="004F01E9">
        <w:rPr>
          <w:noProof/>
        </w:rPr>
        <w:t xml:space="preserve"> v </w:t>
      </w:r>
      <w:r w:rsidRPr="004F01E9">
        <w:rPr>
          <w:noProof/>
        </w:rPr>
        <w:t>súlade</w:t>
      </w:r>
      <w:r w:rsidR="004F01E9">
        <w:rPr>
          <w:noProof/>
        </w:rPr>
        <w:t xml:space="preserve"> s </w:t>
      </w:r>
      <w:r w:rsidRPr="004F01E9">
        <w:rPr>
          <w:noProof/>
        </w:rPr>
        <w:t>článkom 318, ktoré sa rovnajú alebo sú vyššie ako 100 000 EUR.</w:t>
      </w:r>
    </w:p>
    <w:p w14:paraId="5E4BE0F8" w14:textId="4C5D1C84" w:rsidR="00426FD2" w:rsidRPr="004F01E9" w:rsidRDefault="00426FD2" w:rsidP="00426FD2">
      <w:pPr>
        <w:pStyle w:val="Text1"/>
        <w:rPr>
          <w:noProof/>
        </w:rPr>
      </w:pPr>
      <w:r w:rsidRPr="004F01E9">
        <w:rPr>
          <w:noProof/>
        </w:rPr>
        <w:t>3.</w:t>
      </w:r>
      <w:r w:rsidR="004F01E9">
        <w:rPr>
          <w:noProof/>
        </w:rPr>
        <w:t xml:space="preserve"> V </w:t>
      </w:r>
      <w:r w:rsidRPr="004F01E9">
        <w:rPr>
          <w:noProof/>
        </w:rPr>
        <w:t>prípade udalosti operačného rizika, ktorá vedie</w:t>
      </w:r>
      <w:r w:rsidR="004F01E9">
        <w:rPr>
          <w:noProof/>
        </w:rPr>
        <w:t xml:space="preserve"> k </w:t>
      </w:r>
      <w:r w:rsidRPr="004F01E9">
        <w:rPr>
          <w:noProof/>
        </w:rPr>
        <w:t>stratám počas viac ako jedného finančného roka, ako sa uvádza</w:t>
      </w:r>
      <w:r w:rsidR="004F01E9">
        <w:rPr>
          <w:noProof/>
        </w:rPr>
        <w:t xml:space="preserve"> v </w:t>
      </w:r>
      <w:r w:rsidRPr="004F01E9">
        <w:rPr>
          <w:noProof/>
        </w:rPr>
        <w:t>článku 318 ods. 1 druhom pododseku, čistou stratou, ktorá sa má zohľadniť pre prahové hodnoty uvedené</w:t>
      </w:r>
      <w:r w:rsidR="004F01E9">
        <w:rPr>
          <w:noProof/>
        </w:rPr>
        <w:t xml:space="preserve"> v </w:t>
      </w:r>
      <w:r w:rsidRPr="004F01E9">
        <w:rPr>
          <w:noProof/>
        </w:rPr>
        <w:t>odsekoch 1</w:t>
      </w:r>
      <w:r w:rsidR="004F01E9">
        <w:rPr>
          <w:noProof/>
        </w:rPr>
        <w:t xml:space="preserve"> a </w:t>
      </w:r>
      <w:r w:rsidRPr="004F01E9">
        <w:rPr>
          <w:noProof/>
        </w:rPr>
        <w:t>2, je súhrnná čistá výška strát.</w:t>
      </w:r>
    </w:p>
    <w:p w14:paraId="20027E62" w14:textId="77777777" w:rsidR="00426FD2" w:rsidRPr="004F01E9" w:rsidRDefault="00426FD2" w:rsidP="00426FD2">
      <w:pPr>
        <w:pStyle w:val="Titrearticle"/>
        <w:rPr>
          <w:noProof/>
        </w:rPr>
      </w:pPr>
      <w:r w:rsidRPr="004F01E9">
        <w:rPr>
          <w:noProof/>
        </w:rPr>
        <w:t xml:space="preserve">Článok 320 </w:t>
      </w:r>
      <w:r w:rsidRPr="004F01E9">
        <w:rPr>
          <w:noProof/>
        </w:rPr>
        <w:br/>
      </w:r>
      <w:r w:rsidRPr="004F01E9">
        <w:rPr>
          <w:b/>
          <w:i w:val="0"/>
          <w:noProof/>
        </w:rPr>
        <w:t>Vylúčenie strát</w:t>
      </w:r>
    </w:p>
    <w:p w14:paraId="1AB74BD9" w14:textId="3A4D27E8" w:rsidR="00426FD2" w:rsidRPr="004F01E9" w:rsidRDefault="00426FD2" w:rsidP="00426FD2">
      <w:pPr>
        <w:pStyle w:val="Text1"/>
        <w:rPr>
          <w:noProof/>
        </w:rPr>
      </w:pPr>
      <w:r w:rsidRPr="004F01E9">
        <w:rPr>
          <w:noProof/>
        </w:rPr>
        <w:t>1. Príslušné orgány môžu inštitúcii povoliť, aby</w:t>
      </w:r>
      <w:r w:rsidR="004F01E9">
        <w:rPr>
          <w:noProof/>
        </w:rPr>
        <w:t xml:space="preserve"> z </w:t>
      </w:r>
      <w:r w:rsidRPr="004F01E9">
        <w:rPr>
          <w:noProof/>
        </w:rPr>
        <w:t>výpočtu ročných strát</w:t>
      </w:r>
      <w:r w:rsidR="004F01E9">
        <w:rPr>
          <w:noProof/>
        </w:rPr>
        <w:t xml:space="preserve"> z </w:t>
      </w:r>
      <w:r w:rsidRPr="004F01E9">
        <w:rPr>
          <w:noProof/>
        </w:rPr>
        <w:t>operačného rizika inštitúcie vylúčila výnimočné udalosti operačného rizika, ktoré už nie sú relevantné pre rizikový profil inštitúcie, ak sú splnené všetky tieto podmienky:</w:t>
      </w:r>
    </w:p>
    <w:p w14:paraId="1CADD84A" w14:textId="63754D51" w:rsidR="00806B81" w:rsidRPr="004F01E9" w:rsidRDefault="00426FD2" w:rsidP="00426FD2">
      <w:pPr>
        <w:pStyle w:val="Point1"/>
        <w:rPr>
          <w:noProof/>
        </w:rPr>
      </w:pPr>
      <w:r w:rsidRPr="004F01E9">
        <w:rPr>
          <w:noProof/>
        </w:rPr>
        <w:t>a)</w:t>
      </w:r>
      <w:r w:rsidRPr="004F01E9">
        <w:rPr>
          <w:noProof/>
        </w:rPr>
        <w:tab/>
        <w:t>inštitúcia je schopná</w:t>
      </w:r>
      <w:r w:rsidR="004F01E9">
        <w:rPr>
          <w:noProof/>
        </w:rPr>
        <w:t xml:space="preserve"> k </w:t>
      </w:r>
      <w:r w:rsidRPr="004F01E9">
        <w:rPr>
          <w:noProof/>
        </w:rPr>
        <w:t>spokojnosti príslušného orgánu preukázať, že udalosť operačného rizika, ktorá spôsobila uvedené straty</w:t>
      </w:r>
      <w:r w:rsidR="004F01E9">
        <w:rPr>
          <w:noProof/>
        </w:rPr>
        <w:t xml:space="preserve"> z </w:t>
      </w:r>
      <w:r w:rsidRPr="004F01E9">
        <w:rPr>
          <w:noProof/>
        </w:rPr>
        <w:t>operačného rizika, už nenastane;</w:t>
      </w:r>
    </w:p>
    <w:p w14:paraId="72837ED8" w14:textId="71FE7321" w:rsidR="00426FD2" w:rsidRPr="004F01E9" w:rsidRDefault="00426FD2" w:rsidP="00426FD2">
      <w:pPr>
        <w:pStyle w:val="Point1"/>
        <w:rPr>
          <w:noProof/>
        </w:rPr>
      </w:pPr>
      <w:r w:rsidRPr="004F01E9">
        <w:rPr>
          <w:noProof/>
        </w:rPr>
        <w:t>b)</w:t>
      </w:r>
      <w:r w:rsidRPr="004F01E9">
        <w:rPr>
          <w:noProof/>
        </w:rPr>
        <w:tab/>
        <w:t>stratu</w:t>
      </w:r>
      <w:r w:rsidR="004F01E9">
        <w:rPr>
          <w:noProof/>
        </w:rPr>
        <w:t xml:space="preserve"> z </w:t>
      </w:r>
      <w:r w:rsidRPr="004F01E9">
        <w:rPr>
          <w:noProof/>
        </w:rPr>
        <w:t>operačného rizika predstavuje jedna</w:t>
      </w:r>
      <w:r w:rsidR="004F01E9">
        <w:rPr>
          <w:noProof/>
        </w:rPr>
        <w:t xml:space="preserve"> z </w:t>
      </w:r>
      <w:r w:rsidRPr="004F01E9">
        <w:rPr>
          <w:noProof/>
        </w:rPr>
        <w:t>týchto možností:</w:t>
      </w:r>
    </w:p>
    <w:p w14:paraId="39A60713" w14:textId="60A017B2" w:rsidR="00426FD2" w:rsidRPr="004F01E9" w:rsidRDefault="00426FD2" w:rsidP="00426FD2">
      <w:pPr>
        <w:pStyle w:val="Point2"/>
        <w:rPr>
          <w:noProof/>
        </w:rPr>
      </w:pPr>
      <w:r w:rsidRPr="004F01E9">
        <w:rPr>
          <w:noProof/>
        </w:rPr>
        <w:t>i)</w:t>
      </w:r>
      <w:r w:rsidRPr="004F01E9">
        <w:rPr>
          <w:noProof/>
        </w:rPr>
        <w:tab/>
        <w:t>rovná sa alebo je vyššia ako 15</w:t>
      </w:r>
      <w:r w:rsidR="004F01E9">
        <w:rPr>
          <w:noProof/>
        </w:rPr>
        <w:t> %</w:t>
      </w:r>
      <w:r w:rsidRPr="004F01E9">
        <w:rPr>
          <w:noProof/>
        </w:rPr>
        <w:t xml:space="preserve"> priemernej ročnej straty</w:t>
      </w:r>
      <w:r w:rsidR="004F01E9">
        <w:rPr>
          <w:noProof/>
        </w:rPr>
        <w:t xml:space="preserve"> z </w:t>
      </w:r>
      <w:r w:rsidRPr="004F01E9">
        <w:rPr>
          <w:noProof/>
        </w:rPr>
        <w:t>operačného rizika inštitúcie vypočítanej na základe prahovej hodnoty uvedenej</w:t>
      </w:r>
      <w:r w:rsidR="004F01E9">
        <w:rPr>
          <w:noProof/>
        </w:rPr>
        <w:t xml:space="preserve"> v </w:t>
      </w:r>
      <w:r w:rsidRPr="004F01E9">
        <w:rPr>
          <w:noProof/>
        </w:rPr>
        <w:t>článku 319 ods. 1, ak sa udalosť straty</w:t>
      </w:r>
      <w:r w:rsidR="004F01E9">
        <w:rPr>
          <w:noProof/>
        </w:rPr>
        <w:t xml:space="preserve"> z </w:t>
      </w:r>
      <w:r w:rsidRPr="004F01E9">
        <w:rPr>
          <w:noProof/>
        </w:rPr>
        <w:t>operačného rizika vzťahuje na činnosti, ktoré sú stále súčasťou ukazovateľa obchodovania;</w:t>
      </w:r>
    </w:p>
    <w:p w14:paraId="316A3F3E" w14:textId="1048E9CD" w:rsidR="00426FD2" w:rsidRPr="004F01E9" w:rsidRDefault="00426FD2" w:rsidP="00426FD2">
      <w:pPr>
        <w:pStyle w:val="Point2"/>
        <w:rPr>
          <w:noProof/>
        </w:rPr>
      </w:pPr>
      <w:r w:rsidRPr="004F01E9">
        <w:rPr>
          <w:noProof/>
        </w:rPr>
        <w:t>ii)</w:t>
      </w:r>
      <w:r w:rsidRPr="004F01E9">
        <w:rPr>
          <w:noProof/>
        </w:rPr>
        <w:tab/>
        <w:t>presahuje 0</w:t>
      </w:r>
      <w:r w:rsidR="004F01E9">
        <w:rPr>
          <w:noProof/>
        </w:rPr>
        <w:t> %</w:t>
      </w:r>
      <w:r w:rsidRPr="004F01E9">
        <w:rPr>
          <w:noProof/>
        </w:rPr>
        <w:t xml:space="preserve"> priemernej ročnej straty</w:t>
      </w:r>
      <w:r w:rsidR="004F01E9">
        <w:rPr>
          <w:noProof/>
        </w:rPr>
        <w:t xml:space="preserve"> z </w:t>
      </w:r>
      <w:r w:rsidRPr="004F01E9">
        <w:rPr>
          <w:noProof/>
        </w:rPr>
        <w:t>operačného rizika inštitúcie vypočítanej na základe prahovej hodnoty uvedenej</w:t>
      </w:r>
      <w:r w:rsidR="004F01E9">
        <w:rPr>
          <w:noProof/>
        </w:rPr>
        <w:t xml:space="preserve"> v </w:t>
      </w:r>
      <w:r w:rsidRPr="004F01E9">
        <w:rPr>
          <w:noProof/>
        </w:rPr>
        <w:t>článku 319 ods. 1, ak sa udalosť straty</w:t>
      </w:r>
      <w:r w:rsidR="004F01E9">
        <w:rPr>
          <w:noProof/>
        </w:rPr>
        <w:t xml:space="preserve"> z </w:t>
      </w:r>
      <w:r w:rsidRPr="004F01E9">
        <w:rPr>
          <w:noProof/>
        </w:rPr>
        <w:t>operačného rizika vzťahuje na činnosti vyčlenené</w:t>
      </w:r>
      <w:r w:rsidR="004F01E9">
        <w:rPr>
          <w:noProof/>
        </w:rPr>
        <w:t xml:space="preserve"> z </w:t>
      </w:r>
      <w:r w:rsidRPr="004F01E9">
        <w:rPr>
          <w:noProof/>
        </w:rPr>
        <w:t>ukazovateľa obchodovania</w:t>
      </w:r>
      <w:r w:rsidR="004F01E9">
        <w:rPr>
          <w:noProof/>
        </w:rPr>
        <w:t xml:space="preserve"> v </w:t>
      </w:r>
      <w:r w:rsidRPr="004F01E9">
        <w:rPr>
          <w:noProof/>
        </w:rPr>
        <w:t>súlade</w:t>
      </w:r>
      <w:r w:rsidR="004F01E9">
        <w:rPr>
          <w:noProof/>
        </w:rPr>
        <w:t xml:space="preserve"> s </w:t>
      </w:r>
      <w:r w:rsidRPr="004F01E9">
        <w:rPr>
          <w:noProof/>
        </w:rPr>
        <w:t>článkom 315 ods. 2;</w:t>
      </w:r>
    </w:p>
    <w:p w14:paraId="465E64FC" w14:textId="0EDD18AB" w:rsidR="00806B81" w:rsidRPr="004F01E9" w:rsidRDefault="00426FD2" w:rsidP="00426FD2">
      <w:pPr>
        <w:pStyle w:val="Point1"/>
        <w:rPr>
          <w:noProof/>
        </w:rPr>
      </w:pPr>
      <w:r w:rsidRPr="004F01E9">
        <w:rPr>
          <w:noProof/>
        </w:rPr>
        <w:t>c)</w:t>
      </w:r>
      <w:r w:rsidRPr="004F01E9">
        <w:rPr>
          <w:noProof/>
        </w:rPr>
        <w:tab/>
        <w:t>strata</w:t>
      </w:r>
      <w:r w:rsidR="004F01E9">
        <w:rPr>
          <w:noProof/>
        </w:rPr>
        <w:t xml:space="preserve"> z </w:t>
      </w:r>
      <w:r w:rsidRPr="004F01E9">
        <w:rPr>
          <w:noProof/>
        </w:rPr>
        <w:t>operačného rizika bola</w:t>
      </w:r>
      <w:r w:rsidR="004F01E9">
        <w:rPr>
          <w:noProof/>
        </w:rPr>
        <w:t xml:space="preserve"> v </w:t>
      </w:r>
      <w:r w:rsidRPr="004F01E9">
        <w:rPr>
          <w:noProof/>
        </w:rPr>
        <w:t>databáze strát počas minimálneho obdobia jedného roka, pokiaľ strata</w:t>
      </w:r>
      <w:r w:rsidR="004F01E9">
        <w:rPr>
          <w:noProof/>
        </w:rPr>
        <w:t xml:space="preserve"> z </w:t>
      </w:r>
      <w:r w:rsidRPr="004F01E9">
        <w:rPr>
          <w:noProof/>
        </w:rPr>
        <w:t>operačného rizika nesúvisí</w:t>
      </w:r>
      <w:r w:rsidR="004F01E9">
        <w:rPr>
          <w:noProof/>
        </w:rPr>
        <w:t xml:space="preserve"> s </w:t>
      </w:r>
      <w:r w:rsidRPr="004F01E9">
        <w:rPr>
          <w:noProof/>
        </w:rPr>
        <w:t>činnosťami vyčlenenými</w:t>
      </w:r>
      <w:r w:rsidR="004F01E9">
        <w:rPr>
          <w:noProof/>
        </w:rPr>
        <w:t xml:space="preserve"> z </w:t>
      </w:r>
      <w:r w:rsidRPr="004F01E9">
        <w:rPr>
          <w:noProof/>
        </w:rPr>
        <w:t>ukazovateľa obchodovania</w:t>
      </w:r>
      <w:r w:rsidR="004F01E9">
        <w:rPr>
          <w:noProof/>
        </w:rPr>
        <w:t xml:space="preserve"> v </w:t>
      </w:r>
      <w:r w:rsidRPr="004F01E9">
        <w:rPr>
          <w:noProof/>
        </w:rPr>
        <w:t>súlade</w:t>
      </w:r>
      <w:r w:rsidR="004F01E9">
        <w:rPr>
          <w:noProof/>
        </w:rPr>
        <w:t xml:space="preserve"> s </w:t>
      </w:r>
      <w:r w:rsidRPr="004F01E9">
        <w:rPr>
          <w:noProof/>
        </w:rPr>
        <w:t>článkom 315 ods. 2.</w:t>
      </w:r>
    </w:p>
    <w:p w14:paraId="761692DD" w14:textId="27156236" w:rsidR="00426FD2" w:rsidRPr="004F01E9" w:rsidRDefault="00426FD2" w:rsidP="00426FD2">
      <w:pPr>
        <w:pStyle w:val="Text1"/>
        <w:rPr>
          <w:noProof/>
        </w:rPr>
      </w:pPr>
      <w:r w:rsidRPr="004F01E9">
        <w:rPr>
          <w:noProof/>
        </w:rPr>
        <w:t>Na účely písmena c) sa minimálne obdobie jedného roka začína odo dňa, keď bola udalosť operačného rizika zahrnutá do súboru údajov</w:t>
      </w:r>
      <w:r w:rsidR="004F01E9">
        <w:rPr>
          <w:noProof/>
        </w:rPr>
        <w:t xml:space="preserve"> o </w:t>
      </w:r>
      <w:r w:rsidRPr="004F01E9">
        <w:rPr>
          <w:noProof/>
        </w:rPr>
        <w:t>stratách prvýkrát vyššia ako prah významnosti uvedený</w:t>
      </w:r>
      <w:r w:rsidR="004F01E9">
        <w:rPr>
          <w:noProof/>
        </w:rPr>
        <w:t xml:space="preserve"> v </w:t>
      </w:r>
      <w:r w:rsidRPr="004F01E9">
        <w:rPr>
          <w:noProof/>
        </w:rPr>
        <w:t>článku 319 ods. 1.</w:t>
      </w:r>
    </w:p>
    <w:p w14:paraId="5B0D245D" w14:textId="1FB8D1D3" w:rsidR="00426FD2" w:rsidRPr="004F01E9" w:rsidRDefault="00426FD2" w:rsidP="00426FD2">
      <w:pPr>
        <w:pStyle w:val="Text1"/>
        <w:rPr>
          <w:noProof/>
        </w:rPr>
      </w:pPr>
      <w:r w:rsidRPr="004F01E9">
        <w:rPr>
          <w:noProof/>
        </w:rPr>
        <w:t>2. Inštitúcia žiadajúca</w:t>
      </w:r>
      <w:r w:rsidR="004F01E9">
        <w:rPr>
          <w:noProof/>
        </w:rPr>
        <w:t xml:space="preserve"> o </w:t>
      </w:r>
      <w:r w:rsidRPr="004F01E9">
        <w:rPr>
          <w:noProof/>
        </w:rPr>
        <w:t>povolenie uvedené</w:t>
      </w:r>
      <w:r w:rsidR="004F01E9">
        <w:rPr>
          <w:noProof/>
        </w:rPr>
        <w:t xml:space="preserve"> v </w:t>
      </w:r>
      <w:r w:rsidRPr="004F01E9">
        <w:rPr>
          <w:noProof/>
        </w:rPr>
        <w:t>odseku 1 poskytuje príslušnému orgánu zdokumentované odôvodnenia vylúčenia výnimočnej straty vrátane:</w:t>
      </w:r>
    </w:p>
    <w:p w14:paraId="2238FC32" w14:textId="77777777" w:rsidR="00426FD2" w:rsidRPr="004F01E9" w:rsidRDefault="00426FD2" w:rsidP="00426FD2">
      <w:pPr>
        <w:pStyle w:val="Point1"/>
        <w:rPr>
          <w:noProof/>
        </w:rPr>
      </w:pPr>
      <w:r w:rsidRPr="004F01E9">
        <w:rPr>
          <w:noProof/>
        </w:rPr>
        <w:t>a)</w:t>
      </w:r>
      <w:r w:rsidRPr="004F01E9">
        <w:rPr>
          <w:noProof/>
        </w:rPr>
        <w:tab/>
        <w:t>opisu udalosti operačného rizika, ktorá sa predkladá na vylúčenie;</w:t>
      </w:r>
    </w:p>
    <w:p w14:paraId="7F2FE007" w14:textId="78528B80" w:rsidR="00426FD2" w:rsidRPr="004F01E9" w:rsidRDefault="00426FD2" w:rsidP="00426FD2">
      <w:pPr>
        <w:pStyle w:val="Point1"/>
        <w:rPr>
          <w:noProof/>
        </w:rPr>
      </w:pPr>
      <w:r w:rsidRPr="004F01E9">
        <w:rPr>
          <w:noProof/>
        </w:rPr>
        <w:t>b)</w:t>
      </w:r>
      <w:r w:rsidRPr="004F01E9">
        <w:rPr>
          <w:noProof/>
        </w:rPr>
        <w:tab/>
        <w:t>dôkazu</w:t>
      </w:r>
      <w:r w:rsidR="004F01E9">
        <w:rPr>
          <w:noProof/>
        </w:rPr>
        <w:t xml:space="preserve"> o </w:t>
      </w:r>
      <w:r w:rsidRPr="004F01E9">
        <w:rPr>
          <w:noProof/>
        </w:rPr>
        <w:t>tom, že strata</w:t>
      </w:r>
      <w:r w:rsidR="004F01E9">
        <w:rPr>
          <w:noProof/>
        </w:rPr>
        <w:t xml:space="preserve"> z </w:t>
      </w:r>
      <w:r w:rsidRPr="004F01E9">
        <w:rPr>
          <w:noProof/>
        </w:rPr>
        <w:t>udalosti operačného rizika presahuje prahovú hodnotu významnosti pre vylúčenie zo straty uvedenú</w:t>
      </w:r>
      <w:r w:rsidR="004F01E9">
        <w:rPr>
          <w:noProof/>
        </w:rPr>
        <w:t xml:space="preserve"> v </w:t>
      </w:r>
      <w:r w:rsidRPr="004F01E9">
        <w:rPr>
          <w:noProof/>
        </w:rPr>
        <w:t>odseku 1 písm. b) vrátane dátumu, ku ktorému sa bola táto udalosť operačného rizika prvýkrát vyššia ako prah významnosti;</w:t>
      </w:r>
    </w:p>
    <w:p w14:paraId="6AB272E3" w14:textId="5F57834C" w:rsidR="00426FD2" w:rsidRPr="004F01E9" w:rsidRDefault="00426FD2" w:rsidP="00426FD2">
      <w:pPr>
        <w:pStyle w:val="Point1"/>
        <w:rPr>
          <w:noProof/>
        </w:rPr>
      </w:pPr>
      <w:r w:rsidRPr="004F01E9">
        <w:rPr>
          <w:noProof/>
        </w:rPr>
        <w:t>c)</w:t>
      </w:r>
      <w:r w:rsidRPr="004F01E9">
        <w:rPr>
          <w:noProof/>
        </w:rPr>
        <w:tab/>
        <w:t>dátumu, ku ktorému by sa príslušná udalosť operačného rizika vylúčila, berúc do úvahy minimálne obdobie uchovávania stanovené</w:t>
      </w:r>
      <w:r w:rsidR="004F01E9">
        <w:rPr>
          <w:noProof/>
        </w:rPr>
        <w:t xml:space="preserve"> v </w:t>
      </w:r>
      <w:r w:rsidRPr="004F01E9">
        <w:rPr>
          <w:noProof/>
        </w:rPr>
        <w:t>odseku 1 písm. c);</w:t>
      </w:r>
    </w:p>
    <w:p w14:paraId="5AEE6287" w14:textId="77777777" w:rsidR="00426FD2" w:rsidRPr="004F01E9" w:rsidRDefault="00426FD2" w:rsidP="00426FD2">
      <w:pPr>
        <w:pStyle w:val="Point1"/>
        <w:rPr>
          <w:noProof/>
        </w:rPr>
      </w:pPr>
      <w:r w:rsidRPr="004F01E9">
        <w:rPr>
          <w:noProof/>
        </w:rPr>
        <w:t>d)</w:t>
      </w:r>
      <w:r w:rsidRPr="004F01E9">
        <w:rPr>
          <w:noProof/>
        </w:rPr>
        <w:tab/>
        <w:t>dôvodu, prečo sa udalosť operačného rizika pre rizikový profil inštitúcie už nepovažuje za relevantnú;</w:t>
      </w:r>
    </w:p>
    <w:p w14:paraId="0646BCBF" w14:textId="65482FB1" w:rsidR="00426FD2" w:rsidRPr="004F01E9" w:rsidRDefault="00426FD2" w:rsidP="00426FD2">
      <w:pPr>
        <w:pStyle w:val="Point1"/>
        <w:rPr>
          <w:noProof/>
        </w:rPr>
      </w:pPr>
      <w:r w:rsidRPr="004F01E9">
        <w:rPr>
          <w:noProof/>
        </w:rPr>
        <w:t>e)</w:t>
      </w:r>
      <w:r w:rsidRPr="004F01E9">
        <w:rPr>
          <w:noProof/>
        </w:rPr>
        <w:tab/>
        <w:t>preukázania toho, že neexistujú žiadne podobné alebo zostatkové právne expozície</w:t>
      </w:r>
      <w:r w:rsidR="004F01E9">
        <w:rPr>
          <w:noProof/>
        </w:rPr>
        <w:t xml:space="preserve"> a </w:t>
      </w:r>
      <w:r w:rsidRPr="004F01E9">
        <w:rPr>
          <w:noProof/>
        </w:rPr>
        <w:t>že udalosť operačného rizika, ktorá sa má vylúčiť, nie je relevantná pre iné činnosti alebo produkty;</w:t>
      </w:r>
    </w:p>
    <w:p w14:paraId="41A133D3" w14:textId="3450231C" w:rsidR="00806B81" w:rsidRPr="004F01E9" w:rsidRDefault="00426FD2" w:rsidP="00426FD2">
      <w:pPr>
        <w:pStyle w:val="Point1"/>
        <w:rPr>
          <w:noProof/>
        </w:rPr>
      </w:pPr>
      <w:r w:rsidRPr="004F01E9">
        <w:rPr>
          <w:noProof/>
        </w:rPr>
        <w:t>f)</w:t>
      </w:r>
      <w:r w:rsidRPr="004F01E9">
        <w:rPr>
          <w:noProof/>
        </w:rPr>
        <w:tab/>
        <w:t>správ</w:t>
      </w:r>
      <w:r w:rsidR="004F01E9">
        <w:rPr>
          <w:noProof/>
        </w:rPr>
        <w:t xml:space="preserve"> o </w:t>
      </w:r>
      <w:r w:rsidRPr="004F01E9">
        <w:rPr>
          <w:noProof/>
        </w:rPr>
        <w:t>nezávislom preskúmaní alebo potvrdení inštitúcie, ktoré potvrdzujú, že udalosť operačného rizika už nie je relevantná</w:t>
      </w:r>
      <w:r w:rsidR="004F01E9">
        <w:rPr>
          <w:noProof/>
        </w:rPr>
        <w:t xml:space="preserve"> a </w:t>
      </w:r>
      <w:r w:rsidRPr="004F01E9">
        <w:rPr>
          <w:noProof/>
        </w:rPr>
        <w:t>že neexistujú žiadne podobné alebo zostatkové právne expozície;</w:t>
      </w:r>
    </w:p>
    <w:p w14:paraId="07F13C18" w14:textId="50FA2513" w:rsidR="00426FD2" w:rsidRPr="004F01E9" w:rsidRDefault="00426FD2" w:rsidP="00426FD2">
      <w:pPr>
        <w:pStyle w:val="Point1"/>
        <w:rPr>
          <w:noProof/>
        </w:rPr>
      </w:pPr>
      <w:r w:rsidRPr="004F01E9">
        <w:rPr>
          <w:noProof/>
        </w:rPr>
        <w:t>g)</w:t>
      </w:r>
      <w:r w:rsidRPr="004F01E9">
        <w:rPr>
          <w:noProof/>
        </w:rPr>
        <w:tab/>
        <w:t>dôkazu</w:t>
      </w:r>
      <w:r w:rsidR="004F01E9">
        <w:rPr>
          <w:noProof/>
        </w:rPr>
        <w:t xml:space="preserve"> o </w:t>
      </w:r>
      <w:r w:rsidRPr="004F01E9">
        <w:rPr>
          <w:noProof/>
        </w:rPr>
        <w:t>tom, že príslušné orgány inštitúcie prostredníctvom schvaľovacích postupov inštitúcie schválili žiadosť</w:t>
      </w:r>
      <w:r w:rsidR="004F01E9">
        <w:rPr>
          <w:noProof/>
        </w:rPr>
        <w:t xml:space="preserve"> o </w:t>
      </w:r>
      <w:r w:rsidRPr="004F01E9">
        <w:rPr>
          <w:noProof/>
        </w:rPr>
        <w:t>vylúčenie udalosti operačného rizika,</w:t>
      </w:r>
      <w:r w:rsidR="004F01E9">
        <w:rPr>
          <w:noProof/>
        </w:rPr>
        <w:t xml:space="preserve"> a </w:t>
      </w:r>
      <w:r w:rsidRPr="004F01E9">
        <w:rPr>
          <w:noProof/>
        </w:rPr>
        <w:t>dátumu takéhoto schválenia;</w:t>
      </w:r>
    </w:p>
    <w:p w14:paraId="4C9B2B87" w14:textId="57B96B23" w:rsidR="00426FD2" w:rsidRPr="00275EE7" w:rsidRDefault="00426FD2" w:rsidP="00426FD2">
      <w:pPr>
        <w:pStyle w:val="Point1"/>
        <w:rPr>
          <w:noProof/>
          <w:spacing w:val="-4"/>
        </w:rPr>
      </w:pPr>
      <w:r w:rsidRPr="004F01E9">
        <w:rPr>
          <w:noProof/>
        </w:rPr>
        <w:t>h)</w:t>
      </w:r>
      <w:r w:rsidRPr="004F01E9">
        <w:rPr>
          <w:noProof/>
        </w:rPr>
        <w:tab/>
      </w:r>
      <w:r w:rsidRPr="00275EE7">
        <w:rPr>
          <w:noProof/>
          <w:spacing w:val="-4"/>
        </w:rPr>
        <w:t>vplyvu vylúčenia udalosti operačného rizika na ročnú stratu</w:t>
      </w:r>
      <w:r w:rsidR="004F01E9" w:rsidRPr="00275EE7">
        <w:rPr>
          <w:noProof/>
          <w:spacing w:val="-4"/>
        </w:rPr>
        <w:t xml:space="preserve"> z </w:t>
      </w:r>
      <w:r w:rsidRPr="00275EE7">
        <w:rPr>
          <w:noProof/>
          <w:spacing w:val="-4"/>
        </w:rPr>
        <w:t>operačného rizika.</w:t>
      </w:r>
    </w:p>
    <w:p w14:paraId="77E1A677" w14:textId="1F68DF87" w:rsidR="00426FD2" w:rsidRPr="004F01E9" w:rsidRDefault="00426FD2" w:rsidP="00426FD2">
      <w:pPr>
        <w:pStyle w:val="Text1"/>
        <w:rPr>
          <w:noProof/>
        </w:rPr>
      </w:pPr>
      <w:r w:rsidRPr="004F01E9">
        <w:rPr>
          <w:noProof/>
        </w:rPr>
        <w:t>3. EBA vypracuje návrh regulačných technických predpisov</w:t>
      </w:r>
      <w:r w:rsidR="004F01E9">
        <w:rPr>
          <w:noProof/>
        </w:rPr>
        <w:t xml:space="preserve"> s </w:t>
      </w:r>
      <w:r w:rsidRPr="004F01E9">
        <w:rPr>
          <w:noProof/>
        </w:rPr>
        <w:t>cieľom presne stanoviť podmienky, ktoré musí príslušný orgán posúdiť podľa odseku 1, vrátane spôsobu výpočtu priemernej ročnej straty</w:t>
      </w:r>
      <w:r w:rsidR="004F01E9">
        <w:rPr>
          <w:noProof/>
        </w:rPr>
        <w:t xml:space="preserve"> z </w:t>
      </w:r>
      <w:r w:rsidRPr="004F01E9">
        <w:rPr>
          <w:noProof/>
        </w:rPr>
        <w:t>operačného rizika</w:t>
      </w:r>
      <w:r w:rsidR="004F01E9">
        <w:rPr>
          <w:noProof/>
        </w:rPr>
        <w:t xml:space="preserve"> a </w:t>
      </w:r>
      <w:r w:rsidRPr="004F01E9">
        <w:rPr>
          <w:noProof/>
        </w:rPr>
        <w:t>špecifikácií informácií, ktoré sa majú zhromažďovať podľa odseku 2, alebo akýchkoľvek ďalších informácií, ktoré sa na vykonanie posúdenia považujú za potrebné.</w:t>
      </w:r>
    </w:p>
    <w:p w14:paraId="26BC2DED" w14:textId="77777777" w:rsidR="00426FD2" w:rsidRPr="00275EE7" w:rsidRDefault="00426FD2" w:rsidP="00426FD2">
      <w:pPr>
        <w:pStyle w:val="Text1"/>
        <w:rPr>
          <w:noProof/>
          <w:spacing w:val="-4"/>
        </w:rPr>
      </w:pPr>
      <w:r w:rsidRPr="00275EE7">
        <w:rPr>
          <w:noProof/>
          <w:spacing w:val="-4"/>
        </w:rPr>
        <w:t>EBA predloží Komisii uvedený návrh regulačných technických predpisov do [Úrad pre publikácie, vložte dátum = 18 mesiacov po nadobudnutí účinnosti tohto nariadenia].</w:t>
      </w:r>
    </w:p>
    <w:p w14:paraId="1C3A98F8" w14:textId="0BF45F34" w:rsidR="00426FD2" w:rsidRPr="004F01E9" w:rsidRDefault="00426FD2" w:rsidP="00426FD2">
      <w:pPr>
        <w:pStyle w:val="Text1"/>
        <w:rPr>
          <w:noProof/>
        </w:rPr>
      </w:pPr>
      <w:r w:rsidRPr="004F01E9">
        <w:rPr>
          <w:noProof/>
        </w:rPr>
        <w:t>Na Komisiu sa deleguje právomoc prijať regulačné technické predpisy uvedené</w:t>
      </w:r>
      <w:r w:rsidR="004F01E9">
        <w:rPr>
          <w:noProof/>
        </w:rPr>
        <w:t xml:space="preserve"> v </w:t>
      </w:r>
      <w:r w:rsidRPr="004F01E9">
        <w:rPr>
          <w:noProof/>
        </w:rPr>
        <w:t>prvom pododseku</w:t>
      </w:r>
      <w:r w:rsidR="004F01E9">
        <w:rPr>
          <w:noProof/>
        </w:rPr>
        <w:t xml:space="preserve"> v </w:t>
      </w:r>
      <w:r w:rsidRPr="004F01E9">
        <w:rPr>
          <w:noProof/>
        </w:rPr>
        <w:t>súlade</w:t>
      </w:r>
      <w:r w:rsidR="004F01E9">
        <w:rPr>
          <w:noProof/>
        </w:rPr>
        <w:t xml:space="preserve"> s </w:t>
      </w:r>
      <w:r w:rsidRPr="004F01E9">
        <w:rPr>
          <w:noProof/>
        </w:rPr>
        <w:t xml:space="preserve">článkami 10 až 14 nariadenia (EÚ) </w:t>
      </w:r>
      <w:r w:rsidR="004F01E9">
        <w:rPr>
          <w:noProof/>
        </w:rPr>
        <w:t>č. </w:t>
      </w:r>
      <w:r w:rsidRPr="004F01E9">
        <w:rPr>
          <w:noProof/>
        </w:rPr>
        <w:t>1093/2010.</w:t>
      </w:r>
    </w:p>
    <w:p w14:paraId="0F0B1A98" w14:textId="77777777" w:rsidR="00426FD2" w:rsidRPr="004F01E9" w:rsidRDefault="00426FD2" w:rsidP="00426FD2">
      <w:pPr>
        <w:pStyle w:val="Titrearticle"/>
        <w:rPr>
          <w:noProof/>
        </w:rPr>
      </w:pPr>
      <w:r w:rsidRPr="004F01E9">
        <w:rPr>
          <w:noProof/>
        </w:rPr>
        <w:t xml:space="preserve">Článok 321 </w:t>
      </w:r>
      <w:r w:rsidRPr="004F01E9">
        <w:rPr>
          <w:noProof/>
        </w:rPr>
        <w:br/>
      </w:r>
      <w:r w:rsidRPr="004F01E9">
        <w:rPr>
          <w:b/>
          <w:i w:val="0"/>
          <w:noProof/>
        </w:rPr>
        <w:t>Zahrnutie strát zo zlúčených alebo nadobudnutých subjektov alebo činností</w:t>
      </w:r>
    </w:p>
    <w:p w14:paraId="3807EB0C" w14:textId="130DB94D" w:rsidR="00426FD2" w:rsidRPr="00275EE7" w:rsidRDefault="00426FD2" w:rsidP="00426FD2">
      <w:pPr>
        <w:pStyle w:val="Text1"/>
        <w:rPr>
          <w:noProof/>
          <w:spacing w:val="-4"/>
        </w:rPr>
      </w:pPr>
      <w:r w:rsidRPr="00275EE7">
        <w:rPr>
          <w:noProof/>
          <w:spacing w:val="-4"/>
        </w:rPr>
        <w:t>1. Straty pochádzajúce zo zlúčených alebo nadobudnutých subjektov alebo činností sa zahrňujú do súboru údajov</w:t>
      </w:r>
      <w:r w:rsidR="004F01E9" w:rsidRPr="00275EE7">
        <w:rPr>
          <w:noProof/>
          <w:spacing w:val="-4"/>
        </w:rPr>
        <w:t xml:space="preserve"> o </w:t>
      </w:r>
      <w:r w:rsidRPr="00275EE7">
        <w:rPr>
          <w:noProof/>
          <w:spacing w:val="-4"/>
        </w:rPr>
        <w:t>stratách hneď, ako sa položky ukazovateľa obchodovania týkajúce sa týchto subjektov alebo činností zahrnú do výpočtu ukazovateľa obchodovania inštitúcie</w:t>
      </w:r>
      <w:r w:rsidR="004F01E9" w:rsidRPr="00275EE7">
        <w:rPr>
          <w:noProof/>
          <w:spacing w:val="-4"/>
        </w:rPr>
        <w:t xml:space="preserve"> v </w:t>
      </w:r>
      <w:r w:rsidRPr="00275EE7">
        <w:rPr>
          <w:noProof/>
          <w:spacing w:val="-4"/>
        </w:rPr>
        <w:t>súlade</w:t>
      </w:r>
      <w:r w:rsidR="004F01E9" w:rsidRPr="00275EE7">
        <w:rPr>
          <w:noProof/>
          <w:spacing w:val="-4"/>
        </w:rPr>
        <w:t xml:space="preserve"> s </w:t>
      </w:r>
      <w:r w:rsidRPr="00275EE7">
        <w:rPr>
          <w:noProof/>
          <w:spacing w:val="-4"/>
        </w:rPr>
        <w:t>článkom 315 ods. 1. Na tento účel inštitúcie zahrňujú straty zaznamenané počas desaťročného obdobia pred akvizíciou alebo zlúčením.</w:t>
      </w:r>
    </w:p>
    <w:p w14:paraId="22D0FD2F" w14:textId="2AF0B078" w:rsidR="00426FD2" w:rsidRPr="00275EE7" w:rsidRDefault="00426FD2" w:rsidP="00426FD2">
      <w:pPr>
        <w:pStyle w:val="Text1"/>
        <w:rPr>
          <w:noProof/>
          <w:spacing w:val="-4"/>
        </w:rPr>
      </w:pPr>
      <w:r w:rsidRPr="00275EE7">
        <w:rPr>
          <w:noProof/>
          <w:spacing w:val="-4"/>
        </w:rPr>
        <w:t>2. EBA vypracuje návrh regulačných technických predpisov</w:t>
      </w:r>
      <w:r w:rsidR="004F01E9" w:rsidRPr="00275EE7">
        <w:rPr>
          <w:noProof/>
          <w:spacing w:val="-4"/>
        </w:rPr>
        <w:t xml:space="preserve"> s </w:t>
      </w:r>
      <w:r w:rsidRPr="00275EE7">
        <w:rPr>
          <w:noProof/>
          <w:spacing w:val="-4"/>
        </w:rPr>
        <w:t>cieľom presne stanoviť, ako inštitúcie určujú úpravy svojich súborov údajov</w:t>
      </w:r>
      <w:r w:rsidR="004F01E9" w:rsidRPr="00275EE7">
        <w:rPr>
          <w:noProof/>
          <w:spacing w:val="-4"/>
        </w:rPr>
        <w:t xml:space="preserve"> o </w:t>
      </w:r>
      <w:r w:rsidRPr="00275EE7">
        <w:rPr>
          <w:noProof/>
          <w:spacing w:val="-4"/>
        </w:rPr>
        <w:t>stratách po zahrnutí strát zo zlúčených alebo nadobudnutých subjektov alebo činností uvedených</w:t>
      </w:r>
      <w:r w:rsidR="004F01E9" w:rsidRPr="00275EE7">
        <w:rPr>
          <w:noProof/>
          <w:spacing w:val="-4"/>
        </w:rPr>
        <w:t xml:space="preserve"> v </w:t>
      </w:r>
      <w:r w:rsidRPr="00275EE7">
        <w:rPr>
          <w:noProof/>
          <w:spacing w:val="-4"/>
        </w:rPr>
        <w:t>odseku 1.</w:t>
      </w:r>
    </w:p>
    <w:p w14:paraId="468DB509" w14:textId="77777777" w:rsidR="00426FD2" w:rsidRPr="00275EE7" w:rsidRDefault="00426FD2" w:rsidP="00426FD2">
      <w:pPr>
        <w:pStyle w:val="Text1"/>
        <w:rPr>
          <w:noProof/>
          <w:spacing w:val="-4"/>
        </w:rPr>
      </w:pPr>
      <w:r w:rsidRPr="00275EE7">
        <w:rPr>
          <w:noProof/>
          <w:spacing w:val="-4"/>
        </w:rPr>
        <w:t>EBA predloží Komisii uvedený návrh regulačných technických predpisov do [Úrad pre publikácie, vložte dátum = 18 mesiacov po nadobudnutí účinnosti tohto nariadenia].</w:t>
      </w:r>
    </w:p>
    <w:p w14:paraId="4567069E" w14:textId="2C41EDCD" w:rsidR="00426FD2" w:rsidRPr="004F01E9" w:rsidRDefault="00426FD2" w:rsidP="00426FD2">
      <w:pPr>
        <w:pStyle w:val="Text1"/>
        <w:rPr>
          <w:noProof/>
        </w:rPr>
      </w:pPr>
      <w:r w:rsidRPr="004F01E9">
        <w:rPr>
          <w:noProof/>
        </w:rPr>
        <w:t>Na Komisiu sa deleguje právomoc prijať regulačné technické predpisy uvedené</w:t>
      </w:r>
      <w:r w:rsidR="004F01E9">
        <w:rPr>
          <w:noProof/>
        </w:rPr>
        <w:t xml:space="preserve"> v </w:t>
      </w:r>
      <w:r w:rsidRPr="004F01E9">
        <w:rPr>
          <w:noProof/>
        </w:rPr>
        <w:t>prvom pododseku</w:t>
      </w:r>
      <w:r w:rsidR="004F01E9">
        <w:rPr>
          <w:noProof/>
        </w:rPr>
        <w:t xml:space="preserve"> v </w:t>
      </w:r>
      <w:r w:rsidRPr="004F01E9">
        <w:rPr>
          <w:noProof/>
        </w:rPr>
        <w:t>súlade</w:t>
      </w:r>
      <w:r w:rsidR="004F01E9">
        <w:rPr>
          <w:noProof/>
        </w:rPr>
        <w:t xml:space="preserve"> s </w:t>
      </w:r>
      <w:r w:rsidRPr="004F01E9">
        <w:rPr>
          <w:noProof/>
        </w:rPr>
        <w:t xml:space="preserve">článkami 10 až 14 nariadenia (EÚ) </w:t>
      </w:r>
      <w:r w:rsidR="004F01E9">
        <w:rPr>
          <w:noProof/>
        </w:rPr>
        <w:t>č. </w:t>
      </w:r>
      <w:r w:rsidRPr="004F01E9">
        <w:rPr>
          <w:noProof/>
        </w:rPr>
        <w:t>1093/2010.</w:t>
      </w:r>
    </w:p>
    <w:p w14:paraId="1C75A7E7" w14:textId="50962ACA" w:rsidR="008B2178" w:rsidRPr="004F01E9" w:rsidRDefault="008B2178" w:rsidP="008B2178">
      <w:pPr>
        <w:pStyle w:val="Titrearticle"/>
        <w:rPr>
          <w:noProof/>
        </w:rPr>
      </w:pPr>
      <w:r w:rsidRPr="004F01E9">
        <w:rPr>
          <w:noProof/>
        </w:rPr>
        <w:t xml:space="preserve">Článok 322 </w:t>
      </w:r>
      <w:r w:rsidRPr="004F01E9">
        <w:rPr>
          <w:noProof/>
        </w:rPr>
        <w:br/>
      </w:r>
      <w:r w:rsidRPr="004F01E9">
        <w:rPr>
          <w:b/>
          <w:i w:val="0"/>
          <w:noProof/>
        </w:rPr>
        <w:t>Preskúmanie komplexnosti, presnosti</w:t>
      </w:r>
      <w:r w:rsidR="004F01E9">
        <w:rPr>
          <w:b/>
          <w:i w:val="0"/>
          <w:noProof/>
        </w:rPr>
        <w:t xml:space="preserve"> a </w:t>
      </w:r>
      <w:r w:rsidRPr="004F01E9">
        <w:rPr>
          <w:b/>
          <w:i w:val="0"/>
          <w:noProof/>
        </w:rPr>
        <w:t>kvality údajov</w:t>
      </w:r>
      <w:r w:rsidR="004F01E9">
        <w:rPr>
          <w:b/>
          <w:i w:val="0"/>
          <w:noProof/>
        </w:rPr>
        <w:t xml:space="preserve"> o </w:t>
      </w:r>
      <w:r w:rsidRPr="004F01E9">
        <w:rPr>
          <w:b/>
          <w:i w:val="0"/>
          <w:noProof/>
        </w:rPr>
        <w:t>stratách</w:t>
      </w:r>
    </w:p>
    <w:p w14:paraId="68B70DDA" w14:textId="7DA0AA8A" w:rsidR="008B2178" w:rsidRPr="004F01E9" w:rsidRDefault="008B2178" w:rsidP="008B2178">
      <w:pPr>
        <w:pStyle w:val="Text1"/>
        <w:rPr>
          <w:noProof/>
        </w:rPr>
      </w:pPr>
      <w:r w:rsidRPr="004F01E9">
        <w:rPr>
          <w:noProof/>
        </w:rPr>
        <w:t>1. Inštitúcie musia mať zavedenú organizáciu</w:t>
      </w:r>
      <w:r w:rsidR="004F01E9">
        <w:rPr>
          <w:noProof/>
        </w:rPr>
        <w:t xml:space="preserve"> a </w:t>
      </w:r>
      <w:r w:rsidRPr="004F01E9">
        <w:rPr>
          <w:noProof/>
        </w:rPr>
        <w:t>postupy na nezávislé preskúmanie komplexnosti, presnosti</w:t>
      </w:r>
      <w:r w:rsidR="004F01E9">
        <w:rPr>
          <w:noProof/>
        </w:rPr>
        <w:t xml:space="preserve"> a </w:t>
      </w:r>
      <w:r w:rsidRPr="004F01E9">
        <w:rPr>
          <w:noProof/>
        </w:rPr>
        <w:t>kvality údajov</w:t>
      </w:r>
      <w:r w:rsidR="004F01E9">
        <w:rPr>
          <w:noProof/>
        </w:rPr>
        <w:t xml:space="preserve"> o </w:t>
      </w:r>
      <w:r w:rsidRPr="004F01E9">
        <w:rPr>
          <w:noProof/>
        </w:rPr>
        <w:t>stratách.</w:t>
      </w:r>
    </w:p>
    <w:p w14:paraId="519B423B" w14:textId="03D2D86B" w:rsidR="008B2178" w:rsidRPr="004F01E9" w:rsidRDefault="008B2178" w:rsidP="008B2178">
      <w:pPr>
        <w:pStyle w:val="Text1"/>
        <w:rPr>
          <w:noProof/>
        </w:rPr>
      </w:pPr>
      <w:r w:rsidRPr="004F01E9">
        <w:rPr>
          <w:noProof/>
        </w:rPr>
        <w:t>2. Príslušné orgány pravidelne preskúmavajú kvalitu údajov</w:t>
      </w:r>
      <w:r w:rsidR="004F01E9">
        <w:rPr>
          <w:noProof/>
        </w:rPr>
        <w:t xml:space="preserve"> o </w:t>
      </w:r>
      <w:r w:rsidRPr="004F01E9">
        <w:rPr>
          <w:noProof/>
        </w:rPr>
        <w:t>stratách inštitúcie, ktorá vypočítava ročné straty</w:t>
      </w:r>
      <w:r w:rsidR="004F01E9">
        <w:rPr>
          <w:noProof/>
        </w:rPr>
        <w:t xml:space="preserve"> z </w:t>
      </w:r>
      <w:r w:rsidRPr="004F01E9">
        <w:rPr>
          <w:noProof/>
        </w:rPr>
        <w:t>operačného rizika</w:t>
      </w:r>
      <w:r w:rsidR="004F01E9">
        <w:rPr>
          <w:noProof/>
        </w:rPr>
        <w:t xml:space="preserve"> v </w:t>
      </w:r>
      <w:r w:rsidRPr="004F01E9">
        <w:rPr>
          <w:noProof/>
        </w:rPr>
        <w:t>súlade</w:t>
      </w:r>
      <w:r w:rsidR="004F01E9">
        <w:rPr>
          <w:noProof/>
        </w:rPr>
        <w:t xml:space="preserve"> s </w:t>
      </w:r>
      <w:r w:rsidRPr="004F01E9">
        <w:rPr>
          <w:noProof/>
        </w:rPr>
        <w:t>článkom 316 ods. 1. Príslušné orgány vykonávajú takéto preskúmanie aspoň každé tri roky</w:t>
      </w:r>
      <w:r w:rsidR="004F01E9">
        <w:rPr>
          <w:noProof/>
        </w:rPr>
        <w:t xml:space="preserve"> v </w:t>
      </w:r>
      <w:r w:rsidRPr="004F01E9">
        <w:rPr>
          <w:noProof/>
        </w:rPr>
        <w:t>prípade inštitúcie</w:t>
      </w:r>
      <w:r w:rsidR="004F01E9">
        <w:rPr>
          <w:noProof/>
        </w:rPr>
        <w:t xml:space="preserve"> s </w:t>
      </w:r>
      <w:r w:rsidRPr="004F01E9">
        <w:rPr>
          <w:noProof/>
        </w:rPr>
        <w:t>ukazovateľom obchodovania vyšším ako 1 miliarda EUR.</w:t>
      </w:r>
    </w:p>
    <w:p w14:paraId="3C92CD73" w14:textId="77777777" w:rsidR="00806B81" w:rsidRPr="004F01E9" w:rsidRDefault="008B2178" w:rsidP="008B2178">
      <w:pPr>
        <w:pStyle w:val="Titrearticle"/>
        <w:rPr>
          <w:b/>
          <w:bCs/>
          <w:noProof/>
        </w:rPr>
      </w:pPr>
      <w:r w:rsidRPr="004F01E9">
        <w:rPr>
          <w:noProof/>
        </w:rPr>
        <w:t xml:space="preserve">Článok 323 </w:t>
      </w:r>
      <w:r w:rsidRPr="004F01E9">
        <w:rPr>
          <w:noProof/>
        </w:rPr>
        <w:br/>
      </w:r>
      <w:r w:rsidRPr="004F01E9">
        <w:rPr>
          <w:b/>
          <w:i w:val="0"/>
          <w:noProof/>
        </w:rPr>
        <w:t>Rámec riadenia operačného rizika</w:t>
      </w:r>
    </w:p>
    <w:p w14:paraId="1AA310D2" w14:textId="0A3C0B86" w:rsidR="008B2178" w:rsidRPr="004F01E9" w:rsidRDefault="008B2178" w:rsidP="008B2178">
      <w:pPr>
        <w:pStyle w:val="Text1"/>
        <w:rPr>
          <w:noProof/>
        </w:rPr>
      </w:pPr>
      <w:r w:rsidRPr="004F01E9">
        <w:rPr>
          <w:noProof/>
        </w:rPr>
        <w:t>1. Inštitúcie musia mať zavedené:</w:t>
      </w:r>
    </w:p>
    <w:p w14:paraId="7CC90521" w14:textId="7545A197" w:rsidR="008B2178" w:rsidRPr="004F01E9" w:rsidRDefault="008B2178" w:rsidP="008B2178">
      <w:pPr>
        <w:pStyle w:val="Point1"/>
        <w:rPr>
          <w:noProof/>
        </w:rPr>
      </w:pPr>
      <w:r w:rsidRPr="004F01E9">
        <w:rPr>
          <w:noProof/>
        </w:rPr>
        <w:t>a)</w:t>
      </w:r>
      <w:r w:rsidRPr="004F01E9">
        <w:rPr>
          <w:noProof/>
        </w:rPr>
        <w:tab/>
        <w:t>dobre zdokumentovaný systém posudzovania</w:t>
      </w:r>
      <w:r w:rsidR="004F01E9">
        <w:rPr>
          <w:noProof/>
        </w:rPr>
        <w:t xml:space="preserve"> a </w:t>
      </w:r>
      <w:r w:rsidRPr="004F01E9">
        <w:rPr>
          <w:noProof/>
        </w:rPr>
        <w:t>riadenia operačného rizika, ktorý je dôsledne integrovaný do každodenných procesov riadenia rizík, tvorí neoddeliteľnú súčasť postupu monitorovania</w:t>
      </w:r>
      <w:r w:rsidR="004F01E9">
        <w:rPr>
          <w:noProof/>
        </w:rPr>
        <w:t xml:space="preserve"> a </w:t>
      </w:r>
      <w:r w:rsidRPr="004F01E9">
        <w:rPr>
          <w:noProof/>
        </w:rPr>
        <w:t>kontroly profilu operačného rizika inštitúcie</w:t>
      </w:r>
      <w:r w:rsidR="004F01E9">
        <w:rPr>
          <w:noProof/>
        </w:rPr>
        <w:t xml:space="preserve"> a v </w:t>
      </w:r>
      <w:r w:rsidRPr="004F01E9">
        <w:rPr>
          <w:noProof/>
        </w:rPr>
        <w:t>súvislosti</w:t>
      </w:r>
      <w:r w:rsidR="004F01E9">
        <w:rPr>
          <w:noProof/>
        </w:rPr>
        <w:t xml:space="preserve"> s </w:t>
      </w:r>
      <w:r w:rsidRPr="004F01E9">
        <w:rPr>
          <w:noProof/>
        </w:rPr>
        <w:t>ktorým boli pridelené jasné povinnosti. Systém posudzovania</w:t>
      </w:r>
      <w:r w:rsidR="004F01E9">
        <w:rPr>
          <w:noProof/>
        </w:rPr>
        <w:t xml:space="preserve"> a </w:t>
      </w:r>
      <w:r w:rsidRPr="004F01E9">
        <w:rPr>
          <w:noProof/>
        </w:rPr>
        <w:t>riadenia operačného rizika určuje expozície inštitúcie voči operačnému riziku</w:t>
      </w:r>
      <w:r w:rsidR="004F01E9">
        <w:rPr>
          <w:noProof/>
        </w:rPr>
        <w:t xml:space="preserve"> a </w:t>
      </w:r>
      <w:r w:rsidRPr="004F01E9">
        <w:rPr>
          <w:noProof/>
        </w:rPr>
        <w:t>sleduje príslušné údaje</w:t>
      </w:r>
      <w:r w:rsidR="004F01E9">
        <w:rPr>
          <w:noProof/>
        </w:rPr>
        <w:t xml:space="preserve"> o </w:t>
      </w:r>
      <w:r w:rsidRPr="004F01E9">
        <w:rPr>
          <w:noProof/>
        </w:rPr>
        <w:t>operačnom riziku vrátane významných údajov</w:t>
      </w:r>
      <w:r w:rsidR="004F01E9">
        <w:rPr>
          <w:noProof/>
        </w:rPr>
        <w:t xml:space="preserve"> o </w:t>
      </w:r>
      <w:r w:rsidRPr="004F01E9">
        <w:rPr>
          <w:noProof/>
        </w:rPr>
        <w:t>stratách;</w:t>
      </w:r>
    </w:p>
    <w:p w14:paraId="46D6AFB6" w14:textId="5824BD2A" w:rsidR="008B2178" w:rsidRPr="004F01E9" w:rsidRDefault="008B2178" w:rsidP="008B2178">
      <w:pPr>
        <w:pStyle w:val="Point1"/>
        <w:rPr>
          <w:noProof/>
        </w:rPr>
      </w:pPr>
      <w:r w:rsidRPr="004F01E9">
        <w:rPr>
          <w:noProof/>
        </w:rPr>
        <w:t>b)</w:t>
      </w:r>
      <w:r w:rsidRPr="004F01E9">
        <w:rPr>
          <w:noProof/>
        </w:rPr>
        <w:tab/>
        <w:t>funkciu riadenia operačného rizika, ktorá je nezávislá od obchodných</w:t>
      </w:r>
      <w:r w:rsidR="004F01E9">
        <w:rPr>
          <w:noProof/>
        </w:rPr>
        <w:t xml:space="preserve"> a </w:t>
      </w:r>
      <w:r w:rsidRPr="004F01E9">
        <w:rPr>
          <w:noProof/>
        </w:rPr>
        <w:t>prevádzkových útvarov inštitúcie;</w:t>
      </w:r>
    </w:p>
    <w:p w14:paraId="351FA22C" w14:textId="4F17A962" w:rsidR="008B2178" w:rsidRPr="004F01E9" w:rsidRDefault="008B2178" w:rsidP="008B2178">
      <w:pPr>
        <w:pStyle w:val="Point1"/>
        <w:rPr>
          <w:noProof/>
        </w:rPr>
      </w:pPr>
      <w:r w:rsidRPr="004F01E9">
        <w:rPr>
          <w:noProof/>
        </w:rPr>
        <w:t>c)</w:t>
      </w:r>
      <w:r w:rsidRPr="004F01E9">
        <w:rPr>
          <w:noProof/>
        </w:rPr>
        <w:tab/>
        <w:t>systém podávania správ vrcholovému manažmentu,</w:t>
      </w:r>
      <w:r w:rsidR="004F01E9">
        <w:rPr>
          <w:noProof/>
        </w:rPr>
        <w:t xml:space="preserve"> v </w:t>
      </w:r>
      <w:r w:rsidRPr="004F01E9">
        <w:rPr>
          <w:noProof/>
        </w:rPr>
        <w:t>rámci ktorého sa príslušným útvarom inštitúcií poskytujú správy</w:t>
      </w:r>
      <w:r w:rsidR="004F01E9">
        <w:rPr>
          <w:noProof/>
        </w:rPr>
        <w:t xml:space="preserve"> o </w:t>
      </w:r>
      <w:r w:rsidRPr="004F01E9">
        <w:rPr>
          <w:noProof/>
        </w:rPr>
        <w:t>operačnom riziku;</w:t>
      </w:r>
    </w:p>
    <w:p w14:paraId="199D4FA6" w14:textId="4AA4E80B" w:rsidR="008B2178" w:rsidRPr="004F01E9" w:rsidRDefault="008B2178" w:rsidP="008B2178">
      <w:pPr>
        <w:pStyle w:val="Point1"/>
        <w:rPr>
          <w:noProof/>
        </w:rPr>
      </w:pPr>
      <w:r w:rsidRPr="004F01E9">
        <w:rPr>
          <w:noProof/>
        </w:rPr>
        <w:t>d)</w:t>
      </w:r>
      <w:r w:rsidRPr="004F01E9">
        <w:rPr>
          <w:noProof/>
        </w:rPr>
        <w:tab/>
        <w:t>systém pravidelného monitorovania</w:t>
      </w:r>
      <w:r w:rsidR="004F01E9">
        <w:rPr>
          <w:noProof/>
        </w:rPr>
        <w:t xml:space="preserve"> a </w:t>
      </w:r>
      <w:r w:rsidRPr="004F01E9">
        <w:rPr>
          <w:noProof/>
        </w:rPr>
        <w:t>predkladania správ</w:t>
      </w:r>
      <w:r w:rsidR="004F01E9">
        <w:rPr>
          <w:noProof/>
        </w:rPr>
        <w:t xml:space="preserve"> o </w:t>
      </w:r>
      <w:r w:rsidRPr="004F01E9">
        <w:rPr>
          <w:noProof/>
        </w:rPr>
        <w:t>expozíciách voči operačnému riziku</w:t>
      </w:r>
      <w:r w:rsidR="004F01E9">
        <w:rPr>
          <w:noProof/>
        </w:rPr>
        <w:t xml:space="preserve"> a o </w:t>
      </w:r>
      <w:r w:rsidRPr="004F01E9">
        <w:rPr>
          <w:noProof/>
        </w:rPr>
        <w:t>zaznamenaných stratách, ako aj postupy prijímania primeraných nápravných opatrení;</w:t>
      </w:r>
    </w:p>
    <w:p w14:paraId="430548BB" w14:textId="07EADB7B" w:rsidR="008B2178" w:rsidRPr="004F01E9" w:rsidRDefault="008B2178" w:rsidP="008B2178">
      <w:pPr>
        <w:pStyle w:val="Point1"/>
        <w:rPr>
          <w:noProof/>
        </w:rPr>
      </w:pPr>
      <w:r w:rsidRPr="004F01E9">
        <w:rPr>
          <w:noProof/>
        </w:rPr>
        <w:t>e)</w:t>
      </w:r>
      <w:r w:rsidRPr="004F01E9">
        <w:rPr>
          <w:noProof/>
        </w:rPr>
        <w:tab/>
        <w:t>postupy na zabezpečenie dodržiavania pravidiel</w:t>
      </w:r>
      <w:r w:rsidR="004F01E9">
        <w:rPr>
          <w:noProof/>
        </w:rPr>
        <w:t xml:space="preserve"> a </w:t>
      </w:r>
      <w:r w:rsidRPr="004F01E9">
        <w:rPr>
          <w:noProof/>
        </w:rPr>
        <w:t>zásady, ako postupovať</w:t>
      </w:r>
      <w:r w:rsidR="004F01E9">
        <w:rPr>
          <w:noProof/>
        </w:rPr>
        <w:t xml:space="preserve"> v </w:t>
      </w:r>
      <w:r w:rsidRPr="004F01E9">
        <w:rPr>
          <w:noProof/>
        </w:rPr>
        <w:t>prípade ich nedodržiavania;</w:t>
      </w:r>
    </w:p>
    <w:p w14:paraId="3CC3F4F7" w14:textId="075FB893" w:rsidR="008B2178" w:rsidRPr="004F01E9" w:rsidRDefault="008B2178" w:rsidP="008B2178">
      <w:pPr>
        <w:pStyle w:val="Point1"/>
        <w:rPr>
          <w:noProof/>
        </w:rPr>
      </w:pPr>
      <w:r w:rsidRPr="004F01E9">
        <w:rPr>
          <w:noProof/>
        </w:rPr>
        <w:t>f)</w:t>
      </w:r>
      <w:r w:rsidRPr="004F01E9">
        <w:rPr>
          <w:noProof/>
        </w:rPr>
        <w:tab/>
        <w:t>pravidelné preskúmania procesov</w:t>
      </w:r>
      <w:r w:rsidR="004F01E9">
        <w:rPr>
          <w:noProof/>
        </w:rPr>
        <w:t xml:space="preserve"> a </w:t>
      </w:r>
      <w:r w:rsidRPr="004F01E9">
        <w:rPr>
          <w:noProof/>
        </w:rPr>
        <w:t>systémov posudzovania</w:t>
      </w:r>
      <w:r w:rsidR="004F01E9">
        <w:rPr>
          <w:noProof/>
        </w:rPr>
        <w:t xml:space="preserve"> a </w:t>
      </w:r>
      <w:r w:rsidRPr="004F01E9">
        <w:rPr>
          <w:noProof/>
        </w:rPr>
        <w:t>riadenia operačného rizika inštitúcie vykonávané internými alebo externými audítormi, ktorí majú znalosti potrebné na vykonávanie takýchto preskúmaní;</w:t>
      </w:r>
    </w:p>
    <w:p w14:paraId="44998910" w14:textId="5CDA62BA" w:rsidR="008B2178" w:rsidRPr="004F01E9" w:rsidRDefault="008B2178" w:rsidP="008B2178">
      <w:pPr>
        <w:pStyle w:val="Point1"/>
        <w:rPr>
          <w:noProof/>
        </w:rPr>
      </w:pPr>
      <w:r w:rsidRPr="004F01E9">
        <w:rPr>
          <w:noProof/>
        </w:rPr>
        <w:t>g)</w:t>
      </w:r>
      <w:r w:rsidRPr="004F01E9">
        <w:rPr>
          <w:noProof/>
        </w:rPr>
        <w:tab/>
        <w:t>interné postupy validácie, ktoré fungujú spoľahlivo</w:t>
      </w:r>
      <w:r w:rsidR="004F01E9">
        <w:rPr>
          <w:noProof/>
        </w:rPr>
        <w:t xml:space="preserve"> a </w:t>
      </w:r>
      <w:r w:rsidRPr="004F01E9">
        <w:rPr>
          <w:noProof/>
        </w:rPr>
        <w:t>účinne;</w:t>
      </w:r>
    </w:p>
    <w:p w14:paraId="512C02C7" w14:textId="385B3271" w:rsidR="008B2178" w:rsidRPr="004F01E9" w:rsidRDefault="008B2178" w:rsidP="008B2178">
      <w:pPr>
        <w:pStyle w:val="Point1"/>
        <w:rPr>
          <w:noProof/>
        </w:rPr>
      </w:pPr>
      <w:r w:rsidRPr="004F01E9">
        <w:rPr>
          <w:noProof/>
        </w:rPr>
        <w:t>h)</w:t>
      </w:r>
      <w:r w:rsidRPr="004F01E9">
        <w:rPr>
          <w:noProof/>
        </w:rPr>
        <w:tab/>
        <w:t>transparentné</w:t>
      </w:r>
      <w:r w:rsidR="004F01E9">
        <w:rPr>
          <w:noProof/>
        </w:rPr>
        <w:t xml:space="preserve"> a </w:t>
      </w:r>
      <w:r w:rsidRPr="004F01E9">
        <w:rPr>
          <w:noProof/>
        </w:rPr>
        <w:t>dostupné toky údajov</w:t>
      </w:r>
      <w:r w:rsidR="004F01E9">
        <w:rPr>
          <w:noProof/>
        </w:rPr>
        <w:t xml:space="preserve"> a </w:t>
      </w:r>
      <w:r w:rsidRPr="004F01E9">
        <w:rPr>
          <w:noProof/>
        </w:rPr>
        <w:t>postupy spojené so systémom posudzovania operačného rizika.</w:t>
      </w:r>
    </w:p>
    <w:p w14:paraId="0810A95A" w14:textId="3EB40EDA" w:rsidR="00806B81" w:rsidRPr="004F01E9" w:rsidRDefault="008B2178" w:rsidP="008B2178">
      <w:pPr>
        <w:pStyle w:val="Text1"/>
        <w:rPr>
          <w:noProof/>
        </w:rPr>
      </w:pPr>
      <w:r w:rsidRPr="004F01E9">
        <w:rPr>
          <w:noProof/>
        </w:rPr>
        <w:t>2. EBA vypracuje návrh regulačných technických predpisov</w:t>
      </w:r>
      <w:r w:rsidR="004F01E9">
        <w:rPr>
          <w:noProof/>
        </w:rPr>
        <w:t xml:space="preserve"> s </w:t>
      </w:r>
      <w:r w:rsidRPr="004F01E9">
        <w:rPr>
          <w:noProof/>
        </w:rPr>
        <w:t>cieľom presne stanoviť povinnosti podľa odseku 1 písm. a) až h), pričom zohľadní veľkosť</w:t>
      </w:r>
      <w:r w:rsidR="004F01E9">
        <w:rPr>
          <w:noProof/>
        </w:rPr>
        <w:t xml:space="preserve"> a </w:t>
      </w:r>
      <w:r w:rsidRPr="004F01E9">
        <w:rPr>
          <w:noProof/>
        </w:rPr>
        <w:t>komplexnosť inštitúcií.</w:t>
      </w:r>
    </w:p>
    <w:p w14:paraId="078C27BB" w14:textId="4BA4B06A" w:rsidR="008B2178" w:rsidRPr="004F01E9" w:rsidRDefault="008B2178" w:rsidP="008B2178">
      <w:pPr>
        <w:pStyle w:val="Text1"/>
        <w:rPr>
          <w:noProof/>
        </w:rPr>
      </w:pPr>
      <w:r w:rsidRPr="004F01E9">
        <w:rPr>
          <w:noProof/>
        </w:rPr>
        <w:t>EBA predloží Komisii uvedený návrh regulačných technických predpisov do [Úrad pre publikácie, vložte dátum = 18 mesiacov po nadobudnutí účinnosti tohto nariadenia].</w:t>
      </w:r>
    </w:p>
    <w:p w14:paraId="26DCF5CB" w14:textId="2F917688" w:rsidR="008B2178" w:rsidRPr="004F01E9" w:rsidRDefault="008B2178" w:rsidP="008B2178">
      <w:pPr>
        <w:pStyle w:val="Text1"/>
        <w:rPr>
          <w:noProof/>
        </w:rPr>
      </w:pPr>
      <w:r w:rsidRPr="004F01E9">
        <w:rPr>
          <w:noProof/>
        </w:rPr>
        <w:t>Na Komisiu sa deleguje právomoc prijať regulačné technické predpisy uvedené</w:t>
      </w:r>
      <w:r w:rsidR="004F01E9">
        <w:rPr>
          <w:noProof/>
        </w:rPr>
        <w:t xml:space="preserve"> v </w:t>
      </w:r>
      <w:r w:rsidRPr="004F01E9">
        <w:rPr>
          <w:noProof/>
        </w:rPr>
        <w:t>prvom pododseku</w:t>
      </w:r>
      <w:r w:rsidR="004F01E9">
        <w:rPr>
          <w:noProof/>
        </w:rPr>
        <w:t xml:space="preserve"> v </w:t>
      </w:r>
      <w:r w:rsidRPr="004F01E9">
        <w:rPr>
          <w:noProof/>
        </w:rPr>
        <w:t>súlade</w:t>
      </w:r>
      <w:r w:rsidR="004F01E9">
        <w:rPr>
          <w:noProof/>
        </w:rPr>
        <w:t xml:space="preserve"> s </w:t>
      </w:r>
      <w:r w:rsidRPr="004F01E9">
        <w:rPr>
          <w:noProof/>
        </w:rPr>
        <w:t xml:space="preserve">článkami 10 až 14 nariadenia (EÚ) </w:t>
      </w:r>
      <w:r w:rsidR="004F01E9">
        <w:rPr>
          <w:noProof/>
        </w:rPr>
        <w:t>č. </w:t>
      </w:r>
      <w:r w:rsidRPr="004F01E9">
        <w:rPr>
          <w:noProof/>
        </w:rPr>
        <w:t>1093/2010.</w:t>
      </w:r>
    </w:p>
    <w:p w14:paraId="05CE43D1" w14:textId="77777777" w:rsidR="008B2178" w:rsidRPr="004F01E9" w:rsidRDefault="008B2178" w:rsidP="008B2178">
      <w:pPr>
        <w:pStyle w:val="Text1"/>
        <w:rPr>
          <w:noProof/>
        </w:rPr>
      </w:pPr>
      <w:r w:rsidRPr="004F01E9">
        <w:rPr>
          <w:noProof/>
        </w:rPr>
        <w:t>_________________________________________________</w:t>
      </w:r>
    </w:p>
    <w:p w14:paraId="550C5EF3" w14:textId="15F9E894" w:rsidR="008B2178" w:rsidRPr="004F01E9" w:rsidRDefault="008B2178" w:rsidP="00615061">
      <w:pPr>
        <w:pStyle w:val="Text1"/>
        <w:rPr>
          <w:noProof/>
        </w:rPr>
      </w:pPr>
      <w:r w:rsidRPr="004F01E9">
        <w:rPr>
          <w:noProof/>
          <w:sz w:val="20"/>
          <w:szCs w:val="20"/>
          <w:vertAlign w:val="superscript"/>
        </w:rPr>
        <w:t>*5</w:t>
      </w:r>
      <w:r w:rsidRPr="004F01E9">
        <w:rPr>
          <w:noProof/>
        </w:rPr>
        <w:tab/>
      </w:r>
      <w:r w:rsidRPr="004F01E9">
        <w:rPr>
          <w:noProof/>
          <w:sz w:val="20"/>
          <w:szCs w:val="20"/>
        </w:rPr>
        <w:t>Vykonávacie nariadenie Komisie (EÚ) 2021/451 zo 17</w:t>
      </w:r>
      <w:r w:rsidR="004F01E9">
        <w:rPr>
          <w:noProof/>
          <w:sz w:val="20"/>
          <w:szCs w:val="20"/>
        </w:rPr>
        <w:t>. decembra</w:t>
      </w:r>
      <w:r w:rsidRPr="004F01E9">
        <w:rPr>
          <w:noProof/>
          <w:sz w:val="20"/>
          <w:szCs w:val="20"/>
        </w:rPr>
        <w:t xml:space="preserve"> 2020, ktorým sa stanovujú vykonávacie technické predpisy na uplatňovanie nariadenia Európskeho parlamentu</w:t>
      </w:r>
      <w:r w:rsidR="004F01E9">
        <w:rPr>
          <w:noProof/>
          <w:sz w:val="20"/>
          <w:szCs w:val="20"/>
        </w:rPr>
        <w:t xml:space="preserve"> a </w:t>
      </w:r>
      <w:r w:rsidRPr="004F01E9">
        <w:rPr>
          <w:noProof/>
          <w:sz w:val="20"/>
          <w:szCs w:val="20"/>
        </w:rPr>
        <w:t xml:space="preserve">Rady (EÚ) </w:t>
      </w:r>
      <w:r w:rsidR="004F01E9">
        <w:rPr>
          <w:noProof/>
          <w:sz w:val="20"/>
          <w:szCs w:val="20"/>
        </w:rPr>
        <w:t>č. </w:t>
      </w:r>
      <w:r w:rsidRPr="004F01E9">
        <w:rPr>
          <w:noProof/>
          <w:sz w:val="20"/>
          <w:szCs w:val="20"/>
        </w:rPr>
        <w:t>575/2013, pokiaľ ide</w:t>
      </w:r>
      <w:r w:rsidR="004F01E9">
        <w:rPr>
          <w:noProof/>
          <w:sz w:val="20"/>
          <w:szCs w:val="20"/>
        </w:rPr>
        <w:t xml:space="preserve"> o </w:t>
      </w:r>
      <w:r w:rsidRPr="004F01E9">
        <w:rPr>
          <w:noProof/>
          <w:sz w:val="20"/>
          <w:szCs w:val="20"/>
        </w:rPr>
        <w:t>vykazovanie inštitúciami na účely dohľadu,</w:t>
      </w:r>
      <w:r w:rsidR="004F01E9">
        <w:rPr>
          <w:noProof/>
          <w:sz w:val="20"/>
          <w:szCs w:val="20"/>
        </w:rPr>
        <w:t xml:space="preserve"> a </w:t>
      </w:r>
      <w:r w:rsidRPr="004F01E9">
        <w:rPr>
          <w:noProof/>
          <w:sz w:val="20"/>
          <w:szCs w:val="20"/>
        </w:rPr>
        <w:t xml:space="preserve">ktorým sa zrušuje vykonávacie nariadenie (EÚ) </w:t>
      </w:r>
      <w:r w:rsidR="004F01E9">
        <w:rPr>
          <w:noProof/>
          <w:sz w:val="20"/>
          <w:szCs w:val="20"/>
        </w:rPr>
        <w:t>č. </w:t>
      </w:r>
      <w:r w:rsidRPr="004F01E9">
        <w:rPr>
          <w:noProof/>
          <w:sz w:val="20"/>
          <w:szCs w:val="20"/>
        </w:rPr>
        <w:t>680/2014 (Ú. v. EÚ L 97, 19.3.2021, s. 1).</w:t>
      </w:r>
      <w:r w:rsidRPr="004F01E9">
        <w:rPr>
          <w:noProof/>
        </w:rPr>
        <w:t>“</w:t>
      </w:r>
    </w:p>
    <w:p w14:paraId="71C74299" w14:textId="736D52B3" w:rsidR="00806B81" w:rsidRPr="004F01E9" w:rsidRDefault="00B16452" w:rsidP="00B16452">
      <w:pPr>
        <w:pStyle w:val="Point0"/>
        <w:rPr>
          <w:noProof/>
        </w:rPr>
      </w:pPr>
      <w:r w:rsidRPr="00B16452">
        <w:rPr>
          <w:noProof/>
        </w:rPr>
        <w:t>132</w:t>
      </w:r>
      <w:r>
        <w:rPr>
          <w:noProof/>
        </w:rPr>
        <w:t>.</w:t>
      </w:r>
      <w:r w:rsidRPr="00B16452">
        <w:rPr>
          <w:noProof/>
        </w:rPr>
        <w:tab/>
      </w:r>
      <w:r w:rsidR="008B2178" w:rsidRPr="004F01E9">
        <w:rPr>
          <w:noProof/>
        </w:rPr>
        <w:t>Článok 325 sa mení takto:</w:t>
      </w:r>
    </w:p>
    <w:p w14:paraId="55F43507" w14:textId="4E79CCB9" w:rsidR="008B2178" w:rsidRPr="004F01E9" w:rsidRDefault="0060136E" w:rsidP="0060136E">
      <w:pPr>
        <w:pStyle w:val="Point1"/>
        <w:rPr>
          <w:noProof/>
        </w:rPr>
      </w:pPr>
      <w:r w:rsidRPr="004F01E9">
        <w:rPr>
          <w:noProof/>
        </w:rPr>
        <w:t>a)</w:t>
      </w:r>
      <w:r w:rsidRPr="004F01E9">
        <w:rPr>
          <w:noProof/>
        </w:rPr>
        <w:tab/>
        <w:t>Odseky 1 až 5 sa nahrádzajú takto:</w:t>
      </w:r>
    </w:p>
    <w:p w14:paraId="568808A8" w14:textId="04CFB61B" w:rsidR="00806B81" w:rsidRPr="004F01E9" w:rsidRDefault="008B2178" w:rsidP="008B2178">
      <w:pPr>
        <w:pStyle w:val="Text2"/>
        <w:rPr>
          <w:noProof/>
        </w:rPr>
      </w:pPr>
      <w:r w:rsidRPr="004F01E9">
        <w:rPr>
          <w:noProof/>
        </w:rPr>
        <w:t>„1. Inštitúcia vypočítava požiadavky na vlastné zdroje pre trhové riziko všetkých svojich pozícií</w:t>
      </w:r>
      <w:r w:rsidR="004F01E9">
        <w:rPr>
          <w:noProof/>
        </w:rPr>
        <w:t xml:space="preserve"> v </w:t>
      </w:r>
      <w:r w:rsidRPr="004F01E9">
        <w:rPr>
          <w:noProof/>
        </w:rPr>
        <w:t>obchodnej knihe</w:t>
      </w:r>
      <w:r w:rsidR="004F01E9">
        <w:rPr>
          <w:noProof/>
        </w:rPr>
        <w:t xml:space="preserve"> a </w:t>
      </w:r>
      <w:r w:rsidRPr="004F01E9">
        <w:rPr>
          <w:noProof/>
        </w:rPr>
        <w:t>všetkých svojich pozícií</w:t>
      </w:r>
      <w:r w:rsidR="004F01E9">
        <w:rPr>
          <w:noProof/>
        </w:rPr>
        <w:t xml:space="preserve"> v </w:t>
      </w:r>
      <w:r w:rsidRPr="004F01E9">
        <w:rPr>
          <w:noProof/>
        </w:rPr>
        <w:t>neobchodnej knihe, ktoré podliehajú devízovému riziku alebo komoditnému riziku,</w:t>
      </w:r>
      <w:r w:rsidR="004F01E9">
        <w:rPr>
          <w:noProof/>
        </w:rPr>
        <w:t xml:space="preserve"> v </w:t>
      </w:r>
      <w:r w:rsidRPr="004F01E9">
        <w:rPr>
          <w:noProof/>
        </w:rPr>
        <w:t>súlade</w:t>
      </w:r>
      <w:r w:rsidR="004F01E9">
        <w:rPr>
          <w:noProof/>
        </w:rPr>
        <w:t xml:space="preserve"> s </w:t>
      </w:r>
      <w:r w:rsidRPr="004F01E9">
        <w:rPr>
          <w:noProof/>
        </w:rPr>
        <w:t>týmito prístupmi:</w:t>
      </w:r>
    </w:p>
    <w:p w14:paraId="594BCA82" w14:textId="1281574E" w:rsidR="00806B81" w:rsidRPr="004F01E9" w:rsidRDefault="008B2178" w:rsidP="008B2178">
      <w:pPr>
        <w:pStyle w:val="Point2"/>
        <w:rPr>
          <w:noProof/>
        </w:rPr>
      </w:pPr>
      <w:r w:rsidRPr="004F01E9">
        <w:rPr>
          <w:noProof/>
        </w:rPr>
        <w:t>a)</w:t>
      </w:r>
      <w:r w:rsidRPr="004F01E9">
        <w:rPr>
          <w:noProof/>
        </w:rPr>
        <w:tab/>
        <w:t>alternatívny štandardizovaný prístup stanovený</w:t>
      </w:r>
      <w:r w:rsidR="004F01E9">
        <w:rPr>
          <w:noProof/>
        </w:rPr>
        <w:t xml:space="preserve"> v </w:t>
      </w:r>
      <w:r w:rsidRPr="004F01E9">
        <w:rPr>
          <w:noProof/>
        </w:rPr>
        <w:t>kapitole 1a;</w:t>
      </w:r>
    </w:p>
    <w:p w14:paraId="4040072E" w14:textId="0B80776B" w:rsidR="008B2178" w:rsidRPr="004F01E9" w:rsidRDefault="008B2178" w:rsidP="008B2178">
      <w:pPr>
        <w:pStyle w:val="Point2"/>
        <w:rPr>
          <w:noProof/>
        </w:rPr>
      </w:pPr>
      <w:r w:rsidRPr="004F01E9">
        <w:rPr>
          <w:noProof/>
        </w:rPr>
        <w:t>b)</w:t>
      </w:r>
      <w:r w:rsidRPr="004F01E9">
        <w:rPr>
          <w:noProof/>
        </w:rPr>
        <w:tab/>
        <w:t>alternatívny prístup interného modelu stanovený</w:t>
      </w:r>
      <w:r w:rsidR="004F01E9">
        <w:rPr>
          <w:noProof/>
        </w:rPr>
        <w:t xml:space="preserve"> v </w:t>
      </w:r>
      <w:r w:rsidRPr="004F01E9">
        <w:rPr>
          <w:noProof/>
        </w:rPr>
        <w:t>kapitole 1b pre tie pozície priradené</w:t>
      </w:r>
      <w:r w:rsidR="004F01E9">
        <w:rPr>
          <w:noProof/>
        </w:rPr>
        <w:t xml:space="preserve"> k </w:t>
      </w:r>
      <w:r w:rsidRPr="004F01E9">
        <w:rPr>
          <w:noProof/>
        </w:rPr>
        <w:t>trading deskom, pre ktoré príslušné orgány udelili inštitúcii povolenie používať tento alternatívny prístup, ako sa stanovuje</w:t>
      </w:r>
      <w:r w:rsidR="004F01E9">
        <w:rPr>
          <w:noProof/>
        </w:rPr>
        <w:t xml:space="preserve"> v </w:t>
      </w:r>
      <w:r w:rsidRPr="004F01E9">
        <w:rPr>
          <w:noProof/>
        </w:rPr>
        <w:t>článku 325az ods. 1;</w:t>
      </w:r>
    </w:p>
    <w:p w14:paraId="783C6B35" w14:textId="1165FDAB" w:rsidR="00806B81" w:rsidRPr="009D4D24" w:rsidRDefault="008B2178" w:rsidP="008B2178">
      <w:pPr>
        <w:pStyle w:val="Point2"/>
        <w:rPr>
          <w:noProof/>
          <w:spacing w:val="-4"/>
        </w:rPr>
      </w:pPr>
      <w:r w:rsidRPr="004F01E9">
        <w:rPr>
          <w:noProof/>
        </w:rPr>
        <w:t>c)</w:t>
      </w:r>
      <w:r w:rsidRPr="004F01E9">
        <w:rPr>
          <w:noProof/>
        </w:rPr>
        <w:tab/>
      </w:r>
      <w:r w:rsidRPr="009D4D24">
        <w:rPr>
          <w:noProof/>
          <w:spacing w:val="-4"/>
        </w:rPr>
        <w:t>zjednodušený štandardizovaný prístup uvedený</w:t>
      </w:r>
      <w:r w:rsidR="004F01E9" w:rsidRPr="009D4D24">
        <w:rPr>
          <w:noProof/>
          <w:spacing w:val="-4"/>
        </w:rPr>
        <w:t xml:space="preserve"> v </w:t>
      </w:r>
      <w:r w:rsidRPr="009D4D24">
        <w:rPr>
          <w:noProof/>
          <w:spacing w:val="-4"/>
        </w:rPr>
        <w:t>odseku 2 tohto článku za predpokladu, že inštitúcia spĺňa podmienky stanovené</w:t>
      </w:r>
      <w:r w:rsidR="004F01E9" w:rsidRPr="009D4D24">
        <w:rPr>
          <w:noProof/>
          <w:spacing w:val="-4"/>
        </w:rPr>
        <w:t xml:space="preserve"> v </w:t>
      </w:r>
      <w:r w:rsidRPr="009D4D24">
        <w:rPr>
          <w:noProof/>
          <w:spacing w:val="-4"/>
        </w:rPr>
        <w:t>článku 325a ods. 1.</w:t>
      </w:r>
    </w:p>
    <w:p w14:paraId="4F0C823D" w14:textId="55B919AD" w:rsidR="008B2178" w:rsidRPr="004F01E9" w:rsidRDefault="008B2178" w:rsidP="008B2178">
      <w:pPr>
        <w:pStyle w:val="Text2"/>
        <w:rPr>
          <w:noProof/>
        </w:rPr>
      </w:pPr>
      <w:r w:rsidRPr="004F01E9">
        <w:rPr>
          <w:noProof/>
        </w:rPr>
        <w:t>Odchylne od prvého pododseku inštitúcia nevypočítava požiadavky na vlastné zdroje pre devízové riziko pre pozície</w:t>
      </w:r>
      <w:r w:rsidR="004F01E9">
        <w:rPr>
          <w:noProof/>
        </w:rPr>
        <w:t xml:space="preserve"> v </w:t>
      </w:r>
      <w:r w:rsidRPr="004F01E9">
        <w:rPr>
          <w:noProof/>
        </w:rPr>
        <w:t>obchodnej knihe</w:t>
      </w:r>
      <w:r w:rsidR="004F01E9">
        <w:rPr>
          <w:noProof/>
        </w:rPr>
        <w:t xml:space="preserve"> a </w:t>
      </w:r>
      <w:r w:rsidRPr="004F01E9">
        <w:rPr>
          <w:noProof/>
        </w:rPr>
        <w:t>pozície</w:t>
      </w:r>
      <w:r w:rsidR="004F01E9">
        <w:rPr>
          <w:noProof/>
        </w:rPr>
        <w:t xml:space="preserve"> v </w:t>
      </w:r>
      <w:r w:rsidRPr="004F01E9">
        <w:rPr>
          <w:noProof/>
        </w:rPr>
        <w:t>neobchodnej knihe, ktoré podliehajú devízovému riziku, ak sa tieto pozície odpočítajú od vlastných zdrojov inštitúcie.</w:t>
      </w:r>
    </w:p>
    <w:p w14:paraId="64D76700" w14:textId="4E05E41C" w:rsidR="00806B81" w:rsidRPr="004F01E9" w:rsidRDefault="008B2178" w:rsidP="008B2178">
      <w:pPr>
        <w:pStyle w:val="Text2"/>
        <w:rPr>
          <w:noProof/>
        </w:rPr>
      </w:pPr>
      <w:r w:rsidRPr="004F01E9">
        <w:rPr>
          <w:noProof/>
        </w:rPr>
        <w:t>2. Požiadavky na vlastné zdroje pre trhové riziko vypočítané</w:t>
      </w:r>
      <w:r w:rsidR="004F01E9">
        <w:rPr>
          <w:noProof/>
        </w:rPr>
        <w:t xml:space="preserve"> v </w:t>
      </w:r>
      <w:r w:rsidRPr="004F01E9">
        <w:rPr>
          <w:noProof/>
        </w:rPr>
        <w:t>súlade so zjednodušeným štandardizovaným prístupom sú podľa konkrétneho prípadu súčtom týchto požiadaviek na vlastné zdroje:</w:t>
      </w:r>
    </w:p>
    <w:p w14:paraId="2DE1FFB1" w14:textId="32EEA2C0" w:rsidR="00806B81" w:rsidRPr="004F01E9" w:rsidRDefault="008B2178" w:rsidP="008B2178">
      <w:pPr>
        <w:pStyle w:val="Point2"/>
        <w:rPr>
          <w:noProof/>
        </w:rPr>
      </w:pPr>
      <w:r w:rsidRPr="004F01E9">
        <w:rPr>
          <w:noProof/>
        </w:rPr>
        <w:t>a)</w:t>
      </w:r>
      <w:r w:rsidRPr="004F01E9">
        <w:rPr>
          <w:noProof/>
        </w:rPr>
        <w:tab/>
        <w:t>požiadaviek na vlastné zdroje pre pozičné riziko uvedené</w:t>
      </w:r>
      <w:r w:rsidR="004F01E9">
        <w:rPr>
          <w:noProof/>
        </w:rPr>
        <w:t xml:space="preserve"> v </w:t>
      </w:r>
      <w:r w:rsidRPr="004F01E9">
        <w:rPr>
          <w:noProof/>
        </w:rPr>
        <w:t>kapitole 2 vynásobených:</w:t>
      </w:r>
    </w:p>
    <w:p w14:paraId="09F19C14" w14:textId="56877F51" w:rsidR="008B2178" w:rsidRPr="004F01E9" w:rsidRDefault="008B2178" w:rsidP="008B2178">
      <w:pPr>
        <w:pStyle w:val="Point3"/>
        <w:rPr>
          <w:noProof/>
        </w:rPr>
      </w:pPr>
      <w:r w:rsidRPr="004F01E9">
        <w:rPr>
          <w:noProof/>
        </w:rPr>
        <w:t>i)</w:t>
      </w:r>
      <w:r w:rsidRPr="004F01E9">
        <w:rPr>
          <w:noProof/>
        </w:rPr>
        <w:tab/>
        <w:t>koeficientu 1,3 pre všeobecné</w:t>
      </w:r>
      <w:r w:rsidR="004F01E9">
        <w:rPr>
          <w:noProof/>
        </w:rPr>
        <w:t xml:space="preserve"> a </w:t>
      </w:r>
      <w:r w:rsidRPr="004F01E9">
        <w:rPr>
          <w:noProof/>
        </w:rPr>
        <w:t>špecifické riziko pozícií</w:t>
      </w:r>
      <w:r w:rsidR="004F01E9">
        <w:rPr>
          <w:noProof/>
        </w:rPr>
        <w:t xml:space="preserve"> v </w:t>
      </w:r>
      <w:r w:rsidRPr="004F01E9">
        <w:rPr>
          <w:noProof/>
        </w:rPr>
        <w:t>dlhových nástrojoch</w:t>
      </w:r>
      <w:r w:rsidR="004F01E9">
        <w:rPr>
          <w:noProof/>
        </w:rPr>
        <w:t xml:space="preserve"> s </w:t>
      </w:r>
      <w:r w:rsidRPr="004F01E9">
        <w:rPr>
          <w:noProof/>
        </w:rPr>
        <w:t>výnimkou sekuritizačných nástrojov uvedených</w:t>
      </w:r>
      <w:r w:rsidR="004F01E9">
        <w:rPr>
          <w:noProof/>
        </w:rPr>
        <w:t xml:space="preserve"> v </w:t>
      </w:r>
      <w:r w:rsidRPr="004F01E9">
        <w:rPr>
          <w:noProof/>
        </w:rPr>
        <w:t>článku 337;</w:t>
      </w:r>
    </w:p>
    <w:p w14:paraId="42EDBB95" w14:textId="62602810" w:rsidR="00806B81" w:rsidRPr="004F01E9" w:rsidRDefault="008B2178" w:rsidP="008B2178">
      <w:pPr>
        <w:pStyle w:val="Point3"/>
        <w:rPr>
          <w:noProof/>
        </w:rPr>
      </w:pPr>
      <w:r w:rsidRPr="004F01E9">
        <w:rPr>
          <w:noProof/>
        </w:rPr>
        <w:t>ii)</w:t>
      </w:r>
      <w:r w:rsidRPr="004F01E9">
        <w:rPr>
          <w:noProof/>
        </w:rPr>
        <w:tab/>
        <w:t>koeficientu 3,5 pre všeobecné</w:t>
      </w:r>
      <w:r w:rsidR="004F01E9">
        <w:rPr>
          <w:noProof/>
        </w:rPr>
        <w:t xml:space="preserve"> a </w:t>
      </w:r>
      <w:r w:rsidRPr="004F01E9">
        <w:rPr>
          <w:noProof/>
        </w:rPr>
        <w:t>špecifické riziko pozícií</w:t>
      </w:r>
      <w:r w:rsidR="004F01E9">
        <w:rPr>
          <w:noProof/>
        </w:rPr>
        <w:t xml:space="preserve"> v </w:t>
      </w:r>
      <w:r w:rsidRPr="004F01E9">
        <w:rPr>
          <w:noProof/>
        </w:rPr>
        <w:t>nástrojoch vlastného imania;</w:t>
      </w:r>
    </w:p>
    <w:p w14:paraId="73177351" w14:textId="049C6F0C" w:rsidR="00806B81" w:rsidRPr="004F01E9" w:rsidRDefault="008B2178" w:rsidP="008B2178">
      <w:pPr>
        <w:pStyle w:val="Point2"/>
        <w:rPr>
          <w:noProof/>
        </w:rPr>
      </w:pPr>
      <w:r w:rsidRPr="004F01E9">
        <w:rPr>
          <w:noProof/>
        </w:rPr>
        <w:t>b)</w:t>
      </w:r>
      <w:r w:rsidRPr="004F01E9">
        <w:rPr>
          <w:noProof/>
        </w:rPr>
        <w:tab/>
        <w:t>požiadaviek na vlastné zdroje pre devízové riziko uvedené</w:t>
      </w:r>
      <w:r w:rsidR="004F01E9">
        <w:rPr>
          <w:noProof/>
        </w:rPr>
        <w:t xml:space="preserve"> v </w:t>
      </w:r>
      <w:r w:rsidRPr="004F01E9">
        <w:rPr>
          <w:noProof/>
        </w:rPr>
        <w:t>kapitole 3 vynásobených koeficientom 1,2;</w:t>
      </w:r>
    </w:p>
    <w:p w14:paraId="7EEF34EF" w14:textId="05F9D76F" w:rsidR="008B2178" w:rsidRPr="004F01E9" w:rsidRDefault="008B2178" w:rsidP="008B2178">
      <w:pPr>
        <w:pStyle w:val="Point2"/>
        <w:rPr>
          <w:noProof/>
        </w:rPr>
      </w:pPr>
      <w:r w:rsidRPr="004F01E9">
        <w:rPr>
          <w:noProof/>
        </w:rPr>
        <w:t>c)</w:t>
      </w:r>
      <w:r w:rsidRPr="004F01E9">
        <w:rPr>
          <w:noProof/>
        </w:rPr>
        <w:tab/>
        <w:t>požiadaviek na vlastné zdroje pre komoditné riziko uvedené</w:t>
      </w:r>
      <w:r w:rsidR="004F01E9">
        <w:rPr>
          <w:noProof/>
        </w:rPr>
        <w:t xml:space="preserve"> v </w:t>
      </w:r>
      <w:r w:rsidRPr="004F01E9">
        <w:rPr>
          <w:noProof/>
        </w:rPr>
        <w:t>kapitole 4 vynásobených koeficientom 1,9;</w:t>
      </w:r>
    </w:p>
    <w:p w14:paraId="39CEAE95" w14:textId="5BC3DA9F" w:rsidR="008B2178" w:rsidRPr="004F01E9" w:rsidRDefault="008B2178" w:rsidP="008B2178">
      <w:pPr>
        <w:pStyle w:val="Point2"/>
        <w:rPr>
          <w:noProof/>
        </w:rPr>
      </w:pPr>
      <w:r w:rsidRPr="004F01E9">
        <w:rPr>
          <w:noProof/>
        </w:rPr>
        <w:t>d)</w:t>
      </w:r>
      <w:r w:rsidRPr="004F01E9">
        <w:rPr>
          <w:noProof/>
        </w:rPr>
        <w:tab/>
        <w:t>požiadaviek na vlastné zdroje pre sekuritizačné nástroje uvedené</w:t>
      </w:r>
      <w:r w:rsidR="004F01E9">
        <w:rPr>
          <w:noProof/>
        </w:rPr>
        <w:t xml:space="preserve"> v </w:t>
      </w:r>
      <w:r w:rsidRPr="004F01E9">
        <w:rPr>
          <w:noProof/>
        </w:rPr>
        <w:t>článku 337.</w:t>
      </w:r>
    </w:p>
    <w:p w14:paraId="7E1883FD" w14:textId="4A2D3402" w:rsidR="00806B81" w:rsidRPr="009D4D24" w:rsidRDefault="008B2178" w:rsidP="008B2178">
      <w:pPr>
        <w:pStyle w:val="Text2"/>
        <w:rPr>
          <w:noProof/>
          <w:spacing w:val="-4"/>
        </w:rPr>
      </w:pPr>
      <w:r w:rsidRPr="009D4D24">
        <w:rPr>
          <w:noProof/>
          <w:spacing w:val="-4"/>
        </w:rPr>
        <w:t>3. Inštitúcia používajúca alternatívny prístup interného modelu uvedený</w:t>
      </w:r>
      <w:r w:rsidR="004F01E9" w:rsidRPr="009D4D24">
        <w:rPr>
          <w:noProof/>
          <w:spacing w:val="-4"/>
        </w:rPr>
        <w:t xml:space="preserve"> v </w:t>
      </w:r>
      <w:r w:rsidRPr="009D4D24">
        <w:rPr>
          <w:noProof/>
          <w:spacing w:val="-4"/>
        </w:rPr>
        <w:t>odseku 1 písm. b) na výpočet požiadaviek na vlastné zdroje pre trhové riziko pozícií</w:t>
      </w:r>
      <w:r w:rsidR="004F01E9" w:rsidRPr="009D4D24">
        <w:rPr>
          <w:noProof/>
          <w:spacing w:val="-4"/>
        </w:rPr>
        <w:t xml:space="preserve"> v </w:t>
      </w:r>
      <w:r w:rsidRPr="009D4D24">
        <w:rPr>
          <w:noProof/>
          <w:spacing w:val="-4"/>
        </w:rPr>
        <w:t>obchodnej knihe</w:t>
      </w:r>
      <w:r w:rsidR="004F01E9" w:rsidRPr="009D4D24">
        <w:rPr>
          <w:noProof/>
          <w:spacing w:val="-4"/>
        </w:rPr>
        <w:t xml:space="preserve"> a </w:t>
      </w:r>
      <w:r w:rsidRPr="009D4D24">
        <w:rPr>
          <w:noProof/>
          <w:spacing w:val="-4"/>
        </w:rPr>
        <w:t>pozícií</w:t>
      </w:r>
      <w:r w:rsidR="004F01E9" w:rsidRPr="009D4D24">
        <w:rPr>
          <w:noProof/>
          <w:spacing w:val="-4"/>
        </w:rPr>
        <w:t xml:space="preserve"> v </w:t>
      </w:r>
      <w:r w:rsidRPr="009D4D24">
        <w:rPr>
          <w:noProof/>
          <w:spacing w:val="-4"/>
        </w:rPr>
        <w:t>neobchodnej knihe, ktoré podliehajú devízovému riziku alebo komoditnému riziku, oznamuje príslušným orgánom mesačný výpočet požiadaviek na vlastné zdroje pre trhové riziko pomocou alternatívneho štandardizovaného prístupu uvedeného</w:t>
      </w:r>
      <w:r w:rsidR="004F01E9" w:rsidRPr="009D4D24">
        <w:rPr>
          <w:noProof/>
          <w:spacing w:val="-4"/>
        </w:rPr>
        <w:t xml:space="preserve"> v </w:t>
      </w:r>
      <w:r w:rsidRPr="009D4D24">
        <w:rPr>
          <w:noProof/>
          <w:spacing w:val="-4"/>
        </w:rPr>
        <w:t>odseku 1 písm. a) za každý trading desk, ku ktorému boli tieto pozície priradené</w:t>
      </w:r>
      <w:r w:rsidR="004F01E9" w:rsidRPr="009D4D24">
        <w:rPr>
          <w:noProof/>
          <w:spacing w:val="-4"/>
        </w:rPr>
        <w:t xml:space="preserve"> v </w:t>
      </w:r>
      <w:r w:rsidRPr="009D4D24">
        <w:rPr>
          <w:noProof/>
          <w:spacing w:val="-4"/>
        </w:rPr>
        <w:t>súlade</w:t>
      </w:r>
      <w:r w:rsidR="004F01E9" w:rsidRPr="009D4D24">
        <w:rPr>
          <w:noProof/>
          <w:spacing w:val="-4"/>
        </w:rPr>
        <w:t xml:space="preserve"> s </w:t>
      </w:r>
      <w:r w:rsidRPr="009D4D24">
        <w:rPr>
          <w:noProof/>
          <w:spacing w:val="-4"/>
        </w:rPr>
        <w:t>článkom 104b.</w:t>
      </w:r>
    </w:p>
    <w:p w14:paraId="7C5B27A4" w14:textId="498C4413" w:rsidR="008B2178" w:rsidRPr="004F01E9" w:rsidRDefault="008B2178" w:rsidP="008B2178">
      <w:pPr>
        <w:pStyle w:val="Text2"/>
        <w:rPr>
          <w:noProof/>
        </w:rPr>
      </w:pPr>
      <w:r w:rsidRPr="004F01E9">
        <w:rPr>
          <w:noProof/>
        </w:rPr>
        <w:t>4. Inštitúcia môže</w:t>
      </w:r>
      <w:r w:rsidR="004F01E9">
        <w:rPr>
          <w:noProof/>
        </w:rPr>
        <w:t xml:space="preserve"> v </w:t>
      </w:r>
      <w:r w:rsidRPr="004F01E9">
        <w:rPr>
          <w:noProof/>
        </w:rPr>
        <w:t>rámci skupiny trvalo používať kombináciu alternatívnych štandardizovaných prístupov uvedených</w:t>
      </w:r>
      <w:r w:rsidR="004F01E9">
        <w:rPr>
          <w:noProof/>
        </w:rPr>
        <w:t xml:space="preserve"> v </w:t>
      </w:r>
      <w:r w:rsidRPr="004F01E9">
        <w:rPr>
          <w:noProof/>
        </w:rPr>
        <w:t>odseku 1 písm. a)</w:t>
      </w:r>
      <w:r w:rsidR="004F01E9">
        <w:rPr>
          <w:noProof/>
        </w:rPr>
        <w:t xml:space="preserve"> a </w:t>
      </w:r>
      <w:r w:rsidRPr="004F01E9">
        <w:rPr>
          <w:noProof/>
        </w:rPr>
        <w:t>alternatívneho prístupu interného modelu uvedeného</w:t>
      </w:r>
      <w:r w:rsidR="004F01E9">
        <w:rPr>
          <w:noProof/>
        </w:rPr>
        <w:t xml:space="preserve"> v </w:t>
      </w:r>
      <w:r w:rsidRPr="004F01E9">
        <w:rPr>
          <w:noProof/>
        </w:rPr>
        <w:t>odseku 1 písm. b). Inštitúcia nesmie použiť žiadny</w:t>
      </w:r>
      <w:r w:rsidR="004F01E9">
        <w:rPr>
          <w:noProof/>
        </w:rPr>
        <w:t xml:space="preserve"> z </w:t>
      </w:r>
      <w:r w:rsidRPr="004F01E9">
        <w:rPr>
          <w:noProof/>
        </w:rPr>
        <w:t>týchto prístupov</w:t>
      </w:r>
      <w:r w:rsidR="004F01E9">
        <w:rPr>
          <w:noProof/>
        </w:rPr>
        <w:t xml:space="preserve"> v </w:t>
      </w:r>
      <w:r w:rsidRPr="004F01E9">
        <w:rPr>
          <w:noProof/>
        </w:rPr>
        <w:t>kombinácii so zjednodušeným štandardizovaným prístupom uvedeným</w:t>
      </w:r>
      <w:r w:rsidR="004F01E9">
        <w:rPr>
          <w:noProof/>
        </w:rPr>
        <w:t xml:space="preserve"> v </w:t>
      </w:r>
      <w:r w:rsidRPr="004F01E9">
        <w:rPr>
          <w:noProof/>
        </w:rPr>
        <w:t>odseku 1 písm. c).</w:t>
      </w:r>
    </w:p>
    <w:p w14:paraId="500CB530" w14:textId="4DD2165E" w:rsidR="008B2178" w:rsidRPr="004F01E9" w:rsidRDefault="008B2178" w:rsidP="008B2178">
      <w:pPr>
        <w:pStyle w:val="Text2"/>
        <w:rPr>
          <w:noProof/>
        </w:rPr>
      </w:pPr>
      <w:r w:rsidRPr="004F01E9">
        <w:rPr>
          <w:noProof/>
        </w:rPr>
        <w:t xml:space="preserve">5. Inštitúcia nesmie používať </w:t>
      </w:r>
      <w:r w:rsidRPr="004F01E9">
        <w:rPr>
          <w:noProof/>
          <w:color w:val="000000" w:themeColor="text1"/>
        </w:rPr>
        <w:t>alternatívny prístup interného modelu</w:t>
      </w:r>
      <w:r w:rsidRPr="004F01E9">
        <w:rPr>
          <w:noProof/>
        </w:rPr>
        <w:t xml:space="preserve"> stanovený</w:t>
      </w:r>
      <w:r w:rsidR="004F01E9">
        <w:rPr>
          <w:noProof/>
        </w:rPr>
        <w:t xml:space="preserve"> v </w:t>
      </w:r>
      <w:r w:rsidRPr="004F01E9">
        <w:rPr>
          <w:noProof/>
        </w:rPr>
        <w:t>odseku 1 písm. b) pre nástroje vo svojej obchodnej knihe, ktoré sú sekuritizačnými pozíciami alebo pozíciami zahrnutými do alternatívneho korelačného obchodného portfólia (ACTP) stanoveného</w:t>
      </w:r>
      <w:r w:rsidR="004F01E9">
        <w:rPr>
          <w:noProof/>
        </w:rPr>
        <w:t xml:space="preserve"> v </w:t>
      </w:r>
      <w:r w:rsidRPr="004F01E9">
        <w:rPr>
          <w:noProof/>
        </w:rPr>
        <w:t>odsekoch 6, 7</w:t>
      </w:r>
      <w:r w:rsidR="004F01E9">
        <w:rPr>
          <w:noProof/>
        </w:rPr>
        <w:t xml:space="preserve"> a </w:t>
      </w:r>
      <w:r w:rsidRPr="004F01E9">
        <w:rPr>
          <w:noProof/>
        </w:rPr>
        <w:t>8.“;</w:t>
      </w:r>
    </w:p>
    <w:p w14:paraId="128FE0F6" w14:textId="4EBACA5E" w:rsidR="008B2178" w:rsidRPr="004F01E9" w:rsidRDefault="0060136E" w:rsidP="0060136E">
      <w:pPr>
        <w:pStyle w:val="Point1"/>
        <w:rPr>
          <w:noProof/>
        </w:rPr>
      </w:pPr>
      <w:r w:rsidRPr="004F01E9">
        <w:rPr>
          <w:noProof/>
        </w:rPr>
        <w:t>b)</w:t>
      </w:r>
      <w:r w:rsidRPr="004F01E9">
        <w:rPr>
          <w:noProof/>
        </w:rPr>
        <w:tab/>
        <w:t>Odsek 9 sa nahrádza takto:</w:t>
      </w:r>
    </w:p>
    <w:p w14:paraId="1006E03B" w14:textId="3E6F4F38" w:rsidR="00806B81" w:rsidRPr="004F01E9" w:rsidRDefault="008B2178" w:rsidP="008B2178">
      <w:pPr>
        <w:pStyle w:val="Text2"/>
        <w:rPr>
          <w:noProof/>
        </w:rPr>
      </w:pPr>
      <w:r w:rsidRPr="004F01E9">
        <w:rPr>
          <w:noProof/>
        </w:rPr>
        <w:t>„9. EBA vypracuje návrh regulačných technických predpisov</w:t>
      </w:r>
      <w:r w:rsidR="004F01E9">
        <w:rPr>
          <w:noProof/>
        </w:rPr>
        <w:t xml:space="preserve"> s </w:t>
      </w:r>
      <w:r w:rsidRPr="004F01E9">
        <w:rPr>
          <w:noProof/>
        </w:rPr>
        <w:t>cieľom presne stanoviť, ako majú inštitúcie vypočítať požiadavky na vlastné zdroje pre trhové riziko pre pozície</w:t>
      </w:r>
      <w:r w:rsidR="004F01E9">
        <w:rPr>
          <w:noProof/>
        </w:rPr>
        <w:t xml:space="preserve"> v </w:t>
      </w:r>
      <w:r w:rsidRPr="004F01E9">
        <w:rPr>
          <w:noProof/>
        </w:rPr>
        <w:t>neobchodnej knihe, ktoré podliehajú devízovému riziku alebo komoditnému riziku,</w:t>
      </w:r>
      <w:r w:rsidR="004F01E9">
        <w:rPr>
          <w:noProof/>
        </w:rPr>
        <w:t xml:space="preserve"> v </w:t>
      </w:r>
      <w:r w:rsidRPr="004F01E9">
        <w:rPr>
          <w:noProof/>
        </w:rPr>
        <w:t>súlade</w:t>
      </w:r>
      <w:r w:rsidR="004F01E9">
        <w:rPr>
          <w:noProof/>
        </w:rPr>
        <w:t xml:space="preserve"> s </w:t>
      </w:r>
      <w:r w:rsidRPr="004F01E9">
        <w:rPr>
          <w:noProof/>
        </w:rPr>
        <w:t>prístupmi stanovenými</w:t>
      </w:r>
      <w:r w:rsidR="004F01E9">
        <w:rPr>
          <w:noProof/>
        </w:rPr>
        <w:t xml:space="preserve"> v </w:t>
      </w:r>
      <w:r w:rsidRPr="004F01E9">
        <w:rPr>
          <w:noProof/>
        </w:rPr>
        <w:t>odseku 1 písm. a)</w:t>
      </w:r>
      <w:r w:rsidR="004F01E9">
        <w:rPr>
          <w:noProof/>
        </w:rPr>
        <w:t xml:space="preserve"> a </w:t>
      </w:r>
      <w:r w:rsidRPr="004F01E9">
        <w:rPr>
          <w:noProof/>
        </w:rPr>
        <w:t>b) tohto článku, prípadne so zohľadnením požiadaviek stanovených</w:t>
      </w:r>
      <w:r w:rsidR="004F01E9">
        <w:rPr>
          <w:noProof/>
        </w:rPr>
        <w:t xml:space="preserve"> v </w:t>
      </w:r>
      <w:r w:rsidRPr="004F01E9">
        <w:rPr>
          <w:noProof/>
        </w:rPr>
        <w:t>článku 104b, ods. 5</w:t>
      </w:r>
      <w:r w:rsidR="004F01E9">
        <w:rPr>
          <w:noProof/>
        </w:rPr>
        <w:t xml:space="preserve"> a </w:t>
      </w:r>
      <w:r w:rsidRPr="004F01E9">
        <w:rPr>
          <w:noProof/>
        </w:rPr>
        <w:t>6.</w:t>
      </w:r>
    </w:p>
    <w:p w14:paraId="75498230" w14:textId="77777777" w:rsidR="00806B81" w:rsidRPr="004F01E9" w:rsidRDefault="008B2178" w:rsidP="008B2178">
      <w:pPr>
        <w:pStyle w:val="Text2"/>
        <w:rPr>
          <w:noProof/>
        </w:rPr>
      </w:pPr>
      <w:r w:rsidRPr="004F01E9">
        <w:rPr>
          <w:noProof/>
        </w:rPr>
        <w:t>EBA predloží Komisii uvedený návrh regulačných technických predpisov do [</w:t>
      </w:r>
      <w:r w:rsidRPr="004F01E9">
        <w:rPr>
          <w:noProof/>
          <w:color w:val="000000"/>
        </w:rPr>
        <w:t>Úrad pre publikácie, vložte dátum =</w:t>
      </w:r>
      <w:r w:rsidRPr="004F01E9">
        <w:rPr>
          <w:noProof/>
        </w:rPr>
        <w:t xml:space="preserve"> 9 mesiacov po nadobudnutí účinnosti tohto nariadenia].</w:t>
      </w:r>
    </w:p>
    <w:p w14:paraId="4B5F28F3" w14:textId="0053226C" w:rsidR="008B2178" w:rsidRPr="004F01E9" w:rsidRDefault="008B2178" w:rsidP="008B2178">
      <w:pPr>
        <w:pStyle w:val="Text2"/>
        <w:rPr>
          <w:noProof/>
        </w:rPr>
      </w:pPr>
      <w:r w:rsidRPr="004F01E9">
        <w:rPr>
          <w:noProof/>
        </w:rPr>
        <w:t>Na Komisiu sa deleguje právomoc doplniť toto nariadenie prijatím regulačných technických predpisov uvedených</w:t>
      </w:r>
      <w:r w:rsidR="004F01E9">
        <w:rPr>
          <w:noProof/>
        </w:rPr>
        <w:t xml:space="preserve"> v </w:t>
      </w:r>
      <w:r w:rsidRPr="004F01E9">
        <w:rPr>
          <w:noProof/>
        </w:rPr>
        <w:t>prvom pododseku</w:t>
      </w:r>
      <w:r w:rsidR="004F01E9">
        <w:rPr>
          <w:noProof/>
        </w:rPr>
        <w:t xml:space="preserve"> v </w:t>
      </w:r>
      <w:r w:rsidRPr="004F01E9">
        <w:rPr>
          <w:noProof/>
        </w:rPr>
        <w:t>súlade</w:t>
      </w:r>
      <w:r w:rsidR="004F01E9">
        <w:rPr>
          <w:noProof/>
        </w:rPr>
        <w:t xml:space="preserve"> s </w:t>
      </w:r>
      <w:r w:rsidRPr="004F01E9">
        <w:rPr>
          <w:noProof/>
        </w:rPr>
        <w:t xml:space="preserve">článkami 10 až 14 nariadenia (EÚ) </w:t>
      </w:r>
      <w:r w:rsidR="004F01E9">
        <w:rPr>
          <w:noProof/>
        </w:rPr>
        <w:t>č. </w:t>
      </w:r>
      <w:r w:rsidRPr="004F01E9">
        <w:rPr>
          <w:noProof/>
        </w:rPr>
        <w:t>1093/2010.“</w:t>
      </w:r>
    </w:p>
    <w:p w14:paraId="7B95EF92" w14:textId="0FE0977D" w:rsidR="00806B81" w:rsidRPr="004F01E9" w:rsidRDefault="00B16452" w:rsidP="00B16452">
      <w:pPr>
        <w:pStyle w:val="Point0"/>
        <w:rPr>
          <w:noProof/>
        </w:rPr>
      </w:pPr>
      <w:r w:rsidRPr="00B16452">
        <w:rPr>
          <w:noProof/>
        </w:rPr>
        <w:t>133</w:t>
      </w:r>
      <w:r>
        <w:rPr>
          <w:noProof/>
        </w:rPr>
        <w:t>.</w:t>
      </w:r>
      <w:r w:rsidRPr="00B16452">
        <w:rPr>
          <w:noProof/>
        </w:rPr>
        <w:tab/>
      </w:r>
      <w:r w:rsidR="008B2178" w:rsidRPr="004F01E9">
        <w:rPr>
          <w:noProof/>
        </w:rPr>
        <w:t>Článok 325a sa mení takto:</w:t>
      </w:r>
    </w:p>
    <w:p w14:paraId="140258EA" w14:textId="626FD797" w:rsidR="008B2178" w:rsidRPr="004F01E9" w:rsidRDefault="0060136E" w:rsidP="00DF4201">
      <w:pPr>
        <w:pStyle w:val="Point1"/>
        <w:rPr>
          <w:noProof/>
        </w:rPr>
      </w:pPr>
      <w:r w:rsidRPr="004F01E9">
        <w:rPr>
          <w:noProof/>
        </w:rPr>
        <w:t>a)</w:t>
      </w:r>
      <w:r w:rsidRPr="004F01E9">
        <w:rPr>
          <w:noProof/>
        </w:rPr>
        <w:tab/>
        <w:t>Názov sa nahrádza takto:</w:t>
      </w:r>
    </w:p>
    <w:p w14:paraId="3919D5CF" w14:textId="7E18C9EE" w:rsidR="008B2178" w:rsidRPr="004F01E9" w:rsidRDefault="008B2178" w:rsidP="008B2178">
      <w:pPr>
        <w:pStyle w:val="Titrearticle"/>
        <w:rPr>
          <w:noProof/>
        </w:rPr>
      </w:pPr>
      <w:r w:rsidRPr="004F01E9">
        <w:rPr>
          <w:i w:val="0"/>
          <w:noProof/>
        </w:rPr>
        <w:t>„</w:t>
      </w:r>
      <w:r w:rsidRPr="004F01E9">
        <w:rPr>
          <w:b/>
          <w:i w:val="0"/>
          <w:noProof/>
        </w:rPr>
        <w:t>Podmienky použitia zjednodušeného štandardizovaného prístupu</w:t>
      </w:r>
      <w:r w:rsidRPr="004F01E9">
        <w:rPr>
          <w:i w:val="0"/>
          <w:noProof/>
        </w:rPr>
        <w:t>“;</w:t>
      </w:r>
    </w:p>
    <w:p w14:paraId="4FA4913C" w14:textId="73B364F8" w:rsidR="00806B81" w:rsidRPr="004F01E9" w:rsidRDefault="0060136E" w:rsidP="00DF4201">
      <w:pPr>
        <w:pStyle w:val="Point1"/>
        <w:rPr>
          <w:noProof/>
        </w:rPr>
      </w:pPr>
      <w:r w:rsidRPr="004F01E9">
        <w:rPr>
          <w:noProof/>
        </w:rPr>
        <w:t>b)</w:t>
      </w:r>
      <w:r w:rsidRPr="004F01E9">
        <w:rPr>
          <w:noProof/>
        </w:rPr>
        <w:tab/>
        <w:t>V odseku 1 sa prvý pododsek nahrádza takto:</w:t>
      </w:r>
    </w:p>
    <w:p w14:paraId="50ACE547" w14:textId="761BB001" w:rsidR="008B2178" w:rsidRPr="009D4D24" w:rsidRDefault="008B2178" w:rsidP="008B2178">
      <w:pPr>
        <w:pStyle w:val="Text2"/>
        <w:rPr>
          <w:noProof/>
          <w:spacing w:val="-4"/>
        </w:rPr>
      </w:pPr>
      <w:r w:rsidRPr="009D4D24">
        <w:rPr>
          <w:noProof/>
          <w:spacing w:val="-4"/>
        </w:rPr>
        <w:t>„1. Inštitúcia môže vypočítať požiadavky na vlastné zdroje pre trhové riziko pomocou zjednodušeného štandardizovaného prístupu uvedeného</w:t>
      </w:r>
      <w:r w:rsidR="004F01E9" w:rsidRPr="009D4D24">
        <w:rPr>
          <w:noProof/>
          <w:spacing w:val="-4"/>
        </w:rPr>
        <w:t xml:space="preserve"> v </w:t>
      </w:r>
      <w:r w:rsidRPr="009D4D24">
        <w:rPr>
          <w:noProof/>
          <w:spacing w:val="-4"/>
        </w:rPr>
        <w:t>článku 325 ods. 1 písm. c) za predpokladu, že objem súvahových</w:t>
      </w:r>
      <w:r w:rsidR="004F01E9" w:rsidRPr="009D4D24">
        <w:rPr>
          <w:noProof/>
          <w:spacing w:val="-4"/>
        </w:rPr>
        <w:t xml:space="preserve"> a </w:t>
      </w:r>
      <w:r w:rsidRPr="009D4D24">
        <w:rPr>
          <w:noProof/>
          <w:spacing w:val="-4"/>
        </w:rPr>
        <w:t>podsúvahových činností inštitúcie podliehajúcich trhovému riziku sa rovná alebo je menší ako každá</w:t>
      </w:r>
      <w:r w:rsidR="004F01E9" w:rsidRPr="009D4D24">
        <w:rPr>
          <w:noProof/>
          <w:spacing w:val="-4"/>
        </w:rPr>
        <w:t xml:space="preserve"> z </w:t>
      </w:r>
      <w:r w:rsidRPr="009D4D24">
        <w:rPr>
          <w:noProof/>
          <w:spacing w:val="-4"/>
        </w:rPr>
        <w:t>nasledujúcich prahových hodnôt,</w:t>
      </w:r>
      <w:r w:rsidR="004F01E9" w:rsidRPr="009D4D24">
        <w:rPr>
          <w:noProof/>
          <w:spacing w:val="-4"/>
        </w:rPr>
        <w:t xml:space="preserve"> a </w:t>
      </w:r>
      <w:r w:rsidRPr="009D4D24">
        <w:rPr>
          <w:noProof/>
          <w:spacing w:val="-4"/>
        </w:rPr>
        <w:t>to na základe posúdenia uskutočňovaného každý mesiac</w:t>
      </w:r>
      <w:r w:rsidR="004F01E9" w:rsidRPr="009D4D24">
        <w:rPr>
          <w:noProof/>
          <w:spacing w:val="-4"/>
        </w:rPr>
        <w:t xml:space="preserve"> s </w:t>
      </w:r>
      <w:r w:rsidRPr="009D4D24">
        <w:rPr>
          <w:noProof/>
          <w:spacing w:val="-4"/>
        </w:rPr>
        <w:t>použitím údajov</w:t>
      </w:r>
      <w:r w:rsidR="004F01E9" w:rsidRPr="009D4D24">
        <w:rPr>
          <w:noProof/>
          <w:spacing w:val="-4"/>
        </w:rPr>
        <w:t xml:space="preserve"> k </w:t>
      </w:r>
      <w:r w:rsidRPr="009D4D24">
        <w:rPr>
          <w:noProof/>
          <w:spacing w:val="-4"/>
        </w:rPr>
        <w:t>poslednému dňu mesiaca:“;</w:t>
      </w:r>
    </w:p>
    <w:p w14:paraId="763AAF21" w14:textId="20349626" w:rsidR="00806B81" w:rsidRPr="004F01E9" w:rsidRDefault="00DF4201" w:rsidP="00DF4201">
      <w:pPr>
        <w:pStyle w:val="Point1"/>
        <w:rPr>
          <w:noProof/>
        </w:rPr>
      </w:pPr>
      <w:r w:rsidRPr="004F01E9">
        <w:rPr>
          <w:noProof/>
        </w:rPr>
        <w:t>c)</w:t>
      </w:r>
      <w:r w:rsidRPr="004F01E9">
        <w:rPr>
          <w:noProof/>
        </w:rPr>
        <w:tab/>
        <w:t>V odseku 2 sa písmeno b) nahrádza takto:</w:t>
      </w:r>
    </w:p>
    <w:p w14:paraId="7111E236" w14:textId="063C7B8D" w:rsidR="00806B81" w:rsidRPr="009D4D24" w:rsidRDefault="008B2178" w:rsidP="008B2178">
      <w:pPr>
        <w:pStyle w:val="Text2"/>
        <w:rPr>
          <w:noProof/>
          <w:spacing w:val="-4"/>
        </w:rPr>
      </w:pPr>
      <w:r w:rsidRPr="009D4D24">
        <w:rPr>
          <w:noProof/>
          <w:spacing w:val="-4"/>
        </w:rPr>
        <w:t>„b) zahrnú sa všetky pozície</w:t>
      </w:r>
      <w:r w:rsidR="004F01E9" w:rsidRPr="009D4D24">
        <w:rPr>
          <w:noProof/>
          <w:spacing w:val="-4"/>
        </w:rPr>
        <w:t xml:space="preserve"> v </w:t>
      </w:r>
      <w:r w:rsidRPr="009D4D24">
        <w:rPr>
          <w:noProof/>
          <w:spacing w:val="-4"/>
        </w:rPr>
        <w:t>neobchodnej knihe, ktoré podliehajú devízovému riziku alebo komoditnému riziku,</w:t>
      </w:r>
      <w:r w:rsidR="004F01E9" w:rsidRPr="009D4D24">
        <w:rPr>
          <w:noProof/>
          <w:spacing w:val="-4"/>
        </w:rPr>
        <w:t xml:space="preserve"> s </w:t>
      </w:r>
      <w:r w:rsidRPr="009D4D24">
        <w:rPr>
          <w:noProof/>
          <w:spacing w:val="-4"/>
        </w:rPr>
        <w:t>výnimkou tých pozícií, ktoré sú vylúčené</w:t>
      </w:r>
      <w:r w:rsidR="004F01E9" w:rsidRPr="009D4D24">
        <w:rPr>
          <w:noProof/>
          <w:spacing w:val="-4"/>
        </w:rPr>
        <w:t xml:space="preserve"> z </w:t>
      </w:r>
      <w:r w:rsidRPr="009D4D24">
        <w:rPr>
          <w:noProof/>
          <w:spacing w:val="-4"/>
        </w:rPr>
        <w:t>výpočtu požiadaviek na vlastné zdroje pre devízové riziko</w:t>
      </w:r>
      <w:r w:rsidR="004F01E9" w:rsidRPr="009D4D24">
        <w:rPr>
          <w:noProof/>
          <w:spacing w:val="-4"/>
        </w:rPr>
        <w:t xml:space="preserve"> v </w:t>
      </w:r>
      <w:r w:rsidRPr="009D4D24">
        <w:rPr>
          <w:noProof/>
          <w:spacing w:val="-4"/>
        </w:rPr>
        <w:t>súlade</w:t>
      </w:r>
      <w:r w:rsidR="004F01E9" w:rsidRPr="009D4D24">
        <w:rPr>
          <w:noProof/>
          <w:spacing w:val="-4"/>
        </w:rPr>
        <w:t xml:space="preserve"> s </w:t>
      </w:r>
      <w:r w:rsidRPr="009D4D24">
        <w:rPr>
          <w:noProof/>
          <w:spacing w:val="-4"/>
        </w:rPr>
        <w:t>článkom 104c, alebo ktoré sú odpočítané od vlastných zdrojov inštitúcie“;</w:t>
      </w:r>
    </w:p>
    <w:p w14:paraId="7260236D" w14:textId="73E1BC36" w:rsidR="00806B81" w:rsidRPr="004F01E9" w:rsidRDefault="00DF4201" w:rsidP="009D4D24">
      <w:pPr>
        <w:pStyle w:val="Point1"/>
        <w:keepNext/>
        <w:keepLines/>
        <w:ind w:left="1418"/>
        <w:rPr>
          <w:noProof/>
        </w:rPr>
      </w:pPr>
      <w:r w:rsidRPr="004F01E9">
        <w:rPr>
          <w:noProof/>
        </w:rPr>
        <w:t>d)</w:t>
      </w:r>
      <w:r w:rsidRPr="004F01E9">
        <w:rPr>
          <w:noProof/>
        </w:rPr>
        <w:tab/>
        <w:t>V odseku 5 sa prvý pododsek nahrádza takto:</w:t>
      </w:r>
    </w:p>
    <w:p w14:paraId="664CE48F" w14:textId="4E323051" w:rsidR="008B2178" w:rsidRPr="004F01E9" w:rsidRDefault="008B2178" w:rsidP="009D4D24">
      <w:pPr>
        <w:pStyle w:val="Text2"/>
        <w:keepNext/>
        <w:keepLines/>
        <w:ind w:left="1418"/>
        <w:rPr>
          <w:noProof/>
        </w:rPr>
      </w:pPr>
      <w:r w:rsidRPr="004F01E9">
        <w:rPr>
          <w:noProof/>
        </w:rPr>
        <w:t>„5. Inštitúcie prestanú vypočítavať požiadavky na vlastné zdroje pre trhové riziko</w:t>
      </w:r>
      <w:r w:rsidR="004F01E9">
        <w:rPr>
          <w:noProof/>
        </w:rPr>
        <w:t xml:space="preserve"> v </w:t>
      </w:r>
      <w:r w:rsidRPr="004F01E9">
        <w:rPr>
          <w:noProof/>
        </w:rPr>
        <w:t>súlade</w:t>
      </w:r>
      <w:r w:rsidR="004F01E9">
        <w:rPr>
          <w:noProof/>
        </w:rPr>
        <w:t xml:space="preserve"> s </w:t>
      </w:r>
      <w:r w:rsidRPr="004F01E9">
        <w:rPr>
          <w:noProof/>
        </w:rPr>
        <w:t>prístupom stanoveným</w:t>
      </w:r>
      <w:r w:rsidR="004F01E9">
        <w:rPr>
          <w:noProof/>
        </w:rPr>
        <w:t xml:space="preserve"> v </w:t>
      </w:r>
      <w:r w:rsidRPr="004F01E9">
        <w:rPr>
          <w:noProof/>
        </w:rPr>
        <w:t>článku 325 ods. 1 písm. c) do troch mesiacov po jednom</w:t>
      </w:r>
      <w:r w:rsidR="004F01E9">
        <w:rPr>
          <w:noProof/>
        </w:rPr>
        <w:t xml:space="preserve"> z </w:t>
      </w:r>
      <w:r w:rsidRPr="004F01E9">
        <w:rPr>
          <w:noProof/>
        </w:rPr>
        <w:t>týchto prípadov:“;</w:t>
      </w:r>
    </w:p>
    <w:p w14:paraId="2515CD31" w14:textId="325BEDF2" w:rsidR="00806B81" w:rsidRPr="004F01E9" w:rsidRDefault="00DF4201" w:rsidP="00DF4201">
      <w:pPr>
        <w:pStyle w:val="Point1"/>
        <w:rPr>
          <w:noProof/>
        </w:rPr>
      </w:pPr>
      <w:r w:rsidRPr="004F01E9">
        <w:rPr>
          <w:noProof/>
        </w:rPr>
        <w:t>e)</w:t>
      </w:r>
      <w:r w:rsidRPr="004F01E9">
        <w:rPr>
          <w:noProof/>
        </w:rPr>
        <w:tab/>
        <w:t>Odsek 6 sa nahrádza takto:</w:t>
      </w:r>
    </w:p>
    <w:p w14:paraId="44065613" w14:textId="61DCD6EA" w:rsidR="008B2178" w:rsidRPr="004F01E9" w:rsidRDefault="008B2178" w:rsidP="008B2178">
      <w:pPr>
        <w:pStyle w:val="Text2"/>
        <w:rPr>
          <w:noProof/>
        </w:rPr>
      </w:pPr>
      <w:r w:rsidRPr="004F01E9">
        <w:rPr>
          <w:noProof/>
        </w:rPr>
        <w:t>„6. Inštitúcia, ktorá prestala vypočítavať požiadavky na vlastné zdroje pre trhové riziko pomocou prístupu stanoveného</w:t>
      </w:r>
      <w:r w:rsidR="004F01E9">
        <w:rPr>
          <w:noProof/>
        </w:rPr>
        <w:t xml:space="preserve"> v </w:t>
      </w:r>
      <w:r w:rsidRPr="004F01E9">
        <w:rPr>
          <w:noProof/>
        </w:rPr>
        <w:t>článku 325 ods. 1 písm. c), môže začať vypočítavať požiadavky na vlastné zdroje pre trhové riziko len vtedy, ak príslušnému orgánu preukáže, že všetky podmienky stanovené</w:t>
      </w:r>
      <w:r w:rsidR="004F01E9">
        <w:rPr>
          <w:noProof/>
        </w:rPr>
        <w:t xml:space="preserve"> v </w:t>
      </w:r>
      <w:r w:rsidRPr="004F01E9">
        <w:rPr>
          <w:noProof/>
        </w:rPr>
        <w:t>odseku 1 boli splnené počas nepretržitého obdobia jedného roka.“</w:t>
      </w:r>
    </w:p>
    <w:p w14:paraId="44D0CF83" w14:textId="56035551" w:rsidR="00806B81" w:rsidRPr="004F01E9" w:rsidRDefault="00B16452" w:rsidP="00B16452">
      <w:pPr>
        <w:pStyle w:val="Point0"/>
        <w:rPr>
          <w:noProof/>
        </w:rPr>
      </w:pPr>
      <w:r w:rsidRPr="00B16452">
        <w:rPr>
          <w:noProof/>
        </w:rPr>
        <w:t>134</w:t>
      </w:r>
      <w:r>
        <w:rPr>
          <w:noProof/>
        </w:rPr>
        <w:t>.</w:t>
      </w:r>
      <w:r w:rsidRPr="00B16452">
        <w:rPr>
          <w:noProof/>
        </w:rPr>
        <w:tab/>
      </w:r>
      <w:r w:rsidR="008B2178" w:rsidRPr="004F01E9">
        <w:rPr>
          <w:noProof/>
        </w:rPr>
        <w:t>V článku 325b sa dopĺňa tento odsek 4:</w:t>
      </w:r>
    </w:p>
    <w:p w14:paraId="0586D1C7" w14:textId="240D58CD" w:rsidR="008B2178" w:rsidRPr="004F01E9" w:rsidRDefault="008B2178" w:rsidP="008B2178">
      <w:pPr>
        <w:pStyle w:val="Text1"/>
        <w:rPr>
          <w:noProof/>
        </w:rPr>
      </w:pPr>
      <w:r w:rsidRPr="004F01E9">
        <w:rPr>
          <w:noProof/>
        </w:rPr>
        <w:t xml:space="preserve">„4. </w:t>
      </w:r>
      <w:r w:rsidRPr="004F01E9">
        <w:rPr>
          <w:noProof/>
          <w:color w:val="000000" w:themeColor="text1"/>
        </w:rPr>
        <w:t>Ak príslušný orgán neudelil inštitúcii povolenie uvedené</w:t>
      </w:r>
      <w:r w:rsidR="004F01E9">
        <w:rPr>
          <w:noProof/>
        </w:rPr>
        <w:t xml:space="preserve"> v </w:t>
      </w:r>
      <w:r w:rsidRPr="004F01E9">
        <w:rPr>
          <w:noProof/>
        </w:rPr>
        <w:t>odseku 2 aspoň pre jednu inštitúciu alebo podnik skupiny, na výpočet požiadaviek na vlastné zdroje pre trhové riziko na konsolidovanom základe</w:t>
      </w:r>
      <w:r w:rsidR="004F01E9">
        <w:rPr>
          <w:noProof/>
        </w:rPr>
        <w:t xml:space="preserve"> v </w:t>
      </w:r>
      <w:r w:rsidRPr="004F01E9">
        <w:rPr>
          <w:noProof/>
        </w:rPr>
        <w:t>súlade</w:t>
      </w:r>
      <w:r w:rsidR="004F01E9">
        <w:rPr>
          <w:noProof/>
        </w:rPr>
        <w:t xml:space="preserve"> s </w:t>
      </w:r>
      <w:r w:rsidRPr="004F01E9">
        <w:rPr>
          <w:noProof/>
        </w:rPr>
        <w:t>touto hlavou sa uplatňujú tieto požiadavky:</w:t>
      </w:r>
    </w:p>
    <w:p w14:paraId="202A6283" w14:textId="5D7A1E99" w:rsidR="008B2178" w:rsidRPr="004F01E9" w:rsidRDefault="008B2178" w:rsidP="008B2178">
      <w:pPr>
        <w:pStyle w:val="Point1"/>
        <w:rPr>
          <w:noProof/>
        </w:rPr>
      </w:pPr>
      <w:r w:rsidRPr="004F01E9">
        <w:rPr>
          <w:noProof/>
        </w:rPr>
        <w:t>a)</w:t>
      </w:r>
      <w:r w:rsidRPr="004F01E9">
        <w:rPr>
          <w:noProof/>
        </w:rPr>
        <w:tab/>
        <w:t>inštitúcia vypočítava čisté pozície</w:t>
      </w:r>
      <w:r w:rsidR="004F01E9">
        <w:rPr>
          <w:noProof/>
        </w:rPr>
        <w:t xml:space="preserve"> a </w:t>
      </w:r>
      <w:r w:rsidRPr="004F01E9">
        <w:rPr>
          <w:noProof/>
        </w:rPr>
        <w:t>požiadavky na vlastné zdroje</w:t>
      </w:r>
      <w:r w:rsidR="004F01E9">
        <w:rPr>
          <w:noProof/>
        </w:rPr>
        <w:t xml:space="preserve"> v </w:t>
      </w:r>
      <w:r w:rsidRPr="004F01E9">
        <w:rPr>
          <w:noProof/>
        </w:rPr>
        <w:t>súlade</w:t>
      </w:r>
      <w:r w:rsidR="004F01E9">
        <w:rPr>
          <w:noProof/>
        </w:rPr>
        <w:t xml:space="preserve"> s </w:t>
      </w:r>
      <w:r w:rsidRPr="004F01E9">
        <w:rPr>
          <w:noProof/>
        </w:rPr>
        <w:t>touto hlavou pre všetky pozície</w:t>
      </w:r>
      <w:r w:rsidR="004F01E9">
        <w:rPr>
          <w:noProof/>
        </w:rPr>
        <w:t xml:space="preserve"> v </w:t>
      </w:r>
      <w:r w:rsidRPr="004F01E9">
        <w:rPr>
          <w:noProof/>
        </w:rPr>
        <w:t>inštitúciách alebo podnikoch skupiny, pre ktoré bolo inštitúcii udelené povolenie uvedené</w:t>
      </w:r>
      <w:r w:rsidR="004F01E9">
        <w:rPr>
          <w:noProof/>
        </w:rPr>
        <w:t xml:space="preserve"> v </w:t>
      </w:r>
      <w:r w:rsidRPr="004F01E9">
        <w:rPr>
          <w:noProof/>
        </w:rPr>
        <w:t>odseku 2, pričom použije zaobchádzanie stanovené</w:t>
      </w:r>
      <w:r w:rsidR="004F01E9">
        <w:rPr>
          <w:noProof/>
        </w:rPr>
        <w:t xml:space="preserve"> v </w:t>
      </w:r>
      <w:r w:rsidRPr="004F01E9">
        <w:rPr>
          <w:noProof/>
        </w:rPr>
        <w:t>odseku 1;</w:t>
      </w:r>
    </w:p>
    <w:p w14:paraId="1511FD4E" w14:textId="35437EB1" w:rsidR="008B2178" w:rsidRPr="004F01E9" w:rsidRDefault="008B2178" w:rsidP="008B2178">
      <w:pPr>
        <w:pStyle w:val="Point1"/>
        <w:rPr>
          <w:noProof/>
        </w:rPr>
      </w:pPr>
      <w:r w:rsidRPr="004F01E9">
        <w:rPr>
          <w:noProof/>
        </w:rPr>
        <w:t>b)</w:t>
      </w:r>
      <w:r w:rsidRPr="004F01E9">
        <w:rPr>
          <w:noProof/>
        </w:rPr>
        <w:tab/>
        <w:t>inštitúcia vypočítava čisté pozície</w:t>
      </w:r>
      <w:r w:rsidR="004F01E9">
        <w:rPr>
          <w:noProof/>
        </w:rPr>
        <w:t xml:space="preserve"> a </w:t>
      </w:r>
      <w:r w:rsidRPr="004F01E9">
        <w:rPr>
          <w:noProof/>
        </w:rPr>
        <w:t>požiadavky na vlastné zdroje</w:t>
      </w:r>
      <w:r w:rsidR="004F01E9">
        <w:rPr>
          <w:noProof/>
        </w:rPr>
        <w:t xml:space="preserve"> v </w:t>
      </w:r>
      <w:r w:rsidRPr="004F01E9">
        <w:rPr>
          <w:noProof/>
        </w:rPr>
        <w:t>súlade</w:t>
      </w:r>
      <w:r w:rsidR="004F01E9">
        <w:rPr>
          <w:noProof/>
        </w:rPr>
        <w:t xml:space="preserve"> s </w:t>
      </w:r>
      <w:r w:rsidRPr="004F01E9">
        <w:rPr>
          <w:noProof/>
        </w:rPr>
        <w:t>touto hlavou individuálne pre všetky pozície</w:t>
      </w:r>
      <w:r w:rsidR="004F01E9">
        <w:rPr>
          <w:noProof/>
        </w:rPr>
        <w:t xml:space="preserve"> v </w:t>
      </w:r>
      <w:r w:rsidRPr="004F01E9">
        <w:rPr>
          <w:noProof/>
        </w:rPr>
        <w:t>každej inštitúcii alebo podniku skupiny, pre ktoré inštitúcii nebolo udelené povolenie uvedené</w:t>
      </w:r>
      <w:r w:rsidR="004F01E9">
        <w:rPr>
          <w:noProof/>
        </w:rPr>
        <w:t xml:space="preserve"> v </w:t>
      </w:r>
      <w:r w:rsidRPr="004F01E9">
        <w:rPr>
          <w:noProof/>
        </w:rPr>
        <w:t>odseku 2;</w:t>
      </w:r>
    </w:p>
    <w:p w14:paraId="6E2F5846" w14:textId="786D6734" w:rsidR="008B2178" w:rsidRPr="004F01E9" w:rsidRDefault="008B2178" w:rsidP="008B2178">
      <w:pPr>
        <w:pStyle w:val="Point1"/>
        <w:rPr>
          <w:noProof/>
        </w:rPr>
      </w:pPr>
      <w:r w:rsidRPr="004F01E9">
        <w:rPr>
          <w:noProof/>
        </w:rPr>
        <w:t>c)</w:t>
      </w:r>
      <w:r w:rsidRPr="004F01E9">
        <w:rPr>
          <w:noProof/>
        </w:rPr>
        <w:tab/>
        <w:t>inštitúcia vypočítava celkové požiadavky na vlastné zdroje</w:t>
      </w:r>
      <w:r w:rsidR="004F01E9">
        <w:rPr>
          <w:noProof/>
        </w:rPr>
        <w:t xml:space="preserve"> v </w:t>
      </w:r>
      <w:r w:rsidRPr="004F01E9">
        <w:rPr>
          <w:noProof/>
        </w:rPr>
        <w:t>súlade</w:t>
      </w:r>
      <w:r w:rsidR="004F01E9">
        <w:rPr>
          <w:noProof/>
        </w:rPr>
        <w:t xml:space="preserve"> s </w:t>
      </w:r>
      <w:r w:rsidRPr="004F01E9">
        <w:rPr>
          <w:noProof/>
        </w:rPr>
        <w:t>touto hlavou na konsolidovanom základe tak, že spočíta sumy vypočítané</w:t>
      </w:r>
      <w:r w:rsidR="004F01E9">
        <w:rPr>
          <w:noProof/>
        </w:rPr>
        <w:t xml:space="preserve"> v </w:t>
      </w:r>
      <w:r w:rsidRPr="004F01E9">
        <w:rPr>
          <w:noProof/>
        </w:rPr>
        <w:t>písmenách a)</w:t>
      </w:r>
      <w:r w:rsidR="004F01E9">
        <w:rPr>
          <w:noProof/>
        </w:rPr>
        <w:t xml:space="preserve"> a </w:t>
      </w:r>
      <w:r w:rsidRPr="004F01E9">
        <w:rPr>
          <w:noProof/>
        </w:rPr>
        <w:t>b) tohto odseku.</w:t>
      </w:r>
    </w:p>
    <w:p w14:paraId="295A6573" w14:textId="0D75AF19" w:rsidR="008B2178" w:rsidRPr="004F01E9" w:rsidRDefault="008B2178" w:rsidP="008B2178">
      <w:pPr>
        <w:pStyle w:val="Text1"/>
        <w:rPr>
          <w:noProof/>
        </w:rPr>
      </w:pPr>
      <w:r w:rsidRPr="004F01E9">
        <w:rPr>
          <w:noProof/>
        </w:rPr>
        <w:t>Na účely výpočtu uvedeného</w:t>
      </w:r>
      <w:r w:rsidR="004F01E9">
        <w:rPr>
          <w:noProof/>
        </w:rPr>
        <w:t xml:space="preserve"> v </w:t>
      </w:r>
      <w:r w:rsidRPr="004F01E9">
        <w:rPr>
          <w:noProof/>
        </w:rPr>
        <w:t>písmenách a)</w:t>
      </w:r>
      <w:r w:rsidR="004F01E9">
        <w:rPr>
          <w:noProof/>
        </w:rPr>
        <w:t xml:space="preserve"> a </w:t>
      </w:r>
      <w:r w:rsidRPr="004F01E9">
        <w:rPr>
          <w:noProof/>
        </w:rPr>
        <w:t>b) používajú inštitúcie</w:t>
      </w:r>
      <w:r w:rsidR="004F01E9">
        <w:rPr>
          <w:noProof/>
        </w:rPr>
        <w:t xml:space="preserve"> a </w:t>
      </w:r>
      <w:r w:rsidRPr="004F01E9">
        <w:rPr>
          <w:noProof/>
        </w:rPr>
        <w:t>podniky uvedené</w:t>
      </w:r>
      <w:r w:rsidR="004F01E9">
        <w:rPr>
          <w:noProof/>
        </w:rPr>
        <w:t xml:space="preserve"> v </w:t>
      </w:r>
      <w:r w:rsidRPr="004F01E9">
        <w:rPr>
          <w:noProof/>
        </w:rPr>
        <w:t>písmenách a)</w:t>
      </w:r>
      <w:r w:rsidR="004F01E9">
        <w:rPr>
          <w:noProof/>
        </w:rPr>
        <w:t xml:space="preserve"> a </w:t>
      </w:r>
      <w:r w:rsidRPr="004F01E9">
        <w:rPr>
          <w:noProof/>
        </w:rPr>
        <w:t>b) rovnakú menu vykazovania ako je mena vykazovania používaná na výpočet požiadaviek na vlastné zdroje pre trhové riziko</w:t>
      </w:r>
      <w:r w:rsidR="004F01E9">
        <w:rPr>
          <w:noProof/>
        </w:rPr>
        <w:t xml:space="preserve"> v </w:t>
      </w:r>
      <w:r w:rsidRPr="004F01E9">
        <w:rPr>
          <w:noProof/>
        </w:rPr>
        <w:t>súlade</w:t>
      </w:r>
      <w:r w:rsidR="004F01E9">
        <w:rPr>
          <w:noProof/>
        </w:rPr>
        <w:t xml:space="preserve"> s </w:t>
      </w:r>
      <w:r w:rsidRPr="004F01E9">
        <w:rPr>
          <w:noProof/>
        </w:rPr>
        <w:t>touto hlavou na konsolidovanom základe pre skupinu.“</w:t>
      </w:r>
    </w:p>
    <w:p w14:paraId="76E047B1" w14:textId="7FA17ACA" w:rsidR="00806B81" w:rsidRPr="004F01E9" w:rsidRDefault="00B16452" w:rsidP="00B16452">
      <w:pPr>
        <w:pStyle w:val="Point0"/>
        <w:rPr>
          <w:noProof/>
        </w:rPr>
      </w:pPr>
      <w:r w:rsidRPr="00B16452">
        <w:rPr>
          <w:noProof/>
        </w:rPr>
        <w:t>135</w:t>
      </w:r>
      <w:r>
        <w:rPr>
          <w:noProof/>
        </w:rPr>
        <w:t>.</w:t>
      </w:r>
      <w:r w:rsidRPr="00B16452">
        <w:rPr>
          <w:noProof/>
        </w:rPr>
        <w:tab/>
      </w:r>
      <w:r w:rsidR="008B2178" w:rsidRPr="004F01E9">
        <w:rPr>
          <w:noProof/>
        </w:rPr>
        <w:t>Článok 325c sa mení takto:</w:t>
      </w:r>
    </w:p>
    <w:p w14:paraId="792B0A8E" w14:textId="77AEA5F3" w:rsidR="008B2178" w:rsidRPr="004F01E9" w:rsidRDefault="00993ED9" w:rsidP="00993ED9">
      <w:pPr>
        <w:pStyle w:val="Point1"/>
        <w:rPr>
          <w:noProof/>
        </w:rPr>
      </w:pPr>
      <w:r w:rsidRPr="004F01E9">
        <w:rPr>
          <w:noProof/>
        </w:rPr>
        <w:t>a)</w:t>
      </w:r>
      <w:r w:rsidRPr="004F01E9">
        <w:rPr>
          <w:noProof/>
        </w:rPr>
        <w:tab/>
        <w:t>Názov sa nahrádza takto:</w:t>
      </w:r>
    </w:p>
    <w:p w14:paraId="0340D5DD" w14:textId="6816944C" w:rsidR="008B2178" w:rsidRPr="004F01E9" w:rsidRDefault="008B2178" w:rsidP="008B2178">
      <w:pPr>
        <w:pStyle w:val="Titrearticle"/>
        <w:rPr>
          <w:i w:val="0"/>
          <w:noProof/>
        </w:rPr>
      </w:pPr>
      <w:r w:rsidRPr="004F01E9">
        <w:rPr>
          <w:i w:val="0"/>
          <w:noProof/>
        </w:rPr>
        <w:t>„</w:t>
      </w:r>
      <w:r w:rsidRPr="004F01E9">
        <w:rPr>
          <w:b/>
          <w:i w:val="0"/>
          <w:noProof/>
        </w:rPr>
        <w:t>Rozsah pôsobnosti, štruktúra</w:t>
      </w:r>
      <w:r w:rsidR="004F01E9">
        <w:rPr>
          <w:b/>
          <w:i w:val="0"/>
          <w:noProof/>
        </w:rPr>
        <w:t xml:space="preserve"> a </w:t>
      </w:r>
      <w:r w:rsidRPr="004F01E9">
        <w:rPr>
          <w:b/>
          <w:i w:val="0"/>
          <w:noProof/>
        </w:rPr>
        <w:t>kvalitatívne požiadavky alternatívneho štandardizovaného prístupu</w:t>
      </w:r>
      <w:r w:rsidRPr="004F01E9">
        <w:rPr>
          <w:i w:val="0"/>
          <w:noProof/>
        </w:rPr>
        <w:t>“</w:t>
      </w:r>
    </w:p>
    <w:p w14:paraId="7AD94C0A" w14:textId="61FA346B" w:rsidR="00806B81" w:rsidRPr="004F01E9" w:rsidRDefault="00993ED9" w:rsidP="00993ED9">
      <w:pPr>
        <w:pStyle w:val="Point1"/>
        <w:rPr>
          <w:noProof/>
        </w:rPr>
      </w:pPr>
      <w:r w:rsidRPr="004F01E9">
        <w:rPr>
          <w:noProof/>
        </w:rPr>
        <w:t>b)</w:t>
      </w:r>
      <w:r w:rsidRPr="004F01E9">
        <w:rPr>
          <w:noProof/>
        </w:rPr>
        <w:tab/>
        <w:t>Odsek 1 sa nahrádza takto:</w:t>
      </w:r>
    </w:p>
    <w:p w14:paraId="1AF5176F" w14:textId="604FF66D" w:rsidR="008B2178" w:rsidRPr="004F01E9" w:rsidRDefault="008B2178" w:rsidP="008B2178">
      <w:pPr>
        <w:pStyle w:val="Text2"/>
        <w:rPr>
          <w:noProof/>
        </w:rPr>
      </w:pPr>
      <w:r w:rsidRPr="004F01E9">
        <w:rPr>
          <w:noProof/>
        </w:rPr>
        <w:t>„1. Inštitúcie majú zavedený zdokumentovaný súbor interných politík, postupov</w:t>
      </w:r>
      <w:r w:rsidR="004F01E9">
        <w:rPr>
          <w:noProof/>
        </w:rPr>
        <w:t xml:space="preserve"> a </w:t>
      </w:r>
      <w:r w:rsidRPr="004F01E9">
        <w:rPr>
          <w:noProof/>
        </w:rPr>
        <w:t>kontrol na monitorovanie</w:t>
      </w:r>
      <w:r w:rsidR="004F01E9">
        <w:rPr>
          <w:noProof/>
        </w:rPr>
        <w:t xml:space="preserve"> a </w:t>
      </w:r>
      <w:r w:rsidRPr="004F01E9">
        <w:rPr>
          <w:noProof/>
        </w:rPr>
        <w:t>zabezpečenie súladu</w:t>
      </w:r>
      <w:r w:rsidR="004F01E9">
        <w:rPr>
          <w:noProof/>
        </w:rPr>
        <w:t xml:space="preserve"> s </w:t>
      </w:r>
      <w:r w:rsidRPr="004F01E9">
        <w:rPr>
          <w:noProof/>
        </w:rPr>
        <w:t>požiadavkami tejto kapitoly</w:t>
      </w:r>
      <w:r w:rsidR="004F01E9">
        <w:rPr>
          <w:noProof/>
        </w:rPr>
        <w:t xml:space="preserve"> a </w:t>
      </w:r>
      <w:r w:rsidRPr="004F01E9">
        <w:rPr>
          <w:noProof/>
        </w:rPr>
        <w:t>sprístupňujú ho príslušným orgánom. Akékoľvek zmeny týchto politík, postupov</w:t>
      </w:r>
      <w:r w:rsidR="004F01E9">
        <w:rPr>
          <w:noProof/>
        </w:rPr>
        <w:t xml:space="preserve"> a </w:t>
      </w:r>
      <w:r w:rsidRPr="004F01E9">
        <w:rPr>
          <w:noProof/>
        </w:rPr>
        <w:t>kontrol sa včas oznamujú príslušným orgánom.“;</w:t>
      </w:r>
    </w:p>
    <w:p w14:paraId="0F9F3A52" w14:textId="15F82797" w:rsidR="00806B81" w:rsidRPr="004F01E9" w:rsidRDefault="00993ED9" w:rsidP="00993ED9">
      <w:pPr>
        <w:pStyle w:val="Point1"/>
        <w:rPr>
          <w:noProof/>
        </w:rPr>
      </w:pPr>
      <w:r w:rsidRPr="004F01E9">
        <w:rPr>
          <w:noProof/>
        </w:rPr>
        <w:t>c)</w:t>
      </w:r>
      <w:r w:rsidRPr="004F01E9">
        <w:rPr>
          <w:noProof/>
        </w:rPr>
        <w:tab/>
        <w:t>Dopĺňajú sa tieto odseky 3 až 6:</w:t>
      </w:r>
    </w:p>
    <w:p w14:paraId="184272F6" w14:textId="5293E368" w:rsidR="008B2178" w:rsidRPr="004F01E9" w:rsidRDefault="008B2178" w:rsidP="008B2178">
      <w:pPr>
        <w:pStyle w:val="Text2"/>
        <w:rPr>
          <w:noProof/>
        </w:rPr>
      </w:pPr>
      <w:r w:rsidRPr="004F01E9">
        <w:rPr>
          <w:noProof/>
        </w:rPr>
        <w:t>„3. Inštitúcie musia mať útvar kontroly rizika, ktorý je nezávislý od obchodných útvarov</w:t>
      </w:r>
      <w:r w:rsidR="004F01E9">
        <w:rPr>
          <w:noProof/>
        </w:rPr>
        <w:t xml:space="preserve"> a </w:t>
      </w:r>
      <w:r w:rsidRPr="004F01E9">
        <w:rPr>
          <w:noProof/>
        </w:rPr>
        <w:t>podlieha priamo vrcholovému manažmentu. Uvedený útvar je zodpovedný za vytvorenie alternatívneho štandardizovaného prístupu</w:t>
      </w:r>
      <w:r w:rsidR="004F01E9">
        <w:rPr>
          <w:noProof/>
        </w:rPr>
        <w:t xml:space="preserve"> a </w:t>
      </w:r>
      <w:r w:rsidRPr="004F01E9">
        <w:rPr>
          <w:noProof/>
        </w:rPr>
        <w:t>jeho zavedenie. Vypracúva</w:t>
      </w:r>
      <w:r w:rsidR="004F01E9">
        <w:rPr>
          <w:noProof/>
        </w:rPr>
        <w:t xml:space="preserve"> a </w:t>
      </w:r>
      <w:r w:rsidRPr="004F01E9">
        <w:rPr>
          <w:noProof/>
        </w:rPr>
        <w:t>analyzuje mesačné správy</w:t>
      </w:r>
      <w:r w:rsidR="004F01E9">
        <w:rPr>
          <w:noProof/>
        </w:rPr>
        <w:t xml:space="preserve"> o </w:t>
      </w:r>
      <w:r w:rsidRPr="004F01E9">
        <w:rPr>
          <w:noProof/>
        </w:rPr>
        <w:t>výstupoch alternatívneho štandardizovaného prístupu, ako aj</w:t>
      </w:r>
      <w:r w:rsidR="004F01E9">
        <w:rPr>
          <w:noProof/>
        </w:rPr>
        <w:t xml:space="preserve"> o </w:t>
      </w:r>
      <w:r w:rsidRPr="004F01E9">
        <w:rPr>
          <w:noProof/>
        </w:rPr>
        <w:t>primeranosti obchodných limitov inštitúcie.</w:t>
      </w:r>
    </w:p>
    <w:p w14:paraId="48410BB4" w14:textId="0D8AB73E" w:rsidR="008B2178" w:rsidRPr="004F01E9" w:rsidRDefault="008B2178" w:rsidP="008B2178">
      <w:pPr>
        <w:pStyle w:val="Text2"/>
        <w:rPr>
          <w:noProof/>
        </w:rPr>
      </w:pPr>
      <w:r w:rsidRPr="004F01E9">
        <w:rPr>
          <w:noProof/>
        </w:rPr>
        <w:t>4. Inštitúcie</w:t>
      </w:r>
      <w:r w:rsidR="004F01E9">
        <w:rPr>
          <w:noProof/>
        </w:rPr>
        <w:t xml:space="preserve"> k </w:t>
      </w:r>
      <w:r w:rsidRPr="004F01E9">
        <w:rPr>
          <w:noProof/>
        </w:rPr>
        <w:t>spokojnosti príslušných orgánov nezávisle preskúmavajú alternatívny štandardizovaný prístup, ktorý používajú na účely tejto kapitoly,</w:t>
      </w:r>
      <w:r w:rsidR="004F01E9">
        <w:rPr>
          <w:noProof/>
        </w:rPr>
        <w:t xml:space="preserve"> a </w:t>
      </w:r>
      <w:r w:rsidRPr="004F01E9">
        <w:rPr>
          <w:noProof/>
        </w:rPr>
        <w:t>to buď</w:t>
      </w:r>
      <w:r w:rsidR="004F01E9">
        <w:rPr>
          <w:noProof/>
        </w:rPr>
        <w:t xml:space="preserve"> v </w:t>
      </w:r>
      <w:r w:rsidRPr="004F01E9">
        <w:rPr>
          <w:noProof/>
        </w:rPr>
        <w:t>rámci svojho pravidelného procesu vnútorného auditu, alebo tak, že vykonaním tohto preskúmania poveria tretiu stranu.</w:t>
      </w:r>
    </w:p>
    <w:p w14:paraId="026AC50C" w14:textId="4BFBED11" w:rsidR="008B2178" w:rsidRPr="004F01E9" w:rsidRDefault="008B2178" w:rsidP="008B2178">
      <w:pPr>
        <w:pStyle w:val="Text2"/>
        <w:rPr>
          <w:noProof/>
        </w:rPr>
      </w:pPr>
      <w:r w:rsidRPr="004F01E9">
        <w:rPr>
          <w:noProof/>
        </w:rPr>
        <w:t>Na účely prvého pododseku je treťou stranou podnik, ktorý poskytuje audítorské alebo poradenské služby inštitúciám</w:t>
      </w:r>
      <w:r w:rsidR="004F01E9">
        <w:rPr>
          <w:noProof/>
        </w:rPr>
        <w:t xml:space="preserve"> a </w:t>
      </w:r>
      <w:r w:rsidRPr="004F01E9">
        <w:rPr>
          <w:noProof/>
        </w:rPr>
        <w:t>ktorý má dostatočne kvalifikovaných pracovníkov</w:t>
      </w:r>
      <w:r w:rsidR="004F01E9">
        <w:rPr>
          <w:noProof/>
        </w:rPr>
        <w:t xml:space="preserve"> v </w:t>
      </w:r>
      <w:r w:rsidRPr="004F01E9">
        <w:rPr>
          <w:noProof/>
        </w:rPr>
        <w:t>oblasti trhových rizík.</w:t>
      </w:r>
    </w:p>
    <w:p w14:paraId="034BE8D1" w14:textId="30F1A0C0" w:rsidR="00806B81" w:rsidRPr="004F01E9" w:rsidRDefault="008B2178" w:rsidP="008B2178">
      <w:pPr>
        <w:pStyle w:val="Text2"/>
        <w:rPr>
          <w:noProof/>
        </w:rPr>
      </w:pPr>
      <w:r w:rsidRPr="004F01E9">
        <w:rPr>
          <w:noProof/>
        </w:rPr>
        <w:t>5. Preskúmanie alternatívneho štandardizovaného prístupu uvedeného</w:t>
      </w:r>
      <w:r w:rsidR="004F01E9">
        <w:rPr>
          <w:noProof/>
        </w:rPr>
        <w:t xml:space="preserve"> v </w:t>
      </w:r>
      <w:r w:rsidRPr="004F01E9">
        <w:rPr>
          <w:noProof/>
        </w:rPr>
        <w:t>odseku 4 sa vzťahuje na činnosti obchodných jednotiek aj nezávislého útvaru kontroly rizika</w:t>
      </w:r>
      <w:r w:rsidR="004F01E9">
        <w:rPr>
          <w:noProof/>
        </w:rPr>
        <w:t xml:space="preserve"> a </w:t>
      </w:r>
      <w:r w:rsidRPr="004F01E9">
        <w:rPr>
          <w:noProof/>
        </w:rPr>
        <w:t>posudzujú sa</w:t>
      </w:r>
      <w:r w:rsidR="004F01E9">
        <w:rPr>
          <w:noProof/>
        </w:rPr>
        <w:t xml:space="preserve"> v </w:t>
      </w:r>
      <w:r w:rsidRPr="004F01E9">
        <w:rPr>
          <w:noProof/>
        </w:rPr>
        <w:t>ňom všetky tieto aspekty:</w:t>
      </w:r>
    </w:p>
    <w:p w14:paraId="49855F72" w14:textId="17E4D92F" w:rsidR="008B2178" w:rsidRPr="004F01E9" w:rsidRDefault="008B2178" w:rsidP="008B2178">
      <w:pPr>
        <w:pStyle w:val="Point2"/>
        <w:rPr>
          <w:noProof/>
        </w:rPr>
      </w:pPr>
      <w:r w:rsidRPr="004F01E9">
        <w:rPr>
          <w:noProof/>
        </w:rPr>
        <w:t>a)</w:t>
      </w:r>
      <w:r w:rsidRPr="004F01E9">
        <w:rPr>
          <w:noProof/>
        </w:rPr>
        <w:tab/>
        <w:t>vnútorné politiky, postupy</w:t>
      </w:r>
      <w:r w:rsidR="004F01E9">
        <w:rPr>
          <w:noProof/>
        </w:rPr>
        <w:t xml:space="preserve"> a </w:t>
      </w:r>
      <w:r w:rsidRPr="004F01E9">
        <w:rPr>
          <w:noProof/>
        </w:rPr>
        <w:t>kontroly na monitorovanie</w:t>
      </w:r>
      <w:r w:rsidR="004F01E9">
        <w:rPr>
          <w:noProof/>
        </w:rPr>
        <w:t xml:space="preserve"> a </w:t>
      </w:r>
      <w:r w:rsidRPr="004F01E9">
        <w:rPr>
          <w:noProof/>
        </w:rPr>
        <w:t>zabezpečenie súladu</w:t>
      </w:r>
      <w:r w:rsidR="004F01E9">
        <w:rPr>
          <w:noProof/>
        </w:rPr>
        <w:t xml:space="preserve"> s </w:t>
      </w:r>
      <w:r w:rsidRPr="004F01E9">
        <w:rPr>
          <w:noProof/>
        </w:rPr>
        <w:t>požiadavkami uvedenými</w:t>
      </w:r>
      <w:r w:rsidR="004F01E9">
        <w:rPr>
          <w:noProof/>
        </w:rPr>
        <w:t xml:space="preserve"> v </w:t>
      </w:r>
      <w:r w:rsidRPr="004F01E9">
        <w:rPr>
          <w:noProof/>
        </w:rPr>
        <w:t>odseku 1;</w:t>
      </w:r>
    </w:p>
    <w:p w14:paraId="7C4309AC" w14:textId="2B09B53F" w:rsidR="00806B81" w:rsidRPr="004F01E9" w:rsidRDefault="008B2178" w:rsidP="008B2178">
      <w:pPr>
        <w:pStyle w:val="Point2"/>
        <w:rPr>
          <w:noProof/>
        </w:rPr>
      </w:pPr>
      <w:r w:rsidRPr="004F01E9">
        <w:rPr>
          <w:noProof/>
        </w:rPr>
        <w:t>b)</w:t>
      </w:r>
      <w:r w:rsidRPr="004F01E9">
        <w:rPr>
          <w:noProof/>
        </w:rPr>
        <w:tab/>
        <w:t>primeranosť dokumentácie systému</w:t>
      </w:r>
      <w:r w:rsidR="004F01E9">
        <w:rPr>
          <w:noProof/>
        </w:rPr>
        <w:t xml:space="preserve"> a </w:t>
      </w:r>
      <w:r w:rsidRPr="004F01E9">
        <w:rPr>
          <w:noProof/>
        </w:rPr>
        <w:t>procesu riadenia rizika</w:t>
      </w:r>
      <w:r w:rsidR="004F01E9">
        <w:rPr>
          <w:noProof/>
        </w:rPr>
        <w:t xml:space="preserve"> a </w:t>
      </w:r>
      <w:r w:rsidRPr="004F01E9">
        <w:rPr>
          <w:noProof/>
        </w:rPr>
        <w:t>organizácie útvaru kontroly rizika uvedenej</w:t>
      </w:r>
      <w:r w:rsidR="004F01E9">
        <w:rPr>
          <w:noProof/>
        </w:rPr>
        <w:t xml:space="preserve"> v </w:t>
      </w:r>
      <w:r w:rsidRPr="004F01E9">
        <w:rPr>
          <w:noProof/>
        </w:rPr>
        <w:t>odseku 2;</w:t>
      </w:r>
    </w:p>
    <w:p w14:paraId="75DE1537" w14:textId="7A485257" w:rsidR="008B2178" w:rsidRPr="004F01E9" w:rsidRDefault="008B2178" w:rsidP="008B2178">
      <w:pPr>
        <w:pStyle w:val="Point2"/>
        <w:rPr>
          <w:noProof/>
        </w:rPr>
      </w:pPr>
      <w:r w:rsidRPr="004F01E9">
        <w:rPr>
          <w:noProof/>
        </w:rPr>
        <w:t>c)</w:t>
      </w:r>
      <w:r w:rsidRPr="004F01E9">
        <w:rPr>
          <w:noProof/>
        </w:rPr>
        <w:tab/>
        <w:t>presnosť výpočtov citlivosti</w:t>
      </w:r>
      <w:r w:rsidR="004F01E9">
        <w:rPr>
          <w:noProof/>
        </w:rPr>
        <w:t xml:space="preserve"> a </w:t>
      </w:r>
      <w:r w:rsidRPr="004F01E9">
        <w:rPr>
          <w:noProof/>
        </w:rPr>
        <w:t>postupu použitého na odvodenie týchto výpočtov</w:t>
      </w:r>
      <w:r w:rsidR="004F01E9">
        <w:rPr>
          <w:noProof/>
        </w:rPr>
        <w:t xml:space="preserve"> z </w:t>
      </w:r>
      <w:r w:rsidRPr="004F01E9">
        <w:rPr>
          <w:noProof/>
        </w:rPr>
        <w:t>modelov oceňovania inštitúcie, ktoré slúžia ako základ pre vykazovanie ziskov</w:t>
      </w:r>
      <w:r w:rsidR="004F01E9">
        <w:rPr>
          <w:noProof/>
        </w:rPr>
        <w:t xml:space="preserve"> a </w:t>
      </w:r>
      <w:r w:rsidRPr="004F01E9">
        <w:rPr>
          <w:noProof/>
        </w:rPr>
        <w:t>strát určené vrcholovému manažmentu, ako sa uvádza</w:t>
      </w:r>
      <w:r w:rsidR="004F01E9">
        <w:rPr>
          <w:noProof/>
        </w:rPr>
        <w:t xml:space="preserve"> v </w:t>
      </w:r>
      <w:r w:rsidRPr="004F01E9">
        <w:rPr>
          <w:noProof/>
        </w:rPr>
        <w:t>článku 325t;</w:t>
      </w:r>
    </w:p>
    <w:p w14:paraId="63E0E686" w14:textId="659A25E8" w:rsidR="008B2178" w:rsidRPr="004F01E9" w:rsidRDefault="008B2178" w:rsidP="008B2178">
      <w:pPr>
        <w:pStyle w:val="Point2"/>
        <w:rPr>
          <w:noProof/>
        </w:rPr>
      </w:pPr>
      <w:r w:rsidRPr="004F01E9">
        <w:rPr>
          <w:noProof/>
        </w:rPr>
        <w:t>d)</w:t>
      </w:r>
      <w:r w:rsidRPr="004F01E9">
        <w:rPr>
          <w:noProof/>
        </w:rPr>
        <w:tab/>
        <w:t>overovací proces, ktorý inštitúcia používa na hodnotenie konzistentnosti, včasnosti</w:t>
      </w:r>
      <w:r w:rsidR="004F01E9">
        <w:rPr>
          <w:noProof/>
        </w:rPr>
        <w:t xml:space="preserve"> a </w:t>
      </w:r>
      <w:r w:rsidRPr="004F01E9">
        <w:rPr>
          <w:noProof/>
        </w:rPr>
        <w:t>spoľahlivosti zdrojov údajov používaných pri výpočte požiadaviek na vlastné zdroje pre trhové riziko</w:t>
      </w:r>
      <w:r w:rsidR="004F01E9">
        <w:rPr>
          <w:noProof/>
        </w:rPr>
        <w:t xml:space="preserve"> s </w:t>
      </w:r>
      <w:r w:rsidRPr="004F01E9">
        <w:rPr>
          <w:noProof/>
        </w:rPr>
        <w:t>použitím alternatívneho štandardizovaného prístupu, vrátane nezávislosti týchto zdrojov údajov.</w:t>
      </w:r>
    </w:p>
    <w:p w14:paraId="45F89326" w14:textId="699FC1FA" w:rsidR="008B2178" w:rsidRPr="004F01E9" w:rsidRDefault="008B2178" w:rsidP="008B2178">
      <w:pPr>
        <w:pStyle w:val="Text2"/>
        <w:rPr>
          <w:noProof/>
        </w:rPr>
      </w:pPr>
      <w:r w:rsidRPr="004F01E9">
        <w:rPr>
          <w:noProof/>
        </w:rPr>
        <w:t>Inštitúcia vykonáva preskúmanie uvedené</w:t>
      </w:r>
      <w:r w:rsidR="004F01E9">
        <w:rPr>
          <w:noProof/>
        </w:rPr>
        <w:t xml:space="preserve"> v </w:t>
      </w:r>
      <w:r w:rsidRPr="004F01E9">
        <w:rPr>
          <w:noProof/>
        </w:rPr>
        <w:t>prvom pododseku aspoň raz ročne alebo zriedkavejšie na základe schválenia príslušnými orgánmi.“</w:t>
      </w:r>
    </w:p>
    <w:p w14:paraId="067889EB" w14:textId="3BC8136C" w:rsidR="00806B81" w:rsidRPr="004F01E9" w:rsidRDefault="00B16452" w:rsidP="00B16452">
      <w:pPr>
        <w:pStyle w:val="Point0"/>
        <w:rPr>
          <w:noProof/>
        </w:rPr>
      </w:pPr>
      <w:r w:rsidRPr="00B16452">
        <w:rPr>
          <w:noProof/>
        </w:rPr>
        <w:t>136</w:t>
      </w:r>
      <w:r>
        <w:rPr>
          <w:noProof/>
        </w:rPr>
        <w:t>.</w:t>
      </w:r>
      <w:r w:rsidRPr="00B16452">
        <w:rPr>
          <w:noProof/>
        </w:rPr>
        <w:tab/>
      </w:r>
      <w:r w:rsidR="008B2178" w:rsidRPr="004F01E9">
        <w:rPr>
          <w:noProof/>
        </w:rPr>
        <w:t>Článok 325j sa mení takto:</w:t>
      </w:r>
    </w:p>
    <w:p w14:paraId="70178B1D" w14:textId="44CAEF7E" w:rsidR="00806B81" w:rsidRPr="004F01E9" w:rsidRDefault="001A1041" w:rsidP="001A1041">
      <w:pPr>
        <w:pStyle w:val="Point1"/>
        <w:rPr>
          <w:noProof/>
        </w:rPr>
      </w:pPr>
      <w:r w:rsidRPr="004F01E9">
        <w:rPr>
          <w:noProof/>
        </w:rPr>
        <w:t>a)</w:t>
      </w:r>
      <w:r w:rsidRPr="004F01E9">
        <w:rPr>
          <w:noProof/>
        </w:rPr>
        <w:tab/>
        <w:t>Odsek 1 sa nahrádza takto:</w:t>
      </w:r>
    </w:p>
    <w:p w14:paraId="00A05CFD" w14:textId="628A558F" w:rsidR="00806B81" w:rsidRPr="004F01E9" w:rsidRDefault="008B2178" w:rsidP="008B2178">
      <w:pPr>
        <w:pStyle w:val="Text2"/>
        <w:rPr>
          <w:noProof/>
        </w:rPr>
      </w:pPr>
      <w:r w:rsidRPr="004F01E9">
        <w:rPr>
          <w:noProof/>
        </w:rPr>
        <w:t>„1. Inštitúcia vypočítava požiadavky na vlastné zdroje pre trhové riziko pozície</w:t>
      </w:r>
      <w:r w:rsidR="004F01E9">
        <w:rPr>
          <w:noProof/>
        </w:rPr>
        <w:t xml:space="preserve"> v </w:t>
      </w:r>
      <w:r w:rsidRPr="004F01E9">
        <w:rPr>
          <w:noProof/>
        </w:rPr>
        <w:t>podniku kolektívneho investovania jedným</w:t>
      </w:r>
      <w:r w:rsidR="004F01E9">
        <w:rPr>
          <w:noProof/>
        </w:rPr>
        <w:t xml:space="preserve"> z </w:t>
      </w:r>
      <w:r w:rsidRPr="004F01E9">
        <w:rPr>
          <w:noProof/>
        </w:rPr>
        <w:t>týchto prístupov:</w:t>
      </w:r>
    </w:p>
    <w:p w14:paraId="572C6B96" w14:textId="56BB195B" w:rsidR="008B2178" w:rsidRPr="004F01E9" w:rsidRDefault="008B2178" w:rsidP="008B2178">
      <w:pPr>
        <w:pStyle w:val="Point2"/>
        <w:rPr>
          <w:noProof/>
        </w:rPr>
      </w:pPr>
      <w:r w:rsidRPr="004F01E9">
        <w:rPr>
          <w:noProof/>
        </w:rPr>
        <w:t>a)</w:t>
      </w:r>
      <w:r w:rsidRPr="004F01E9">
        <w:rPr>
          <w:noProof/>
        </w:rPr>
        <w:tab/>
        <w:t>inštitúcia, ktorá spĺňa podmienku stanovenú</w:t>
      </w:r>
      <w:r w:rsidR="004F01E9">
        <w:rPr>
          <w:noProof/>
        </w:rPr>
        <w:t xml:space="preserve"> v </w:t>
      </w:r>
      <w:r w:rsidRPr="004F01E9">
        <w:rPr>
          <w:noProof/>
        </w:rPr>
        <w:t>článku 104 ods. 7 písm. a), vypočítava požiadavky na vlastné zdroje pre trhové riziko tejto pozície tak, že každý mesiac preskúma podkladové pozície PKI, ako keby boli tieto pozície priamo držané inštitúciou;</w:t>
      </w:r>
    </w:p>
    <w:p w14:paraId="18901B0E" w14:textId="7B551336" w:rsidR="00806B81" w:rsidRPr="004F01E9" w:rsidRDefault="008B2178" w:rsidP="008B2178">
      <w:pPr>
        <w:pStyle w:val="Point2"/>
        <w:rPr>
          <w:noProof/>
        </w:rPr>
      </w:pPr>
      <w:r w:rsidRPr="004F01E9">
        <w:rPr>
          <w:noProof/>
        </w:rPr>
        <w:t>b)</w:t>
      </w:r>
      <w:r w:rsidRPr="004F01E9">
        <w:rPr>
          <w:noProof/>
        </w:rPr>
        <w:tab/>
        <w:t>inštitúcia, ktorá spĺňa podmienku stanovenú</w:t>
      </w:r>
      <w:r w:rsidR="004F01E9">
        <w:rPr>
          <w:noProof/>
        </w:rPr>
        <w:t xml:space="preserve"> v </w:t>
      </w:r>
      <w:r w:rsidRPr="004F01E9">
        <w:rPr>
          <w:noProof/>
        </w:rPr>
        <w:t>článku 104 ods. 7 písm. b), vypočítava požiadavky na vlastné zdroje pre trhové riziko tejto pozície jedným</w:t>
      </w:r>
      <w:r w:rsidR="004F01E9">
        <w:rPr>
          <w:noProof/>
        </w:rPr>
        <w:t xml:space="preserve"> z </w:t>
      </w:r>
      <w:r w:rsidRPr="004F01E9">
        <w:rPr>
          <w:noProof/>
        </w:rPr>
        <w:t>týchto prístupov:</w:t>
      </w:r>
    </w:p>
    <w:p w14:paraId="49234015" w14:textId="17FB02A4" w:rsidR="008B2178" w:rsidRPr="004F01E9" w:rsidRDefault="008B2178" w:rsidP="008B2178">
      <w:pPr>
        <w:pStyle w:val="Point3"/>
        <w:rPr>
          <w:noProof/>
        </w:rPr>
      </w:pPr>
      <w:r w:rsidRPr="004F01E9">
        <w:rPr>
          <w:noProof/>
        </w:rPr>
        <w:t>i)</w:t>
      </w:r>
      <w:r w:rsidRPr="004F01E9">
        <w:rPr>
          <w:noProof/>
        </w:rPr>
        <w:tab/>
        <w:t>vypočítava požiadavku na vlastné zdroje pre trhové riziko PKI tak, že pozíciu</w:t>
      </w:r>
      <w:r w:rsidR="004F01E9">
        <w:rPr>
          <w:noProof/>
        </w:rPr>
        <w:t xml:space="preserve"> v </w:t>
      </w:r>
      <w:r w:rsidRPr="004F01E9">
        <w:rPr>
          <w:noProof/>
        </w:rPr>
        <w:t>PKI považuje za jedinú akciovú pozíciu pridelenú do skupiny „Iný sektor“</w:t>
      </w:r>
      <w:r w:rsidR="004F01E9">
        <w:rPr>
          <w:noProof/>
        </w:rPr>
        <w:t xml:space="preserve"> v </w:t>
      </w:r>
      <w:r w:rsidRPr="004F01E9">
        <w:rPr>
          <w:noProof/>
        </w:rPr>
        <w:t>článku 325ap ods. 1 tabuľke 8;</w:t>
      </w:r>
    </w:p>
    <w:p w14:paraId="7C58DA05" w14:textId="405CCE0E" w:rsidR="00806B81" w:rsidRPr="004F01E9" w:rsidRDefault="008B2178" w:rsidP="008B2178">
      <w:pPr>
        <w:pStyle w:val="Point3"/>
        <w:rPr>
          <w:noProof/>
        </w:rPr>
      </w:pPr>
      <w:r w:rsidRPr="004F01E9">
        <w:rPr>
          <w:noProof/>
        </w:rPr>
        <w:t>ii)</w:t>
      </w:r>
      <w:r w:rsidRPr="004F01E9">
        <w:rPr>
          <w:noProof/>
        </w:rPr>
        <w:tab/>
        <w:t>vypočítava požiadavku na vlastné zdroje pre trhové riziko PKI</w:t>
      </w:r>
      <w:r w:rsidR="004F01E9">
        <w:rPr>
          <w:noProof/>
        </w:rPr>
        <w:t xml:space="preserve"> v </w:t>
      </w:r>
      <w:r w:rsidRPr="004F01E9">
        <w:rPr>
          <w:noProof/>
        </w:rPr>
        <w:t>súlade</w:t>
      </w:r>
      <w:r w:rsidR="004F01E9">
        <w:rPr>
          <w:noProof/>
        </w:rPr>
        <w:t xml:space="preserve"> s </w:t>
      </w:r>
      <w:r w:rsidRPr="004F01E9">
        <w:rPr>
          <w:noProof/>
        </w:rPr>
        <w:t>limitmi stanovenými</w:t>
      </w:r>
      <w:r w:rsidR="004F01E9">
        <w:rPr>
          <w:noProof/>
        </w:rPr>
        <w:t xml:space="preserve"> v </w:t>
      </w:r>
      <w:r w:rsidRPr="004F01E9">
        <w:rPr>
          <w:noProof/>
        </w:rPr>
        <w:t>mandáte PKI</w:t>
      </w:r>
      <w:r w:rsidR="004F01E9">
        <w:rPr>
          <w:noProof/>
        </w:rPr>
        <w:t xml:space="preserve"> a v </w:t>
      </w:r>
      <w:r w:rsidRPr="004F01E9">
        <w:rPr>
          <w:noProof/>
        </w:rPr>
        <w:t>príslušných právnych predpisoch.</w:t>
      </w:r>
    </w:p>
    <w:p w14:paraId="039BA5EC" w14:textId="4C5BBDCD" w:rsidR="008B2178" w:rsidRPr="004F01E9" w:rsidRDefault="008B2178" w:rsidP="008B2178">
      <w:pPr>
        <w:pStyle w:val="Text2"/>
        <w:rPr>
          <w:noProof/>
        </w:rPr>
      </w:pPr>
      <w:r w:rsidRPr="004F01E9">
        <w:rPr>
          <w:noProof/>
        </w:rPr>
        <w:t>Na účely výpočtu uvedeného</w:t>
      </w:r>
      <w:r w:rsidR="004F01E9">
        <w:rPr>
          <w:noProof/>
        </w:rPr>
        <w:t xml:space="preserve"> v </w:t>
      </w:r>
      <w:r w:rsidRPr="004F01E9">
        <w:rPr>
          <w:noProof/>
        </w:rPr>
        <w:t>bode i) inštitúcia považuje pozíciu</w:t>
      </w:r>
      <w:r w:rsidR="004F01E9">
        <w:rPr>
          <w:noProof/>
        </w:rPr>
        <w:t xml:space="preserve"> v </w:t>
      </w:r>
      <w:r w:rsidRPr="004F01E9">
        <w:rPr>
          <w:noProof/>
        </w:rPr>
        <w:t>PKI za jedinú akciovú pozíciu bez ratingu zaradenú do skupiny „Bez ratingu“</w:t>
      </w:r>
      <w:r w:rsidR="004F01E9">
        <w:rPr>
          <w:noProof/>
        </w:rPr>
        <w:t xml:space="preserve"> v </w:t>
      </w:r>
      <w:r w:rsidRPr="004F01E9">
        <w:rPr>
          <w:noProof/>
        </w:rPr>
        <w:t>článku 325y ods. 1 tabuľke 2.</w:t>
      </w:r>
    </w:p>
    <w:p w14:paraId="05391159" w14:textId="67F0CD16" w:rsidR="008B2178" w:rsidRPr="004F01E9" w:rsidRDefault="008B2178" w:rsidP="008B2178">
      <w:pPr>
        <w:pStyle w:val="Text2"/>
        <w:rPr>
          <w:noProof/>
        </w:rPr>
      </w:pPr>
      <w:r w:rsidRPr="004F01E9">
        <w:rPr>
          <w:noProof/>
        </w:rPr>
        <w:t>Na účely výpočtu uvedeného</w:t>
      </w:r>
      <w:r w:rsidR="004F01E9">
        <w:rPr>
          <w:noProof/>
        </w:rPr>
        <w:t xml:space="preserve"> v </w:t>
      </w:r>
      <w:r w:rsidRPr="004F01E9">
        <w:rPr>
          <w:noProof/>
        </w:rPr>
        <w:t>bode ii) môže inštitúcia požiadavky na vlastné zdroje pre kreditné riziko protistrany</w:t>
      </w:r>
      <w:r w:rsidR="004F01E9">
        <w:rPr>
          <w:noProof/>
        </w:rPr>
        <w:t xml:space="preserve"> a </w:t>
      </w:r>
      <w:r w:rsidRPr="004F01E9">
        <w:rPr>
          <w:noProof/>
        </w:rPr>
        <w:t>požiadavky na vlastné zdroje pre riziko úpravy ocenenia pohľadávok derivátových pozícií PKI vypočítať</w:t>
      </w:r>
      <w:r w:rsidR="004F01E9">
        <w:rPr>
          <w:noProof/>
        </w:rPr>
        <w:t xml:space="preserve"> s </w:t>
      </w:r>
      <w:r w:rsidRPr="004F01E9">
        <w:rPr>
          <w:noProof/>
        </w:rPr>
        <w:t>použitím zjednodušeného prístupu stanoveného</w:t>
      </w:r>
      <w:r w:rsidR="004F01E9">
        <w:rPr>
          <w:noProof/>
        </w:rPr>
        <w:t xml:space="preserve"> v </w:t>
      </w:r>
      <w:r w:rsidRPr="004F01E9">
        <w:rPr>
          <w:noProof/>
        </w:rPr>
        <w:t>článku 132a ods. 3.“;</w:t>
      </w:r>
    </w:p>
    <w:p w14:paraId="7522E398" w14:textId="30E7D82E" w:rsidR="00806B81" w:rsidRPr="004F01E9" w:rsidRDefault="001A1041" w:rsidP="001A1041">
      <w:pPr>
        <w:pStyle w:val="Point1"/>
        <w:rPr>
          <w:noProof/>
        </w:rPr>
      </w:pPr>
      <w:r w:rsidRPr="004F01E9">
        <w:rPr>
          <w:noProof/>
        </w:rPr>
        <w:t>b)</w:t>
      </w:r>
      <w:r w:rsidRPr="004F01E9">
        <w:rPr>
          <w:noProof/>
        </w:rPr>
        <w:tab/>
        <w:t>Vkladá sa tento odsek 1a:</w:t>
      </w:r>
    </w:p>
    <w:p w14:paraId="3E12B530" w14:textId="2CB2BA63" w:rsidR="008B2178" w:rsidRPr="009D4D24" w:rsidRDefault="008B2178" w:rsidP="008B2178">
      <w:pPr>
        <w:pStyle w:val="Text2"/>
        <w:rPr>
          <w:noProof/>
          <w:spacing w:val="-4"/>
        </w:rPr>
      </w:pPr>
      <w:r w:rsidRPr="009D4D24">
        <w:rPr>
          <w:noProof/>
          <w:spacing w:val="-4"/>
        </w:rPr>
        <w:t>„1a) Na účely prístupov uvedených</w:t>
      </w:r>
      <w:r w:rsidR="004F01E9" w:rsidRPr="009D4D24">
        <w:rPr>
          <w:noProof/>
          <w:spacing w:val="-4"/>
        </w:rPr>
        <w:t xml:space="preserve"> v </w:t>
      </w:r>
      <w:r w:rsidRPr="009D4D24">
        <w:rPr>
          <w:noProof/>
          <w:spacing w:val="-4"/>
        </w:rPr>
        <w:t>odseku 1 písm. b) bodoch i)</w:t>
      </w:r>
      <w:r w:rsidR="004F01E9" w:rsidRPr="009D4D24">
        <w:rPr>
          <w:noProof/>
          <w:spacing w:val="-4"/>
        </w:rPr>
        <w:t xml:space="preserve"> a </w:t>
      </w:r>
      <w:r w:rsidRPr="009D4D24">
        <w:rPr>
          <w:noProof/>
          <w:spacing w:val="-4"/>
        </w:rPr>
        <w:t>ii) inštitúcia:</w:t>
      </w:r>
    </w:p>
    <w:p w14:paraId="213C0CF0" w14:textId="60A6BB58" w:rsidR="00806B81" w:rsidRPr="004F01E9" w:rsidRDefault="008B2178" w:rsidP="008B2178">
      <w:pPr>
        <w:pStyle w:val="Point2"/>
        <w:rPr>
          <w:noProof/>
        </w:rPr>
      </w:pPr>
      <w:r w:rsidRPr="004F01E9">
        <w:rPr>
          <w:noProof/>
        </w:rPr>
        <w:t>a)</w:t>
      </w:r>
      <w:r w:rsidRPr="004F01E9">
        <w:rPr>
          <w:noProof/>
        </w:rPr>
        <w:tab/>
        <w:t>uplatňuje požiadavky na vlastné zdroje pre riziko zlyhania stanovené</w:t>
      </w:r>
      <w:r w:rsidR="004F01E9">
        <w:rPr>
          <w:noProof/>
        </w:rPr>
        <w:t xml:space="preserve"> v </w:t>
      </w:r>
      <w:r w:rsidRPr="004F01E9">
        <w:rPr>
          <w:noProof/>
        </w:rPr>
        <w:t>oddiele 5</w:t>
      </w:r>
      <w:r w:rsidR="004F01E9">
        <w:rPr>
          <w:noProof/>
        </w:rPr>
        <w:t xml:space="preserve"> a </w:t>
      </w:r>
      <w:r w:rsidRPr="004F01E9">
        <w:rPr>
          <w:noProof/>
        </w:rPr>
        <w:t>dodatočnú hodnotu reziduálneho rizika stanovenú</w:t>
      </w:r>
      <w:r w:rsidR="004F01E9">
        <w:rPr>
          <w:noProof/>
        </w:rPr>
        <w:t xml:space="preserve"> v </w:t>
      </w:r>
      <w:r w:rsidRPr="004F01E9">
        <w:rPr>
          <w:noProof/>
        </w:rPr>
        <w:t>oddiele 4 na pozíciu</w:t>
      </w:r>
      <w:r w:rsidR="004F01E9">
        <w:rPr>
          <w:noProof/>
        </w:rPr>
        <w:t xml:space="preserve"> v </w:t>
      </w:r>
      <w:r w:rsidRPr="004F01E9">
        <w:rPr>
          <w:noProof/>
        </w:rPr>
        <w:t>PKI, ak mandát takéhoto PKI umožňuje investovať do expozícií, ktoré podliehajú týmto požiadavkám na vlastné zdroje;</w:t>
      </w:r>
    </w:p>
    <w:p w14:paraId="424542E0" w14:textId="350E52A3" w:rsidR="00806B81" w:rsidRPr="009D4D24" w:rsidRDefault="008B2178" w:rsidP="008B2178">
      <w:pPr>
        <w:pStyle w:val="Point2"/>
        <w:rPr>
          <w:noProof/>
          <w:spacing w:val="-4"/>
        </w:rPr>
      </w:pPr>
      <w:r w:rsidRPr="004F01E9">
        <w:rPr>
          <w:noProof/>
        </w:rPr>
        <w:t>b)</w:t>
      </w:r>
      <w:r w:rsidRPr="004F01E9">
        <w:rPr>
          <w:noProof/>
        </w:rPr>
        <w:tab/>
      </w:r>
      <w:r w:rsidRPr="009D4D24">
        <w:rPr>
          <w:noProof/>
          <w:spacing w:val="-4"/>
        </w:rPr>
        <w:t>pre všetky pozície</w:t>
      </w:r>
      <w:r w:rsidR="004F01E9" w:rsidRPr="009D4D24">
        <w:rPr>
          <w:noProof/>
          <w:spacing w:val="-4"/>
        </w:rPr>
        <w:t xml:space="preserve"> v </w:t>
      </w:r>
      <w:r w:rsidRPr="009D4D24">
        <w:rPr>
          <w:noProof/>
          <w:spacing w:val="-4"/>
        </w:rPr>
        <w:t>tom istom PKI používa na výpočet požiadaviek na vlastné zdroje na individuálnom základe spomedzi prístupov stanovených</w:t>
      </w:r>
      <w:r w:rsidR="004F01E9" w:rsidRPr="009D4D24">
        <w:rPr>
          <w:noProof/>
          <w:spacing w:val="-4"/>
        </w:rPr>
        <w:t xml:space="preserve"> v </w:t>
      </w:r>
      <w:r w:rsidRPr="009D4D24">
        <w:rPr>
          <w:noProof/>
          <w:spacing w:val="-4"/>
        </w:rPr>
        <w:t>odseku 1 písm. b) rovnaký prístup ako</w:t>
      </w:r>
      <w:r w:rsidR="004F01E9" w:rsidRPr="009D4D24">
        <w:rPr>
          <w:noProof/>
          <w:spacing w:val="-4"/>
        </w:rPr>
        <w:t xml:space="preserve"> v </w:t>
      </w:r>
      <w:r w:rsidRPr="009D4D24">
        <w:rPr>
          <w:noProof/>
          <w:spacing w:val="-4"/>
        </w:rPr>
        <w:t>prípade samostatného portfólia.“;</w:t>
      </w:r>
    </w:p>
    <w:p w14:paraId="0D9F19B2" w14:textId="38CAC2FB" w:rsidR="00806B81" w:rsidRPr="004F01E9" w:rsidRDefault="001A1041" w:rsidP="001A1041">
      <w:pPr>
        <w:pStyle w:val="Point1"/>
        <w:rPr>
          <w:noProof/>
        </w:rPr>
      </w:pPr>
      <w:r w:rsidRPr="004F01E9">
        <w:rPr>
          <w:noProof/>
        </w:rPr>
        <w:t>c)</w:t>
      </w:r>
      <w:r w:rsidRPr="004F01E9">
        <w:rPr>
          <w:noProof/>
        </w:rPr>
        <w:tab/>
        <w:t>Odsek 4 sa nahrádza takto:</w:t>
      </w:r>
    </w:p>
    <w:p w14:paraId="4FEFCEAA" w14:textId="53B4EEED" w:rsidR="008B2178" w:rsidRPr="009D4D24" w:rsidRDefault="008B2178" w:rsidP="008B2178">
      <w:pPr>
        <w:pStyle w:val="Text2"/>
        <w:rPr>
          <w:noProof/>
          <w:spacing w:val="-4"/>
        </w:rPr>
      </w:pPr>
      <w:r w:rsidRPr="009D4D24">
        <w:rPr>
          <w:noProof/>
          <w:spacing w:val="-4"/>
        </w:rPr>
        <w:t>„4. Na účely odseku 1 písm. b) bodu ii) inštitúcia určuje výpočet požiadaviek na vlastné zdroje pre trhové riziko určením hypotetického portfólia, na ktoré by sa vzťahovali najvyššie požiadavky na vlastné zdroje</w:t>
      </w:r>
      <w:r w:rsidR="004F01E9" w:rsidRPr="009D4D24">
        <w:rPr>
          <w:noProof/>
          <w:spacing w:val="-4"/>
        </w:rPr>
        <w:t xml:space="preserve"> v </w:t>
      </w:r>
      <w:r w:rsidRPr="009D4D24">
        <w:rPr>
          <w:noProof/>
          <w:spacing w:val="-4"/>
        </w:rPr>
        <w:t>súlade</w:t>
      </w:r>
      <w:r w:rsidR="004F01E9" w:rsidRPr="009D4D24">
        <w:rPr>
          <w:noProof/>
          <w:spacing w:val="-4"/>
        </w:rPr>
        <w:t xml:space="preserve"> s </w:t>
      </w:r>
      <w:r w:rsidRPr="009D4D24">
        <w:rPr>
          <w:noProof/>
          <w:spacing w:val="-4"/>
        </w:rPr>
        <w:t>článkom 325c ods. 2 písm. a),</w:t>
      </w:r>
      <w:r w:rsidR="004F01E9" w:rsidRPr="009D4D24">
        <w:rPr>
          <w:noProof/>
          <w:spacing w:val="-4"/>
        </w:rPr>
        <w:t xml:space="preserve"> a </w:t>
      </w:r>
      <w:r w:rsidRPr="009D4D24">
        <w:rPr>
          <w:noProof/>
          <w:spacing w:val="-4"/>
        </w:rPr>
        <w:t>to na základe mandátu PKI alebo príslušných právnych predpisov, pričom</w:t>
      </w:r>
      <w:r w:rsidR="004F01E9" w:rsidRPr="009D4D24">
        <w:rPr>
          <w:noProof/>
          <w:spacing w:val="-4"/>
        </w:rPr>
        <w:t xml:space="preserve"> v </w:t>
      </w:r>
      <w:r w:rsidRPr="009D4D24">
        <w:rPr>
          <w:noProof/>
          <w:spacing w:val="-4"/>
        </w:rPr>
        <w:t>prípade potreby</w:t>
      </w:r>
      <w:r w:rsidR="004F01E9" w:rsidRPr="009D4D24">
        <w:rPr>
          <w:noProof/>
          <w:spacing w:val="-4"/>
        </w:rPr>
        <w:t xml:space="preserve"> v </w:t>
      </w:r>
      <w:r w:rsidRPr="009D4D24">
        <w:rPr>
          <w:noProof/>
          <w:spacing w:val="-4"/>
        </w:rPr>
        <w:t>maximálnej možnej miere zohľadní finančná páka.</w:t>
      </w:r>
    </w:p>
    <w:p w14:paraId="17CFE14A" w14:textId="0AF6119A" w:rsidR="00806B81" w:rsidRPr="004F01E9" w:rsidRDefault="008B2178" w:rsidP="008B2178">
      <w:pPr>
        <w:pStyle w:val="Text2"/>
        <w:rPr>
          <w:noProof/>
        </w:rPr>
      </w:pPr>
      <w:r w:rsidRPr="004F01E9">
        <w:rPr>
          <w:noProof/>
        </w:rPr>
        <w:t>Inštitúcia používa rovnaké hypotetické portfólio ako to, ktoré je uvedené</w:t>
      </w:r>
      <w:r w:rsidR="004F01E9">
        <w:rPr>
          <w:noProof/>
        </w:rPr>
        <w:t xml:space="preserve"> v </w:t>
      </w:r>
      <w:r w:rsidRPr="004F01E9">
        <w:rPr>
          <w:noProof/>
        </w:rPr>
        <w:t>prvom pododseku, na prípadný výpočet požiadaviek na vlastné zdroje pre riziko zlyhania stanovených</w:t>
      </w:r>
      <w:r w:rsidR="004F01E9">
        <w:rPr>
          <w:noProof/>
        </w:rPr>
        <w:t xml:space="preserve"> v </w:t>
      </w:r>
      <w:r w:rsidRPr="004F01E9">
        <w:rPr>
          <w:noProof/>
        </w:rPr>
        <w:t>oddiele 5</w:t>
      </w:r>
      <w:r w:rsidR="004F01E9">
        <w:rPr>
          <w:noProof/>
        </w:rPr>
        <w:t xml:space="preserve"> a </w:t>
      </w:r>
      <w:r w:rsidRPr="004F01E9">
        <w:rPr>
          <w:noProof/>
        </w:rPr>
        <w:t>dodatočnej hodnoty reziduálneho rizika stanovenej</w:t>
      </w:r>
      <w:r w:rsidR="004F01E9">
        <w:rPr>
          <w:noProof/>
        </w:rPr>
        <w:t xml:space="preserve"> v </w:t>
      </w:r>
      <w:r w:rsidRPr="004F01E9">
        <w:rPr>
          <w:noProof/>
        </w:rPr>
        <w:t>oddiele 4 pre pozíciu</w:t>
      </w:r>
      <w:r w:rsidR="004F01E9">
        <w:rPr>
          <w:noProof/>
        </w:rPr>
        <w:t xml:space="preserve"> v </w:t>
      </w:r>
      <w:r w:rsidRPr="004F01E9">
        <w:rPr>
          <w:noProof/>
        </w:rPr>
        <w:t>PKI.</w:t>
      </w:r>
    </w:p>
    <w:p w14:paraId="298CBB13" w14:textId="5F98E2E7" w:rsidR="008B2178" w:rsidRPr="004F01E9" w:rsidRDefault="008B2178" w:rsidP="008B2178">
      <w:pPr>
        <w:pStyle w:val="Text2"/>
        <w:rPr>
          <w:noProof/>
        </w:rPr>
      </w:pPr>
      <w:r w:rsidRPr="004F01E9">
        <w:rPr>
          <w:noProof/>
        </w:rPr>
        <w:t>Metodiku, ktorú inštitúcia vypracúva na určenie hypotetických portfólií všetkých pozícií</w:t>
      </w:r>
      <w:r w:rsidR="004F01E9">
        <w:rPr>
          <w:noProof/>
        </w:rPr>
        <w:t xml:space="preserve"> v </w:t>
      </w:r>
      <w:r w:rsidRPr="004F01E9">
        <w:rPr>
          <w:noProof/>
        </w:rPr>
        <w:t>PKI, pre ktoré sa používajú výpočty uvedené</w:t>
      </w:r>
      <w:r w:rsidR="004F01E9">
        <w:rPr>
          <w:noProof/>
        </w:rPr>
        <w:t xml:space="preserve"> v </w:t>
      </w:r>
      <w:r w:rsidRPr="004F01E9">
        <w:rPr>
          <w:noProof/>
        </w:rPr>
        <w:t>prvom pododseku, schvaľuje jej príslušný orgán.“;</w:t>
      </w:r>
    </w:p>
    <w:p w14:paraId="06701CC0" w14:textId="3A8C2EBC" w:rsidR="00806B81" w:rsidRPr="004F01E9" w:rsidRDefault="001A1041" w:rsidP="001A1041">
      <w:pPr>
        <w:pStyle w:val="Point1"/>
        <w:rPr>
          <w:noProof/>
        </w:rPr>
      </w:pPr>
      <w:r w:rsidRPr="004F01E9">
        <w:rPr>
          <w:noProof/>
        </w:rPr>
        <w:t>d)</w:t>
      </w:r>
      <w:r w:rsidRPr="004F01E9">
        <w:rPr>
          <w:noProof/>
        </w:rPr>
        <w:tab/>
        <w:t>Dopĺňajú sa tieto odseky 6</w:t>
      </w:r>
      <w:r w:rsidR="004F01E9">
        <w:rPr>
          <w:noProof/>
        </w:rPr>
        <w:t xml:space="preserve"> a </w:t>
      </w:r>
      <w:r w:rsidRPr="004F01E9">
        <w:rPr>
          <w:noProof/>
        </w:rPr>
        <w:t>7:</w:t>
      </w:r>
    </w:p>
    <w:p w14:paraId="25D08357" w14:textId="6E2849B2" w:rsidR="00806B81" w:rsidRPr="009D4D24" w:rsidRDefault="008B2178" w:rsidP="008B2178">
      <w:pPr>
        <w:pStyle w:val="Text2"/>
        <w:rPr>
          <w:noProof/>
          <w:spacing w:val="-4"/>
        </w:rPr>
      </w:pPr>
      <w:r w:rsidRPr="009D4D24">
        <w:rPr>
          <w:noProof/>
          <w:spacing w:val="-4"/>
        </w:rPr>
        <w:t>„6. Inštitúcie, ktoré nemajú primerané údaje alebo informácie na výpočet požiadaviek na vlastné zdroje pre trhové riziko pozície PKI</w:t>
      </w:r>
      <w:r w:rsidR="004F01E9" w:rsidRPr="009D4D24">
        <w:rPr>
          <w:noProof/>
          <w:spacing w:val="-4"/>
        </w:rPr>
        <w:t xml:space="preserve"> v </w:t>
      </w:r>
      <w:r w:rsidRPr="009D4D24">
        <w:rPr>
          <w:noProof/>
          <w:spacing w:val="-4"/>
        </w:rPr>
        <w:t>súlade</w:t>
      </w:r>
      <w:r w:rsidR="004F01E9" w:rsidRPr="009D4D24">
        <w:rPr>
          <w:noProof/>
          <w:spacing w:val="-4"/>
        </w:rPr>
        <w:t xml:space="preserve"> s </w:t>
      </w:r>
      <w:r w:rsidRPr="009D4D24">
        <w:rPr>
          <w:noProof/>
          <w:spacing w:val="-4"/>
        </w:rPr>
        <w:t>prístupom stanoveným</w:t>
      </w:r>
      <w:r w:rsidR="004F01E9" w:rsidRPr="009D4D24">
        <w:rPr>
          <w:noProof/>
          <w:spacing w:val="-4"/>
        </w:rPr>
        <w:t xml:space="preserve"> v </w:t>
      </w:r>
      <w:r w:rsidRPr="009D4D24">
        <w:rPr>
          <w:noProof/>
          <w:spacing w:val="-4"/>
        </w:rPr>
        <w:t>odseku 1 písm. a), sa môžu pri vykonávaní takéhoto výpočtu spoliehať na tretiu stranu za predpokladu, že sú splnené všetky tieto podmienky:</w:t>
      </w:r>
    </w:p>
    <w:p w14:paraId="76D23FEF" w14:textId="629FEC3A" w:rsidR="00806B81" w:rsidRPr="004F01E9" w:rsidRDefault="008B2178" w:rsidP="008B2178">
      <w:pPr>
        <w:pStyle w:val="Point2"/>
        <w:rPr>
          <w:noProof/>
        </w:rPr>
      </w:pPr>
      <w:r w:rsidRPr="004F01E9">
        <w:rPr>
          <w:noProof/>
        </w:rPr>
        <w:t>a)</w:t>
      </w:r>
      <w:r w:rsidRPr="004F01E9">
        <w:rPr>
          <w:noProof/>
        </w:rPr>
        <w:tab/>
        <w:t>tretia strana je jedným</w:t>
      </w:r>
      <w:r w:rsidR="004F01E9">
        <w:rPr>
          <w:noProof/>
        </w:rPr>
        <w:t xml:space="preserve"> z </w:t>
      </w:r>
      <w:r w:rsidRPr="004F01E9">
        <w:rPr>
          <w:noProof/>
        </w:rPr>
        <w:t>týchto subjektov:</w:t>
      </w:r>
    </w:p>
    <w:p w14:paraId="10616202" w14:textId="58C3924C" w:rsidR="008B2178" w:rsidRPr="004F01E9" w:rsidRDefault="008B2178" w:rsidP="008B2178">
      <w:pPr>
        <w:pStyle w:val="Point3"/>
        <w:rPr>
          <w:noProof/>
        </w:rPr>
      </w:pPr>
      <w:r w:rsidRPr="004F01E9">
        <w:rPr>
          <w:noProof/>
        </w:rPr>
        <w:t>i)</w:t>
      </w:r>
      <w:r w:rsidRPr="004F01E9">
        <w:rPr>
          <w:noProof/>
        </w:rPr>
        <w:tab/>
        <w:t>depozitnou inštitúciou alebo depozitnou finančnou inštitúciou PKI za predpokladu, že PKI investuje výlučne do cenných papierov</w:t>
      </w:r>
      <w:r w:rsidR="004F01E9">
        <w:rPr>
          <w:noProof/>
        </w:rPr>
        <w:t xml:space="preserve"> a </w:t>
      </w:r>
      <w:r w:rsidRPr="004F01E9">
        <w:rPr>
          <w:noProof/>
        </w:rPr>
        <w:t>všetky cenné papiere má uložené</w:t>
      </w:r>
      <w:r w:rsidR="004F01E9">
        <w:rPr>
          <w:noProof/>
        </w:rPr>
        <w:t xml:space="preserve"> v </w:t>
      </w:r>
      <w:r w:rsidRPr="004F01E9">
        <w:rPr>
          <w:noProof/>
        </w:rPr>
        <w:t>tejto depozitnej inštitúcii alebo depozitnej finančnej inštitúcii;</w:t>
      </w:r>
    </w:p>
    <w:p w14:paraId="35138CD1" w14:textId="3F2AB410" w:rsidR="00806B81" w:rsidRPr="004F01E9" w:rsidRDefault="008B2178" w:rsidP="008B2178">
      <w:pPr>
        <w:pStyle w:val="Point3"/>
        <w:rPr>
          <w:noProof/>
        </w:rPr>
      </w:pPr>
      <w:r w:rsidRPr="004F01E9">
        <w:rPr>
          <w:noProof/>
        </w:rPr>
        <w:t>ii)</w:t>
      </w:r>
      <w:r w:rsidRPr="004F01E9">
        <w:rPr>
          <w:noProof/>
        </w:rPr>
        <w:tab/>
        <w:t>v prípade PKI na ktoré sa nevzťahuje písmeno i) správcovská spoločnosť PKI, za predpokladu, že správcovská spoločnosť PKI spĺňa kritériá stanovené</w:t>
      </w:r>
      <w:r w:rsidR="004F01E9">
        <w:rPr>
          <w:noProof/>
        </w:rPr>
        <w:t xml:space="preserve"> v </w:t>
      </w:r>
      <w:r w:rsidRPr="004F01E9">
        <w:rPr>
          <w:noProof/>
        </w:rPr>
        <w:t>článku 132 ods. 3 písm. a);</w:t>
      </w:r>
    </w:p>
    <w:p w14:paraId="299037E3" w14:textId="3C775CEC" w:rsidR="00806B81" w:rsidRPr="004F01E9" w:rsidRDefault="008B2178" w:rsidP="008B2178">
      <w:pPr>
        <w:pStyle w:val="Point2"/>
        <w:rPr>
          <w:noProof/>
        </w:rPr>
      </w:pPr>
      <w:r w:rsidRPr="004F01E9">
        <w:rPr>
          <w:noProof/>
        </w:rPr>
        <w:t>b)</w:t>
      </w:r>
      <w:r w:rsidRPr="004F01E9">
        <w:rPr>
          <w:noProof/>
        </w:rPr>
        <w:tab/>
        <w:t>tretia strana poskytuje inštitúcii primerané údaje alebo informácie chýbajúce na výpočet požiadavky na vlastné zdroje pre trhové riziko pozície PKI</w:t>
      </w:r>
      <w:r w:rsidR="004F01E9">
        <w:rPr>
          <w:noProof/>
        </w:rPr>
        <w:t xml:space="preserve"> v </w:t>
      </w:r>
      <w:r w:rsidRPr="004F01E9">
        <w:rPr>
          <w:noProof/>
        </w:rPr>
        <w:t>súlade</w:t>
      </w:r>
      <w:r w:rsidR="004F01E9">
        <w:rPr>
          <w:noProof/>
        </w:rPr>
        <w:t xml:space="preserve"> s </w:t>
      </w:r>
      <w:r w:rsidRPr="004F01E9">
        <w:rPr>
          <w:noProof/>
        </w:rPr>
        <w:t>prístupom uvedeným</w:t>
      </w:r>
      <w:r w:rsidR="004F01E9">
        <w:rPr>
          <w:noProof/>
        </w:rPr>
        <w:t xml:space="preserve"> v </w:t>
      </w:r>
      <w:r w:rsidRPr="004F01E9">
        <w:rPr>
          <w:noProof/>
        </w:rPr>
        <w:t>odseku 1 písm. a);</w:t>
      </w:r>
    </w:p>
    <w:p w14:paraId="750AC14B" w14:textId="43DB381C" w:rsidR="008B2178" w:rsidRPr="004F01E9" w:rsidRDefault="008B2178" w:rsidP="008B2178">
      <w:pPr>
        <w:pStyle w:val="Point2"/>
        <w:rPr>
          <w:noProof/>
        </w:rPr>
      </w:pPr>
      <w:r w:rsidRPr="004F01E9">
        <w:rPr>
          <w:noProof/>
        </w:rPr>
        <w:t>c)</w:t>
      </w:r>
      <w:r w:rsidRPr="004F01E9">
        <w:rPr>
          <w:noProof/>
        </w:rPr>
        <w:tab/>
        <w:t>externý audítor inštitúcie potvrdil primeranosť údajov alebo informácií tretej strany uvedených</w:t>
      </w:r>
      <w:r w:rsidR="004F01E9">
        <w:rPr>
          <w:noProof/>
        </w:rPr>
        <w:t xml:space="preserve"> v </w:t>
      </w:r>
      <w:r w:rsidRPr="004F01E9">
        <w:rPr>
          <w:noProof/>
        </w:rPr>
        <w:t>písmene b)</w:t>
      </w:r>
      <w:r w:rsidR="004F01E9">
        <w:rPr>
          <w:noProof/>
        </w:rPr>
        <w:t xml:space="preserve"> a </w:t>
      </w:r>
      <w:r w:rsidRPr="004F01E9">
        <w:rPr>
          <w:noProof/>
        </w:rPr>
        <w:t>príslušný orgán inštitúcie má na požiadanie</w:t>
      </w:r>
      <w:r w:rsidR="004F01E9">
        <w:rPr>
          <w:noProof/>
        </w:rPr>
        <w:t xml:space="preserve"> k </w:t>
      </w:r>
      <w:r w:rsidRPr="004F01E9">
        <w:rPr>
          <w:noProof/>
        </w:rPr>
        <w:t>týmto údajom</w:t>
      </w:r>
      <w:r w:rsidR="004F01E9">
        <w:rPr>
          <w:noProof/>
        </w:rPr>
        <w:t xml:space="preserve"> a </w:t>
      </w:r>
      <w:r w:rsidRPr="004F01E9">
        <w:rPr>
          <w:noProof/>
        </w:rPr>
        <w:t>informáciám neobmedzený prístup.</w:t>
      </w:r>
    </w:p>
    <w:p w14:paraId="38A64924" w14:textId="250654EA" w:rsidR="008B2178" w:rsidRPr="004F01E9" w:rsidRDefault="008B2178" w:rsidP="008B2178">
      <w:pPr>
        <w:pStyle w:val="Text2"/>
        <w:rPr>
          <w:noProof/>
        </w:rPr>
      </w:pPr>
      <w:r w:rsidRPr="004F01E9">
        <w:rPr>
          <w:noProof/>
        </w:rPr>
        <w:t>7. EBA vypracuje návrh regulačných technických predpisov</w:t>
      </w:r>
      <w:r w:rsidR="004F01E9">
        <w:rPr>
          <w:noProof/>
        </w:rPr>
        <w:t xml:space="preserve"> s </w:t>
      </w:r>
      <w:r w:rsidRPr="004F01E9">
        <w:rPr>
          <w:noProof/>
        </w:rPr>
        <w:t>cieľom presne stanoviť technické prvky metodiky na určenie hypotetických portfólií na účely prístupu stanoveného</w:t>
      </w:r>
      <w:r w:rsidR="004F01E9">
        <w:rPr>
          <w:noProof/>
        </w:rPr>
        <w:t xml:space="preserve"> v </w:t>
      </w:r>
      <w:r w:rsidRPr="004F01E9">
        <w:rPr>
          <w:noProof/>
        </w:rPr>
        <w:t>odseku 4 vrátane spôsobu, akým inštitúcie</w:t>
      </w:r>
      <w:r w:rsidR="004F01E9">
        <w:rPr>
          <w:noProof/>
        </w:rPr>
        <w:t xml:space="preserve"> v </w:t>
      </w:r>
      <w:r w:rsidRPr="004F01E9">
        <w:rPr>
          <w:noProof/>
        </w:rPr>
        <w:t>prípade potreby</w:t>
      </w:r>
      <w:r w:rsidR="004F01E9">
        <w:rPr>
          <w:noProof/>
        </w:rPr>
        <w:t xml:space="preserve"> v </w:t>
      </w:r>
      <w:r w:rsidRPr="004F01E9">
        <w:rPr>
          <w:noProof/>
        </w:rPr>
        <w:t>maximálnej možnej miere zohľadňujú</w:t>
      </w:r>
      <w:r w:rsidR="004F01E9">
        <w:rPr>
          <w:noProof/>
        </w:rPr>
        <w:t xml:space="preserve"> v </w:t>
      </w:r>
      <w:r w:rsidRPr="004F01E9">
        <w:rPr>
          <w:noProof/>
        </w:rPr>
        <w:t>metodike finančnú páku.</w:t>
      </w:r>
    </w:p>
    <w:p w14:paraId="484D2C7B" w14:textId="77777777" w:rsidR="00806B81" w:rsidRPr="009D4D24" w:rsidRDefault="008B2178" w:rsidP="008B2178">
      <w:pPr>
        <w:pStyle w:val="Text2"/>
        <w:rPr>
          <w:noProof/>
          <w:spacing w:val="-10"/>
        </w:rPr>
      </w:pPr>
      <w:r w:rsidRPr="009D4D24">
        <w:rPr>
          <w:noProof/>
          <w:spacing w:val="-10"/>
        </w:rPr>
        <w:t>EBA predloží Komisii uvedený návrh regulačných technických predpisov do [</w:t>
      </w:r>
      <w:r w:rsidRPr="009D4D24">
        <w:rPr>
          <w:noProof/>
          <w:color w:val="000000"/>
          <w:spacing w:val="-10"/>
        </w:rPr>
        <w:t>Úrad pre publikácie, vložte dátum =</w:t>
      </w:r>
      <w:r w:rsidRPr="009D4D24">
        <w:rPr>
          <w:noProof/>
          <w:spacing w:val="-10"/>
        </w:rPr>
        <w:t xml:space="preserve"> 12 mesiacov po nadobudnutí účinnosti tohto nariadenia].</w:t>
      </w:r>
    </w:p>
    <w:p w14:paraId="5A7BEB6C" w14:textId="3A3F0A12" w:rsidR="008B2178" w:rsidRPr="004F01E9" w:rsidRDefault="008B2178" w:rsidP="008B2178">
      <w:pPr>
        <w:pStyle w:val="Text2"/>
        <w:rPr>
          <w:noProof/>
        </w:rPr>
      </w:pPr>
      <w:r w:rsidRPr="004F01E9">
        <w:rPr>
          <w:noProof/>
        </w:rPr>
        <w:t>Na Komisiu sa deleguje právomoc doplniť toto nariadenie prijatím regulačných technických predpisov uvedených</w:t>
      </w:r>
      <w:r w:rsidR="004F01E9">
        <w:rPr>
          <w:noProof/>
        </w:rPr>
        <w:t xml:space="preserve"> v </w:t>
      </w:r>
      <w:r w:rsidRPr="004F01E9">
        <w:rPr>
          <w:noProof/>
        </w:rPr>
        <w:t>prvom pododseku</w:t>
      </w:r>
      <w:r w:rsidR="004F01E9">
        <w:rPr>
          <w:noProof/>
        </w:rPr>
        <w:t xml:space="preserve"> v </w:t>
      </w:r>
      <w:r w:rsidRPr="004F01E9">
        <w:rPr>
          <w:noProof/>
        </w:rPr>
        <w:t>súlade</w:t>
      </w:r>
      <w:r w:rsidR="004F01E9">
        <w:rPr>
          <w:noProof/>
        </w:rPr>
        <w:t xml:space="preserve"> s </w:t>
      </w:r>
      <w:r w:rsidRPr="004F01E9">
        <w:rPr>
          <w:noProof/>
        </w:rPr>
        <w:t xml:space="preserve">článkami 10 až 14 nariadenia (EÚ) </w:t>
      </w:r>
      <w:r w:rsidR="004F01E9">
        <w:rPr>
          <w:noProof/>
        </w:rPr>
        <w:t>č. </w:t>
      </w:r>
      <w:r w:rsidRPr="004F01E9">
        <w:rPr>
          <w:noProof/>
        </w:rPr>
        <w:t>1093/2010.“</w:t>
      </w:r>
    </w:p>
    <w:p w14:paraId="5F037901" w14:textId="7F0F3718" w:rsidR="008B2178" w:rsidRPr="004F01E9" w:rsidRDefault="00B16452" w:rsidP="00B16452">
      <w:pPr>
        <w:pStyle w:val="Point0"/>
        <w:rPr>
          <w:noProof/>
        </w:rPr>
      </w:pPr>
      <w:r w:rsidRPr="00B16452">
        <w:rPr>
          <w:noProof/>
        </w:rPr>
        <w:t>137</w:t>
      </w:r>
      <w:r>
        <w:rPr>
          <w:noProof/>
        </w:rPr>
        <w:t>.</w:t>
      </w:r>
      <w:r w:rsidRPr="00B16452">
        <w:rPr>
          <w:noProof/>
        </w:rPr>
        <w:tab/>
      </w:r>
      <w:r w:rsidR="008B2178" w:rsidRPr="004F01E9">
        <w:rPr>
          <w:noProof/>
        </w:rPr>
        <w:t>V článku 325q sa odsek 2 nahrádza takto:</w:t>
      </w:r>
    </w:p>
    <w:p w14:paraId="23461559" w14:textId="5F721947" w:rsidR="008B2178" w:rsidRPr="009D4D24" w:rsidRDefault="008B2178" w:rsidP="008B2178">
      <w:pPr>
        <w:pStyle w:val="Text1"/>
        <w:rPr>
          <w:noProof/>
          <w:spacing w:val="-4"/>
        </w:rPr>
      </w:pPr>
      <w:r w:rsidRPr="009D4D24">
        <w:rPr>
          <w:noProof/>
          <w:spacing w:val="-4"/>
        </w:rPr>
        <w:t>„2. Faktormi devízového rizika vega, ktoré majú inštitúcie uplatňovať na opcie</w:t>
      </w:r>
      <w:r w:rsidR="004F01E9" w:rsidRPr="009D4D24">
        <w:rPr>
          <w:noProof/>
          <w:spacing w:val="-4"/>
        </w:rPr>
        <w:t xml:space="preserve"> s </w:t>
      </w:r>
      <w:r w:rsidRPr="009D4D24">
        <w:rPr>
          <w:noProof/>
          <w:spacing w:val="-4"/>
        </w:rPr>
        <w:t>podkladovými aktívami, ktoré sú citlivé na devízy, sú implikované volatility výmenných kurzov medzi menovými pármi. Uvedené implikované volatility musia byť zaradené do nasledujúcich splatností</w:t>
      </w:r>
      <w:r w:rsidR="004F01E9" w:rsidRPr="009D4D24">
        <w:rPr>
          <w:noProof/>
          <w:spacing w:val="-4"/>
        </w:rPr>
        <w:t xml:space="preserve"> v </w:t>
      </w:r>
      <w:r w:rsidRPr="009D4D24">
        <w:rPr>
          <w:noProof/>
          <w:spacing w:val="-4"/>
        </w:rPr>
        <w:t>súlade so splatnosťami príslušných opcií, ktoré podliehajú požiadavkám na vlastné zdroje: 0,5 roka, 1 rok, 3 roky, 5 rokov</w:t>
      </w:r>
      <w:r w:rsidR="004F01E9" w:rsidRPr="009D4D24">
        <w:rPr>
          <w:noProof/>
          <w:spacing w:val="-4"/>
        </w:rPr>
        <w:t xml:space="preserve"> a </w:t>
      </w:r>
      <w:r w:rsidRPr="009D4D24">
        <w:rPr>
          <w:noProof/>
          <w:spacing w:val="-4"/>
        </w:rPr>
        <w:t>10 rokov.“</w:t>
      </w:r>
    </w:p>
    <w:p w14:paraId="52ADC615" w14:textId="32BF4294" w:rsidR="008B2178" w:rsidRPr="004F01E9" w:rsidRDefault="00B16452" w:rsidP="00B16452">
      <w:pPr>
        <w:pStyle w:val="Point0"/>
        <w:rPr>
          <w:noProof/>
        </w:rPr>
      </w:pPr>
      <w:r w:rsidRPr="00B16452">
        <w:rPr>
          <w:noProof/>
        </w:rPr>
        <w:t>138</w:t>
      </w:r>
      <w:r>
        <w:rPr>
          <w:noProof/>
        </w:rPr>
        <w:t>.</w:t>
      </w:r>
      <w:r w:rsidRPr="00B16452">
        <w:rPr>
          <w:noProof/>
        </w:rPr>
        <w:tab/>
      </w:r>
      <w:r w:rsidR="008B2178" w:rsidRPr="004F01E9">
        <w:rPr>
          <w:noProof/>
        </w:rPr>
        <w:t xml:space="preserve">V článku 325s ods. 1 sa vzorec pre </w:t>
      </w:r>
      <m:oMath>
        <m:sSub>
          <m:sSubPr>
            <m:ctrlPr>
              <w:rPr>
                <w:rFonts w:ascii="Cambria Math" w:hAnsi="Cambria Math"/>
                <w:noProof/>
                <w:szCs w:val="24"/>
                <w:lang w:eastAsia="en-GB"/>
              </w:rPr>
            </m:ctrlPr>
          </m:sSubPr>
          <m:e>
            <m:r>
              <w:rPr>
                <w:rFonts w:ascii="Cambria Math" w:hAnsi="Cambria Math"/>
                <w:noProof/>
                <w:szCs w:val="24"/>
                <w:lang w:eastAsia="en-GB"/>
              </w:rPr>
              <m:t>s</m:t>
            </m:r>
          </m:e>
          <m:sub>
            <m:r>
              <w:rPr>
                <w:rFonts w:ascii="Cambria Math" w:hAnsi="Cambria Math"/>
                <w:noProof/>
                <w:szCs w:val="24"/>
                <w:lang w:eastAsia="en-GB"/>
              </w:rPr>
              <m:t>k</m:t>
            </m:r>
          </m:sub>
        </m:sSub>
      </m:oMath>
      <w:r w:rsidR="008B2178" w:rsidRPr="004F01E9">
        <w:rPr>
          <w:noProof/>
        </w:rPr>
        <w:t xml:space="preserve"> nahrádza takto:</w:t>
      </w:r>
    </w:p>
    <w:p w14:paraId="6F94E9CB" w14:textId="09B2059A" w:rsidR="008B2178" w:rsidRPr="004F01E9" w:rsidRDefault="00116101" w:rsidP="00116101">
      <w:pPr>
        <w:pStyle w:val="Text1"/>
        <w:rPr>
          <w:noProof/>
        </w:rPr>
      </w:pPr>
      <w:r w:rsidRPr="004F01E9">
        <w:rPr>
          <w:noProof/>
        </w:rPr>
        <w:t xml:space="preserve">„ </w:t>
      </w:r>
      <m:oMath>
        <m:sSub>
          <m:sSubPr>
            <m:ctrlPr>
              <w:rPr>
                <w:rFonts w:ascii="Cambria Math" w:hAnsi="Cambria Math"/>
                <w:noProof/>
                <w:szCs w:val="24"/>
              </w:rPr>
            </m:ctrlPr>
          </m:sSubPr>
          <m:e>
            <m:r>
              <w:rPr>
                <w:rFonts w:ascii="Cambria Math" w:hAnsi="Cambria Math"/>
                <w:noProof/>
                <w:szCs w:val="24"/>
              </w:rPr>
              <m:t>s</m:t>
            </m:r>
          </m:e>
          <m:sub>
            <m:r>
              <w:rPr>
                <w:rFonts w:ascii="Cambria Math" w:hAnsi="Cambria Math"/>
                <w:noProof/>
                <w:szCs w:val="24"/>
              </w:rPr>
              <m:t>k</m:t>
            </m:r>
          </m:sub>
        </m:sSub>
        <m:r>
          <m:rPr>
            <m:sty m:val="p"/>
          </m:rPr>
          <w:rPr>
            <w:rFonts w:ascii="Cambria Math" w:hAnsi="Cambria Math"/>
            <w:noProof/>
            <w:szCs w:val="24"/>
          </w:rPr>
          <m:t>=</m:t>
        </m:r>
        <m:f>
          <m:fPr>
            <m:ctrlPr>
              <w:rPr>
                <w:rFonts w:ascii="Cambria Math" w:hAnsi="Cambria Math"/>
                <w:noProof/>
                <w:szCs w:val="24"/>
              </w:rPr>
            </m:ctrlPr>
          </m:fPr>
          <m:num>
            <m:sSub>
              <m:sSubPr>
                <m:ctrlPr>
                  <w:rPr>
                    <w:rFonts w:ascii="Cambria Math" w:hAnsi="Cambria Math"/>
                    <w:noProof/>
                    <w:szCs w:val="24"/>
                  </w:rPr>
                </m:ctrlPr>
              </m:sSubPr>
              <m:e>
                <m:r>
                  <w:rPr>
                    <w:rFonts w:ascii="Cambria Math" w:hAnsi="Cambria Math"/>
                    <w:noProof/>
                    <w:szCs w:val="24"/>
                  </w:rPr>
                  <m:t>V</m:t>
                </m:r>
              </m:e>
              <m:sub>
                <m:r>
                  <w:rPr>
                    <w:rFonts w:ascii="Cambria Math" w:hAnsi="Cambria Math"/>
                    <w:noProof/>
                    <w:szCs w:val="24"/>
                  </w:rPr>
                  <m:t>i</m:t>
                </m:r>
              </m:sub>
            </m:sSub>
            <m:d>
              <m:dPr>
                <m:ctrlPr>
                  <w:rPr>
                    <w:rFonts w:ascii="Cambria Math" w:hAnsi="Cambria Math"/>
                    <w:noProof/>
                    <w:szCs w:val="24"/>
                  </w:rPr>
                </m:ctrlPr>
              </m:dPr>
              <m:e>
                <m:r>
                  <m:rPr>
                    <m:sty m:val="p"/>
                  </m:rPr>
                  <w:rPr>
                    <w:rFonts w:ascii="Cambria Math" w:hAnsi="Cambria Math"/>
                    <w:noProof/>
                    <w:szCs w:val="24"/>
                  </w:rPr>
                  <m:t>0,01+</m:t>
                </m:r>
                <m:sSub>
                  <m:sSubPr>
                    <m:ctrlPr>
                      <w:rPr>
                        <w:rFonts w:ascii="Cambria Math" w:hAnsi="Cambria Math"/>
                        <w:noProof/>
                        <w:szCs w:val="24"/>
                      </w:rPr>
                    </m:ctrlPr>
                  </m:sSubPr>
                  <m:e>
                    <m:r>
                      <w:rPr>
                        <w:rFonts w:ascii="Cambria Math" w:hAnsi="Cambria Math"/>
                        <w:noProof/>
                        <w:szCs w:val="24"/>
                      </w:rPr>
                      <m:t>vol</m:t>
                    </m:r>
                  </m:e>
                  <m:sub>
                    <m:r>
                      <w:rPr>
                        <w:rFonts w:ascii="Cambria Math" w:hAnsi="Cambria Math"/>
                        <w:noProof/>
                        <w:szCs w:val="24"/>
                      </w:rPr>
                      <m:t>k</m:t>
                    </m:r>
                  </m:sub>
                </m:sSub>
                <m:r>
                  <m:rPr>
                    <m:sty m:val="p"/>
                  </m:rPr>
                  <w:rPr>
                    <w:rFonts w:ascii="Cambria Math" w:hAnsi="Cambria Math"/>
                    <w:noProof/>
                    <w:szCs w:val="24"/>
                  </w:rPr>
                  <m:t>,</m:t>
                </m:r>
                <m:r>
                  <w:rPr>
                    <w:rFonts w:ascii="Cambria Math" w:hAnsi="Cambria Math"/>
                    <w:noProof/>
                    <w:szCs w:val="24"/>
                  </w:rPr>
                  <m:t>x</m:t>
                </m:r>
                <m:r>
                  <m:rPr>
                    <m:sty m:val="p"/>
                  </m:rPr>
                  <w:rPr>
                    <w:rFonts w:ascii="Cambria Math" w:hAnsi="Cambria Math"/>
                    <w:noProof/>
                    <w:szCs w:val="24"/>
                  </w:rPr>
                  <m:t>,</m:t>
                </m:r>
                <m:r>
                  <w:rPr>
                    <w:rFonts w:ascii="Cambria Math" w:hAnsi="Cambria Math"/>
                    <w:noProof/>
                    <w:szCs w:val="24"/>
                  </w:rPr>
                  <m:t>y</m:t>
                </m:r>
              </m:e>
            </m:d>
            <m:r>
              <m:rPr>
                <m:sty m:val="p"/>
              </m:rPr>
              <w:rPr>
                <w:rFonts w:ascii="Cambria Math" w:hAnsi="Cambria Math"/>
                <w:noProof/>
                <w:szCs w:val="24"/>
              </w:rPr>
              <m:t>-</m:t>
            </m:r>
            <m:sSub>
              <m:sSubPr>
                <m:ctrlPr>
                  <w:rPr>
                    <w:rFonts w:ascii="Cambria Math" w:hAnsi="Cambria Math"/>
                    <w:noProof/>
                    <w:szCs w:val="24"/>
                  </w:rPr>
                </m:ctrlPr>
              </m:sSubPr>
              <m:e>
                <m:r>
                  <w:rPr>
                    <w:rFonts w:ascii="Cambria Math" w:hAnsi="Cambria Math"/>
                    <w:noProof/>
                    <w:szCs w:val="24"/>
                  </w:rPr>
                  <m:t>V</m:t>
                </m:r>
              </m:e>
              <m:sub>
                <m:r>
                  <w:rPr>
                    <w:rFonts w:ascii="Cambria Math" w:hAnsi="Cambria Math"/>
                    <w:noProof/>
                    <w:szCs w:val="24"/>
                  </w:rPr>
                  <m:t>i</m:t>
                </m:r>
              </m:sub>
            </m:sSub>
            <m:d>
              <m:dPr>
                <m:ctrlPr>
                  <w:rPr>
                    <w:rFonts w:ascii="Cambria Math" w:hAnsi="Cambria Math"/>
                    <w:noProof/>
                    <w:szCs w:val="24"/>
                  </w:rPr>
                </m:ctrlPr>
              </m:dPr>
              <m:e>
                <m:sSub>
                  <m:sSubPr>
                    <m:ctrlPr>
                      <w:rPr>
                        <w:rFonts w:ascii="Cambria Math" w:hAnsi="Cambria Math"/>
                        <w:noProof/>
                        <w:szCs w:val="24"/>
                      </w:rPr>
                    </m:ctrlPr>
                  </m:sSubPr>
                  <m:e>
                    <m:r>
                      <w:rPr>
                        <w:rFonts w:ascii="Cambria Math" w:hAnsi="Cambria Math"/>
                        <w:noProof/>
                        <w:szCs w:val="24"/>
                      </w:rPr>
                      <m:t>vol</m:t>
                    </m:r>
                  </m:e>
                  <m:sub>
                    <m:r>
                      <w:rPr>
                        <w:rFonts w:ascii="Cambria Math" w:hAnsi="Cambria Math"/>
                        <w:noProof/>
                        <w:szCs w:val="24"/>
                      </w:rPr>
                      <m:t>k</m:t>
                    </m:r>
                  </m:sub>
                </m:sSub>
                <m:r>
                  <m:rPr>
                    <m:sty m:val="p"/>
                  </m:rPr>
                  <w:rPr>
                    <w:rFonts w:ascii="Cambria Math" w:hAnsi="Cambria Math"/>
                    <w:noProof/>
                    <w:szCs w:val="24"/>
                  </w:rPr>
                  <m:t>,</m:t>
                </m:r>
                <m:r>
                  <w:rPr>
                    <w:rFonts w:ascii="Cambria Math" w:hAnsi="Cambria Math"/>
                    <w:noProof/>
                    <w:szCs w:val="24"/>
                  </w:rPr>
                  <m:t>x</m:t>
                </m:r>
                <m:r>
                  <m:rPr>
                    <m:sty m:val="p"/>
                  </m:rPr>
                  <w:rPr>
                    <w:rFonts w:ascii="Cambria Math" w:hAnsi="Cambria Math"/>
                    <w:noProof/>
                    <w:szCs w:val="24"/>
                  </w:rPr>
                  <m:t>,</m:t>
                </m:r>
                <m:r>
                  <w:rPr>
                    <w:rFonts w:ascii="Cambria Math" w:hAnsi="Cambria Math"/>
                    <w:noProof/>
                    <w:szCs w:val="24"/>
                  </w:rPr>
                  <m:t>y</m:t>
                </m:r>
              </m:e>
            </m:d>
          </m:num>
          <m:den>
            <m:r>
              <m:rPr>
                <m:sty m:val="p"/>
              </m:rPr>
              <w:rPr>
                <w:rFonts w:ascii="Cambria Math" w:hAnsi="Cambria Math"/>
                <w:noProof/>
                <w:szCs w:val="24"/>
              </w:rPr>
              <m:t>0,01</m:t>
            </m:r>
          </m:den>
        </m:f>
        <m:r>
          <m:rPr>
            <m:sty m:val="p"/>
          </m:rPr>
          <w:rPr>
            <w:rFonts w:ascii="Cambria Math" w:hAnsi="Cambria Math"/>
            <w:noProof/>
            <w:szCs w:val="24"/>
          </w:rPr>
          <m:t>∙</m:t>
        </m:r>
        <m:sSub>
          <m:sSubPr>
            <m:ctrlPr>
              <w:rPr>
                <w:rFonts w:ascii="Cambria Math" w:hAnsi="Cambria Math"/>
                <w:noProof/>
                <w:szCs w:val="24"/>
              </w:rPr>
            </m:ctrlPr>
          </m:sSubPr>
          <m:e>
            <m:r>
              <w:rPr>
                <w:rFonts w:ascii="Cambria Math" w:hAnsi="Cambria Math"/>
                <w:noProof/>
                <w:szCs w:val="24"/>
              </w:rPr>
              <m:t>vol</m:t>
            </m:r>
          </m:e>
          <m:sub>
            <m:r>
              <w:rPr>
                <w:rFonts w:ascii="Cambria Math" w:hAnsi="Cambria Math"/>
                <w:noProof/>
                <w:szCs w:val="24"/>
              </w:rPr>
              <m:t>k</m:t>
            </m:r>
          </m:sub>
        </m:sSub>
      </m:oMath>
      <w:r w:rsidRPr="004F01E9">
        <w:rPr>
          <w:noProof/>
        </w:rPr>
        <w:t xml:space="preserve"> “.</w:t>
      </w:r>
    </w:p>
    <w:p w14:paraId="3EDA0C9A" w14:textId="6811EA6B" w:rsidR="008B2178" w:rsidRPr="004F01E9" w:rsidRDefault="00B16452" w:rsidP="00B16452">
      <w:pPr>
        <w:pStyle w:val="Point0"/>
        <w:rPr>
          <w:noProof/>
        </w:rPr>
      </w:pPr>
      <w:r w:rsidRPr="00B16452">
        <w:rPr>
          <w:noProof/>
        </w:rPr>
        <w:t>139</w:t>
      </w:r>
      <w:r>
        <w:rPr>
          <w:noProof/>
        </w:rPr>
        <w:t>.</w:t>
      </w:r>
      <w:r w:rsidRPr="00B16452">
        <w:rPr>
          <w:noProof/>
        </w:rPr>
        <w:tab/>
      </w:r>
      <w:r w:rsidR="008B2178" w:rsidRPr="004F01E9">
        <w:rPr>
          <w:noProof/>
        </w:rPr>
        <w:t>Článok 325t sa mení takto:</w:t>
      </w:r>
    </w:p>
    <w:p w14:paraId="7EDFBA2D" w14:textId="1B398CBF" w:rsidR="00806B81" w:rsidRPr="004F01E9" w:rsidRDefault="00E87982" w:rsidP="00872C56">
      <w:pPr>
        <w:pStyle w:val="Point1"/>
        <w:rPr>
          <w:noProof/>
        </w:rPr>
      </w:pPr>
      <w:r w:rsidRPr="004F01E9">
        <w:rPr>
          <w:noProof/>
        </w:rPr>
        <w:t>a)</w:t>
      </w:r>
      <w:r w:rsidRPr="004F01E9">
        <w:rPr>
          <w:noProof/>
        </w:rPr>
        <w:tab/>
        <w:t>V odseku 1 sa druhý pododsek nahrádza takto:</w:t>
      </w:r>
    </w:p>
    <w:p w14:paraId="15EB24E2" w14:textId="45AD46D9" w:rsidR="008B2178" w:rsidRPr="004F01E9" w:rsidRDefault="008B2178" w:rsidP="008B2178">
      <w:pPr>
        <w:pStyle w:val="Text2"/>
        <w:rPr>
          <w:noProof/>
        </w:rPr>
      </w:pPr>
      <w:r w:rsidRPr="004F01E9">
        <w:rPr>
          <w:noProof/>
        </w:rPr>
        <w:t>„Odchylne od prvého pododseku môžu príslušné orgány požadovať, aby inštitúcia, ktorej bolo udelené povolenie na používanie alternatívneho prístupu interného modelu stanoveného</w:t>
      </w:r>
      <w:r w:rsidR="004F01E9">
        <w:rPr>
          <w:noProof/>
        </w:rPr>
        <w:t xml:space="preserve"> v </w:t>
      </w:r>
      <w:r w:rsidRPr="004F01E9">
        <w:rPr>
          <w:noProof/>
        </w:rPr>
        <w:t>kapitole 1b, používala pri výpočte citlivostí podľa tejto kapitoly funkcie oceňovania systému merania rizika</w:t>
      </w:r>
      <w:r w:rsidR="004F01E9">
        <w:rPr>
          <w:noProof/>
        </w:rPr>
        <w:t xml:space="preserve"> v </w:t>
      </w:r>
      <w:r w:rsidRPr="004F01E9">
        <w:rPr>
          <w:noProof/>
        </w:rPr>
        <w:t>rámci svojho prístupu interného modelu na účely výpočtu</w:t>
      </w:r>
      <w:r w:rsidR="004F01E9">
        <w:rPr>
          <w:noProof/>
        </w:rPr>
        <w:t xml:space="preserve"> a </w:t>
      </w:r>
      <w:r w:rsidRPr="004F01E9">
        <w:rPr>
          <w:noProof/>
        </w:rPr>
        <w:t>požiadaviek na predkladanie správ stanovených</w:t>
      </w:r>
      <w:r w:rsidR="004F01E9">
        <w:rPr>
          <w:noProof/>
        </w:rPr>
        <w:t xml:space="preserve"> v </w:t>
      </w:r>
      <w:r w:rsidRPr="004F01E9">
        <w:rPr>
          <w:noProof/>
        </w:rPr>
        <w:t>článku 325 ods. 3.“;</w:t>
      </w:r>
    </w:p>
    <w:p w14:paraId="78F2A679" w14:textId="24FE511D" w:rsidR="008B2178" w:rsidRPr="004F01E9" w:rsidRDefault="00E87982" w:rsidP="00E87982">
      <w:pPr>
        <w:pStyle w:val="Point1"/>
        <w:rPr>
          <w:noProof/>
        </w:rPr>
      </w:pPr>
      <w:r w:rsidRPr="004F01E9">
        <w:rPr>
          <w:noProof/>
        </w:rPr>
        <w:t>b)</w:t>
      </w:r>
      <w:r w:rsidRPr="004F01E9">
        <w:rPr>
          <w:noProof/>
        </w:rPr>
        <w:tab/>
        <w:t>V odseku 5 sa písm. a) nahrádza takto:</w:t>
      </w:r>
    </w:p>
    <w:p w14:paraId="0FE96EE4" w14:textId="124FB429" w:rsidR="008B2178" w:rsidRPr="004F01E9" w:rsidRDefault="008B2178" w:rsidP="008B2178">
      <w:pPr>
        <w:pStyle w:val="Text2"/>
        <w:rPr>
          <w:noProof/>
        </w:rPr>
      </w:pPr>
      <w:r w:rsidRPr="004F01E9">
        <w:rPr>
          <w:noProof/>
        </w:rPr>
        <w:t>„a) tieto alternatívne definície sa používajú na účely interného riadenia rizika alebo na vykazovanie ziskov</w:t>
      </w:r>
      <w:r w:rsidR="004F01E9">
        <w:rPr>
          <w:noProof/>
        </w:rPr>
        <w:t xml:space="preserve"> a </w:t>
      </w:r>
      <w:r w:rsidRPr="004F01E9">
        <w:rPr>
          <w:noProof/>
        </w:rPr>
        <w:t>strát vrcholovému manažmentu zo strany nezávislého útvaru kontroly rizika</w:t>
      </w:r>
      <w:r w:rsidR="004F01E9">
        <w:rPr>
          <w:noProof/>
        </w:rPr>
        <w:t xml:space="preserve"> v </w:t>
      </w:r>
      <w:r w:rsidRPr="004F01E9">
        <w:rPr>
          <w:noProof/>
        </w:rPr>
        <w:t>rámci inštitúcie;“;</w:t>
      </w:r>
    </w:p>
    <w:p w14:paraId="094FC8EB" w14:textId="40702670" w:rsidR="008B2178" w:rsidRPr="004F01E9" w:rsidRDefault="00E87982" w:rsidP="00E87982">
      <w:pPr>
        <w:pStyle w:val="Point1"/>
        <w:rPr>
          <w:noProof/>
        </w:rPr>
      </w:pPr>
      <w:r w:rsidRPr="004F01E9">
        <w:rPr>
          <w:noProof/>
        </w:rPr>
        <w:t>c)</w:t>
      </w:r>
      <w:r w:rsidRPr="004F01E9">
        <w:rPr>
          <w:noProof/>
        </w:rPr>
        <w:tab/>
        <w:t>V odseku 6 sa písm. a) nahrádza takto:</w:t>
      </w:r>
    </w:p>
    <w:p w14:paraId="54DB99AA" w14:textId="416A9AF6" w:rsidR="008B2178" w:rsidRPr="004F01E9" w:rsidRDefault="008B2178" w:rsidP="008B2178">
      <w:pPr>
        <w:pStyle w:val="Text2"/>
        <w:rPr>
          <w:noProof/>
        </w:rPr>
      </w:pPr>
      <w:r w:rsidRPr="004F01E9">
        <w:rPr>
          <w:noProof/>
        </w:rPr>
        <w:t>„a) tieto alternatívne definície sa používajú na účely interného riadenia rizika alebo na vykazovanie ziskov</w:t>
      </w:r>
      <w:r w:rsidR="004F01E9">
        <w:rPr>
          <w:noProof/>
        </w:rPr>
        <w:t xml:space="preserve"> a </w:t>
      </w:r>
      <w:r w:rsidRPr="004F01E9">
        <w:rPr>
          <w:noProof/>
        </w:rPr>
        <w:t>strát vrcholovému manažmentu zo strany nezávislého útvaru kontroly rizika</w:t>
      </w:r>
      <w:r w:rsidR="004F01E9">
        <w:rPr>
          <w:noProof/>
        </w:rPr>
        <w:t xml:space="preserve"> v </w:t>
      </w:r>
      <w:r w:rsidRPr="004F01E9">
        <w:rPr>
          <w:noProof/>
        </w:rPr>
        <w:t>rámci inštitúcie;“;</w:t>
      </w:r>
    </w:p>
    <w:p w14:paraId="30B7FF37" w14:textId="4567B4E5" w:rsidR="00806B81" w:rsidRPr="004F01E9" w:rsidRDefault="00B16452" w:rsidP="00B16452">
      <w:pPr>
        <w:pStyle w:val="Point0"/>
        <w:rPr>
          <w:noProof/>
        </w:rPr>
      </w:pPr>
      <w:r w:rsidRPr="00B16452">
        <w:rPr>
          <w:noProof/>
        </w:rPr>
        <w:t>140</w:t>
      </w:r>
      <w:r>
        <w:rPr>
          <w:noProof/>
        </w:rPr>
        <w:t>.</w:t>
      </w:r>
      <w:r w:rsidRPr="00B16452">
        <w:rPr>
          <w:noProof/>
        </w:rPr>
        <w:tab/>
      </w:r>
      <w:r w:rsidR="008B2178" w:rsidRPr="004F01E9">
        <w:rPr>
          <w:noProof/>
        </w:rPr>
        <w:t>V článku 325v sa dopĺňa odsek 3:</w:t>
      </w:r>
    </w:p>
    <w:p w14:paraId="1193B24E" w14:textId="5196C03D" w:rsidR="008B2178" w:rsidRPr="009D4D24" w:rsidRDefault="008B2178" w:rsidP="008B2178">
      <w:pPr>
        <w:pStyle w:val="Text1"/>
        <w:rPr>
          <w:noProof/>
          <w:spacing w:val="-4"/>
        </w:rPr>
      </w:pPr>
      <w:r w:rsidRPr="009D4D24">
        <w:rPr>
          <w:noProof/>
          <w:spacing w:val="-4"/>
        </w:rPr>
        <w:t>„3. Pre obchodované nesekuritizačné kreditné</w:t>
      </w:r>
      <w:r w:rsidR="004F01E9" w:rsidRPr="009D4D24">
        <w:rPr>
          <w:noProof/>
          <w:spacing w:val="-4"/>
        </w:rPr>
        <w:t xml:space="preserve"> a </w:t>
      </w:r>
      <w:r w:rsidRPr="009D4D24">
        <w:rPr>
          <w:noProof/>
          <w:spacing w:val="-4"/>
        </w:rPr>
        <w:t>akciové deriváty sa sumy JTD jednotlivých zložiek určujú na základe prístupu založeného na prezretí podkladových expozícií.“</w:t>
      </w:r>
    </w:p>
    <w:p w14:paraId="5925672D" w14:textId="4FE43E32" w:rsidR="00806B81" w:rsidRPr="004F01E9" w:rsidRDefault="00B16452" w:rsidP="00B16452">
      <w:pPr>
        <w:pStyle w:val="Point0"/>
        <w:rPr>
          <w:noProof/>
        </w:rPr>
      </w:pPr>
      <w:r w:rsidRPr="00B16452">
        <w:rPr>
          <w:noProof/>
        </w:rPr>
        <w:t>141</w:t>
      </w:r>
      <w:r>
        <w:rPr>
          <w:noProof/>
        </w:rPr>
        <w:t>.</w:t>
      </w:r>
      <w:r w:rsidRPr="00B16452">
        <w:rPr>
          <w:noProof/>
        </w:rPr>
        <w:tab/>
      </w:r>
      <w:r w:rsidR="008B2178" w:rsidRPr="004F01E9">
        <w:rPr>
          <w:noProof/>
        </w:rPr>
        <w:t>V článku 325y sa dopĺňa odsek 6:</w:t>
      </w:r>
    </w:p>
    <w:p w14:paraId="3A790F70" w14:textId="245EDE1F" w:rsidR="008B2178" w:rsidRPr="004F01E9" w:rsidRDefault="008B2178" w:rsidP="008B2178">
      <w:pPr>
        <w:pStyle w:val="Text1"/>
        <w:rPr>
          <w:noProof/>
        </w:rPr>
      </w:pPr>
      <w:r w:rsidRPr="004F01E9">
        <w:rPr>
          <w:noProof/>
        </w:rPr>
        <w:t>„6. Na účely tohto článku sa expozícia zaraďuje do kategórie kreditnej kvality zodpovedajúcej kategórii kreditnej kvality, do ktorej by bola zaradená podľa štandardizovaného prístupu pre kreditné riziko stanoveného</w:t>
      </w:r>
      <w:r w:rsidR="004F01E9">
        <w:rPr>
          <w:noProof/>
        </w:rPr>
        <w:t xml:space="preserve"> v </w:t>
      </w:r>
      <w:r w:rsidRPr="004F01E9">
        <w:rPr>
          <w:noProof/>
        </w:rPr>
        <w:t>hlave II kapitole 2.“</w:t>
      </w:r>
    </w:p>
    <w:p w14:paraId="148B8B8F" w14:textId="14DFB7C6" w:rsidR="00806B81" w:rsidRPr="004F01E9" w:rsidRDefault="00B16452" w:rsidP="00B16452">
      <w:pPr>
        <w:pStyle w:val="Point0"/>
        <w:rPr>
          <w:noProof/>
        </w:rPr>
      </w:pPr>
      <w:r w:rsidRPr="00B16452">
        <w:rPr>
          <w:noProof/>
        </w:rPr>
        <w:t>142</w:t>
      </w:r>
      <w:r>
        <w:rPr>
          <w:noProof/>
        </w:rPr>
        <w:t>.</w:t>
      </w:r>
      <w:r w:rsidRPr="00B16452">
        <w:rPr>
          <w:noProof/>
        </w:rPr>
        <w:tab/>
      </w:r>
      <w:r w:rsidR="008B2178" w:rsidRPr="004F01E9">
        <w:rPr>
          <w:noProof/>
        </w:rPr>
        <w:t>V článku 325ab sa vypúšťa odsek 2.</w:t>
      </w:r>
    </w:p>
    <w:p w14:paraId="0212ED7A" w14:textId="4C14F4E0" w:rsidR="00806B81" w:rsidRPr="004F01E9" w:rsidRDefault="00B16452" w:rsidP="00B16452">
      <w:pPr>
        <w:pStyle w:val="Point0"/>
        <w:rPr>
          <w:noProof/>
        </w:rPr>
      </w:pPr>
      <w:r w:rsidRPr="00B16452">
        <w:rPr>
          <w:noProof/>
        </w:rPr>
        <w:t>143</w:t>
      </w:r>
      <w:r>
        <w:rPr>
          <w:noProof/>
        </w:rPr>
        <w:t>.</w:t>
      </w:r>
      <w:r w:rsidRPr="00B16452">
        <w:rPr>
          <w:noProof/>
        </w:rPr>
        <w:tab/>
      </w:r>
      <w:r w:rsidR="008B2178" w:rsidRPr="004F01E9">
        <w:rPr>
          <w:noProof/>
        </w:rPr>
        <w:t>V článku 325ae sa odsek 3 nahrádza takto:</w:t>
      </w:r>
    </w:p>
    <w:p w14:paraId="3F0AD693" w14:textId="51E90B84" w:rsidR="00806B81" w:rsidRPr="004F01E9" w:rsidRDefault="008B2178" w:rsidP="008B2178">
      <w:pPr>
        <w:pStyle w:val="Text1"/>
        <w:rPr>
          <w:noProof/>
        </w:rPr>
      </w:pPr>
      <w:r w:rsidRPr="004F01E9">
        <w:rPr>
          <w:noProof/>
        </w:rPr>
        <w:t>„3. Rizikové váhy faktorov rizika na základe mien zahrnutých</w:t>
      </w:r>
      <w:r w:rsidR="004F01E9">
        <w:rPr>
          <w:noProof/>
        </w:rPr>
        <w:t xml:space="preserve"> v </w:t>
      </w:r>
      <w:r w:rsidRPr="004F01E9">
        <w:rPr>
          <w:noProof/>
        </w:rPr>
        <w:t>podkategórii najlikvidnejších mien, ako sa uvádza</w:t>
      </w:r>
      <w:r w:rsidR="004F01E9">
        <w:rPr>
          <w:noProof/>
        </w:rPr>
        <w:t xml:space="preserve"> v </w:t>
      </w:r>
      <w:r w:rsidRPr="004F01E9">
        <w:rPr>
          <w:noProof/>
        </w:rPr>
        <w:t>článku 325bd ods. 7 písm. b),</w:t>
      </w:r>
      <w:r w:rsidR="004F01E9">
        <w:rPr>
          <w:noProof/>
        </w:rPr>
        <w:t xml:space="preserve"> a </w:t>
      </w:r>
      <w:r w:rsidRPr="004F01E9">
        <w:rPr>
          <w:noProof/>
        </w:rPr>
        <w:t>domácej mene inštitúcie sú tieto:</w:t>
      </w:r>
    </w:p>
    <w:p w14:paraId="0D7FE681" w14:textId="782FACC2" w:rsidR="008B2178" w:rsidRPr="004F01E9" w:rsidRDefault="008B2178" w:rsidP="008B2178">
      <w:pPr>
        <w:pStyle w:val="Point1"/>
        <w:rPr>
          <w:noProof/>
        </w:rPr>
      </w:pPr>
      <w:r w:rsidRPr="004F01E9">
        <w:rPr>
          <w:noProof/>
        </w:rPr>
        <w:t>a)</w:t>
      </w:r>
      <w:r w:rsidRPr="004F01E9">
        <w:rPr>
          <w:noProof/>
        </w:rPr>
        <w:tab/>
        <w:t>pre rizikové faktory bezrizikovej úrokovej miery rizikové váhy uvedené</w:t>
      </w:r>
      <w:r w:rsidR="004F01E9">
        <w:rPr>
          <w:noProof/>
        </w:rPr>
        <w:t xml:space="preserve"> v </w:t>
      </w:r>
      <w:r w:rsidRPr="004F01E9">
        <w:rPr>
          <w:noProof/>
        </w:rPr>
        <w:t xml:space="preserve">odseku 1 tabuľke 3 vydelené </w:t>
      </w:r>
      <m:oMath>
        <m:rad>
          <m:radPr>
            <m:degHide m:val="1"/>
            <m:ctrlPr>
              <w:rPr>
                <w:rFonts w:ascii="Cambria Math" w:hAnsi="Cambria Math"/>
                <w:noProof/>
                <w:szCs w:val="24"/>
                <w:lang w:eastAsia="en-GB"/>
              </w:rPr>
            </m:ctrlPr>
          </m:radPr>
          <m:deg/>
          <m:e>
            <m:r>
              <m:rPr>
                <m:sty m:val="p"/>
              </m:rPr>
              <w:rPr>
                <w:rFonts w:ascii="Cambria Math" w:hAnsi="Cambria Math"/>
                <w:noProof/>
                <w:szCs w:val="24"/>
                <w:lang w:eastAsia="en-GB"/>
              </w:rPr>
              <m:t>2</m:t>
            </m:r>
          </m:e>
        </m:rad>
      </m:oMath>
      <w:r w:rsidRPr="004F01E9">
        <w:rPr>
          <w:noProof/>
        </w:rPr>
        <w:t>;</w:t>
      </w:r>
    </w:p>
    <w:p w14:paraId="3F6BC891" w14:textId="5F6364A9" w:rsidR="00806B81" w:rsidRPr="004F01E9" w:rsidRDefault="008B2178" w:rsidP="008B2178">
      <w:pPr>
        <w:pStyle w:val="Point1"/>
        <w:rPr>
          <w:noProof/>
        </w:rPr>
      </w:pPr>
      <w:r w:rsidRPr="004F01E9">
        <w:rPr>
          <w:noProof/>
        </w:rPr>
        <w:t>b)</w:t>
      </w:r>
      <w:r w:rsidRPr="004F01E9">
        <w:rPr>
          <w:noProof/>
        </w:rPr>
        <w:tab/>
        <w:t>pre faktor inflačného rizika</w:t>
      </w:r>
      <w:r w:rsidR="004F01E9">
        <w:rPr>
          <w:noProof/>
        </w:rPr>
        <w:t xml:space="preserve"> a </w:t>
      </w:r>
      <w:r w:rsidRPr="004F01E9">
        <w:rPr>
          <w:noProof/>
        </w:rPr>
        <w:t>faktory krížového menového bázického rizika rizikové váhy uvedené</w:t>
      </w:r>
      <w:r w:rsidR="004F01E9">
        <w:rPr>
          <w:noProof/>
        </w:rPr>
        <w:t xml:space="preserve"> v </w:t>
      </w:r>
      <w:r w:rsidRPr="004F01E9">
        <w:rPr>
          <w:noProof/>
        </w:rPr>
        <w:t xml:space="preserve">odseku 2 vydelené </w:t>
      </w:r>
      <m:oMath>
        <m:rad>
          <m:radPr>
            <m:degHide m:val="1"/>
            <m:ctrlPr>
              <w:rPr>
                <w:rFonts w:ascii="Cambria Math" w:hAnsi="Cambria Math"/>
                <w:noProof/>
                <w:szCs w:val="24"/>
                <w:lang w:eastAsia="en-GB"/>
              </w:rPr>
            </m:ctrlPr>
          </m:radPr>
          <m:deg/>
          <m:e>
            <m:r>
              <m:rPr>
                <m:sty m:val="p"/>
              </m:rPr>
              <w:rPr>
                <w:rFonts w:ascii="Cambria Math" w:hAnsi="Cambria Math"/>
                <w:noProof/>
                <w:szCs w:val="24"/>
                <w:lang w:eastAsia="en-GB"/>
              </w:rPr>
              <m:t>2</m:t>
            </m:r>
          </m:e>
        </m:rad>
      </m:oMath>
      <w:r w:rsidRPr="004F01E9">
        <w:rPr>
          <w:noProof/>
        </w:rPr>
        <w:t>.“</w:t>
      </w:r>
    </w:p>
    <w:p w14:paraId="436AFC69" w14:textId="5ACA6575" w:rsidR="00806B81" w:rsidRPr="004F01E9" w:rsidRDefault="00B16452" w:rsidP="00B16452">
      <w:pPr>
        <w:pStyle w:val="Point0"/>
        <w:rPr>
          <w:noProof/>
        </w:rPr>
      </w:pPr>
      <w:r w:rsidRPr="00B16452">
        <w:rPr>
          <w:noProof/>
        </w:rPr>
        <w:t>144</w:t>
      </w:r>
      <w:r>
        <w:rPr>
          <w:noProof/>
        </w:rPr>
        <w:t>.</w:t>
      </w:r>
      <w:r w:rsidRPr="00B16452">
        <w:rPr>
          <w:noProof/>
        </w:rPr>
        <w:tab/>
      </w:r>
      <w:r w:rsidR="008B2178" w:rsidRPr="004F01E9">
        <w:rPr>
          <w:noProof/>
        </w:rPr>
        <w:t>Článok 325ah sa mení takto:</w:t>
      </w:r>
    </w:p>
    <w:p w14:paraId="3AD32E42" w14:textId="7D070666" w:rsidR="00806B81" w:rsidRPr="004F01E9" w:rsidRDefault="00745C93" w:rsidP="00745C93">
      <w:pPr>
        <w:pStyle w:val="Point1"/>
        <w:rPr>
          <w:noProof/>
        </w:rPr>
      </w:pPr>
      <w:r w:rsidRPr="004F01E9">
        <w:rPr>
          <w:noProof/>
        </w:rPr>
        <w:t>a)</w:t>
      </w:r>
      <w:r w:rsidRPr="004F01E9">
        <w:rPr>
          <w:noProof/>
        </w:rPr>
        <w:tab/>
        <w:t>Odsek 1 sa mení takto:</w:t>
      </w:r>
    </w:p>
    <w:p w14:paraId="380E9FD3" w14:textId="210A5054" w:rsidR="00806B81" w:rsidRPr="004F01E9" w:rsidRDefault="008B2178" w:rsidP="008B2178">
      <w:pPr>
        <w:pStyle w:val="Point2"/>
        <w:rPr>
          <w:noProof/>
        </w:rPr>
      </w:pPr>
      <w:r w:rsidRPr="004F01E9">
        <w:rPr>
          <w:noProof/>
        </w:rPr>
        <w:t>i)</w:t>
      </w:r>
      <w:r w:rsidRPr="004F01E9">
        <w:rPr>
          <w:noProof/>
        </w:rPr>
        <w:tab/>
        <w:t>V tabuľke 4 sa text týkajúci sa skupiny číslo 13</w:t>
      </w:r>
      <w:r w:rsidR="004F01E9">
        <w:rPr>
          <w:noProof/>
        </w:rPr>
        <w:t xml:space="preserve"> v </w:t>
      </w:r>
      <w:r w:rsidRPr="004F01E9">
        <w:rPr>
          <w:noProof/>
        </w:rPr>
        <w:t>stĺpci Sektor nahrádza takto:</w:t>
      </w:r>
    </w:p>
    <w:p w14:paraId="774C3582" w14:textId="3448F994" w:rsidR="008B2178" w:rsidRPr="004F01E9" w:rsidRDefault="008B2178" w:rsidP="008B2178">
      <w:pPr>
        <w:pStyle w:val="Text3"/>
        <w:rPr>
          <w:noProof/>
        </w:rPr>
      </w:pPr>
      <w:r w:rsidRPr="004F01E9">
        <w:rPr>
          <w:noProof/>
        </w:rPr>
        <w:t>„Subjekty finančného sektora vrátane úverových inštitúcií zriadených alebo založených ústrednou vládou, regionálnou vládou alebo miestnym orgánom</w:t>
      </w:r>
      <w:r w:rsidR="004F01E9">
        <w:rPr>
          <w:noProof/>
        </w:rPr>
        <w:t xml:space="preserve"> a </w:t>
      </w:r>
      <w:r w:rsidRPr="004F01E9">
        <w:rPr>
          <w:noProof/>
        </w:rPr>
        <w:t>poskytovatelia podporných úverov</w:t>
      </w:r>
      <w:r w:rsidR="004F01E9">
        <w:rPr>
          <w:noProof/>
        </w:rPr>
        <w:t xml:space="preserve"> a </w:t>
      </w:r>
      <w:r w:rsidRPr="004F01E9">
        <w:rPr>
          <w:noProof/>
        </w:rPr>
        <w:t>krytých dlhopisov.“;</w:t>
      </w:r>
    </w:p>
    <w:p w14:paraId="0018EF05" w14:textId="77777777" w:rsidR="00806B81" w:rsidRPr="004F01E9" w:rsidRDefault="008B2178" w:rsidP="008B2178">
      <w:pPr>
        <w:pStyle w:val="Point2"/>
        <w:rPr>
          <w:noProof/>
        </w:rPr>
      </w:pPr>
      <w:r w:rsidRPr="004F01E9">
        <w:rPr>
          <w:noProof/>
        </w:rPr>
        <w:t>ii)</w:t>
      </w:r>
      <w:r w:rsidRPr="004F01E9">
        <w:rPr>
          <w:noProof/>
        </w:rPr>
        <w:tab/>
        <w:t>Dopĺňa sa tento pododsek:</w:t>
      </w:r>
    </w:p>
    <w:p w14:paraId="3FDAE874" w14:textId="76B10548" w:rsidR="008B2178" w:rsidRPr="004F01E9" w:rsidRDefault="008B2178" w:rsidP="008B2178">
      <w:pPr>
        <w:pStyle w:val="Text3"/>
        <w:rPr>
          <w:noProof/>
        </w:rPr>
      </w:pPr>
      <w:r w:rsidRPr="004F01E9">
        <w:rPr>
          <w:noProof/>
        </w:rPr>
        <w:t>„Na účely tohto článku sa expozícia zaraďuje do kategórie kreditnej kvality zodpovedajúcej kategórii kreditnej kvality, do ktorej by bola zaradená podľa štandardizovaného prístupu pre kreditné riziko stanoveného</w:t>
      </w:r>
      <w:r w:rsidR="004F01E9">
        <w:rPr>
          <w:noProof/>
        </w:rPr>
        <w:t xml:space="preserve"> v </w:t>
      </w:r>
      <w:r w:rsidRPr="004F01E9">
        <w:rPr>
          <w:noProof/>
        </w:rPr>
        <w:t>hlave II kapitole 2.“;</w:t>
      </w:r>
    </w:p>
    <w:p w14:paraId="23008F5D" w14:textId="1DC02C85" w:rsidR="00806B81" w:rsidRPr="004F01E9" w:rsidRDefault="00745C93" w:rsidP="00745C93">
      <w:pPr>
        <w:pStyle w:val="Point1"/>
        <w:rPr>
          <w:noProof/>
        </w:rPr>
      </w:pPr>
      <w:r w:rsidRPr="004F01E9">
        <w:rPr>
          <w:noProof/>
        </w:rPr>
        <w:t>b)</w:t>
      </w:r>
      <w:r w:rsidRPr="004F01E9">
        <w:rPr>
          <w:noProof/>
        </w:rPr>
        <w:tab/>
        <w:t>Dopĺňa sa tento odsek 3:</w:t>
      </w:r>
    </w:p>
    <w:p w14:paraId="46BC8C86" w14:textId="1D2B58F6" w:rsidR="008B2178" w:rsidRPr="004F01E9" w:rsidRDefault="008B2178" w:rsidP="008B2178">
      <w:pPr>
        <w:pStyle w:val="Text2"/>
        <w:rPr>
          <w:noProof/>
        </w:rPr>
      </w:pPr>
      <w:r w:rsidRPr="004F01E9">
        <w:rPr>
          <w:noProof/>
        </w:rPr>
        <w:t>„3. Odchylne od odseku 2 môžu inštitúcie zaradiť rizikovú expozíciu krytého dlhopisu bez ratingu do skupiny 4, ak inštitúcia, ktorá krytý dlhopis emitovala, má stupeň kreditnej kvality 1 až 3.“</w:t>
      </w:r>
    </w:p>
    <w:p w14:paraId="4A67CEA4" w14:textId="4FB0578D" w:rsidR="008B2178" w:rsidRPr="004F01E9" w:rsidRDefault="00B16452" w:rsidP="00B16452">
      <w:pPr>
        <w:pStyle w:val="Point0"/>
        <w:rPr>
          <w:noProof/>
        </w:rPr>
      </w:pPr>
      <w:r w:rsidRPr="00B16452">
        <w:rPr>
          <w:noProof/>
        </w:rPr>
        <w:t>145</w:t>
      </w:r>
      <w:r>
        <w:rPr>
          <w:noProof/>
        </w:rPr>
        <w:t>.</w:t>
      </w:r>
      <w:r w:rsidRPr="00B16452">
        <w:rPr>
          <w:noProof/>
        </w:rPr>
        <w:tab/>
      </w:r>
      <w:r w:rsidR="008B2178" w:rsidRPr="004F01E9">
        <w:rPr>
          <w:noProof/>
        </w:rPr>
        <w:t>V článku 325ai ods. 1 sa vymedzenie pojmu ρkl (name) nahrádza takto:</w:t>
      </w:r>
    </w:p>
    <w:p w14:paraId="727C2025" w14:textId="7484C803" w:rsidR="00806B81" w:rsidRPr="004F01E9" w:rsidRDefault="008B2178" w:rsidP="008B2178">
      <w:pPr>
        <w:pStyle w:val="Text1"/>
        <w:rPr>
          <w:noProof/>
        </w:rPr>
      </w:pPr>
      <w:r w:rsidRPr="004F01E9">
        <w:rPr>
          <w:noProof/>
        </w:rPr>
        <w:t>„ρ</w:t>
      </w:r>
      <w:r w:rsidRPr="004F01E9">
        <w:rPr>
          <w:noProof/>
          <w:vertAlign w:val="subscript"/>
        </w:rPr>
        <w:t>kl</w:t>
      </w:r>
      <w:r w:rsidRPr="004F01E9">
        <w:rPr>
          <w:noProof/>
        </w:rPr>
        <w:t xml:space="preserve"> (name) sa rovná 1, ak dva referenčné tituly citlivostí</w:t>
      </w:r>
      <w:r w:rsidR="004F01E9">
        <w:rPr>
          <w:noProof/>
        </w:rPr>
        <w:t xml:space="preserve"> k a </w:t>
      </w:r>
      <w:r w:rsidRPr="004F01E9">
        <w:rPr>
          <w:noProof/>
        </w:rPr>
        <w:t>l sú identické; rovná sa 35</w:t>
      </w:r>
      <w:r w:rsidR="004F01E9">
        <w:rPr>
          <w:noProof/>
        </w:rPr>
        <w:t> %</w:t>
      </w:r>
      <w:r w:rsidRPr="004F01E9">
        <w:rPr>
          <w:noProof/>
        </w:rPr>
        <w:t>, ak referenčné tituly citlivostí</w:t>
      </w:r>
      <w:r w:rsidR="004F01E9">
        <w:rPr>
          <w:noProof/>
        </w:rPr>
        <w:t xml:space="preserve"> k a </w:t>
      </w:r>
      <w:r w:rsidRPr="004F01E9">
        <w:rPr>
          <w:noProof/>
        </w:rPr>
        <w:t>l sú</w:t>
      </w:r>
      <w:r w:rsidR="004F01E9">
        <w:rPr>
          <w:noProof/>
        </w:rPr>
        <w:t xml:space="preserve"> v </w:t>
      </w:r>
      <w:r w:rsidRPr="004F01E9">
        <w:rPr>
          <w:noProof/>
        </w:rPr>
        <w:t>skupinách 1 až 18</w:t>
      </w:r>
      <w:r w:rsidR="004F01E9">
        <w:rPr>
          <w:noProof/>
        </w:rPr>
        <w:t xml:space="preserve"> v </w:t>
      </w:r>
      <w:r w:rsidRPr="004F01E9">
        <w:rPr>
          <w:noProof/>
        </w:rPr>
        <w:t>článku 325ah ods. 1 tabuľke 4</w:t>
      </w:r>
      <w:r w:rsidR="004F01E9">
        <w:rPr>
          <w:noProof/>
        </w:rPr>
        <w:t xml:space="preserve"> a v </w:t>
      </w:r>
      <w:r w:rsidRPr="004F01E9">
        <w:rPr>
          <w:noProof/>
        </w:rPr>
        <w:t>ostatných prípadoch sa rovná 80</w:t>
      </w:r>
      <w:r w:rsidR="004F01E9">
        <w:rPr>
          <w:noProof/>
        </w:rPr>
        <w:t> %</w:t>
      </w:r>
      <w:r w:rsidRPr="004F01E9">
        <w:rPr>
          <w:noProof/>
        </w:rPr>
        <w:t>“.</w:t>
      </w:r>
    </w:p>
    <w:p w14:paraId="45328049" w14:textId="54378E54" w:rsidR="008B2178" w:rsidRPr="004F01E9" w:rsidRDefault="00B16452" w:rsidP="00B16452">
      <w:pPr>
        <w:pStyle w:val="Point0"/>
        <w:rPr>
          <w:noProof/>
        </w:rPr>
      </w:pPr>
      <w:r w:rsidRPr="00B16452">
        <w:rPr>
          <w:noProof/>
        </w:rPr>
        <w:t>146</w:t>
      </w:r>
      <w:r>
        <w:rPr>
          <w:noProof/>
        </w:rPr>
        <w:t>.</w:t>
      </w:r>
      <w:r w:rsidRPr="00B16452">
        <w:rPr>
          <w:noProof/>
        </w:rPr>
        <w:tab/>
      </w:r>
      <w:r w:rsidR="008B2178" w:rsidRPr="004F01E9">
        <w:rPr>
          <w:noProof/>
        </w:rPr>
        <w:t>V článku 325aj sa vymedzenie pojmu γbc (rating) nahrádza takto:</w:t>
      </w:r>
    </w:p>
    <w:p w14:paraId="51AFD5CC" w14:textId="77777777" w:rsidR="00806B81" w:rsidRPr="004F01E9" w:rsidRDefault="008B2178" w:rsidP="008B2178">
      <w:pPr>
        <w:pStyle w:val="Text1"/>
        <w:rPr>
          <w:noProof/>
        </w:rPr>
      </w:pPr>
      <w:r w:rsidRPr="004F01E9">
        <w:rPr>
          <w:noProof/>
        </w:rPr>
        <w:t>„γ</w:t>
      </w:r>
      <w:r w:rsidRPr="004F01E9">
        <w:rPr>
          <w:noProof/>
          <w:vertAlign w:val="subscript"/>
        </w:rPr>
        <w:t>bc</w:t>
      </w:r>
      <w:r w:rsidRPr="004F01E9">
        <w:rPr>
          <w:noProof/>
        </w:rPr>
        <w:t xml:space="preserve"> (rating) sa rovná:</w:t>
      </w:r>
    </w:p>
    <w:p w14:paraId="193A6D94" w14:textId="28DC2AAB" w:rsidR="008B2178" w:rsidRPr="004F01E9" w:rsidRDefault="008B2178" w:rsidP="008B2178">
      <w:pPr>
        <w:pStyle w:val="Point1"/>
        <w:rPr>
          <w:noProof/>
        </w:rPr>
      </w:pPr>
      <w:r w:rsidRPr="004F01E9">
        <w:rPr>
          <w:noProof/>
        </w:rPr>
        <w:t>a)</w:t>
      </w:r>
      <w:r w:rsidRPr="004F01E9">
        <w:rPr>
          <w:noProof/>
        </w:rPr>
        <w:tab/>
        <w:t>1, ak skupiny b</w:t>
      </w:r>
      <w:r w:rsidR="004F01E9">
        <w:rPr>
          <w:noProof/>
        </w:rPr>
        <w:t xml:space="preserve"> a </w:t>
      </w:r>
      <w:r w:rsidRPr="004F01E9">
        <w:rPr>
          <w:noProof/>
        </w:rPr>
        <w:t>c sú skupiny 1 až 17</w:t>
      </w:r>
      <w:r w:rsidR="004F01E9">
        <w:rPr>
          <w:noProof/>
        </w:rPr>
        <w:t xml:space="preserve"> a </w:t>
      </w:r>
      <w:r w:rsidRPr="004F01E9">
        <w:rPr>
          <w:noProof/>
        </w:rPr>
        <w:t>obe skupiny majú rovnakú kategóriu kreditnej kvality (buď „stupeň kreditnej kvality 1 až 3“ alebo „stupeň kreditnej kvality 4 až 6“);</w:t>
      </w:r>
      <w:r w:rsidR="004F01E9">
        <w:rPr>
          <w:noProof/>
        </w:rPr>
        <w:t xml:space="preserve"> v </w:t>
      </w:r>
      <w:r w:rsidRPr="004F01E9">
        <w:rPr>
          <w:noProof/>
        </w:rPr>
        <w:t>ostatných prípadoch sa rovná 50</w:t>
      </w:r>
      <w:r w:rsidR="004F01E9">
        <w:rPr>
          <w:noProof/>
        </w:rPr>
        <w:t> %</w:t>
      </w:r>
      <w:r w:rsidRPr="004F01E9">
        <w:rPr>
          <w:noProof/>
        </w:rPr>
        <w:t>; na účely tohto výpočtu sa skupina 1 považuje za takú, ktorá patrí do rovnakej kategórie kreditnej kvality ako skupiny, ktoré majú stupeň kreditnej kvality 1 až 3;</w:t>
      </w:r>
    </w:p>
    <w:p w14:paraId="718A7DFC" w14:textId="47C22565" w:rsidR="008B2178" w:rsidRPr="004F01E9" w:rsidRDefault="008B2178" w:rsidP="008B2178">
      <w:pPr>
        <w:pStyle w:val="Point1"/>
        <w:rPr>
          <w:noProof/>
        </w:rPr>
      </w:pPr>
      <w:r w:rsidRPr="004F01E9">
        <w:rPr>
          <w:noProof/>
        </w:rPr>
        <w:t>b)</w:t>
      </w:r>
      <w:r w:rsidRPr="004F01E9">
        <w:rPr>
          <w:noProof/>
        </w:rPr>
        <w:tab/>
        <w:t>1, ak buď skupina b alebo c je skupinou 18;</w:t>
      </w:r>
    </w:p>
    <w:p w14:paraId="6C758829" w14:textId="22431216" w:rsidR="00806B81" w:rsidRPr="004F01E9" w:rsidRDefault="008B2178" w:rsidP="008B2178">
      <w:pPr>
        <w:pStyle w:val="Point1"/>
        <w:rPr>
          <w:noProof/>
        </w:rPr>
      </w:pPr>
      <w:r w:rsidRPr="004F01E9">
        <w:rPr>
          <w:noProof/>
        </w:rPr>
        <w:t>c)</w:t>
      </w:r>
      <w:r w:rsidRPr="004F01E9">
        <w:rPr>
          <w:noProof/>
        </w:rPr>
        <w:tab/>
        <w:t>1, ak skupina b alebo c je skupinou 19</w:t>
      </w:r>
      <w:r w:rsidR="004F01E9">
        <w:rPr>
          <w:noProof/>
        </w:rPr>
        <w:t xml:space="preserve"> a </w:t>
      </w:r>
      <w:r w:rsidRPr="004F01E9">
        <w:rPr>
          <w:noProof/>
        </w:rPr>
        <w:t>druhá skupina má stupeň kreditnej kvality 1 až 3;</w:t>
      </w:r>
      <w:r w:rsidR="004F01E9">
        <w:rPr>
          <w:noProof/>
        </w:rPr>
        <w:t xml:space="preserve"> v </w:t>
      </w:r>
      <w:r w:rsidRPr="004F01E9">
        <w:rPr>
          <w:noProof/>
        </w:rPr>
        <w:t>ostatných prípadoch sa rovná 50</w:t>
      </w:r>
      <w:r w:rsidR="004F01E9">
        <w:rPr>
          <w:noProof/>
        </w:rPr>
        <w:t> %</w:t>
      </w:r>
      <w:r w:rsidRPr="004F01E9">
        <w:rPr>
          <w:noProof/>
        </w:rPr>
        <w:t>;</w:t>
      </w:r>
    </w:p>
    <w:p w14:paraId="661CF5E6" w14:textId="2C6787FA" w:rsidR="00806B81" w:rsidRPr="004F01E9" w:rsidRDefault="008B2178" w:rsidP="008B2178">
      <w:pPr>
        <w:pStyle w:val="Point1"/>
        <w:rPr>
          <w:noProof/>
        </w:rPr>
      </w:pPr>
      <w:r w:rsidRPr="004F01E9">
        <w:rPr>
          <w:noProof/>
        </w:rPr>
        <w:t>d)</w:t>
      </w:r>
      <w:r w:rsidRPr="004F01E9">
        <w:rPr>
          <w:noProof/>
        </w:rPr>
        <w:tab/>
        <w:t>1, ak skupina b alebo c je skupinou 20</w:t>
      </w:r>
      <w:r w:rsidR="004F01E9">
        <w:rPr>
          <w:noProof/>
        </w:rPr>
        <w:t xml:space="preserve"> a </w:t>
      </w:r>
      <w:r w:rsidRPr="004F01E9">
        <w:rPr>
          <w:noProof/>
        </w:rPr>
        <w:t>druhá skupina má stupeň kreditnej kvality 4 až 6;</w:t>
      </w:r>
      <w:r w:rsidR="004F01E9">
        <w:rPr>
          <w:noProof/>
        </w:rPr>
        <w:t xml:space="preserve"> v </w:t>
      </w:r>
      <w:r w:rsidRPr="004F01E9">
        <w:rPr>
          <w:noProof/>
        </w:rPr>
        <w:t>ostatných prípadoch sa rovná 50</w:t>
      </w:r>
      <w:r w:rsidR="004F01E9">
        <w:rPr>
          <w:noProof/>
        </w:rPr>
        <w:t> %</w:t>
      </w:r>
      <w:r w:rsidRPr="004F01E9">
        <w:rPr>
          <w:noProof/>
        </w:rPr>
        <w:t>;“;</w:t>
      </w:r>
    </w:p>
    <w:p w14:paraId="50135552" w14:textId="2FEC5FB6" w:rsidR="00806B81" w:rsidRPr="004F01E9" w:rsidRDefault="00B16452" w:rsidP="00B16452">
      <w:pPr>
        <w:pStyle w:val="Point0"/>
        <w:rPr>
          <w:noProof/>
        </w:rPr>
      </w:pPr>
      <w:r w:rsidRPr="00B16452">
        <w:rPr>
          <w:noProof/>
        </w:rPr>
        <w:t>147</w:t>
      </w:r>
      <w:r>
        <w:rPr>
          <w:noProof/>
        </w:rPr>
        <w:t>.</w:t>
      </w:r>
      <w:r w:rsidRPr="00B16452">
        <w:rPr>
          <w:noProof/>
        </w:rPr>
        <w:tab/>
      </w:r>
      <w:r w:rsidR="008B2178" w:rsidRPr="004F01E9">
        <w:rPr>
          <w:noProof/>
        </w:rPr>
        <w:t>Článok 325ak sa mení takto:</w:t>
      </w:r>
    </w:p>
    <w:p w14:paraId="1C949F40" w14:textId="40E90D3D" w:rsidR="00806B81" w:rsidRPr="004F01E9" w:rsidRDefault="008B2178" w:rsidP="001B604C">
      <w:pPr>
        <w:pStyle w:val="Point1"/>
        <w:rPr>
          <w:noProof/>
        </w:rPr>
      </w:pPr>
      <w:r w:rsidRPr="004F01E9">
        <w:rPr>
          <w:noProof/>
        </w:rPr>
        <w:t>V prvom odseku tabuľke 6 sa text týkajúci sa skupiny 13</w:t>
      </w:r>
      <w:r w:rsidR="004F01E9">
        <w:rPr>
          <w:noProof/>
        </w:rPr>
        <w:t xml:space="preserve"> v </w:t>
      </w:r>
      <w:r w:rsidRPr="004F01E9">
        <w:rPr>
          <w:noProof/>
        </w:rPr>
        <w:t>stĺpci Sektor nahrádza takto:</w:t>
      </w:r>
    </w:p>
    <w:p w14:paraId="39EEE006" w14:textId="7805F3D9" w:rsidR="008B2178" w:rsidRPr="004F01E9" w:rsidRDefault="008B2178" w:rsidP="00615061">
      <w:pPr>
        <w:pStyle w:val="QuotedText"/>
        <w:rPr>
          <w:noProof/>
        </w:rPr>
      </w:pPr>
      <w:r w:rsidRPr="004F01E9">
        <w:rPr>
          <w:noProof/>
        </w:rPr>
        <w:t>„Subjekty finančného sektora vrátane úverových inštitúcií zriadených alebo založených ústrednou vládou, regionálnou vládou alebo miestnym orgánom</w:t>
      </w:r>
      <w:r w:rsidR="004F01E9">
        <w:rPr>
          <w:noProof/>
        </w:rPr>
        <w:t xml:space="preserve"> a </w:t>
      </w:r>
      <w:r w:rsidRPr="004F01E9">
        <w:rPr>
          <w:noProof/>
        </w:rPr>
        <w:t>poskytovatelia podporných úverov</w:t>
      </w:r>
      <w:r w:rsidR="004F01E9">
        <w:rPr>
          <w:noProof/>
        </w:rPr>
        <w:t xml:space="preserve"> a </w:t>
      </w:r>
      <w:r w:rsidRPr="004F01E9">
        <w:rPr>
          <w:noProof/>
        </w:rPr>
        <w:t>krytých dlhopisov“;</w:t>
      </w:r>
    </w:p>
    <w:p w14:paraId="369368A4" w14:textId="5FF432FB" w:rsidR="00806B81" w:rsidRPr="004F01E9" w:rsidRDefault="008B2178" w:rsidP="001B604C">
      <w:pPr>
        <w:pStyle w:val="Point1"/>
        <w:rPr>
          <w:noProof/>
        </w:rPr>
      </w:pPr>
      <w:r w:rsidRPr="004F01E9">
        <w:rPr>
          <w:noProof/>
        </w:rPr>
        <w:t>b)</w:t>
      </w:r>
      <w:r w:rsidRPr="004F01E9">
        <w:rPr>
          <w:noProof/>
        </w:rPr>
        <w:tab/>
        <w:t>Dopĺňajú sa tieto odseky:</w:t>
      </w:r>
    </w:p>
    <w:p w14:paraId="70F8D74E" w14:textId="6BFF4771" w:rsidR="008B2178" w:rsidRPr="009D4D24" w:rsidRDefault="008B2178" w:rsidP="00615061">
      <w:pPr>
        <w:pStyle w:val="QuotedText"/>
        <w:rPr>
          <w:noProof/>
          <w:spacing w:val="-4"/>
        </w:rPr>
      </w:pPr>
      <w:r w:rsidRPr="009D4D24">
        <w:rPr>
          <w:noProof/>
          <w:spacing w:val="-4"/>
        </w:rPr>
        <w:t>„Na účely tohto článku sa expozícia zaraďuje do kategórie kreditnej kvality zodpovedajúcej kategórii kreditnej kvality, do ktorá by bola zaradená podľa štandardizovaného prístupu pre kreditné riziko stanoveného</w:t>
      </w:r>
      <w:r w:rsidR="004F01E9" w:rsidRPr="009D4D24">
        <w:rPr>
          <w:noProof/>
          <w:spacing w:val="-4"/>
        </w:rPr>
        <w:t xml:space="preserve"> v </w:t>
      </w:r>
      <w:r w:rsidRPr="009D4D24">
        <w:rPr>
          <w:noProof/>
          <w:spacing w:val="-4"/>
        </w:rPr>
        <w:t>hlave II kapitole 2.</w:t>
      </w:r>
    </w:p>
    <w:p w14:paraId="1568C4B9" w14:textId="77777777" w:rsidR="008B2178" w:rsidRPr="004F01E9" w:rsidRDefault="008B2178" w:rsidP="00745C93">
      <w:pPr>
        <w:pStyle w:val="Text2"/>
        <w:rPr>
          <w:noProof/>
        </w:rPr>
      </w:pPr>
      <w:r w:rsidRPr="004F01E9">
        <w:rPr>
          <w:noProof/>
        </w:rPr>
        <w:t>Odchylne od druhého odseku môžu inštitúcie zaradiť rizikovú expozíciu krytého dlhopisu bez ratingu do skupiny 4, ak inštitúcia, ktorá emituje kryté dlhopisy, má stupeň kreditnej kvality 1 až 3.“</w:t>
      </w:r>
    </w:p>
    <w:p w14:paraId="6F4FAA92" w14:textId="33054CDC" w:rsidR="008B2178" w:rsidRPr="004F01E9" w:rsidRDefault="00B16452" w:rsidP="00B16452">
      <w:pPr>
        <w:pStyle w:val="Point0"/>
        <w:rPr>
          <w:noProof/>
        </w:rPr>
      </w:pPr>
      <w:r w:rsidRPr="00B16452">
        <w:rPr>
          <w:noProof/>
        </w:rPr>
        <w:t>148</w:t>
      </w:r>
      <w:r>
        <w:rPr>
          <w:noProof/>
        </w:rPr>
        <w:t>.</w:t>
      </w:r>
      <w:r w:rsidRPr="00B16452">
        <w:rPr>
          <w:noProof/>
        </w:rPr>
        <w:tab/>
      </w:r>
      <w:r w:rsidR="008B2178" w:rsidRPr="004F01E9">
        <w:rPr>
          <w:noProof/>
        </w:rPr>
        <w:t>V článku 325am ods. 1 sa dopĺňa tento odsek 3:</w:t>
      </w:r>
    </w:p>
    <w:p w14:paraId="5E4F9A2C" w14:textId="1DD4F4C8" w:rsidR="008B2178" w:rsidRPr="004F01E9" w:rsidRDefault="008B2178" w:rsidP="008B2178">
      <w:pPr>
        <w:pStyle w:val="Text1"/>
        <w:rPr>
          <w:noProof/>
        </w:rPr>
      </w:pPr>
      <w:r w:rsidRPr="004F01E9">
        <w:rPr>
          <w:noProof/>
        </w:rPr>
        <w:t>„3. Na účely tohto článku sa expozícia zaraďuje do kategórie kreditnej kvality zodpovedajúcej kategórii kreditnej kvality, do ktorej by bola zaradená podľa štandardizovaného prístupu pre kreditné riziko stanoveného</w:t>
      </w:r>
      <w:r w:rsidR="004F01E9">
        <w:rPr>
          <w:noProof/>
        </w:rPr>
        <w:t xml:space="preserve"> v </w:t>
      </w:r>
      <w:r w:rsidRPr="004F01E9">
        <w:rPr>
          <w:noProof/>
        </w:rPr>
        <w:t>hlave II kapitole 2.“</w:t>
      </w:r>
    </w:p>
    <w:p w14:paraId="18263624" w14:textId="76479015" w:rsidR="00806B81" w:rsidRPr="004F01E9" w:rsidRDefault="00B16452" w:rsidP="00B16452">
      <w:pPr>
        <w:pStyle w:val="Point0"/>
        <w:rPr>
          <w:noProof/>
        </w:rPr>
      </w:pPr>
      <w:r w:rsidRPr="00B16452">
        <w:rPr>
          <w:noProof/>
        </w:rPr>
        <w:t>149</w:t>
      </w:r>
      <w:r>
        <w:rPr>
          <w:noProof/>
        </w:rPr>
        <w:t>.</w:t>
      </w:r>
      <w:r w:rsidRPr="00B16452">
        <w:rPr>
          <w:noProof/>
        </w:rPr>
        <w:tab/>
      </w:r>
      <w:r w:rsidR="008B2178" w:rsidRPr="004F01E9">
        <w:rPr>
          <w:noProof/>
        </w:rPr>
        <w:t>V článku 325as sa tabuľka 9 mení takto:</w:t>
      </w:r>
    </w:p>
    <w:p w14:paraId="0FE03187" w14:textId="4CF2C2C1" w:rsidR="008B2178" w:rsidRPr="004F01E9" w:rsidRDefault="008B2178" w:rsidP="008B2178">
      <w:pPr>
        <w:pStyle w:val="Point1"/>
        <w:rPr>
          <w:noProof/>
        </w:rPr>
      </w:pPr>
      <w:r w:rsidRPr="004F01E9">
        <w:rPr>
          <w:noProof/>
        </w:rPr>
        <w:t>a)</w:t>
      </w:r>
      <w:r w:rsidRPr="004F01E9">
        <w:rPr>
          <w:noProof/>
        </w:rPr>
        <w:tab/>
        <w:t>Názov skupiny 3 nahrádza takto:</w:t>
      </w:r>
    </w:p>
    <w:p w14:paraId="26D8C70F" w14:textId="77777777" w:rsidR="008B2178" w:rsidRPr="004F01E9" w:rsidRDefault="008B2178" w:rsidP="008B2178">
      <w:pPr>
        <w:pStyle w:val="Text2"/>
        <w:rPr>
          <w:noProof/>
        </w:rPr>
      </w:pPr>
      <w:r w:rsidRPr="004F01E9">
        <w:rPr>
          <w:noProof/>
        </w:rPr>
        <w:t>„Energia – elektrina“;</w:t>
      </w:r>
    </w:p>
    <w:p w14:paraId="65595B12" w14:textId="77777777" w:rsidR="008B2178" w:rsidRPr="004F01E9" w:rsidRDefault="008B2178" w:rsidP="008B2178">
      <w:pPr>
        <w:pStyle w:val="Point1"/>
        <w:rPr>
          <w:noProof/>
        </w:rPr>
      </w:pPr>
      <w:r w:rsidRPr="004F01E9">
        <w:rPr>
          <w:noProof/>
        </w:rPr>
        <w:t>b)</w:t>
      </w:r>
      <w:r w:rsidRPr="004F01E9">
        <w:rPr>
          <w:noProof/>
        </w:rPr>
        <w:tab/>
        <w:t>Vkladá sa tento riadok:</w:t>
      </w:r>
    </w:p>
    <w:tbl>
      <w:tblPr>
        <w:tblStyle w:val="TableGrid"/>
        <w:tblW w:w="0" w:type="auto"/>
        <w:tblInd w:w="1440" w:type="dxa"/>
        <w:tblLook w:val="04A0" w:firstRow="1" w:lastRow="0" w:firstColumn="1" w:lastColumn="0" w:noHBand="0" w:noVBand="1"/>
      </w:tblPr>
      <w:tblGrid>
        <w:gridCol w:w="969"/>
        <w:gridCol w:w="3499"/>
        <w:gridCol w:w="1146"/>
      </w:tblGrid>
      <w:tr w:rsidR="008B2178" w:rsidRPr="004F01E9" w14:paraId="44A17ABA" w14:textId="77777777" w:rsidTr="008B2178">
        <w:trPr>
          <w:trHeight w:val="250"/>
        </w:trPr>
        <w:tc>
          <w:tcPr>
            <w:tcW w:w="969" w:type="dxa"/>
          </w:tcPr>
          <w:p w14:paraId="3007AC77" w14:textId="77777777" w:rsidR="008B2178" w:rsidRPr="004F01E9" w:rsidRDefault="008B2178" w:rsidP="008B2178">
            <w:pPr>
              <w:pStyle w:val="Text1"/>
              <w:ind w:left="0"/>
              <w:rPr>
                <w:noProof/>
                <w:szCs w:val="24"/>
              </w:rPr>
            </w:pPr>
            <w:r w:rsidRPr="004F01E9">
              <w:rPr>
                <w:noProof/>
              </w:rPr>
              <w:t>„3a</w:t>
            </w:r>
          </w:p>
        </w:tc>
        <w:tc>
          <w:tcPr>
            <w:tcW w:w="3499" w:type="dxa"/>
          </w:tcPr>
          <w:p w14:paraId="31700C6D" w14:textId="0165514F" w:rsidR="008B2178" w:rsidRPr="004F01E9" w:rsidRDefault="008B2178" w:rsidP="008B2178">
            <w:pPr>
              <w:pStyle w:val="Text1"/>
              <w:ind w:left="0"/>
              <w:rPr>
                <w:noProof/>
                <w:szCs w:val="24"/>
              </w:rPr>
            </w:pPr>
            <w:r w:rsidRPr="004F01E9">
              <w:rPr>
                <w:noProof/>
              </w:rPr>
              <w:t>Energia – obchodovanie</w:t>
            </w:r>
            <w:r w:rsidR="004F01E9">
              <w:rPr>
                <w:noProof/>
              </w:rPr>
              <w:t xml:space="preserve"> s </w:t>
            </w:r>
            <w:r w:rsidRPr="004F01E9">
              <w:rPr>
                <w:noProof/>
              </w:rPr>
              <w:t>emisiami uhlíka</w:t>
            </w:r>
          </w:p>
        </w:tc>
        <w:tc>
          <w:tcPr>
            <w:tcW w:w="1146" w:type="dxa"/>
          </w:tcPr>
          <w:p w14:paraId="3299781B" w14:textId="78753440" w:rsidR="008B2178" w:rsidRPr="004F01E9" w:rsidRDefault="008B2178" w:rsidP="008B2178">
            <w:pPr>
              <w:pStyle w:val="Text1"/>
              <w:ind w:left="0"/>
              <w:rPr>
                <w:noProof/>
                <w:szCs w:val="24"/>
              </w:rPr>
            </w:pPr>
            <w:r w:rsidRPr="004F01E9">
              <w:rPr>
                <w:noProof/>
              </w:rPr>
              <w:t>40</w:t>
            </w:r>
            <w:r w:rsidR="004F01E9">
              <w:rPr>
                <w:noProof/>
              </w:rPr>
              <w:t> %</w:t>
            </w:r>
          </w:p>
        </w:tc>
      </w:tr>
    </w:tbl>
    <w:p w14:paraId="01EE0006" w14:textId="77777777" w:rsidR="00551441" w:rsidRPr="004F01E9" w:rsidRDefault="008B2178" w:rsidP="00551441">
      <w:pPr>
        <w:pStyle w:val="Text1"/>
        <w:rPr>
          <w:noProof/>
        </w:rPr>
      </w:pPr>
      <w:r w:rsidRPr="004F01E9">
        <w:rPr>
          <w:noProof/>
        </w:rPr>
        <w:t>“.</w:t>
      </w:r>
    </w:p>
    <w:p w14:paraId="2F7B7B90" w14:textId="2ABF8591" w:rsidR="00806B81" w:rsidRPr="004F01E9" w:rsidRDefault="00B16452" w:rsidP="00B16452">
      <w:pPr>
        <w:pStyle w:val="Point0"/>
        <w:rPr>
          <w:noProof/>
        </w:rPr>
      </w:pPr>
      <w:r w:rsidRPr="00B16452">
        <w:rPr>
          <w:noProof/>
        </w:rPr>
        <w:t>150</w:t>
      </w:r>
      <w:r>
        <w:rPr>
          <w:noProof/>
        </w:rPr>
        <w:t>.</w:t>
      </w:r>
      <w:r w:rsidRPr="00B16452">
        <w:rPr>
          <w:noProof/>
        </w:rPr>
        <w:tab/>
      </w:r>
      <w:r w:rsidR="008B2178" w:rsidRPr="004F01E9">
        <w:rPr>
          <w:noProof/>
        </w:rPr>
        <w:t>Článok 325ax sa mení takto:</w:t>
      </w:r>
    </w:p>
    <w:p w14:paraId="2EB027F0" w14:textId="277FC870" w:rsidR="008B2178" w:rsidRPr="004F01E9" w:rsidRDefault="00CC7104" w:rsidP="00CC7104">
      <w:pPr>
        <w:pStyle w:val="Point1"/>
        <w:rPr>
          <w:noProof/>
        </w:rPr>
      </w:pPr>
      <w:r w:rsidRPr="004F01E9">
        <w:rPr>
          <w:noProof/>
        </w:rPr>
        <w:t>a)</w:t>
      </w:r>
      <w:r w:rsidRPr="004F01E9">
        <w:rPr>
          <w:noProof/>
        </w:rPr>
        <w:tab/>
        <w:t>Odseky 1</w:t>
      </w:r>
      <w:r w:rsidR="004F01E9">
        <w:rPr>
          <w:noProof/>
        </w:rPr>
        <w:t xml:space="preserve"> a </w:t>
      </w:r>
      <w:r w:rsidRPr="004F01E9">
        <w:rPr>
          <w:noProof/>
        </w:rPr>
        <w:t>2 sa nahrádzajú takto:</w:t>
      </w:r>
    </w:p>
    <w:p w14:paraId="36F8F4D6" w14:textId="7F6F1A26" w:rsidR="008B2178" w:rsidRPr="004F01E9" w:rsidRDefault="008B2178" w:rsidP="008B2178">
      <w:pPr>
        <w:pStyle w:val="Text2"/>
        <w:rPr>
          <w:noProof/>
          <w:szCs w:val="24"/>
        </w:rPr>
      </w:pPr>
      <w:r w:rsidRPr="004F01E9">
        <w:rPr>
          <w:noProof/>
        </w:rPr>
        <w:t>„1. Skupiny pre faktory rizika vega musia byť podobné skupinám stanoveným pre faktory rizika delta</w:t>
      </w:r>
      <w:r w:rsidR="004F01E9">
        <w:rPr>
          <w:noProof/>
        </w:rPr>
        <w:t xml:space="preserve"> v </w:t>
      </w:r>
      <w:r w:rsidRPr="004F01E9">
        <w:rPr>
          <w:noProof/>
        </w:rPr>
        <w:t>súlade</w:t>
      </w:r>
      <w:r w:rsidR="004F01E9">
        <w:rPr>
          <w:noProof/>
        </w:rPr>
        <w:t xml:space="preserve"> s </w:t>
      </w:r>
      <w:r w:rsidRPr="004F01E9">
        <w:rPr>
          <w:noProof/>
        </w:rPr>
        <w:t>touto kapitolou oddielom 3 pododdielom 1.</w:t>
      </w:r>
    </w:p>
    <w:p w14:paraId="07D576A2" w14:textId="323E0C10" w:rsidR="008B2178" w:rsidRPr="004F01E9" w:rsidRDefault="008B2178" w:rsidP="008B2178">
      <w:pPr>
        <w:pStyle w:val="Text2"/>
        <w:rPr>
          <w:noProof/>
          <w:szCs w:val="24"/>
        </w:rPr>
      </w:pPr>
      <w:r w:rsidRPr="004F01E9">
        <w:rPr>
          <w:noProof/>
        </w:rPr>
        <w:t>2. Rizikové váhy pre citlivosti na faktory rizika vega sa priraďujú</w:t>
      </w:r>
      <w:r w:rsidR="004F01E9">
        <w:rPr>
          <w:noProof/>
        </w:rPr>
        <w:t xml:space="preserve"> v </w:t>
      </w:r>
      <w:r w:rsidRPr="004F01E9">
        <w:rPr>
          <w:noProof/>
        </w:rPr>
        <w:t>súlade</w:t>
      </w:r>
      <w:r w:rsidR="004F01E9">
        <w:rPr>
          <w:noProof/>
        </w:rPr>
        <w:t xml:space="preserve"> s </w:t>
      </w:r>
      <w:r w:rsidRPr="004F01E9">
        <w:rPr>
          <w:noProof/>
        </w:rPr>
        <w:t>triedou rizika rizikových faktorov takto:</w:t>
      </w:r>
    </w:p>
    <w:p w14:paraId="2334E3DE" w14:textId="77777777" w:rsidR="008B2178" w:rsidRPr="004F01E9" w:rsidRDefault="008B2178" w:rsidP="00CC7104">
      <w:pPr>
        <w:pStyle w:val="Text2"/>
        <w:jc w:val="center"/>
        <w:rPr>
          <w:i/>
          <w:noProof/>
        </w:rPr>
      </w:pPr>
      <w:r w:rsidRPr="004F01E9">
        <w:rPr>
          <w:i/>
          <w:noProof/>
        </w:rPr>
        <w:t>Tabuľka 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1"/>
        <w:gridCol w:w="1386"/>
      </w:tblGrid>
      <w:tr w:rsidR="008B2178" w:rsidRPr="004F01E9" w14:paraId="085B5478" w14:textId="77777777" w:rsidTr="008B2178">
        <w:trPr>
          <w:jc w:val="center"/>
        </w:trPr>
        <w:tc>
          <w:tcPr>
            <w:tcW w:w="2661" w:type="dxa"/>
            <w:shd w:val="clear" w:color="auto" w:fill="auto"/>
            <w:vAlign w:val="center"/>
          </w:tcPr>
          <w:p w14:paraId="3F168C46" w14:textId="77777777" w:rsidR="008B2178" w:rsidRPr="004F01E9" w:rsidRDefault="008B2178" w:rsidP="009D4D24">
            <w:pPr>
              <w:pStyle w:val="QuotedText"/>
              <w:ind w:left="284"/>
              <w:rPr>
                <w:noProof/>
                <w:szCs w:val="24"/>
              </w:rPr>
            </w:pPr>
            <w:r w:rsidRPr="004F01E9">
              <w:rPr>
                <w:noProof/>
              </w:rPr>
              <w:t>Trieda rizika</w:t>
            </w:r>
          </w:p>
        </w:tc>
        <w:tc>
          <w:tcPr>
            <w:tcW w:w="1386" w:type="dxa"/>
            <w:vAlign w:val="center"/>
          </w:tcPr>
          <w:p w14:paraId="5F101DFD" w14:textId="77777777" w:rsidR="008B2178" w:rsidRPr="004F01E9" w:rsidRDefault="008B2178" w:rsidP="009D4D24">
            <w:pPr>
              <w:pStyle w:val="QuotedText"/>
              <w:ind w:left="284"/>
              <w:rPr>
                <w:rFonts w:eastAsia="Calibri"/>
                <w:noProof/>
                <w:position w:val="-6"/>
                <w:szCs w:val="24"/>
              </w:rPr>
            </w:pPr>
            <w:r w:rsidRPr="004F01E9">
              <w:rPr>
                <w:noProof/>
              </w:rPr>
              <w:t>Rizikové váhy</w:t>
            </w:r>
          </w:p>
        </w:tc>
      </w:tr>
      <w:tr w:rsidR="008B2178" w:rsidRPr="004F01E9" w14:paraId="69E0003C" w14:textId="77777777" w:rsidTr="008B2178">
        <w:trPr>
          <w:jc w:val="center"/>
        </w:trPr>
        <w:tc>
          <w:tcPr>
            <w:tcW w:w="2661" w:type="dxa"/>
            <w:shd w:val="clear" w:color="auto" w:fill="auto"/>
            <w:vAlign w:val="center"/>
          </w:tcPr>
          <w:p w14:paraId="32C4461A" w14:textId="77777777" w:rsidR="008B2178" w:rsidRPr="004F01E9" w:rsidRDefault="008B2178" w:rsidP="009D4D24">
            <w:pPr>
              <w:pStyle w:val="QuotedText"/>
              <w:ind w:left="284"/>
              <w:rPr>
                <w:noProof/>
                <w:szCs w:val="24"/>
              </w:rPr>
            </w:pPr>
            <w:bookmarkStart w:id="3" w:name="_DV_C1431"/>
            <w:r w:rsidRPr="004F01E9">
              <w:rPr>
                <w:noProof/>
              </w:rPr>
              <w:t>GIRR</w:t>
            </w:r>
            <w:bookmarkEnd w:id="3"/>
          </w:p>
        </w:tc>
        <w:tc>
          <w:tcPr>
            <w:tcW w:w="1386" w:type="dxa"/>
            <w:vAlign w:val="center"/>
          </w:tcPr>
          <w:p w14:paraId="2EC22A5D" w14:textId="3094CC04" w:rsidR="008B2178" w:rsidRPr="004F01E9" w:rsidRDefault="008B2178" w:rsidP="009D4D24">
            <w:pPr>
              <w:pStyle w:val="QuotedText"/>
              <w:ind w:left="284"/>
              <w:rPr>
                <w:noProof/>
                <w:szCs w:val="24"/>
              </w:rPr>
            </w:pPr>
            <w:r w:rsidRPr="004F01E9">
              <w:rPr>
                <w:noProof/>
              </w:rPr>
              <w:t>100</w:t>
            </w:r>
            <w:r w:rsidR="004F01E9">
              <w:rPr>
                <w:noProof/>
              </w:rPr>
              <w:t> %</w:t>
            </w:r>
          </w:p>
        </w:tc>
      </w:tr>
      <w:tr w:rsidR="008B2178" w:rsidRPr="004F01E9" w14:paraId="1032D6E8" w14:textId="77777777" w:rsidTr="008B2178">
        <w:trPr>
          <w:jc w:val="center"/>
        </w:trPr>
        <w:tc>
          <w:tcPr>
            <w:tcW w:w="2661" w:type="dxa"/>
            <w:shd w:val="clear" w:color="auto" w:fill="auto"/>
            <w:vAlign w:val="center"/>
          </w:tcPr>
          <w:p w14:paraId="5175DE74" w14:textId="77777777" w:rsidR="008B2178" w:rsidRPr="004F01E9" w:rsidRDefault="008B2178" w:rsidP="009D4D24">
            <w:pPr>
              <w:pStyle w:val="QuotedText"/>
              <w:ind w:left="284"/>
              <w:rPr>
                <w:noProof/>
                <w:szCs w:val="24"/>
              </w:rPr>
            </w:pPr>
            <w:r w:rsidRPr="004F01E9">
              <w:rPr>
                <w:noProof/>
              </w:rPr>
              <w:t>CSR nesekuritizácie</w:t>
            </w:r>
          </w:p>
        </w:tc>
        <w:tc>
          <w:tcPr>
            <w:tcW w:w="1386" w:type="dxa"/>
            <w:vAlign w:val="center"/>
          </w:tcPr>
          <w:p w14:paraId="31E3EE1F" w14:textId="1DA30E47" w:rsidR="008B2178" w:rsidRPr="004F01E9" w:rsidRDefault="008B2178" w:rsidP="009D4D24">
            <w:pPr>
              <w:pStyle w:val="QuotedText"/>
              <w:ind w:left="284"/>
              <w:rPr>
                <w:noProof/>
                <w:szCs w:val="24"/>
              </w:rPr>
            </w:pPr>
            <w:r w:rsidRPr="004F01E9">
              <w:rPr>
                <w:noProof/>
              </w:rPr>
              <w:t>100</w:t>
            </w:r>
            <w:r w:rsidR="004F01E9">
              <w:rPr>
                <w:noProof/>
              </w:rPr>
              <w:t> %</w:t>
            </w:r>
          </w:p>
        </w:tc>
      </w:tr>
      <w:tr w:rsidR="008B2178" w:rsidRPr="004F01E9" w14:paraId="01F41366" w14:textId="77777777" w:rsidTr="008B2178">
        <w:trPr>
          <w:jc w:val="center"/>
        </w:trPr>
        <w:tc>
          <w:tcPr>
            <w:tcW w:w="2661" w:type="dxa"/>
            <w:shd w:val="clear" w:color="auto" w:fill="auto"/>
            <w:vAlign w:val="center"/>
          </w:tcPr>
          <w:p w14:paraId="096B4C3D" w14:textId="77777777" w:rsidR="008B2178" w:rsidRPr="004F01E9" w:rsidRDefault="008B2178" w:rsidP="009D4D24">
            <w:pPr>
              <w:pStyle w:val="QuotedText"/>
              <w:ind w:left="284"/>
              <w:rPr>
                <w:noProof/>
                <w:szCs w:val="24"/>
              </w:rPr>
            </w:pPr>
            <w:r w:rsidRPr="004F01E9">
              <w:rPr>
                <w:noProof/>
              </w:rPr>
              <w:t>CSR sekuritizácie (ACTP)</w:t>
            </w:r>
          </w:p>
        </w:tc>
        <w:tc>
          <w:tcPr>
            <w:tcW w:w="1386" w:type="dxa"/>
            <w:vAlign w:val="center"/>
          </w:tcPr>
          <w:p w14:paraId="74587E59" w14:textId="06A32A85" w:rsidR="008B2178" w:rsidRPr="004F01E9" w:rsidRDefault="008B2178" w:rsidP="009D4D24">
            <w:pPr>
              <w:pStyle w:val="QuotedText"/>
              <w:ind w:left="284"/>
              <w:rPr>
                <w:noProof/>
                <w:szCs w:val="24"/>
              </w:rPr>
            </w:pPr>
            <w:r w:rsidRPr="004F01E9">
              <w:rPr>
                <w:noProof/>
              </w:rPr>
              <w:t>100</w:t>
            </w:r>
            <w:r w:rsidR="004F01E9">
              <w:rPr>
                <w:noProof/>
              </w:rPr>
              <w:t> %</w:t>
            </w:r>
          </w:p>
        </w:tc>
      </w:tr>
      <w:tr w:rsidR="008B2178" w:rsidRPr="004F01E9" w14:paraId="63101A6C" w14:textId="77777777" w:rsidTr="008B2178">
        <w:trPr>
          <w:jc w:val="center"/>
        </w:trPr>
        <w:tc>
          <w:tcPr>
            <w:tcW w:w="2661" w:type="dxa"/>
            <w:shd w:val="clear" w:color="auto" w:fill="auto"/>
            <w:vAlign w:val="center"/>
          </w:tcPr>
          <w:p w14:paraId="0B98D54C" w14:textId="77777777" w:rsidR="008B2178" w:rsidRPr="004F01E9" w:rsidRDefault="008B2178" w:rsidP="009D4D24">
            <w:pPr>
              <w:pStyle w:val="QuotedText"/>
              <w:ind w:left="284"/>
              <w:rPr>
                <w:noProof/>
                <w:szCs w:val="24"/>
              </w:rPr>
            </w:pPr>
            <w:r w:rsidRPr="004F01E9">
              <w:rPr>
                <w:noProof/>
              </w:rPr>
              <w:t>CSR sekuritizácie (mimo ACTP)</w:t>
            </w:r>
          </w:p>
        </w:tc>
        <w:tc>
          <w:tcPr>
            <w:tcW w:w="1386" w:type="dxa"/>
            <w:vAlign w:val="center"/>
          </w:tcPr>
          <w:p w14:paraId="013B82A8" w14:textId="50B90C87" w:rsidR="008B2178" w:rsidRPr="004F01E9" w:rsidRDefault="008B2178" w:rsidP="009D4D24">
            <w:pPr>
              <w:pStyle w:val="QuotedText"/>
              <w:ind w:left="284"/>
              <w:rPr>
                <w:noProof/>
                <w:szCs w:val="24"/>
              </w:rPr>
            </w:pPr>
            <w:r w:rsidRPr="004F01E9">
              <w:rPr>
                <w:noProof/>
              </w:rPr>
              <w:t>100</w:t>
            </w:r>
            <w:r w:rsidR="004F01E9">
              <w:rPr>
                <w:noProof/>
              </w:rPr>
              <w:t> %</w:t>
            </w:r>
          </w:p>
        </w:tc>
      </w:tr>
      <w:tr w:rsidR="008B2178" w:rsidRPr="004F01E9" w14:paraId="795B9E1B" w14:textId="77777777" w:rsidTr="008B2178">
        <w:trPr>
          <w:jc w:val="center"/>
        </w:trPr>
        <w:tc>
          <w:tcPr>
            <w:tcW w:w="2661" w:type="dxa"/>
            <w:shd w:val="clear" w:color="auto" w:fill="auto"/>
            <w:vAlign w:val="center"/>
          </w:tcPr>
          <w:p w14:paraId="7BD2830B" w14:textId="6BD61B42" w:rsidR="008B2178" w:rsidRPr="004F01E9" w:rsidRDefault="008B2178" w:rsidP="009D4D24">
            <w:pPr>
              <w:pStyle w:val="QuotedText"/>
              <w:ind w:left="284"/>
              <w:rPr>
                <w:noProof/>
                <w:szCs w:val="24"/>
              </w:rPr>
            </w:pPr>
            <w:bookmarkStart w:id="4" w:name="_DV_C1439"/>
            <w:r w:rsidRPr="004F01E9">
              <w:rPr>
                <w:noProof/>
              </w:rPr>
              <w:t>Kapitál (veľká trhová kapitalizácia</w:t>
            </w:r>
            <w:r w:rsidR="004F01E9">
              <w:rPr>
                <w:noProof/>
              </w:rPr>
              <w:t xml:space="preserve"> a </w:t>
            </w:r>
            <w:r w:rsidRPr="004F01E9">
              <w:rPr>
                <w:noProof/>
              </w:rPr>
              <w:t>indexy)</w:t>
            </w:r>
            <w:bookmarkEnd w:id="4"/>
          </w:p>
        </w:tc>
        <w:tc>
          <w:tcPr>
            <w:tcW w:w="1386" w:type="dxa"/>
            <w:vAlign w:val="center"/>
          </w:tcPr>
          <w:p w14:paraId="55FA2B4A" w14:textId="54D262EF" w:rsidR="008B2178" w:rsidRPr="004F01E9" w:rsidRDefault="008B2178" w:rsidP="009D4D24">
            <w:pPr>
              <w:pStyle w:val="QuotedText"/>
              <w:ind w:left="284"/>
              <w:rPr>
                <w:noProof/>
                <w:szCs w:val="24"/>
              </w:rPr>
            </w:pPr>
            <w:r w:rsidRPr="004F01E9">
              <w:rPr>
                <w:noProof/>
              </w:rPr>
              <w:t>77,78</w:t>
            </w:r>
            <w:r w:rsidR="004F01E9">
              <w:rPr>
                <w:noProof/>
              </w:rPr>
              <w:t> %</w:t>
            </w:r>
          </w:p>
        </w:tc>
      </w:tr>
      <w:tr w:rsidR="008B2178" w:rsidRPr="004F01E9" w14:paraId="57FC78E3" w14:textId="77777777" w:rsidTr="008B2178">
        <w:trPr>
          <w:jc w:val="center"/>
        </w:trPr>
        <w:tc>
          <w:tcPr>
            <w:tcW w:w="2661" w:type="dxa"/>
            <w:shd w:val="clear" w:color="auto" w:fill="auto"/>
            <w:vAlign w:val="center"/>
          </w:tcPr>
          <w:p w14:paraId="4ACD650C" w14:textId="0C8AECAA" w:rsidR="008B2178" w:rsidRPr="004F01E9" w:rsidRDefault="008B2178" w:rsidP="009D4D24">
            <w:pPr>
              <w:pStyle w:val="QuotedText"/>
              <w:ind w:left="284"/>
              <w:rPr>
                <w:noProof/>
                <w:szCs w:val="24"/>
              </w:rPr>
            </w:pPr>
            <w:r w:rsidRPr="004F01E9">
              <w:rPr>
                <w:noProof/>
              </w:rPr>
              <w:t>Kapitál (malá trhová kapitalizácia</w:t>
            </w:r>
            <w:r w:rsidR="004F01E9">
              <w:rPr>
                <w:noProof/>
              </w:rPr>
              <w:t xml:space="preserve"> a </w:t>
            </w:r>
            <w:r w:rsidRPr="004F01E9">
              <w:rPr>
                <w:noProof/>
              </w:rPr>
              <w:t>iné sektory)</w:t>
            </w:r>
          </w:p>
        </w:tc>
        <w:tc>
          <w:tcPr>
            <w:tcW w:w="1386" w:type="dxa"/>
            <w:vAlign w:val="center"/>
          </w:tcPr>
          <w:p w14:paraId="44AA6549" w14:textId="3EC9DD3B" w:rsidR="008B2178" w:rsidRPr="004F01E9" w:rsidRDefault="008B2178" w:rsidP="009D4D24">
            <w:pPr>
              <w:pStyle w:val="QuotedText"/>
              <w:ind w:left="284"/>
              <w:rPr>
                <w:noProof/>
                <w:szCs w:val="24"/>
              </w:rPr>
            </w:pPr>
            <w:r w:rsidRPr="004F01E9">
              <w:rPr>
                <w:noProof/>
              </w:rPr>
              <w:t>100</w:t>
            </w:r>
            <w:r w:rsidR="004F01E9">
              <w:rPr>
                <w:noProof/>
              </w:rPr>
              <w:t> %</w:t>
            </w:r>
          </w:p>
        </w:tc>
      </w:tr>
      <w:tr w:rsidR="008B2178" w:rsidRPr="004F01E9" w14:paraId="5E792DB4" w14:textId="77777777" w:rsidTr="008B2178">
        <w:trPr>
          <w:jc w:val="center"/>
        </w:trPr>
        <w:tc>
          <w:tcPr>
            <w:tcW w:w="2661" w:type="dxa"/>
            <w:shd w:val="clear" w:color="auto" w:fill="auto"/>
            <w:vAlign w:val="center"/>
          </w:tcPr>
          <w:p w14:paraId="0BB66E5D" w14:textId="77777777" w:rsidR="008B2178" w:rsidRPr="004F01E9" w:rsidRDefault="008B2178" w:rsidP="009D4D24">
            <w:pPr>
              <w:pStyle w:val="QuotedText"/>
              <w:ind w:left="284"/>
              <w:rPr>
                <w:noProof/>
                <w:szCs w:val="24"/>
              </w:rPr>
            </w:pPr>
            <w:r w:rsidRPr="004F01E9">
              <w:rPr>
                <w:noProof/>
              </w:rPr>
              <w:t>Komodita</w:t>
            </w:r>
          </w:p>
        </w:tc>
        <w:tc>
          <w:tcPr>
            <w:tcW w:w="1386" w:type="dxa"/>
            <w:vAlign w:val="center"/>
          </w:tcPr>
          <w:p w14:paraId="70B4ADB7" w14:textId="62D4B65E" w:rsidR="008B2178" w:rsidRPr="004F01E9" w:rsidRDefault="008B2178" w:rsidP="009D4D24">
            <w:pPr>
              <w:pStyle w:val="QuotedText"/>
              <w:ind w:left="284"/>
              <w:rPr>
                <w:noProof/>
                <w:szCs w:val="24"/>
              </w:rPr>
            </w:pPr>
            <w:r w:rsidRPr="004F01E9">
              <w:rPr>
                <w:noProof/>
              </w:rPr>
              <w:t>100</w:t>
            </w:r>
            <w:r w:rsidR="004F01E9">
              <w:rPr>
                <w:noProof/>
              </w:rPr>
              <w:t> %</w:t>
            </w:r>
          </w:p>
        </w:tc>
      </w:tr>
      <w:tr w:rsidR="008B2178" w:rsidRPr="004F01E9" w14:paraId="5F1B7906" w14:textId="77777777" w:rsidTr="008B2178">
        <w:trPr>
          <w:jc w:val="center"/>
        </w:trPr>
        <w:tc>
          <w:tcPr>
            <w:tcW w:w="2661" w:type="dxa"/>
            <w:shd w:val="clear" w:color="auto" w:fill="auto"/>
            <w:vAlign w:val="center"/>
          </w:tcPr>
          <w:p w14:paraId="69DB45B4" w14:textId="77777777" w:rsidR="008B2178" w:rsidRPr="004F01E9" w:rsidRDefault="008B2178" w:rsidP="009D4D24">
            <w:pPr>
              <w:pStyle w:val="QuotedText"/>
              <w:ind w:left="284"/>
              <w:rPr>
                <w:noProof/>
                <w:szCs w:val="24"/>
              </w:rPr>
            </w:pPr>
            <w:r w:rsidRPr="004F01E9">
              <w:rPr>
                <w:noProof/>
              </w:rPr>
              <w:t>Devízy</w:t>
            </w:r>
          </w:p>
        </w:tc>
        <w:tc>
          <w:tcPr>
            <w:tcW w:w="1386" w:type="dxa"/>
            <w:vAlign w:val="center"/>
          </w:tcPr>
          <w:p w14:paraId="1C0DF923" w14:textId="6140CFCC" w:rsidR="008B2178" w:rsidRPr="004F01E9" w:rsidRDefault="008B2178" w:rsidP="009D4D24">
            <w:pPr>
              <w:pStyle w:val="QuotedText"/>
              <w:ind w:left="284"/>
              <w:rPr>
                <w:noProof/>
                <w:szCs w:val="24"/>
              </w:rPr>
            </w:pPr>
            <w:r w:rsidRPr="004F01E9">
              <w:rPr>
                <w:noProof/>
              </w:rPr>
              <w:t>100</w:t>
            </w:r>
            <w:r w:rsidR="004F01E9">
              <w:rPr>
                <w:noProof/>
              </w:rPr>
              <w:t> %</w:t>
            </w:r>
            <w:r w:rsidRPr="004F01E9">
              <w:rPr>
                <w:noProof/>
              </w:rPr>
              <w:t>“;</w:t>
            </w:r>
          </w:p>
        </w:tc>
      </w:tr>
    </w:tbl>
    <w:p w14:paraId="3BFEB5B2" w14:textId="35AB66E0" w:rsidR="008B2178" w:rsidRPr="004F01E9" w:rsidRDefault="00CC7104" w:rsidP="00CC7104">
      <w:pPr>
        <w:pStyle w:val="Point1"/>
        <w:rPr>
          <w:noProof/>
        </w:rPr>
      </w:pPr>
      <w:r w:rsidRPr="004F01E9">
        <w:rPr>
          <w:noProof/>
        </w:rPr>
        <w:t>b)</w:t>
      </w:r>
      <w:r w:rsidRPr="004F01E9">
        <w:rPr>
          <w:noProof/>
        </w:rPr>
        <w:tab/>
        <w:t>Odsek 3 sa vypúšťa.</w:t>
      </w:r>
    </w:p>
    <w:p w14:paraId="3459455D" w14:textId="6DA378A9" w:rsidR="00806B81" w:rsidRPr="004F01E9" w:rsidRDefault="00B16452" w:rsidP="00B16452">
      <w:pPr>
        <w:pStyle w:val="Point0"/>
        <w:rPr>
          <w:noProof/>
        </w:rPr>
      </w:pPr>
      <w:r w:rsidRPr="00B16452">
        <w:rPr>
          <w:noProof/>
        </w:rPr>
        <w:t>151</w:t>
      </w:r>
      <w:r>
        <w:rPr>
          <w:noProof/>
        </w:rPr>
        <w:t>.</w:t>
      </w:r>
      <w:r w:rsidRPr="00B16452">
        <w:rPr>
          <w:noProof/>
        </w:rPr>
        <w:tab/>
      </w:r>
      <w:r w:rsidR="008B2178" w:rsidRPr="004F01E9">
        <w:rPr>
          <w:noProof/>
        </w:rPr>
        <w:t>Článok 325az sa mení takto:</w:t>
      </w:r>
    </w:p>
    <w:p w14:paraId="55B19A9B" w14:textId="505175B0" w:rsidR="00806B81" w:rsidRPr="004F01E9" w:rsidRDefault="0047613E" w:rsidP="0047613E">
      <w:pPr>
        <w:pStyle w:val="Point1"/>
        <w:rPr>
          <w:noProof/>
        </w:rPr>
      </w:pPr>
      <w:r w:rsidRPr="004F01E9">
        <w:rPr>
          <w:noProof/>
        </w:rPr>
        <w:t>a)</w:t>
      </w:r>
      <w:r w:rsidRPr="004F01E9">
        <w:rPr>
          <w:noProof/>
        </w:rPr>
        <w:tab/>
        <w:t>Odsek 1 sa nahrádza takto:</w:t>
      </w:r>
    </w:p>
    <w:p w14:paraId="0C607E87" w14:textId="6707D993" w:rsidR="008B2178" w:rsidRPr="004F01E9" w:rsidRDefault="008B2178" w:rsidP="008B2178">
      <w:pPr>
        <w:pStyle w:val="Text2"/>
        <w:rPr>
          <w:noProof/>
        </w:rPr>
      </w:pPr>
      <w:r w:rsidRPr="004F01E9">
        <w:rPr>
          <w:noProof/>
        </w:rPr>
        <w:t>„1. Inštitúcia môže na výpočet svojich požiadaviek na vlastné zdroje pre trhové riziko použiť alternatívny prístup interného modelu za predpokladu, že spĺňa všetky požiadavky stanovené</w:t>
      </w:r>
      <w:r w:rsidR="004F01E9">
        <w:rPr>
          <w:noProof/>
        </w:rPr>
        <w:t xml:space="preserve"> v </w:t>
      </w:r>
      <w:r w:rsidRPr="004F01E9">
        <w:rPr>
          <w:noProof/>
        </w:rPr>
        <w:t>tejto kapitole.“;</w:t>
      </w:r>
    </w:p>
    <w:p w14:paraId="63347EFC" w14:textId="22C8BCBD" w:rsidR="00806B81" w:rsidRPr="004F01E9" w:rsidRDefault="0047613E" w:rsidP="0047613E">
      <w:pPr>
        <w:pStyle w:val="Point1"/>
        <w:rPr>
          <w:noProof/>
        </w:rPr>
      </w:pPr>
      <w:r w:rsidRPr="004F01E9">
        <w:rPr>
          <w:noProof/>
        </w:rPr>
        <w:t>c)</w:t>
      </w:r>
      <w:r w:rsidRPr="004F01E9">
        <w:rPr>
          <w:noProof/>
        </w:rPr>
        <w:tab/>
        <w:t>V odseku 2 sa prvý pododsek mení takto:</w:t>
      </w:r>
    </w:p>
    <w:p w14:paraId="3C575492" w14:textId="1E818506" w:rsidR="00806B81" w:rsidRPr="004F01E9" w:rsidRDefault="008B2178" w:rsidP="008B2178">
      <w:pPr>
        <w:pStyle w:val="Point2"/>
        <w:rPr>
          <w:noProof/>
        </w:rPr>
      </w:pPr>
      <w:r w:rsidRPr="004F01E9">
        <w:rPr>
          <w:noProof/>
        </w:rPr>
        <w:t>i)</w:t>
      </w:r>
      <w:r w:rsidRPr="004F01E9">
        <w:rPr>
          <w:noProof/>
        </w:rPr>
        <w:tab/>
        <w:t>Písmená c)</w:t>
      </w:r>
      <w:r w:rsidR="004F01E9">
        <w:rPr>
          <w:noProof/>
        </w:rPr>
        <w:t xml:space="preserve"> a </w:t>
      </w:r>
      <w:r w:rsidRPr="004F01E9">
        <w:rPr>
          <w:noProof/>
        </w:rPr>
        <w:t>d) nahrádzajú takto:</w:t>
      </w:r>
    </w:p>
    <w:p w14:paraId="6987E4E3" w14:textId="3C4C9146" w:rsidR="00806B81" w:rsidRPr="004F01E9" w:rsidRDefault="008B2178" w:rsidP="00615061">
      <w:pPr>
        <w:pStyle w:val="Text3"/>
        <w:rPr>
          <w:noProof/>
        </w:rPr>
      </w:pPr>
      <w:r w:rsidRPr="004F01E9">
        <w:rPr>
          <w:noProof/>
        </w:rPr>
        <w:t>„c) trading desky splnili požiadavky na spätné testovanie uvedené</w:t>
      </w:r>
      <w:r w:rsidR="004F01E9">
        <w:rPr>
          <w:noProof/>
        </w:rPr>
        <w:t xml:space="preserve"> v </w:t>
      </w:r>
      <w:r w:rsidRPr="004F01E9">
        <w:rPr>
          <w:noProof/>
        </w:rPr>
        <w:t>článku 325bf ods. 3;</w:t>
      </w:r>
    </w:p>
    <w:p w14:paraId="52C185FE" w14:textId="45ED8FD1" w:rsidR="008B2178" w:rsidRPr="004F01E9" w:rsidRDefault="008B2178" w:rsidP="00615061">
      <w:pPr>
        <w:pStyle w:val="Text3"/>
        <w:rPr>
          <w:noProof/>
        </w:rPr>
      </w:pPr>
      <w:r w:rsidRPr="004F01E9">
        <w:rPr>
          <w:noProof/>
        </w:rPr>
        <w:t>d) trading desky splnili požiadavky na pridelenie ziskov</w:t>
      </w:r>
      <w:r w:rsidR="004F01E9">
        <w:rPr>
          <w:noProof/>
        </w:rPr>
        <w:t xml:space="preserve"> a </w:t>
      </w:r>
      <w:r w:rsidRPr="004F01E9">
        <w:rPr>
          <w:noProof/>
        </w:rPr>
        <w:t>strát uvedené</w:t>
      </w:r>
      <w:r w:rsidR="004F01E9">
        <w:rPr>
          <w:noProof/>
        </w:rPr>
        <w:t xml:space="preserve"> v </w:t>
      </w:r>
      <w:r w:rsidRPr="004F01E9">
        <w:rPr>
          <w:noProof/>
        </w:rPr>
        <w:t>článku 325bg;“;</w:t>
      </w:r>
    </w:p>
    <w:p w14:paraId="653E52A3" w14:textId="77777777" w:rsidR="008B2178" w:rsidRPr="004F01E9" w:rsidRDefault="008B2178" w:rsidP="008B2178">
      <w:pPr>
        <w:pStyle w:val="Point2"/>
        <w:rPr>
          <w:noProof/>
        </w:rPr>
      </w:pPr>
      <w:r w:rsidRPr="004F01E9">
        <w:rPr>
          <w:noProof/>
        </w:rPr>
        <w:t>ii)</w:t>
      </w:r>
      <w:r w:rsidRPr="004F01E9">
        <w:rPr>
          <w:noProof/>
        </w:rPr>
        <w:tab/>
        <w:t>Dopĺňa sa toto písmeno g):</w:t>
      </w:r>
    </w:p>
    <w:p w14:paraId="22F5309A" w14:textId="7B8FDE2F" w:rsidR="008B2178" w:rsidRPr="004F01E9" w:rsidRDefault="008B2178" w:rsidP="00615061">
      <w:pPr>
        <w:pStyle w:val="Text3"/>
        <w:rPr>
          <w:noProof/>
        </w:rPr>
      </w:pPr>
      <w:r w:rsidRPr="004F01E9">
        <w:rPr>
          <w:noProof/>
        </w:rPr>
        <w:t>„g)</w:t>
      </w:r>
      <w:r w:rsidR="004F01E9">
        <w:rPr>
          <w:noProof/>
        </w:rPr>
        <w:t xml:space="preserve"> k </w:t>
      </w:r>
      <w:r w:rsidRPr="004F01E9">
        <w:rPr>
          <w:noProof/>
        </w:rPr>
        <w:t>trading desku neboli priradené žiadne pozície</w:t>
      </w:r>
      <w:r w:rsidR="004F01E9">
        <w:rPr>
          <w:noProof/>
        </w:rPr>
        <w:t xml:space="preserve"> v </w:t>
      </w:r>
      <w:r w:rsidRPr="004F01E9">
        <w:rPr>
          <w:noProof/>
        </w:rPr>
        <w:t>PKI, ktoré spĺňajú podmienku stanovenú</w:t>
      </w:r>
      <w:r w:rsidR="004F01E9">
        <w:rPr>
          <w:noProof/>
        </w:rPr>
        <w:t xml:space="preserve"> v </w:t>
      </w:r>
      <w:r w:rsidRPr="004F01E9">
        <w:rPr>
          <w:noProof/>
        </w:rPr>
        <w:t>článku 104 ods. 7 písm. b).“;</w:t>
      </w:r>
    </w:p>
    <w:p w14:paraId="12D5BC40" w14:textId="797D34AC" w:rsidR="00806B81" w:rsidRPr="004F01E9" w:rsidRDefault="0047613E" w:rsidP="0047613E">
      <w:pPr>
        <w:pStyle w:val="Point1"/>
        <w:rPr>
          <w:noProof/>
        </w:rPr>
      </w:pPr>
      <w:r w:rsidRPr="004F01E9">
        <w:rPr>
          <w:noProof/>
        </w:rPr>
        <w:t>c)</w:t>
      </w:r>
      <w:r w:rsidRPr="004F01E9">
        <w:rPr>
          <w:noProof/>
        </w:rPr>
        <w:tab/>
        <w:t>Odsek 3 sa nahrádza takto:</w:t>
      </w:r>
    </w:p>
    <w:p w14:paraId="0F146AD7" w14:textId="457E3DC1" w:rsidR="008B2178" w:rsidRPr="004F01E9" w:rsidRDefault="008B2178" w:rsidP="008B2178">
      <w:pPr>
        <w:pStyle w:val="Text2"/>
        <w:rPr>
          <w:noProof/>
        </w:rPr>
      </w:pPr>
      <w:r w:rsidRPr="004F01E9">
        <w:rPr>
          <w:noProof/>
        </w:rPr>
        <w:t>„3. Inštitúcie, ktoré dostali povolenie používať alternatívny prístup interného modelu, musia spĺňať aj požiadavku na predkladanie správ stanovenú</w:t>
      </w:r>
      <w:r w:rsidR="004F01E9">
        <w:rPr>
          <w:noProof/>
        </w:rPr>
        <w:t xml:space="preserve"> v </w:t>
      </w:r>
      <w:r w:rsidRPr="004F01E9">
        <w:rPr>
          <w:noProof/>
        </w:rPr>
        <w:t>článku 325 ods. 3.“;</w:t>
      </w:r>
    </w:p>
    <w:p w14:paraId="4D43D9A8" w14:textId="0237FA34" w:rsidR="00806B81" w:rsidRPr="004F01E9" w:rsidRDefault="0047613E" w:rsidP="0047613E">
      <w:pPr>
        <w:pStyle w:val="Point1"/>
        <w:rPr>
          <w:noProof/>
        </w:rPr>
      </w:pPr>
      <w:r w:rsidRPr="004F01E9">
        <w:rPr>
          <w:noProof/>
        </w:rPr>
        <w:t>d)</w:t>
      </w:r>
      <w:r w:rsidRPr="004F01E9">
        <w:rPr>
          <w:noProof/>
        </w:rPr>
        <w:tab/>
        <w:t>V odseku 9 sa prvý pododsek mení takto:</w:t>
      </w:r>
    </w:p>
    <w:p w14:paraId="23860B7A" w14:textId="1D4A7A55" w:rsidR="008B2178" w:rsidRPr="004F01E9" w:rsidRDefault="008B2178" w:rsidP="008B2178">
      <w:pPr>
        <w:pStyle w:val="Point2"/>
        <w:rPr>
          <w:noProof/>
        </w:rPr>
      </w:pPr>
      <w:r w:rsidRPr="004F01E9">
        <w:rPr>
          <w:noProof/>
        </w:rPr>
        <w:t>i)</w:t>
      </w:r>
      <w:r w:rsidRPr="004F01E9">
        <w:rPr>
          <w:noProof/>
        </w:rPr>
        <w:tab/>
        <w:t>Písmeno b) sa nahrádza takto:</w:t>
      </w:r>
    </w:p>
    <w:p w14:paraId="061E3BC1" w14:textId="3CAC6364" w:rsidR="00806B81" w:rsidRPr="004F01E9" w:rsidRDefault="008B2178" w:rsidP="00615061">
      <w:pPr>
        <w:pStyle w:val="Text3"/>
        <w:rPr>
          <w:noProof/>
        </w:rPr>
      </w:pPr>
      <w:r w:rsidRPr="004F01E9">
        <w:rPr>
          <w:noProof/>
        </w:rPr>
        <w:t>„b) obmedzila výpočet navýšenia na taký, ktorý vyplýva</w:t>
      </w:r>
      <w:r w:rsidR="004F01E9">
        <w:rPr>
          <w:noProof/>
        </w:rPr>
        <w:t xml:space="preserve"> z </w:t>
      </w:r>
      <w:r w:rsidRPr="004F01E9">
        <w:rPr>
          <w:noProof/>
        </w:rPr>
        <w:t>prekročení pri spätnom testovaní hypotetických zmien, ako sa uvádza</w:t>
      </w:r>
      <w:r w:rsidR="004F01E9">
        <w:rPr>
          <w:noProof/>
        </w:rPr>
        <w:t xml:space="preserve"> v </w:t>
      </w:r>
      <w:r w:rsidRPr="004F01E9">
        <w:rPr>
          <w:noProof/>
        </w:rPr>
        <w:t>článku 325bf ods. 6;“;</w:t>
      </w:r>
    </w:p>
    <w:p w14:paraId="210313A4" w14:textId="3F0D8E70" w:rsidR="008B2178" w:rsidRPr="004F01E9" w:rsidRDefault="008B2178" w:rsidP="008B2178">
      <w:pPr>
        <w:pStyle w:val="Point2"/>
        <w:rPr>
          <w:noProof/>
        </w:rPr>
      </w:pPr>
      <w:r w:rsidRPr="004F01E9">
        <w:rPr>
          <w:noProof/>
        </w:rPr>
        <w:t>ii)</w:t>
      </w:r>
      <w:r w:rsidRPr="004F01E9">
        <w:rPr>
          <w:noProof/>
        </w:rPr>
        <w:tab/>
        <w:t>Dopĺňa sa toto písmeno c):</w:t>
      </w:r>
    </w:p>
    <w:p w14:paraId="0E15462F" w14:textId="5967F32F" w:rsidR="008B2178" w:rsidRPr="004F01E9" w:rsidRDefault="008B2178" w:rsidP="00615061">
      <w:pPr>
        <w:pStyle w:val="Text3"/>
        <w:rPr>
          <w:noProof/>
        </w:rPr>
      </w:pPr>
      <w:r w:rsidRPr="004F01E9">
        <w:rPr>
          <w:noProof/>
        </w:rPr>
        <w:t>c) „vylúčila prekročenia preukázané spätným testovaním hypotetických alebo skutočných zmien</w:t>
      </w:r>
      <w:r w:rsidR="004F01E9">
        <w:rPr>
          <w:noProof/>
        </w:rPr>
        <w:t xml:space="preserve"> z </w:t>
      </w:r>
      <w:r w:rsidRPr="004F01E9">
        <w:rPr>
          <w:noProof/>
        </w:rPr>
        <w:t>výpočtu navýšenia, ako sa uvádza</w:t>
      </w:r>
      <w:r w:rsidR="004F01E9">
        <w:rPr>
          <w:noProof/>
        </w:rPr>
        <w:t xml:space="preserve"> v </w:t>
      </w:r>
      <w:r w:rsidRPr="004F01E9">
        <w:rPr>
          <w:noProof/>
        </w:rPr>
        <w:t>článku 325bf ods. 6;“.</w:t>
      </w:r>
    </w:p>
    <w:p w14:paraId="6122F2C7" w14:textId="68D6F729" w:rsidR="00806B81" w:rsidRPr="004F01E9" w:rsidRDefault="00B16452" w:rsidP="00B16452">
      <w:pPr>
        <w:pStyle w:val="Point0"/>
        <w:rPr>
          <w:noProof/>
        </w:rPr>
      </w:pPr>
      <w:r w:rsidRPr="00B16452">
        <w:rPr>
          <w:noProof/>
        </w:rPr>
        <w:t>152</w:t>
      </w:r>
      <w:r>
        <w:rPr>
          <w:noProof/>
        </w:rPr>
        <w:t>.</w:t>
      </w:r>
      <w:r w:rsidRPr="00B16452">
        <w:rPr>
          <w:noProof/>
        </w:rPr>
        <w:tab/>
      </w:r>
      <w:r w:rsidR="008B2178" w:rsidRPr="004F01E9">
        <w:rPr>
          <w:noProof/>
        </w:rPr>
        <w:t>V článku 325ba sa dopĺňa odsek 3:</w:t>
      </w:r>
    </w:p>
    <w:p w14:paraId="5E793CA8" w14:textId="05E37D88" w:rsidR="008B2178" w:rsidRPr="004F01E9" w:rsidRDefault="008B2178" w:rsidP="008B2178">
      <w:pPr>
        <w:pStyle w:val="Text1"/>
        <w:rPr>
          <w:noProof/>
        </w:rPr>
      </w:pPr>
      <w:r w:rsidRPr="004F01E9">
        <w:rPr>
          <w:noProof/>
        </w:rPr>
        <w:t>„3. Inštitúcia používajúca alternatívny interný model vypočítava celkové požiadavky na vlastné zdroje pre trhové riziko pre všetky pozície</w:t>
      </w:r>
      <w:r w:rsidR="004F01E9">
        <w:rPr>
          <w:noProof/>
        </w:rPr>
        <w:t xml:space="preserve"> v </w:t>
      </w:r>
      <w:r w:rsidRPr="004F01E9">
        <w:rPr>
          <w:noProof/>
        </w:rPr>
        <w:t>obchodnej knihe</w:t>
      </w:r>
      <w:r w:rsidR="004F01E9">
        <w:rPr>
          <w:noProof/>
        </w:rPr>
        <w:t xml:space="preserve"> a </w:t>
      </w:r>
      <w:r w:rsidRPr="004F01E9">
        <w:rPr>
          <w:noProof/>
        </w:rPr>
        <w:t>všetky pozície</w:t>
      </w:r>
      <w:r w:rsidR="004F01E9">
        <w:rPr>
          <w:noProof/>
        </w:rPr>
        <w:t xml:space="preserve"> v </w:t>
      </w:r>
      <w:r w:rsidRPr="004F01E9">
        <w:rPr>
          <w:noProof/>
        </w:rPr>
        <w:t>neobchodnej knihe vytvárajúce devízové alebo komoditné riziká podľa tohto vzorca:</w:t>
      </w:r>
    </w:p>
    <w:p w14:paraId="6C18F329" w14:textId="77777777" w:rsidR="008B2178" w:rsidRPr="004F01E9" w:rsidRDefault="00EE12EE" w:rsidP="008B2178">
      <w:pPr>
        <w:pStyle w:val="Text1"/>
        <w:rPr>
          <w:noProof/>
          <w:szCs w:val="24"/>
        </w:rPr>
      </w:pPr>
      <m:oMathPara>
        <m:oMath>
          <m:func>
            <m:funcPr>
              <m:ctrlPr>
                <w:rPr>
                  <w:rFonts w:ascii="Cambria Math" w:hAnsi="Cambria Math"/>
                  <w:noProof/>
                  <w:szCs w:val="24"/>
                  <w:lang w:eastAsia="en-GB"/>
                </w:rPr>
              </m:ctrlPr>
            </m:funcPr>
            <m:fName>
              <m:sSub>
                <m:sSubPr>
                  <m:ctrlPr>
                    <w:rPr>
                      <w:rFonts w:ascii="Cambria Math" w:hAnsi="Cambria Math"/>
                      <w:noProof/>
                      <w:szCs w:val="24"/>
                      <w:lang w:eastAsia="en-GB"/>
                    </w:rPr>
                  </m:ctrlPr>
                </m:sSubPr>
                <m:e>
                  <m:r>
                    <w:rPr>
                      <w:rFonts w:ascii="Cambria Math" w:hAnsi="Cambria Math"/>
                      <w:noProof/>
                      <w:szCs w:val="24"/>
                      <w:lang w:eastAsia="en-GB"/>
                    </w:rPr>
                    <m:t>AIMA</m:t>
                  </m:r>
                </m:e>
                <m:sub>
                  <m:r>
                    <w:rPr>
                      <w:rFonts w:ascii="Cambria Math" w:hAnsi="Cambria Math"/>
                      <w:noProof/>
                      <w:szCs w:val="24"/>
                      <w:lang w:eastAsia="en-GB"/>
                    </w:rPr>
                    <m:t>total</m:t>
                  </m:r>
                </m:sub>
              </m:sSub>
              <m:r>
                <m:rPr>
                  <m:sty m:val="p"/>
                </m:rPr>
                <w:rPr>
                  <w:rFonts w:ascii="Cambria Math" w:hAnsi="Cambria Math"/>
                  <w:noProof/>
                  <w:szCs w:val="24"/>
                  <w:lang w:eastAsia="en-GB"/>
                </w:rPr>
                <m:t>=min</m:t>
              </m:r>
            </m:fName>
            <m:e>
              <m:r>
                <m:rPr>
                  <m:sty m:val="p"/>
                </m:rPr>
                <w:rPr>
                  <w:rFonts w:ascii="Cambria Math" w:hAnsi="Cambria Math"/>
                  <w:noProof/>
                  <w:szCs w:val="24"/>
                  <w:lang w:eastAsia="en-GB"/>
                </w:rPr>
                <m:t>(</m:t>
              </m:r>
            </m:e>
          </m:func>
          <m:r>
            <w:rPr>
              <w:rFonts w:ascii="Cambria Math" w:hAnsi="Cambria Math"/>
              <w:noProof/>
              <w:szCs w:val="24"/>
              <w:lang w:eastAsia="en-GB"/>
            </w:rPr>
            <m:t>AIMA</m:t>
          </m:r>
          <m:r>
            <m:rPr>
              <m:sty m:val="p"/>
            </m:rPr>
            <w:rPr>
              <w:rFonts w:ascii="Cambria Math" w:hAnsi="Cambria Math"/>
              <w:noProof/>
              <w:szCs w:val="24"/>
              <w:lang w:eastAsia="en-GB"/>
            </w:rPr>
            <m:t>+</m:t>
          </m:r>
          <m:sSub>
            <m:sSubPr>
              <m:ctrlPr>
                <w:rPr>
                  <w:rFonts w:ascii="Cambria Math" w:hAnsi="Cambria Math"/>
                  <w:noProof/>
                  <w:szCs w:val="24"/>
                  <w:lang w:eastAsia="en-GB"/>
                </w:rPr>
              </m:ctrlPr>
            </m:sSubPr>
            <m:e>
              <m:r>
                <w:rPr>
                  <w:rFonts w:ascii="Cambria Math" w:hAnsi="Cambria Math"/>
                  <w:noProof/>
                  <w:szCs w:val="24"/>
                  <w:lang w:eastAsia="en-GB"/>
                </w:rPr>
                <m:t>PLA</m:t>
              </m:r>
            </m:e>
            <m:sub>
              <m:r>
                <w:rPr>
                  <w:rFonts w:ascii="Cambria Math" w:hAnsi="Cambria Math"/>
                  <w:noProof/>
                  <w:szCs w:val="24"/>
                  <w:lang w:eastAsia="en-GB"/>
                </w:rPr>
                <m:t>addon</m:t>
              </m:r>
            </m:sub>
          </m:sSub>
          <m:r>
            <m:rPr>
              <m:sty m:val="p"/>
            </m:rPr>
            <w:rPr>
              <w:rFonts w:ascii="Cambria Math" w:hAnsi="Cambria Math"/>
              <w:noProof/>
              <w:szCs w:val="24"/>
              <w:lang w:eastAsia="en-GB"/>
            </w:rPr>
            <m:t xml:space="preserve">+ </m:t>
          </m:r>
          <m:r>
            <w:rPr>
              <w:rFonts w:ascii="Cambria Math" w:hAnsi="Cambria Math"/>
              <w:noProof/>
              <w:szCs w:val="24"/>
              <w:lang w:eastAsia="en-GB"/>
            </w:rPr>
            <m:t>AS</m:t>
          </m:r>
          <m:sSub>
            <m:sSubPr>
              <m:ctrlPr>
                <w:rPr>
                  <w:rFonts w:ascii="Cambria Math" w:hAnsi="Cambria Math"/>
                  <w:noProof/>
                  <w:szCs w:val="24"/>
                  <w:lang w:eastAsia="en-GB"/>
                </w:rPr>
              </m:ctrlPr>
            </m:sSubPr>
            <m:e>
              <m:r>
                <w:rPr>
                  <w:rFonts w:ascii="Cambria Math" w:hAnsi="Cambria Math"/>
                  <w:noProof/>
                  <w:szCs w:val="24"/>
                  <w:lang w:eastAsia="en-GB"/>
                </w:rPr>
                <m:t>A</m:t>
              </m:r>
            </m:e>
            <m:sub>
              <m:r>
                <w:rPr>
                  <w:rFonts w:ascii="Cambria Math" w:hAnsi="Cambria Math"/>
                  <w:noProof/>
                  <w:szCs w:val="24"/>
                  <w:lang w:eastAsia="en-GB"/>
                </w:rPr>
                <m:t>non</m:t>
              </m:r>
              <m:r>
                <m:rPr>
                  <m:sty m:val="p"/>
                </m:rPr>
                <w:rPr>
                  <w:rFonts w:ascii="Cambria Math" w:hAnsi="Cambria Math"/>
                  <w:noProof/>
                  <w:szCs w:val="24"/>
                  <w:lang w:eastAsia="en-GB"/>
                </w:rPr>
                <m:t>-</m:t>
              </m:r>
              <m:r>
                <w:rPr>
                  <w:rFonts w:ascii="Cambria Math" w:hAnsi="Cambria Math"/>
                  <w:noProof/>
                  <w:szCs w:val="24"/>
                  <w:lang w:eastAsia="en-GB"/>
                </w:rPr>
                <m:t>aima</m:t>
              </m:r>
            </m:sub>
          </m:sSub>
          <m:r>
            <m:rPr>
              <m:sty m:val="p"/>
            </m:rPr>
            <w:rPr>
              <w:rFonts w:ascii="Cambria Math" w:hAnsi="Cambria Math"/>
              <w:noProof/>
              <w:szCs w:val="24"/>
              <w:lang w:eastAsia="en-GB"/>
            </w:rPr>
            <m:t xml:space="preserve"> ;</m:t>
          </m:r>
          <m:r>
            <w:rPr>
              <w:rFonts w:ascii="Cambria Math" w:hAnsi="Cambria Math"/>
              <w:noProof/>
              <w:szCs w:val="24"/>
              <w:lang w:eastAsia="en-GB"/>
            </w:rPr>
            <m:t>AS</m:t>
          </m:r>
          <m:sSub>
            <m:sSubPr>
              <m:ctrlPr>
                <w:rPr>
                  <w:rFonts w:ascii="Cambria Math" w:hAnsi="Cambria Math"/>
                  <w:noProof/>
                  <w:szCs w:val="24"/>
                  <w:lang w:eastAsia="en-GB"/>
                </w:rPr>
              </m:ctrlPr>
            </m:sSubPr>
            <m:e>
              <m:r>
                <w:rPr>
                  <w:rFonts w:ascii="Cambria Math" w:hAnsi="Cambria Math"/>
                  <w:noProof/>
                  <w:szCs w:val="24"/>
                  <w:lang w:eastAsia="en-GB"/>
                </w:rPr>
                <m:t>A</m:t>
              </m:r>
            </m:e>
            <m:sub>
              <m:r>
                <w:rPr>
                  <w:rFonts w:ascii="Cambria Math" w:hAnsi="Cambria Math"/>
                  <w:noProof/>
                  <w:szCs w:val="24"/>
                  <w:lang w:eastAsia="en-GB"/>
                </w:rPr>
                <m:t>allportfolio</m:t>
              </m:r>
            </m:sub>
          </m:sSub>
          <m:r>
            <m:rPr>
              <m:sty m:val="p"/>
            </m:rPr>
            <w:rPr>
              <w:rFonts w:ascii="Cambria Math" w:hAnsi="Cambria Math"/>
              <w:noProof/>
              <w:szCs w:val="24"/>
              <w:lang w:eastAsia="en-GB"/>
            </w:rPr>
            <m:t>)+</m:t>
          </m:r>
          <m:func>
            <m:funcPr>
              <m:ctrlPr>
                <w:rPr>
                  <w:rFonts w:ascii="Cambria Math" w:hAnsi="Cambria Math"/>
                  <w:noProof/>
                  <w:szCs w:val="24"/>
                  <w:lang w:eastAsia="en-GB"/>
                </w:rPr>
              </m:ctrlPr>
            </m:funcPr>
            <m:fName>
              <m:r>
                <m:rPr>
                  <m:sty m:val="p"/>
                </m:rPr>
                <w:rPr>
                  <w:rFonts w:ascii="Cambria Math" w:hAnsi="Cambria Math"/>
                  <w:noProof/>
                  <w:szCs w:val="24"/>
                  <w:lang w:eastAsia="en-GB"/>
                </w:rPr>
                <m:t>max</m:t>
              </m:r>
            </m:fName>
            <m:e>
              <m:r>
                <m:rPr>
                  <m:sty m:val="p"/>
                </m:rPr>
                <w:rPr>
                  <w:rFonts w:ascii="Cambria Math" w:hAnsi="Cambria Math"/>
                  <w:noProof/>
                  <w:szCs w:val="24"/>
                  <w:lang w:eastAsia="en-GB"/>
                </w:rPr>
                <m:t>(</m:t>
              </m:r>
            </m:e>
          </m:func>
          <m:r>
            <w:rPr>
              <w:rFonts w:ascii="Cambria Math" w:hAnsi="Cambria Math"/>
              <w:noProof/>
              <w:szCs w:val="24"/>
              <w:lang w:eastAsia="en-GB"/>
            </w:rPr>
            <m:t>AIMA</m:t>
          </m:r>
          <m:r>
            <m:rPr>
              <m:sty m:val="p"/>
            </m:rPr>
            <w:rPr>
              <w:rFonts w:ascii="Cambria Math" w:hAnsi="Cambria Math"/>
              <w:noProof/>
              <w:szCs w:val="24"/>
              <w:lang w:eastAsia="en-GB"/>
            </w:rPr>
            <m:t>-</m:t>
          </m:r>
          <m:r>
            <w:rPr>
              <w:rFonts w:ascii="Cambria Math" w:hAnsi="Cambria Math"/>
              <w:noProof/>
              <w:szCs w:val="24"/>
              <w:lang w:eastAsia="en-GB"/>
            </w:rPr>
            <m:t>AS</m:t>
          </m:r>
          <m:sSub>
            <m:sSubPr>
              <m:ctrlPr>
                <w:rPr>
                  <w:rFonts w:ascii="Cambria Math" w:hAnsi="Cambria Math"/>
                  <w:noProof/>
                  <w:szCs w:val="24"/>
                  <w:lang w:eastAsia="en-GB"/>
                </w:rPr>
              </m:ctrlPr>
            </m:sSubPr>
            <m:e>
              <m:r>
                <w:rPr>
                  <w:rFonts w:ascii="Cambria Math" w:hAnsi="Cambria Math"/>
                  <w:noProof/>
                  <w:szCs w:val="24"/>
                  <w:lang w:eastAsia="en-GB"/>
                </w:rPr>
                <m:t>A</m:t>
              </m:r>
            </m:e>
            <m:sub>
              <m:r>
                <w:rPr>
                  <w:rFonts w:ascii="Cambria Math" w:hAnsi="Cambria Math"/>
                  <w:noProof/>
                  <w:szCs w:val="24"/>
                  <w:lang w:eastAsia="en-GB"/>
                </w:rPr>
                <m:t>aima</m:t>
              </m:r>
            </m:sub>
          </m:sSub>
          <m:r>
            <m:rPr>
              <m:sty m:val="p"/>
            </m:rPr>
            <w:rPr>
              <w:rFonts w:ascii="Cambria Math" w:hAnsi="Cambria Math"/>
              <w:noProof/>
              <w:szCs w:val="24"/>
              <w:lang w:eastAsia="en-GB"/>
            </w:rPr>
            <m:t>;0)</m:t>
          </m:r>
        </m:oMath>
      </m:oMathPara>
    </w:p>
    <w:p w14:paraId="5E47D2B5" w14:textId="77777777" w:rsidR="00806B81" w:rsidRPr="004F01E9" w:rsidRDefault="008B2178" w:rsidP="008B2178">
      <w:pPr>
        <w:pStyle w:val="Text1"/>
        <w:rPr>
          <w:noProof/>
        </w:rPr>
      </w:pPr>
      <w:r w:rsidRPr="004F01E9">
        <w:rPr>
          <w:noProof/>
        </w:rPr>
        <w:t>kde:</w:t>
      </w:r>
    </w:p>
    <w:p w14:paraId="60EE07EA" w14:textId="34AF5D2C" w:rsidR="008B2178" w:rsidRPr="004F01E9" w:rsidRDefault="008B2178" w:rsidP="0047613E">
      <w:pPr>
        <w:pStyle w:val="Text1"/>
        <w:tabs>
          <w:tab w:val="left" w:pos="2268"/>
        </w:tabs>
        <w:rPr>
          <w:noProof/>
        </w:rPr>
      </w:pPr>
      <w:r w:rsidRPr="004F01E9">
        <w:rPr>
          <w:noProof/>
        </w:rPr>
        <w:t>AIMA</w:t>
      </w:r>
      <w:r w:rsidRPr="004F01E9">
        <w:rPr>
          <w:noProof/>
        </w:rPr>
        <w:tab/>
        <w:t>= = súčet požiadaviek na vlastné zdroje uvedených</w:t>
      </w:r>
      <w:r w:rsidR="004F01E9">
        <w:rPr>
          <w:noProof/>
        </w:rPr>
        <w:t xml:space="preserve"> v </w:t>
      </w:r>
      <w:r w:rsidRPr="004F01E9">
        <w:rPr>
          <w:noProof/>
        </w:rPr>
        <w:t>odsekoch 1</w:t>
      </w:r>
      <w:r w:rsidR="004F01E9">
        <w:rPr>
          <w:noProof/>
        </w:rPr>
        <w:t xml:space="preserve"> a </w:t>
      </w:r>
      <w:r w:rsidRPr="004F01E9">
        <w:rPr>
          <w:noProof/>
        </w:rPr>
        <w:t>2;</w:t>
      </w:r>
    </w:p>
    <w:p w14:paraId="26B27938" w14:textId="7FC42C89" w:rsidR="008B2178" w:rsidRPr="004F01E9" w:rsidRDefault="00EE12EE" w:rsidP="0047613E">
      <w:pPr>
        <w:pStyle w:val="Text1"/>
        <w:tabs>
          <w:tab w:val="left" w:pos="2268"/>
        </w:tabs>
        <w:rPr>
          <w:noProof/>
        </w:rPr>
      </w:pPr>
      <m:oMath>
        <m:sSub>
          <m:sSubPr>
            <m:ctrlPr>
              <w:rPr>
                <w:rFonts w:ascii="Cambria Math" w:hAnsi="Cambria Math"/>
                <w:noProof/>
              </w:rPr>
            </m:ctrlPr>
          </m:sSubPr>
          <m:e>
            <m:r>
              <m:rPr>
                <m:sty m:val="p"/>
              </m:rPr>
              <w:rPr>
                <w:rFonts w:ascii="Cambria Math" w:hAnsi="Cambria Math"/>
                <w:noProof/>
              </w:rPr>
              <m:t>PLA</m:t>
            </m:r>
          </m:e>
          <m:sub>
            <m:r>
              <m:rPr>
                <m:sty m:val="p"/>
              </m:rPr>
              <w:rPr>
                <w:rFonts w:ascii="Cambria Math" w:hAnsi="Cambria Math"/>
                <w:noProof/>
              </w:rPr>
              <m:t>addon</m:t>
            </m:r>
          </m:sub>
        </m:sSub>
      </m:oMath>
      <w:r w:rsidR="00DE1B1D" w:rsidRPr="004F01E9">
        <w:rPr>
          <w:noProof/>
        </w:rPr>
        <w:tab/>
        <w:t>= dodatočná požiadavka na vlastné zdroje uvedená</w:t>
      </w:r>
      <w:r w:rsidR="004F01E9">
        <w:rPr>
          <w:noProof/>
        </w:rPr>
        <w:t xml:space="preserve"> v </w:t>
      </w:r>
      <w:r w:rsidR="00DE1B1D" w:rsidRPr="004F01E9">
        <w:rPr>
          <w:noProof/>
        </w:rPr>
        <w:t>článku 325bg ods. 2;</w:t>
      </w:r>
    </w:p>
    <w:p w14:paraId="27E131B0" w14:textId="0A4AB120" w:rsidR="008B2178" w:rsidRPr="004F01E9" w:rsidRDefault="008B2178" w:rsidP="0047613E">
      <w:pPr>
        <w:pStyle w:val="Text1"/>
        <w:tabs>
          <w:tab w:val="left" w:pos="2268"/>
        </w:tabs>
        <w:rPr>
          <w:noProof/>
        </w:rPr>
      </w:pPr>
      <m:oMath>
        <m:r>
          <m:rPr>
            <m:sty m:val="p"/>
          </m:rPr>
          <w:rPr>
            <w:rFonts w:ascii="Cambria Math" w:hAnsi="Cambria Math"/>
            <w:noProof/>
          </w:rPr>
          <m:t>AS</m:t>
        </m:r>
        <m:sSub>
          <m:sSubPr>
            <m:ctrlPr>
              <w:rPr>
                <w:rFonts w:ascii="Cambria Math" w:hAnsi="Cambria Math"/>
                <w:noProof/>
              </w:rPr>
            </m:ctrlPr>
          </m:sSubPr>
          <m:e>
            <m:r>
              <m:rPr>
                <m:sty m:val="p"/>
              </m:rPr>
              <w:rPr>
                <w:rFonts w:ascii="Cambria Math" w:hAnsi="Cambria Math"/>
                <w:noProof/>
              </w:rPr>
              <m:t>A</m:t>
            </m:r>
          </m:e>
          <m:sub>
            <m:r>
              <m:rPr>
                <m:sty m:val="p"/>
              </m:rPr>
              <w:rPr>
                <w:rFonts w:ascii="Cambria Math" w:hAnsi="Cambria Math"/>
                <w:noProof/>
              </w:rPr>
              <m:t>all portfolio</m:t>
            </m:r>
          </m:sub>
        </m:sSub>
      </m:oMath>
      <w:r w:rsidRPr="004F01E9">
        <w:rPr>
          <w:noProof/>
        </w:rPr>
        <w:tab/>
        <w:t>= požiadavky na vlastné zdroje pre trhové riziko vypočítané podľa alternatívneho štandardizovaného prístupu uvedeného</w:t>
      </w:r>
      <w:r w:rsidR="004F01E9">
        <w:rPr>
          <w:noProof/>
        </w:rPr>
        <w:t xml:space="preserve"> v </w:t>
      </w:r>
      <w:r w:rsidRPr="004F01E9">
        <w:rPr>
          <w:noProof/>
        </w:rPr>
        <w:t>článku 325 ods. 1 písm. a) pre portfólio všetkých pozícií</w:t>
      </w:r>
      <w:r w:rsidR="004F01E9">
        <w:rPr>
          <w:noProof/>
        </w:rPr>
        <w:t xml:space="preserve"> v </w:t>
      </w:r>
      <w:r w:rsidRPr="004F01E9">
        <w:rPr>
          <w:noProof/>
        </w:rPr>
        <w:t>obchodnej knihe</w:t>
      </w:r>
      <w:r w:rsidR="004F01E9">
        <w:rPr>
          <w:noProof/>
        </w:rPr>
        <w:t xml:space="preserve"> a </w:t>
      </w:r>
      <w:r w:rsidRPr="004F01E9">
        <w:rPr>
          <w:noProof/>
        </w:rPr>
        <w:t>všetkých pozícií</w:t>
      </w:r>
      <w:r w:rsidR="004F01E9">
        <w:rPr>
          <w:noProof/>
        </w:rPr>
        <w:t xml:space="preserve"> v </w:t>
      </w:r>
      <w:r w:rsidRPr="004F01E9">
        <w:rPr>
          <w:noProof/>
        </w:rPr>
        <w:t>neobchodnej knihe vytvárajúcich devízové alebo komoditné riziká;</w:t>
      </w:r>
    </w:p>
    <w:p w14:paraId="053BE656" w14:textId="549190D8" w:rsidR="008B2178" w:rsidRPr="004F01E9" w:rsidRDefault="008B2178" w:rsidP="0047613E">
      <w:pPr>
        <w:pStyle w:val="Text1"/>
        <w:tabs>
          <w:tab w:val="left" w:pos="2268"/>
        </w:tabs>
        <w:rPr>
          <w:noProof/>
        </w:rPr>
      </w:pPr>
      <m:oMath>
        <m:r>
          <m:rPr>
            <m:sty m:val="p"/>
          </m:rPr>
          <w:rPr>
            <w:rFonts w:ascii="Cambria Math" w:hAnsi="Cambria Math"/>
            <w:noProof/>
          </w:rPr>
          <m:t>AS</m:t>
        </m:r>
        <m:sSub>
          <m:sSubPr>
            <m:ctrlPr>
              <w:rPr>
                <w:rFonts w:ascii="Cambria Math" w:hAnsi="Cambria Math"/>
                <w:noProof/>
              </w:rPr>
            </m:ctrlPr>
          </m:sSubPr>
          <m:e>
            <m:r>
              <m:rPr>
                <m:sty m:val="p"/>
              </m:rPr>
              <w:rPr>
                <w:rFonts w:ascii="Cambria Math" w:hAnsi="Cambria Math"/>
                <w:noProof/>
              </w:rPr>
              <m:t>A</m:t>
            </m:r>
          </m:e>
          <m:sub>
            <m:r>
              <m:rPr>
                <m:sty m:val="p"/>
              </m:rPr>
              <w:rPr>
                <w:rFonts w:ascii="Cambria Math" w:hAnsi="Cambria Math"/>
                <w:noProof/>
              </w:rPr>
              <m:t>non-aima</m:t>
            </m:r>
          </m:sub>
        </m:sSub>
      </m:oMath>
      <w:r w:rsidRPr="004F01E9">
        <w:rPr>
          <w:noProof/>
        </w:rPr>
        <w:tab/>
        <w:t>= požiadavky na vlastné zdroje pre trhové riziko vypočítané podľa alternatívneho štandardizovaného prístupu uvedeného</w:t>
      </w:r>
      <w:r w:rsidR="004F01E9">
        <w:rPr>
          <w:noProof/>
        </w:rPr>
        <w:t xml:space="preserve"> v </w:t>
      </w:r>
      <w:r w:rsidRPr="004F01E9">
        <w:rPr>
          <w:noProof/>
        </w:rPr>
        <w:t>článku 325 ods. 1 písm. a) pre portfólio pozícií</w:t>
      </w:r>
      <w:r w:rsidR="004F01E9">
        <w:rPr>
          <w:noProof/>
        </w:rPr>
        <w:t xml:space="preserve"> v </w:t>
      </w:r>
      <w:r w:rsidRPr="004F01E9">
        <w:rPr>
          <w:noProof/>
        </w:rPr>
        <w:t>obchodnej knihe</w:t>
      </w:r>
      <w:r w:rsidR="004F01E9">
        <w:rPr>
          <w:noProof/>
        </w:rPr>
        <w:t xml:space="preserve"> a </w:t>
      </w:r>
      <w:r w:rsidRPr="004F01E9">
        <w:rPr>
          <w:noProof/>
        </w:rPr>
        <w:t>pozícií</w:t>
      </w:r>
      <w:r w:rsidR="004F01E9">
        <w:rPr>
          <w:noProof/>
        </w:rPr>
        <w:t xml:space="preserve"> v </w:t>
      </w:r>
      <w:r w:rsidRPr="004F01E9">
        <w:rPr>
          <w:noProof/>
        </w:rPr>
        <w:t>neobchodnej knihe vytvárajúcich devízové alebo komoditné riziká, pri ktorých inštitúcia použila na výpočet požiadaviek na vlastné zdroje pre trhové riziko rovnaký prístup;</w:t>
      </w:r>
    </w:p>
    <w:p w14:paraId="660029F6" w14:textId="01726DB7" w:rsidR="008B2178" w:rsidRPr="004F01E9" w:rsidRDefault="008B2178" w:rsidP="0047613E">
      <w:pPr>
        <w:pStyle w:val="Text1"/>
        <w:tabs>
          <w:tab w:val="left" w:pos="2268"/>
        </w:tabs>
        <w:rPr>
          <w:noProof/>
        </w:rPr>
      </w:pPr>
      <m:oMath>
        <m:r>
          <m:rPr>
            <m:sty m:val="p"/>
          </m:rPr>
          <w:rPr>
            <w:rFonts w:ascii="Cambria Math" w:hAnsi="Cambria Math"/>
            <w:noProof/>
          </w:rPr>
          <m:t>AS</m:t>
        </m:r>
      </m:oMath>
      <w:r w:rsidRPr="004F01E9">
        <w:rPr>
          <w:noProof/>
        </w:rPr>
        <w:tab/>
        <w:t>= požiadavky na vlastné zdroje pre trhové riziko vypočítané podľa alternatívneho štandardizovaného prístupu uvedeného</w:t>
      </w:r>
      <w:r w:rsidR="004F01E9">
        <w:rPr>
          <w:noProof/>
        </w:rPr>
        <w:t xml:space="preserve"> v </w:t>
      </w:r>
      <w:r w:rsidRPr="004F01E9">
        <w:rPr>
          <w:noProof/>
        </w:rPr>
        <w:t>článku 325 ods. 1 písm. a) pre portfólio pozícií</w:t>
      </w:r>
      <w:r w:rsidR="004F01E9">
        <w:rPr>
          <w:noProof/>
        </w:rPr>
        <w:t xml:space="preserve"> v </w:t>
      </w:r>
      <w:r w:rsidRPr="004F01E9">
        <w:rPr>
          <w:noProof/>
        </w:rPr>
        <w:t>obchodnej knihe</w:t>
      </w:r>
      <w:r w:rsidR="004F01E9">
        <w:rPr>
          <w:noProof/>
        </w:rPr>
        <w:t xml:space="preserve"> a </w:t>
      </w:r>
      <w:r w:rsidRPr="004F01E9">
        <w:rPr>
          <w:noProof/>
        </w:rPr>
        <w:t>pozícií</w:t>
      </w:r>
      <w:r w:rsidR="004F01E9">
        <w:rPr>
          <w:noProof/>
        </w:rPr>
        <w:t xml:space="preserve"> v </w:t>
      </w:r>
      <w:r w:rsidRPr="004F01E9">
        <w:rPr>
          <w:noProof/>
        </w:rPr>
        <w:t>neobchodnej knihe vytvárajúcich devízové alebo komoditné riziká, pri ktorých inštitúcia použila na výpočet požiadaviek na vlastné zdroje pre trhové riziko prístup uvedený</w:t>
      </w:r>
      <w:r w:rsidR="004F01E9">
        <w:rPr>
          <w:noProof/>
        </w:rPr>
        <w:t xml:space="preserve"> v </w:t>
      </w:r>
      <w:r w:rsidRPr="004F01E9">
        <w:rPr>
          <w:noProof/>
        </w:rPr>
        <w:t>článku 325 ods. 1 písm. b).“</w:t>
      </w:r>
    </w:p>
    <w:p w14:paraId="015F9C31" w14:textId="638C5381" w:rsidR="00806B81" w:rsidRPr="004F01E9" w:rsidRDefault="00B16452" w:rsidP="00B16452">
      <w:pPr>
        <w:pStyle w:val="Point0"/>
        <w:rPr>
          <w:noProof/>
        </w:rPr>
      </w:pPr>
      <w:r w:rsidRPr="00B16452">
        <w:rPr>
          <w:noProof/>
        </w:rPr>
        <w:t>153</w:t>
      </w:r>
      <w:r>
        <w:rPr>
          <w:noProof/>
        </w:rPr>
        <w:t>.</w:t>
      </w:r>
      <w:r w:rsidRPr="00B16452">
        <w:rPr>
          <w:noProof/>
        </w:rPr>
        <w:tab/>
      </w:r>
      <w:r w:rsidR="008B2178" w:rsidRPr="004F01E9">
        <w:rPr>
          <w:noProof/>
        </w:rPr>
        <w:t>V článku 325bc sa dopĺňa odsek 6:</w:t>
      </w:r>
    </w:p>
    <w:p w14:paraId="3FDBBCD4" w14:textId="5EDA533A" w:rsidR="00806B81" w:rsidRPr="004F01E9" w:rsidRDefault="008B2178" w:rsidP="008B2178">
      <w:pPr>
        <w:pStyle w:val="Text1"/>
        <w:rPr>
          <w:noProof/>
        </w:rPr>
      </w:pPr>
      <w:r w:rsidRPr="004F01E9">
        <w:rPr>
          <w:noProof/>
        </w:rPr>
        <w:t>„6. EBA vypracuje návrh regulačných technických predpisov</w:t>
      </w:r>
      <w:r w:rsidR="004F01E9">
        <w:rPr>
          <w:noProof/>
        </w:rPr>
        <w:t xml:space="preserve"> s </w:t>
      </w:r>
      <w:r w:rsidRPr="004F01E9">
        <w:rPr>
          <w:noProof/>
        </w:rPr>
        <w:t>cieľom presne stanoviť kritériá na používanie vstupných údajov</w:t>
      </w:r>
      <w:r w:rsidR="004F01E9">
        <w:rPr>
          <w:noProof/>
        </w:rPr>
        <w:t xml:space="preserve"> v </w:t>
      </w:r>
      <w:r w:rsidRPr="004F01E9">
        <w:rPr>
          <w:noProof/>
        </w:rPr>
        <w:t>modeli merania rizika uvedenom</w:t>
      </w:r>
      <w:r w:rsidR="004F01E9">
        <w:rPr>
          <w:noProof/>
        </w:rPr>
        <w:t xml:space="preserve"> v </w:t>
      </w:r>
      <w:r w:rsidRPr="004F01E9">
        <w:rPr>
          <w:noProof/>
        </w:rPr>
        <w:t>tomto článku vrátane kritérií presnosti údajov</w:t>
      </w:r>
      <w:r w:rsidR="004F01E9">
        <w:rPr>
          <w:noProof/>
        </w:rPr>
        <w:t xml:space="preserve"> a </w:t>
      </w:r>
      <w:r w:rsidRPr="004F01E9">
        <w:rPr>
          <w:noProof/>
        </w:rPr>
        <w:t>kritérií kalibrácie vstupných údajov, ak sú trhové údaje nedostatočné.</w:t>
      </w:r>
    </w:p>
    <w:p w14:paraId="58994F71" w14:textId="77777777" w:rsidR="00806B81" w:rsidRPr="004F01E9" w:rsidRDefault="008B2178" w:rsidP="008B2178">
      <w:pPr>
        <w:pStyle w:val="Text1"/>
        <w:rPr>
          <w:noProof/>
        </w:rPr>
      </w:pPr>
      <w:r w:rsidRPr="004F01E9">
        <w:rPr>
          <w:noProof/>
        </w:rPr>
        <w:t>EBA predloží Komisii uvedený návrh regulačných technických predpisov do [9 mesiacov po nadobudnutí účinnosti tohto nariadenia].</w:t>
      </w:r>
    </w:p>
    <w:p w14:paraId="783334BE" w14:textId="7B550E5A" w:rsidR="008B2178" w:rsidRPr="004F01E9" w:rsidRDefault="008B2178" w:rsidP="008B2178">
      <w:pPr>
        <w:pStyle w:val="Text1"/>
        <w:rPr>
          <w:noProof/>
        </w:rPr>
      </w:pPr>
      <w:r w:rsidRPr="004F01E9">
        <w:rPr>
          <w:noProof/>
        </w:rPr>
        <w:t>Na Komisiu sa deleguje právomoc doplniť toto nariadenie prijatím regulačných technických predpisov uvedených</w:t>
      </w:r>
      <w:r w:rsidR="004F01E9">
        <w:rPr>
          <w:noProof/>
        </w:rPr>
        <w:t xml:space="preserve"> v </w:t>
      </w:r>
      <w:r w:rsidRPr="004F01E9">
        <w:rPr>
          <w:noProof/>
        </w:rPr>
        <w:t>prvom pododseku</w:t>
      </w:r>
      <w:r w:rsidR="004F01E9">
        <w:rPr>
          <w:noProof/>
        </w:rPr>
        <w:t xml:space="preserve"> v </w:t>
      </w:r>
      <w:r w:rsidRPr="004F01E9">
        <w:rPr>
          <w:noProof/>
        </w:rPr>
        <w:t>súlade</w:t>
      </w:r>
      <w:r w:rsidR="004F01E9">
        <w:rPr>
          <w:noProof/>
        </w:rPr>
        <w:t xml:space="preserve"> s </w:t>
      </w:r>
      <w:r w:rsidRPr="004F01E9">
        <w:rPr>
          <w:noProof/>
        </w:rPr>
        <w:t xml:space="preserve">článkami 10 až 14 nariadenia (EÚ) </w:t>
      </w:r>
      <w:r w:rsidR="004F01E9">
        <w:rPr>
          <w:noProof/>
        </w:rPr>
        <w:t>č. </w:t>
      </w:r>
      <w:r w:rsidRPr="004F01E9">
        <w:rPr>
          <w:noProof/>
        </w:rPr>
        <w:t>1093/2010.“</w:t>
      </w:r>
    </w:p>
    <w:p w14:paraId="6DE3900C" w14:textId="6560A3BC" w:rsidR="00806B81" w:rsidRPr="004F01E9" w:rsidRDefault="00B16452" w:rsidP="00B16452">
      <w:pPr>
        <w:pStyle w:val="Point0"/>
        <w:rPr>
          <w:noProof/>
        </w:rPr>
      </w:pPr>
      <w:r w:rsidRPr="00B16452">
        <w:rPr>
          <w:noProof/>
        </w:rPr>
        <w:t>154</w:t>
      </w:r>
      <w:r>
        <w:rPr>
          <w:noProof/>
        </w:rPr>
        <w:t>.</w:t>
      </w:r>
      <w:r w:rsidRPr="00B16452">
        <w:rPr>
          <w:noProof/>
        </w:rPr>
        <w:tab/>
      </w:r>
      <w:r w:rsidR="008B2178" w:rsidRPr="004F01E9">
        <w:rPr>
          <w:noProof/>
        </w:rPr>
        <w:t>Článok 325be sa mení takto:</w:t>
      </w:r>
    </w:p>
    <w:p w14:paraId="1AF0A907" w14:textId="2A35C899" w:rsidR="008B2178" w:rsidRPr="004F01E9" w:rsidRDefault="00746C8F" w:rsidP="00746C8F">
      <w:pPr>
        <w:pStyle w:val="Point1"/>
        <w:rPr>
          <w:noProof/>
        </w:rPr>
      </w:pPr>
      <w:r w:rsidRPr="004F01E9">
        <w:rPr>
          <w:noProof/>
        </w:rPr>
        <w:t>a)</w:t>
      </w:r>
      <w:r w:rsidRPr="004F01E9">
        <w:rPr>
          <w:noProof/>
        </w:rPr>
        <w:tab/>
        <w:t>V odseku 1 sa dopĺňa tento pododsek:</w:t>
      </w:r>
    </w:p>
    <w:p w14:paraId="40C44951" w14:textId="71539D14" w:rsidR="00806B81" w:rsidRPr="009D4D24" w:rsidRDefault="008B2178" w:rsidP="008B2178">
      <w:pPr>
        <w:pStyle w:val="Text2"/>
        <w:rPr>
          <w:noProof/>
          <w:spacing w:val="-4"/>
        </w:rPr>
      </w:pPr>
      <w:r w:rsidRPr="009D4D24">
        <w:rPr>
          <w:noProof/>
          <w:spacing w:val="-4"/>
        </w:rPr>
        <w:t>„Na účely posúdenia uvedeného</w:t>
      </w:r>
      <w:r w:rsidR="004F01E9" w:rsidRPr="009D4D24">
        <w:rPr>
          <w:noProof/>
          <w:spacing w:val="-4"/>
        </w:rPr>
        <w:t xml:space="preserve"> v </w:t>
      </w:r>
      <w:r w:rsidRPr="009D4D24">
        <w:rPr>
          <w:noProof/>
          <w:spacing w:val="-4"/>
        </w:rPr>
        <w:t>odseku 1 môžu príslušné orgány povoliť inštitúciám, aby používali trhové údaje, ktoré poskytli predávajúci tretej strany.“;</w:t>
      </w:r>
    </w:p>
    <w:p w14:paraId="687BF1FD" w14:textId="0D769F5D" w:rsidR="008B2178" w:rsidRPr="004F01E9" w:rsidRDefault="00746C8F" w:rsidP="00746C8F">
      <w:pPr>
        <w:pStyle w:val="Point1"/>
        <w:rPr>
          <w:noProof/>
        </w:rPr>
      </w:pPr>
      <w:r w:rsidRPr="004F01E9">
        <w:rPr>
          <w:noProof/>
        </w:rPr>
        <w:t>b)</w:t>
      </w:r>
      <w:r w:rsidRPr="004F01E9">
        <w:rPr>
          <w:noProof/>
        </w:rPr>
        <w:tab/>
        <w:t>Vkladá sa tento odsek 1a:</w:t>
      </w:r>
    </w:p>
    <w:p w14:paraId="75FF6BCC" w14:textId="4F5FF103" w:rsidR="008B2178" w:rsidRPr="004F01E9" w:rsidRDefault="008B2178" w:rsidP="008B2178">
      <w:pPr>
        <w:pStyle w:val="Text2"/>
        <w:rPr>
          <w:noProof/>
        </w:rPr>
      </w:pPr>
      <w:r w:rsidRPr="004F01E9">
        <w:rPr>
          <w:noProof/>
        </w:rPr>
        <w:t>„1a) Príslušné orgány môžu od inštitúcie požadovať, aby za modelovateľný nepovažovala faktor rizika, ktorý inštitúcia posúdila ako modelovateľný</w:t>
      </w:r>
      <w:r w:rsidR="004F01E9">
        <w:rPr>
          <w:noProof/>
        </w:rPr>
        <w:t xml:space="preserve"> v </w:t>
      </w:r>
      <w:r w:rsidRPr="004F01E9">
        <w:rPr>
          <w:noProof/>
        </w:rPr>
        <w:t>súlade</w:t>
      </w:r>
      <w:r w:rsidR="004F01E9">
        <w:rPr>
          <w:noProof/>
        </w:rPr>
        <w:t xml:space="preserve"> s </w:t>
      </w:r>
      <w:r w:rsidRPr="004F01E9">
        <w:rPr>
          <w:noProof/>
        </w:rPr>
        <w:t>odsekom 1, ak vstupné údaje, pomocou ktorých sa určili scenáre budúcich otrasov použitých na faktor rizika, nespĺňajú</w:t>
      </w:r>
      <w:r w:rsidR="004F01E9">
        <w:rPr>
          <w:noProof/>
        </w:rPr>
        <w:t xml:space="preserve"> k </w:t>
      </w:r>
      <w:r w:rsidRPr="004F01E9">
        <w:rPr>
          <w:noProof/>
        </w:rPr>
        <w:t>spokojnosti príslušných orgánov požiadavky uvedené</w:t>
      </w:r>
      <w:r w:rsidR="004F01E9">
        <w:rPr>
          <w:noProof/>
        </w:rPr>
        <w:t xml:space="preserve"> v </w:t>
      </w:r>
      <w:r w:rsidRPr="004F01E9">
        <w:rPr>
          <w:noProof/>
        </w:rPr>
        <w:t>článku 325bc ods. 6.“;</w:t>
      </w:r>
    </w:p>
    <w:p w14:paraId="62D758BC" w14:textId="5E3AB9E9" w:rsidR="008B2178" w:rsidRPr="004F01E9" w:rsidRDefault="00746C8F" w:rsidP="00746C8F">
      <w:pPr>
        <w:pStyle w:val="Point1"/>
        <w:rPr>
          <w:noProof/>
        </w:rPr>
      </w:pPr>
      <w:r w:rsidRPr="004F01E9">
        <w:rPr>
          <w:noProof/>
        </w:rPr>
        <w:t>c)</w:t>
      </w:r>
      <w:r w:rsidRPr="004F01E9">
        <w:rPr>
          <w:noProof/>
        </w:rPr>
        <w:tab/>
        <w:t>Vkladá sa tento odsek 2a:</w:t>
      </w:r>
    </w:p>
    <w:p w14:paraId="7A74063A" w14:textId="46E9FB18" w:rsidR="008B2178" w:rsidRPr="004F01E9" w:rsidRDefault="008B2178" w:rsidP="008B2178">
      <w:pPr>
        <w:pStyle w:val="Text2"/>
        <w:rPr>
          <w:noProof/>
        </w:rPr>
      </w:pPr>
      <w:r w:rsidRPr="004F01E9">
        <w:rPr>
          <w:noProof/>
        </w:rPr>
        <w:t>„2a) Za mimoriadnych okolností, ktoré sa vyskytnú počas období výrazného zníženia určitých obchodných činností na viacerých finančných trhoch, môžu príslušné orgány povoliť všetkým inštitúciám, ktoré používajú prístup stanovený</w:t>
      </w:r>
      <w:r w:rsidR="004F01E9">
        <w:rPr>
          <w:noProof/>
        </w:rPr>
        <w:t xml:space="preserve"> v </w:t>
      </w:r>
      <w:r w:rsidRPr="004F01E9">
        <w:rPr>
          <w:noProof/>
        </w:rPr>
        <w:t>tejto kapitole, aby za modelovateľné považovali niektoré faktory rizika, ktoré tieto inštitúcie posúdili</w:t>
      </w:r>
      <w:r w:rsidR="004F01E9">
        <w:rPr>
          <w:noProof/>
        </w:rPr>
        <w:t xml:space="preserve"> v </w:t>
      </w:r>
      <w:r w:rsidRPr="004F01E9">
        <w:rPr>
          <w:noProof/>
        </w:rPr>
        <w:t>súlade</w:t>
      </w:r>
      <w:r w:rsidR="004F01E9">
        <w:rPr>
          <w:noProof/>
        </w:rPr>
        <w:t xml:space="preserve"> s </w:t>
      </w:r>
      <w:r w:rsidRPr="004F01E9">
        <w:rPr>
          <w:noProof/>
        </w:rPr>
        <w:t>odsekom 1 ako nemodelovateľné, za predpokladu, že sú splnené tieto podmienky:</w:t>
      </w:r>
    </w:p>
    <w:p w14:paraId="501FC86B" w14:textId="77777777" w:rsidR="008B2178" w:rsidRPr="009D4D24" w:rsidRDefault="008B2178" w:rsidP="008B2178">
      <w:pPr>
        <w:pStyle w:val="Point2"/>
        <w:rPr>
          <w:noProof/>
          <w:spacing w:val="-4"/>
        </w:rPr>
      </w:pPr>
      <w:r w:rsidRPr="004F01E9">
        <w:rPr>
          <w:noProof/>
        </w:rPr>
        <w:t>a)</w:t>
      </w:r>
      <w:r w:rsidRPr="004F01E9">
        <w:rPr>
          <w:noProof/>
        </w:rPr>
        <w:tab/>
      </w:r>
      <w:r w:rsidRPr="009D4D24">
        <w:rPr>
          <w:noProof/>
          <w:spacing w:val="-4"/>
        </w:rPr>
        <w:t>faktory rizika, na ktoré sa vzťahuje takéto zaobchádzanie, zodpovedajú obchodným činnostiam, ktoré sú na finančných trhoch výrazne obmedzené;</w:t>
      </w:r>
    </w:p>
    <w:p w14:paraId="6E5899B1" w14:textId="3ADC11A9" w:rsidR="008B2178" w:rsidRPr="004F01E9" w:rsidRDefault="008B2178" w:rsidP="008B2178">
      <w:pPr>
        <w:pStyle w:val="Point2"/>
        <w:rPr>
          <w:noProof/>
        </w:rPr>
      </w:pPr>
      <w:r w:rsidRPr="004F01E9">
        <w:rPr>
          <w:noProof/>
        </w:rPr>
        <w:t>b)</w:t>
      </w:r>
      <w:r w:rsidRPr="004F01E9">
        <w:rPr>
          <w:noProof/>
        </w:rPr>
        <w:tab/>
        <w:t>takéto zaobchádzanie sa uplatňuje dočasne</w:t>
      </w:r>
      <w:r w:rsidR="004F01E9">
        <w:rPr>
          <w:noProof/>
        </w:rPr>
        <w:t xml:space="preserve"> a </w:t>
      </w:r>
      <w:r w:rsidRPr="004F01E9">
        <w:rPr>
          <w:noProof/>
        </w:rPr>
        <w:t>nie dlhšie ako šesť mesiacov</w:t>
      </w:r>
      <w:r w:rsidR="004F01E9">
        <w:rPr>
          <w:noProof/>
        </w:rPr>
        <w:t xml:space="preserve"> v </w:t>
      </w:r>
      <w:r w:rsidRPr="004F01E9">
        <w:rPr>
          <w:noProof/>
        </w:rPr>
        <w:t>rámci jedného finančného roka;</w:t>
      </w:r>
    </w:p>
    <w:p w14:paraId="580D1FEC" w14:textId="5A6CD5AD" w:rsidR="008B2178" w:rsidRPr="009D4D24" w:rsidRDefault="008B2178" w:rsidP="008B2178">
      <w:pPr>
        <w:pStyle w:val="Point2"/>
        <w:rPr>
          <w:noProof/>
          <w:spacing w:val="-4"/>
        </w:rPr>
      </w:pPr>
      <w:r w:rsidRPr="004F01E9">
        <w:rPr>
          <w:noProof/>
        </w:rPr>
        <w:t>c)</w:t>
      </w:r>
      <w:r w:rsidRPr="004F01E9">
        <w:rPr>
          <w:noProof/>
        </w:rPr>
        <w:tab/>
      </w:r>
      <w:r w:rsidRPr="009D4D24">
        <w:rPr>
          <w:noProof/>
          <w:spacing w:val="-4"/>
        </w:rPr>
        <w:t>zaobchádzanie uvedené</w:t>
      </w:r>
      <w:r w:rsidR="004F01E9" w:rsidRPr="009D4D24">
        <w:rPr>
          <w:noProof/>
          <w:spacing w:val="-4"/>
        </w:rPr>
        <w:t xml:space="preserve"> v </w:t>
      </w:r>
      <w:r w:rsidRPr="009D4D24">
        <w:rPr>
          <w:noProof/>
          <w:spacing w:val="-4"/>
        </w:rPr>
        <w:t>prvom pododseku významne neznižuje celkové požiadavky na vlastné zdroje pre trhové riziko inštitúcií, ktoré ich uplatňujú;</w:t>
      </w:r>
    </w:p>
    <w:p w14:paraId="0A8E8E0F" w14:textId="7F2C9628" w:rsidR="008B2178" w:rsidRPr="009D4D24" w:rsidRDefault="008B2178" w:rsidP="008B2178">
      <w:pPr>
        <w:pStyle w:val="Point2"/>
        <w:rPr>
          <w:noProof/>
          <w:spacing w:val="-4"/>
        </w:rPr>
      </w:pPr>
      <w:r w:rsidRPr="009D4D24">
        <w:rPr>
          <w:noProof/>
          <w:spacing w:val="-4"/>
        </w:rPr>
        <w:t>d)</w:t>
      </w:r>
      <w:r w:rsidRPr="009D4D24">
        <w:rPr>
          <w:noProof/>
          <w:spacing w:val="-4"/>
        </w:rPr>
        <w:tab/>
        <w:t>príslušné orgány bezodkladne oznámia orgánu EBA každé rozhodnutie, ktorým sa inštitúciám umožní uplatňovať prístup stanovený</w:t>
      </w:r>
      <w:r w:rsidR="004F01E9" w:rsidRPr="009D4D24">
        <w:rPr>
          <w:noProof/>
          <w:spacing w:val="-4"/>
        </w:rPr>
        <w:t xml:space="preserve"> v </w:t>
      </w:r>
      <w:r w:rsidRPr="009D4D24">
        <w:rPr>
          <w:noProof/>
          <w:spacing w:val="-4"/>
        </w:rPr>
        <w:t>tejto kapitole</w:t>
      </w:r>
      <w:r w:rsidR="004F01E9" w:rsidRPr="009D4D24">
        <w:rPr>
          <w:noProof/>
          <w:spacing w:val="-4"/>
        </w:rPr>
        <w:t xml:space="preserve"> s </w:t>
      </w:r>
      <w:r w:rsidRPr="009D4D24">
        <w:rPr>
          <w:noProof/>
          <w:spacing w:val="-4"/>
        </w:rPr>
        <w:t>cieľom považovať za modelovateľné niektoré rizikové faktory, ktoré boli posúdené ako nemodelovateľné, ako aj príslušné obchodné činnosti,</w:t>
      </w:r>
      <w:r w:rsidR="004F01E9" w:rsidRPr="009D4D24">
        <w:rPr>
          <w:noProof/>
          <w:spacing w:val="-4"/>
        </w:rPr>
        <w:t xml:space="preserve"> a </w:t>
      </w:r>
      <w:r w:rsidRPr="009D4D24">
        <w:rPr>
          <w:noProof/>
          <w:spacing w:val="-4"/>
        </w:rPr>
        <w:t>toto rozhodnutie zdôvodnia.“;</w:t>
      </w:r>
    </w:p>
    <w:p w14:paraId="19EC8974" w14:textId="26735200" w:rsidR="008B2178" w:rsidRPr="004F01E9" w:rsidRDefault="00746C8F" w:rsidP="00746C8F">
      <w:pPr>
        <w:pStyle w:val="Point1"/>
        <w:rPr>
          <w:noProof/>
        </w:rPr>
      </w:pPr>
      <w:r w:rsidRPr="004F01E9">
        <w:rPr>
          <w:noProof/>
        </w:rPr>
        <w:t>d)</w:t>
      </w:r>
      <w:r w:rsidRPr="004F01E9">
        <w:rPr>
          <w:noProof/>
        </w:rPr>
        <w:tab/>
        <w:t>Odsek 3 sa nahrádza takto:</w:t>
      </w:r>
    </w:p>
    <w:p w14:paraId="7AFE81AC" w14:textId="7285BE67" w:rsidR="00806B81" w:rsidRPr="004F01E9" w:rsidRDefault="008B2178" w:rsidP="008B2178">
      <w:pPr>
        <w:pStyle w:val="Text2"/>
        <w:rPr>
          <w:noProof/>
        </w:rPr>
      </w:pPr>
      <w:r w:rsidRPr="004F01E9">
        <w:rPr>
          <w:noProof/>
        </w:rPr>
        <w:t>„3. EBA vypracuje návrh regulačných technických predpisov</w:t>
      </w:r>
      <w:r w:rsidR="004F01E9">
        <w:rPr>
          <w:noProof/>
        </w:rPr>
        <w:t xml:space="preserve"> s </w:t>
      </w:r>
      <w:r w:rsidRPr="004F01E9">
        <w:rPr>
          <w:noProof/>
        </w:rPr>
        <w:t>cieľom presne stanoviť kritériá na posúdenie modelovateľnosti faktorov rizika</w:t>
      </w:r>
      <w:r w:rsidR="004F01E9">
        <w:rPr>
          <w:noProof/>
        </w:rPr>
        <w:t xml:space="preserve"> v </w:t>
      </w:r>
      <w:r w:rsidRPr="004F01E9">
        <w:rPr>
          <w:noProof/>
        </w:rPr>
        <w:t>súlade</w:t>
      </w:r>
      <w:r w:rsidR="004F01E9">
        <w:rPr>
          <w:noProof/>
        </w:rPr>
        <w:t xml:space="preserve"> s </w:t>
      </w:r>
      <w:r w:rsidRPr="004F01E9">
        <w:rPr>
          <w:noProof/>
        </w:rPr>
        <w:t>odsekom 1 vrátane prípadov, keď sa používajú trhové údaje uvedené</w:t>
      </w:r>
      <w:r w:rsidR="004F01E9">
        <w:rPr>
          <w:noProof/>
        </w:rPr>
        <w:t xml:space="preserve"> v </w:t>
      </w:r>
      <w:r w:rsidRPr="004F01E9">
        <w:rPr>
          <w:noProof/>
        </w:rPr>
        <w:t>odseku 2b,</w:t>
      </w:r>
      <w:r w:rsidR="004F01E9">
        <w:rPr>
          <w:noProof/>
        </w:rPr>
        <w:t xml:space="preserve"> a </w:t>
      </w:r>
      <w:r w:rsidRPr="004F01E9">
        <w:rPr>
          <w:noProof/>
        </w:rPr>
        <w:t>frekvenciu tohto posúdenia.</w:t>
      </w:r>
    </w:p>
    <w:p w14:paraId="05006001" w14:textId="614F1F16" w:rsidR="00806B81" w:rsidRPr="004F01E9" w:rsidRDefault="008B2178" w:rsidP="008B2178">
      <w:pPr>
        <w:pStyle w:val="Text2"/>
        <w:rPr>
          <w:noProof/>
        </w:rPr>
      </w:pPr>
      <w:r w:rsidRPr="004F01E9">
        <w:rPr>
          <w:noProof/>
        </w:rPr>
        <w:t>EBA predloží Komisii uvedený návrh regulačných technických predpisov do [Úrad pre publikácie, vložte dátum = 9 mesiacov po nadobudnutí účinnosti tohto nariadenia].</w:t>
      </w:r>
    </w:p>
    <w:p w14:paraId="313241A6" w14:textId="76C7228A" w:rsidR="008B2178" w:rsidRPr="004F01E9" w:rsidRDefault="008B2178" w:rsidP="008311A3">
      <w:pPr>
        <w:pStyle w:val="Text2"/>
        <w:rPr>
          <w:noProof/>
        </w:rPr>
      </w:pPr>
      <w:r w:rsidRPr="004F01E9">
        <w:rPr>
          <w:noProof/>
        </w:rPr>
        <w:t>Na Komisiu sa deleguje právomoc doplniť toto nariadenie prijatím regulačných technických predpisov uvedených</w:t>
      </w:r>
      <w:r w:rsidR="004F01E9">
        <w:rPr>
          <w:noProof/>
        </w:rPr>
        <w:t xml:space="preserve"> v </w:t>
      </w:r>
      <w:r w:rsidRPr="004F01E9">
        <w:rPr>
          <w:noProof/>
        </w:rPr>
        <w:t>prvom pododseku</w:t>
      </w:r>
      <w:r w:rsidR="004F01E9">
        <w:rPr>
          <w:noProof/>
        </w:rPr>
        <w:t xml:space="preserve"> v </w:t>
      </w:r>
      <w:r w:rsidRPr="004F01E9">
        <w:rPr>
          <w:noProof/>
        </w:rPr>
        <w:t>súlade</w:t>
      </w:r>
      <w:r w:rsidR="004F01E9">
        <w:rPr>
          <w:noProof/>
        </w:rPr>
        <w:t xml:space="preserve"> s </w:t>
      </w:r>
      <w:r w:rsidRPr="004F01E9">
        <w:rPr>
          <w:noProof/>
        </w:rPr>
        <w:t xml:space="preserve">článkami 10 až 14 nariadenia (EÚ) </w:t>
      </w:r>
      <w:r w:rsidR="004F01E9">
        <w:rPr>
          <w:noProof/>
        </w:rPr>
        <w:t>č. </w:t>
      </w:r>
      <w:r w:rsidRPr="004F01E9">
        <w:rPr>
          <w:noProof/>
        </w:rPr>
        <w:t>1093/2010.“</w:t>
      </w:r>
    </w:p>
    <w:p w14:paraId="6533D5F1" w14:textId="7BE23DD3" w:rsidR="00806B81" w:rsidRPr="004F01E9" w:rsidRDefault="00B16452" w:rsidP="00B16452">
      <w:pPr>
        <w:pStyle w:val="Point0"/>
        <w:rPr>
          <w:noProof/>
        </w:rPr>
      </w:pPr>
      <w:r w:rsidRPr="00B16452">
        <w:rPr>
          <w:noProof/>
        </w:rPr>
        <w:t>155</w:t>
      </w:r>
      <w:r>
        <w:rPr>
          <w:noProof/>
        </w:rPr>
        <w:t>.</w:t>
      </w:r>
      <w:r w:rsidRPr="00B16452">
        <w:rPr>
          <w:noProof/>
        </w:rPr>
        <w:tab/>
      </w:r>
      <w:r w:rsidR="008311A3" w:rsidRPr="004F01E9">
        <w:rPr>
          <w:noProof/>
        </w:rPr>
        <w:t>Článok 325bf sa mení takto:</w:t>
      </w:r>
    </w:p>
    <w:p w14:paraId="423B2C43" w14:textId="3401CB3B" w:rsidR="00806B81" w:rsidRPr="004F01E9" w:rsidRDefault="00A55A89" w:rsidP="00A55A89">
      <w:pPr>
        <w:pStyle w:val="Point1"/>
        <w:rPr>
          <w:noProof/>
        </w:rPr>
      </w:pPr>
      <w:r w:rsidRPr="004F01E9">
        <w:rPr>
          <w:noProof/>
        </w:rPr>
        <w:t>a)</w:t>
      </w:r>
      <w:r w:rsidRPr="004F01E9">
        <w:rPr>
          <w:noProof/>
        </w:rPr>
        <w:tab/>
        <w:t>Odsek 6 sa mení takto:</w:t>
      </w:r>
    </w:p>
    <w:p w14:paraId="3FDF388C" w14:textId="23C11B25" w:rsidR="008311A3" w:rsidRPr="004F01E9" w:rsidRDefault="008311A3" w:rsidP="008311A3">
      <w:pPr>
        <w:pStyle w:val="Point2"/>
        <w:rPr>
          <w:noProof/>
        </w:rPr>
      </w:pPr>
      <w:r w:rsidRPr="004F01E9">
        <w:rPr>
          <w:noProof/>
        </w:rPr>
        <w:t>i)</w:t>
      </w:r>
      <w:r w:rsidRPr="004F01E9">
        <w:rPr>
          <w:noProof/>
        </w:rPr>
        <w:tab/>
        <w:t>V prvom pododseku sa úvodná veta nahrádza takto:</w:t>
      </w:r>
    </w:p>
    <w:p w14:paraId="7189262D" w14:textId="1461075C" w:rsidR="008311A3" w:rsidRPr="004F01E9" w:rsidRDefault="008311A3" w:rsidP="008311A3">
      <w:pPr>
        <w:pStyle w:val="Text3"/>
        <w:rPr>
          <w:noProof/>
        </w:rPr>
      </w:pPr>
      <w:r w:rsidRPr="004F01E9">
        <w:rPr>
          <w:noProof/>
        </w:rPr>
        <w:t>„Multiplikačný koeficient (mc) sa rovná prinajmenšom súčtu hodnoty 1,5</w:t>
      </w:r>
      <w:r w:rsidR="004F01E9">
        <w:rPr>
          <w:noProof/>
        </w:rPr>
        <w:t xml:space="preserve"> a </w:t>
      </w:r>
      <w:r w:rsidRPr="004F01E9">
        <w:rPr>
          <w:noProof/>
        </w:rPr>
        <w:t>navýšenia určeného podľa tabuľky 3. Pre portfólio uvedené</w:t>
      </w:r>
      <w:r w:rsidR="004F01E9">
        <w:rPr>
          <w:noProof/>
        </w:rPr>
        <w:t xml:space="preserve"> v </w:t>
      </w:r>
      <w:r w:rsidRPr="004F01E9">
        <w:rPr>
          <w:noProof/>
        </w:rPr>
        <w:t>odseku 5 sa toto navýšenie vypočítava na základe počtu prekročení, ku ktorým došlo</w:t>
      </w:r>
      <w:r w:rsidR="004F01E9">
        <w:rPr>
          <w:noProof/>
        </w:rPr>
        <w:t xml:space="preserve"> v </w:t>
      </w:r>
      <w:r w:rsidRPr="004F01E9">
        <w:rPr>
          <w:noProof/>
        </w:rPr>
        <w:t>priebehu posledných 250 pracovných dní, čo je preukázané spätným testovaním výšky hodnoty</w:t>
      </w:r>
      <w:r w:rsidR="004F01E9">
        <w:rPr>
          <w:noProof/>
        </w:rPr>
        <w:t xml:space="preserve"> v </w:t>
      </w:r>
      <w:r w:rsidRPr="004F01E9">
        <w:rPr>
          <w:noProof/>
        </w:rPr>
        <w:t>riziku inštitúcie vypočítanej</w:t>
      </w:r>
      <w:r w:rsidR="004F01E9">
        <w:rPr>
          <w:noProof/>
        </w:rPr>
        <w:t xml:space="preserve"> v </w:t>
      </w:r>
      <w:r w:rsidRPr="004F01E9">
        <w:rPr>
          <w:noProof/>
        </w:rPr>
        <w:t>súlade</w:t>
      </w:r>
      <w:r w:rsidR="004F01E9">
        <w:rPr>
          <w:noProof/>
        </w:rPr>
        <w:t xml:space="preserve"> s </w:t>
      </w:r>
      <w:r w:rsidRPr="004F01E9">
        <w:rPr>
          <w:noProof/>
        </w:rPr>
        <w:t>písmenom a) tohto pododseku. Na výpočet navýšenia sa vzťahujú tieto požiadavky:“;</w:t>
      </w:r>
    </w:p>
    <w:p w14:paraId="2C7EB0BD" w14:textId="77777777" w:rsidR="00806B81" w:rsidRPr="004F01E9" w:rsidRDefault="008311A3" w:rsidP="008311A3">
      <w:pPr>
        <w:pStyle w:val="Point2"/>
        <w:rPr>
          <w:noProof/>
        </w:rPr>
      </w:pPr>
      <w:r w:rsidRPr="004F01E9">
        <w:rPr>
          <w:noProof/>
        </w:rPr>
        <w:t>ii)</w:t>
      </w:r>
      <w:r w:rsidRPr="004F01E9">
        <w:rPr>
          <w:noProof/>
        </w:rPr>
        <w:tab/>
        <w:t>Posledný pododsek sa nahrádza takto:</w:t>
      </w:r>
    </w:p>
    <w:p w14:paraId="1F27D002" w14:textId="789FFB75" w:rsidR="008311A3" w:rsidRPr="004F01E9" w:rsidRDefault="008311A3" w:rsidP="008311A3">
      <w:pPr>
        <w:pStyle w:val="Text3"/>
        <w:rPr>
          <w:noProof/>
        </w:rPr>
      </w:pPr>
      <w:r w:rsidRPr="004F01E9">
        <w:rPr>
          <w:noProof/>
        </w:rPr>
        <w:t>„Príslušné orgány môžu za výnimočných okolností povoliť, aby inštitúcia:</w:t>
      </w:r>
    </w:p>
    <w:p w14:paraId="55639153" w14:textId="41343760" w:rsidR="008311A3" w:rsidRPr="004F01E9" w:rsidRDefault="008311A3" w:rsidP="008311A3">
      <w:pPr>
        <w:pStyle w:val="Point3"/>
        <w:rPr>
          <w:noProof/>
        </w:rPr>
      </w:pPr>
      <w:r w:rsidRPr="004F01E9">
        <w:rPr>
          <w:noProof/>
        </w:rPr>
        <w:t>a)</w:t>
      </w:r>
      <w:r w:rsidRPr="004F01E9">
        <w:rPr>
          <w:noProof/>
        </w:rPr>
        <w:tab/>
        <w:t>obmedzila výpočet navýšenia na taký, ktorý vyplýva</w:t>
      </w:r>
      <w:r w:rsidR="004F01E9">
        <w:rPr>
          <w:noProof/>
        </w:rPr>
        <w:t xml:space="preserve"> z </w:t>
      </w:r>
      <w:r w:rsidRPr="004F01E9">
        <w:rPr>
          <w:noProof/>
        </w:rPr>
        <w:t>prekročení pri spätnom testovaní hypotetických zmien, pokiaľ počet prekročení pri spätnom testovaní skutočných zmien nevyplýva</w:t>
      </w:r>
      <w:r w:rsidR="004F01E9">
        <w:rPr>
          <w:noProof/>
        </w:rPr>
        <w:t xml:space="preserve"> z </w:t>
      </w:r>
      <w:r w:rsidRPr="004F01E9">
        <w:rPr>
          <w:noProof/>
        </w:rPr>
        <w:t>nedostatkov alternatívneho interného modelu inštitúcie;</w:t>
      </w:r>
    </w:p>
    <w:p w14:paraId="67CB0A9F" w14:textId="5AADAA86" w:rsidR="008311A3" w:rsidRPr="004F01E9" w:rsidRDefault="008311A3" w:rsidP="008311A3">
      <w:pPr>
        <w:pStyle w:val="Point3"/>
        <w:rPr>
          <w:noProof/>
        </w:rPr>
      </w:pPr>
      <w:r w:rsidRPr="004F01E9">
        <w:rPr>
          <w:noProof/>
        </w:rPr>
        <w:t>b)</w:t>
      </w:r>
      <w:r w:rsidRPr="004F01E9">
        <w:rPr>
          <w:noProof/>
        </w:rPr>
        <w:tab/>
        <w:t>vylúčila</w:t>
      </w:r>
      <w:r w:rsidR="004F01E9">
        <w:rPr>
          <w:noProof/>
        </w:rPr>
        <w:t xml:space="preserve"> z </w:t>
      </w:r>
      <w:r w:rsidRPr="004F01E9">
        <w:rPr>
          <w:noProof/>
        </w:rPr>
        <w:t>výpočtu navýšenia prekročenia preukázané spätným testovaním hypotetických alebo skutočných zmien, pokiaľ takéto prekročenia nevyplývajú</w:t>
      </w:r>
      <w:r w:rsidR="004F01E9">
        <w:rPr>
          <w:noProof/>
        </w:rPr>
        <w:t xml:space="preserve"> z </w:t>
      </w:r>
      <w:r w:rsidRPr="004F01E9">
        <w:rPr>
          <w:noProof/>
        </w:rPr>
        <w:t>nedostatkov alternatívneho interného modelu inštitúcie.“;</w:t>
      </w:r>
    </w:p>
    <w:p w14:paraId="73635E0F" w14:textId="77777777" w:rsidR="008311A3" w:rsidRPr="004F01E9" w:rsidRDefault="008311A3" w:rsidP="008311A3">
      <w:pPr>
        <w:pStyle w:val="Point2"/>
        <w:rPr>
          <w:noProof/>
          <w:szCs w:val="24"/>
        </w:rPr>
      </w:pPr>
      <w:r w:rsidRPr="004F01E9">
        <w:rPr>
          <w:noProof/>
        </w:rPr>
        <w:t>iii)</w:t>
      </w:r>
      <w:r w:rsidRPr="004F01E9">
        <w:rPr>
          <w:noProof/>
        </w:rPr>
        <w:tab/>
        <w:t>Dopĺňa sa tento pododsek:</w:t>
      </w:r>
    </w:p>
    <w:p w14:paraId="461C5FA8" w14:textId="3C80B34E" w:rsidR="008311A3" w:rsidRPr="004F01E9" w:rsidRDefault="008311A3" w:rsidP="008311A3">
      <w:pPr>
        <w:pStyle w:val="Text3"/>
        <w:rPr>
          <w:noProof/>
        </w:rPr>
      </w:pPr>
      <w:r w:rsidRPr="004F01E9">
        <w:rPr>
          <w:noProof/>
        </w:rPr>
        <w:t>„Na účely prvého pododseku môžu príslušné orgány zvýšiť hodnotu mc nad sumu uvedenú</w:t>
      </w:r>
      <w:r w:rsidR="004F01E9">
        <w:rPr>
          <w:noProof/>
        </w:rPr>
        <w:t xml:space="preserve"> v </w:t>
      </w:r>
      <w:r w:rsidRPr="004F01E9">
        <w:rPr>
          <w:noProof/>
        </w:rPr>
        <w:t>uvedenom pododseku, ak alternatívny interný model inštitúcie prejavuje nedostatky, pokiaľ ide</w:t>
      </w:r>
      <w:r w:rsidR="004F01E9">
        <w:rPr>
          <w:noProof/>
        </w:rPr>
        <w:t xml:space="preserve"> o </w:t>
      </w:r>
      <w:r w:rsidRPr="004F01E9">
        <w:rPr>
          <w:noProof/>
        </w:rPr>
        <w:t>náležité meranie požiadaviek na vlastné zdroje pre trhové riziko.“;</w:t>
      </w:r>
    </w:p>
    <w:p w14:paraId="56FC7F8E" w14:textId="3DDA8F6D" w:rsidR="00806B81" w:rsidRPr="004F01E9" w:rsidRDefault="00A55A89" w:rsidP="00A55A89">
      <w:pPr>
        <w:pStyle w:val="Point1"/>
        <w:rPr>
          <w:noProof/>
        </w:rPr>
      </w:pPr>
      <w:r w:rsidRPr="004F01E9">
        <w:rPr>
          <w:noProof/>
        </w:rPr>
        <w:t>b)</w:t>
      </w:r>
      <w:r w:rsidRPr="004F01E9">
        <w:rPr>
          <w:noProof/>
        </w:rPr>
        <w:tab/>
        <w:t>Odsek 8 sa nahrádza takto:</w:t>
      </w:r>
    </w:p>
    <w:p w14:paraId="7DC7709C" w14:textId="402D9618" w:rsidR="008311A3" w:rsidRPr="004F01E9" w:rsidRDefault="008311A3" w:rsidP="008311A3">
      <w:pPr>
        <w:pStyle w:val="Text2"/>
        <w:rPr>
          <w:noProof/>
        </w:rPr>
      </w:pPr>
      <w:r w:rsidRPr="004F01E9">
        <w:rPr>
          <w:noProof/>
        </w:rPr>
        <w:t>„8. Odchylne od odsekov 2</w:t>
      </w:r>
      <w:r w:rsidR="004F01E9">
        <w:rPr>
          <w:noProof/>
        </w:rPr>
        <w:t xml:space="preserve"> a </w:t>
      </w:r>
      <w:r w:rsidRPr="004F01E9">
        <w:rPr>
          <w:noProof/>
        </w:rPr>
        <w:t>6 tohto článku môžu príslušné orgány povoliť inštitúcii, aby nepočítala prekročenie, keď jednodňovú zmenu</w:t>
      </w:r>
      <w:r w:rsidR="004F01E9">
        <w:rPr>
          <w:noProof/>
        </w:rPr>
        <w:t xml:space="preserve"> v </w:t>
      </w:r>
      <w:r w:rsidRPr="004F01E9">
        <w:rPr>
          <w:noProof/>
        </w:rPr>
        <w:t>hodnote jej portfólia, ktorá prekročí súvisiacu výšku hodnoty</w:t>
      </w:r>
      <w:r w:rsidR="004F01E9">
        <w:rPr>
          <w:noProof/>
        </w:rPr>
        <w:t xml:space="preserve"> v </w:t>
      </w:r>
      <w:r w:rsidRPr="004F01E9">
        <w:rPr>
          <w:noProof/>
        </w:rPr>
        <w:t>riziku vypočítanú interným modelom danej inštitúcie, možno pripísať nemodelovateľnému faktoru rizika.“;</w:t>
      </w:r>
    </w:p>
    <w:p w14:paraId="5A09E3E8" w14:textId="619FF41E" w:rsidR="00806B81" w:rsidRPr="004F01E9" w:rsidRDefault="00A55A89" w:rsidP="00A55A89">
      <w:pPr>
        <w:pStyle w:val="Point1"/>
        <w:rPr>
          <w:noProof/>
        </w:rPr>
      </w:pPr>
      <w:r w:rsidRPr="004F01E9">
        <w:rPr>
          <w:noProof/>
        </w:rPr>
        <w:t>c)</w:t>
      </w:r>
      <w:r w:rsidRPr="004F01E9">
        <w:rPr>
          <w:noProof/>
        </w:rPr>
        <w:tab/>
        <w:t>Dopĺňa sa tento odsek 10:</w:t>
      </w:r>
    </w:p>
    <w:p w14:paraId="1CA3396D" w14:textId="56541256" w:rsidR="00806B81" w:rsidRPr="004F01E9" w:rsidRDefault="008311A3" w:rsidP="008311A3">
      <w:pPr>
        <w:pStyle w:val="Text2"/>
        <w:rPr>
          <w:noProof/>
        </w:rPr>
      </w:pPr>
      <w:r w:rsidRPr="004F01E9">
        <w:rPr>
          <w:noProof/>
        </w:rPr>
        <w:t>„10. EBA vypracuje návrh regulačných technických predpisov</w:t>
      </w:r>
      <w:r w:rsidR="004F01E9">
        <w:rPr>
          <w:noProof/>
        </w:rPr>
        <w:t xml:space="preserve"> s </w:t>
      </w:r>
      <w:r w:rsidRPr="004F01E9">
        <w:rPr>
          <w:noProof/>
        </w:rPr>
        <w:t>cieľom presne stanoviť podmienky</w:t>
      </w:r>
      <w:r w:rsidR="004F01E9">
        <w:rPr>
          <w:noProof/>
        </w:rPr>
        <w:t xml:space="preserve"> a </w:t>
      </w:r>
      <w:r w:rsidRPr="004F01E9">
        <w:rPr>
          <w:noProof/>
        </w:rPr>
        <w:t>kritériá, na základe ktorých sa inštitúcii môže povoliť, aby nepočítala prekročenie, ak jednodňová zmena</w:t>
      </w:r>
      <w:r w:rsidR="004F01E9">
        <w:rPr>
          <w:noProof/>
        </w:rPr>
        <w:t xml:space="preserve"> v </w:t>
      </w:r>
      <w:r w:rsidRPr="004F01E9">
        <w:rPr>
          <w:noProof/>
        </w:rPr>
        <w:t>hodnote jej portfólia, ktorá prekročí súvisiacu výšku hodnoty</w:t>
      </w:r>
      <w:r w:rsidR="004F01E9">
        <w:rPr>
          <w:noProof/>
        </w:rPr>
        <w:t xml:space="preserve"> v </w:t>
      </w:r>
      <w:r w:rsidRPr="004F01E9">
        <w:rPr>
          <w:noProof/>
        </w:rPr>
        <w:t>riziku vypočítanú interným modelom danej inštitúcie, je pripísateľná nemodelovateľnému faktoru rizika.</w:t>
      </w:r>
    </w:p>
    <w:p w14:paraId="7CE09FDE" w14:textId="0B015BB7" w:rsidR="00806B81" w:rsidRPr="004F01E9" w:rsidRDefault="008311A3" w:rsidP="008311A3">
      <w:pPr>
        <w:pStyle w:val="Text2"/>
        <w:rPr>
          <w:noProof/>
        </w:rPr>
      </w:pPr>
      <w:r w:rsidRPr="004F01E9">
        <w:rPr>
          <w:noProof/>
        </w:rPr>
        <w:t>EBA predloží Komisii uvedený návrh regulačných technických predpisov do [Úrad pre publikácie, vložte dátum = 18 mesiacov po nadobudnutí účinnosti tohto nariadenia].</w:t>
      </w:r>
    </w:p>
    <w:p w14:paraId="3B2445FF" w14:textId="1B5E3467" w:rsidR="008311A3" w:rsidRPr="004F01E9" w:rsidRDefault="008311A3" w:rsidP="008311A3">
      <w:pPr>
        <w:pStyle w:val="Text2"/>
        <w:rPr>
          <w:noProof/>
        </w:rPr>
      </w:pPr>
      <w:r w:rsidRPr="004F01E9">
        <w:rPr>
          <w:noProof/>
        </w:rPr>
        <w:t>Na Komisiu sa deleguje právomoc doplniť toto nariadenie prijatím regulačných technických predpisov uvedených</w:t>
      </w:r>
      <w:r w:rsidR="004F01E9">
        <w:rPr>
          <w:noProof/>
        </w:rPr>
        <w:t xml:space="preserve"> v </w:t>
      </w:r>
      <w:r w:rsidRPr="004F01E9">
        <w:rPr>
          <w:noProof/>
        </w:rPr>
        <w:t>prvom pododseku</w:t>
      </w:r>
      <w:r w:rsidR="004F01E9">
        <w:rPr>
          <w:noProof/>
        </w:rPr>
        <w:t xml:space="preserve"> v </w:t>
      </w:r>
      <w:r w:rsidRPr="004F01E9">
        <w:rPr>
          <w:noProof/>
        </w:rPr>
        <w:t>súlade</w:t>
      </w:r>
      <w:r w:rsidR="004F01E9">
        <w:rPr>
          <w:noProof/>
        </w:rPr>
        <w:t xml:space="preserve"> s </w:t>
      </w:r>
      <w:r w:rsidRPr="004F01E9">
        <w:rPr>
          <w:noProof/>
        </w:rPr>
        <w:t xml:space="preserve">článkami 10 až 14 nariadenia (EÚ) </w:t>
      </w:r>
      <w:r w:rsidR="004F01E9">
        <w:rPr>
          <w:noProof/>
        </w:rPr>
        <w:t>č. </w:t>
      </w:r>
      <w:r w:rsidRPr="004F01E9">
        <w:rPr>
          <w:noProof/>
        </w:rPr>
        <w:t>1093/2010.“</w:t>
      </w:r>
    </w:p>
    <w:p w14:paraId="4240FF8D" w14:textId="00283543" w:rsidR="00806B81" w:rsidRPr="004F01E9" w:rsidRDefault="00B16452" w:rsidP="00B16452">
      <w:pPr>
        <w:pStyle w:val="Point0"/>
        <w:rPr>
          <w:noProof/>
        </w:rPr>
      </w:pPr>
      <w:r w:rsidRPr="00B16452">
        <w:rPr>
          <w:noProof/>
        </w:rPr>
        <w:t>156</w:t>
      </w:r>
      <w:r>
        <w:rPr>
          <w:noProof/>
        </w:rPr>
        <w:t>.</w:t>
      </w:r>
      <w:r w:rsidRPr="00B16452">
        <w:rPr>
          <w:noProof/>
        </w:rPr>
        <w:tab/>
      </w:r>
      <w:r w:rsidR="008311A3" w:rsidRPr="004F01E9">
        <w:rPr>
          <w:noProof/>
        </w:rPr>
        <w:t>Článok 325bg sa mení takto:</w:t>
      </w:r>
    </w:p>
    <w:p w14:paraId="4BAA9384" w14:textId="17641F52" w:rsidR="00806B81" w:rsidRPr="004F01E9" w:rsidRDefault="00373E42" w:rsidP="00373E42">
      <w:pPr>
        <w:pStyle w:val="Point1"/>
        <w:rPr>
          <w:noProof/>
        </w:rPr>
      </w:pPr>
      <w:r w:rsidRPr="004F01E9">
        <w:rPr>
          <w:noProof/>
        </w:rPr>
        <w:t>a)</w:t>
      </w:r>
      <w:r w:rsidRPr="004F01E9">
        <w:rPr>
          <w:noProof/>
        </w:rPr>
        <w:tab/>
        <w:t>Odseky 1 až 3 sa nahrádzajú takto:</w:t>
      </w:r>
    </w:p>
    <w:p w14:paraId="7FE31F2D" w14:textId="0E2B1223" w:rsidR="00806B81" w:rsidRPr="004F01E9" w:rsidRDefault="008311A3" w:rsidP="008311A3">
      <w:pPr>
        <w:pStyle w:val="Text2"/>
        <w:rPr>
          <w:noProof/>
        </w:rPr>
      </w:pPr>
      <w:r w:rsidRPr="004F01E9">
        <w:rPr>
          <w:noProof/>
        </w:rPr>
        <w:t>„1. Trading desk inštitúcie spĺňa požiadavky na pridelenie ziskov</w:t>
      </w:r>
      <w:r w:rsidR="004F01E9">
        <w:rPr>
          <w:noProof/>
        </w:rPr>
        <w:t xml:space="preserve"> a </w:t>
      </w:r>
      <w:r w:rsidRPr="004F01E9">
        <w:rPr>
          <w:noProof/>
        </w:rPr>
        <w:t>strát vtedy, keď teoretické zmeny</w:t>
      </w:r>
      <w:r w:rsidR="004F01E9">
        <w:rPr>
          <w:noProof/>
        </w:rPr>
        <w:t xml:space="preserve"> v </w:t>
      </w:r>
      <w:r w:rsidRPr="004F01E9">
        <w:rPr>
          <w:noProof/>
        </w:rPr>
        <w:t>hodnote portfólia tohoto trading desku, ktoré sú založené na modeli merania rizika inštitúcie, sú buď blízko alebo dostatočne blízko</w:t>
      </w:r>
      <w:r w:rsidR="004F01E9">
        <w:rPr>
          <w:noProof/>
        </w:rPr>
        <w:t xml:space="preserve"> k </w:t>
      </w:r>
      <w:r w:rsidRPr="004F01E9">
        <w:rPr>
          <w:noProof/>
        </w:rPr>
        <w:t>hypotetickým zmenám</w:t>
      </w:r>
      <w:r w:rsidR="004F01E9">
        <w:rPr>
          <w:noProof/>
        </w:rPr>
        <w:t xml:space="preserve"> v </w:t>
      </w:r>
      <w:r w:rsidRPr="004F01E9">
        <w:rPr>
          <w:noProof/>
        </w:rPr>
        <w:t>hodnote portfólia tohoto trading desku, ktoré sú založené na modeli oceňovania inštitúcie.</w:t>
      </w:r>
    </w:p>
    <w:p w14:paraId="2DD61D58" w14:textId="77DC1039" w:rsidR="008311A3" w:rsidRPr="004F01E9" w:rsidRDefault="008311A3" w:rsidP="008311A3">
      <w:pPr>
        <w:pStyle w:val="Text2"/>
        <w:rPr>
          <w:noProof/>
        </w:rPr>
      </w:pPr>
      <w:r w:rsidRPr="004F01E9">
        <w:rPr>
          <w:noProof/>
        </w:rPr>
        <w:t>2. Bez ohľadu na odsek 1, keď teoretické zmeny</w:t>
      </w:r>
      <w:r w:rsidR="004F01E9">
        <w:rPr>
          <w:noProof/>
        </w:rPr>
        <w:t xml:space="preserve"> v </w:t>
      </w:r>
      <w:r w:rsidRPr="004F01E9">
        <w:rPr>
          <w:noProof/>
        </w:rPr>
        <w:t>hodnote portfólia trading desku, ktoré sú založené na modeli merania rizika inštitúcie, sú dostatočne blízko</w:t>
      </w:r>
      <w:r w:rsidR="004F01E9">
        <w:rPr>
          <w:noProof/>
        </w:rPr>
        <w:t xml:space="preserve"> k </w:t>
      </w:r>
      <w:r w:rsidRPr="004F01E9">
        <w:rPr>
          <w:noProof/>
        </w:rPr>
        <w:t>hypotetickým zmenám</w:t>
      </w:r>
      <w:r w:rsidR="004F01E9">
        <w:rPr>
          <w:noProof/>
        </w:rPr>
        <w:t xml:space="preserve"> v </w:t>
      </w:r>
      <w:r w:rsidRPr="004F01E9">
        <w:rPr>
          <w:noProof/>
        </w:rPr>
        <w:t>hodnote portfólia tohoto trading desku, ktoré sú založené na modeli oceňovania inštitúcie, inštitúcia vypočítava pre všetky pozície priradené</w:t>
      </w:r>
      <w:r w:rsidR="004F01E9">
        <w:rPr>
          <w:noProof/>
        </w:rPr>
        <w:t xml:space="preserve"> k </w:t>
      </w:r>
      <w:r w:rsidRPr="004F01E9">
        <w:rPr>
          <w:noProof/>
        </w:rPr>
        <w:t>tomuto trading desku dodatočnú požiadavku na vlastné zdroje</w:t>
      </w:r>
      <w:r w:rsidR="004F01E9">
        <w:rPr>
          <w:noProof/>
        </w:rPr>
        <w:t xml:space="preserve"> k </w:t>
      </w:r>
      <w:r w:rsidRPr="004F01E9">
        <w:rPr>
          <w:noProof/>
        </w:rPr>
        <w:t>požiadavkám na vlastné zdroje uvedeným</w:t>
      </w:r>
      <w:r w:rsidR="004F01E9">
        <w:rPr>
          <w:noProof/>
        </w:rPr>
        <w:t xml:space="preserve"> v </w:t>
      </w:r>
      <w:r w:rsidRPr="004F01E9">
        <w:rPr>
          <w:noProof/>
        </w:rPr>
        <w:t>článku 325ba ods. 1</w:t>
      </w:r>
      <w:r w:rsidR="004F01E9">
        <w:rPr>
          <w:noProof/>
        </w:rPr>
        <w:t xml:space="preserve"> a </w:t>
      </w:r>
      <w:r w:rsidRPr="004F01E9">
        <w:rPr>
          <w:noProof/>
        </w:rPr>
        <w:t>2.</w:t>
      </w:r>
    </w:p>
    <w:p w14:paraId="0A307FEE" w14:textId="28622B08" w:rsidR="008311A3" w:rsidRPr="009D4D24" w:rsidRDefault="008311A3" w:rsidP="008311A3">
      <w:pPr>
        <w:pStyle w:val="Text2"/>
        <w:rPr>
          <w:noProof/>
          <w:spacing w:val="-6"/>
        </w:rPr>
      </w:pPr>
      <w:r w:rsidRPr="009D4D24">
        <w:rPr>
          <w:noProof/>
          <w:spacing w:val="-6"/>
        </w:rPr>
        <w:t>3. Pre každú pozíciu daného trading desku vedie splnenie požiadavky na pridelenie ziskov</w:t>
      </w:r>
      <w:r w:rsidR="004F01E9" w:rsidRPr="009D4D24">
        <w:rPr>
          <w:noProof/>
          <w:spacing w:val="-6"/>
        </w:rPr>
        <w:t xml:space="preserve"> a </w:t>
      </w:r>
      <w:r w:rsidRPr="009D4D24">
        <w:rPr>
          <w:noProof/>
          <w:spacing w:val="-6"/>
        </w:rPr>
        <w:t>strát inštitúciou uvedenej</w:t>
      </w:r>
      <w:r w:rsidR="004F01E9" w:rsidRPr="009D4D24">
        <w:rPr>
          <w:noProof/>
          <w:spacing w:val="-6"/>
        </w:rPr>
        <w:t xml:space="preserve"> v </w:t>
      </w:r>
      <w:r w:rsidRPr="009D4D24">
        <w:rPr>
          <w:noProof/>
          <w:spacing w:val="-6"/>
        </w:rPr>
        <w:t>odseku 1</w:t>
      </w:r>
      <w:r w:rsidR="004F01E9" w:rsidRPr="009D4D24">
        <w:rPr>
          <w:noProof/>
          <w:spacing w:val="-6"/>
        </w:rPr>
        <w:t xml:space="preserve"> k </w:t>
      </w:r>
      <w:r w:rsidRPr="009D4D24">
        <w:rPr>
          <w:noProof/>
          <w:spacing w:val="-6"/>
        </w:rPr>
        <w:t>tomu, že sa identifikuje presný zoznam faktorov rizika, ktoré sa považujú za vhodné na overovanie, či inštitúcia dodržiava požiadavku na spätné testovanie stanovenú</w:t>
      </w:r>
      <w:r w:rsidR="004F01E9" w:rsidRPr="009D4D24">
        <w:rPr>
          <w:noProof/>
          <w:spacing w:val="-6"/>
        </w:rPr>
        <w:t xml:space="preserve"> v </w:t>
      </w:r>
      <w:r w:rsidRPr="009D4D24">
        <w:rPr>
          <w:noProof/>
          <w:spacing w:val="-6"/>
        </w:rPr>
        <w:t>článku 325bf.“;</w:t>
      </w:r>
    </w:p>
    <w:p w14:paraId="01A88177" w14:textId="256F6071" w:rsidR="008311A3" w:rsidRPr="004F01E9" w:rsidRDefault="00373E42" w:rsidP="00373E42">
      <w:pPr>
        <w:pStyle w:val="Point1"/>
        <w:rPr>
          <w:noProof/>
        </w:rPr>
      </w:pPr>
      <w:r w:rsidRPr="004F01E9">
        <w:rPr>
          <w:noProof/>
        </w:rPr>
        <w:t>b)</w:t>
      </w:r>
      <w:r w:rsidRPr="004F01E9">
        <w:rPr>
          <w:noProof/>
        </w:rPr>
        <w:tab/>
        <w:t>Odsek 4 sa mení takto:</w:t>
      </w:r>
    </w:p>
    <w:p w14:paraId="387B67F4" w14:textId="45499950" w:rsidR="008311A3" w:rsidRPr="004F01E9" w:rsidRDefault="008311A3" w:rsidP="008311A3">
      <w:pPr>
        <w:pStyle w:val="Point2"/>
        <w:rPr>
          <w:noProof/>
        </w:rPr>
      </w:pPr>
      <w:r w:rsidRPr="004F01E9">
        <w:rPr>
          <w:noProof/>
        </w:rPr>
        <w:t>i)</w:t>
      </w:r>
      <w:r w:rsidRPr="004F01E9">
        <w:rPr>
          <w:noProof/>
        </w:rPr>
        <w:tab/>
        <w:t>Písmená a)</w:t>
      </w:r>
      <w:r w:rsidR="004F01E9">
        <w:rPr>
          <w:noProof/>
        </w:rPr>
        <w:t xml:space="preserve"> a </w:t>
      </w:r>
      <w:r w:rsidRPr="004F01E9">
        <w:rPr>
          <w:noProof/>
        </w:rPr>
        <w:t>b) sa nahrádzajú takto:</w:t>
      </w:r>
    </w:p>
    <w:p w14:paraId="714FDE8B" w14:textId="5606708E" w:rsidR="008311A3" w:rsidRPr="004F01E9" w:rsidRDefault="008311A3" w:rsidP="008311A3">
      <w:pPr>
        <w:pStyle w:val="Text3"/>
        <w:rPr>
          <w:noProof/>
        </w:rPr>
      </w:pPr>
      <w:r w:rsidRPr="004F01E9">
        <w:rPr>
          <w:noProof/>
        </w:rPr>
        <w:t>„a) kritériá, ktorými sa určuje, či teoretické zmeny</w:t>
      </w:r>
      <w:r w:rsidR="004F01E9">
        <w:rPr>
          <w:noProof/>
        </w:rPr>
        <w:t xml:space="preserve"> v </w:t>
      </w:r>
      <w:r w:rsidRPr="004F01E9">
        <w:rPr>
          <w:noProof/>
        </w:rPr>
        <w:t>hodnote portfólia trading desku sú buď blízko alebo dostatočne blízko</w:t>
      </w:r>
      <w:r w:rsidR="004F01E9">
        <w:rPr>
          <w:noProof/>
        </w:rPr>
        <w:t xml:space="preserve"> k </w:t>
      </w:r>
      <w:r w:rsidRPr="004F01E9">
        <w:rPr>
          <w:noProof/>
        </w:rPr>
        <w:t>hypotetickým zmenám</w:t>
      </w:r>
      <w:r w:rsidR="004F01E9">
        <w:rPr>
          <w:noProof/>
        </w:rPr>
        <w:t xml:space="preserve"> v </w:t>
      </w:r>
      <w:r w:rsidRPr="004F01E9">
        <w:rPr>
          <w:noProof/>
        </w:rPr>
        <w:t>hodnote portfólia trading desku na účely odseku 1 pri zohľadnení vývoja</w:t>
      </w:r>
      <w:r w:rsidR="004F01E9">
        <w:rPr>
          <w:noProof/>
        </w:rPr>
        <w:t xml:space="preserve"> v </w:t>
      </w:r>
      <w:r w:rsidRPr="004F01E9">
        <w:rPr>
          <w:noProof/>
        </w:rPr>
        <w:t>oblasti medzinárodnej regulácie;</w:t>
      </w:r>
    </w:p>
    <w:p w14:paraId="20197D2C" w14:textId="66D8C9B8" w:rsidR="008311A3" w:rsidRPr="004F01E9" w:rsidRDefault="008311A3" w:rsidP="008311A3">
      <w:pPr>
        <w:pStyle w:val="Text3"/>
        <w:rPr>
          <w:noProof/>
        </w:rPr>
      </w:pPr>
      <w:r w:rsidRPr="004F01E9">
        <w:rPr>
          <w:noProof/>
        </w:rPr>
        <w:t>b) dodatočné požiadavky na vlastné zdroje uvedené</w:t>
      </w:r>
      <w:r w:rsidR="004F01E9">
        <w:rPr>
          <w:noProof/>
        </w:rPr>
        <w:t xml:space="preserve"> v </w:t>
      </w:r>
      <w:r w:rsidRPr="004F01E9">
        <w:rPr>
          <w:noProof/>
        </w:rPr>
        <w:t>odseku 2;“;</w:t>
      </w:r>
    </w:p>
    <w:p w14:paraId="0CE3D26F" w14:textId="77777777" w:rsidR="008311A3" w:rsidRPr="004F01E9" w:rsidRDefault="008311A3" w:rsidP="008311A3">
      <w:pPr>
        <w:pStyle w:val="Point2"/>
        <w:rPr>
          <w:noProof/>
        </w:rPr>
      </w:pPr>
      <w:r w:rsidRPr="004F01E9">
        <w:rPr>
          <w:noProof/>
        </w:rPr>
        <w:t>ii)</w:t>
      </w:r>
      <w:r w:rsidRPr="004F01E9">
        <w:rPr>
          <w:noProof/>
        </w:rPr>
        <w:tab/>
        <w:t>Písmeno e) sa vypúšťa.</w:t>
      </w:r>
    </w:p>
    <w:p w14:paraId="1B0CB0D0" w14:textId="77777777" w:rsidR="008311A3" w:rsidRPr="004F01E9" w:rsidRDefault="008311A3" w:rsidP="008311A3">
      <w:pPr>
        <w:pStyle w:val="Point2"/>
        <w:rPr>
          <w:noProof/>
        </w:rPr>
      </w:pPr>
      <w:r w:rsidRPr="004F01E9">
        <w:rPr>
          <w:noProof/>
        </w:rPr>
        <w:t>iii)</w:t>
      </w:r>
      <w:r w:rsidRPr="004F01E9">
        <w:rPr>
          <w:noProof/>
        </w:rPr>
        <w:tab/>
        <w:t>Posledné dva pododseky sa nahrádzajú takto:</w:t>
      </w:r>
    </w:p>
    <w:p w14:paraId="50E7CFC9" w14:textId="77777777" w:rsidR="008311A3" w:rsidRPr="004F01E9" w:rsidRDefault="008311A3" w:rsidP="008311A3">
      <w:pPr>
        <w:pStyle w:val="Text3"/>
        <w:rPr>
          <w:noProof/>
        </w:rPr>
      </w:pPr>
      <w:r w:rsidRPr="004F01E9">
        <w:rPr>
          <w:noProof/>
        </w:rPr>
        <w:t>„EBA predloží Komisii uvedený návrh regulačných technických predpisov do [9 mesiacov po nadobudnutí účinnosti tohto nariadenia].</w:t>
      </w:r>
    </w:p>
    <w:p w14:paraId="681B4302" w14:textId="77B166A5" w:rsidR="008311A3" w:rsidRPr="004F01E9" w:rsidRDefault="008311A3" w:rsidP="008311A3">
      <w:pPr>
        <w:pStyle w:val="Text3"/>
        <w:rPr>
          <w:noProof/>
        </w:rPr>
      </w:pPr>
      <w:r w:rsidRPr="004F01E9">
        <w:rPr>
          <w:noProof/>
        </w:rPr>
        <w:t>Na Komisiu sa deleguje právomoc doplniť toto nariadenie prijatím regulačných technických predpisov uvedených</w:t>
      </w:r>
      <w:r w:rsidR="004F01E9">
        <w:rPr>
          <w:noProof/>
        </w:rPr>
        <w:t xml:space="preserve"> v </w:t>
      </w:r>
      <w:r w:rsidRPr="004F01E9">
        <w:rPr>
          <w:noProof/>
        </w:rPr>
        <w:t>prvom pododseku</w:t>
      </w:r>
      <w:r w:rsidR="004F01E9">
        <w:rPr>
          <w:noProof/>
        </w:rPr>
        <w:t xml:space="preserve"> v </w:t>
      </w:r>
      <w:r w:rsidRPr="004F01E9">
        <w:rPr>
          <w:noProof/>
        </w:rPr>
        <w:t>súlade</w:t>
      </w:r>
      <w:r w:rsidR="004F01E9">
        <w:rPr>
          <w:noProof/>
        </w:rPr>
        <w:t xml:space="preserve"> s </w:t>
      </w:r>
      <w:r w:rsidRPr="004F01E9">
        <w:rPr>
          <w:noProof/>
        </w:rPr>
        <w:t xml:space="preserve">článkami 10 až 14 nariadenia (EÚ) </w:t>
      </w:r>
      <w:r w:rsidR="004F01E9">
        <w:rPr>
          <w:noProof/>
        </w:rPr>
        <w:t>č. </w:t>
      </w:r>
      <w:r w:rsidRPr="004F01E9">
        <w:rPr>
          <w:noProof/>
        </w:rPr>
        <w:t>1093/2010.“</w:t>
      </w:r>
    </w:p>
    <w:p w14:paraId="30A3483B" w14:textId="26BB6AD9" w:rsidR="00806B81" w:rsidRPr="004F01E9" w:rsidRDefault="00B16452" w:rsidP="00B16452">
      <w:pPr>
        <w:pStyle w:val="Point0"/>
        <w:rPr>
          <w:noProof/>
        </w:rPr>
      </w:pPr>
      <w:r w:rsidRPr="00B16452">
        <w:rPr>
          <w:noProof/>
        </w:rPr>
        <w:t>157</w:t>
      </w:r>
      <w:r>
        <w:rPr>
          <w:noProof/>
        </w:rPr>
        <w:t>.</w:t>
      </w:r>
      <w:r w:rsidRPr="00B16452">
        <w:rPr>
          <w:noProof/>
        </w:rPr>
        <w:tab/>
      </w:r>
      <w:r w:rsidR="008311A3" w:rsidRPr="004F01E9">
        <w:rPr>
          <w:noProof/>
        </w:rPr>
        <w:t>Článok 325bh sa mení takto:</w:t>
      </w:r>
    </w:p>
    <w:p w14:paraId="42AD38D3" w14:textId="4CA378E7" w:rsidR="008311A3" w:rsidRPr="004F01E9" w:rsidRDefault="00A725C0" w:rsidP="00A725C0">
      <w:pPr>
        <w:pStyle w:val="Point1"/>
        <w:rPr>
          <w:noProof/>
        </w:rPr>
      </w:pPr>
      <w:r w:rsidRPr="004F01E9">
        <w:rPr>
          <w:noProof/>
        </w:rPr>
        <w:t>a)</w:t>
      </w:r>
      <w:r w:rsidRPr="004F01E9">
        <w:rPr>
          <w:noProof/>
        </w:rPr>
        <w:tab/>
        <w:t>V odseku 1 sa dopĺňa toto písmeno i):</w:t>
      </w:r>
    </w:p>
    <w:p w14:paraId="0A69C5B5" w14:textId="455B70C3" w:rsidR="008311A3" w:rsidRPr="009D4D24" w:rsidRDefault="008311A3" w:rsidP="00615061">
      <w:pPr>
        <w:pStyle w:val="Text2"/>
        <w:rPr>
          <w:noProof/>
          <w:spacing w:val="-6"/>
        </w:rPr>
      </w:pPr>
      <w:r w:rsidRPr="009D4D24">
        <w:rPr>
          <w:noProof/>
          <w:spacing w:val="-6"/>
        </w:rPr>
        <w:t>i)</w:t>
      </w:r>
      <w:r w:rsidRPr="009D4D24">
        <w:rPr>
          <w:noProof/>
          <w:spacing w:val="-6"/>
        </w:rPr>
        <w:tab/>
        <w:t>pre pozície</w:t>
      </w:r>
      <w:r w:rsidR="004F01E9" w:rsidRPr="009D4D24">
        <w:rPr>
          <w:noProof/>
          <w:spacing w:val="-6"/>
        </w:rPr>
        <w:t xml:space="preserve"> v </w:t>
      </w:r>
      <w:r w:rsidRPr="009D4D24">
        <w:rPr>
          <w:noProof/>
          <w:spacing w:val="-6"/>
        </w:rPr>
        <w:t>PKI inštitúcie preskúmajú podkladové pozície PKI aspoň raz týždenne, aby vypočítali svoje požiadavky na vlastné zdroje</w:t>
      </w:r>
      <w:r w:rsidR="004F01E9" w:rsidRPr="009D4D24">
        <w:rPr>
          <w:noProof/>
          <w:spacing w:val="-6"/>
        </w:rPr>
        <w:t xml:space="preserve"> v </w:t>
      </w:r>
      <w:r w:rsidRPr="009D4D24">
        <w:rPr>
          <w:noProof/>
          <w:spacing w:val="-6"/>
        </w:rPr>
        <w:t>súlade</w:t>
      </w:r>
      <w:r w:rsidR="004F01E9" w:rsidRPr="009D4D24">
        <w:rPr>
          <w:noProof/>
          <w:spacing w:val="-6"/>
        </w:rPr>
        <w:t xml:space="preserve"> s </w:t>
      </w:r>
      <w:r w:rsidRPr="009D4D24">
        <w:rPr>
          <w:noProof/>
          <w:spacing w:val="-6"/>
        </w:rPr>
        <w:t>touto kapitolou; inštitúcie, ktoré nemajú primerané vstupné údaje alebo informácie na výpočet požiadavky na vlastné zdroje pre trhové riziko pozície PKI</w:t>
      </w:r>
      <w:r w:rsidR="004F01E9" w:rsidRPr="009D4D24">
        <w:rPr>
          <w:noProof/>
          <w:spacing w:val="-6"/>
        </w:rPr>
        <w:t xml:space="preserve"> v </w:t>
      </w:r>
      <w:r w:rsidRPr="009D4D24">
        <w:rPr>
          <w:noProof/>
          <w:spacing w:val="-6"/>
        </w:rPr>
        <w:t>súlade</w:t>
      </w:r>
      <w:r w:rsidR="004F01E9" w:rsidRPr="009D4D24">
        <w:rPr>
          <w:noProof/>
          <w:spacing w:val="-6"/>
        </w:rPr>
        <w:t xml:space="preserve"> s </w:t>
      </w:r>
      <w:r w:rsidRPr="009D4D24">
        <w:rPr>
          <w:noProof/>
          <w:spacing w:val="-6"/>
        </w:rPr>
        <w:t>prístupom založeným na prezretí podkladových expozícií, sa môžu pri získavaní týchto vstupných údajov alebo informácií opierať</w:t>
      </w:r>
      <w:r w:rsidR="004F01E9" w:rsidRPr="009D4D24">
        <w:rPr>
          <w:noProof/>
          <w:spacing w:val="-6"/>
        </w:rPr>
        <w:t xml:space="preserve"> o </w:t>
      </w:r>
      <w:r w:rsidRPr="009D4D24">
        <w:rPr>
          <w:noProof/>
          <w:spacing w:val="-6"/>
        </w:rPr>
        <w:t>tretiu stranu za predpokladu, že sú splnené všetky tieto podmienky:</w:t>
      </w:r>
    </w:p>
    <w:p w14:paraId="43A40367" w14:textId="19758269" w:rsidR="00806B81" w:rsidRPr="004F01E9" w:rsidRDefault="008311A3" w:rsidP="00A725C0">
      <w:pPr>
        <w:pStyle w:val="Point2"/>
        <w:rPr>
          <w:noProof/>
        </w:rPr>
      </w:pPr>
      <w:r w:rsidRPr="004F01E9">
        <w:rPr>
          <w:noProof/>
        </w:rPr>
        <w:t>i)</w:t>
      </w:r>
      <w:r w:rsidRPr="004F01E9">
        <w:rPr>
          <w:noProof/>
        </w:rPr>
        <w:tab/>
        <w:t>tretia strana je jedným</w:t>
      </w:r>
      <w:r w:rsidR="004F01E9">
        <w:rPr>
          <w:noProof/>
        </w:rPr>
        <w:t xml:space="preserve"> z </w:t>
      </w:r>
      <w:r w:rsidRPr="004F01E9">
        <w:rPr>
          <w:noProof/>
        </w:rPr>
        <w:t>týchto subjektov:</w:t>
      </w:r>
    </w:p>
    <w:p w14:paraId="1E3CB58D" w14:textId="082FDDA7" w:rsidR="008311A3" w:rsidRPr="004F01E9" w:rsidRDefault="008311A3" w:rsidP="008311A3">
      <w:pPr>
        <w:pStyle w:val="Tiret3"/>
        <w:rPr>
          <w:noProof/>
        </w:rPr>
      </w:pPr>
      <w:r w:rsidRPr="004F01E9">
        <w:rPr>
          <w:noProof/>
        </w:rPr>
        <w:t>depozitnou inštitúciou alebo depozitnou finančnou inštitúciou PKI za predpokladu, že PKI investuje výlučne do cenných papierov</w:t>
      </w:r>
      <w:r w:rsidR="004F01E9">
        <w:rPr>
          <w:noProof/>
        </w:rPr>
        <w:t xml:space="preserve"> a </w:t>
      </w:r>
      <w:r w:rsidRPr="004F01E9">
        <w:rPr>
          <w:noProof/>
        </w:rPr>
        <w:t>všetky cenné papiere má uložené</w:t>
      </w:r>
      <w:r w:rsidR="004F01E9">
        <w:rPr>
          <w:noProof/>
        </w:rPr>
        <w:t xml:space="preserve"> v </w:t>
      </w:r>
      <w:r w:rsidRPr="004F01E9">
        <w:rPr>
          <w:noProof/>
        </w:rPr>
        <w:t>tejto depozitnej inštitúcii alebo depozitnej finančnej inštitúcii;</w:t>
      </w:r>
    </w:p>
    <w:p w14:paraId="787AFB81" w14:textId="55281A45" w:rsidR="00806B81" w:rsidRPr="009D4D24" w:rsidRDefault="008311A3" w:rsidP="008311A3">
      <w:pPr>
        <w:pStyle w:val="Tiret3"/>
        <w:rPr>
          <w:noProof/>
          <w:spacing w:val="-4"/>
        </w:rPr>
      </w:pPr>
      <w:r w:rsidRPr="009D4D24">
        <w:rPr>
          <w:noProof/>
          <w:spacing w:val="-4"/>
        </w:rPr>
        <w:t>pri PKI, na ktoré sa nevzťahuje prvá zarážka tohto písmena i), správcovskou spoločnosťou PKI za predpokladu, že správcovská spoločnosť PKI spĺňa kritériá stanovené</w:t>
      </w:r>
      <w:r w:rsidR="004F01E9" w:rsidRPr="009D4D24">
        <w:rPr>
          <w:noProof/>
          <w:spacing w:val="-4"/>
        </w:rPr>
        <w:t xml:space="preserve"> v </w:t>
      </w:r>
      <w:r w:rsidRPr="009D4D24">
        <w:rPr>
          <w:noProof/>
          <w:spacing w:val="-4"/>
        </w:rPr>
        <w:t>článku 132 ods. 3 písm. a);</w:t>
      </w:r>
    </w:p>
    <w:p w14:paraId="305D2A4E" w14:textId="3A0CDBDD" w:rsidR="00806B81" w:rsidRPr="004F01E9" w:rsidRDefault="008311A3" w:rsidP="00A725C0">
      <w:pPr>
        <w:pStyle w:val="Point2"/>
        <w:rPr>
          <w:noProof/>
        </w:rPr>
      </w:pPr>
      <w:r w:rsidRPr="004F01E9">
        <w:rPr>
          <w:noProof/>
        </w:rPr>
        <w:t>ii)</w:t>
      </w:r>
      <w:r w:rsidRPr="004F01E9">
        <w:rPr>
          <w:noProof/>
        </w:rPr>
        <w:tab/>
        <w:t>tretia strana poskytuje inštitúcii primerané vstupné údaje alebo informácie na výpočet požiadavky na vlastné zdroje pre trhové riziko pozície PKI</w:t>
      </w:r>
      <w:r w:rsidR="004F01E9">
        <w:rPr>
          <w:noProof/>
        </w:rPr>
        <w:t xml:space="preserve"> v </w:t>
      </w:r>
      <w:r w:rsidRPr="004F01E9">
        <w:rPr>
          <w:noProof/>
        </w:rPr>
        <w:t>súlade</w:t>
      </w:r>
      <w:r w:rsidR="004F01E9">
        <w:rPr>
          <w:noProof/>
        </w:rPr>
        <w:t xml:space="preserve"> s </w:t>
      </w:r>
      <w:r w:rsidRPr="004F01E9">
        <w:rPr>
          <w:noProof/>
        </w:rPr>
        <w:t>prístupom uvedeným</w:t>
      </w:r>
      <w:r w:rsidR="004F01E9">
        <w:rPr>
          <w:noProof/>
        </w:rPr>
        <w:t xml:space="preserve"> v </w:t>
      </w:r>
      <w:r w:rsidRPr="004F01E9">
        <w:rPr>
          <w:noProof/>
        </w:rPr>
        <w:t>prvom pododseku;</w:t>
      </w:r>
    </w:p>
    <w:p w14:paraId="1371B261" w14:textId="0302BA9C" w:rsidR="00806B81" w:rsidRPr="009D4D24" w:rsidRDefault="008311A3" w:rsidP="008311A3">
      <w:pPr>
        <w:pStyle w:val="Point3"/>
        <w:rPr>
          <w:noProof/>
          <w:spacing w:val="-4"/>
        </w:rPr>
      </w:pPr>
      <w:r w:rsidRPr="004F01E9">
        <w:rPr>
          <w:noProof/>
        </w:rPr>
        <w:t>iii)</w:t>
      </w:r>
      <w:r w:rsidRPr="004F01E9">
        <w:rPr>
          <w:noProof/>
        </w:rPr>
        <w:tab/>
      </w:r>
      <w:r w:rsidRPr="009D4D24">
        <w:rPr>
          <w:noProof/>
          <w:spacing w:val="-4"/>
        </w:rPr>
        <w:t>externý audítor inštitúcie potvrdil primeranosť údajov alebo informácií tretej strany uvedených</w:t>
      </w:r>
      <w:r w:rsidR="004F01E9" w:rsidRPr="009D4D24">
        <w:rPr>
          <w:noProof/>
          <w:spacing w:val="-4"/>
        </w:rPr>
        <w:t xml:space="preserve"> v </w:t>
      </w:r>
      <w:r w:rsidRPr="009D4D24">
        <w:rPr>
          <w:noProof/>
          <w:spacing w:val="-4"/>
        </w:rPr>
        <w:t>bode ii)</w:t>
      </w:r>
      <w:r w:rsidR="004F01E9" w:rsidRPr="009D4D24">
        <w:rPr>
          <w:noProof/>
          <w:spacing w:val="-4"/>
        </w:rPr>
        <w:t xml:space="preserve"> a </w:t>
      </w:r>
      <w:r w:rsidRPr="009D4D24">
        <w:rPr>
          <w:noProof/>
          <w:spacing w:val="-4"/>
        </w:rPr>
        <w:t>príslušný orgán inštitúcie má na požiadanie</w:t>
      </w:r>
      <w:r w:rsidR="004F01E9" w:rsidRPr="009D4D24">
        <w:rPr>
          <w:noProof/>
          <w:spacing w:val="-4"/>
        </w:rPr>
        <w:t xml:space="preserve"> k </w:t>
      </w:r>
      <w:r w:rsidRPr="009D4D24">
        <w:rPr>
          <w:noProof/>
          <w:spacing w:val="-4"/>
        </w:rPr>
        <w:t>týmto údajom</w:t>
      </w:r>
      <w:r w:rsidR="004F01E9" w:rsidRPr="009D4D24">
        <w:rPr>
          <w:noProof/>
          <w:spacing w:val="-4"/>
        </w:rPr>
        <w:t xml:space="preserve"> a </w:t>
      </w:r>
      <w:r w:rsidRPr="009D4D24">
        <w:rPr>
          <w:noProof/>
          <w:spacing w:val="-4"/>
        </w:rPr>
        <w:t>informáciám neobmedzený prístup.“;</w:t>
      </w:r>
    </w:p>
    <w:p w14:paraId="1B55C027" w14:textId="44EB9CE1" w:rsidR="00806B81" w:rsidRPr="004F01E9" w:rsidRDefault="00A725C0" w:rsidP="00A725C0">
      <w:pPr>
        <w:pStyle w:val="Point1"/>
        <w:rPr>
          <w:noProof/>
        </w:rPr>
      </w:pPr>
      <w:r w:rsidRPr="004F01E9">
        <w:rPr>
          <w:noProof/>
        </w:rPr>
        <w:t>b)</w:t>
      </w:r>
      <w:r w:rsidRPr="004F01E9">
        <w:rPr>
          <w:noProof/>
        </w:rPr>
        <w:tab/>
        <w:t>Odsek 2 sa nahrádza takto:</w:t>
      </w:r>
    </w:p>
    <w:p w14:paraId="1023E4D1" w14:textId="7D5C471E" w:rsidR="008311A3" w:rsidRPr="009D4D24" w:rsidRDefault="008311A3" w:rsidP="008311A3">
      <w:pPr>
        <w:pStyle w:val="Text2"/>
        <w:rPr>
          <w:noProof/>
          <w:spacing w:val="-4"/>
        </w:rPr>
      </w:pPr>
      <w:r w:rsidRPr="009D4D24">
        <w:rPr>
          <w:noProof/>
          <w:spacing w:val="-4"/>
        </w:rPr>
        <w:t>„2. Inštitúcia môže používať empirické korelácie</w:t>
      </w:r>
      <w:r w:rsidR="004F01E9" w:rsidRPr="009D4D24">
        <w:rPr>
          <w:noProof/>
          <w:spacing w:val="-4"/>
        </w:rPr>
        <w:t xml:space="preserve"> v </w:t>
      </w:r>
      <w:r w:rsidRPr="009D4D24">
        <w:rPr>
          <w:noProof/>
          <w:spacing w:val="-4"/>
        </w:rPr>
        <w:t>rámci hlavných kategórií faktorov rizika</w:t>
      </w:r>
      <w:r w:rsidR="004F01E9" w:rsidRPr="009D4D24">
        <w:rPr>
          <w:noProof/>
          <w:spacing w:val="-4"/>
        </w:rPr>
        <w:t xml:space="preserve"> a </w:t>
      </w:r>
      <w:r w:rsidRPr="009D4D24">
        <w:rPr>
          <w:noProof/>
          <w:spacing w:val="-4"/>
        </w:rPr>
        <w:t>na účely výpočtu miery neobmedzeného predpokladaného schodku UESt, ako sa uvádza</w:t>
      </w:r>
      <w:r w:rsidR="004F01E9" w:rsidRPr="009D4D24">
        <w:rPr>
          <w:noProof/>
          <w:spacing w:val="-4"/>
        </w:rPr>
        <w:t xml:space="preserve"> v </w:t>
      </w:r>
      <w:r w:rsidRPr="009D4D24">
        <w:rPr>
          <w:noProof/>
          <w:spacing w:val="-4"/>
        </w:rPr>
        <w:t>článku 325bb ods. 1,</w:t>
      </w:r>
      <w:r w:rsidR="004F01E9" w:rsidRPr="009D4D24">
        <w:rPr>
          <w:noProof/>
          <w:spacing w:val="-4"/>
        </w:rPr>
        <w:t xml:space="preserve"> v </w:t>
      </w:r>
      <w:r w:rsidRPr="009D4D24">
        <w:rPr>
          <w:noProof/>
          <w:spacing w:val="-4"/>
        </w:rPr>
        <w:t>hlavných kategóriách faktorov rizika iba vtedy, keď je prístup inštitúcie</w:t>
      </w:r>
      <w:r w:rsidR="004F01E9" w:rsidRPr="009D4D24">
        <w:rPr>
          <w:noProof/>
          <w:spacing w:val="-4"/>
        </w:rPr>
        <w:t xml:space="preserve"> k </w:t>
      </w:r>
      <w:r w:rsidRPr="009D4D24">
        <w:rPr>
          <w:noProof/>
          <w:spacing w:val="-4"/>
        </w:rPr>
        <w:t>meraniu uvedených korelácií správny, konzistentný buď</w:t>
      </w:r>
      <w:r w:rsidR="004F01E9" w:rsidRPr="009D4D24">
        <w:rPr>
          <w:noProof/>
          <w:spacing w:val="-4"/>
        </w:rPr>
        <w:t xml:space="preserve"> s </w:t>
      </w:r>
      <w:r w:rsidRPr="009D4D24">
        <w:rPr>
          <w:noProof/>
          <w:spacing w:val="-4"/>
        </w:rPr>
        <w:t>príslušnými horizontmi likvidity alebo, pri dosiahnutí spokojnosti príslušného orgánu inštitúcie, so základným časovým horizontom 10 dní stanoveným</w:t>
      </w:r>
      <w:r w:rsidR="004F01E9" w:rsidRPr="009D4D24">
        <w:rPr>
          <w:noProof/>
          <w:spacing w:val="-4"/>
        </w:rPr>
        <w:t xml:space="preserve"> v </w:t>
      </w:r>
      <w:r w:rsidRPr="009D4D24">
        <w:rPr>
          <w:noProof/>
          <w:spacing w:val="-4"/>
        </w:rPr>
        <w:t>článku 325bc ods. 1</w:t>
      </w:r>
      <w:r w:rsidR="004F01E9" w:rsidRPr="009D4D24">
        <w:rPr>
          <w:noProof/>
          <w:spacing w:val="-4"/>
        </w:rPr>
        <w:t xml:space="preserve"> a </w:t>
      </w:r>
      <w:r w:rsidRPr="009D4D24">
        <w:rPr>
          <w:noProof/>
          <w:spacing w:val="-4"/>
        </w:rPr>
        <w:t>vykonáva sa jednotne.“;</w:t>
      </w:r>
    </w:p>
    <w:p w14:paraId="4C0DF0C7" w14:textId="1851E851" w:rsidR="008311A3" w:rsidRPr="004F01E9" w:rsidRDefault="00A725C0" w:rsidP="00A725C0">
      <w:pPr>
        <w:pStyle w:val="Point1"/>
        <w:rPr>
          <w:noProof/>
        </w:rPr>
      </w:pPr>
      <w:r w:rsidRPr="004F01E9">
        <w:rPr>
          <w:noProof/>
        </w:rPr>
        <w:t>c)</w:t>
      </w:r>
      <w:r w:rsidRPr="004F01E9">
        <w:rPr>
          <w:noProof/>
        </w:rPr>
        <w:tab/>
        <w:t>Odsek 3 sa vypúšťa;</w:t>
      </w:r>
    </w:p>
    <w:p w14:paraId="45CFC0C1" w14:textId="22091866" w:rsidR="00806B81" w:rsidRPr="004F01E9" w:rsidRDefault="00B16452" w:rsidP="00B16452">
      <w:pPr>
        <w:pStyle w:val="Point0"/>
        <w:rPr>
          <w:noProof/>
        </w:rPr>
      </w:pPr>
      <w:r w:rsidRPr="00B16452">
        <w:rPr>
          <w:noProof/>
        </w:rPr>
        <w:t>158</w:t>
      </w:r>
      <w:r>
        <w:rPr>
          <w:noProof/>
        </w:rPr>
        <w:t>.</w:t>
      </w:r>
      <w:r w:rsidRPr="00B16452">
        <w:rPr>
          <w:noProof/>
        </w:rPr>
        <w:tab/>
      </w:r>
      <w:r w:rsidR="008311A3" w:rsidRPr="004F01E9">
        <w:rPr>
          <w:noProof/>
        </w:rPr>
        <w:t>V článku 325bi ods. 1 sa písmeno b) mení takto:</w:t>
      </w:r>
    </w:p>
    <w:p w14:paraId="4206927E" w14:textId="0DB1F563" w:rsidR="00806B81" w:rsidRPr="004F01E9" w:rsidRDefault="008311A3" w:rsidP="00615061">
      <w:pPr>
        <w:pStyle w:val="Text1"/>
        <w:rPr>
          <w:noProof/>
        </w:rPr>
      </w:pPr>
      <w:r w:rsidRPr="004F01E9">
        <w:rPr>
          <w:noProof/>
        </w:rPr>
        <w:t>„b) inštitúcia musí mať útvar kontroly rizika, ktorý je nezávislý od obchodných útvarov</w:t>
      </w:r>
      <w:r w:rsidR="004F01E9">
        <w:rPr>
          <w:noProof/>
        </w:rPr>
        <w:t xml:space="preserve"> a </w:t>
      </w:r>
      <w:r w:rsidRPr="004F01E9">
        <w:rPr>
          <w:noProof/>
        </w:rPr>
        <w:t>podlieha priamo vrcholovému manažmentu. Uvedený útvar:</w:t>
      </w:r>
    </w:p>
    <w:p w14:paraId="29DCDBF6" w14:textId="7B701BCB" w:rsidR="00806B81" w:rsidRPr="004F01E9" w:rsidRDefault="008311A3" w:rsidP="00A725C0">
      <w:pPr>
        <w:pStyle w:val="Point1"/>
        <w:rPr>
          <w:noProof/>
        </w:rPr>
      </w:pPr>
      <w:r w:rsidRPr="004F01E9">
        <w:rPr>
          <w:noProof/>
        </w:rPr>
        <w:t>i)</w:t>
      </w:r>
      <w:r w:rsidRPr="004F01E9">
        <w:rPr>
          <w:noProof/>
        </w:rPr>
        <w:tab/>
        <w:t>je zodpovedný za vytvorenie</w:t>
      </w:r>
      <w:r w:rsidR="004F01E9">
        <w:rPr>
          <w:noProof/>
        </w:rPr>
        <w:t xml:space="preserve"> a </w:t>
      </w:r>
      <w:r w:rsidRPr="004F01E9">
        <w:rPr>
          <w:noProof/>
        </w:rPr>
        <w:t>implementáciu akéhokoľvek interného modelu merania rizika používaného</w:t>
      </w:r>
      <w:r w:rsidR="004F01E9">
        <w:rPr>
          <w:noProof/>
        </w:rPr>
        <w:t xml:space="preserve"> v </w:t>
      </w:r>
      <w:r w:rsidRPr="004F01E9">
        <w:rPr>
          <w:noProof/>
        </w:rPr>
        <w:t>rámci alternatívneho prístupu interného modelu na účely tejto kapitoly;</w:t>
      </w:r>
    </w:p>
    <w:p w14:paraId="60A496E4" w14:textId="77777777" w:rsidR="00806B81" w:rsidRPr="004F01E9" w:rsidRDefault="008311A3" w:rsidP="00A725C0">
      <w:pPr>
        <w:pStyle w:val="Point1"/>
        <w:rPr>
          <w:noProof/>
        </w:rPr>
      </w:pPr>
      <w:r w:rsidRPr="004F01E9">
        <w:rPr>
          <w:noProof/>
        </w:rPr>
        <w:t>ii)</w:t>
      </w:r>
      <w:r w:rsidRPr="004F01E9">
        <w:rPr>
          <w:noProof/>
        </w:rPr>
        <w:tab/>
        <w:t>je zodpovedný za celý systém riadenia rizík;</w:t>
      </w:r>
    </w:p>
    <w:p w14:paraId="300C00D2" w14:textId="3DD364C9" w:rsidR="00806B81" w:rsidRPr="009D4D24" w:rsidRDefault="008311A3" w:rsidP="00A725C0">
      <w:pPr>
        <w:pStyle w:val="Point1"/>
        <w:rPr>
          <w:noProof/>
          <w:spacing w:val="-4"/>
        </w:rPr>
      </w:pPr>
      <w:r w:rsidRPr="004F01E9">
        <w:rPr>
          <w:noProof/>
        </w:rPr>
        <w:t>iii)</w:t>
      </w:r>
      <w:r w:rsidRPr="004F01E9">
        <w:rPr>
          <w:noProof/>
        </w:rPr>
        <w:tab/>
      </w:r>
      <w:r w:rsidRPr="009D4D24">
        <w:rPr>
          <w:noProof/>
          <w:spacing w:val="-4"/>
        </w:rPr>
        <w:t>vypracúva</w:t>
      </w:r>
      <w:r w:rsidR="004F01E9" w:rsidRPr="009D4D24">
        <w:rPr>
          <w:noProof/>
          <w:spacing w:val="-4"/>
        </w:rPr>
        <w:t xml:space="preserve"> a </w:t>
      </w:r>
      <w:r w:rsidRPr="009D4D24">
        <w:rPr>
          <w:noProof/>
          <w:spacing w:val="-4"/>
        </w:rPr>
        <w:t>analyzuje denné správy</w:t>
      </w:r>
      <w:r w:rsidR="004F01E9" w:rsidRPr="009D4D24">
        <w:rPr>
          <w:noProof/>
          <w:spacing w:val="-4"/>
        </w:rPr>
        <w:t xml:space="preserve"> o </w:t>
      </w:r>
      <w:r w:rsidRPr="009D4D24">
        <w:rPr>
          <w:noProof/>
          <w:spacing w:val="-4"/>
        </w:rPr>
        <w:t>výstupoch každého interného modelu používaného na výpočet kapitálových požiadaviek pre trhové riziká, ako aj správy</w:t>
      </w:r>
      <w:r w:rsidR="004F01E9" w:rsidRPr="009D4D24">
        <w:rPr>
          <w:noProof/>
          <w:spacing w:val="-4"/>
        </w:rPr>
        <w:t xml:space="preserve"> o </w:t>
      </w:r>
      <w:r w:rsidRPr="009D4D24">
        <w:rPr>
          <w:noProof/>
          <w:spacing w:val="-4"/>
        </w:rPr>
        <w:t>vhodnosti opatrení, ktoré sa majú prijať, pokiaľ ide</w:t>
      </w:r>
      <w:r w:rsidR="004F01E9" w:rsidRPr="009D4D24">
        <w:rPr>
          <w:noProof/>
          <w:spacing w:val="-4"/>
        </w:rPr>
        <w:t xml:space="preserve"> o </w:t>
      </w:r>
      <w:r w:rsidRPr="009D4D24">
        <w:rPr>
          <w:noProof/>
          <w:spacing w:val="-4"/>
        </w:rPr>
        <w:t>obmedzenia obchodovania.</w:t>
      </w:r>
    </w:p>
    <w:p w14:paraId="619E237E" w14:textId="12D7808E" w:rsidR="008311A3" w:rsidRPr="009D4D24" w:rsidRDefault="008311A3" w:rsidP="00A725C0">
      <w:pPr>
        <w:pStyle w:val="Text1"/>
        <w:rPr>
          <w:noProof/>
          <w:spacing w:val="-4"/>
          <w:szCs w:val="24"/>
        </w:rPr>
      </w:pPr>
      <w:r w:rsidRPr="009D4D24">
        <w:rPr>
          <w:noProof/>
          <w:spacing w:val="-4"/>
        </w:rPr>
        <w:t>Útvar pre validáciu, ktorý je oddelený od útvaru kontroly rizika, vykonáva počiatočnú</w:t>
      </w:r>
      <w:r w:rsidR="004F01E9" w:rsidRPr="009D4D24">
        <w:rPr>
          <w:noProof/>
          <w:spacing w:val="-4"/>
        </w:rPr>
        <w:t xml:space="preserve"> a </w:t>
      </w:r>
      <w:r w:rsidRPr="009D4D24">
        <w:rPr>
          <w:noProof/>
          <w:spacing w:val="-4"/>
        </w:rPr>
        <w:t>priebežnú validáciu akéhokoľvek interného modelu merania rizika používaného</w:t>
      </w:r>
      <w:r w:rsidR="004F01E9" w:rsidRPr="009D4D24">
        <w:rPr>
          <w:noProof/>
          <w:spacing w:val="-4"/>
        </w:rPr>
        <w:t xml:space="preserve"> v </w:t>
      </w:r>
      <w:r w:rsidRPr="009D4D24">
        <w:rPr>
          <w:noProof/>
          <w:spacing w:val="-4"/>
        </w:rPr>
        <w:t>rámci alternatívneho prístupu interného modelu na účely tejto kapitoly.“</w:t>
      </w:r>
    </w:p>
    <w:p w14:paraId="1F1EFC2F" w14:textId="39DFA6EC" w:rsidR="00806B81" w:rsidRPr="004F01E9" w:rsidRDefault="00B16452" w:rsidP="00B16452">
      <w:pPr>
        <w:pStyle w:val="Point0"/>
        <w:rPr>
          <w:noProof/>
        </w:rPr>
      </w:pPr>
      <w:r w:rsidRPr="00B16452">
        <w:rPr>
          <w:noProof/>
        </w:rPr>
        <w:t>159</w:t>
      </w:r>
      <w:r>
        <w:rPr>
          <w:noProof/>
        </w:rPr>
        <w:t>.</w:t>
      </w:r>
      <w:r w:rsidRPr="00B16452">
        <w:rPr>
          <w:noProof/>
        </w:rPr>
        <w:tab/>
      </w:r>
      <w:r w:rsidR="008311A3" w:rsidRPr="004F01E9">
        <w:rPr>
          <w:noProof/>
        </w:rPr>
        <w:t>Článok 325bp sa mení takto:</w:t>
      </w:r>
    </w:p>
    <w:p w14:paraId="31367720" w14:textId="16359CF1" w:rsidR="008311A3" w:rsidRPr="004F01E9" w:rsidRDefault="006C451B" w:rsidP="006C451B">
      <w:pPr>
        <w:pStyle w:val="Point1"/>
        <w:rPr>
          <w:noProof/>
        </w:rPr>
      </w:pPr>
      <w:r w:rsidRPr="004F01E9">
        <w:rPr>
          <w:noProof/>
        </w:rPr>
        <w:t>a)</w:t>
      </w:r>
      <w:r w:rsidRPr="004F01E9">
        <w:rPr>
          <w:noProof/>
        </w:rPr>
        <w:tab/>
        <w:t>Odsek 5 sa mení takto:</w:t>
      </w:r>
    </w:p>
    <w:p w14:paraId="1184D84D" w14:textId="6537B3AC" w:rsidR="008311A3" w:rsidRPr="004F01E9" w:rsidRDefault="008311A3" w:rsidP="008311A3">
      <w:pPr>
        <w:pStyle w:val="Point2"/>
        <w:rPr>
          <w:noProof/>
        </w:rPr>
      </w:pPr>
      <w:r w:rsidRPr="004F01E9">
        <w:rPr>
          <w:noProof/>
        </w:rPr>
        <w:t>i)</w:t>
      </w:r>
      <w:r w:rsidRPr="004F01E9">
        <w:rPr>
          <w:noProof/>
        </w:rPr>
        <w:tab/>
        <w:t>Písmená d)</w:t>
      </w:r>
      <w:r w:rsidR="004F01E9">
        <w:rPr>
          <w:noProof/>
        </w:rPr>
        <w:t xml:space="preserve"> a </w:t>
      </w:r>
      <w:r w:rsidRPr="004F01E9">
        <w:rPr>
          <w:noProof/>
        </w:rPr>
        <w:t>e) nahrádzajú takto:</w:t>
      </w:r>
    </w:p>
    <w:p w14:paraId="30ADB509" w14:textId="5E332E3B" w:rsidR="00806B81" w:rsidRPr="009D4D24" w:rsidRDefault="008311A3" w:rsidP="00615061">
      <w:pPr>
        <w:pStyle w:val="Text3"/>
        <w:rPr>
          <w:noProof/>
          <w:spacing w:val="-4"/>
        </w:rPr>
      </w:pPr>
      <w:r w:rsidRPr="009D4D24">
        <w:rPr>
          <w:noProof/>
          <w:spacing w:val="-4"/>
        </w:rPr>
        <w:t>„d) inštitúcia, ktorej bolo udelené povolenie na odhad pravdepodobností zlyhania</w:t>
      </w:r>
      <w:r w:rsidR="004F01E9" w:rsidRPr="009D4D24">
        <w:rPr>
          <w:noProof/>
          <w:spacing w:val="-4"/>
        </w:rPr>
        <w:t xml:space="preserve"> v </w:t>
      </w:r>
      <w:r w:rsidRPr="009D4D24">
        <w:rPr>
          <w:noProof/>
          <w:spacing w:val="-4"/>
        </w:rPr>
        <w:t>súlade</w:t>
      </w:r>
      <w:r w:rsidR="004F01E9" w:rsidRPr="009D4D24">
        <w:rPr>
          <w:noProof/>
          <w:spacing w:val="-4"/>
        </w:rPr>
        <w:t xml:space="preserve"> s </w:t>
      </w:r>
      <w:r w:rsidRPr="009D4D24">
        <w:rPr>
          <w:noProof/>
          <w:spacing w:val="-4"/>
        </w:rPr>
        <w:t>hlavou II kapitolou 3 oddielom 1 pre triedu expozícií</w:t>
      </w:r>
      <w:r w:rsidR="004F01E9" w:rsidRPr="009D4D24">
        <w:rPr>
          <w:noProof/>
          <w:spacing w:val="-4"/>
        </w:rPr>
        <w:t xml:space="preserve"> a </w:t>
      </w:r>
      <w:r w:rsidRPr="009D4D24">
        <w:rPr>
          <w:noProof/>
          <w:spacing w:val="-4"/>
        </w:rPr>
        <w:t>ratingový systém zodpovedajúci danému emitentovi, uplatňuje metodiku stanovenú</w:t>
      </w:r>
      <w:r w:rsidR="004F01E9" w:rsidRPr="009D4D24">
        <w:rPr>
          <w:noProof/>
          <w:spacing w:val="-4"/>
        </w:rPr>
        <w:t xml:space="preserve"> v </w:t>
      </w:r>
      <w:r w:rsidRPr="009D4D24">
        <w:rPr>
          <w:noProof/>
          <w:spacing w:val="-4"/>
        </w:rPr>
        <w:t>danom oddiele</w:t>
      </w:r>
      <w:r w:rsidR="004F01E9" w:rsidRPr="009D4D24">
        <w:rPr>
          <w:noProof/>
          <w:spacing w:val="-4"/>
        </w:rPr>
        <w:t xml:space="preserve"> s </w:t>
      </w:r>
      <w:r w:rsidRPr="009D4D24">
        <w:rPr>
          <w:noProof/>
          <w:spacing w:val="-4"/>
        </w:rPr>
        <w:t>cieľom vypočítať pravdepodobnosti zlyhania daného emitenta za predpokladu, že údaje na takýto odhad sú</w:t>
      </w:r>
      <w:r w:rsidR="004F01E9" w:rsidRPr="009D4D24">
        <w:rPr>
          <w:noProof/>
          <w:spacing w:val="-4"/>
        </w:rPr>
        <w:t xml:space="preserve"> k </w:t>
      </w:r>
      <w:r w:rsidRPr="009D4D24">
        <w:rPr>
          <w:noProof/>
          <w:spacing w:val="-4"/>
        </w:rPr>
        <w:t>dispozícii;</w:t>
      </w:r>
    </w:p>
    <w:p w14:paraId="08AE8F3B" w14:textId="316DFB23" w:rsidR="008311A3" w:rsidRPr="009D4D24" w:rsidRDefault="008311A3" w:rsidP="00615061">
      <w:pPr>
        <w:pStyle w:val="Text3"/>
        <w:rPr>
          <w:noProof/>
          <w:spacing w:val="-4"/>
        </w:rPr>
      </w:pPr>
      <w:r w:rsidRPr="009D4D24">
        <w:rPr>
          <w:noProof/>
          <w:spacing w:val="-4"/>
        </w:rPr>
        <w:t>e) inštitúcia, ktorej nebolo udelené povolenie na odhad pravdepodobností zlyhania uvedené</w:t>
      </w:r>
      <w:r w:rsidR="004F01E9" w:rsidRPr="009D4D24">
        <w:rPr>
          <w:noProof/>
          <w:spacing w:val="-4"/>
        </w:rPr>
        <w:t xml:space="preserve"> v </w:t>
      </w:r>
      <w:r w:rsidRPr="009D4D24">
        <w:rPr>
          <w:noProof/>
          <w:spacing w:val="-4"/>
        </w:rPr>
        <w:t>písmene d), vypracuje na odhad týchto pravdepodobností zlyhania konzistentne</w:t>
      </w:r>
      <w:r w:rsidR="004F01E9" w:rsidRPr="009D4D24">
        <w:rPr>
          <w:noProof/>
          <w:spacing w:val="-4"/>
        </w:rPr>
        <w:t xml:space="preserve"> s </w:t>
      </w:r>
      <w:r w:rsidRPr="009D4D24">
        <w:rPr>
          <w:noProof/>
          <w:spacing w:val="-4"/>
        </w:rPr>
        <w:t>požiadavkami uplatňovanými na odhady pravdepodobnosti zlyhania podľa tohto článku internú metodiku alebo použije externé zdroje.“;</w:t>
      </w:r>
    </w:p>
    <w:p w14:paraId="2BB96FD3" w14:textId="77777777" w:rsidR="008311A3" w:rsidRPr="004F01E9" w:rsidRDefault="008311A3" w:rsidP="008311A3">
      <w:pPr>
        <w:pStyle w:val="Point2"/>
        <w:rPr>
          <w:noProof/>
        </w:rPr>
      </w:pPr>
      <w:r w:rsidRPr="004F01E9">
        <w:rPr>
          <w:noProof/>
        </w:rPr>
        <w:t>ii)</w:t>
      </w:r>
      <w:r w:rsidRPr="004F01E9">
        <w:rPr>
          <w:noProof/>
        </w:rPr>
        <w:tab/>
        <w:t>Dopĺňa sa tento pododsek:</w:t>
      </w:r>
    </w:p>
    <w:p w14:paraId="0403BDA2" w14:textId="281C8122" w:rsidR="008311A3" w:rsidRPr="004F01E9" w:rsidRDefault="008311A3" w:rsidP="008311A3">
      <w:pPr>
        <w:pStyle w:val="Text3"/>
        <w:rPr>
          <w:noProof/>
        </w:rPr>
      </w:pPr>
      <w:r w:rsidRPr="004F01E9">
        <w:rPr>
          <w:noProof/>
        </w:rPr>
        <w:t>„Na účely písmena d) sú údaje na vykonanie odhadu pravdepodobností zlyhania daného emitenta pozície</w:t>
      </w:r>
      <w:r w:rsidR="004F01E9">
        <w:rPr>
          <w:noProof/>
        </w:rPr>
        <w:t xml:space="preserve"> v </w:t>
      </w:r>
      <w:r w:rsidRPr="004F01E9">
        <w:rPr>
          <w:noProof/>
        </w:rPr>
        <w:t>obchodnej knihe</w:t>
      </w:r>
      <w:r w:rsidR="004F01E9">
        <w:rPr>
          <w:noProof/>
        </w:rPr>
        <w:t xml:space="preserve"> k </w:t>
      </w:r>
      <w:r w:rsidRPr="004F01E9">
        <w:rPr>
          <w:noProof/>
        </w:rPr>
        <w:t>dispozícii, ak má inštitúcia</w:t>
      </w:r>
      <w:r w:rsidR="004F01E9">
        <w:rPr>
          <w:noProof/>
        </w:rPr>
        <w:t xml:space="preserve"> k </w:t>
      </w:r>
      <w:r w:rsidRPr="004F01E9">
        <w:rPr>
          <w:noProof/>
        </w:rPr>
        <w:t>dátumu výpočtu pozíciu</w:t>
      </w:r>
      <w:r w:rsidR="004F01E9">
        <w:rPr>
          <w:noProof/>
        </w:rPr>
        <w:t xml:space="preserve"> v </w:t>
      </w:r>
      <w:r w:rsidRPr="004F01E9">
        <w:rPr>
          <w:noProof/>
        </w:rPr>
        <w:t>neobchodnej knihe voči rovnakému dlžníkovi, pre ktorého odhaduje pravdepodobnosti zlyhania</w:t>
      </w:r>
      <w:r w:rsidR="004F01E9">
        <w:rPr>
          <w:noProof/>
        </w:rPr>
        <w:t xml:space="preserve"> v </w:t>
      </w:r>
      <w:r w:rsidRPr="004F01E9">
        <w:rPr>
          <w:noProof/>
        </w:rPr>
        <w:t>súlade</w:t>
      </w:r>
      <w:r w:rsidR="004F01E9">
        <w:rPr>
          <w:noProof/>
        </w:rPr>
        <w:t xml:space="preserve"> s </w:t>
      </w:r>
      <w:r w:rsidRPr="004F01E9">
        <w:rPr>
          <w:noProof/>
        </w:rPr>
        <w:t>hlavou II kapitolou 3 oddielom 1</w:t>
      </w:r>
      <w:r w:rsidR="004F01E9">
        <w:rPr>
          <w:noProof/>
        </w:rPr>
        <w:t xml:space="preserve"> s </w:t>
      </w:r>
      <w:r w:rsidRPr="004F01E9">
        <w:rPr>
          <w:noProof/>
        </w:rPr>
        <w:t>cieľom vypočítať svoje požiadavky na vlastné zdroje stanovené</w:t>
      </w:r>
      <w:r w:rsidR="004F01E9">
        <w:rPr>
          <w:noProof/>
        </w:rPr>
        <w:t xml:space="preserve"> v </w:t>
      </w:r>
      <w:r w:rsidRPr="004F01E9">
        <w:rPr>
          <w:noProof/>
        </w:rPr>
        <w:t>uvedenej kapitole.“;</w:t>
      </w:r>
    </w:p>
    <w:p w14:paraId="1E8EAA5F" w14:textId="08694C03" w:rsidR="008311A3" w:rsidRPr="004F01E9" w:rsidRDefault="006C451B" w:rsidP="006C451B">
      <w:pPr>
        <w:pStyle w:val="Point1"/>
        <w:rPr>
          <w:noProof/>
        </w:rPr>
      </w:pPr>
      <w:r w:rsidRPr="004F01E9">
        <w:rPr>
          <w:noProof/>
        </w:rPr>
        <w:t>b)</w:t>
      </w:r>
      <w:r w:rsidRPr="004F01E9">
        <w:rPr>
          <w:noProof/>
        </w:rPr>
        <w:tab/>
        <w:t>Odsek 6 sa mení takto:</w:t>
      </w:r>
    </w:p>
    <w:p w14:paraId="622AD307" w14:textId="3B5DFA5C" w:rsidR="008311A3" w:rsidRPr="004F01E9" w:rsidRDefault="008311A3" w:rsidP="008311A3">
      <w:pPr>
        <w:pStyle w:val="Point2"/>
        <w:rPr>
          <w:noProof/>
        </w:rPr>
      </w:pPr>
      <w:r w:rsidRPr="004F01E9">
        <w:rPr>
          <w:noProof/>
        </w:rPr>
        <w:t>i)</w:t>
      </w:r>
      <w:r w:rsidRPr="004F01E9">
        <w:rPr>
          <w:noProof/>
        </w:rPr>
        <w:tab/>
        <w:t>Písmená c)</w:t>
      </w:r>
      <w:r w:rsidR="004F01E9">
        <w:rPr>
          <w:noProof/>
        </w:rPr>
        <w:t xml:space="preserve"> a </w:t>
      </w:r>
      <w:r w:rsidRPr="004F01E9">
        <w:rPr>
          <w:noProof/>
        </w:rPr>
        <w:t>d) nahrádzajú takto:</w:t>
      </w:r>
    </w:p>
    <w:p w14:paraId="0191FE1B" w14:textId="6D7C4F8F" w:rsidR="00806B81" w:rsidRPr="009D4D24" w:rsidRDefault="008311A3" w:rsidP="00615061">
      <w:pPr>
        <w:pStyle w:val="Text3"/>
        <w:rPr>
          <w:noProof/>
          <w:spacing w:val="-8"/>
        </w:rPr>
      </w:pPr>
      <w:r w:rsidRPr="009D4D24">
        <w:rPr>
          <w:noProof/>
          <w:spacing w:val="-8"/>
        </w:rPr>
        <w:t>„c) inštitúcia, ktorej bolo udelené povolenie na odhad straty</w:t>
      </w:r>
      <w:r w:rsidR="004F01E9" w:rsidRPr="009D4D24">
        <w:rPr>
          <w:noProof/>
          <w:spacing w:val="-8"/>
        </w:rPr>
        <w:t xml:space="preserve"> v </w:t>
      </w:r>
      <w:r w:rsidRPr="009D4D24">
        <w:rPr>
          <w:noProof/>
          <w:spacing w:val="-8"/>
        </w:rPr>
        <w:t>prípade zlyhania</w:t>
      </w:r>
      <w:r w:rsidR="004F01E9" w:rsidRPr="009D4D24">
        <w:rPr>
          <w:noProof/>
          <w:spacing w:val="-8"/>
        </w:rPr>
        <w:t xml:space="preserve"> v </w:t>
      </w:r>
      <w:r w:rsidRPr="009D4D24">
        <w:rPr>
          <w:noProof/>
          <w:spacing w:val="-8"/>
        </w:rPr>
        <w:t>súlade</w:t>
      </w:r>
      <w:r w:rsidR="004F01E9" w:rsidRPr="009D4D24">
        <w:rPr>
          <w:noProof/>
          <w:spacing w:val="-8"/>
        </w:rPr>
        <w:t xml:space="preserve"> s </w:t>
      </w:r>
      <w:r w:rsidRPr="009D4D24">
        <w:rPr>
          <w:noProof/>
          <w:spacing w:val="-8"/>
        </w:rPr>
        <w:t>hlavou II kapitolou 3 oddielom 1 pre triedu expozícií</w:t>
      </w:r>
      <w:r w:rsidR="004F01E9" w:rsidRPr="009D4D24">
        <w:rPr>
          <w:noProof/>
          <w:spacing w:val="-8"/>
        </w:rPr>
        <w:t xml:space="preserve"> a </w:t>
      </w:r>
      <w:r w:rsidRPr="009D4D24">
        <w:rPr>
          <w:noProof/>
          <w:spacing w:val="-8"/>
        </w:rPr>
        <w:t>ratingový systém zodpovedajúci danej expozícii, uplatňuje metodiku stanovenú</w:t>
      </w:r>
      <w:r w:rsidR="004F01E9" w:rsidRPr="009D4D24">
        <w:rPr>
          <w:noProof/>
          <w:spacing w:val="-8"/>
        </w:rPr>
        <w:t xml:space="preserve"> v </w:t>
      </w:r>
      <w:r w:rsidRPr="009D4D24">
        <w:rPr>
          <w:noProof/>
          <w:spacing w:val="-8"/>
        </w:rPr>
        <w:t>danom oddiele</w:t>
      </w:r>
      <w:r w:rsidR="004F01E9" w:rsidRPr="009D4D24">
        <w:rPr>
          <w:noProof/>
          <w:spacing w:val="-8"/>
        </w:rPr>
        <w:t xml:space="preserve"> s </w:t>
      </w:r>
      <w:r w:rsidRPr="009D4D24">
        <w:rPr>
          <w:noProof/>
          <w:spacing w:val="-8"/>
        </w:rPr>
        <w:t>cieľom vypočítať odhady straty</w:t>
      </w:r>
      <w:r w:rsidR="004F01E9" w:rsidRPr="009D4D24">
        <w:rPr>
          <w:noProof/>
          <w:spacing w:val="-8"/>
        </w:rPr>
        <w:t xml:space="preserve"> v </w:t>
      </w:r>
      <w:r w:rsidRPr="009D4D24">
        <w:rPr>
          <w:noProof/>
          <w:spacing w:val="-8"/>
        </w:rPr>
        <w:t>prípade zlyhania daného emitenta za predpokladu, že údaje na takýto odhad sú</w:t>
      </w:r>
      <w:r w:rsidR="004F01E9" w:rsidRPr="009D4D24">
        <w:rPr>
          <w:noProof/>
          <w:spacing w:val="-8"/>
        </w:rPr>
        <w:t xml:space="preserve"> k </w:t>
      </w:r>
      <w:r w:rsidRPr="009D4D24">
        <w:rPr>
          <w:noProof/>
          <w:spacing w:val="-8"/>
        </w:rPr>
        <w:t>dispozícii;</w:t>
      </w:r>
    </w:p>
    <w:p w14:paraId="22D17F4E" w14:textId="5A5F3EB9" w:rsidR="008311A3" w:rsidRPr="009D4D24" w:rsidRDefault="008311A3" w:rsidP="00615061">
      <w:pPr>
        <w:pStyle w:val="Text3"/>
        <w:rPr>
          <w:noProof/>
          <w:spacing w:val="-6"/>
        </w:rPr>
      </w:pPr>
      <w:r w:rsidRPr="009D4D24">
        <w:rPr>
          <w:noProof/>
          <w:spacing w:val="-6"/>
        </w:rPr>
        <w:t>d) inštitúcia, ktorej nebolo udelené povolenie na odhad straty</w:t>
      </w:r>
      <w:r w:rsidR="004F01E9" w:rsidRPr="009D4D24">
        <w:rPr>
          <w:noProof/>
          <w:spacing w:val="-6"/>
        </w:rPr>
        <w:t xml:space="preserve"> v </w:t>
      </w:r>
      <w:r w:rsidRPr="009D4D24">
        <w:rPr>
          <w:noProof/>
          <w:spacing w:val="-6"/>
        </w:rPr>
        <w:t>prípade zlyhania uvedené</w:t>
      </w:r>
      <w:r w:rsidR="004F01E9" w:rsidRPr="009D4D24">
        <w:rPr>
          <w:noProof/>
          <w:spacing w:val="-6"/>
        </w:rPr>
        <w:t xml:space="preserve"> v </w:t>
      </w:r>
      <w:r w:rsidRPr="009D4D24">
        <w:rPr>
          <w:noProof/>
          <w:spacing w:val="-6"/>
        </w:rPr>
        <w:t>písmene c), vypracuje na odhad straty</w:t>
      </w:r>
      <w:r w:rsidR="004F01E9" w:rsidRPr="009D4D24">
        <w:rPr>
          <w:noProof/>
          <w:spacing w:val="-6"/>
        </w:rPr>
        <w:t xml:space="preserve"> v </w:t>
      </w:r>
      <w:r w:rsidRPr="009D4D24">
        <w:rPr>
          <w:noProof/>
          <w:spacing w:val="-6"/>
        </w:rPr>
        <w:t>prípade zlyhania konzistentne</w:t>
      </w:r>
      <w:r w:rsidR="004F01E9" w:rsidRPr="009D4D24">
        <w:rPr>
          <w:noProof/>
          <w:spacing w:val="-6"/>
        </w:rPr>
        <w:t xml:space="preserve"> s </w:t>
      </w:r>
      <w:r w:rsidRPr="009D4D24">
        <w:rPr>
          <w:noProof/>
          <w:spacing w:val="-6"/>
        </w:rPr>
        <w:t>požiadavkami uplatňovanými na odhady straty</w:t>
      </w:r>
      <w:r w:rsidR="004F01E9" w:rsidRPr="009D4D24">
        <w:rPr>
          <w:noProof/>
          <w:spacing w:val="-6"/>
        </w:rPr>
        <w:t xml:space="preserve"> v </w:t>
      </w:r>
      <w:r w:rsidRPr="009D4D24">
        <w:rPr>
          <w:noProof/>
          <w:spacing w:val="-6"/>
        </w:rPr>
        <w:t>prípade zlyhania podľa tohto článku internú metodiku alebo použije externé zdroje.“;</w:t>
      </w:r>
    </w:p>
    <w:p w14:paraId="5A0D86F6" w14:textId="77777777" w:rsidR="008311A3" w:rsidRPr="004F01E9" w:rsidRDefault="008311A3" w:rsidP="008311A3">
      <w:pPr>
        <w:pStyle w:val="Point2"/>
        <w:rPr>
          <w:noProof/>
        </w:rPr>
      </w:pPr>
      <w:r w:rsidRPr="004F01E9">
        <w:rPr>
          <w:noProof/>
        </w:rPr>
        <w:t>ii)</w:t>
      </w:r>
      <w:r w:rsidRPr="004F01E9">
        <w:rPr>
          <w:noProof/>
        </w:rPr>
        <w:tab/>
        <w:t>Dopĺňa sa tento pododsek:</w:t>
      </w:r>
    </w:p>
    <w:p w14:paraId="53FF6AFA" w14:textId="723B95FF" w:rsidR="008311A3" w:rsidRPr="004F01E9" w:rsidRDefault="008311A3" w:rsidP="008311A3">
      <w:pPr>
        <w:pStyle w:val="Text3"/>
        <w:rPr>
          <w:noProof/>
          <w:szCs w:val="24"/>
        </w:rPr>
      </w:pPr>
      <w:r w:rsidRPr="004F01E9">
        <w:rPr>
          <w:noProof/>
        </w:rPr>
        <w:t>„Na účely písmena c) sú údaje na vykonanie odhadu straty</w:t>
      </w:r>
      <w:r w:rsidR="004F01E9">
        <w:rPr>
          <w:noProof/>
        </w:rPr>
        <w:t xml:space="preserve"> v </w:t>
      </w:r>
      <w:r w:rsidRPr="004F01E9">
        <w:rPr>
          <w:noProof/>
        </w:rPr>
        <w:t>prípade zlyhania daného emitenta pozície</w:t>
      </w:r>
      <w:r w:rsidR="004F01E9">
        <w:rPr>
          <w:noProof/>
        </w:rPr>
        <w:t xml:space="preserve"> v </w:t>
      </w:r>
      <w:r w:rsidRPr="004F01E9">
        <w:rPr>
          <w:noProof/>
        </w:rPr>
        <w:t>obchodnej knihe</w:t>
      </w:r>
      <w:r w:rsidR="004F01E9">
        <w:rPr>
          <w:noProof/>
        </w:rPr>
        <w:t xml:space="preserve"> k </w:t>
      </w:r>
      <w:r w:rsidRPr="004F01E9">
        <w:rPr>
          <w:noProof/>
        </w:rPr>
        <w:t>dispozícii, ak má inštitúcia</w:t>
      </w:r>
      <w:r w:rsidR="004F01E9">
        <w:rPr>
          <w:noProof/>
        </w:rPr>
        <w:t xml:space="preserve"> k </w:t>
      </w:r>
      <w:r w:rsidRPr="004F01E9">
        <w:rPr>
          <w:noProof/>
        </w:rPr>
        <w:t>dátumu výpočtu pozíciu</w:t>
      </w:r>
      <w:r w:rsidR="004F01E9">
        <w:rPr>
          <w:noProof/>
        </w:rPr>
        <w:t xml:space="preserve"> v </w:t>
      </w:r>
      <w:r w:rsidRPr="004F01E9">
        <w:rPr>
          <w:noProof/>
        </w:rPr>
        <w:t>neobchodnej knihe voči rovnakej expozícii, pre ktorú odhaduje stratu</w:t>
      </w:r>
      <w:r w:rsidR="004F01E9">
        <w:rPr>
          <w:noProof/>
        </w:rPr>
        <w:t xml:space="preserve"> v </w:t>
      </w:r>
      <w:r w:rsidRPr="004F01E9">
        <w:rPr>
          <w:noProof/>
        </w:rPr>
        <w:t>prípade zlyhania</w:t>
      </w:r>
      <w:r w:rsidR="004F01E9">
        <w:rPr>
          <w:noProof/>
        </w:rPr>
        <w:t xml:space="preserve"> v </w:t>
      </w:r>
      <w:r w:rsidRPr="004F01E9">
        <w:rPr>
          <w:noProof/>
        </w:rPr>
        <w:t>súlade</w:t>
      </w:r>
      <w:r w:rsidR="004F01E9">
        <w:rPr>
          <w:noProof/>
        </w:rPr>
        <w:t xml:space="preserve"> s </w:t>
      </w:r>
      <w:r w:rsidRPr="004F01E9">
        <w:rPr>
          <w:noProof/>
        </w:rPr>
        <w:t>hlavou II kapitolou 3 oddielom 1</w:t>
      </w:r>
      <w:r w:rsidR="004F01E9">
        <w:rPr>
          <w:noProof/>
        </w:rPr>
        <w:t xml:space="preserve"> s </w:t>
      </w:r>
      <w:r w:rsidRPr="004F01E9">
        <w:rPr>
          <w:noProof/>
        </w:rPr>
        <w:t>cieľom vypočítať svoje požiadavky na vlastné zdroje stanovené</w:t>
      </w:r>
      <w:r w:rsidR="004F01E9">
        <w:rPr>
          <w:noProof/>
        </w:rPr>
        <w:t xml:space="preserve"> v </w:t>
      </w:r>
      <w:r w:rsidRPr="004F01E9">
        <w:rPr>
          <w:noProof/>
        </w:rPr>
        <w:t>uvedenej kapitole.“</w:t>
      </w:r>
    </w:p>
    <w:p w14:paraId="08B7C9F9" w14:textId="5F4ED60A" w:rsidR="008311A3" w:rsidRPr="004F01E9" w:rsidRDefault="00B16452" w:rsidP="00B16452">
      <w:pPr>
        <w:pStyle w:val="Point0"/>
        <w:rPr>
          <w:noProof/>
        </w:rPr>
      </w:pPr>
      <w:r w:rsidRPr="00B16452">
        <w:rPr>
          <w:noProof/>
        </w:rPr>
        <w:t>160</w:t>
      </w:r>
      <w:r>
        <w:rPr>
          <w:noProof/>
        </w:rPr>
        <w:t>.</w:t>
      </w:r>
      <w:r w:rsidRPr="00B16452">
        <w:rPr>
          <w:noProof/>
        </w:rPr>
        <w:tab/>
      </w:r>
      <w:r w:rsidR="008311A3" w:rsidRPr="004F01E9">
        <w:rPr>
          <w:noProof/>
        </w:rPr>
        <w:t>V článku 337 sa odsek 2 nahrádza takto:</w:t>
      </w:r>
    </w:p>
    <w:p w14:paraId="0DCBFE12" w14:textId="6F9D4489" w:rsidR="008311A3" w:rsidRPr="004F01E9" w:rsidRDefault="008311A3" w:rsidP="008311A3">
      <w:pPr>
        <w:pStyle w:val="Text1"/>
        <w:rPr>
          <w:noProof/>
        </w:rPr>
      </w:pPr>
      <w:r w:rsidRPr="004F01E9">
        <w:rPr>
          <w:noProof/>
        </w:rPr>
        <w:t>„2. Inštitúcie pri určovaní rizikových váh na účely odseku 1 používajú výlučne prístup stanovený</w:t>
      </w:r>
      <w:r w:rsidR="004F01E9">
        <w:rPr>
          <w:noProof/>
        </w:rPr>
        <w:t xml:space="preserve"> v </w:t>
      </w:r>
      <w:r w:rsidRPr="004F01E9">
        <w:rPr>
          <w:noProof/>
        </w:rPr>
        <w:t>hlave II kapitole 5 oddiele 3.“</w:t>
      </w:r>
    </w:p>
    <w:p w14:paraId="65DEBD3F" w14:textId="117279BA" w:rsidR="008311A3" w:rsidRPr="004F01E9" w:rsidRDefault="00B16452" w:rsidP="00B16452">
      <w:pPr>
        <w:pStyle w:val="Point0"/>
        <w:rPr>
          <w:noProof/>
        </w:rPr>
      </w:pPr>
      <w:r w:rsidRPr="00B16452">
        <w:rPr>
          <w:noProof/>
        </w:rPr>
        <w:t>161</w:t>
      </w:r>
      <w:r>
        <w:rPr>
          <w:noProof/>
        </w:rPr>
        <w:t>.</w:t>
      </w:r>
      <w:r w:rsidRPr="00B16452">
        <w:rPr>
          <w:noProof/>
        </w:rPr>
        <w:tab/>
      </w:r>
      <w:r w:rsidR="001A0030" w:rsidRPr="004F01E9">
        <w:rPr>
          <w:noProof/>
        </w:rPr>
        <w:t>V článku 338 sa odseky 1</w:t>
      </w:r>
      <w:r w:rsidR="004F01E9">
        <w:rPr>
          <w:noProof/>
        </w:rPr>
        <w:t xml:space="preserve"> a </w:t>
      </w:r>
      <w:r w:rsidR="001A0030" w:rsidRPr="004F01E9">
        <w:rPr>
          <w:noProof/>
        </w:rPr>
        <w:t>2 nahrádzajú takto:</w:t>
      </w:r>
    </w:p>
    <w:p w14:paraId="2D0F0962" w14:textId="60935031" w:rsidR="008311A3" w:rsidRPr="004F01E9" w:rsidRDefault="008311A3" w:rsidP="008311A3">
      <w:pPr>
        <w:pStyle w:val="Text1"/>
        <w:rPr>
          <w:noProof/>
        </w:rPr>
      </w:pPr>
      <w:r w:rsidRPr="004F01E9">
        <w:rPr>
          <w:noProof/>
        </w:rPr>
        <w:t>„1. Na účely tohto článku inštitúcia určuje svoje korelačné obchodné portfólio</w:t>
      </w:r>
      <w:r w:rsidR="004F01E9">
        <w:rPr>
          <w:noProof/>
        </w:rPr>
        <w:t xml:space="preserve"> v </w:t>
      </w:r>
      <w:r w:rsidRPr="004F01E9">
        <w:rPr>
          <w:noProof/>
        </w:rPr>
        <w:t>súlade</w:t>
      </w:r>
      <w:r w:rsidR="004F01E9">
        <w:rPr>
          <w:noProof/>
        </w:rPr>
        <w:t xml:space="preserve"> s </w:t>
      </w:r>
      <w:r w:rsidRPr="004F01E9">
        <w:rPr>
          <w:noProof/>
        </w:rPr>
        <w:t>ustanoveniami uvedenými</w:t>
      </w:r>
      <w:r w:rsidR="004F01E9">
        <w:rPr>
          <w:noProof/>
        </w:rPr>
        <w:t xml:space="preserve"> v </w:t>
      </w:r>
      <w:r w:rsidRPr="004F01E9">
        <w:rPr>
          <w:noProof/>
        </w:rPr>
        <w:t>článku 325 ods. 6, 7</w:t>
      </w:r>
      <w:r w:rsidR="004F01E9">
        <w:rPr>
          <w:noProof/>
        </w:rPr>
        <w:t xml:space="preserve"> a </w:t>
      </w:r>
      <w:r w:rsidRPr="004F01E9">
        <w:rPr>
          <w:noProof/>
        </w:rPr>
        <w:t>8.</w:t>
      </w:r>
    </w:p>
    <w:p w14:paraId="34E7B2DE" w14:textId="6D437B7C" w:rsidR="008311A3" w:rsidRPr="004F01E9" w:rsidRDefault="008311A3" w:rsidP="008311A3">
      <w:pPr>
        <w:pStyle w:val="Text1"/>
        <w:rPr>
          <w:noProof/>
        </w:rPr>
      </w:pPr>
      <w:r w:rsidRPr="004F01E9">
        <w:rPr>
          <w:noProof/>
        </w:rPr>
        <w:t>2. Inštitúcia určuje pre korelačné obchodné portfólio vyššiu</w:t>
      </w:r>
      <w:r w:rsidR="004F01E9">
        <w:rPr>
          <w:noProof/>
        </w:rPr>
        <w:t xml:space="preserve"> z </w:t>
      </w:r>
      <w:r w:rsidRPr="004F01E9">
        <w:rPr>
          <w:noProof/>
        </w:rPr>
        <w:t>nasledujúcich súm ako požiadavku na vlastné zdroje pre špecifické riziko:</w:t>
      </w:r>
    </w:p>
    <w:p w14:paraId="37C5C651" w14:textId="77777777" w:rsidR="008311A3" w:rsidRPr="004F01E9" w:rsidRDefault="008311A3" w:rsidP="008311A3">
      <w:pPr>
        <w:pStyle w:val="Point1"/>
        <w:rPr>
          <w:noProof/>
        </w:rPr>
      </w:pPr>
      <w:r w:rsidRPr="004F01E9">
        <w:rPr>
          <w:noProof/>
        </w:rPr>
        <w:t>a)</w:t>
      </w:r>
      <w:r w:rsidRPr="004F01E9">
        <w:rPr>
          <w:noProof/>
        </w:rPr>
        <w:tab/>
        <w:t>celková požiadavka na vlastné zdroje pre špecifické riziko, ktorá by sa uplatňovala len na čisté dlhé pozície korelačného obchodného portfólia;</w:t>
      </w:r>
    </w:p>
    <w:p w14:paraId="3955D8D5" w14:textId="77777777" w:rsidR="008311A3" w:rsidRPr="004F01E9" w:rsidRDefault="008311A3" w:rsidP="008311A3">
      <w:pPr>
        <w:pStyle w:val="Point1"/>
        <w:rPr>
          <w:noProof/>
        </w:rPr>
      </w:pPr>
      <w:r w:rsidRPr="004F01E9">
        <w:rPr>
          <w:noProof/>
        </w:rPr>
        <w:t>b)</w:t>
      </w:r>
      <w:r w:rsidRPr="004F01E9">
        <w:rPr>
          <w:noProof/>
        </w:rPr>
        <w:tab/>
        <w:t>celková požiadavka na vlastné zdroje pre špecifické riziko, ktorá by sa uplatňovala len na čisté krátke pozície korelačného obchodného portfólia.“</w:t>
      </w:r>
    </w:p>
    <w:p w14:paraId="2D6C4131" w14:textId="45C1BE03" w:rsidR="008311A3" w:rsidRPr="004F01E9" w:rsidRDefault="00B16452" w:rsidP="00B16452">
      <w:pPr>
        <w:pStyle w:val="Point0"/>
        <w:rPr>
          <w:noProof/>
        </w:rPr>
      </w:pPr>
      <w:r w:rsidRPr="00B16452">
        <w:rPr>
          <w:noProof/>
        </w:rPr>
        <w:t>162</w:t>
      </w:r>
      <w:r>
        <w:rPr>
          <w:noProof/>
        </w:rPr>
        <w:t>.</w:t>
      </w:r>
      <w:r w:rsidRPr="00B16452">
        <w:rPr>
          <w:noProof/>
        </w:rPr>
        <w:tab/>
      </w:r>
      <w:r w:rsidR="008311A3" w:rsidRPr="004F01E9">
        <w:rPr>
          <w:noProof/>
        </w:rPr>
        <w:t>V článku 352 sa vypúšťa odsek 2.</w:t>
      </w:r>
    </w:p>
    <w:p w14:paraId="021B85D7" w14:textId="43DD3870" w:rsidR="00806B81" w:rsidRPr="004F01E9" w:rsidRDefault="00B16452" w:rsidP="00B16452">
      <w:pPr>
        <w:pStyle w:val="Point0"/>
        <w:rPr>
          <w:noProof/>
        </w:rPr>
      </w:pPr>
      <w:r w:rsidRPr="00B16452">
        <w:rPr>
          <w:noProof/>
        </w:rPr>
        <w:t>163</w:t>
      </w:r>
      <w:r>
        <w:rPr>
          <w:noProof/>
        </w:rPr>
        <w:t>.</w:t>
      </w:r>
      <w:r w:rsidRPr="00B16452">
        <w:rPr>
          <w:noProof/>
        </w:rPr>
        <w:tab/>
      </w:r>
      <w:r w:rsidR="008311A3" w:rsidRPr="004F01E9">
        <w:rPr>
          <w:noProof/>
        </w:rPr>
        <w:t>V odseku 361 sa vypúšťajú písmená c)</w:t>
      </w:r>
      <w:r w:rsidR="004F01E9">
        <w:rPr>
          <w:noProof/>
        </w:rPr>
        <w:t xml:space="preserve"> a </w:t>
      </w:r>
      <w:r w:rsidR="008311A3" w:rsidRPr="004F01E9">
        <w:rPr>
          <w:noProof/>
        </w:rPr>
        <w:t>d).</w:t>
      </w:r>
    </w:p>
    <w:p w14:paraId="025EE20D" w14:textId="0CC51486" w:rsidR="008311A3" w:rsidRPr="004F01E9" w:rsidRDefault="00B16452" w:rsidP="00B16452">
      <w:pPr>
        <w:pStyle w:val="Point0"/>
        <w:rPr>
          <w:noProof/>
        </w:rPr>
      </w:pPr>
      <w:r w:rsidRPr="00B16452">
        <w:rPr>
          <w:noProof/>
        </w:rPr>
        <w:t>164</w:t>
      </w:r>
      <w:r>
        <w:rPr>
          <w:noProof/>
        </w:rPr>
        <w:t>.</w:t>
      </w:r>
      <w:r w:rsidRPr="00B16452">
        <w:rPr>
          <w:noProof/>
        </w:rPr>
        <w:tab/>
      </w:r>
      <w:r w:rsidR="008311A3" w:rsidRPr="004F01E9">
        <w:rPr>
          <w:noProof/>
        </w:rPr>
        <w:t>V tretej časti hlave IV sa vypúšťa kapitola 5.</w:t>
      </w:r>
    </w:p>
    <w:p w14:paraId="0D12C872" w14:textId="2CC8BC20" w:rsidR="008311A3" w:rsidRPr="004F01E9" w:rsidRDefault="00B16452" w:rsidP="00B16452">
      <w:pPr>
        <w:pStyle w:val="Point0"/>
        <w:rPr>
          <w:noProof/>
        </w:rPr>
      </w:pPr>
      <w:r w:rsidRPr="00B16452">
        <w:rPr>
          <w:noProof/>
        </w:rPr>
        <w:t>165</w:t>
      </w:r>
      <w:r>
        <w:rPr>
          <w:noProof/>
        </w:rPr>
        <w:t>.</w:t>
      </w:r>
      <w:r w:rsidRPr="00B16452">
        <w:rPr>
          <w:noProof/>
        </w:rPr>
        <w:tab/>
      </w:r>
      <w:r w:rsidR="008311A3" w:rsidRPr="004F01E9">
        <w:rPr>
          <w:noProof/>
        </w:rPr>
        <w:t>V článku 381 sa vkladá tento odsek:</w:t>
      </w:r>
    </w:p>
    <w:p w14:paraId="24A067FA" w14:textId="266A2FFD" w:rsidR="008311A3" w:rsidRPr="004F01E9" w:rsidRDefault="008311A3" w:rsidP="008311A3">
      <w:pPr>
        <w:pStyle w:val="Text1"/>
        <w:rPr>
          <w:noProof/>
        </w:rPr>
      </w:pPr>
      <w:r w:rsidRPr="004F01E9">
        <w:rPr>
          <w:noProof/>
        </w:rPr>
        <w:t>„Na účely tejto hlavy je „riziko úpravy ocenenia pohľadávky“ riziko strát vyplývajúcich zo zmien</w:t>
      </w:r>
      <w:r w:rsidR="004F01E9">
        <w:rPr>
          <w:noProof/>
        </w:rPr>
        <w:t xml:space="preserve"> v </w:t>
      </w:r>
      <w:r w:rsidRPr="004F01E9">
        <w:rPr>
          <w:noProof/>
        </w:rPr>
        <w:t>hodnote úpravy ocenenia pohľadávok, vypočítané pre portfólio transakcií</w:t>
      </w:r>
      <w:r w:rsidR="004F01E9">
        <w:rPr>
          <w:noProof/>
        </w:rPr>
        <w:t xml:space="preserve"> s </w:t>
      </w:r>
      <w:r w:rsidRPr="004F01E9">
        <w:rPr>
          <w:noProof/>
        </w:rPr>
        <w:t>protistranou, ako sa uvádza</w:t>
      </w:r>
      <w:r w:rsidR="004F01E9">
        <w:rPr>
          <w:noProof/>
        </w:rPr>
        <w:t xml:space="preserve"> v </w:t>
      </w:r>
      <w:r w:rsidRPr="004F01E9">
        <w:rPr>
          <w:noProof/>
        </w:rPr>
        <w:t>prvom odseku,</w:t>
      </w:r>
      <w:r w:rsidR="004F01E9">
        <w:rPr>
          <w:noProof/>
        </w:rPr>
        <w:t xml:space="preserve"> v </w:t>
      </w:r>
      <w:r w:rsidRPr="004F01E9">
        <w:rPr>
          <w:noProof/>
        </w:rPr>
        <w:t>dôsledku pohybov</w:t>
      </w:r>
      <w:r w:rsidR="004F01E9">
        <w:rPr>
          <w:noProof/>
        </w:rPr>
        <w:t xml:space="preserve"> v </w:t>
      </w:r>
      <w:r w:rsidRPr="004F01E9">
        <w:rPr>
          <w:noProof/>
        </w:rPr>
        <w:t>rizikových faktoroch protistrany týkajúcich sa kreditného rozpätia</w:t>
      </w:r>
      <w:r w:rsidR="004F01E9">
        <w:rPr>
          <w:noProof/>
        </w:rPr>
        <w:t xml:space="preserve"> a v </w:t>
      </w:r>
      <w:r w:rsidRPr="004F01E9">
        <w:rPr>
          <w:noProof/>
        </w:rPr>
        <w:t>iných rizikových faktoroch vložených do portfólia transakcií.“</w:t>
      </w:r>
    </w:p>
    <w:p w14:paraId="3DFA3683" w14:textId="12589AB4" w:rsidR="00806B81" w:rsidRPr="004F01E9" w:rsidRDefault="00B16452" w:rsidP="00B16452">
      <w:pPr>
        <w:pStyle w:val="Point0"/>
        <w:rPr>
          <w:noProof/>
        </w:rPr>
      </w:pPr>
      <w:r w:rsidRPr="00B16452">
        <w:rPr>
          <w:noProof/>
        </w:rPr>
        <w:t>166</w:t>
      </w:r>
      <w:r>
        <w:rPr>
          <w:noProof/>
        </w:rPr>
        <w:t>.</w:t>
      </w:r>
      <w:r w:rsidRPr="00B16452">
        <w:rPr>
          <w:noProof/>
        </w:rPr>
        <w:tab/>
      </w:r>
      <w:r w:rsidR="008311A3" w:rsidRPr="004F01E9">
        <w:rPr>
          <w:noProof/>
        </w:rPr>
        <w:t>Článok 382 sa mení takto:</w:t>
      </w:r>
    </w:p>
    <w:p w14:paraId="79F86738" w14:textId="540FB1A8" w:rsidR="008311A3" w:rsidRPr="004F01E9" w:rsidRDefault="00467984" w:rsidP="00467984">
      <w:pPr>
        <w:pStyle w:val="Point1"/>
        <w:rPr>
          <w:noProof/>
        </w:rPr>
      </w:pPr>
      <w:r w:rsidRPr="004F01E9">
        <w:rPr>
          <w:noProof/>
        </w:rPr>
        <w:t>a)</w:t>
      </w:r>
      <w:r w:rsidRPr="004F01E9">
        <w:rPr>
          <w:noProof/>
        </w:rPr>
        <w:tab/>
        <w:t>Odsek 2 sa nahrádza takto:</w:t>
      </w:r>
    </w:p>
    <w:p w14:paraId="499CD311" w14:textId="066F7D50" w:rsidR="008311A3" w:rsidRPr="004F01E9" w:rsidRDefault="008311A3" w:rsidP="008311A3">
      <w:pPr>
        <w:pStyle w:val="Text2"/>
        <w:rPr>
          <w:noProof/>
        </w:rPr>
      </w:pPr>
      <w:r w:rsidRPr="004F01E9">
        <w:rPr>
          <w:noProof/>
        </w:rPr>
        <w:t>„2. Inštitúcia zahrňuje do výpočtu vlastných zdrojov požadovaných</w:t>
      </w:r>
      <w:r w:rsidR="004F01E9">
        <w:rPr>
          <w:noProof/>
        </w:rPr>
        <w:t xml:space="preserve"> v </w:t>
      </w:r>
      <w:r w:rsidRPr="004F01E9">
        <w:rPr>
          <w:noProof/>
        </w:rPr>
        <w:t>odseku 1 transakcie financovania prostredníctvom cenných papierov, ktoré sú reálne ocenené podľa účtovného rámca uplatniteľného na inštitúciu, kde sú expozície inštitúcie voči riziku úpravy ocenenia pohľadávok vyplývajúce</w:t>
      </w:r>
      <w:r w:rsidR="004F01E9">
        <w:rPr>
          <w:noProof/>
        </w:rPr>
        <w:t xml:space="preserve"> z </w:t>
      </w:r>
      <w:r w:rsidRPr="004F01E9">
        <w:rPr>
          <w:noProof/>
        </w:rPr>
        <w:t>týchto transakcií významné.“</w:t>
      </w:r>
    </w:p>
    <w:p w14:paraId="380573BF" w14:textId="23E37DD4" w:rsidR="00806B81" w:rsidRPr="004F01E9" w:rsidRDefault="00467984" w:rsidP="00467984">
      <w:pPr>
        <w:pStyle w:val="Point1"/>
        <w:rPr>
          <w:noProof/>
        </w:rPr>
      </w:pPr>
      <w:r w:rsidRPr="004F01E9">
        <w:rPr>
          <w:noProof/>
        </w:rPr>
        <w:t>b)</w:t>
      </w:r>
      <w:r w:rsidRPr="004F01E9">
        <w:rPr>
          <w:noProof/>
        </w:rPr>
        <w:tab/>
        <w:t>Vkladajú sa tieto odseky 4a</w:t>
      </w:r>
      <w:r w:rsidR="004F01E9">
        <w:rPr>
          <w:noProof/>
        </w:rPr>
        <w:t xml:space="preserve"> a </w:t>
      </w:r>
      <w:r w:rsidRPr="004F01E9">
        <w:rPr>
          <w:noProof/>
        </w:rPr>
        <w:t>4b:</w:t>
      </w:r>
    </w:p>
    <w:p w14:paraId="3B950E66" w14:textId="3ED4A03E" w:rsidR="008311A3" w:rsidRPr="004F01E9" w:rsidRDefault="008311A3" w:rsidP="008311A3">
      <w:pPr>
        <w:pStyle w:val="Text2"/>
        <w:rPr>
          <w:noProof/>
        </w:rPr>
      </w:pPr>
      <w:r w:rsidRPr="004F01E9">
        <w:rPr>
          <w:noProof/>
        </w:rPr>
        <w:t>„4a. Odchylne od odseku 4 sa inštitúcia môže rozhodnúť vypočítavať požiadavky na vlastné zdroje pre riziko úpravy ocenenia pohľadávok pomocou ktoréhokoľvek</w:t>
      </w:r>
      <w:r w:rsidR="004F01E9">
        <w:rPr>
          <w:noProof/>
        </w:rPr>
        <w:t xml:space="preserve"> z </w:t>
      </w:r>
      <w:r w:rsidRPr="004F01E9">
        <w:rPr>
          <w:noProof/>
        </w:rPr>
        <w:t>uplatniteľných prístupov uvedených</w:t>
      </w:r>
      <w:r w:rsidR="004F01E9">
        <w:rPr>
          <w:noProof/>
        </w:rPr>
        <w:t xml:space="preserve"> v </w:t>
      </w:r>
      <w:r w:rsidRPr="004F01E9">
        <w:rPr>
          <w:noProof/>
        </w:rPr>
        <w:t>článku 382a pre tie transakcie, ktoré sú vylúčené</w:t>
      </w:r>
      <w:r w:rsidR="004F01E9">
        <w:rPr>
          <w:noProof/>
        </w:rPr>
        <w:t xml:space="preserve"> v </w:t>
      </w:r>
      <w:r w:rsidRPr="004F01E9">
        <w:rPr>
          <w:noProof/>
        </w:rPr>
        <w:t>súlade</w:t>
      </w:r>
      <w:r w:rsidR="004F01E9">
        <w:rPr>
          <w:noProof/>
        </w:rPr>
        <w:t xml:space="preserve"> s </w:t>
      </w:r>
      <w:r w:rsidRPr="004F01E9">
        <w:rPr>
          <w:noProof/>
        </w:rPr>
        <w:t>odsekom 4, ak inštitúcia na zmiernenie rizika úpravy ocenenia pohľadávok uvedených transakcií používa prípustné hedžingy určené</w:t>
      </w:r>
      <w:r w:rsidR="004F01E9">
        <w:rPr>
          <w:noProof/>
        </w:rPr>
        <w:t xml:space="preserve"> v </w:t>
      </w:r>
      <w:r w:rsidRPr="004F01E9">
        <w:rPr>
          <w:noProof/>
        </w:rPr>
        <w:t>súlade</w:t>
      </w:r>
      <w:r w:rsidR="004F01E9">
        <w:rPr>
          <w:noProof/>
        </w:rPr>
        <w:t xml:space="preserve"> s </w:t>
      </w:r>
      <w:r w:rsidRPr="004F01E9">
        <w:rPr>
          <w:noProof/>
        </w:rPr>
        <w:t>článkom 386. Inštitúcie zavádzajú politiky</w:t>
      </w:r>
      <w:r w:rsidR="004F01E9">
        <w:rPr>
          <w:noProof/>
        </w:rPr>
        <w:t xml:space="preserve"> s </w:t>
      </w:r>
      <w:r w:rsidRPr="004F01E9">
        <w:rPr>
          <w:noProof/>
        </w:rPr>
        <w:t>cieľom presne stanoviť, kedy sa pre takéto transakcie rozhodnú splniť svoje požiadavky na vlastné zdroje pre riziko úpravy ocenenia pohľadávok.</w:t>
      </w:r>
    </w:p>
    <w:p w14:paraId="605636A5" w14:textId="6A0B3B67" w:rsidR="008311A3" w:rsidRPr="009D4D24" w:rsidRDefault="008311A3" w:rsidP="008311A3">
      <w:pPr>
        <w:pStyle w:val="Text2"/>
        <w:rPr>
          <w:noProof/>
          <w:spacing w:val="-6"/>
        </w:rPr>
      </w:pPr>
      <w:r w:rsidRPr="009D4D24">
        <w:rPr>
          <w:noProof/>
          <w:spacing w:val="-6"/>
        </w:rPr>
        <w:t>4b. Inštitúcie svojim príslušným orgánom oznamujú výsledky výpočtov požiadaviek na vlastné zdroje pre riziko úpravy ocenenia pohľadávok za všetky transakcie uvedené</w:t>
      </w:r>
      <w:r w:rsidR="004F01E9" w:rsidRPr="009D4D24">
        <w:rPr>
          <w:noProof/>
          <w:spacing w:val="-6"/>
        </w:rPr>
        <w:t xml:space="preserve"> v </w:t>
      </w:r>
      <w:r w:rsidRPr="009D4D24">
        <w:rPr>
          <w:noProof/>
          <w:spacing w:val="-6"/>
        </w:rPr>
        <w:t>odseku 4. Na účely tejto požiadavky na predkladanie správ inštitúcie vypočítavajú požiadavky na vlastné zdroje pre riziko úpravy ocenenia pohľadávok</w:t>
      </w:r>
      <w:r w:rsidR="004F01E9" w:rsidRPr="009D4D24">
        <w:rPr>
          <w:noProof/>
          <w:spacing w:val="-6"/>
        </w:rPr>
        <w:t xml:space="preserve"> s </w:t>
      </w:r>
      <w:r w:rsidRPr="009D4D24">
        <w:rPr>
          <w:noProof/>
          <w:spacing w:val="-6"/>
        </w:rPr>
        <w:t>použitím príslušných prístupov stanovených</w:t>
      </w:r>
      <w:r w:rsidR="004F01E9" w:rsidRPr="009D4D24">
        <w:rPr>
          <w:noProof/>
          <w:spacing w:val="-6"/>
        </w:rPr>
        <w:t xml:space="preserve"> v </w:t>
      </w:r>
      <w:r w:rsidRPr="009D4D24">
        <w:rPr>
          <w:noProof/>
          <w:spacing w:val="-6"/>
        </w:rPr>
        <w:t>článku 382a ods. 1, ktoré by použili na splnenie požiadavky na vlastné zdroje pre riziko úpravy ocenenia pohľadávok, ak by tieto transakcie neboli vylúčené</w:t>
      </w:r>
      <w:r w:rsidR="004F01E9" w:rsidRPr="009D4D24">
        <w:rPr>
          <w:noProof/>
          <w:spacing w:val="-6"/>
        </w:rPr>
        <w:t xml:space="preserve"> z </w:t>
      </w:r>
      <w:r w:rsidRPr="009D4D24">
        <w:rPr>
          <w:noProof/>
          <w:spacing w:val="-6"/>
        </w:rPr>
        <w:t>rozsahu pôsobnosti</w:t>
      </w:r>
      <w:r w:rsidR="004F01E9" w:rsidRPr="009D4D24">
        <w:rPr>
          <w:noProof/>
          <w:spacing w:val="-6"/>
        </w:rPr>
        <w:t xml:space="preserve"> v </w:t>
      </w:r>
      <w:r w:rsidRPr="009D4D24">
        <w:rPr>
          <w:noProof/>
          <w:spacing w:val="-6"/>
        </w:rPr>
        <w:t>súlade</w:t>
      </w:r>
      <w:r w:rsidR="004F01E9" w:rsidRPr="009D4D24">
        <w:rPr>
          <w:noProof/>
          <w:spacing w:val="-6"/>
        </w:rPr>
        <w:t xml:space="preserve"> s </w:t>
      </w:r>
      <w:r w:rsidRPr="009D4D24">
        <w:rPr>
          <w:noProof/>
          <w:spacing w:val="-6"/>
        </w:rPr>
        <w:t>odsekom 4.“;</w:t>
      </w:r>
    </w:p>
    <w:p w14:paraId="22050EC3" w14:textId="4A09A869" w:rsidR="00806B81" w:rsidRPr="004F01E9" w:rsidRDefault="00467984" w:rsidP="00467984">
      <w:pPr>
        <w:pStyle w:val="Point1"/>
        <w:rPr>
          <w:noProof/>
        </w:rPr>
      </w:pPr>
      <w:r w:rsidRPr="004F01E9">
        <w:rPr>
          <w:noProof/>
        </w:rPr>
        <w:t>c)</w:t>
      </w:r>
      <w:r w:rsidRPr="004F01E9">
        <w:rPr>
          <w:noProof/>
        </w:rPr>
        <w:tab/>
        <w:t>Dopĺňa sa tento odsek 6:</w:t>
      </w:r>
    </w:p>
    <w:p w14:paraId="787EA935" w14:textId="7D92102B" w:rsidR="00806B81" w:rsidRPr="004F01E9" w:rsidRDefault="008311A3" w:rsidP="008311A3">
      <w:pPr>
        <w:pStyle w:val="Text2"/>
        <w:rPr>
          <w:noProof/>
        </w:rPr>
      </w:pPr>
      <w:r w:rsidRPr="004F01E9">
        <w:rPr>
          <w:noProof/>
        </w:rPr>
        <w:t>„6. EBA vypracuje návrh regulačných technických predpisov</w:t>
      </w:r>
      <w:r w:rsidR="004F01E9">
        <w:rPr>
          <w:noProof/>
        </w:rPr>
        <w:t xml:space="preserve"> s </w:t>
      </w:r>
      <w:r w:rsidRPr="004F01E9">
        <w:rPr>
          <w:noProof/>
        </w:rPr>
        <w:t>cieľom presne stanoviť podmienky</w:t>
      </w:r>
      <w:r w:rsidR="004F01E9">
        <w:rPr>
          <w:noProof/>
        </w:rPr>
        <w:t xml:space="preserve"> a </w:t>
      </w:r>
      <w:r w:rsidRPr="004F01E9">
        <w:rPr>
          <w:noProof/>
        </w:rPr>
        <w:t>kritériá, ktoré príslušné orgány použijú na posúdenie toho, či sú expozície voči riziku úpravy ocenenia pohľadávok vyplývajúce</w:t>
      </w:r>
      <w:r w:rsidR="004F01E9">
        <w:rPr>
          <w:noProof/>
        </w:rPr>
        <w:t xml:space="preserve"> z </w:t>
      </w:r>
      <w:r w:rsidRPr="004F01E9">
        <w:rPr>
          <w:noProof/>
        </w:rPr>
        <w:t>transakcií financovania prostredníctvom reálne ocenených cenných papierov významné, ako aj periodicitu tohto posúdenia.</w:t>
      </w:r>
    </w:p>
    <w:p w14:paraId="4A41B0CC" w14:textId="77777777" w:rsidR="00806B81" w:rsidRPr="009D4D24" w:rsidRDefault="008311A3" w:rsidP="008311A3">
      <w:pPr>
        <w:pStyle w:val="Text2"/>
        <w:rPr>
          <w:noProof/>
          <w:spacing w:val="-6"/>
        </w:rPr>
      </w:pPr>
      <w:r w:rsidRPr="009D4D24">
        <w:rPr>
          <w:noProof/>
          <w:spacing w:val="-6"/>
        </w:rPr>
        <w:t>EBA predloží Komisii uvedený návrh regulačných technických predpisov do [</w:t>
      </w:r>
      <w:r w:rsidRPr="009D4D24">
        <w:rPr>
          <w:noProof/>
          <w:color w:val="000000"/>
          <w:spacing w:val="-6"/>
        </w:rPr>
        <w:t>Úrad pre publikácie, vložte dátum =</w:t>
      </w:r>
      <w:r w:rsidRPr="009D4D24">
        <w:rPr>
          <w:noProof/>
          <w:spacing w:val="-6"/>
        </w:rPr>
        <w:t xml:space="preserve"> 2 roky po nadobudnutí účinnosti tohto nariadenia].</w:t>
      </w:r>
    </w:p>
    <w:p w14:paraId="37E3A796" w14:textId="1B1D0618" w:rsidR="008311A3" w:rsidRPr="004F01E9" w:rsidRDefault="008311A3" w:rsidP="008311A3">
      <w:pPr>
        <w:pStyle w:val="Text2"/>
        <w:rPr>
          <w:noProof/>
        </w:rPr>
      </w:pPr>
      <w:r w:rsidRPr="004F01E9">
        <w:rPr>
          <w:noProof/>
        </w:rPr>
        <w:t>Na Komisiu sa deleguje právomoc prijať regulačné technické predpisy uvedené</w:t>
      </w:r>
      <w:r w:rsidR="004F01E9">
        <w:rPr>
          <w:noProof/>
        </w:rPr>
        <w:t xml:space="preserve"> v </w:t>
      </w:r>
      <w:r w:rsidRPr="004F01E9">
        <w:rPr>
          <w:noProof/>
        </w:rPr>
        <w:t>prvom pododseku</w:t>
      </w:r>
      <w:r w:rsidR="004F01E9">
        <w:rPr>
          <w:noProof/>
        </w:rPr>
        <w:t xml:space="preserve"> v </w:t>
      </w:r>
      <w:r w:rsidRPr="004F01E9">
        <w:rPr>
          <w:noProof/>
        </w:rPr>
        <w:t xml:space="preserve">súlade článkami 10 až 14 nariadenia (EÚ) </w:t>
      </w:r>
      <w:r w:rsidR="004F01E9">
        <w:rPr>
          <w:noProof/>
        </w:rPr>
        <w:t>č. </w:t>
      </w:r>
      <w:r w:rsidRPr="004F01E9">
        <w:rPr>
          <w:noProof/>
        </w:rPr>
        <w:t>1093/2010.“</w:t>
      </w:r>
    </w:p>
    <w:p w14:paraId="1F14E515" w14:textId="6E2B5D18" w:rsidR="00806B81" w:rsidRPr="004F01E9" w:rsidRDefault="00B16452" w:rsidP="00B16452">
      <w:pPr>
        <w:pStyle w:val="Point0"/>
        <w:rPr>
          <w:noProof/>
        </w:rPr>
      </w:pPr>
      <w:r w:rsidRPr="00B16452">
        <w:rPr>
          <w:noProof/>
        </w:rPr>
        <w:t>167</w:t>
      </w:r>
      <w:r>
        <w:rPr>
          <w:noProof/>
        </w:rPr>
        <w:t>.</w:t>
      </w:r>
      <w:r w:rsidRPr="00B16452">
        <w:rPr>
          <w:noProof/>
        </w:rPr>
        <w:tab/>
      </w:r>
      <w:r w:rsidR="004009AD" w:rsidRPr="004F01E9">
        <w:rPr>
          <w:noProof/>
        </w:rPr>
        <w:t>Vkladá sa tento článok 382a:</w:t>
      </w:r>
    </w:p>
    <w:p w14:paraId="410321FA" w14:textId="49B91A51" w:rsidR="004009AD" w:rsidRPr="004F01E9" w:rsidRDefault="004009AD" w:rsidP="004009AD">
      <w:pPr>
        <w:pStyle w:val="Titrearticle"/>
        <w:spacing w:after="240"/>
        <w:rPr>
          <w:noProof/>
        </w:rPr>
      </w:pPr>
      <w:r w:rsidRPr="004F01E9">
        <w:rPr>
          <w:noProof/>
        </w:rPr>
        <w:t>„Článok 382a</w:t>
      </w:r>
      <w:r w:rsidR="004F01E9" w:rsidRPr="004F01E9">
        <w:rPr>
          <w:noProof/>
        </w:rPr>
        <w:t xml:space="preserve"> </w:t>
      </w:r>
      <w:r w:rsidRPr="004F01E9">
        <w:rPr>
          <w:noProof/>
        </w:rPr>
        <w:br/>
      </w:r>
      <w:r w:rsidRPr="004F01E9">
        <w:rPr>
          <w:b/>
          <w:i w:val="0"/>
          <w:noProof/>
        </w:rPr>
        <w:t>Prístupy</w:t>
      </w:r>
      <w:r w:rsidR="004F01E9">
        <w:rPr>
          <w:b/>
          <w:i w:val="0"/>
          <w:noProof/>
        </w:rPr>
        <w:t xml:space="preserve"> k </w:t>
      </w:r>
      <w:r w:rsidRPr="004F01E9">
        <w:rPr>
          <w:b/>
          <w:i w:val="0"/>
          <w:noProof/>
        </w:rPr>
        <w:t>výpočtu požiadaviek na vlastné zdroje pre riziko úpravy ocenenia pohľadávok</w:t>
      </w:r>
    </w:p>
    <w:p w14:paraId="65A6063D" w14:textId="5B57DC78" w:rsidR="00806B81" w:rsidRPr="004F01E9" w:rsidRDefault="004009AD" w:rsidP="004009AD">
      <w:pPr>
        <w:pStyle w:val="Text1"/>
        <w:rPr>
          <w:noProof/>
        </w:rPr>
      </w:pPr>
      <w:r w:rsidRPr="004F01E9">
        <w:rPr>
          <w:noProof/>
        </w:rPr>
        <w:t>1. Inštitúcia vypočítava požiadavky na vlastné zdroje pre riziko úpravy ocenenia pohľadávok pre všetky transakcie uvedené</w:t>
      </w:r>
      <w:r w:rsidR="004F01E9">
        <w:rPr>
          <w:noProof/>
        </w:rPr>
        <w:t xml:space="preserve"> v </w:t>
      </w:r>
      <w:r w:rsidRPr="004F01E9">
        <w:rPr>
          <w:noProof/>
        </w:rPr>
        <w:t>článku 382</w:t>
      </w:r>
      <w:r w:rsidR="004F01E9">
        <w:rPr>
          <w:noProof/>
        </w:rPr>
        <w:t xml:space="preserve"> v </w:t>
      </w:r>
      <w:r w:rsidRPr="004F01E9">
        <w:rPr>
          <w:noProof/>
        </w:rPr>
        <w:t>súlade</w:t>
      </w:r>
      <w:r w:rsidR="004F01E9">
        <w:rPr>
          <w:noProof/>
        </w:rPr>
        <w:t xml:space="preserve"> s </w:t>
      </w:r>
      <w:r w:rsidRPr="004F01E9">
        <w:rPr>
          <w:noProof/>
        </w:rPr>
        <w:t>týmito prístupmi:</w:t>
      </w:r>
    </w:p>
    <w:p w14:paraId="7B65E7D6" w14:textId="42DACB0C" w:rsidR="00806B81" w:rsidRPr="004F01E9" w:rsidRDefault="004009AD" w:rsidP="004009AD">
      <w:pPr>
        <w:pStyle w:val="Point1"/>
        <w:rPr>
          <w:noProof/>
        </w:rPr>
      </w:pPr>
      <w:r w:rsidRPr="004F01E9">
        <w:rPr>
          <w:noProof/>
        </w:rPr>
        <w:t>a)</w:t>
      </w:r>
      <w:r w:rsidRPr="004F01E9">
        <w:rPr>
          <w:noProof/>
        </w:rPr>
        <w:tab/>
        <w:t>štandardizovaný prístup stanovený</w:t>
      </w:r>
      <w:r w:rsidR="004F01E9">
        <w:rPr>
          <w:noProof/>
        </w:rPr>
        <w:t xml:space="preserve"> v </w:t>
      </w:r>
      <w:r w:rsidRPr="004F01E9">
        <w:rPr>
          <w:noProof/>
        </w:rPr>
        <w:t>článku 383, ak príslušné orgány udelili inštitúcii povolenie používať tento prístup;</w:t>
      </w:r>
    </w:p>
    <w:p w14:paraId="50D51E3B" w14:textId="16F82419" w:rsidR="004009AD" w:rsidRPr="004F01E9" w:rsidRDefault="004009AD" w:rsidP="004009AD">
      <w:pPr>
        <w:pStyle w:val="Point1"/>
        <w:rPr>
          <w:noProof/>
        </w:rPr>
      </w:pPr>
      <w:r w:rsidRPr="004F01E9">
        <w:rPr>
          <w:noProof/>
        </w:rPr>
        <w:t>b)</w:t>
      </w:r>
      <w:r w:rsidRPr="004F01E9">
        <w:rPr>
          <w:noProof/>
        </w:rPr>
        <w:tab/>
        <w:t>základný prístup stanovený</w:t>
      </w:r>
      <w:r w:rsidR="004F01E9">
        <w:rPr>
          <w:noProof/>
        </w:rPr>
        <w:t xml:space="preserve"> v </w:t>
      </w:r>
      <w:r w:rsidRPr="004F01E9">
        <w:rPr>
          <w:noProof/>
        </w:rPr>
        <w:t>článku 384;</w:t>
      </w:r>
    </w:p>
    <w:p w14:paraId="1AF59195" w14:textId="22875F0D" w:rsidR="004009AD" w:rsidRPr="004F01E9" w:rsidRDefault="004009AD" w:rsidP="004009AD">
      <w:pPr>
        <w:pStyle w:val="Point1"/>
        <w:rPr>
          <w:noProof/>
        </w:rPr>
      </w:pPr>
      <w:r w:rsidRPr="004F01E9">
        <w:rPr>
          <w:noProof/>
        </w:rPr>
        <w:t>c)</w:t>
      </w:r>
      <w:r w:rsidRPr="004F01E9">
        <w:rPr>
          <w:noProof/>
        </w:rPr>
        <w:tab/>
        <w:t>zjednodušený prístup stanovený</w:t>
      </w:r>
      <w:r w:rsidR="004F01E9">
        <w:rPr>
          <w:noProof/>
        </w:rPr>
        <w:t xml:space="preserve"> v </w:t>
      </w:r>
      <w:r w:rsidRPr="004F01E9">
        <w:rPr>
          <w:noProof/>
        </w:rPr>
        <w:t>článku 385 za predpokladu, že inštitúcia spĺňa podmienky stanovené</w:t>
      </w:r>
      <w:r w:rsidR="004F01E9">
        <w:rPr>
          <w:noProof/>
        </w:rPr>
        <w:t xml:space="preserve"> v </w:t>
      </w:r>
      <w:r w:rsidRPr="004F01E9">
        <w:rPr>
          <w:noProof/>
        </w:rPr>
        <w:t>odseku 1 uvedeného článku.</w:t>
      </w:r>
    </w:p>
    <w:p w14:paraId="59DEB3EE" w14:textId="5B4BAF65" w:rsidR="004009AD" w:rsidRPr="004F01E9" w:rsidRDefault="004009AD" w:rsidP="004009AD">
      <w:pPr>
        <w:pStyle w:val="Text1"/>
        <w:rPr>
          <w:noProof/>
        </w:rPr>
      </w:pPr>
      <w:r w:rsidRPr="004F01E9">
        <w:rPr>
          <w:noProof/>
        </w:rPr>
        <w:t>2. Inštitúcia nepoužíva prístup uvedený</w:t>
      </w:r>
      <w:r w:rsidR="004F01E9">
        <w:rPr>
          <w:noProof/>
        </w:rPr>
        <w:t xml:space="preserve"> v </w:t>
      </w:r>
      <w:r w:rsidRPr="004F01E9">
        <w:rPr>
          <w:noProof/>
        </w:rPr>
        <w:t>odseku 1 písm. c)</w:t>
      </w:r>
      <w:r w:rsidR="004F01E9">
        <w:rPr>
          <w:noProof/>
        </w:rPr>
        <w:t xml:space="preserve"> v </w:t>
      </w:r>
      <w:r w:rsidRPr="004F01E9">
        <w:rPr>
          <w:noProof/>
        </w:rPr>
        <w:t>kombinácii</w:t>
      </w:r>
      <w:r w:rsidR="004F01E9">
        <w:rPr>
          <w:noProof/>
        </w:rPr>
        <w:t xml:space="preserve"> s </w:t>
      </w:r>
      <w:r w:rsidRPr="004F01E9">
        <w:rPr>
          <w:noProof/>
        </w:rPr>
        <w:t>prístupmi uvedenými</w:t>
      </w:r>
      <w:r w:rsidR="004F01E9">
        <w:rPr>
          <w:noProof/>
        </w:rPr>
        <w:t xml:space="preserve"> v </w:t>
      </w:r>
      <w:r w:rsidRPr="004F01E9">
        <w:rPr>
          <w:noProof/>
        </w:rPr>
        <w:t>odseku 1 písm. a) alebo b).</w:t>
      </w:r>
    </w:p>
    <w:p w14:paraId="4FA99125" w14:textId="2F33C7FD" w:rsidR="004009AD" w:rsidRPr="004F01E9" w:rsidRDefault="004009AD" w:rsidP="004009AD">
      <w:pPr>
        <w:pStyle w:val="Text1"/>
        <w:rPr>
          <w:noProof/>
        </w:rPr>
      </w:pPr>
      <w:r w:rsidRPr="004F01E9">
        <w:rPr>
          <w:noProof/>
        </w:rPr>
        <w:t>3. Inštitúcia môže na výpočet požiadaviek na vlastné zdroje pre riziko úpravy ocenenia pohľadávok trvalo používať kombináciu prístupov uvedených</w:t>
      </w:r>
      <w:r w:rsidR="004F01E9">
        <w:rPr>
          <w:noProof/>
        </w:rPr>
        <w:t xml:space="preserve"> v </w:t>
      </w:r>
      <w:r w:rsidRPr="004F01E9">
        <w:rPr>
          <w:noProof/>
        </w:rPr>
        <w:t>odseku 1 písm. a)</w:t>
      </w:r>
      <w:r w:rsidR="004F01E9">
        <w:rPr>
          <w:noProof/>
        </w:rPr>
        <w:t xml:space="preserve"> a </w:t>
      </w:r>
      <w:r w:rsidRPr="004F01E9">
        <w:rPr>
          <w:noProof/>
        </w:rPr>
        <w:t>b)</w:t>
      </w:r>
      <w:r w:rsidR="004F01E9">
        <w:rPr>
          <w:noProof/>
        </w:rPr>
        <w:t xml:space="preserve"> v </w:t>
      </w:r>
      <w:r w:rsidRPr="004F01E9">
        <w:rPr>
          <w:noProof/>
        </w:rPr>
        <w:t>týchto situáciách:</w:t>
      </w:r>
    </w:p>
    <w:p w14:paraId="3732108F" w14:textId="77777777" w:rsidR="004009AD" w:rsidRPr="004F01E9" w:rsidRDefault="004009AD" w:rsidP="004009AD">
      <w:pPr>
        <w:pStyle w:val="Point1"/>
        <w:rPr>
          <w:noProof/>
        </w:rPr>
      </w:pPr>
      <w:r w:rsidRPr="004F01E9">
        <w:rPr>
          <w:noProof/>
        </w:rPr>
        <w:t>a)</w:t>
      </w:r>
      <w:r w:rsidRPr="004F01E9">
        <w:rPr>
          <w:noProof/>
        </w:rPr>
        <w:tab/>
        <w:t>pre rôzne protistrany;</w:t>
      </w:r>
    </w:p>
    <w:p w14:paraId="16B208CE" w14:textId="39CB7292" w:rsidR="004009AD" w:rsidRPr="004F01E9" w:rsidRDefault="004009AD" w:rsidP="004009AD">
      <w:pPr>
        <w:pStyle w:val="Point1"/>
        <w:rPr>
          <w:noProof/>
        </w:rPr>
      </w:pPr>
      <w:r w:rsidRPr="004F01E9">
        <w:rPr>
          <w:noProof/>
        </w:rPr>
        <w:t>b)</w:t>
      </w:r>
      <w:r w:rsidRPr="004F01E9">
        <w:rPr>
          <w:noProof/>
        </w:rPr>
        <w:tab/>
        <w:t>pre rôzne prípustné súbory vzájomného započítavania</w:t>
      </w:r>
      <w:r w:rsidR="004F01E9">
        <w:rPr>
          <w:noProof/>
        </w:rPr>
        <w:t xml:space="preserve"> s </w:t>
      </w:r>
      <w:r w:rsidRPr="004F01E9">
        <w:rPr>
          <w:noProof/>
        </w:rPr>
        <w:t>rovnakou protistranou;</w:t>
      </w:r>
    </w:p>
    <w:p w14:paraId="47088BEB" w14:textId="77777777" w:rsidR="004009AD" w:rsidRPr="004F01E9" w:rsidRDefault="004009AD" w:rsidP="004009AD">
      <w:pPr>
        <w:pStyle w:val="Point1"/>
        <w:rPr>
          <w:noProof/>
        </w:rPr>
      </w:pPr>
      <w:r w:rsidRPr="004F01E9">
        <w:rPr>
          <w:noProof/>
        </w:rPr>
        <w:t>c)</w:t>
      </w:r>
      <w:r w:rsidRPr="004F01E9">
        <w:rPr>
          <w:noProof/>
        </w:rPr>
        <w:tab/>
        <w:t>pre rôzne transakcie rovnakého prípustného súboru vzájomného započítavania za predpokladu, že sú splnené tieto podmienky:</w:t>
      </w:r>
    </w:p>
    <w:p w14:paraId="2DECA258" w14:textId="7A01D421" w:rsidR="004009AD" w:rsidRPr="004F01E9" w:rsidRDefault="004009AD" w:rsidP="004009AD">
      <w:pPr>
        <w:pStyle w:val="Point2"/>
        <w:rPr>
          <w:noProof/>
        </w:rPr>
      </w:pPr>
      <w:r w:rsidRPr="004F01E9">
        <w:rPr>
          <w:noProof/>
        </w:rPr>
        <w:t>i)</w:t>
      </w:r>
      <w:r w:rsidRPr="004F01E9">
        <w:rPr>
          <w:noProof/>
        </w:rPr>
        <w:tab/>
        <w:t>pri výpočte požiadaviek na vlastné zdroje pre riziko úpravy ocenenia pohľadávok rozdeľuje inštitúcia súbor vzájomného započítavania na dva hypotetické súbory vzájomného započítavania</w:t>
      </w:r>
      <w:r w:rsidR="004F01E9">
        <w:rPr>
          <w:noProof/>
        </w:rPr>
        <w:t xml:space="preserve"> a </w:t>
      </w:r>
      <w:r w:rsidRPr="004F01E9">
        <w:rPr>
          <w:noProof/>
        </w:rPr>
        <w:t>prideľuje všetky transakcie, na ktoré sa vzťahuje prístup uvedený</w:t>
      </w:r>
      <w:r w:rsidR="004F01E9">
        <w:rPr>
          <w:noProof/>
        </w:rPr>
        <w:t xml:space="preserve"> v </w:t>
      </w:r>
      <w:r w:rsidRPr="004F01E9">
        <w:rPr>
          <w:noProof/>
        </w:rPr>
        <w:t>odseku 1 písm. a), do rovnakého hypotetického súboru vzájomného započítavania</w:t>
      </w:r>
      <w:r w:rsidR="004F01E9">
        <w:rPr>
          <w:noProof/>
        </w:rPr>
        <w:t xml:space="preserve"> a </w:t>
      </w:r>
      <w:r w:rsidRPr="004F01E9">
        <w:rPr>
          <w:noProof/>
        </w:rPr>
        <w:t>všetky transakcie, na ktoré sa vzťahuje prístup uvedený</w:t>
      </w:r>
      <w:r w:rsidR="004F01E9">
        <w:rPr>
          <w:noProof/>
        </w:rPr>
        <w:t xml:space="preserve"> v </w:t>
      </w:r>
      <w:r w:rsidRPr="004F01E9">
        <w:rPr>
          <w:noProof/>
        </w:rPr>
        <w:t>odseku 1 písm. b), do iného hypotetického súboru vzájomného započítavania;</w:t>
      </w:r>
    </w:p>
    <w:p w14:paraId="04E8EA47" w14:textId="3A082170" w:rsidR="00806B81" w:rsidRPr="004F01E9" w:rsidRDefault="004009AD" w:rsidP="004009AD">
      <w:pPr>
        <w:pStyle w:val="Point2"/>
        <w:rPr>
          <w:noProof/>
        </w:rPr>
      </w:pPr>
      <w:r w:rsidRPr="004F01E9">
        <w:rPr>
          <w:noProof/>
        </w:rPr>
        <w:t>ii)</w:t>
      </w:r>
      <w:r w:rsidRPr="004F01E9">
        <w:rPr>
          <w:noProof/>
        </w:rPr>
        <w:tab/>
        <w:t>rozdelenie uvedené</w:t>
      </w:r>
      <w:r w:rsidR="004F01E9">
        <w:rPr>
          <w:noProof/>
        </w:rPr>
        <w:t xml:space="preserve"> v </w:t>
      </w:r>
      <w:r w:rsidRPr="004F01E9">
        <w:rPr>
          <w:noProof/>
        </w:rPr>
        <w:t>písmene a) musí byť konzistentné so spôsobom, akým inštitúcia určuje zákonné vzájomné započítavanie úpravy ocenenia pohľadávok vypočítanej na účtovné účely;</w:t>
      </w:r>
    </w:p>
    <w:p w14:paraId="757BBDBE" w14:textId="5C78B5B2" w:rsidR="00806B81" w:rsidRPr="004F01E9" w:rsidRDefault="004009AD" w:rsidP="004009AD">
      <w:pPr>
        <w:pStyle w:val="Point2"/>
        <w:rPr>
          <w:noProof/>
        </w:rPr>
      </w:pPr>
      <w:r w:rsidRPr="004F01E9">
        <w:rPr>
          <w:noProof/>
        </w:rPr>
        <w:t>iii)</w:t>
      </w:r>
      <w:r w:rsidRPr="004F01E9">
        <w:rPr>
          <w:noProof/>
        </w:rPr>
        <w:tab/>
        <w:t>pri výpočte požiadaviek na vlastné zdroje pre riziko úpravy ocenenia pohľadávok je povolenie používať prístup uvedený</w:t>
      </w:r>
      <w:r w:rsidR="004F01E9">
        <w:rPr>
          <w:noProof/>
        </w:rPr>
        <w:t xml:space="preserve"> v </w:t>
      </w:r>
      <w:r w:rsidRPr="004F01E9">
        <w:rPr>
          <w:noProof/>
        </w:rPr>
        <w:t>odseku 1 písm. a), ktoré udelili príslušné orgány, obmedzené na hypotetický súbor vzájomného započítavania, pre ktorý inštitúcia používa prístup uvedený</w:t>
      </w:r>
      <w:r w:rsidR="004F01E9">
        <w:rPr>
          <w:noProof/>
        </w:rPr>
        <w:t xml:space="preserve"> v </w:t>
      </w:r>
      <w:r w:rsidRPr="004F01E9">
        <w:rPr>
          <w:noProof/>
        </w:rPr>
        <w:t>odseku 1 písm. a).</w:t>
      </w:r>
    </w:p>
    <w:p w14:paraId="0F1C0DBA" w14:textId="05FF7BCA" w:rsidR="004009AD" w:rsidRPr="004F01E9" w:rsidRDefault="004009AD" w:rsidP="00467984">
      <w:pPr>
        <w:pStyle w:val="Text1"/>
        <w:rPr>
          <w:noProof/>
        </w:rPr>
      </w:pPr>
      <w:r w:rsidRPr="004F01E9">
        <w:rPr>
          <w:noProof/>
        </w:rPr>
        <w:t>Inštitúcie zavádzajú politiky</w:t>
      </w:r>
      <w:r w:rsidR="004F01E9">
        <w:rPr>
          <w:noProof/>
        </w:rPr>
        <w:t xml:space="preserve"> s </w:t>
      </w:r>
      <w:r w:rsidRPr="004F01E9">
        <w:rPr>
          <w:noProof/>
        </w:rPr>
        <w:t>cieľom vysvetliť, akým spôsobom na výpočet požiadaviek na vlastné zdroje pre riziko úpravy ocenenia pohľadávok trvalo používajú kombináciu prístupov uvedených</w:t>
      </w:r>
      <w:r w:rsidR="004F01E9">
        <w:rPr>
          <w:noProof/>
        </w:rPr>
        <w:t xml:space="preserve"> v </w:t>
      </w:r>
      <w:r w:rsidRPr="004F01E9">
        <w:rPr>
          <w:noProof/>
        </w:rPr>
        <w:t>odseku 1 písm. a)</w:t>
      </w:r>
      <w:r w:rsidR="004F01E9">
        <w:rPr>
          <w:noProof/>
        </w:rPr>
        <w:t xml:space="preserve"> a </w:t>
      </w:r>
      <w:r w:rsidRPr="004F01E9">
        <w:rPr>
          <w:noProof/>
        </w:rPr>
        <w:t>b),</w:t>
      </w:r>
      <w:r w:rsidR="004F01E9">
        <w:rPr>
          <w:noProof/>
        </w:rPr>
        <w:t xml:space="preserve"> a </w:t>
      </w:r>
      <w:r w:rsidRPr="004F01E9">
        <w:rPr>
          <w:noProof/>
        </w:rPr>
        <w:t>ako sa stanovuje</w:t>
      </w:r>
      <w:r w:rsidR="004F01E9">
        <w:rPr>
          <w:noProof/>
        </w:rPr>
        <w:t xml:space="preserve"> v </w:t>
      </w:r>
      <w:r w:rsidRPr="004F01E9">
        <w:rPr>
          <w:noProof/>
        </w:rPr>
        <w:t>tomto odseku.“</w:t>
      </w:r>
    </w:p>
    <w:p w14:paraId="1BD0987A" w14:textId="01E64A1D" w:rsidR="00806B81" w:rsidRPr="004F01E9" w:rsidRDefault="00B16452" w:rsidP="00B16452">
      <w:pPr>
        <w:pStyle w:val="Point0"/>
        <w:rPr>
          <w:noProof/>
        </w:rPr>
      </w:pPr>
      <w:r w:rsidRPr="00B16452">
        <w:rPr>
          <w:noProof/>
        </w:rPr>
        <w:t>168</w:t>
      </w:r>
      <w:r>
        <w:rPr>
          <w:noProof/>
        </w:rPr>
        <w:t>.</w:t>
      </w:r>
      <w:r w:rsidRPr="00B16452">
        <w:rPr>
          <w:noProof/>
        </w:rPr>
        <w:tab/>
      </w:r>
      <w:r w:rsidR="004009AD" w:rsidRPr="004F01E9">
        <w:rPr>
          <w:noProof/>
        </w:rPr>
        <w:t>Článok 383 sa nahrádza takto:</w:t>
      </w:r>
    </w:p>
    <w:p w14:paraId="46AA1E19" w14:textId="2DF59F10" w:rsidR="004009AD" w:rsidRPr="004F01E9" w:rsidRDefault="004009AD" w:rsidP="004009AD">
      <w:pPr>
        <w:pStyle w:val="Titrearticle"/>
        <w:rPr>
          <w:noProof/>
        </w:rPr>
      </w:pPr>
      <w:r w:rsidRPr="004F01E9">
        <w:rPr>
          <w:noProof/>
        </w:rPr>
        <w:t>„Článok 383</w:t>
      </w:r>
      <w:r w:rsidR="004F01E9" w:rsidRPr="004F01E9">
        <w:rPr>
          <w:noProof/>
        </w:rPr>
        <w:t xml:space="preserve"> </w:t>
      </w:r>
      <w:r w:rsidRPr="004F01E9">
        <w:rPr>
          <w:noProof/>
        </w:rPr>
        <w:br/>
      </w:r>
      <w:r w:rsidRPr="004F01E9">
        <w:rPr>
          <w:b/>
          <w:i w:val="0"/>
          <w:noProof/>
        </w:rPr>
        <w:t>Štandardizovaný prístup</w:t>
      </w:r>
    </w:p>
    <w:p w14:paraId="33FEE38B" w14:textId="25AFF40E" w:rsidR="00806B81" w:rsidRPr="004F01E9" w:rsidRDefault="004009AD" w:rsidP="004009AD">
      <w:pPr>
        <w:pStyle w:val="Text1"/>
        <w:rPr>
          <w:noProof/>
        </w:rPr>
      </w:pPr>
      <w:r w:rsidRPr="004F01E9">
        <w:rPr>
          <w:noProof/>
        </w:rPr>
        <w:t>1. Príslušné orgány udelia inštitúcii povolenie na výpočet svojich požiadaviek na vlastné zdroje pre riziko úpravy ocenenia pohľadávok pre portfólio transakcií</w:t>
      </w:r>
      <w:r w:rsidR="004F01E9">
        <w:rPr>
          <w:noProof/>
        </w:rPr>
        <w:t xml:space="preserve"> s </w:t>
      </w:r>
      <w:r w:rsidRPr="004F01E9">
        <w:rPr>
          <w:noProof/>
        </w:rPr>
        <w:t>jednou alebo viacerými protistranami</w:t>
      </w:r>
      <w:r w:rsidR="004F01E9">
        <w:rPr>
          <w:noProof/>
        </w:rPr>
        <w:t xml:space="preserve"> s </w:t>
      </w:r>
      <w:r w:rsidRPr="004F01E9">
        <w:rPr>
          <w:noProof/>
        </w:rPr>
        <w:t>použitím štandardizovaného prístupu</w:t>
      </w:r>
      <w:r w:rsidR="004F01E9">
        <w:rPr>
          <w:noProof/>
        </w:rPr>
        <w:t xml:space="preserve"> v </w:t>
      </w:r>
      <w:r w:rsidRPr="004F01E9">
        <w:rPr>
          <w:noProof/>
        </w:rPr>
        <w:t>súlade</w:t>
      </w:r>
      <w:r w:rsidR="004F01E9">
        <w:rPr>
          <w:noProof/>
        </w:rPr>
        <w:t xml:space="preserve"> s </w:t>
      </w:r>
      <w:r w:rsidRPr="004F01E9">
        <w:rPr>
          <w:noProof/>
        </w:rPr>
        <w:t>odsekom 3 po tom, ako posúdia, či inštitúcia spĺňa tieto požiadavky:</w:t>
      </w:r>
    </w:p>
    <w:p w14:paraId="5B42C3A1" w14:textId="75257BE4" w:rsidR="004009AD" w:rsidRPr="004F01E9" w:rsidRDefault="004009AD" w:rsidP="004009AD">
      <w:pPr>
        <w:pStyle w:val="Point1"/>
        <w:rPr>
          <w:noProof/>
        </w:rPr>
      </w:pPr>
      <w:r w:rsidRPr="004F01E9">
        <w:rPr>
          <w:noProof/>
        </w:rPr>
        <w:t>a)</w:t>
      </w:r>
      <w:r w:rsidRPr="004F01E9">
        <w:rPr>
          <w:noProof/>
        </w:rPr>
        <w:tab/>
        <w:t>inštitúcia zriadila samostatnú jednotku, ktorá je zodpovedná za celkové riadenie rizika inštitúcie</w:t>
      </w:r>
      <w:r w:rsidR="004F01E9">
        <w:rPr>
          <w:noProof/>
        </w:rPr>
        <w:t xml:space="preserve"> a </w:t>
      </w:r>
      <w:r w:rsidRPr="004F01E9">
        <w:rPr>
          <w:noProof/>
        </w:rPr>
        <w:t>hedžing rizika úpravy ocenenia pohľadávok;</w:t>
      </w:r>
    </w:p>
    <w:p w14:paraId="2B57F033" w14:textId="2F0BF3D8" w:rsidR="004009AD" w:rsidRPr="004F01E9" w:rsidRDefault="004009AD" w:rsidP="004009AD">
      <w:pPr>
        <w:pStyle w:val="Point1"/>
        <w:rPr>
          <w:noProof/>
        </w:rPr>
      </w:pPr>
      <w:r w:rsidRPr="004F01E9">
        <w:rPr>
          <w:noProof/>
        </w:rPr>
        <w:t>b)</w:t>
      </w:r>
      <w:r w:rsidRPr="004F01E9">
        <w:rPr>
          <w:noProof/>
        </w:rPr>
        <w:tab/>
        <w:t>pre každú dotknutú protistranu inštitúcia vypracovala regulačný model úpravy ocenenia pohľadávok na výpočet úpravy ocenenia pohľadávok danej protistrany</w:t>
      </w:r>
      <w:r w:rsidR="004F01E9">
        <w:rPr>
          <w:noProof/>
        </w:rPr>
        <w:t xml:space="preserve"> v </w:t>
      </w:r>
      <w:r w:rsidRPr="004F01E9">
        <w:rPr>
          <w:noProof/>
        </w:rPr>
        <w:t>súlade</w:t>
      </w:r>
      <w:r w:rsidR="004F01E9">
        <w:rPr>
          <w:noProof/>
        </w:rPr>
        <w:t xml:space="preserve"> s </w:t>
      </w:r>
      <w:r w:rsidRPr="004F01E9">
        <w:rPr>
          <w:noProof/>
        </w:rPr>
        <w:t>článkom 383a;</w:t>
      </w:r>
    </w:p>
    <w:p w14:paraId="664667EB" w14:textId="3E7CA3F2" w:rsidR="00806B81" w:rsidRPr="004F01E9" w:rsidRDefault="004009AD" w:rsidP="004009AD">
      <w:pPr>
        <w:pStyle w:val="Point1"/>
        <w:rPr>
          <w:noProof/>
        </w:rPr>
      </w:pPr>
      <w:r w:rsidRPr="004F01E9">
        <w:rPr>
          <w:noProof/>
        </w:rPr>
        <w:t>c)</w:t>
      </w:r>
      <w:r w:rsidRPr="004F01E9">
        <w:rPr>
          <w:noProof/>
        </w:rPr>
        <w:tab/>
        <w:t>pre každú dotknutú protistranu je inštitúcia schopná aspoň raz mesačne vypočítať citlivosti svojej úpravy ocenenia pohľadávok voči príslušným rizikovým faktorom, ako je určené</w:t>
      </w:r>
      <w:r w:rsidR="004F01E9">
        <w:rPr>
          <w:noProof/>
        </w:rPr>
        <w:t xml:space="preserve"> v </w:t>
      </w:r>
      <w:r w:rsidRPr="004F01E9">
        <w:rPr>
          <w:noProof/>
        </w:rPr>
        <w:t>súlade</w:t>
      </w:r>
      <w:r w:rsidR="004F01E9">
        <w:rPr>
          <w:noProof/>
        </w:rPr>
        <w:t xml:space="preserve"> s </w:t>
      </w:r>
      <w:r w:rsidRPr="004F01E9">
        <w:rPr>
          <w:noProof/>
        </w:rPr>
        <w:t>článkom 383b;</w:t>
      </w:r>
    </w:p>
    <w:p w14:paraId="7E5156C7" w14:textId="36B61263" w:rsidR="004009AD" w:rsidRPr="004F01E9" w:rsidRDefault="004009AD" w:rsidP="004009AD">
      <w:pPr>
        <w:pStyle w:val="Point1"/>
        <w:rPr>
          <w:noProof/>
        </w:rPr>
      </w:pPr>
      <w:r w:rsidRPr="004F01E9">
        <w:rPr>
          <w:noProof/>
        </w:rPr>
        <w:t>d)</w:t>
      </w:r>
      <w:r w:rsidRPr="004F01E9">
        <w:rPr>
          <w:noProof/>
        </w:rPr>
        <w:tab/>
        <w:t>pre všetky pozície</w:t>
      </w:r>
      <w:r w:rsidR="004F01E9">
        <w:rPr>
          <w:noProof/>
        </w:rPr>
        <w:t xml:space="preserve"> v </w:t>
      </w:r>
      <w:r w:rsidRPr="004F01E9">
        <w:rPr>
          <w:noProof/>
        </w:rPr>
        <w:t>prípustných hedžingoch uznaných</w:t>
      </w:r>
      <w:r w:rsidR="004F01E9">
        <w:rPr>
          <w:noProof/>
        </w:rPr>
        <w:t xml:space="preserve"> v </w:t>
      </w:r>
      <w:r w:rsidRPr="004F01E9">
        <w:rPr>
          <w:noProof/>
        </w:rPr>
        <w:t>súlade</w:t>
      </w:r>
      <w:r w:rsidR="004F01E9">
        <w:rPr>
          <w:noProof/>
        </w:rPr>
        <w:t xml:space="preserve"> s </w:t>
      </w:r>
      <w:r w:rsidRPr="004F01E9">
        <w:rPr>
          <w:noProof/>
        </w:rPr>
        <w:t>článkom 386 na účely výpočtu požiadaviek inštitúcie na vlastné zdroje pre riziko úpravy ocenenia pohľadávok</w:t>
      </w:r>
      <w:r w:rsidR="004F01E9">
        <w:rPr>
          <w:noProof/>
        </w:rPr>
        <w:t xml:space="preserve"> s </w:t>
      </w:r>
      <w:r w:rsidRPr="004F01E9">
        <w:rPr>
          <w:noProof/>
        </w:rPr>
        <w:t>použitím štandardizovaného prístupu je inštitúcia schopná aspoň raz mesačne vypočítať citlivosti týchto pozícií na príslušné faktory rizika určené</w:t>
      </w:r>
      <w:r w:rsidR="004F01E9">
        <w:rPr>
          <w:noProof/>
        </w:rPr>
        <w:t xml:space="preserve"> v </w:t>
      </w:r>
      <w:r w:rsidRPr="004F01E9">
        <w:rPr>
          <w:noProof/>
        </w:rPr>
        <w:t>súlade</w:t>
      </w:r>
      <w:r w:rsidR="004F01E9">
        <w:rPr>
          <w:noProof/>
        </w:rPr>
        <w:t xml:space="preserve"> s </w:t>
      </w:r>
      <w:r w:rsidRPr="004F01E9">
        <w:rPr>
          <w:noProof/>
        </w:rPr>
        <w:t>článkom 383b.</w:t>
      </w:r>
    </w:p>
    <w:p w14:paraId="117B05C9" w14:textId="0A298569" w:rsidR="004009AD" w:rsidRPr="004F01E9" w:rsidRDefault="004009AD" w:rsidP="00F9116F">
      <w:pPr>
        <w:pStyle w:val="Text1"/>
        <w:rPr>
          <w:noProof/>
        </w:rPr>
      </w:pPr>
      <w:r w:rsidRPr="004F01E9">
        <w:rPr>
          <w:noProof/>
        </w:rPr>
        <w:t>Na účely písmena c) citlivosť úpravy ocenenia pohľadávok protistrany na faktor rizika je relatívna zmena hodnoty uvedenej úpravy ocenenia pohľadávok</w:t>
      </w:r>
      <w:r w:rsidR="004F01E9">
        <w:rPr>
          <w:noProof/>
        </w:rPr>
        <w:t xml:space="preserve"> v </w:t>
      </w:r>
      <w:r w:rsidRPr="004F01E9">
        <w:rPr>
          <w:noProof/>
        </w:rPr>
        <w:t>dôsledku zmeny hodnoty jedného</w:t>
      </w:r>
      <w:r w:rsidR="004F01E9">
        <w:rPr>
          <w:noProof/>
        </w:rPr>
        <w:t xml:space="preserve"> z </w:t>
      </w:r>
      <w:r w:rsidRPr="004F01E9">
        <w:rPr>
          <w:noProof/>
        </w:rPr>
        <w:t>relevantných rizikových faktorov uvedenej úpravy ocenenia pohľadávok vypočítaná pomocou regulačného modelu úpravy ocenenia pohľadávok inštitúcie</w:t>
      </w:r>
      <w:r w:rsidR="004F01E9">
        <w:rPr>
          <w:noProof/>
        </w:rPr>
        <w:t xml:space="preserve"> v </w:t>
      </w:r>
      <w:r w:rsidRPr="004F01E9">
        <w:rPr>
          <w:noProof/>
        </w:rPr>
        <w:t>súlade</w:t>
      </w:r>
      <w:r w:rsidR="004F01E9">
        <w:rPr>
          <w:noProof/>
        </w:rPr>
        <w:t xml:space="preserve"> s </w:t>
      </w:r>
      <w:r w:rsidRPr="004F01E9">
        <w:rPr>
          <w:noProof/>
        </w:rPr>
        <w:t>článkami 383i až 383j.</w:t>
      </w:r>
    </w:p>
    <w:p w14:paraId="37999C4E" w14:textId="09616993" w:rsidR="004009AD" w:rsidRPr="004F01E9" w:rsidRDefault="004009AD" w:rsidP="00F9116F">
      <w:pPr>
        <w:pStyle w:val="Text1"/>
        <w:rPr>
          <w:noProof/>
        </w:rPr>
      </w:pPr>
      <w:r w:rsidRPr="004F01E9">
        <w:rPr>
          <w:noProof/>
        </w:rPr>
        <w:t>Na účely písmena d) citlivosť pozícií</w:t>
      </w:r>
      <w:r w:rsidR="004F01E9">
        <w:rPr>
          <w:noProof/>
        </w:rPr>
        <w:t xml:space="preserve"> v </w:t>
      </w:r>
      <w:r w:rsidRPr="004F01E9">
        <w:rPr>
          <w:noProof/>
        </w:rPr>
        <w:t>prípustnom hedžingu na rizikový faktor je relatívna zmena hodnoty tejto pozície</w:t>
      </w:r>
      <w:r w:rsidR="004F01E9">
        <w:rPr>
          <w:noProof/>
        </w:rPr>
        <w:t xml:space="preserve"> v </w:t>
      </w:r>
      <w:r w:rsidRPr="004F01E9">
        <w:rPr>
          <w:noProof/>
        </w:rPr>
        <w:t>dôsledku zmeny hodnoty jedného</w:t>
      </w:r>
      <w:r w:rsidR="004F01E9">
        <w:rPr>
          <w:noProof/>
        </w:rPr>
        <w:t xml:space="preserve"> z </w:t>
      </w:r>
      <w:r w:rsidRPr="004F01E9">
        <w:rPr>
          <w:noProof/>
        </w:rPr>
        <w:t>relevantných rizikových faktorov tejto pozície vypočítaná pomocou modelu oceňovania inštitúcie</w:t>
      </w:r>
      <w:r w:rsidR="004F01E9">
        <w:rPr>
          <w:noProof/>
        </w:rPr>
        <w:t xml:space="preserve"> v </w:t>
      </w:r>
      <w:r w:rsidRPr="004F01E9">
        <w:rPr>
          <w:noProof/>
        </w:rPr>
        <w:t>súlade</w:t>
      </w:r>
      <w:r w:rsidR="004F01E9">
        <w:rPr>
          <w:noProof/>
        </w:rPr>
        <w:t xml:space="preserve"> s </w:t>
      </w:r>
      <w:r w:rsidRPr="004F01E9">
        <w:rPr>
          <w:noProof/>
        </w:rPr>
        <w:t>článkami 383i až 383j.</w:t>
      </w:r>
    </w:p>
    <w:p w14:paraId="1CF4DBFA" w14:textId="77777777" w:rsidR="00806B81" w:rsidRPr="004F01E9" w:rsidRDefault="004009AD" w:rsidP="004009AD">
      <w:pPr>
        <w:pStyle w:val="Text1"/>
        <w:rPr>
          <w:noProof/>
        </w:rPr>
      </w:pPr>
      <w:r w:rsidRPr="004F01E9">
        <w:rPr>
          <w:noProof/>
        </w:rPr>
        <w:t>2. Na účely výpočtu požiadaviek na vlastné zdroje pre riziko úpravy ocenenia pohľadávok sa uplatňuje toto vymedzenie pojmov:</w:t>
      </w:r>
    </w:p>
    <w:p w14:paraId="0BBA0A0D" w14:textId="3FE0EFF5" w:rsidR="00806B81" w:rsidRPr="004F01E9" w:rsidRDefault="004009AD" w:rsidP="004009AD">
      <w:pPr>
        <w:pStyle w:val="Point1"/>
        <w:rPr>
          <w:noProof/>
        </w:rPr>
      </w:pPr>
      <w:r w:rsidRPr="004F01E9">
        <w:rPr>
          <w:noProof/>
        </w:rPr>
        <w:t>a)</w:t>
      </w:r>
      <w:r w:rsidRPr="004F01E9">
        <w:rPr>
          <w:noProof/>
        </w:rPr>
        <w:tab/>
        <w:t>„trieda rizika“ je ktorákoľvek</w:t>
      </w:r>
      <w:r w:rsidR="004F01E9">
        <w:rPr>
          <w:noProof/>
        </w:rPr>
        <w:t xml:space="preserve"> z </w:t>
      </w:r>
      <w:r w:rsidRPr="004F01E9">
        <w:rPr>
          <w:noProof/>
        </w:rPr>
        <w:t>týchto kategórií:</w:t>
      </w:r>
    </w:p>
    <w:p w14:paraId="5993644D" w14:textId="77777777" w:rsidR="00806B81" w:rsidRPr="004F01E9" w:rsidRDefault="004009AD" w:rsidP="004009AD">
      <w:pPr>
        <w:pStyle w:val="Point2"/>
        <w:rPr>
          <w:noProof/>
        </w:rPr>
      </w:pPr>
      <w:r w:rsidRPr="004F01E9">
        <w:rPr>
          <w:noProof/>
        </w:rPr>
        <w:t>i)</w:t>
      </w:r>
      <w:r w:rsidRPr="004F01E9">
        <w:rPr>
          <w:noProof/>
        </w:rPr>
        <w:tab/>
        <w:t>úrokové riziko;</w:t>
      </w:r>
    </w:p>
    <w:p w14:paraId="52B181AB" w14:textId="77777777" w:rsidR="00806B81" w:rsidRPr="004F01E9" w:rsidRDefault="004009AD" w:rsidP="004009AD">
      <w:pPr>
        <w:pStyle w:val="Point2"/>
        <w:rPr>
          <w:noProof/>
        </w:rPr>
      </w:pPr>
      <w:r w:rsidRPr="004F01E9">
        <w:rPr>
          <w:noProof/>
        </w:rPr>
        <w:t>ii)</w:t>
      </w:r>
      <w:r w:rsidRPr="004F01E9">
        <w:rPr>
          <w:noProof/>
        </w:rPr>
        <w:tab/>
        <w:t>riziko kreditného rozpätia protistrany;</w:t>
      </w:r>
    </w:p>
    <w:p w14:paraId="7A576DC6" w14:textId="77777777" w:rsidR="00806B81" w:rsidRPr="004F01E9" w:rsidRDefault="004009AD" w:rsidP="004009AD">
      <w:pPr>
        <w:pStyle w:val="Point2"/>
        <w:rPr>
          <w:noProof/>
        </w:rPr>
      </w:pPr>
      <w:r w:rsidRPr="004F01E9">
        <w:rPr>
          <w:noProof/>
        </w:rPr>
        <w:t>iii)</w:t>
      </w:r>
      <w:r w:rsidRPr="004F01E9">
        <w:rPr>
          <w:noProof/>
        </w:rPr>
        <w:tab/>
        <w:t>riziko referenčné kreditného rozpätia;</w:t>
      </w:r>
    </w:p>
    <w:p w14:paraId="57763FC8" w14:textId="77777777" w:rsidR="00806B81" w:rsidRPr="004F01E9" w:rsidRDefault="004009AD" w:rsidP="004009AD">
      <w:pPr>
        <w:pStyle w:val="Point2"/>
        <w:rPr>
          <w:noProof/>
        </w:rPr>
      </w:pPr>
      <w:r w:rsidRPr="004F01E9">
        <w:rPr>
          <w:noProof/>
        </w:rPr>
        <w:t>iv)</w:t>
      </w:r>
      <w:r w:rsidRPr="004F01E9">
        <w:rPr>
          <w:noProof/>
        </w:rPr>
        <w:tab/>
        <w:t>akciové riziko;</w:t>
      </w:r>
    </w:p>
    <w:p w14:paraId="629F5AEA" w14:textId="77777777" w:rsidR="00806B81" w:rsidRPr="004F01E9" w:rsidRDefault="004009AD" w:rsidP="004009AD">
      <w:pPr>
        <w:pStyle w:val="Point2"/>
        <w:rPr>
          <w:noProof/>
        </w:rPr>
      </w:pPr>
      <w:r w:rsidRPr="004F01E9">
        <w:rPr>
          <w:noProof/>
        </w:rPr>
        <w:t>v)</w:t>
      </w:r>
      <w:r w:rsidRPr="004F01E9">
        <w:rPr>
          <w:noProof/>
        </w:rPr>
        <w:tab/>
        <w:t>komoditné riziko;</w:t>
      </w:r>
    </w:p>
    <w:p w14:paraId="0E814CF3" w14:textId="3D5E3837" w:rsidR="004009AD" w:rsidRPr="004F01E9" w:rsidRDefault="004009AD" w:rsidP="004009AD">
      <w:pPr>
        <w:pStyle w:val="Point2"/>
        <w:rPr>
          <w:noProof/>
        </w:rPr>
      </w:pPr>
      <w:r w:rsidRPr="004F01E9">
        <w:rPr>
          <w:noProof/>
        </w:rPr>
        <w:t>vi)</w:t>
      </w:r>
      <w:r w:rsidRPr="004F01E9">
        <w:rPr>
          <w:noProof/>
        </w:rPr>
        <w:tab/>
        <w:t>devízové riziko;</w:t>
      </w:r>
    </w:p>
    <w:p w14:paraId="1171CB5D" w14:textId="63C439A0" w:rsidR="004009AD" w:rsidRPr="004F01E9" w:rsidRDefault="004009AD" w:rsidP="004009AD">
      <w:pPr>
        <w:pStyle w:val="Point1"/>
        <w:rPr>
          <w:noProof/>
        </w:rPr>
      </w:pPr>
      <w:r w:rsidRPr="004F01E9">
        <w:rPr>
          <w:noProof/>
        </w:rPr>
        <w:t>b)</w:t>
      </w:r>
      <w:r w:rsidRPr="004F01E9">
        <w:rPr>
          <w:noProof/>
        </w:rPr>
        <w:tab/>
        <w:t>„portfólio úpravy ocenenia pohľadávky“ je portfólio pozostávajúce zo súhrnných úprav ocenenia pohľadávok</w:t>
      </w:r>
      <w:r w:rsidR="004F01E9">
        <w:rPr>
          <w:noProof/>
        </w:rPr>
        <w:t xml:space="preserve"> a </w:t>
      </w:r>
      <w:r w:rsidRPr="004F01E9">
        <w:rPr>
          <w:noProof/>
        </w:rPr>
        <w:t>všetkých prípustných hedžingov uvedených</w:t>
      </w:r>
      <w:r w:rsidR="004F01E9">
        <w:rPr>
          <w:noProof/>
        </w:rPr>
        <w:t xml:space="preserve"> v </w:t>
      </w:r>
      <w:r w:rsidRPr="004F01E9">
        <w:rPr>
          <w:noProof/>
        </w:rPr>
        <w:t>odseku 1 písm. d);</w:t>
      </w:r>
    </w:p>
    <w:p w14:paraId="55937464" w14:textId="0B38BAB4" w:rsidR="004009AD" w:rsidRPr="004F01E9" w:rsidRDefault="004009AD" w:rsidP="004009AD">
      <w:pPr>
        <w:pStyle w:val="Point1"/>
        <w:rPr>
          <w:noProof/>
        </w:rPr>
      </w:pPr>
      <w:r w:rsidRPr="004F01E9">
        <w:rPr>
          <w:noProof/>
        </w:rPr>
        <w:t>c)</w:t>
      </w:r>
      <w:r w:rsidRPr="004F01E9">
        <w:rPr>
          <w:noProof/>
        </w:rPr>
        <w:tab/>
        <w:t>„súhrnná úprava ocenenia pohľadávok“ je súčet úprav ocenenia pohľadávok vypočítaný pomocou regulačného modelu pre úpravy ocenenia pohľadávok za všetky protistrany uvedené</w:t>
      </w:r>
      <w:r w:rsidR="004F01E9">
        <w:rPr>
          <w:noProof/>
        </w:rPr>
        <w:t xml:space="preserve"> v </w:t>
      </w:r>
      <w:r w:rsidRPr="004F01E9">
        <w:rPr>
          <w:noProof/>
        </w:rPr>
        <w:t>odseku 1 prvom pododseku.</w:t>
      </w:r>
    </w:p>
    <w:p w14:paraId="24715F32" w14:textId="52B0DFAF" w:rsidR="00806B81" w:rsidRPr="004F01E9" w:rsidRDefault="004009AD" w:rsidP="004009AD">
      <w:pPr>
        <w:pStyle w:val="Text1"/>
        <w:rPr>
          <w:noProof/>
        </w:rPr>
      </w:pPr>
      <w:r w:rsidRPr="004F01E9">
        <w:rPr>
          <w:noProof/>
        </w:rPr>
        <w:t>3. Inštitúcie určia požiadavky na vlastné zdroje pre riziko úpravy ocenenia pohľadávok pomocou štandardizovaného prístupu ako súčet týchto dvoch požiadaviek na vlastné zdroje vypočítaných</w:t>
      </w:r>
      <w:r w:rsidR="004F01E9">
        <w:rPr>
          <w:noProof/>
        </w:rPr>
        <w:t xml:space="preserve"> v </w:t>
      </w:r>
      <w:r w:rsidRPr="004F01E9">
        <w:rPr>
          <w:noProof/>
        </w:rPr>
        <w:t>súlade</w:t>
      </w:r>
      <w:r w:rsidR="004F01E9">
        <w:rPr>
          <w:noProof/>
        </w:rPr>
        <w:t xml:space="preserve"> s </w:t>
      </w:r>
      <w:r w:rsidRPr="004F01E9">
        <w:rPr>
          <w:noProof/>
        </w:rPr>
        <w:t>článkom 383b:</w:t>
      </w:r>
    </w:p>
    <w:p w14:paraId="3B6CD5E7" w14:textId="458F47B1" w:rsidR="00806B81" w:rsidRPr="004F01E9" w:rsidRDefault="004009AD" w:rsidP="004009AD">
      <w:pPr>
        <w:pStyle w:val="Point1"/>
        <w:rPr>
          <w:noProof/>
        </w:rPr>
      </w:pPr>
      <w:r w:rsidRPr="004F01E9">
        <w:rPr>
          <w:noProof/>
        </w:rPr>
        <w:t>a)</w:t>
      </w:r>
      <w:r w:rsidRPr="004F01E9">
        <w:rPr>
          <w:noProof/>
        </w:rPr>
        <w:tab/>
        <w:t>požiadaviek na vlastné zdroje pre riziko delta, ktoré zachytáva riziko zmien</w:t>
      </w:r>
      <w:r w:rsidR="004F01E9">
        <w:rPr>
          <w:noProof/>
        </w:rPr>
        <w:t xml:space="preserve"> v </w:t>
      </w:r>
      <w:r w:rsidRPr="004F01E9">
        <w:rPr>
          <w:noProof/>
        </w:rPr>
        <w:t>portfóliu úpravy ocenenia pohľadávok inštitúcie</w:t>
      </w:r>
      <w:r w:rsidR="004F01E9">
        <w:rPr>
          <w:noProof/>
        </w:rPr>
        <w:t xml:space="preserve"> v </w:t>
      </w:r>
      <w:r w:rsidRPr="004F01E9">
        <w:rPr>
          <w:noProof/>
        </w:rPr>
        <w:t>dôsledku pohybov</w:t>
      </w:r>
      <w:r w:rsidR="004F01E9">
        <w:rPr>
          <w:noProof/>
        </w:rPr>
        <w:t xml:space="preserve"> v </w:t>
      </w:r>
      <w:r w:rsidRPr="004F01E9">
        <w:rPr>
          <w:noProof/>
        </w:rPr>
        <w:t>príslušných faktoroch rizika nesúvisiacich</w:t>
      </w:r>
      <w:r w:rsidR="004F01E9">
        <w:rPr>
          <w:noProof/>
        </w:rPr>
        <w:t xml:space="preserve"> s </w:t>
      </w:r>
      <w:r w:rsidRPr="004F01E9">
        <w:rPr>
          <w:noProof/>
        </w:rPr>
        <w:t>volatilitou;</w:t>
      </w:r>
    </w:p>
    <w:p w14:paraId="662F4FFA" w14:textId="02647B4C" w:rsidR="004009AD" w:rsidRPr="004F01E9" w:rsidRDefault="004009AD" w:rsidP="004009AD">
      <w:pPr>
        <w:pStyle w:val="Point1"/>
        <w:rPr>
          <w:noProof/>
        </w:rPr>
      </w:pPr>
      <w:r w:rsidRPr="004F01E9">
        <w:rPr>
          <w:noProof/>
        </w:rPr>
        <w:t>b)</w:t>
      </w:r>
      <w:r w:rsidRPr="004F01E9">
        <w:rPr>
          <w:noProof/>
        </w:rPr>
        <w:tab/>
        <w:t>požiadaviek na vlastné zdroje pre riziko vega, ktoré zachytáva riziko zmien</w:t>
      </w:r>
      <w:r w:rsidR="004F01E9">
        <w:rPr>
          <w:noProof/>
        </w:rPr>
        <w:t xml:space="preserve"> v </w:t>
      </w:r>
      <w:r w:rsidRPr="004F01E9">
        <w:rPr>
          <w:noProof/>
        </w:rPr>
        <w:t>portfóliu úpravy ocenenia pohľadávok inštitúcie</w:t>
      </w:r>
      <w:r w:rsidR="004F01E9">
        <w:rPr>
          <w:noProof/>
        </w:rPr>
        <w:t xml:space="preserve"> v </w:t>
      </w:r>
      <w:r w:rsidRPr="004F01E9">
        <w:rPr>
          <w:noProof/>
        </w:rPr>
        <w:t>dôsledku pohybov</w:t>
      </w:r>
      <w:r w:rsidR="004F01E9">
        <w:rPr>
          <w:noProof/>
        </w:rPr>
        <w:t xml:space="preserve"> v </w:t>
      </w:r>
      <w:r w:rsidRPr="004F01E9">
        <w:rPr>
          <w:noProof/>
        </w:rPr>
        <w:t>príslušných faktoroch rizika súvisiacich</w:t>
      </w:r>
      <w:r w:rsidR="004F01E9">
        <w:rPr>
          <w:noProof/>
        </w:rPr>
        <w:t xml:space="preserve"> s </w:t>
      </w:r>
      <w:r w:rsidRPr="004F01E9">
        <w:rPr>
          <w:noProof/>
        </w:rPr>
        <w:t>volatilitou.“</w:t>
      </w:r>
    </w:p>
    <w:p w14:paraId="61CCD38E" w14:textId="793EA8F4" w:rsidR="00806B81" w:rsidRPr="004F01E9" w:rsidRDefault="00B16452" w:rsidP="00B16452">
      <w:pPr>
        <w:pStyle w:val="Point0"/>
        <w:rPr>
          <w:noProof/>
        </w:rPr>
      </w:pPr>
      <w:r w:rsidRPr="00B16452">
        <w:rPr>
          <w:noProof/>
        </w:rPr>
        <w:t>169</w:t>
      </w:r>
      <w:r>
        <w:rPr>
          <w:noProof/>
        </w:rPr>
        <w:t>.</w:t>
      </w:r>
      <w:r w:rsidRPr="00B16452">
        <w:rPr>
          <w:noProof/>
        </w:rPr>
        <w:tab/>
      </w:r>
      <w:r w:rsidR="004009AD" w:rsidRPr="004F01E9">
        <w:rPr>
          <w:noProof/>
        </w:rPr>
        <w:t>Vkladajú sa tieto články 383a až 383w:</w:t>
      </w:r>
    </w:p>
    <w:p w14:paraId="102C6065" w14:textId="5E58F79C" w:rsidR="004009AD" w:rsidRPr="004F01E9" w:rsidRDefault="004009AD" w:rsidP="004009AD">
      <w:pPr>
        <w:pStyle w:val="Titrearticle"/>
        <w:rPr>
          <w:rFonts w:ascii="inherit" w:hAnsi="inherit" w:cs="Arial"/>
          <w:b/>
          <w:i w:val="0"/>
          <w:noProof/>
          <w:color w:val="372F32"/>
        </w:rPr>
      </w:pPr>
      <w:r w:rsidRPr="004F01E9">
        <w:rPr>
          <w:noProof/>
        </w:rPr>
        <w:t>„Článok 383a</w:t>
      </w:r>
      <w:r w:rsidR="004F01E9" w:rsidRPr="004F01E9">
        <w:rPr>
          <w:noProof/>
        </w:rPr>
        <w:t xml:space="preserve"> </w:t>
      </w:r>
      <w:r w:rsidRPr="004F01E9">
        <w:rPr>
          <w:noProof/>
        </w:rPr>
        <w:br/>
      </w:r>
      <w:r w:rsidRPr="004F01E9">
        <w:rPr>
          <w:b/>
          <w:i w:val="0"/>
          <w:noProof/>
        </w:rPr>
        <w:t>Regulačný model úpravy ocenenia pohľadávok</w:t>
      </w:r>
    </w:p>
    <w:p w14:paraId="117AB62C" w14:textId="299CD6CF" w:rsidR="004009AD" w:rsidRPr="009D4D24" w:rsidRDefault="004009AD" w:rsidP="004009AD">
      <w:pPr>
        <w:pStyle w:val="Text1"/>
        <w:rPr>
          <w:rFonts w:ascii="inherit" w:hAnsi="inherit" w:cs="Arial"/>
          <w:noProof/>
          <w:color w:val="372F32"/>
          <w:spacing w:val="-4"/>
        </w:rPr>
      </w:pPr>
      <w:r w:rsidRPr="009D4D24">
        <w:rPr>
          <w:noProof/>
          <w:color w:val="372F32"/>
          <w:spacing w:val="-4"/>
        </w:rPr>
        <w:t xml:space="preserve">1. </w:t>
      </w:r>
      <w:r w:rsidRPr="009D4D24">
        <w:rPr>
          <w:noProof/>
          <w:spacing w:val="-4"/>
        </w:rPr>
        <w:t>Regulačný model úpravy ocenenia pohľadávok používaný na výpočet požiadaviek na vlastné zdroje pre riziko úpravy ocenenia pohľadávok</w:t>
      </w:r>
      <w:r w:rsidR="004F01E9" w:rsidRPr="009D4D24">
        <w:rPr>
          <w:noProof/>
          <w:spacing w:val="-4"/>
        </w:rPr>
        <w:t xml:space="preserve"> v </w:t>
      </w:r>
      <w:r w:rsidRPr="009D4D24">
        <w:rPr>
          <w:noProof/>
          <w:spacing w:val="-4"/>
        </w:rPr>
        <w:t>súlade</w:t>
      </w:r>
      <w:r w:rsidR="004F01E9" w:rsidRPr="009D4D24">
        <w:rPr>
          <w:noProof/>
          <w:spacing w:val="-4"/>
        </w:rPr>
        <w:t xml:space="preserve"> s </w:t>
      </w:r>
      <w:r w:rsidRPr="009D4D24">
        <w:rPr>
          <w:noProof/>
          <w:spacing w:val="-4"/>
        </w:rPr>
        <w:t>článkom 384 musí byť koncepčne správny, vykonávaný jednotne</w:t>
      </w:r>
      <w:r w:rsidR="004F01E9" w:rsidRPr="009D4D24">
        <w:rPr>
          <w:noProof/>
          <w:spacing w:val="-4"/>
        </w:rPr>
        <w:t xml:space="preserve"> a </w:t>
      </w:r>
      <w:r w:rsidRPr="009D4D24">
        <w:rPr>
          <w:noProof/>
          <w:spacing w:val="-4"/>
        </w:rPr>
        <w:t>musí spĺňať všetky tieto požiadavky:</w:t>
      </w:r>
    </w:p>
    <w:p w14:paraId="2BAB614B" w14:textId="0C24D59C" w:rsidR="004009AD" w:rsidRPr="004F01E9" w:rsidRDefault="004009AD" w:rsidP="004009AD">
      <w:pPr>
        <w:pStyle w:val="Point1"/>
        <w:rPr>
          <w:noProof/>
        </w:rPr>
      </w:pPr>
      <w:r w:rsidRPr="004F01E9">
        <w:rPr>
          <w:noProof/>
        </w:rPr>
        <w:t>a)</w:t>
      </w:r>
      <w:r w:rsidRPr="004F01E9">
        <w:rPr>
          <w:noProof/>
        </w:rPr>
        <w:tab/>
        <w:t>regulačný model úpravy ocenenia pohľadávok je schopný modelovať úpravu ocenenia pohľadávok danej protistrany</w:t>
      </w:r>
      <w:r w:rsidR="004F01E9">
        <w:rPr>
          <w:noProof/>
        </w:rPr>
        <w:t xml:space="preserve"> a v </w:t>
      </w:r>
      <w:r w:rsidRPr="004F01E9">
        <w:rPr>
          <w:noProof/>
        </w:rPr>
        <w:t>prípade potreby uznávať dohodu</w:t>
      </w:r>
      <w:r w:rsidR="004F01E9">
        <w:rPr>
          <w:noProof/>
        </w:rPr>
        <w:t xml:space="preserve"> o </w:t>
      </w:r>
      <w:r w:rsidRPr="004F01E9">
        <w:rPr>
          <w:noProof/>
        </w:rPr>
        <w:t>vzájomnom započítavaní</w:t>
      </w:r>
      <w:r w:rsidR="004F01E9">
        <w:rPr>
          <w:noProof/>
        </w:rPr>
        <w:t xml:space="preserve"> a </w:t>
      </w:r>
      <w:r w:rsidRPr="004F01E9">
        <w:rPr>
          <w:noProof/>
        </w:rPr>
        <w:t>dohodu</w:t>
      </w:r>
      <w:r w:rsidR="004F01E9">
        <w:rPr>
          <w:noProof/>
        </w:rPr>
        <w:t xml:space="preserve"> o </w:t>
      </w:r>
      <w:r w:rsidRPr="004F01E9">
        <w:rPr>
          <w:noProof/>
        </w:rPr>
        <w:t>dozabezpečení na úrovni súboru vzájomného započítavania</w:t>
      </w:r>
      <w:r w:rsidR="004F01E9">
        <w:rPr>
          <w:noProof/>
        </w:rPr>
        <w:t xml:space="preserve"> v </w:t>
      </w:r>
      <w:r w:rsidRPr="004F01E9">
        <w:rPr>
          <w:noProof/>
        </w:rPr>
        <w:t>súlade</w:t>
      </w:r>
      <w:r w:rsidR="004F01E9">
        <w:rPr>
          <w:noProof/>
        </w:rPr>
        <w:t xml:space="preserve"> s </w:t>
      </w:r>
      <w:r w:rsidRPr="004F01E9">
        <w:rPr>
          <w:noProof/>
        </w:rPr>
        <w:t>týmto článkom;</w:t>
      </w:r>
    </w:p>
    <w:p w14:paraId="64E7BE86" w14:textId="771CD6DE" w:rsidR="00806B81" w:rsidRPr="004F01E9" w:rsidRDefault="004009AD" w:rsidP="004009AD">
      <w:pPr>
        <w:pStyle w:val="Point1"/>
        <w:rPr>
          <w:noProof/>
        </w:rPr>
      </w:pPr>
      <w:r w:rsidRPr="004F01E9">
        <w:rPr>
          <w:noProof/>
        </w:rPr>
        <w:t>b)</w:t>
      </w:r>
      <w:r w:rsidRPr="004F01E9">
        <w:rPr>
          <w:noProof/>
        </w:rPr>
        <w:tab/>
        <w:t>inštitúcia odhaduje pravdepodobnosť zlyhania protistrany uvedenú</w:t>
      </w:r>
      <w:r w:rsidR="004F01E9">
        <w:rPr>
          <w:noProof/>
        </w:rPr>
        <w:t xml:space="preserve"> v </w:t>
      </w:r>
      <w:r w:rsidRPr="004F01E9">
        <w:rPr>
          <w:noProof/>
        </w:rPr>
        <w:t>písmene a)</w:t>
      </w:r>
      <w:r w:rsidR="004F01E9">
        <w:rPr>
          <w:noProof/>
        </w:rPr>
        <w:t xml:space="preserve"> z </w:t>
      </w:r>
      <w:r w:rsidRPr="004F01E9">
        <w:rPr>
          <w:noProof/>
        </w:rPr>
        <w:t>kreditných rozpätí protistrany</w:t>
      </w:r>
      <w:r w:rsidR="004F01E9">
        <w:rPr>
          <w:noProof/>
        </w:rPr>
        <w:t xml:space="preserve"> a </w:t>
      </w:r>
      <w:r w:rsidRPr="004F01E9">
        <w:rPr>
          <w:noProof/>
        </w:rPr>
        <w:t>zo straty</w:t>
      </w:r>
      <w:r w:rsidR="004F01E9">
        <w:rPr>
          <w:noProof/>
        </w:rPr>
        <w:t xml:space="preserve"> v </w:t>
      </w:r>
      <w:r w:rsidRPr="004F01E9">
        <w:rPr>
          <w:noProof/>
        </w:rPr>
        <w:t>prípade zlyhania stanovenej konvenciami trhu pre uvedenú protistranu.</w:t>
      </w:r>
    </w:p>
    <w:p w14:paraId="3883B0B5" w14:textId="174A0C46" w:rsidR="00806B81" w:rsidRPr="004F01E9" w:rsidRDefault="004009AD" w:rsidP="004009AD">
      <w:pPr>
        <w:pStyle w:val="Point1"/>
        <w:rPr>
          <w:noProof/>
        </w:rPr>
      </w:pPr>
      <w:r w:rsidRPr="004F01E9">
        <w:rPr>
          <w:noProof/>
        </w:rPr>
        <w:t>c)</w:t>
      </w:r>
      <w:r w:rsidRPr="004F01E9">
        <w:rPr>
          <w:noProof/>
        </w:rPr>
        <w:tab/>
        <w:t>očakávaná strata</w:t>
      </w:r>
      <w:r w:rsidR="004F01E9">
        <w:rPr>
          <w:noProof/>
        </w:rPr>
        <w:t xml:space="preserve"> v </w:t>
      </w:r>
      <w:r w:rsidRPr="004F01E9">
        <w:rPr>
          <w:noProof/>
        </w:rPr>
        <w:t>prípade zlyhania uvedená</w:t>
      </w:r>
      <w:r w:rsidR="004F01E9">
        <w:rPr>
          <w:noProof/>
        </w:rPr>
        <w:t xml:space="preserve"> v </w:t>
      </w:r>
      <w:r w:rsidRPr="004F01E9">
        <w:rPr>
          <w:noProof/>
        </w:rPr>
        <w:t xml:space="preserve">písmene a) je rovnaká ako </w:t>
      </w:r>
      <w:r w:rsidRPr="004F01E9">
        <w:rPr>
          <w:noProof/>
          <w:color w:val="372F32"/>
        </w:rPr>
        <w:t>strata</w:t>
      </w:r>
      <w:r w:rsidR="004F01E9">
        <w:rPr>
          <w:noProof/>
          <w:color w:val="372F32"/>
        </w:rPr>
        <w:t xml:space="preserve"> v </w:t>
      </w:r>
      <w:r w:rsidRPr="004F01E9">
        <w:rPr>
          <w:noProof/>
          <w:color w:val="372F32"/>
        </w:rPr>
        <w:t>prípade zlyhania stanovená konvenciami trhu uvedená</w:t>
      </w:r>
      <w:r w:rsidR="004F01E9">
        <w:rPr>
          <w:noProof/>
          <w:color w:val="372F32"/>
        </w:rPr>
        <w:t xml:space="preserve"> v </w:t>
      </w:r>
      <w:r w:rsidRPr="004F01E9">
        <w:rPr>
          <w:noProof/>
          <w:color w:val="372F32"/>
        </w:rPr>
        <w:t>písmene b)</w:t>
      </w:r>
      <w:r w:rsidRPr="004F01E9">
        <w:rPr>
          <w:noProof/>
        </w:rPr>
        <w:t>, pokiaľ inštitúcia nemôže odôvodniť, že nadriadenosť portfólia transakcií</w:t>
      </w:r>
      <w:r w:rsidR="004F01E9">
        <w:rPr>
          <w:noProof/>
        </w:rPr>
        <w:t xml:space="preserve"> s </w:t>
      </w:r>
      <w:r w:rsidRPr="004F01E9">
        <w:rPr>
          <w:noProof/>
        </w:rPr>
        <w:t>touto protistranou sa odlišuje od nadriadenosti nadriadených nezabezpečených dlhopisov emitovaných touto protistranou;</w:t>
      </w:r>
    </w:p>
    <w:p w14:paraId="67E591FB" w14:textId="4FB3D99A" w:rsidR="00806B81" w:rsidRPr="009D4D24" w:rsidRDefault="004009AD" w:rsidP="004009AD">
      <w:pPr>
        <w:pStyle w:val="Point1"/>
        <w:rPr>
          <w:noProof/>
          <w:spacing w:val="-4"/>
        </w:rPr>
      </w:pPr>
      <w:r w:rsidRPr="004F01E9">
        <w:rPr>
          <w:noProof/>
        </w:rPr>
        <w:t>d)</w:t>
      </w:r>
      <w:r w:rsidRPr="004F01E9">
        <w:rPr>
          <w:noProof/>
        </w:rPr>
        <w:tab/>
      </w:r>
      <w:r w:rsidRPr="009D4D24">
        <w:rPr>
          <w:noProof/>
          <w:spacing w:val="-4"/>
        </w:rPr>
        <w:t>v každom budúcom časovom bode sa simulovaná diskontovaná budúca expozícia portfólia transakcií</w:t>
      </w:r>
      <w:r w:rsidR="004F01E9" w:rsidRPr="009D4D24">
        <w:rPr>
          <w:noProof/>
          <w:spacing w:val="-4"/>
        </w:rPr>
        <w:t xml:space="preserve"> s </w:t>
      </w:r>
      <w:r w:rsidRPr="009D4D24">
        <w:rPr>
          <w:noProof/>
          <w:spacing w:val="-4"/>
        </w:rPr>
        <w:t>protistranou vypočítava pomocou modelu expozície tak, že sa prehodnotia všetky transakcie</w:t>
      </w:r>
      <w:r w:rsidR="004F01E9" w:rsidRPr="009D4D24">
        <w:rPr>
          <w:noProof/>
          <w:spacing w:val="-4"/>
        </w:rPr>
        <w:t xml:space="preserve"> v </w:t>
      </w:r>
      <w:r w:rsidRPr="009D4D24">
        <w:rPr>
          <w:noProof/>
          <w:spacing w:val="-4"/>
        </w:rPr>
        <w:t>danom portfóliu na základe simulovaných spoločných zmien faktorov trhového rizika, ktoré sú významné pre uvedené transakcie</w:t>
      </w:r>
      <w:r w:rsidR="004F01E9" w:rsidRPr="009D4D24">
        <w:rPr>
          <w:noProof/>
          <w:spacing w:val="-4"/>
        </w:rPr>
        <w:t xml:space="preserve"> s </w:t>
      </w:r>
      <w:r w:rsidRPr="009D4D24">
        <w:rPr>
          <w:noProof/>
          <w:spacing w:val="-4"/>
        </w:rPr>
        <w:t>použitím primeraného počtu scenárov</w:t>
      </w:r>
      <w:r w:rsidR="004F01E9" w:rsidRPr="009D4D24">
        <w:rPr>
          <w:noProof/>
          <w:spacing w:val="-4"/>
        </w:rPr>
        <w:t xml:space="preserve"> a </w:t>
      </w:r>
      <w:r w:rsidRPr="009D4D24">
        <w:rPr>
          <w:noProof/>
          <w:spacing w:val="-4"/>
        </w:rPr>
        <w:t>diskontovaním cien</w:t>
      </w:r>
      <w:r w:rsidR="004F01E9" w:rsidRPr="009D4D24">
        <w:rPr>
          <w:noProof/>
          <w:spacing w:val="-4"/>
        </w:rPr>
        <w:t xml:space="preserve"> k </w:t>
      </w:r>
      <w:r w:rsidRPr="009D4D24">
        <w:rPr>
          <w:noProof/>
          <w:spacing w:val="-4"/>
        </w:rPr>
        <w:t>dátumu výpočtu</w:t>
      </w:r>
      <w:r w:rsidR="004F01E9" w:rsidRPr="009D4D24">
        <w:rPr>
          <w:noProof/>
          <w:spacing w:val="-4"/>
        </w:rPr>
        <w:t xml:space="preserve"> s </w:t>
      </w:r>
      <w:r w:rsidRPr="009D4D24">
        <w:rPr>
          <w:noProof/>
          <w:spacing w:val="-4"/>
        </w:rPr>
        <w:t>použitím bezrizikových úrokových sadzieb;</w:t>
      </w:r>
    </w:p>
    <w:p w14:paraId="65F82ED0" w14:textId="4AEDC8D4" w:rsidR="004009AD" w:rsidRPr="004F01E9" w:rsidRDefault="004009AD" w:rsidP="004009AD">
      <w:pPr>
        <w:pStyle w:val="Point1"/>
        <w:rPr>
          <w:noProof/>
        </w:rPr>
      </w:pPr>
      <w:r w:rsidRPr="004F01E9">
        <w:rPr>
          <w:noProof/>
        </w:rPr>
        <w:t>d)</w:t>
      </w:r>
      <w:r w:rsidRPr="004F01E9">
        <w:rPr>
          <w:noProof/>
        </w:rPr>
        <w:tab/>
        <w:t>regulačný model úpravy ocenenia pohľadávok je schopný modelovať významnú závislosť medzi simulovanou diskontovanou budúcou expozíciou portfólia transakcií</w:t>
      </w:r>
      <w:r w:rsidR="004F01E9">
        <w:rPr>
          <w:noProof/>
        </w:rPr>
        <w:t xml:space="preserve"> s </w:t>
      </w:r>
      <w:r w:rsidRPr="004F01E9">
        <w:rPr>
          <w:noProof/>
        </w:rPr>
        <w:t>kreditnými rozpätiami protistrany;</w:t>
      </w:r>
    </w:p>
    <w:p w14:paraId="7D28C271" w14:textId="21317D45" w:rsidR="004009AD" w:rsidRPr="009D4D24" w:rsidRDefault="004009AD" w:rsidP="004009AD">
      <w:pPr>
        <w:pStyle w:val="Point1"/>
        <w:rPr>
          <w:noProof/>
          <w:spacing w:val="-10"/>
        </w:rPr>
      </w:pPr>
      <w:r w:rsidRPr="004F01E9">
        <w:rPr>
          <w:noProof/>
        </w:rPr>
        <w:t>e)</w:t>
      </w:r>
      <w:r w:rsidRPr="004F01E9">
        <w:rPr>
          <w:noProof/>
        </w:rPr>
        <w:tab/>
      </w:r>
      <w:r w:rsidRPr="009D4D24">
        <w:rPr>
          <w:noProof/>
          <w:spacing w:val="-10"/>
        </w:rPr>
        <w:t>ak sú transakcie portfólia zahrnuté do súboru vzájomného započítavania podliehajúceho dohode</w:t>
      </w:r>
      <w:r w:rsidR="004F01E9" w:rsidRPr="009D4D24">
        <w:rPr>
          <w:noProof/>
          <w:spacing w:val="-10"/>
        </w:rPr>
        <w:t xml:space="preserve"> o </w:t>
      </w:r>
      <w:r w:rsidRPr="009D4D24">
        <w:rPr>
          <w:noProof/>
          <w:spacing w:val="-10"/>
        </w:rPr>
        <w:t>dozabezpečení</w:t>
      </w:r>
      <w:r w:rsidR="004F01E9" w:rsidRPr="009D4D24">
        <w:rPr>
          <w:noProof/>
          <w:spacing w:val="-10"/>
        </w:rPr>
        <w:t xml:space="preserve"> a </w:t>
      </w:r>
      <w:r w:rsidRPr="009D4D24">
        <w:rPr>
          <w:noProof/>
          <w:spacing w:val="-10"/>
        </w:rPr>
        <w:t>dennému oceňovaniu trhovou cenou, kolaterál zložený</w:t>
      </w:r>
      <w:r w:rsidR="004F01E9" w:rsidRPr="009D4D24">
        <w:rPr>
          <w:noProof/>
          <w:spacing w:val="-10"/>
        </w:rPr>
        <w:t xml:space="preserve"> a </w:t>
      </w:r>
      <w:r w:rsidRPr="009D4D24">
        <w:rPr>
          <w:noProof/>
          <w:spacing w:val="-10"/>
        </w:rPr>
        <w:t>prijatý</w:t>
      </w:r>
      <w:r w:rsidR="004F01E9" w:rsidRPr="009D4D24">
        <w:rPr>
          <w:noProof/>
          <w:spacing w:val="-10"/>
        </w:rPr>
        <w:t xml:space="preserve"> v </w:t>
      </w:r>
      <w:r w:rsidRPr="009D4D24">
        <w:rPr>
          <w:noProof/>
          <w:spacing w:val="-10"/>
        </w:rPr>
        <w:t>rámci tejto dohody sa</w:t>
      </w:r>
      <w:r w:rsidR="004F01E9" w:rsidRPr="009D4D24">
        <w:rPr>
          <w:noProof/>
          <w:spacing w:val="-10"/>
        </w:rPr>
        <w:t xml:space="preserve"> v </w:t>
      </w:r>
      <w:r w:rsidRPr="009D4D24">
        <w:rPr>
          <w:noProof/>
          <w:spacing w:val="-10"/>
        </w:rPr>
        <w:t>simulovanej diskontovanej budúcej expozícii považuje za zmierňujúci riziko, ak sú splnené všetky tieto podmienky:</w:t>
      </w:r>
    </w:p>
    <w:p w14:paraId="1FB863EF" w14:textId="67AE1683" w:rsidR="004009AD" w:rsidRPr="009D4D24" w:rsidRDefault="004009AD" w:rsidP="004009AD">
      <w:pPr>
        <w:pStyle w:val="Point2"/>
        <w:rPr>
          <w:noProof/>
          <w:spacing w:val="-4"/>
        </w:rPr>
      </w:pPr>
      <w:r w:rsidRPr="009D4D24">
        <w:rPr>
          <w:noProof/>
          <w:spacing w:val="-4"/>
        </w:rPr>
        <w:t>i)</w:t>
      </w:r>
      <w:r w:rsidRPr="009D4D24">
        <w:rPr>
          <w:noProof/>
          <w:spacing w:val="-4"/>
        </w:rPr>
        <w:tab/>
        <w:t>inštitúcia určí príslušné obdobie rizika dozabezpečenia relevantné pre daný súbor vzájomného započítavania</w:t>
      </w:r>
      <w:r w:rsidR="004F01E9" w:rsidRPr="009D4D24">
        <w:rPr>
          <w:noProof/>
          <w:spacing w:val="-4"/>
        </w:rPr>
        <w:t xml:space="preserve"> v </w:t>
      </w:r>
      <w:r w:rsidRPr="009D4D24">
        <w:rPr>
          <w:noProof/>
          <w:spacing w:val="-4"/>
        </w:rPr>
        <w:t>súlade</w:t>
      </w:r>
      <w:r w:rsidR="004F01E9" w:rsidRPr="009D4D24">
        <w:rPr>
          <w:noProof/>
          <w:spacing w:val="-4"/>
        </w:rPr>
        <w:t xml:space="preserve"> s </w:t>
      </w:r>
      <w:r w:rsidRPr="009D4D24">
        <w:rPr>
          <w:noProof/>
          <w:spacing w:val="-4"/>
        </w:rPr>
        <w:t>požiadavkami stanovenými</w:t>
      </w:r>
      <w:r w:rsidR="004F01E9" w:rsidRPr="009D4D24">
        <w:rPr>
          <w:noProof/>
          <w:spacing w:val="-4"/>
        </w:rPr>
        <w:t xml:space="preserve"> v </w:t>
      </w:r>
      <w:r w:rsidRPr="009D4D24">
        <w:rPr>
          <w:noProof/>
          <w:spacing w:val="-4"/>
        </w:rPr>
        <w:t>článku 285 ods. 2</w:t>
      </w:r>
      <w:r w:rsidR="004F01E9" w:rsidRPr="009D4D24">
        <w:rPr>
          <w:noProof/>
          <w:spacing w:val="-4"/>
        </w:rPr>
        <w:t xml:space="preserve"> a </w:t>
      </w:r>
      <w:r w:rsidRPr="009D4D24">
        <w:rPr>
          <w:noProof/>
          <w:spacing w:val="-4"/>
        </w:rPr>
        <w:t>5</w:t>
      </w:r>
      <w:r w:rsidR="004F01E9" w:rsidRPr="009D4D24">
        <w:rPr>
          <w:noProof/>
          <w:spacing w:val="-4"/>
        </w:rPr>
        <w:t xml:space="preserve"> a </w:t>
      </w:r>
      <w:r w:rsidRPr="009D4D24">
        <w:rPr>
          <w:noProof/>
          <w:spacing w:val="-4"/>
        </w:rPr>
        <w:t>zohľadní uvedené obdobie dozabezpečenia pri výpočte simulovanej diskontovanej budúcej expozície;</w:t>
      </w:r>
    </w:p>
    <w:p w14:paraId="7FDE9D77" w14:textId="2063FF46" w:rsidR="004009AD" w:rsidRPr="004F01E9" w:rsidRDefault="004009AD" w:rsidP="004009AD">
      <w:pPr>
        <w:pStyle w:val="Point2"/>
        <w:rPr>
          <w:noProof/>
        </w:rPr>
      </w:pPr>
      <w:bookmarkStart w:id="5" w:name="paragraph_MAR_50_20230101_50_33"/>
      <w:bookmarkStart w:id="6" w:name="paragraph_MAR_50_20230101_50_34"/>
      <w:bookmarkEnd w:id="5"/>
      <w:bookmarkEnd w:id="6"/>
      <w:r w:rsidRPr="004F01E9">
        <w:rPr>
          <w:noProof/>
        </w:rPr>
        <w:t>ii)</w:t>
      </w:r>
      <w:r w:rsidRPr="004F01E9">
        <w:rPr>
          <w:noProof/>
        </w:rPr>
        <w:tab/>
        <w:t>všetky uplatniteľné vlastnosti dohody</w:t>
      </w:r>
      <w:r w:rsidR="004F01E9">
        <w:rPr>
          <w:noProof/>
        </w:rPr>
        <w:t xml:space="preserve"> o </w:t>
      </w:r>
      <w:r w:rsidRPr="004F01E9">
        <w:rPr>
          <w:noProof/>
        </w:rPr>
        <w:t xml:space="preserve">dozabezpečení vrátane </w:t>
      </w:r>
      <w:r w:rsidRPr="004F01E9">
        <w:rPr>
          <w:noProof/>
          <w:color w:val="372F32"/>
        </w:rPr>
        <w:t>frekvencie požiadaviek na doplnenie marže, druhu zmluvne prípustného kolaterálu</w:t>
      </w:r>
      <w:r w:rsidRPr="004F01E9">
        <w:rPr>
          <w:noProof/>
        </w:rPr>
        <w:t>, prahových hodnôt, minimálnych súm prevodov, nezávislých hodnôt</w:t>
      </w:r>
      <w:r w:rsidR="004F01E9">
        <w:rPr>
          <w:noProof/>
        </w:rPr>
        <w:t xml:space="preserve"> a </w:t>
      </w:r>
      <w:r w:rsidRPr="004F01E9">
        <w:rPr>
          <w:noProof/>
        </w:rPr>
        <w:t xml:space="preserve">počiatočných marží </w:t>
      </w:r>
      <w:r w:rsidRPr="004F01E9">
        <w:rPr>
          <w:noProof/>
          <w:color w:val="372F32"/>
        </w:rPr>
        <w:t>pre inštitúciu aj protistranu</w:t>
      </w:r>
      <w:r w:rsidRPr="004F01E9">
        <w:rPr>
          <w:noProof/>
        </w:rPr>
        <w:t xml:space="preserve"> sú náležite zohľadnené vo výpočte simulovanej diskontovanej budúcej expozície;</w:t>
      </w:r>
    </w:p>
    <w:p w14:paraId="20312875" w14:textId="3B0F5559" w:rsidR="00806B81" w:rsidRPr="004F01E9" w:rsidRDefault="00726F39" w:rsidP="00652451">
      <w:pPr>
        <w:pStyle w:val="Point2"/>
        <w:rPr>
          <w:noProof/>
        </w:rPr>
      </w:pPr>
      <w:r w:rsidRPr="004F01E9">
        <w:rPr>
          <w:noProof/>
        </w:rPr>
        <w:t>iii)</w:t>
      </w:r>
      <w:r w:rsidRPr="004F01E9">
        <w:rPr>
          <w:noProof/>
        </w:rPr>
        <w:tab/>
        <w:t>inštitúcia zriadila útvar pre riadenie kolaterálu, ktorý je</w:t>
      </w:r>
      <w:r w:rsidR="004F01E9">
        <w:rPr>
          <w:noProof/>
        </w:rPr>
        <w:t xml:space="preserve"> v </w:t>
      </w:r>
      <w:r w:rsidRPr="004F01E9">
        <w:rPr>
          <w:noProof/>
        </w:rPr>
        <w:t>súlade</w:t>
      </w:r>
      <w:r w:rsidR="004F01E9">
        <w:rPr>
          <w:noProof/>
        </w:rPr>
        <w:t xml:space="preserve"> s </w:t>
      </w:r>
      <w:r w:rsidRPr="004F01E9">
        <w:rPr>
          <w:noProof/>
        </w:rPr>
        <w:t>článkom 287 pre celý kolaterál uznaný na výpočet požiadaviek na vlastné zdroje pre riziko úpravy ocenenia pohľadávok</w:t>
      </w:r>
      <w:r w:rsidR="004F01E9">
        <w:rPr>
          <w:noProof/>
        </w:rPr>
        <w:t xml:space="preserve"> s </w:t>
      </w:r>
      <w:r w:rsidRPr="004F01E9">
        <w:rPr>
          <w:noProof/>
        </w:rPr>
        <w:t>použitím štandardizovaného prístupu.</w:t>
      </w:r>
    </w:p>
    <w:p w14:paraId="696AD39F" w14:textId="0219F36A" w:rsidR="004009AD" w:rsidRPr="004F01E9" w:rsidRDefault="004009AD" w:rsidP="004009AD">
      <w:pPr>
        <w:pStyle w:val="Text2"/>
        <w:rPr>
          <w:noProof/>
        </w:rPr>
      </w:pPr>
      <w:r w:rsidRPr="004F01E9">
        <w:rPr>
          <w:noProof/>
        </w:rPr>
        <w:t>Na účely písmena a) má úprava ocenenia pohľadávok kladné znamienko</w:t>
      </w:r>
      <w:r w:rsidR="004F01E9">
        <w:rPr>
          <w:noProof/>
        </w:rPr>
        <w:t xml:space="preserve"> a </w:t>
      </w:r>
      <w:r w:rsidRPr="004F01E9">
        <w:rPr>
          <w:noProof/>
        </w:rPr>
        <w:t>vypočítava sa ako funkcia očakávanej straty</w:t>
      </w:r>
      <w:r w:rsidR="004F01E9">
        <w:rPr>
          <w:noProof/>
        </w:rPr>
        <w:t xml:space="preserve"> v </w:t>
      </w:r>
      <w:r w:rsidRPr="004F01E9">
        <w:rPr>
          <w:noProof/>
        </w:rPr>
        <w:t>prípade zlyhania protistrany, vhodný súbor pravdepodobnosti zlyhania protistrany</w:t>
      </w:r>
      <w:r w:rsidR="004F01E9">
        <w:rPr>
          <w:noProof/>
        </w:rPr>
        <w:t xml:space="preserve"> v </w:t>
      </w:r>
      <w:r w:rsidRPr="004F01E9">
        <w:rPr>
          <w:noProof/>
        </w:rPr>
        <w:t>budúcich časových bodoch</w:t>
      </w:r>
      <w:r w:rsidR="004F01E9">
        <w:rPr>
          <w:noProof/>
        </w:rPr>
        <w:t xml:space="preserve"> a </w:t>
      </w:r>
      <w:r w:rsidRPr="004F01E9">
        <w:rPr>
          <w:noProof/>
        </w:rPr>
        <w:t>vhodný súbor simulovaných diskontovaných budúcich expozícií portfólia transakcií</w:t>
      </w:r>
      <w:r w:rsidR="004F01E9">
        <w:rPr>
          <w:noProof/>
        </w:rPr>
        <w:t xml:space="preserve"> s </w:t>
      </w:r>
      <w:r w:rsidRPr="004F01E9">
        <w:rPr>
          <w:noProof/>
        </w:rPr>
        <w:t>uvedenou protistranou</w:t>
      </w:r>
      <w:r w:rsidR="004F01E9">
        <w:rPr>
          <w:noProof/>
        </w:rPr>
        <w:t xml:space="preserve"> v </w:t>
      </w:r>
      <w:r w:rsidRPr="004F01E9">
        <w:rPr>
          <w:noProof/>
        </w:rPr>
        <w:t>budúcich časových bodoch až do splatnosti najdlhšej transakcie</w:t>
      </w:r>
      <w:r w:rsidR="004F01E9">
        <w:rPr>
          <w:noProof/>
        </w:rPr>
        <w:t xml:space="preserve"> v </w:t>
      </w:r>
      <w:r w:rsidRPr="004F01E9">
        <w:rPr>
          <w:noProof/>
        </w:rPr>
        <w:t>uvedenom portfóliu.</w:t>
      </w:r>
    </w:p>
    <w:p w14:paraId="4245684F" w14:textId="7EFB9420" w:rsidR="004009AD" w:rsidRPr="004F01E9" w:rsidRDefault="004009AD" w:rsidP="004009AD">
      <w:pPr>
        <w:pStyle w:val="Text2"/>
        <w:rPr>
          <w:noProof/>
        </w:rPr>
      </w:pPr>
      <w:r w:rsidRPr="004F01E9">
        <w:rPr>
          <w:noProof/>
        </w:rPr>
        <w:t>Na účely písmena b), ak sú rozpätia pre swap na kreditné zlyhanie protistrany pozorovateľné na trhu, inštitúcia tieto rozpätia použije. Ak takéto rozpätia pre swap na kreditné zlyhanie nie sú</w:t>
      </w:r>
      <w:r w:rsidR="004F01E9">
        <w:rPr>
          <w:noProof/>
        </w:rPr>
        <w:t xml:space="preserve"> k </w:t>
      </w:r>
      <w:r w:rsidRPr="004F01E9">
        <w:rPr>
          <w:noProof/>
        </w:rPr>
        <w:t>dispozícii, inštitúcia použije jeden</w:t>
      </w:r>
      <w:r w:rsidR="004F01E9">
        <w:rPr>
          <w:noProof/>
        </w:rPr>
        <w:t xml:space="preserve"> z </w:t>
      </w:r>
      <w:r w:rsidRPr="004F01E9">
        <w:rPr>
          <w:noProof/>
        </w:rPr>
        <w:t>týchto prístupov:</w:t>
      </w:r>
    </w:p>
    <w:p w14:paraId="7BBF679A" w14:textId="6F151AD5" w:rsidR="004009AD" w:rsidRPr="004F01E9" w:rsidRDefault="004009AD" w:rsidP="004009AD">
      <w:pPr>
        <w:pStyle w:val="Point2"/>
        <w:rPr>
          <w:noProof/>
        </w:rPr>
      </w:pPr>
      <w:r w:rsidRPr="004F01E9">
        <w:rPr>
          <w:noProof/>
        </w:rPr>
        <w:t>i)</w:t>
      </w:r>
      <w:r w:rsidRPr="004F01E9">
        <w:rPr>
          <w:noProof/>
        </w:rPr>
        <w:tab/>
        <w:t>kreditné rozpätia</w:t>
      </w:r>
      <w:r w:rsidR="004F01E9">
        <w:rPr>
          <w:noProof/>
        </w:rPr>
        <w:t xml:space="preserve"> z </w:t>
      </w:r>
      <w:r w:rsidRPr="004F01E9">
        <w:rPr>
          <w:noProof/>
        </w:rPr>
        <w:t>iných nástrojov emitovaných protistranou odrážajúce súčasné trhové podmienky;</w:t>
      </w:r>
    </w:p>
    <w:p w14:paraId="78F67507" w14:textId="4B54A56F" w:rsidR="004009AD" w:rsidRPr="004F01E9" w:rsidRDefault="004009AD" w:rsidP="004009AD">
      <w:pPr>
        <w:pStyle w:val="Point2"/>
        <w:rPr>
          <w:noProof/>
        </w:rPr>
      </w:pPr>
      <w:r w:rsidRPr="004F01E9">
        <w:rPr>
          <w:noProof/>
        </w:rPr>
        <w:t>ii)</w:t>
      </w:r>
      <w:r w:rsidRPr="004F01E9">
        <w:rPr>
          <w:noProof/>
        </w:rPr>
        <w:tab/>
        <w:t>proxy rozpätia, ktoré sú primerané</w:t>
      </w:r>
      <w:r w:rsidR="004F01E9">
        <w:rPr>
          <w:noProof/>
        </w:rPr>
        <w:t xml:space="preserve"> z </w:t>
      </w:r>
      <w:r w:rsidRPr="004F01E9">
        <w:rPr>
          <w:noProof/>
        </w:rPr>
        <w:t>hľadiska ratingu, odvetvia</w:t>
      </w:r>
      <w:r w:rsidR="004F01E9">
        <w:rPr>
          <w:noProof/>
        </w:rPr>
        <w:t xml:space="preserve"> a </w:t>
      </w:r>
      <w:r w:rsidRPr="004F01E9">
        <w:rPr>
          <w:noProof/>
        </w:rPr>
        <w:t>regiónu protistrany.</w:t>
      </w:r>
    </w:p>
    <w:p w14:paraId="21F497F0" w14:textId="176BCBAE" w:rsidR="004009AD" w:rsidRPr="004F01E9" w:rsidRDefault="004009AD" w:rsidP="004009AD">
      <w:pPr>
        <w:pStyle w:val="Text2"/>
        <w:rPr>
          <w:noProof/>
        </w:rPr>
      </w:pPr>
      <w:r w:rsidRPr="004F01E9">
        <w:rPr>
          <w:noProof/>
        </w:rPr>
        <w:t>Na účely odôvodnenia uvedeného</w:t>
      </w:r>
      <w:r w:rsidR="004F01E9">
        <w:rPr>
          <w:noProof/>
        </w:rPr>
        <w:t xml:space="preserve"> v </w:t>
      </w:r>
      <w:r w:rsidRPr="004F01E9">
        <w:rPr>
          <w:noProof/>
        </w:rPr>
        <w:t>písmene d) kolaterál prijatý od protistrany nemení nadriadenosť expozície.</w:t>
      </w:r>
    </w:p>
    <w:p w14:paraId="3F75988C" w14:textId="00A19F57" w:rsidR="004009AD" w:rsidRPr="004F01E9" w:rsidRDefault="004009AD" w:rsidP="004009AD">
      <w:pPr>
        <w:pStyle w:val="Text2"/>
        <w:rPr>
          <w:noProof/>
        </w:rPr>
      </w:pPr>
      <w:r w:rsidRPr="004F01E9">
        <w:rPr>
          <w:noProof/>
        </w:rPr>
        <w:t>Na účely písmena f) bodu iii), ak inštitúcia už zriadila takýto útvar na používanie metódy interných modelov uvedenej</w:t>
      </w:r>
      <w:r w:rsidR="004F01E9">
        <w:rPr>
          <w:noProof/>
        </w:rPr>
        <w:t xml:space="preserve"> v </w:t>
      </w:r>
      <w:r w:rsidRPr="004F01E9">
        <w:rPr>
          <w:noProof/>
        </w:rPr>
        <w:t>článku 283, nie je povinná zriadiť dodatočný útvar pre riadenie kolaterálu, ak svojim príslušným orgánom preukáže, že takýto útvar spĺňa požiadavky stanovené</w:t>
      </w:r>
      <w:r w:rsidR="004F01E9">
        <w:rPr>
          <w:noProof/>
        </w:rPr>
        <w:t xml:space="preserve"> v </w:t>
      </w:r>
      <w:r w:rsidRPr="004F01E9">
        <w:rPr>
          <w:noProof/>
        </w:rPr>
        <w:t>článku 287 pre celý kolaterál uznaný na výpočet požiadaviek na vlastné zdroje pre riziká úpravy ocenenia pohľadávok</w:t>
      </w:r>
      <w:r w:rsidR="004F01E9">
        <w:rPr>
          <w:noProof/>
        </w:rPr>
        <w:t xml:space="preserve"> s </w:t>
      </w:r>
      <w:r w:rsidRPr="004F01E9">
        <w:rPr>
          <w:noProof/>
        </w:rPr>
        <w:t>použitím štandardizovaného prístupu.</w:t>
      </w:r>
    </w:p>
    <w:p w14:paraId="1D69FBD8" w14:textId="77777777" w:rsidR="004009AD" w:rsidRPr="004F01E9" w:rsidRDefault="004009AD" w:rsidP="004009AD">
      <w:pPr>
        <w:pStyle w:val="Text1"/>
        <w:rPr>
          <w:noProof/>
        </w:rPr>
      </w:pPr>
      <w:bookmarkStart w:id="7" w:name="paragraph_MAR_50_20230101_50_36"/>
      <w:bookmarkEnd w:id="7"/>
      <w:r w:rsidRPr="004F01E9">
        <w:rPr>
          <w:noProof/>
        </w:rPr>
        <w:t>2. Inštitúcia, ktorá používa regulačný model úpravy ocenenia pohľadávok, musí spĺňať všetky tieto kvalitatívne požiadavky:</w:t>
      </w:r>
    </w:p>
    <w:p w14:paraId="325EAE07" w14:textId="2FE39AC0" w:rsidR="00806B81" w:rsidRPr="004F01E9" w:rsidRDefault="00726F39" w:rsidP="00726F39">
      <w:pPr>
        <w:pStyle w:val="Point1"/>
        <w:rPr>
          <w:noProof/>
        </w:rPr>
      </w:pPr>
      <w:r w:rsidRPr="004F01E9">
        <w:rPr>
          <w:noProof/>
        </w:rPr>
        <w:t>a)</w:t>
      </w:r>
      <w:r w:rsidRPr="004F01E9">
        <w:rPr>
          <w:noProof/>
        </w:rPr>
        <w:tab/>
        <w:t>model expozície uvedený</w:t>
      </w:r>
      <w:r w:rsidR="004F01E9">
        <w:rPr>
          <w:noProof/>
        </w:rPr>
        <w:t xml:space="preserve"> v </w:t>
      </w:r>
      <w:r w:rsidRPr="004F01E9">
        <w:rPr>
          <w:noProof/>
        </w:rPr>
        <w:t>odseku 1 písm. d) je súčasťou interného systému riadenia rizika úpravy ocenenia pohľadávok inštitúcie, ktorý zahŕňa identifikáciu, meranie, riadenie, schvaľovanie</w:t>
      </w:r>
      <w:r w:rsidR="004F01E9">
        <w:rPr>
          <w:noProof/>
        </w:rPr>
        <w:t xml:space="preserve"> a </w:t>
      </w:r>
      <w:r w:rsidRPr="004F01E9">
        <w:rPr>
          <w:noProof/>
        </w:rPr>
        <w:t>interné vykazovanie úpravy ocenenia pohľadávok</w:t>
      </w:r>
      <w:r w:rsidR="004F01E9">
        <w:rPr>
          <w:noProof/>
        </w:rPr>
        <w:t xml:space="preserve"> a </w:t>
      </w:r>
      <w:r w:rsidRPr="004F01E9">
        <w:rPr>
          <w:noProof/>
        </w:rPr>
        <w:t>rizika úpravy ocenenia pohľadávok na účtovné účely;</w:t>
      </w:r>
    </w:p>
    <w:p w14:paraId="46229B04" w14:textId="2B682BE3" w:rsidR="004009AD" w:rsidRPr="004F01E9" w:rsidRDefault="00726F39" w:rsidP="00726F39">
      <w:pPr>
        <w:pStyle w:val="Point1"/>
        <w:rPr>
          <w:noProof/>
        </w:rPr>
      </w:pPr>
      <w:r w:rsidRPr="004F01E9">
        <w:rPr>
          <w:noProof/>
        </w:rPr>
        <w:t>b)</w:t>
      </w:r>
      <w:r w:rsidRPr="004F01E9">
        <w:rPr>
          <w:noProof/>
        </w:rPr>
        <w:tab/>
        <w:t>inštitúcia má zavedený postup na zabezpečenie súladu so zdokumentovaným súborom interných politík, kontrol, hodnotenia výkonnosti modelu</w:t>
      </w:r>
      <w:r w:rsidR="004F01E9">
        <w:rPr>
          <w:noProof/>
        </w:rPr>
        <w:t xml:space="preserve"> a </w:t>
      </w:r>
      <w:r w:rsidRPr="004F01E9">
        <w:rPr>
          <w:noProof/>
        </w:rPr>
        <w:t>postupov týkajúcich sa modelu expozície uvedeného</w:t>
      </w:r>
      <w:r w:rsidR="004F01E9">
        <w:rPr>
          <w:noProof/>
        </w:rPr>
        <w:t xml:space="preserve"> v </w:t>
      </w:r>
      <w:r w:rsidRPr="004F01E9">
        <w:rPr>
          <w:noProof/>
        </w:rPr>
        <w:t>odseku 1 písm. d);</w:t>
      </w:r>
    </w:p>
    <w:p w14:paraId="38A1D579" w14:textId="7F0FFCE3" w:rsidR="004009AD" w:rsidRPr="004F01E9" w:rsidRDefault="00726F39" w:rsidP="00726F39">
      <w:pPr>
        <w:pStyle w:val="Point1"/>
        <w:rPr>
          <w:noProof/>
        </w:rPr>
      </w:pPr>
      <w:r w:rsidRPr="004F01E9">
        <w:rPr>
          <w:noProof/>
        </w:rPr>
        <w:t>c)</w:t>
      </w:r>
      <w:r w:rsidRPr="004F01E9">
        <w:rPr>
          <w:noProof/>
        </w:rPr>
        <w:tab/>
        <w:t>inštitúcia má nezávislý útvar kontroly, ktorý je zodpovedný za účinnú počiatočnú</w:t>
      </w:r>
      <w:r w:rsidR="004F01E9">
        <w:rPr>
          <w:noProof/>
        </w:rPr>
        <w:t xml:space="preserve"> a </w:t>
      </w:r>
      <w:r w:rsidRPr="004F01E9">
        <w:rPr>
          <w:noProof/>
        </w:rPr>
        <w:t>priebežnú validáciu modelu expozície uvedeného</w:t>
      </w:r>
      <w:r w:rsidR="004F01E9">
        <w:rPr>
          <w:noProof/>
        </w:rPr>
        <w:t xml:space="preserve"> v </w:t>
      </w:r>
      <w:r w:rsidRPr="004F01E9">
        <w:rPr>
          <w:noProof/>
        </w:rPr>
        <w:t>odseku 1 písm. d). Tento útvar je nezávislý od obchodných útvarov vrátane útvaru uvedeného</w:t>
      </w:r>
      <w:r w:rsidR="004F01E9">
        <w:rPr>
          <w:noProof/>
        </w:rPr>
        <w:t xml:space="preserve"> v </w:t>
      </w:r>
      <w:r w:rsidRPr="004F01E9">
        <w:rPr>
          <w:noProof/>
        </w:rPr>
        <w:t>článku 383 ods. 1 písm. a)</w:t>
      </w:r>
      <w:r w:rsidR="004F01E9">
        <w:rPr>
          <w:noProof/>
        </w:rPr>
        <w:t xml:space="preserve"> a </w:t>
      </w:r>
      <w:r w:rsidRPr="004F01E9">
        <w:rPr>
          <w:noProof/>
        </w:rPr>
        <w:t>podlieha priamo vrcholovému manažmentu, pričom musí mať dostatočný počet zamestnancov</w:t>
      </w:r>
      <w:r w:rsidR="004F01E9">
        <w:rPr>
          <w:noProof/>
        </w:rPr>
        <w:t xml:space="preserve"> s </w:t>
      </w:r>
      <w:r w:rsidRPr="004F01E9">
        <w:rPr>
          <w:noProof/>
        </w:rPr>
        <w:t>úrovňou zručností, ktorá je primeraná na plnenie tohto účelu;</w:t>
      </w:r>
    </w:p>
    <w:p w14:paraId="338767D0" w14:textId="08E4D376" w:rsidR="004009AD" w:rsidRPr="004F01E9" w:rsidRDefault="00726F39" w:rsidP="00726F39">
      <w:pPr>
        <w:pStyle w:val="Point1"/>
        <w:rPr>
          <w:noProof/>
        </w:rPr>
      </w:pPr>
      <w:r w:rsidRPr="004F01E9">
        <w:rPr>
          <w:noProof/>
        </w:rPr>
        <w:t>d)</w:t>
      </w:r>
      <w:r w:rsidRPr="004F01E9">
        <w:rPr>
          <w:noProof/>
        </w:rPr>
        <w:tab/>
        <w:t>vrcholový manažment inštitúcie je aktívne zapojený do procesu kontroly rizika</w:t>
      </w:r>
      <w:r w:rsidR="004F01E9">
        <w:rPr>
          <w:noProof/>
        </w:rPr>
        <w:t xml:space="preserve"> a </w:t>
      </w:r>
      <w:r w:rsidRPr="004F01E9">
        <w:rPr>
          <w:noProof/>
        </w:rPr>
        <w:t>pristupuje</w:t>
      </w:r>
      <w:r w:rsidR="004F01E9">
        <w:rPr>
          <w:noProof/>
        </w:rPr>
        <w:t xml:space="preserve"> k </w:t>
      </w:r>
      <w:r w:rsidRPr="004F01E9">
        <w:rPr>
          <w:noProof/>
        </w:rPr>
        <w:t>riziku úpravy ocenenia pohľadávok ako</w:t>
      </w:r>
      <w:r w:rsidR="004F01E9">
        <w:rPr>
          <w:noProof/>
        </w:rPr>
        <w:t xml:space="preserve"> k </w:t>
      </w:r>
      <w:r w:rsidRPr="004F01E9">
        <w:rPr>
          <w:noProof/>
        </w:rPr>
        <w:t>podstatnému aspektu obchodu, na ktorý je potrebné vyčleniť náležité zdroje;</w:t>
      </w:r>
    </w:p>
    <w:p w14:paraId="6CA65CC5" w14:textId="1ACFA543" w:rsidR="004009AD" w:rsidRPr="004F01E9" w:rsidRDefault="00726F39" w:rsidP="00726F39">
      <w:pPr>
        <w:pStyle w:val="Point1"/>
        <w:rPr>
          <w:noProof/>
        </w:rPr>
      </w:pPr>
      <w:r w:rsidRPr="004F01E9">
        <w:rPr>
          <w:noProof/>
        </w:rPr>
        <w:t>e)</w:t>
      </w:r>
      <w:r w:rsidRPr="004F01E9">
        <w:rPr>
          <w:noProof/>
        </w:rPr>
        <w:tab/>
        <w:t>inštitúcia zdokumentuje postup počiatočnej</w:t>
      </w:r>
      <w:r w:rsidR="004F01E9">
        <w:rPr>
          <w:noProof/>
        </w:rPr>
        <w:t xml:space="preserve"> a </w:t>
      </w:r>
      <w:r w:rsidRPr="004F01E9">
        <w:rPr>
          <w:noProof/>
        </w:rPr>
        <w:t>priebežnej validácie svojho modelu expozície uvedeného</w:t>
      </w:r>
      <w:r w:rsidR="004F01E9">
        <w:rPr>
          <w:noProof/>
        </w:rPr>
        <w:t xml:space="preserve"> v </w:t>
      </w:r>
      <w:r w:rsidRPr="004F01E9">
        <w:rPr>
          <w:noProof/>
        </w:rPr>
        <w:t>odseku 1 písm. d)</w:t>
      </w:r>
      <w:r w:rsidR="004F01E9">
        <w:rPr>
          <w:noProof/>
        </w:rPr>
        <w:t xml:space="preserve"> s </w:t>
      </w:r>
      <w:r w:rsidRPr="004F01E9">
        <w:rPr>
          <w:noProof/>
        </w:rPr>
        <w:t>takou mierou podrobnosti, ktorá by tretej strane umožnila pochopiť spôsob fungovania modelov, ich obmedzenia</w:t>
      </w:r>
      <w:r w:rsidR="004F01E9">
        <w:rPr>
          <w:noProof/>
        </w:rPr>
        <w:t xml:space="preserve"> a </w:t>
      </w:r>
      <w:r w:rsidRPr="004F01E9">
        <w:rPr>
          <w:noProof/>
        </w:rPr>
        <w:t>kľúčové predpoklady, ako aj opätovne vypracovať analýzu.</w:t>
      </w:r>
      <w:r w:rsidR="004F01E9">
        <w:rPr>
          <w:noProof/>
        </w:rPr>
        <w:t xml:space="preserve"> V </w:t>
      </w:r>
      <w:r w:rsidRPr="004F01E9">
        <w:rPr>
          <w:noProof/>
        </w:rPr>
        <w:t>tejto dokumentácii sa stanovuje minimálna frekvencia,</w:t>
      </w:r>
      <w:r w:rsidR="004F01E9">
        <w:rPr>
          <w:noProof/>
        </w:rPr>
        <w:t xml:space="preserve"> s </w:t>
      </w:r>
      <w:r w:rsidRPr="004F01E9">
        <w:rPr>
          <w:noProof/>
        </w:rPr>
        <w:t>akou sa bude vykonávať priebežná validácia, ako aj iné okolnosti (napríklad náhla zmena trhového správania), za ktorých sa vykoná dodatočná validácia. Opisuje sa</w:t>
      </w:r>
      <w:r w:rsidR="004F01E9">
        <w:rPr>
          <w:noProof/>
        </w:rPr>
        <w:t xml:space="preserve"> v </w:t>
      </w:r>
      <w:r w:rsidRPr="004F01E9">
        <w:rPr>
          <w:noProof/>
        </w:rPr>
        <w:t>nej spôsob vykonávania validácie, pokiaľ ide</w:t>
      </w:r>
      <w:r w:rsidR="004F01E9">
        <w:rPr>
          <w:noProof/>
        </w:rPr>
        <w:t xml:space="preserve"> o </w:t>
      </w:r>
      <w:r w:rsidRPr="004F01E9">
        <w:rPr>
          <w:noProof/>
        </w:rPr>
        <w:t>toky údajov</w:t>
      </w:r>
      <w:r w:rsidR="004F01E9">
        <w:rPr>
          <w:noProof/>
        </w:rPr>
        <w:t xml:space="preserve"> a </w:t>
      </w:r>
      <w:r w:rsidRPr="004F01E9">
        <w:rPr>
          <w:noProof/>
        </w:rPr>
        <w:t>portfóliá, aké analýzy sa používajú</w:t>
      </w:r>
      <w:r w:rsidR="004F01E9">
        <w:rPr>
          <w:noProof/>
        </w:rPr>
        <w:t xml:space="preserve"> a </w:t>
      </w:r>
      <w:r w:rsidRPr="004F01E9">
        <w:rPr>
          <w:noProof/>
        </w:rPr>
        <w:t>ako sa vytvárajú reprezentatívne portfóliá protistrán;</w:t>
      </w:r>
    </w:p>
    <w:p w14:paraId="4541D2F9" w14:textId="49D19D04" w:rsidR="004009AD" w:rsidRPr="009D4D24" w:rsidRDefault="00726F39" w:rsidP="00726F39">
      <w:pPr>
        <w:pStyle w:val="Point1"/>
        <w:rPr>
          <w:noProof/>
          <w:spacing w:val="-4"/>
        </w:rPr>
      </w:pPr>
      <w:r w:rsidRPr="004F01E9">
        <w:rPr>
          <w:noProof/>
        </w:rPr>
        <w:t>f)</w:t>
      </w:r>
      <w:r w:rsidRPr="004F01E9">
        <w:rPr>
          <w:noProof/>
        </w:rPr>
        <w:tab/>
      </w:r>
      <w:r w:rsidRPr="009D4D24">
        <w:rPr>
          <w:noProof/>
          <w:spacing w:val="-4"/>
        </w:rPr>
        <w:t>modely oceňovania používané</w:t>
      </w:r>
      <w:r w:rsidR="004F01E9" w:rsidRPr="009D4D24">
        <w:rPr>
          <w:noProof/>
          <w:spacing w:val="-4"/>
        </w:rPr>
        <w:t xml:space="preserve"> v </w:t>
      </w:r>
      <w:r w:rsidRPr="009D4D24">
        <w:rPr>
          <w:noProof/>
          <w:spacing w:val="-4"/>
        </w:rPr>
        <w:t>modeli expozície uvedenom</w:t>
      </w:r>
      <w:r w:rsidR="004F01E9" w:rsidRPr="009D4D24">
        <w:rPr>
          <w:noProof/>
          <w:spacing w:val="-4"/>
        </w:rPr>
        <w:t xml:space="preserve"> v </w:t>
      </w:r>
      <w:r w:rsidRPr="009D4D24">
        <w:rPr>
          <w:noProof/>
          <w:spacing w:val="-4"/>
        </w:rPr>
        <w:t>odseku 1 písm. a) pre daný scenár simulovaných faktorov trhového rizika sa testujú na základe vhodných nezávislých referenčných hodnôt pre širokú škálu trhových stavov ako súčasť počiatočného</w:t>
      </w:r>
      <w:r w:rsidR="004F01E9" w:rsidRPr="009D4D24">
        <w:rPr>
          <w:noProof/>
          <w:spacing w:val="-4"/>
        </w:rPr>
        <w:t xml:space="preserve"> a </w:t>
      </w:r>
      <w:r w:rsidRPr="009D4D24">
        <w:rPr>
          <w:noProof/>
          <w:spacing w:val="-4"/>
        </w:rPr>
        <w:t>priebežného procesu validácie modelu.</w:t>
      </w:r>
      <w:r w:rsidR="004F01E9" w:rsidRPr="009D4D24">
        <w:rPr>
          <w:noProof/>
          <w:spacing w:val="-4"/>
        </w:rPr>
        <w:t xml:space="preserve"> V </w:t>
      </w:r>
      <w:r w:rsidRPr="009D4D24">
        <w:rPr>
          <w:noProof/>
          <w:spacing w:val="-4"/>
        </w:rPr>
        <w:t>modeloch oceňovania pre opcie sa zohľadňuje nelineárnosť hodnoty opcie vo vzťahu</w:t>
      </w:r>
      <w:r w:rsidR="004F01E9" w:rsidRPr="009D4D24">
        <w:rPr>
          <w:noProof/>
          <w:spacing w:val="-4"/>
        </w:rPr>
        <w:t xml:space="preserve"> k </w:t>
      </w:r>
      <w:r w:rsidRPr="009D4D24">
        <w:rPr>
          <w:noProof/>
          <w:spacing w:val="-4"/>
        </w:rPr>
        <w:t>faktorom trhového rizika;</w:t>
      </w:r>
    </w:p>
    <w:p w14:paraId="09477965" w14:textId="012D7798" w:rsidR="004009AD" w:rsidRPr="009D4D24" w:rsidRDefault="00726F39" w:rsidP="00726F39">
      <w:pPr>
        <w:pStyle w:val="Point1"/>
        <w:rPr>
          <w:noProof/>
          <w:spacing w:val="-4"/>
        </w:rPr>
      </w:pPr>
      <w:r w:rsidRPr="009D4D24">
        <w:rPr>
          <w:noProof/>
          <w:spacing w:val="-4"/>
        </w:rPr>
        <w:t>g)</w:t>
      </w:r>
      <w:r w:rsidRPr="009D4D24">
        <w:rPr>
          <w:noProof/>
          <w:spacing w:val="-4"/>
        </w:rPr>
        <w:tab/>
        <w:t>nezávislé preskúmanie interného systému riadenia rizika úpravy ocenenia pohľadávok inštitúcie uvedeného</w:t>
      </w:r>
      <w:r w:rsidR="004F01E9" w:rsidRPr="009D4D24">
        <w:rPr>
          <w:noProof/>
          <w:spacing w:val="-4"/>
        </w:rPr>
        <w:t xml:space="preserve"> v </w:t>
      </w:r>
      <w:r w:rsidRPr="009D4D24">
        <w:rPr>
          <w:noProof/>
          <w:spacing w:val="-4"/>
        </w:rPr>
        <w:t>písmene a) tohto odseku sa pravidelne vykonáva prostredníctvom procesu interného auditu inštitúcie. Toto preskúmanie by malo zahŕňať činnosti útvaru uvedeného</w:t>
      </w:r>
      <w:r w:rsidR="004F01E9" w:rsidRPr="009D4D24">
        <w:rPr>
          <w:noProof/>
          <w:spacing w:val="-4"/>
        </w:rPr>
        <w:t xml:space="preserve"> v </w:t>
      </w:r>
      <w:r w:rsidRPr="009D4D24">
        <w:rPr>
          <w:noProof/>
          <w:spacing w:val="-4"/>
        </w:rPr>
        <w:t>článku 383 ods. 1 písm. a) aj nezávislého útvaru kontroly rizika uvedeného</w:t>
      </w:r>
      <w:r w:rsidR="004F01E9" w:rsidRPr="009D4D24">
        <w:rPr>
          <w:noProof/>
          <w:spacing w:val="-4"/>
        </w:rPr>
        <w:t xml:space="preserve"> v </w:t>
      </w:r>
      <w:r w:rsidRPr="009D4D24">
        <w:rPr>
          <w:noProof/>
          <w:spacing w:val="-4"/>
        </w:rPr>
        <w:t>písmene c) tohto odseku;</w:t>
      </w:r>
    </w:p>
    <w:p w14:paraId="1608D07D" w14:textId="7619B4FA" w:rsidR="004009AD" w:rsidRPr="009D4D24" w:rsidRDefault="00726F39" w:rsidP="00726F39">
      <w:pPr>
        <w:pStyle w:val="Point1"/>
        <w:rPr>
          <w:noProof/>
          <w:spacing w:val="-4"/>
        </w:rPr>
      </w:pPr>
      <w:r w:rsidRPr="009D4D24">
        <w:rPr>
          <w:noProof/>
          <w:spacing w:val="-4"/>
        </w:rPr>
        <w:t>h)</w:t>
      </w:r>
      <w:r w:rsidRPr="009D4D24">
        <w:rPr>
          <w:noProof/>
          <w:spacing w:val="-4"/>
        </w:rPr>
        <w:tab/>
        <w:t>model, ktorý inštitúcia používa na výpočet simulovanej diskontovanej budúcej expozície uvedenej</w:t>
      </w:r>
      <w:r w:rsidR="004F01E9" w:rsidRPr="009D4D24">
        <w:rPr>
          <w:noProof/>
          <w:spacing w:val="-4"/>
        </w:rPr>
        <w:t xml:space="preserve"> v </w:t>
      </w:r>
      <w:r w:rsidRPr="009D4D24">
        <w:rPr>
          <w:noProof/>
          <w:spacing w:val="-4"/>
        </w:rPr>
        <w:t>odseku 1 písm. a), odráža podmienky</w:t>
      </w:r>
      <w:r w:rsidR="004F01E9" w:rsidRPr="009D4D24">
        <w:rPr>
          <w:noProof/>
          <w:spacing w:val="-4"/>
        </w:rPr>
        <w:t xml:space="preserve"> a </w:t>
      </w:r>
      <w:r w:rsidRPr="009D4D24">
        <w:rPr>
          <w:noProof/>
          <w:spacing w:val="-4"/>
        </w:rPr>
        <w:t>špecifikácie transakcií</w:t>
      </w:r>
      <w:r w:rsidR="004F01E9" w:rsidRPr="009D4D24">
        <w:rPr>
          <w:noProof/>
          <w:spacing w:val="-4"/>
        </w:rPr>
        <w:t xml:space="preserve"> a </w:t>
      </w:r>
      <w:r w:rsidRPr="009D4D24">
        <w:rPr>
          <w:noProof/>
          <w:spacing w:val="-4"/>
        </w:rPr>
        <w:t>dojednania týkajúce sa dozabezpečenia včas,</w:t>
      </w:r>
      <w:r w:rsidR="004F01E9" w:rsidRPr="009D4D24">
        <w:rPr>
          <w:noProof/>
          <w:spacing w:val="-4"/>
        </w:rPr>
        <w:t xml:space="preserve"> v </w:t>
      </w:r>
      <w:r w:rsidRPr="009D4D24">
        <w:rPr>
          <w:noProof/>
          <w:spacing w:val="-4"/>
        </w:rPr>
        <w:t>plnej miere</w:t>
      </w:r>
      <w:r w:rsidR="004F01E9" w:rsidRPr="009D4D24">
        <w:rPr>
          <w:noProof/>
          <w:spacing w:val="-4"/>
        </w:rPr>
        <w:t xml:space="preserve"> a </w:t>
      </w:r>
      <w:r w:rsidRPr="009D4D24">
        <w:rPr>
          <w:noProof/>
          <w:spacing w:val="-4"/>
        </w:rPr>
        <w:t>konzervatívnym spôsobom. Tieto podmienky</w:t>
      </w:r>
      <w:r w:rsidR="004F01E9" w:rsidRPr="009D4D24">
        <w:rPr>
          <w:noProof/>
          <w:spacing w:val="-4"/>
        </w:rPr>
        <w:t xml:space="preserve"> a </w:t>
      </w:r>
      <w:r w:rsidRPr="009D4D24">
        <w:rPr>
          <w:noProof/>
          <w:spacing w:val="-4"/>
        </w:rPr>
        <w:t>špecifikácie sa nachádzajú</w:t>
      </w:r>
      <w:r w:rsidR="004F01E9" w:rsidRPr="009D4D24">
        <w:rPr>
          <w:noProof/>
          <w:spacing w:val="-4"/>
        </w:rPr>
        <w:t xml:space="preserve"> v </w:t>
      </w:r>
      <w:r w:rsidRPr="009D4D24">
        <w:rPr>
          <w:noProof/>
          <w:spacing w:val="-4"/>
        </w:rPr>
        <w:t>zabezpečenej databáze, ktorá podlieha formálnemu</w:t>
      </w:r>
      <w:r w:rsidR="004F01E9" w:rsidRPr="009D4D24">
        <w:rPr>
          <w:noProof/>
          <w:spacing w:val="-4"/>
        </w:rPr>
        <w:t xml:space="preserve"> a </w:t>
      </w:r>
      <w:r w:rsidRPr="009D4D24">
        <w:rPr>
          <w:noProof/>
          <w:spacing w:val="-4"/>
        </w:rPr>
        <w:t>pravidelnému auditu. Prenos údajov</w:t>
      </w:r>
      <w:r w:rsidR="004F01E9" w:rsidRPr="009D4D24">
        <w:rPr>
          <w:noProof/>
          <w:spacing w:val="-4"/>
        </w:rPr>
        <w:t xml:space="preserve"> o </w:t>
      </w:r>
      <w:r w:rsidRPr="009D4D24">
        <w:rPr>
          <w:noProof/>
          <w:spacing w:val="-4"/>
        </w:rPr>
        <w:t>podmienkach transakcií</w:t>
      </w:r>
      <w:r w:rsidR="004F01E9" w:rsidRPr="009D4D24">
        <w:rPr>
          <w:noProof/>
          <w:spacing w:val="-4"/>
        </w:rPr>
        <w:t xml:space="preserve"> a </w:t>
      </w:r>
      <w:r w:rsidRPr="009D4D24">
        <w:rPr>
          <w:noProof/>
          <w:spacing w:val="-4"/>
        </w:rPr>
        <w:t>údajov</w:t>
      </w:r>
      <w:r w:rsidR="004F01E9" w:rsidRPr="009D4D24">
        <w:rPr>
          <w:noProof/>
          <w:spacing w:val="-4"/>
        </w:rPr>
        <w:t xml:space="preserve"> o </w:t>
      </w:r>
      <w:r w:rsidRPr="009D4D24">
        <w:rPr>
          <w:noProof/>
          <w:spacing w:val="-4"/>
        </w:rPr>
        <w:t>špecifikáciách, ako aj dojednaní týkajúcich sa dozabezpečenia do modelu expozície takisto podlieha vnútornému auditu, pričom sa zavedú postupy pre formálne zosúhlasenie interného modelu so zdrojovými údajmi</w:t>
      </w:r>
      <w:r w:rsidR="004F01E9" w:rsidRPr="009D4D24">
        <w:rPr>
          <w:noProof/>
          <w:spacing w:val="-4"/>
        </w:rPr>
        <w:t xml:space="preserve"> s </w:t>
      </w:r>
      <w:r w:rsidRPr="009D4D24">
        <w:rPr>
          <w:noProof/>
          <w:spacing w:val="-4"/>
        </w:rPr>
        <w:t>cieľom priebežne overovať, či sa podmienky</w:t>
      </w:r>
      <w:r w:rsidR="004F01E9" w:rsidRPr="009D4D24">
        <w:rPr>
          <w:noProof/>
          <w:spacing w:val="-4"/>
        </w:rPr>
        <w:t xml:space="preserve"> a </w:t>
      </w:r>
      <w:r w:rsidRPr="009D4D24">
        <w:rPr>
          <w:noProof/>
          <w:spacing w:val="-4"/>
        </w:rPr>
        <w:t>špecifikácie transakcií</w:t>
      </w:r>
      <w:r w:rsidR="004F01E9" w:rsidRPr="009D4D24">
        <w:rPr>
          <w:noProof/>
          <w:spacing w:val="-4"/>
        </w:rPr>
        <w:t xml:space="preserve"> a </w:t>
      </w:r>
      <w:r w:rsidRPr="009D4D24">
        <w:rPr>
          <w:noProof/>
          <w:spacing w:val="-4"/>
        </w:rPr>
        <w:t>dojednania týkajúce sa dozabezpečenia odrážajú</w:t>
      </w:r>
      <w:r w:rsidR="004F01E9" w:rsidRPr="009D4D24">
        <w:rPr>
          <w:noProof/>
          <w:spacing w:val="-4"/>
        </w:rPr>
        <w:t xml:space="preserve"> v </w:t>
      </w:r>
      <w:r w:rsidRPr="009D4D24">
        <w:rPr>
          <w:noProof/>
          <w:spacing w:val="-4"/>
        </w:rPr>
        <w:t>expozičnom systéme správne alebo aspoň konzervatívnym spôsobom;</w:t>
      </w:r>
    </w:p>
    <w:p w14:paraId="6B33191C" w14:textId="01A4E996" w:rsidR="004009AD" w:rsidRPr="004F01E9" w:rsidRDefault="00726F39" w:rsidP="00726F39">
      <w:pPr>
        <w:pStyle w:val="Point1"/>
        <w:rPr>
          <w:noProof/>
        </w:rPr>
      </w:pPr>
      <w:r w:rsidRPr="004F01E9">
        <w:rPr>
          <w:noProof/>
        </w:rPr>
        <w:t>i)</w:t>
      </w:r>
      <w:r w:rsidRPr="004F01E9">
        <w:rPr>
          <w:noProof/>
        </w:rPr>
        <w:tab/>
        <w:t>vstupné údaje</w:t>
      </w:r>
      <w:r w:rsidR="004F01E9">
        <w:rPr>
          <w:noProof/>
        </w:rPr>
        <w:t xml:space="preserve"> o </w:t>
      </w:r>
      <w:r w:rsidRPr="004F01E9">
        <w:rPr>
          <w:noProof/>
        </w:rPr>
        <w:t>aktuálnych</w:t>
      </w:r>
      <w:r w:rsidR="004F01E9">
        <w:rPr>
          <w:noProof/>
        </w:rPr>
        <w:t xml:space="preserve"> a </w:t>
      </w:r>
      <w:r w:rsidRPr="004F01E9">
        <w:rPr>
          <w:noProof/>
        </w:rPr>
        <w:t>historických trhových údajoch použité</w:t>
      </w:r>
      <w:r w:rsidR="004F01E9">
        <w:rPr>
          <w:noProof/>
        </w:rPr>
        <w:t xml:space="preserve"> v </w:t>
      </w:r>
      <w:r w:rsidRPr="004F01E9">
        <w:rPr>
          <w:noProof/>
        </w:rPr>
        <w:t>modeli, ktorý inštitúcia používa na výpočet simulovanej diskontovanej budúcej expozície uvedenej</w:t>
      </w:r>
      <w:r w:rsidR="004F01E9">
        <w:rPr>
          <w:noProof/>
        </w:rPr>
        <w:t xml:space="preserve"> v </w:t>
      </w:r>
      <w:r w:rsidRPr="004F01E9">
        <w:rPr>
          <w:noProof/>
        </w:rPr>
        <w:t>odseku 1 písm. a), sa získavajú nezávisle od obchodných línií. Vkladajú sa do modelu, ktorý inštitúcia používa na výpočet simulovanej diskontovanej budúcej expozície uvedenej</w:t>
      </w:r>
      <w:r w:rsidR="004F01E9">
        <w:rPr>
          <w:noProof/>
        </w:rPr>
        <w:t xml:space="preserve"> v </w:t>
      </w:r>
      <w:r w:rsidRPr="004F01E9">
        <w:rPr>
          <w:noProof/>
        </w:rPr>
        <w:t>odseku 1 písm. a), včas</w:t>
      </w:r>
      <w:r w:rsidR="004F01E9">
        <w:rPr>
          <w:noProof/>
        </w:rPr>
        <w:t xml:space="preserve"> a v </w:t>
      </w:r>
      <w:r w:rsidRPr="004F01E9">
        <w:rPr>
          <w:noProof/>
        </w:rPr>
        <w:t>plnej miere</w:t>
      </w:r>
      <w:r w:rsidR="004F01E9">
        <w:rPr>
          <w:noProof/>
        </w:rPr>
        <w:t xml:space="preserve"> a </w:t>
      </w:r>
      <w:r w:rsidRPr="004F01E9">
        <w:rPr>
          <w:noProof/>
        </w:rPr>
        <w:t>udržiavajú sa</w:t>
      </w:r>
      <w:r w:rsidR="004F01E9">
        <w:rPr>
          <w:noProof/>
        </w:rPr>
        <w:t xml:space="preserve"> v </w:t>
      </w:r>
      <w:r w:rsidRPr="004F01E9">
        <w:rPr>
          <w:noProof/>
        </w:rPr>
        <w:t>zabezpečenej databáze podliehajúcej formálnemu</w:t>
      </w:r>
      <w:r w:rsidR="004F01E9">
        <w:rPr>
          <w:noProof/>
        </w:rPr>
        <w:t xml:space="preserve"> a </w:t>
      </w:r>
      <w:r w:rsidRPr="004F01E9">
        <w:rPr>
          <w:noProof/>
        </w:rPr>
        <w:t>pravidelnému auditu. Inštitúcia musí mať dobre vypracovaný proces integrity údajov na spracovanie nevhodných pozorovaní údajov. Ak model vychádza</w:t>
      </w:r>
      <w:r w:rsidR="004F01E9">
        <w:rPr>
          <w:noProof/>
        </w:rPr>
        <w:t xml:space="preserve"> z </w:t>
      </w:r>
      <w:r w:rsidRPr="004F01E9">
        <w:rPr>
          <w:noProof/>
        </w:rPr>
        <w:t>proxy trhových údajov, inštitúcia navrhne interné politiky na identifikovanie vhodných proxy údajov</w:t>
      </w:r>
      <w:r w:rsidR="004F01E9">
        <w:rPr>
          <w:noProof/>
        </w:rPr>
        <w:t xml:space="preserve"> a </w:t>
      </w:r>
      <w:r w:rsidRPr="004F01E9">
        <w:rPr>
          <w:noProof/>
        </w:rPr>
        <w:t>empiricky priebežne preukáže, že proxy údaje poskytujú konzervatívne vyjadrenie podkladového rizika;</w:t>
      </w:r>
    </w:p>
    <w:p w14:paraId="22572EE0" w14:textId="10BA0AAF" w:rsidR="004009AD" w:rsidRPr="004F01E9" w:rsidRDefault="00726F39" w:rsidP="00726F39">
      <w:pPr>
        <w:pStyle w:val="Point1"/>
        <w:rPr>
          <w:noProof/>
        </w:rPr>
      </w:pPr>
      <w:r w:rsidRPr="004F01E9">
        <w:rPr>
          <w:noProof/>
        </w:rPr>
        <w:t>j)</w:t>
      </w:r>
      <w:r w:rsidRPr="004F01E9">
        <w:rPr>
          <w:noProof/>
        </w:rPr>
        <w:tab/>
        <w:t>v modeli expozície sa zachytávajú informácie špecifické pre transakcie</w:t>
      </w:r>
      <w:r w:rsidR="004F01E9">
        <w:rPr>
          <w:noProof/>
        </w:rPr>
        <w:t xml:space="preserve"> a </w:t>
      </w:r>
      <w:r w:rsidRPr="004F01E9">
        <w:rPr>
          <w:noProof/>
        </w:rPr>
        <w:t>zmluvné informácie, ktoré sú potrebné na agregovanie expozícií na úrovni súboru vzájomného započítavania. Inštitúcia overuje, či sú transakcie</w:t>
      </w:r>
      <w:r w:rsidR="004F01E9">
        <w:rPr>
          <w:noProof/>
        </w:rPr>
        <w:t xml:space="preserve"> v </w:t>
      </w:r>
      <w:r w:rsidRPr="004F01E9">
        <w:rPr>
          <w:noProof/>
        </w:rPr>
        <w:t>rámci modelu priradené</w:t>
      </w:r>
      <w:r w:rsidR="004F01E9">
        <w:rPr>
          <w:noProof/>
        </w:rPr>
        <w:t xml:space="preserve"> k </w:t>
      </w:r>
      <w:r w:rsidRPr="004F01E9">
        <w:rPr>
          <w:noProof/>
        </w:rPr>
        <w:t>primeranému súboru vzájomného započítavania.</w:t>
      </w:r>
    </w:p>
    <w:p w14:paraId="05AE09D7" w14:textId="37BD1D58" w:rsidR="004009AD" w:rsidRPr="004F01E9" w:rsidRDefault="004009AD" w:rsidP="004009AD">
      <w:pPr>
        <w:pStyle w:val="Text1"/>
        <w:rPr>
          <w:noProof/>
        </w:rPr>
      </w:pPr>
      <w:r w:rsidRPr="004F01E9">
        <w:rPr>
          <w:noProof/>
        </w:rPr>
        <w:t>Na účely výpočtu požiadavky na vlastné zdroje pre riziká úpravy ocenenia pohľadávok uvedené</w:t>
      </w:r>
      <w:r w:rsidR="004F01E9">
        <w:rPr>
          <w:noProof/>
        </w:rPr>
        <w:t xml:space="preserve"> v </w:t>
      </w:r>
      <w:r w:rsidRPr="004F01E9">
        <w:rPr>
          <w:noProof/>
        </w:rPr>
        <w:t>písmene a) môže mať model expozície odlišné špecifikácie</w:t>
      </w:r>
      <w:r w:rsidR="004F01E9">
        <w:rPr>
          <w:noProof/>
        </w:rPr>
        <w:t xml:space="preserve"> a </w:t>
      </w:r>
      <w:r w:rsidRPr="004F01E9">
        <w:rPr>
          <w:noProof/>
        </w:rPr>
        <w:t>predpoklady, aby splnil všetky požiadavky stanovené</w:t>
      </w:r>
      <w:r w:rsidR="004F01E9">
        <w:rPr>
          <w:noProof/>
        </w:rPr>
        <w:t xml:space="preserve"> v </w:t>
      </w:r>
      <w:r w:rsidRPr="004F01E9">
        <w:rPr>
          <w:noProof/>
        </w:rPr>
        <w:t>článku 383a</w:t>
      </w:r>
      <w:r w:rsidR="004F01E9">
        <w:rPr>
          <w:noProof/>
        </w:rPr>
        <w:t xml:space="preserve"> s </w:t>
      </w:r>
      <w:r w:rsidRPr="004F01E9">
        <w:rPr>
          <w:noProof/>
        </w:rPr>
        <w:t>výnimkou toho, že jeho vstupné trhové údaje</w:t>
      </w:r>
      <w:r w:rsidR="004F01E9">
        <w:rPr>
          <w:noProof/>
        </w:rPr>
        <w:t xml:space="preserve"> a </w:t>
      </w:r>
      <w:r w:rsidRPr="004F01E9">
        <w:rPr>
          <w:noProof/>
        </w:rPr>
        <w:t>uznanie vzájomného započítavania zostávajú rovnaké ako tie, ktoré sa používajú na účtovné účely.</w:t>
      </w:r>
    </w:p>
    <w:p w14:paraId="00BC3502" w14:textId="117BD9EF" w:rsidR="004009AD" w:rsidRPr="004F01E9" w:rsidRDefault="004009AD" w:rsidP="004009AD">
      <w:pPr>
        <w:pStyle w:val="Text1"/>
        <w:rPr>
          <w:noProof/>
          <w:color w:val="372F32"/>
        </w:rPr>
      </w:pPr>
      <w:r w:rsidRPr="004F01E9">
        <w:rPr>
          <w:noProof/>
        </w:rPr>
        <w:t>3. EBA vypracuje návrh regulačných technických predpisov</w:t>
      </w:r>
      <w:r w:rsidR="004F01E9">
        <w:rPr>
          <w:noProof/>
        </w:rPr>
        <w:t xml:space="preserve"> s </w:t>
      </w:r>
      <w:r w:rsidRPr="004F01E9">
        <w:rPr>
          <w:noProof/>
        </w:rPr>
        <w:t>cieľom bližšie stanoviť, ako</w:t>
      </w:r>
      <w:r w:rsidRPr="004F01E9">
        <w:rPr>
          <w:noProof/>
          <w:color w:val="372F32"/>
        </w:rPr>
        <w:t xml:space="preserve"> má inštitúcia určovať proxy rozpätia uvedené</w:t>
      </w:r>
      <w:r w:rsidR="004F01E9">
        <w:rPr>
          <w:noProof/>
          <w:color w:val="372F32"/>
        </w:rPr>
        <w:t xml:space="preserve"> v </w:t>
      </w:r>
      <w:r w:rsidRPr="004F01E9">
        <w:rPr>
          <w:noProof/>
          <w:color w:val="372F32"/>
        </w:rPr>
        <w:t>odseku 1 písm. b) bode ii) na účely výpočtu pravdepodobností zlyhania</w:t>
      </w:r>
      <w:r w:rsidRPr="004F01E9">
        <w:rPr>
          <w:noProof/>
        </w:rPr>
        <w:t>.</w:t>
      </w:r>
    </w:p>
    <w:p w14:paraId="75586D87" w14:textId="2B461361" w:rsidR="00806B81" w:rsidRPr="004F01E9" w:rsidRDefault="004009AD" w:rsidP="004009AD">
      <w:pPr>
        <w:pStyle w:val="Text1"/>
        <w:rPr>
          <w:noProof/>
        </w:rPr>
      </w:pPr>
      <w:r w:rsidRPr="004F01E9">
        <w:rPr>
          <w:noProof/>
        </w:rPr>
        <w:t>4. EBA vypracuje návrh regulačných technických predpisov</w:t>
      </w:r>
      <w:r w:rsidR="004F01E9">
        <w:rPr>
          <w:noProof/>
        </w:rPr>
        <w:t xml:space="preserve"> s </w:t>
      </w:r>
      <w:r w:rsidRPr="004F01E9">
        <w:rPr>
          <w:noProof/>
        </w:rPr>
        <w:t>cieľom presne stanoviť:</w:t>
      </w:r>
    </w:p>
    <w:p w14:paraId="6BDA1A69" w14:textId="56232BD1" w:rsidR="004009AD" w:rsidRPr="004F01E9" w:rsidRDefault="004009AD" w:rsidP="004009AD">
      <w:pPr>
        <w:pStyle w:val="Point1"/>
        <w:rPr>
          <w:noProof/>
        </w:rPr>
      </w:pPr>
      <w:r w:rsidRPr="004F01E9">
        <w:rPr>
          <w:noProof/>
        </w:rPr>
        <w:t>a)</w:t>
      </w:r>
      <w:r w:rsidRPr="004F01E9">
        <w:rPr>
          <w:noProof/>
        </w:rPr>
        <w:tab/>
        <w:t>ďalšie technické prvky, ktoré inštitúcia zohľadňuje pri výpočte očakávanej straty</w:t>
      </w:r>
      <w:r w:rsidR="004F01E9">
        <w:rPr>
          <w:noProof/>
        </w:rPr>
        <w:t xml:space="preserve"> v </w:t>
      </w:r>
      <w:r w:rsidRPr="004F01E9">
        <w:rPr>
          <w:noProof/>
        </w:rPr>
        <w:t>prípade zlyhania protistrany, pravdepodobnosti zlyhania protistrany</w:t>
      </w:r>
      <w:r w:rsidR="004F01E9">
        <w:rPr>
          <w:noProof/>
        </w:rPr>
        <w:t xml:space="preserve"> a </w:t>
      </w:r>
      <w:r w:rsidRPr="004F01E9">
        <w:rPr>
          <w:noProof/>
        </w:rPr>
        <w:t>simulovanej diskontovanej budúcej expozície portfólia transakcií</w:t>
      </w:r>
      <w:r w:rsidR="004F01E9">
        <w:rPr>
          <w:noProof/>
        </w:rPr>
        <w:t xml:space="preserve"> s </w:t>
      </w:r>
      <w:r w:rsidRPr="004F01E9">
        <w:rPr>
          <w:noProof/>
        </w:rPr>
        <w:t>uvedenou protistranou</w:t>
      </w:r>
      <w:r w:rsidR="004F01E9">
        <w:rPr>
          <w:noProof/>
        </w:rPr>
        <w:t xml:space="preserve"> a </w:t>
      </w:r>
      <w:r w:rsidRPr="004F01E9">
        <w:rPr>
          <w:noProof/>
        </w:rPr>
        <w:t>úpravy ocenenia pohľadávok, ako sa uvádza</w:t>
      </w:r>
      <w:r w:rsidR="004F01E9">
        <w:rPr>
          <w:noProof/>
        </w:rPr>
        <w:t xml:space="preserve"> v </w:t>
      </w:r>
      <w:r w:rsidRPr="004F01E9">
        <w:rPr>
          <w:noProof/>
        </w:rPr>
        <w:t>odseku 1 písm. a);</w:t>
      </w:r>
    </w:p>
    <w:p w14:paraId="29341DF0" w14:textId="37F33BDB" w:rsidR="004009AD" w:rsidRPr="004F01E9" w:rsidRDefault="004009AD" w:rsidP="004009AD">
      <w:pPr>
        <w:pStyle w:val="Point1"/>
        <w:rPr>
          <w:noProof/>
        </w:rPr>
      </w:pPr>
      <w:r w:rsidRPr="004F01E9">
        <w:rPr>
          <w:noProof/>
        </w:rPr>
        <w:t>b)</w:t>
      </w:r>
      <w:r w:rsidRPr="004F01E9">
        <w:rPr>
          <w:noProof/>
        </w:rPr>
        <w:tab/>
        <w:t>ktoré iné nástroje uvedené</w:t>
      </w:r>
      <w:r w:rsidR="004F01E9">
        <w:rPr>
          <w:noProof/>
        </w:rPr>
        <w:t xml:space="preserve"> v </w:t>
      </w:r>
      <w:r w:rsidRPr="004F01E9">
        <w:rPr>
          <w:noProof/>
        </w:rPr>
        <w:t>odseku 1 písm. b) bode i) sú vhodné na odhad pravdepodobnosti zlyhania protistrany</w:t>
      </w:r>
      <w:r w:rsidR="004F01E9">
        <w:rPr>
          <w:noProof/>
        </w:rPr>
        <w:t xml:space="preserve"> a </w:t>
      </w:r>
      <w:r w:rsidRPr="004F01E9">
        <w:rPr>
          <w:noProof/>
        </w:rPr>
        <w:t>ako inštitúcie vykonávajú tento odhad.</w:t>
      </w:r>
    </w:p>
    <w:p w14:paraId="1EBA3B76" w14:textId="46DA1585" w:rsidR="00806B81" w:rsidRPr="009D4D24" w:rsidRDefault="004009AD" w:rsidP="004009AD">
      <w:pPr>
        <w:pStyle w:val="Text1"/>
        <w:rPr>
          <w:noProof/>
          <w:spacing w:val="-8"/>
        </w:rPr>
      </w:pPr>
      <w:r w:rsidRPr="009D4D24">
        <w:rPr>
          <w:noProof/>
          <w:spacing w:val="-8"/>
        </w:rPr>
        <w:t>EBA predloží Komisii tento návrh regulačných technických predpisov uvedený</w:t>
      </w:r>
      <w:r w:rsidR="004F01E9" w:rsidRPr="009D4D24">
        <w:rPr>
          <w:noProof/>
          <w:spacing w:val="-8"/>
        </w:rPr>
        <w:t xml:space="preserve"> v </w:t>
      </w:r>
      <w:r w:rsidRPr="009D4D24">
        <w:rPr>
          <w:noProof/>
          <w:spacing w:val="-8"/>
        </w:rPr>
        <w:t>odsekoch 3</w:t>
      </w:r>
      <w:r w:rsidR="004F01E9" w:rsidRPr="009D4D24">
        <w:rPr>
          <w:noProof/>
          <w:spacing w:val="-8"/>
        </w:rPr>
        <w:t xml:space="preserve"> a </w:t>
      </w:r>
      <w:r w:rsidRPr="009D4D24">
        <w:rPr>
          <w:noProof/>
          <w:spacing w:val="-8"/>
        </w:rPr>
        <w:t>4 do [OP: doplňte dátum = 24 mesiacov po nadobudnutí účinnosti tohto nariadenia].</w:t>
      </w:r>
    </w:p>
    <w:p w14:paraId="312F0FB3" w14:textId="0EB3087E" w:rsidR="004009AD" w:rsidRPr="004F01E9" w:rsidRDefault="004009AD" w:rsidP="004009AD">
      <w:pPr>
        <w:pStyle w:val="Text1"/>
        <w:rPr>
          <w:noProof/>
        </w:rPr>
      </w:pPr>
      <w:r w:rsidRPr="004F01E9">
        <w:rPr>
          <w:noProof/>
        </w:rPr>
        <w:t>Na Komisiu sa deleguje právomoc doplniť toto nariadenie prijatím regulačných technických predpisov uvedených</w:t>
      </w:r>
      <w:r w:rsidR="004F01E9">
        <w:rPr>
          <w:noProof/>
        </w:rPr>
        <w:t xml:space="preserve"> v </w:t>
      </w:r>
      <w:r w:rsidRPr="004F01E9">
        <w:rPr>
          <w:noProof/>
        </w:rPr>
        <w:t>prvom pododseku</w:t>
      </w:r>
      <w:r w:rsidR="004F01E9">
        <w:rPr>
          <w:noProof/>
        </w:rPr>
        <w:t xml:space="preserve"> v </w:t>
      </w:r>
      <w:r w:rsidRPr="004F01E9">
        <w:rPr>
          <w:noProof/>
        </w:rPr>
        <w:t>súlade</w:t>
      </w:r>
      <w:r w:rsidR="004F01E9">
        <w:rPr>
          <w:noProof/>
        </w:rPr>
        <w:t xml:space="preserve"> s </w:t>
      </w:r>
      <w:r w:rsidRPr="004F01E9">
        <w:rPr>
          <w:noProof/>
        </w:rPr>
        <w:t xml:space="preserve">článkami 10 až 14 nariadenia (EÚ) </w:t>
      </w:r>
      <w:r w:rsidR="004F01E9">
        <w:rPr>
          <w:noProof/>
        </w:rPr>
        <w:t>č. </w:t>
      </w:r>
      <w:r w:rsidRPr="004F01E9">
        <w:rPr>
          <w:noProof/>
        </w:rPr>
        <w:t>1093/2010.</w:t>
      </w:r>
    </w:p>
    <w:p w14:paraId="757A0EEE" w14:textId="5DA01CE1" w:rsidR="004009AD" w:rsidRPr="009D4D24" w:rsidRDefault="004009AD" w:rsidP="004009AD">
      <w:pPr>
        <w:pStyle w:val="Text1"/>
        <w:rPr>
          <w:noProof/>
          <w:spacing w:val="-4"/>
        </w:rPr>
      </w:pPr>
      <w:r w:rsidRPr="009D4D24">
        <w:rPr>
          <w:noProof/>
          <w:spacing w:val="-4"/>
        </w:rPr>
        <w:t>4. EBA vypracuje návrh regulačných technických predpisov</w:t>
      </w:r>
      <w:r w:rsidR="004F01E9" w:rsidRPr="009D4D24">
        <w:rPr>
          <w:noProof/>
          <w:spacing w:val="-4"/>
        </w:rPr>
        <w:t xml:space="preserve"> s </w:t>
      </w:r>
      <w:r w:rsidRPr="009D4D24">
        <w:rPr>
          <w:noProof/>
          <w:spacing w:val="-4"/>
        </w:rPr>
        <w:t>cieľom presne stanoviť:</w:t>
      </w:r>
    </w:p>
    <w:p w14:paraId="669BB68C" w14:textId="231621CE" w:rsidR="004009AD" w:rsidRPr="004F01E9" w:rsidRDefault="004009AD" w:rsidP="004009AD">
      <w:pPr>
        <w:pStyle w:val="Point1"/>
        <w:rPr>
          <w:noProof/>
        </w:rPr>
      </w:pPr>
      <w:r w:rsidRPr="004F01E9">
        <w:rPr>
          <w:noProof/>
        </w:rPr>
        <w:t>a)</w:t>
      </w:r>
      <w:r w:rsidRPr="004F01E9">
        <w:rPr>
          <w:noProof/>
        </w:rPr>
        <w:tab/>
        <w:t>podmienky posudzovania významnosti rozšírení</w:t>
      </w:r>
      <w:r w:rsidR="004F01E9">
        <w:rPr>
          <w:noProof/>
        </w:rPr>
        <w:t xml:space="preserve"> a </w:t>
      </w:r>
      <w:r w:rsidRPr="004F01E9">
        <w:rPr>
          <w:noProof/>
        </w:rPr>
        <w:t>zmien</w:t>
      </w:r>
      <w:r w:rsidR="004F01E9">
        <w:rPr>
          <w:noProof/>
        </w:rPr>
        <w:t xml:space="preserve"> v </w:t>
      </w:r>
      <w:r w:rsidRPr="004F01E9">
        <w:rPr>
          <w:noProof/>
        </w:rPr>
        <w:t>používaní štandardizovaného prístupu, ako sa uvádza</w:t>
      </w:r>
      <w:r w:rsidR="004F01E9">
        <w:rPr>
          <w:noProof/>
        </w:rPr>
        <w:t xml:space="preserve"> v </w:t>
      </w:r>
      <w:r w:rsidRPr="004F01E9">
        <w:rPr>
          <w:noProof/>
        </w:rPr>
        <w:t>článku 383 ods. 3;</w:t>
      </w:r>
    </w:p>
    <w:p w14:paraId="19943059" w14:textId="785D87CB" w:rsidR="00806B81" w:rsidRPr="004F01E9" w:rsidRDefault="00F360F4" w:rsidP="004009AD">
      <w:pPr>
        <w:pStyle w:val="Point1"/>
        <w:rPr>
          <w:noProof/>
        </w:rPr>
      </w:pPr>
      <w:r w:rsidRPr="004F01E9">
        <w:rPr>
          <w:noProof/>
        </w:rPr>
        <w:t>b)</w:t>
      </w:r>
      <w:r w:rsidRPr="004F01E9">
        <w:rPr>
          <w:noProof/>
        </w:rPr>
        <w:tab/>
        <w:t>metodiku posudzovania, podľa ktorej príslušné orgány overujú, či inštitúcia spĺňa požiadavky stanovené</w:t>
      </w:r>
      <w:r w:rsidR="004F01E9">
        <w:rPr>
          <w:noProof/>
        </w:rPr>
        <w:t xml:space="preserve"> v </w:t>
      </w:r>
      <w:r w:rsidRPr="004F01E9">
        <w:rPr>
          <w:noProof/>
        </w:rPr>
        <w:t>článkoch 383</w:t>
      </w:r>
      <w:r w:rsidR="004F01E9">
        <w:rPr>
          <w:noProof/>
        </w:rPr>
        <w:t xml:space="preserve"> a </w:t>
      </w:r>
      <w:r w:rsidRPr="004F01E9">
        <w:rPr>
          <w:noProof/>
        </w:rPr>
        <w:t>383a.</w:t>
      </w:r>
    </w:p>
    <w:p w14:paraId="4D107D1C" w14:textId="281DC826" w:rsidR="004009AD" w:rsidRPr="004F01E9" w:rsidRDefault="004009AD" w:rsidP="004009AD">
      <w:pPr>
        <w:pStyle w:val="Text1"/>
        <w:rPr>
          <w:noProof/>
        </w:rPr>
      </w:pPr>
      <w:r w:rsidRPr="004F01E9">
        <w:rPr>
          <w:noProof/>
        </w:rPr>
        <w:t xml:space="preserve">EBA predloží uvedený návrh regulačných technických predpisov Komisii 36 </w:t>
      </w:r>
      <w:r w:rsidRPr="004F01E9">
        <w:rPr>
          <w:i/>
          <w:noProof/>
        </w:rPr>
        <w:t>mesiacov</w:t>
      </w:r>
      <w:r w:rsidRPr="004F01E9">
        <w:rPr>
          <w:noProof/>
        </w:rPr>
        <w:t xml:space="preserve"> [od nadobudnutia účinnosti tohto nariadenia].</w:t>
      </w:r>
    </w:p>
    <w:p w14:paraId="0C9C83B3" w14:textId="54C51651" w:rsidR="004009AD" w:rsidRPr="004F01E9" w:rsidRDefault="004009AD" w:rsidP="004009AD">
      <w:pPr>
        <w:pStyle w:val="Text1"/>
        <w:rPr>
          <w:noProof/>
        </w:rPr>
      </w:pPr>
      <w:r w:rsidRPr="004F01E9">
        <w:rPr>
          <w:noProof/>
        </w:rPr>
        <w:t>Na Komisiu sa deleguje právomoc doplniť toto nariadenie prijatím regulačných technických predpisov uvedených</w:t>
      </w:r>
      <w:r w:rsidR="004F01E9">
        <w:rPr>
          <w:noProof/>
        </w:rPr>
        <w:t xml:space="preserve"> v </w:t>
      </w:r>
      <w:r w:rsidRPr="004F01E9">
        <w:rPr>
          <w:noProof/>
        </w:rPr>
        <w:t>prvom pododseku</w:t>
      </w:r>
      <w:r w:rsidR="004F01E9">
        <w:rPr>
          <w:noProof/>
        </w:rPr>
        <w:t xml:space="preserve"> v </w:t>
      </w:r>
      <w:r w:rsidRPr="004F01E9">
        <w:rPr>
          <w:noProof/>
        </w:rPr>
        <w:t>súlade</w:t>
      </w:r>
      <w:r w:rsidR="004F01E9">
        <w:rPr>
          <w:noProof/>
        </w:rPr>
        <w:t xml:space="preserve"> s </w:t>
      </w:r>
      <w:r w:rsidRPr="004F01E9">
        <w:rPr>
          <w:noProof/>
        </w:rPr>
        <w:t xml:space="preserve">článkami 10 až 14 nariadenia (EÚ) </w:t>
      </w:r>
      <w:r w:rsidR="004F01E9">
        <w:rPr>
          <w:noProof/>
        </w:rPr>
        <w:t>č. </w:t>
      </w:r>
      <w:r w:rsidRPr="004F01E9">
        <w:rPr>
          <w:noProof/>
        </w:rPr>
        <w:t>1093/2010.</w:t>
      </w:r>
    </w:p>
    <w:p w14:paraId="6B752C69" w14:textId="3229E314" w:rsidR="004009AD" w:rsidRPr="004F01E9" w:rsidRDefault="004009AD" w:rsidP="004009AD">
      <w:pPr>
        <w:pStyle w:val="Titrearticle"/>
        <w:rPr>
          <w:noProof/>
        </w:rPr>
      </w:pPr>
      <w:r w:rsidRPr="004F01E9">
        <w:rPr>
          <w:noProof/>
        </w:rPr>
        <w:t>Článok 383b</w:t>
      </w:r>
      <w:r w:rsidR="004F01E9" w:rsidRPr="004F01E9">
        <w:rPr>
          <w:noProof/>
        </w:rPr>
        <w:t xml:space="preserve"> </w:t>
      </w:r>
      <w:r w:rsidRPr="004F01E9">
        <w:rPr>
          <w:noProof/>
        </w:rPr>
        <w:br/>
      </w:r>
      <w:r w:rsidRPr="004F01E9">
        <w:rPr>
          <w:b/>
          <w:i w:val="0"/>
          <w:noProof/>
        </w:rPr>
        <w:t>Požiadavky na vlastné zdroje pre riziká delta</w:t>
      </w:r>
      <w:r w:rsidR="004F01E9">
        <w:rPr>
          <w:b/>
          <w:i w:val="0"/>
          <w:noProof/>
        </w:rPr>
        <w:t xml:space="preserve"> a </w:t>
      </w:r>
      <w:r w:rsidRPr="004F01E9">
        <w:rPr>
          <w:b/>
          <w:i w:val="0"/>
          <w:noProof/>
        </w:rPr>
        <w:t>vega</w:t>
      </w:r>
    </w:p>
    <w:p w14:paraId="0935B5CE" w14:textId="167C140A" w:rsidR="004009AD" w:rsidRPr="004F01E9" w:rsidRDefault="004009AD" w:rsidP="004009AD">
      <w:pPr>
        <w:pStyle w:val="Text1"/>
        <w:rPr>
          <w:noProof/>
        </w:rPr>
      </w:pPr>
      <w:r w:rsidRPr="004F01E9">
        <w:rPr>
          <w:noProof/>
        </w:rPr>
        <w:t>1. Na výpočet požiadaviek na vlastné zdroje pre faktory rizika delta</w:t>
      </w:r>
      <w:r w:rsidR="004F01E9">
        <w:rPr>
          <w:noProof/>
        </w:rPr>
        <w:t xml:space="preserve"> a </w:t>
      </w:r>
      <w:r w:rsidRPr="004F01E9">
        <w:rPr>
          <w:noProof/>
        </w:rPr>
        <w:t>vega použijú inštitúcie faktory rizika delta</w:t>
      </w:r>
      <w:r w:rsidR="004F01E9">
        <w:rPr>
          <w:noProof/>
        </w:rPr>
        <w:t xml:space="preserve"> a </w:t>
      </w:r>
      <w:r w:rsidRPr="004F01E9">
        <w:rPr>
          <w:noProof/>
        </w:rPr>
        <w:t>vega opísané</w:t>
      </w:r>
      <w:r w:rsidR="004F01E9">
        <w:rPr>
          <w:noProof/>
        </w:rPr>
        <w:t xml:space="preserve"> v </w:t>
      </w:r>
      <w:r w:rsidRPr="004F01E9">
        <w:rPr>
          <w:noProof/>
        </w:rPr>
        <w:t>článkoch 383c až 383h, ako aj postup stanovený</w:t>
      </w:r>
      <w:r w:rsidR="004F01E9">
        <w:rPr>
          <w:noProof/>
        </w:rPr>
        <w:t xml:space="preserve"> v </w:t>
      </w:r>
      <w:r w:rsidRPr="004F01E9">
        <w:rPr>
          <w:noProof/>
        </w:rPr>
        <w:t>odsekoch 2 až 8.</w:t>
      </w:r>
    </w:p>
    <w:p w14:paraId="6C8C4479" w14:textId="4778FA94" w:rsidR="004009AD" w:rsidRPr="004F01E9" w:rsidRDefault="004009AD" w:rsidP="004009AD">
      <w:pPr>
        <w:pStyle w:val="Text1"/>
        <w:rPr>
          <w:noProof/>
        </w:rPr>
      </w:pPr>
      <w:r w:rsidRPr="004F01E9">
        <w:rPr>
          <w:noProof/>
        </w:rPr>
        <w:t>2. Pre každú triedu rizika uvedenú</w:t>
      </w:r>
      <w:r w:rsidR="004F01E9">
        <w:rPr>
          <w:noProof/>
        </w:rPr>
        <w:t xml:space="preserve"> v </w:t>
      </w:r>
      <w:r w:rsidRPr="004F01E9">
        <w:rPr>
          <w:noProof/>
        </w:rPr>
        <w:t>článku 383 ods. 2 sa citlivosť súhrnných úprav ocenenia pohľadávok</w:t>
      </w:r>
      <w:r w:rsidR="004F01E9">
        <w:rPr>
          <w:noProof/>
        </w:rPr>
        <w:t xml:space="preserve"> a </w:t>
      </w:r>
      <w:r w:rsidRPr="004F01E9">
        <w:rPr>
          <w:noProof/>
        </w:rPr>
        <w:t>citlivosť všetkých pozícií</w:t>
      </w:r>
      <w:r w:rsidR="004F01E9">
        <w:rPr>
          <w:noProof/>
        </w:rPr>
        <w:t xml:space="preserve"> v </w:t>
      </w:r>
      <w:r w:rsidRPr="004F01E9">
        <w:rPr>
          <w:noProof/>
        </w:rPr>
        <w:t>prípustných hedžingoch, ktoré spadajú do rozsahu pôsobnosti požiadaviek na vlastné zdroje pre riziká delta alebo vega,</w:t>
      </w:r>
      <w:r w:rsidR="004F01E9">
        <w:rPr>
          <w:noProof/>
        </w:rPr>
        <w:t xml:space="preserve"> a </w:t>
      </w:r>
      <w:r w:rsidRPr="004F01E9">
        <w:rPr>
          <w:noProof/>
        </w:rPr>
        <w:t>to pre každý</w:t>
      </w:r>
      <w:r w:rsidR="004F01E9">
        <w:rPr>
          <w:noProof/>
        </w:rPr>
        <w:t xml:space="preserve"> z </w:t>
      </w:r>
      <w:r w:rsidRPr="004F01E9">
        <w:rPr>
          <w:noProof/>
        </w:rPr>
        <w:t>uplatniteľných faktorov rizika delta alebo vega zahrnutých do uvedenej triedy rizika, vypočítava</w:t>
      </w:r>
      <w:r w:rsidR="004F01E9">
        <w:rPr>
          <w:noProof/>
        </w:rPr>
        <w:t xml:space="preserve"> s </w:t>
      </w:r>
      <w:r w:rsidRPr="004F01E9">
        <w:rPr>
          <w:noProof/>
        </w:rPr>
        <w:t>pomocou zodpovedajúcich vzorcov stanovených</w:t>
      </w:r>
      <w:r w:rsidR="004F01E9">
        <w:rPr>
          <w:noProof/>
        </w:rPr>
        <w:t xml:space="preserve"> v </w:t>
      </w:r>
      <w:r w:rsidRPr="004F01E9">
        <w:rPr>
          <w:noProof/>
        </w:rPr>
        <w:t>článkoch 383i</w:t>
      </w:r>
      <w:r w:rsidR="004F01E9">
        <w:rPr>
          <w:noProof/>
        </w:rPr>
        <w:t xml:space="preserve"> a </w:t>
      </w:r>
      <w:r w:rsidRPr="004F01E9">
        <w:rPr>
          <w:noProof/>
        </w:rPr>
        <w:t>383j. Ak hodnota nástroja závisí od viacerých faktorov rizika, citlivosť sa stanovuje samostatne pre každý faktor rizika.</w:t>
      </w:r>
    </w:p>
    <w:p w14:paraId="5C2BCF57" w14:textId="42525EFD" w:rsidR="004009AD" w:rsidRPr="009D4D24" w:rsidRDefault="004009AD" w:rsidP="004009AD">
      <w:pPr>
        <w:pStyle w:val="Text1"/>
        <w:rPr>
          <w:noProof/>
          <w:spacing w:val="-8"/>
        </w:rPr>
      </w:pPr>
      <w:r w:rsidRPr="009D4D24">
        <w:rPr>
          <w:noProof/>
          <w:spacing w:val="-8"/>
        </w:rPr>
        <w:t>Do výpočtu citlivostí súhrnných úprav ocenenia pohľadávok na riziko vega sa zahŕňajú citlivosti na volatility používané</w:t>
      </w:r>
      <w:r w:rsidR="004F01E9" w:rsidRPr="009D4D24">
        <w:rPr>
          <w:noProof/>
          <w:spacing w:val="-8"/>
        </w:rPr>
        <w:t xml:space="preserve"> v </w:t>
      </w:r>
      <w:r w:rsidRPr="009D4D24">
        <w:rPr>
          <w:noProof/>
          <w:spacing w:val="-8"/>
        </w:rPr>
        <w:t>modeli expozície na simuláciu faktorov rizika aj citlivosti na volatility používané na precenenie transakcií</w:t>
      </w:r>
      <w:r w:rsidR="004F01E9" w:rsidRPr="009D4D24">
        <w:rPr>
          <w:noProof/>
          <w:spacing w:val="-8"/>
        </w:rPr>
        <w:t xml:space="preserve"> s </w:t>
      </w:r>
      <w:r w:rsidRPr="009D4D24">
        <w:rPr>
          <w:noProof/>
          <w:spacing w:val="-8"/>
        </w:rPr>
        <w:t>opciami</w:t>
      </w:r>
      <w:r w:rsidR="004F01E9" w:rsidRPr="009D4D24">
        <w:rPr>
          <w:noProof/>
          <w:spacing w:val="-8"/>
        </w:rPr>
        <w:t xml:space="preserve"> v </w:t>
      </w:r>
      <w:r w:rsidRPr="009D4D24">
        <w:rPr>
          <w:noProof/>
          <w:spacing w:val="-8"/>
        </w:rPr>
        <w:t>portfóliu</w:t>
      </w:r>
      <w:r w:rsidR="004F01E9" w:rsidRPr="009D4D24">
        <w:rPr>
          <w:noProof/>
          <w:spacing w:val="-8"/>
        </w:rPr>
        <w:t xml:space="preserve"> s </w:t>
      </w:r>
      <w:r w:rsidRPr="009D4D24">
        <w:rPr>
          <w:noProof/>
          <w:spacing w:val="-8"/>
        </w:rPr>
        <w:t>protistranou.</w:t>
      </w:r>
    </w:p>
    <w:p w14:paraId="3E94D72B" w14:textId="1E564268" w:rsidR="00806B81" w:rsidRPr="004F01E9" w:rsidRDefault="004009AD" w:rsidP="004009AD">
      <w:pPr>
        <w:pStyle w:val="Text1"/>
        <w:rPr>
          <w:noProof/>
        </w:rPr>
      </w:pPr>
      <w:r w:rsidRPr="004F01E9">
        <w:rPr>
          <w:noProof/>
        </w:rPr>
        <w:t>Odchylne od odseku 1 môže inštitúcia po povolení príslušných orgánov používať alternatívne definície citlivostí na riziko delta</w:t>
      </w:r>
      <w:r w:rsidR="004F01E9">
        <w:rPr>
          <w:noProof/>
        </w:rPr>
        <w:t xml:space="preserve"> a </w:t>
      </w:r>
      <w:r w:rsidRPr="004F01E9">
        <w:rPr>
          <w:noProof/>
        </w:rPr>
        <w:t>vega pri výpočte požiadaviek na vlastné zdroje pre pozíciu</w:t>
      </w:r>
      <w:r w:rsidR="004F01E9">
        <w:rPr>
          <w:noProof/>
        </w:rPr>
        <w:t xml:space="preserve"> v </w:t>
      </w:r>
      <w:r w:rsidRPr="004F01E9">
        <w:rPr>
          <w:noProof/>
        </w:rPr>
        <w:t>obchodnej knihe podľa tejto kapitoly, za predpokladu, že inštitúcia spĺňa všetky tieto podmienky:</w:t>
      </w:r>
    </w:p>
    <w:p w14:paraId="4F3AD7F6" w14:textId="48483D66" w:rsidR="00806B81" w:rsidRPr="004F01E9" w:rsidRDefault="007D4CBA" w:rsidP="004009AD">
      <w:pPr>
        <w:pStyle w:val="Point1"/>
        <w:rPr>
          <w:noProof/>
        </w:rPr>
      </w:pPr>
      <w:r w:rsidRPr="004F01E9">
        <w:rPr>
          <w:noProof/>
        </w:rPr>
        <w:t>a)</w:t>
      </w:r>
      <w:r w:rsidRPr="004F01E9">
        <w:rPr>
          <w:noProof/>
        </w:rPr>
        <w:tab/>
        <w:t>tieto alternatívne definície sa používajú na účely interného riadenia rizika</w:t>
      </w:r>
      <w:r w:rsidR="004F01E9">
        <w:rPr>
          <w:noProof/>
        </w:rPr>
        <w:t xml:space="preserve"> a </w:t>
      </w:r>
      <w:r w:rsidRPr="004F01E9">
        <w:rPr>
          <w:noProof/>
        </w:rPr>
        <w:t>na vykazovanie ziskov</w:t>
      </w:r>
      <w:r w:rsidR="004F01E9">
        <w:rPr>
          <w:noProof/>
        </w:rPr>
        <w:t xml:space="preserve"> a </w:t>
      </w:r>
      <w:r w:rsidRPr="004F01E9">
        <w:rPr>
          <w:noProof/>
        </w:rPr>
        <w:t>strát vrcholovému manažmentu zo strany nezávislého útvaru kontroly rizika</w:t>
      </w:r>
      <w:r w:rsidR="004F01E9">
        <w:rPr>
          <w:noProof/>
        </w:rPr>
        <w:t xml:space="preserve"> v </w:t>
      </w:r>
      <w:r w:rsidRPr="004F01E9">
        <w:rPr>
          <w:noProof/>
        </w:rPr>
        <w:t>rámci inštitúcie;</w:t>
      </w:r>
    </w:p>
    <w:p w14:paraId="61BB2660" w14:textId="1987170A" w:rsidR="00806B81" w:rsidRPr="004F01E9" w:rsidRDefault="007D4CBA" w:rsidP="004009AD">
      <w:pPr>
        <w:pStyle w:val="Point1"/>
        <w:rPr>
          <w:noProof/>
        </w:rPr>
      </w:pPr>
      <w:r w:rsidRPr="004F01E9">
        <w:rPr>
          <w:noProof/>
        </w:rPr>
        <w:t>b)</w:t>
      </w:r>
      <w:r w:rsidRPr="004F01E9">
        <w:rPr>
          <w:noProof/>
        </w:rPr>
        <w:tab/>
        <w:t>inštitúcia preukáže, že tieto alternatívne definície sú vhodnejšie na zachytenie citlivostí danej pozície než vzorce stanovené</w:t>
      </w:r>
      <w:r w:rsidR="004F01E9">
        <w:rPr>
          <w:noProof/>
        </w:rPr>
        <w:t xml:space="preserve"> v </w:t>
      </w:r>
      <w:r w:rsidRPr="004F01E9">
        <w:rPr>
          <w:noProof/>
        </w:rPr>
        <w:t>článkoch 383i</w:t>
      </w:r>
      <w:r w:rsidR="004F01E9">
        <w:rPr>
          <w:noProof/>
        </w:rPr>
        <w:t xml:space="preserve"> a </w:t>
      </w:r>
      <w:r w:rsidRPr="004F01E9">
        <w:rPr>
          <w:noProof/>
        </w:rPr>
        <w:t>383j,</w:t>
      </w:r>
      <w:r w:rsidR="004F01E9">
        <w:rPr>
          <w:noProof/>
        </w:rPr>
        <w:t xml:space="preserve"> a </w:t>
      </w:r>
      <w:r w:rsidRPr="004F01E9">
        <w:rPr>
          <w:noProof/>
        </w:rPr>
        <w:t>že výsledné citlivosti sa významne neodlišujú od uvedených vzorcov.</w:t>
      </w:r>
    </w:p>
    <w:p w14:paraId="59BC16AA" w14:textId="1FCD7203" w:rsidR="004009AD" w:rsidRPr="004F01E9" w:rsidRDefault="004009AD" w:rsidP="004009AD">
      <w:pPr>
        <w:pStyle w:val="Text1"/>
        <w:rPr>
          <w:noProof/>
        </w:rPr>
      </w:pPr>
      <w:r w:rsidRPr="004F01E9">
        <w:rPr>
          <w:noProof/>
        </w:rPr>
        <w:t>3. Ak je prípustný hedžing indexovým nástrojom, inštitúcie vypočítavajú citlivosti tohto prípustného hedžingu na všetky relevantné faktory rizika uplatňovaním presunu jedného</w:t>
      </w:r>
      <w:r w:rsidR="004F01E9">
        <w:rPr>
          <w:noProof/>
        </w:rPr>
        <w:t xml:space="preserve"> z </w:t>
      </w:r>
      <w:r w:rsidRPr="004F01E9">
        <w:rPr>
          <w:noProof/>
        </w:rPr>
        <w:t>príslušných faktorov rizika na každú zo zložiek indexu.</w:t>
      </w:r>
    </w:p>
    <w:p w14:paraId="1FBE6C59" w14:textId="1FBB3293" w:rsidR="004009AD" w:rsidRPr="009D4D24" w:rsidRDefault="004009AD" w:rsidP="004009AD">
      <w:pPr>
        <w:pStyle w:val="Text1"/>
        <w:rPr>
          <w:noProof/>
          <w:spacing w:val="-4"/>
        </w:rPr>
      </w:pPr>
      <w:r w:rsidRPr="009D4D24">
        <w:rPr>
          <w:noProof/>
          <w:spacing w:val="-4"/>
        </w:rPr>
        <w:t>4. Inštitúcia môže zaviesť dodatočné triedy rizika</w:t>
      </w:r>
      <w:r w:rsidR="004F01E9" w:rsidRPr="009D4D24">
        <w:rPr>
          <w:noProof/>
          <w:spacing w:val="-4"/>
        </w:rPr>
        <w:t xml:space="preserve"> k </w:t>
      </w:r>
      <w:r w:rsidRPr="009D4D24">
        <w:rPr>
          <w:noProof/>
          <w:spacing w:val="-4"/>
        </w:rPr>
        <w:t>triedam uvedeným</w:t>
      </w:r>
      <w:r w:rsidR="004F01E9" w:rsidRPr="009D4D24">
        <w:rPr>
          <w:noProof/>
          <w:spacing w:val="-4"/>
        </w:rPr>
        <w:t xml:space="preserve"> v </w:t>
      </w:r>
      <w:r w:rsidRPr="009D4D24">
        <w:rPr>
          <w:noProof/>
          <w:spacing w:val="-4"/>
        </w:rPr>
        <w:t>článku 383 ods. 2, ktoré zodpovedajú kvalifikovaným indexovým nástrojom. Na účely rizík delta sa indexový nástroj považuje za kvalifikovaný, ak spĺňa podmienky stanovené</w:t>
      </w:r>
      <w:r w:rsidR="004F01E9" w:rsidRPr="009D4D24">
        <w:rPr>
          <w:noProof/>
          <w:spacing w:val="-4"/>
        </w:rPr>
        <w:t xml:space="preserve"> v </w:t>
      </w:r>
      <w:r w:rsidRPr="009D4D24">
        <w:rPr>
          <w:noProof/>
          <w:spacing w:val="-4"/>
        </w:rPr>
        <w:t>článku 325i ods. 3.</w:t>
      </w:r>
      <w:r w:rsidR="004F01E9" w:rsidRPr="009D4D24">
        <w:rPr>
          <w:noProof/>
          <w:spacing w:val="-4"/>
        </w:rPr>
        <w:t xml:space="preserve"> V </w:t>
      </w:r>
      <w:r w:rsidRPr="009D4D24">
        <w:rPr>
          <w:noProof/>
          <w:spacing w:val="-4"/>
        </w:rPr>
        <w:t>prípade rizík vega sa všetky indexové nástroje považujú za kvalifikované.</w:t>
      </w:r>
    </w:p>
    <w:p w14:paraId="674F5E15" w14:textId="11A2C10C" w:rsidR="004009AD" w:rsidRPr="009D4D24" w:rsidRDefault="004009AD" w:rsidP="004009AD">
      <w:pPr>
        <w:pStyle w:val="Text1"/>
        <w:rPr>
          <w:noProof/>
          <w:spacing w:val="-6"/>
        </w:rPr>
      </w:pPr>
      <w:r w:rsidRPr="009D4D24">
        <w:rPr>
          <w:noProof/>
          <w:spacing w:val="-6"/>
        </w:rPr>
        <w:t>Inštitúcia vypočítava citlivosti delta</w:t>
      </w:r>
      <w:r w:rsidR="004F01E9" w:rsidRPr="009D4D24">
        <w:rPr>
          <w:noProof/>
          <w:spacing w:val="-6"/>
        </w:rPr>
        <w:t xml:space="preserve"> a </w:t>
      </w:r>
      <w:r w:rsidRPr="009D4D24">
        <w:rPr>
          <w:noProof/>
          <w:spacing w:val="-6"/>
        </w:rPr>
        <w:t>vega na faktor kvalifikovaného indexového rizika ako jedinú citlivosť na podkladový kvalifikovaný index. Ak sa 75</w:t>
      </w:r>
      <w:r w:rsidR="004F01E9" w:rsidRPr="009D4D24">
        <w:rPr>
          <w:noProof/>
          <w:spacing w:val="-6"/>
        </w:rPr>
        <w:t> %</w:t>
      </w:r>
      <w:r w:rsidRPr="009D4D24">
        <w:rPr>
          <w:noProof/>
          <w:spacing w:val="-6"/>
        </w:rPr>
        <w:t xml:space="preserve"> zložiek kvalifikovaného indexu zaraďuje do rovnakého sektora, ako sa stanovuje</w:t>
      </w:r>
      <w:r w:rsidR="004F01E9" w:rsidRPr="009D4D24">
        <w:rPr>
          <w:noProof/>
          <w:spacing w:val="-6"/>
        </w:rPr>
        <w:t xml:space="preserve"> v </w:t>
      </w:r>
      <w:r w:rsidRPr="009D4D24">
        <w:rPr>
          <w:noProof/>
          <w:spacing w:val="-6"/>
        </w:rPr>
        <w:t>článkoch 383o, 383r</w:t>
      </w:r>
      <w:r w:rsidR="004F01E9" w:rsidRPr="009D4D24">
        <w:rPr>
          <w:noProof/>
          <w:spacing w:val="-6"/>
        </w:rPr>
        <w:t xml:space="preserve"> a </w:t>
      </w:r>
      <w:r w:rsidRPr="009D4D24">
        <w:rPr>
          <w:noProof/>
          <w:spacing w:val="-6"/>
        </w:rPr>
        <w:t>383 t, inštitúcia zaradí kvalifikovaný index do rovnakého sektora.</w:t>
      </w:r>
      <w:r w:rsidR="004F01E9" w:rsidRPr="009D4D24">
        <w:rPr>
          <w:noProof/>
          <w:spacing w:val="-6"/>
        </w:rPr>
        <w:t xml:space="preserve"> V </w:t>
      </w:r>
      <w:r w:rsidRPr="009D4D24">
        <w:rPr>
          <w:noProof/>
          <w:spacing w:val="-6"/>
        </w:rPr>
        <w:t>opačnom prípade inštitúcia zaradí citlivosť do príslušnej kvalifikovanej skupiny indexov.</w:t>
      </w:r>
    </w:p>
    <w:p w14:paraId="6AD93DF8" w14:textId="5589D927" w:rsidR="004009AD" w:rsidRPr="004F01E9" w:rsidRDefault="004009AD" w:rsidP="004009AD">
      <w:pPr>
        <w:pStyle w:val="Text1"/>
        <w:rPr>
          <w:noProof/>
        </w:rPr>
      </w:pPr>
      <w:r w:rsidRPr="004F01E9">
        <w:rPr>
          <w:noProof/>
        </w:rPr>
        <w:t>5. Vážené citlivosti súhrnnej úpravy ocenenia pohľadávok</w:t>
      </w:r>
      <w:r w:rsidR="004F01E9">
        <w:rPr>
          <w:noProof/>
        </w:rPr>
        <w:t xml:space="preserve"> a </w:t>
      </w:r>
      <w:r w:rsidRPr="004F01E9">
        <w:rPr>
          <w:noProof/>
        </w:rPr>
        <w:t>trhovej hodnoty všetkých prípustných hedžingov na každý faktor rizika sa vypočítavajú vynásobením príslušných čistých citlivostí zodpovedajúcou rizikovou váhou podľa týchto vzorcov:</w:t>
      </w:r>
    </w:p>
    <w:p w14:paraId="2B2B33FA" w14:textId="77777777" w:rsidR="004009AD" w:rsidRPr="004F01E9" w:rsidRDefault="00EE12EE"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WS</m:t>
              </m:r>
            </m:e>
            <m:sub>
              <m:r>
                <w:rPr>
                  <w:rFonts w:ascii="Cambria Math" w:hAnsi="Cambria Math"/>
                  <w:noProof/>
                </w:rPr>
                <m:t>k</m:t>
              </m:r>
            </m:sub>
            <m:sup>
              <m:r>
                <w:rPr>
                  <w:rFonts w:ascii="Cambria Math" w:hAnsi="Cambria Math"/>
                  <w:noProof/>
                </w:rPr>
                <m:t>CVA</m:t>
              </m:r>
            </m:sup>
          </m:sSubSup>
          <m:r>
            <m:rPr>
              <m:sty m:val="p"/>
            </m:rPr>
            <w:rPr>
              <w:rFonts w:ascii="Cambria Math" w:hAnsi="Cambria Math"/>
              <w:noProof/>
            </w:rPr>
            <m:t>=</m:t>
          </m:r>
          <m:sSub>
            <m:sSubPr>
              <m:ctrlPr>
                <w:rPr>
                  <w:rFonts w:ascii="Cambria Math" w:hAnsi="Cambria Math"/>
                  <w:noProof/>
                </w:rPr>
              </m:ctrlPr>
            </m:sSubPr>
            <m:e>
              <m:r>
                <w:rPr>
                  <w:rFonts w:ascii="Cambria Math" w:hAnsi="Cambria Math"/>
                  <w:noProof/>
                </w:rPr>
                <m:t>RW</m:t>
              </m:r>
            </m:e>
            <m:sub>
              <m:r>
                <w:rPr>
                  <w:rFonts w:ascii="Cambria Math" w:hAnsi="Cambria Math"/>
                  <w:noProof/>
                </w:rPr>
                <m:t>k</m:t>
              </m:r>
            </m:sub>
          </m:sSub>
          <m:r>
            <w:rPr>
              <w:rFonts w:ascii="Cambria Math" w:hAnsi="Cambria Math"/>
              <w:noProof/>
            </w:rPr>
            <m:t>∙</m:t>
          </m:r>
          <m:sSubSup>
            <m:sSubSupPr>
              <m:ctrlPr>
                <w:rPr>
                  <w:rFonts w:ascii="Cambria Math" w:hAnsi="Cambria Math"/>
                  <w:noProof/>
                </w:rPr>
              </m:ctrlPr>
            </m:sSubSupPr>
            <m:e>
              <m:r>
                <w:rPr>
                  <w:rFonts w:ascii="Cambria Math" w:hAnsi="Cambria Math"/>
                  <w:noProof/>
                </w:rPr>
                <m:t>S</m:t>
              </m:r>
            </m:e>
            <m:sub>
              <m:r>
                <w:rPr>
                  <w:rFonts w:ascii="Cambria Math" w:hAnsi="Cambria Math"/>
                  <w:noProof/>
                </w:rPr>
                <m:t>k</m:t>
              </m:r>
            </m:sub>
            <m:sup>
              <m:r>
                <w:rPr>
                  <w:rFonts w:ascii="Cambria Math" w:hAnsi="Cambria Math"/>
                  <w:noProof/>
                </w:rPr>
                <m:t>CVA</m:t>
              </m:r>
            </m:sup>
          </m:sSubSup>
        </m:oMath>
      </m:oMathPara>
    </w:p>
    <w:p w14:paraId="3375D26A" w14:textId="77777777" w:rsidR="004009AD" w:rsidRPr="004F01E9" w:rsidRDefault="00EE12EE"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WS</m:t>
              </m:r>
            </m:e>
            <m:sub>
              <m:r>
                <w:rPr>
                  <w:rFonts w:ascii="Cambria Math" w:hAnsi="Cambria Math"/>
                  <w:noProof/>
                </w:rPr>
                <m:t>k</m:t>
              </m:r>
            </m:sub>
            <m:sup>
              <m:r>
                <w:rPr>
                  <w:rFonts w:ascii="Cambria Math" w:hAnsi="Cambria Math"/>
                  <w:noProof/>
                </w:rPr>
                <m:t>hedges</m:t>
              </m:r>
            </m:sup>
          </m:sSubSup>
          <m:r>
            <m:rPr>
              <m:sty m:val="p"/>
            </m:rPr>
            <w:rPr>
              <w:rFonts w:ascii="Cambria Math" w:hAnsi="Cambria Math"/>
              <w:noProof/>
            </w:rPr>
            <m:t>=</m:t>
          </m:r>
          <m:sSub>
            <m:sSubPr>
              <m:ctrlPr>
                <w:rPr>
                  <w:rFonts w:ascii="Cambria Math" w:hAnsi="Cambria Math"/>
                  <w:noProof/>
                </w:rPr>
              </m:ctrlPr>
            </m:sSubPr>
            <m:e>
              <m:r>
                <w:rPr>
                  <w:rFonts w:ascii="Cambria Math" w:hAnsi="Cambria Math"/>
                  <w:noProof/>
                </w:rPr>
                <m:t>RW</m:t>
              </m:r>
            </m:e>
            <m:sub>
              <m:r>
                <w:rPr>
                  <w:rFonts w:ascii="Cambria Math" w:hAnsi="Cambria Math"/>
                  <w:noProof/>
                </w:rPr>
                <m:t>k</m:t>
              </m:r>
            </m:sub>
          </m:sSub>
          <m:sSubSup>
            <m:sSubSupPr>
              <m:ctrlPr>
                <w:rPr>
                  <w:rFonts w:ascii="Cambria Math" w:hAnsi="Cambria Math"/>
                  <w:noProof/>
                </w:rPr>
              </m:ctrlPr>
            </m:sSubSupPr>
            <m:e>
              <m:r>
                <w:rPr>
                  <w:rFonts w:ascii="Cambria Math" w:hAnsi="Cambria Math"/>
                  <w:noProof/>
                </w:rPr>
                <m:t>∙S</m:t>
              </m:r>
            </m:e>
            <m:sub>
              <m:r>
                <w:rPr>
                  <w:rFonts w:ascii="Cambria Math" w:hAnsi="Cambria Math"/>
                  <w:noProof/>
                </w:rPr>
                <m:t>k</m:t>
              </m:r>
            </m:sub>
            <m:sup>
              <m:r>
                <w:rPr>
                  <w:rFonts w:ascii="Cambria Math" w:hAnsi="Cambria Math"/>
                  <w:noProof/>
                </w:rPr>
                <m:t>hedges</m:t>
              </m:r>
            </m:sup>
          </m:sSubSup>
        </m:oMath>
      </m:oMathPara>
    </w:p>
    <w:p w14:paraId="4A16091E" w14:textId="77777777" w:rsidR="004009AD" w:rsidRPr="004F01E9" w:rsidRDefault="004009AD" w:rsidP="004009AD">
      <w:pPr>
        <w:pStyle w:val="Text1"/>
        <w:rPr>
          <w:noProof/>
        </w:rPr>
      </w:pPr>
      <w:r w:rsidRPr="004F01E9">
        <w:rPr>
          <w:noProof/>
        </w:rPr>
        <w:t>kde:</w:t>
      </w:r>
    </w:p>
    <w:p w14:paraId="4A68B138" w14:textId="6BBB9DFB" w:rsidR="004009AD" w:rsidRPr="004F01E9" w:rsidRDefault="004009AD" w:rsidP="004009AD">
      <w:pPr>
        <w:pStyle w:val="Text1"/>
        <w:rPr>
          <w:noProof/>
        </w:rPr>
      </w:pPr>
      <m:oMath>
        <m:r>
          <w:rPr>
            <w:rFonts w:ascii="Cambria Math" w:hAnsi="Cambria Math"/>
            <w:noProof/>
          </w:rPr>
          <m:t>k</m:t>
        </m:r>
      </m:oMath>
      <w:r w:rsidRPr="004F01E9">
        <w:rPr>
          <w:noProof/>
        </w:rPr>
        <w:tab/>
        <w:t>= index, ktorý označuje faktor rizika k;</w:t>
      </w:r>
    </w:p>
    <w:p w14:paraId="2D638BB5" w14:textId="3B128093" w:rsidR="004009AD" w:rsidRPr="004F01E9" w:rsidRDefault="00EE12EE" w:rsidP="004009AD">
      <w:pPr>
        <w:pStyle w:val="Text1"/>
        <w:rPr>
          <w:noProof/>
        </w:rPr>
      </w:pPr>
      <m:oMath>
        <m:sSub>
          <m:sSubPr>
            <m:ctrlPr>
              <w:rPr>
                <w:rFonts w:ascii="Cambria Math" w:hAnsi="Cambria Math"/>
                <w:i/>
                <w:noProof/>
              </w:rPr>
            </m:ctrlPr>
          </m:sSubPr>
          <m:e>
            <m:r>
              <w:rPr>
                <w:rFonts w:ascii="Cambria Math" w:hAnsi="Cambria Math"/>
                <w:noProof/>
              </w:rPr>
              <m:t>RW</m:t>
            </m:r>
          </m:e>
          <m:sub>
            <m:r>
              <w:rPr>
                <w:rFonts w:ascii="Cambria Math" w:hAnsi="Cambria Math"/>
                <w:noProof/>
              </w:rPr>
              <m:t>k</m:t>
            </m:r>
          </m:sub>
        </m:sSub>
      </m:oMath>
      <w:r w:rsidR="00DE1B1D" w:rsidRPr="004F01E9">
        <w:rPr>
          <w:noProof/>
        </w:rPr>
        <w:tab/>
        <w:t>= riziková váha uplatniteľná na faktor rizika k;</w:t>
      </w:r>
    </w:p>
    <w:p w14:paraId="5EF37AD7" w14:textId="23ED114F" w:rsidR="004009AD" w:rsidRPr="004F01E9" w:rsidRDefault="00EE12EE" w:rsidP="004009AD">
      <w:pPr>
        <w:pStyle w:val="Text1"/>
        <w:rPr>
          <w:noProof/>
        </w:rPr>
      </w:pPr>
      <m:oMath>
        <m:sSubSup>
          <m:sSubSupPr>
            <m:ctrlPr>
              <w:rPr>
                <w:rFonts w:ascii="Cambria Math" w:hAnsi="Cambria Math"/>
                <w:i/>
                <w:noProof/>
              </w:rPr>
            </m:ctrlPr>
          </m:sSubSupPr>
          <m:e>
            <m:r>
              <w:rPr>
                <w:rFonts w:ascii="Cambria Math" w:hAnsi="Cambria Math"/>
                <w:noProof/>
              </w:rPr>
              <m:t>WS</m:t>
            </m:r>
          </m:e>
          <m:sub>
            <m:r>
              <w:rPr>
                <w:rFonts w:ascii="Cambria Math" w:hAnsi="Cambria Math"/>
                <w:noProof/>
              </w:rPr>
              <m:t>k</m:t>
            </m:r>
          </m:sub>
          <m:sup>
            <m:r>
              <w:rPr>
                <w:rFonts w:ascii="Cambria Math" w:hAnsi="Cambria Math"/>
                <w:noProof/>
              </w:rPr>
              <m:t>CVA</m:t>
            </m:r>
          </m:sup>
        </m:sSubSup>
      </m:oMath>
      <w:r w:rsidR="00DE1B1D" w:rsidRPr="004F01E9">
        <w:rPr>
          <w:noProof/>
        </w:rPr>
        <w:tab/>
        <w:t>= vážená citlivosť súhrnnej úpravy ocenenia pohľadávok na faktor rizika k;</w:t>
      </w:r>
    </w:p>
    <w:p w14:paraId="3DBC6D03" w14:textId="2F4AEC65" w:rsidR="004009AD" w:rsidRPr="004F01E9" w:rsidRDefault="00EE12EE" w:rsidP="004009AD">
      <w:pPr>
        <w:pStyle w:val="Text1"/>
        <w:rPr>
          <w:noProof/>
        </w:rPr>
      </w:pPr>
      <m:oMath>
        <m:sSubSup>
          <m:sSubSupPr>
            <m:ctrlPr>
              <w:rPr>
                <w:rFonts w:ascii="Cambria Math" w:hAnsi="Cambria Math"/>
                <w:i/>
                <w:noProof/>
              </w:rPr>
            </m:ctrlPr>
          </m:sSubSupPr>
          <m:e>
            <m:r>
              <w:rPr>
                <w:rFonts w:ascii="Cambria Math" w:hAnsi="Cambria Math"/>
                <w:noProof/>
              </w:rPr>
              <m:t>S</m:t>
            </m:r>
          </m:e>
          <m:sub>
            <m:r>
              <w:rPr>
                <w:rFonts w:ascii="Cambria Math" w:hAnsi="Cambria Math"/>
                <w:noProof/>
              </w:rPr>
              <m:t>k</m:t>
            </m:r>
          </m:sub>
          <m:sup>
            <m:r>
              <w:rPr>
                <w:rFonts w:ascii="Cambria Math" w:hAnsi="Cambria Math"/>
                <w:noProof/>
              </w:rPr>
              <m:t>CVA</m:t>
            </m:r>
          </m:sup>
        </m:sSubSup>
      </m:oMath>
      <w:r w:rsidR="00DE1B1D" w:rsidRPr="004F01E9">
        <w:rPr>
          <w:noProof/>
        </w:rPr>
        <w:tab/>
        <w:t>= čistá citlivosť súhrnnej úpravy ocenenia pohľadávok na faktor rizika k;</w:t>
      </w:r>
    </w:p>
    <w:p w14:paraId="00AEDCF1" w14:textId="722D20A7" w:rsidR="004009AD" w:rsidRPr="004F01E9" w:rsidRDefault="00EE12EE" w:rsidP="004009AD">
      <w:pPr>
        <w:pStyle w:val="Text1"/>
        <w:rPr>
          <w:noProof/>
        </w:rPr>
      </w:pPr>
      <m:oMath>
        <m:sSubSup>
          <m:sSubSupPr>
            <m:ctrlPr>
              <w:rPr>
                <w:rFonts w:ascii="Cambria Math" w:hAnsi="Cambria Math"/>
                <w:i/>
                <w:noProof/>
              </w:rPr>
            </m:ctrlPr>
          </m:sSubSupPr>
          <m:e>
            <m:r>
              <w:rPr>
                <w:rFonts w:ascii="Cambria Math" w:hAnsi="Cambria Math"/>
                <w:noProof/>
              </w:rPr>
              <m:t>WS</m:t>
            </m:r>
          </m:e>
          <m:sub>
            <m:r>
              <w:rPr>
                <w:rFonts w:ascii="Cambria Math" w:hAnsi="Cambria Math"/>
                <w:noProof/>
              </w:rPr>
              <m:t>k</m:t>
            </m:r>
          </m:sub>
          <m:sup>
            <m:r>
              <w:rPr>
                <w:rFonts w:ascii="Cambria Math" w:hAnsi="Cambria Math"/>
                <w:noProof/>
              </w:rPr>
              <m:t>hedges</m:t>
            </m:r>
          </m:sup>
        </m:sSubSup>
      </m:oMath>
      <w:r w:rsidR="00DE1B1D" w:rsidRPr="004F01E9">
        <w:rPr>
          <w:noProof/>
        </w:rPr>
        <w:tab/>
        <w:t>= vážená citlivosť trhovej hodnoty všetkých prípustných hedžingov</w:t>
      </w:r>
      <w:r w:rsidR="004F01E9">
        <w:rPr>
          <w:noProof/>
        </w:rPr>
        <w:t xml:space="preserve"> v </w:t>
      </w:r>
      <w:r w:rsidR="00DE1B1D" w:rsidRPr="004F01E9">
        <w:rPr>
          <w:noProof/>
        </w:rPr>
        <w:t>portfóliu úpravy ocenenia pohľadávok na faktor rizika k;</w:t>
      </w:r>
    </w:p>
    <w:p w14:paraId="4F5EBCA7" w14:textId="705B6880" w:rsidR="004009AD" w:rsidRPr="004F01E9" w:rsidRDefault="00EE12EE" w:rsidP="004009AD">
      <w:pPr>
        <w:pStyle w:val="Text1"/>
        <w:rPr>
          <w:noProof/>
        </w:rPr>
      </w:pPr>
      <m:oMath>
        <m:sSubSup>
          <m:sSubSupPr>
            <m:ctrlPr>
              <w:rPr>
                <w:rFonts w:ascii="Cambria Math" w:hAnsi="Cambria Math"/>
                <w:i/>
                <w:noProof/>
              </w:rPr>
            </m:ctrlPr>
          </m:sSubSupPr>
          <m:e>
            <m:r>
              <w:rPr>
                <w:rFonts w:ascii="Cambria Math" w:hAnsi="Cambria Math"/>
                <w:noProof/>
              </w:rPr>
              <m:t>S</m:t>
            </m:r>
          </m:e>
          <m:sub>
            <m:r>
              <w:rPr>
                <w:rFonts w:ascii="Cambria Math" w:hAnsi="Cambria Math"/>
                <w:noProof/>
              </w:rPr>
              <m:t>k</m:t>
            </m:r>
          </m:sub>
          <m:sup>
            <m:r>
              <w:rPr>
                <w:rFonts w:ascii="Cambria Math" w:hAnsi="Cambria Math"/>
                <w:noProof/>
              </w:rPr>
              <m:t>hedges</m:t>
            </m:r>
          </m:sup>
        </m:sSubSup>
      </m:oMath>
      <w:r w:rsidR="00DE1B1D" w:rsidRPr="004F01E9">
        <w:rPr>
          <w:noProof/>
        </w:rPr>
        <w:tab/>
        <w:t>= čistá citlivosť trhovej hodnoty všetkých prípustných hedžingov</w:t>
      </w:r>
      <w:r w:rsidR="004F01E9">
        <w:rPr>
          <w:noProof/>
        </w:rPr>
        <w:t xml:space="preserve"> v </w:t>
      </w:r>
      <w:r w:rsidR="00DE1B1D" w:rsidRPr="004F01E9">
        <w:rPr>
          <w:noProof/>
        </w:rPr>
        <w:t>portfóliu úpravy ocenenia pohľadávok na faktor rizika k.</w:t>
      </w:r>
    </w:p>
    <w:p w14:paraId="13BE8F5A" w14:textId="34B377C8" w:rsidR="00806B81" w:rsidRPr="004F01E9" w:rsidRDefault="004009AD" w:rsidP="004009AD">
      <w:pPr>
        <w:pStyle w:val="Text1"/>
        <w:rPr>
          <w:noProof/>
        </w:rPr>
      </w:pPr>
      <w:r w:rsidRPr="004F01E9">
        <w:rPr>
          <w:noProof/>
        </w:rPr>
        <w:t xml:space="preserve">6. Inštitúcie vypočítavajú čistú váženú citlivosť </w:t>
      </w:r>
      <m:oMath>
        <m:sSub>
          <m:sSubPr>
            <m:ctrlPr>
              <w:rPr>
                <w:rFonts w:ascii="Cambria Math" w:hAnsi="Cambria Math"/>
                <w:noProof/>
              </w:rPr>
            </m:ctrlPr>
          </m:sSubPr>
          <m:e>
            <m:r>
              <w:rPr>
                <w:rFonts w:ascii="Cambria Math" w:hAnsi="Cambria Math"/>
                <w:noProof/>
              </w:rPr>
              <m:t>WS</m:t>
            </m:r>
          </m:e>
          <m:sub>
            <m:r>
              <w:rPr>
                <w:rFonts w:ascii="Cambria Math" w:hAnsi="Cambria Math"/>
                <w:noProof/>
              </w:rPr>
              <m:t>k</m:t>
            </m:r>
          </m:sub>
        </m:sSub>
      </m:oMath>
      <w:r w:rsidRPr="004F01E9">
        <w:rPr>
          <w:noProof/>
        </w:rPr>
        <w:t xml:space="preserve"> portfólia úpravy ocenenia pohľadávok na faktor rizika</w:t>
      </w:r>
      <w:r w:rsidR="004F01E9">
        <w:rPr>
          <w:noProof/>
        </w:rPr>
        <w:t xml:space="preserve"> k </w:t>
      </w:r>
      <w:r w:rsidRPr="004F01E9">
        <w:rPr>
          <w:noProof/>
        </w:rPr>
        <w:t>podľa tohto vzorca:</w:t>
      </w:r>
    </w:p>
    <w:p w14:paraId="1C9E1C62" w14:textId="1CD0DD17" w:rsidR="004009AD" w:rsidRPr="004F01E9" w:rsidRDefault="00EE12EE" w:rsidP="004009AD">
      <w:pPr>
        <w:pStyle w:val="Text1"/>
        <w:rPr>
          <w:noProof/>
        </w:rPr>
      </w:pPr>
      <m:oMathPara>
        <m:oMath>
          <m:sSub>
            <m:sSubPr>
              <m:ctrlPr>
                <w:rPr>
                  <w:rFonts w:ascii="Cambria Math" w:hAnsi="Cambria Math"/>
                  <w:noProof/>
                </w:rPr>
              </m:ctrlPr>
            </m:sSubPr>
            <m:e>
              <m:r>
                <w:rPr>
                  <w:rFonts w:ascii="Cambria Math" w:hAnsi="Cambria Math"/>
                  <w:noProof/>
                </w:rPr>
                <m:t>WS</m:t>
              </m:r>
            </m:e>
            <m:sub>
              <m:r>
                <w:rPr>
                  <w:rFonts w:ascii="Cambria Math" w:hAnsi="Cambria Math"/>
                  <w:noProof/>
                </w:rPr>
                <m:t>k</m:t>
              </m:r>
            </m:sub>
          </m:sSub>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WS</m:t>
              </m:r>
            </m:e>
            <m:sub>
              <m:r>
                <w:rPr>
                  <w:rFonts w:ascii="Cambria Math" w:hAnsi="Cambria Math"/>
                  <w:noProof/>
                </w:rPr>
                <m:t>k</m:t>
              </m:r>
            </m:sub>
            <m:sup>
              <m:r>
                <w:rPr>
                  <w:rFonts w:ascii="Cambria Math" w:hAnsi="Cambria Math"/>
                  <w:noProof/>
                </w:rPr>
                <m:t>CVA</m:t>
              </m:r>
            </m:sup>
          </m:sSubSup>
          <m:r>
            <m:rPr>
              <m:sty m:val="p"/>
            </m:rPr>
            <w:rPr>
              <w:rFonts w:ascii="Cambria Math" w:hAnsi="Cambria Math"/>
              <w:noProof/>
            </w:rPr>
            <m:t xml:space="preserve">- </m:t>
          </m:r>
          <m:sSubSup>
            <m:sSubSupPr>
              <m:ctrlPr>
                <w:rPr>
                  <w:rFonts w:ascii="Cambria Math" w:hAnsi="Cambria Math"/>
                  <w:noProof/>
                </w:rPr>
              </m:ctrlPr>
            </m:sSubSupPr>
            <m:e>
              <m:r>
                <w:rPr>
                  <w:rFonts w:ascii="Cambria Math" w:hAnsi="Cambria Math"/>
                  <w:noProof/>
                </w:rPr>
                <m:t>WS</m:t>
              </m:r>
            </m:e>
            <m:sub>
              <m:r>
                <w:rPr>
                  <w:rFonts w:ascii="Cambria Math" w:hAnsi="Cambria Math"/>
                  <w:noProof/>
                </w:rPr>
                <m:t>k</m:t>
              </m:r>
            </m:sub>
            <m:sup>
              <m:r>
                <w:rPr>
                  <w:rFonts w:ascii="Cambria Math" w:hAnsi="Cambria Math"/>
                  <w:noProof/>
                </w:rPr>
                <m:t>hedges</m:t>
              </m:r>
            </m:sup>
          </m:sSubSup>
        </m:oMath>
      </m:oMathPara>
    </w:p>
    <w:p w14:paraId="57319BBC" w14:textId="0B8656FB" w:rsidR="00806B81" w:rsidRPr="004F01E9" w:rsidRDefault="004009AD" w:rsidP="004009AD">
      <w:pPr>
        <w:pStyle w:val="Text1"/>
        <w:rPr>
          <w:noProof/>
        </w:rPr>
      </w:pPr>
      <w:r w:rsidRPr="004F01E9">
        <w:rPr>
          <w:noProof/>
        </w:rPr>
        <w:t>7. Čisté vážené citlivosti</w:t>
      </w:r>
      <w:r w:rsidR="004F01E9">
        <w:rPr>
          <w:noProof/>
        </w:rPr>
        <w:t xml:space="preserve"> v </w:t>
      </w:r>
      <w:r w:rsidRPr="004F01E9">
        <w:rPr>
          <w:noProof/>
        </w:rPr>
        <w:t>rámci rovnakej skupiny sa agregujú</w:t>
      </w:r>
      <w:r w:rsidR="004F01E9">
        <w:rPr>
          <w:noProof/>
        </w:rPr>
        <w:t xml:space="preserve"> v </w:t>
      </w:r>
      <w:r w:rsidRPr="004F01E9">
        <w:rPr>
          <w:noProof/>
        </w:rPr>
        <w:t>súlade</w:t>
      </w:r>
      <w:r w:rsidR="004F01E9">
        <w:rPr>
          <w:noProof/>
        </w:rPr>
        <w:t xml:space="preserve"> s </w:t>
      </w:r>
      <w:r w:rsidRPr="004F01E9">
        <w:rPr>
          <w:noProof/>
        </w:rPr>
        <w:t xml:space="preserve">týmto vzorcom, pričom sa použijú zodpovedajúce korelácie </w:t>
      </w:r>
      <m:oMath>
        <m:sSub>
          <m:sSubPr>
            <m:ctrlPr>
              <w:rPr>
                <w:rFonts w:ascii="Cambria Math" w:hAnsi="Cambria Math"/>
                <w:noProof/>
              </w:rPr>
            </m:ctrlPr>
          </m:sSubPr>
          <m:e>
            <m:r>
              <w:rPr>
                <w:rFonts w:ascii="Cambria Math" w:hAnsi="Cambria Math"/>
                <w:noProof/>
              </w:rPr>
              <m:t>ρ</m:t>
            </m:r>
          </m:e>
          <m:sub>
            <m:r>
              <w:rPr>
                <w:rFonts w:ascii="Cambria Math" w:hAnsi="Cambria Math"/>
                <w:noProof/>
              </w:rPr>
              <m:t>kl</m:t>
            </m:r>
          </m:sub>
        </m:sSub>
      </m:oMath>
      <w:r w:rsidRPr="004F01E9">
        <w:rPr>
          <w:noProof/>
        </w:rPr>
        <w:t xml:space="preserve"> pre vážené citlivosti</w:t>
      </w:r>
      <w:r w:rsidR="004F01E9">
        <w:rPr>
          <w:noProof/>
        </w:rPr>
        <w:t xml:space="preserve"> v </w:t>
      </w:r>
      <w:r w:rsidRPr="004F01E9">
        <w:rPr>
          <w:noProof/>
        </w:rPr>
        <w:t>rámci rovnakej skupiny stanovené</w:t>
      </w:r>
      <w:r w:rsidR="004F01E9">
        <w:rPr>
          <w:noProof/>
        </w:rPr>
        <w:t xml:space="preserve"> v </w:t>
      </w:r>
      <w:r w:rsidRPr="004F01E9">
        <w:rPr>
          <w:noProof/>
        </w:rPr>
        <w:t>článkoch 383l, 383s</w:t>
      </w:r>
      <w:r w:rsidR="004F01E9">
        <w:rPr>
          <w:noProof/>
        </w:rPr>
        <w:t xml:space="preserve"> a </w:t>
      </w:r>
      <w:r w:rsidRPr="004F01E9">
        <w:rPr>
          <w:noProof/>
        </w:rPr>
        <w:t>383p, čím sa vytvorí citlivosť</w:t>
      </w:r>
      <w:r w:rsidR="004F01E9" w:rsidRPr="004F01E9">
        <w:rPr>
          <w:noProof/>
        </w:rPr>
        <w:t xml:space="preserve"> </w:t>
      </w:r>
      <w:r w:rsidRPr="004F01E9">
        <w:rPr>
          <w:noProof/>
        </w:rPr>
        <w:t xml:space="preserve">špecifická pre skupinu </w:t>
      </w:r>
      <m:oMath>
        <m:sSub>
          <m:sSubPr>
            <m:ctrlPr>
              <w:rPr>
                <w:rFonts w:ascii="Cambria Math" w:hAnsi="Cambria Math"/>
                <w:noProof/>
              </w:rPr>
            </m:ctrlPr>
          </m:sSubPr>
          <m:e>
            <m:r>
              <w:rPr>
                <w:rFonts w:ascii="Cambria Math" w:hAnsi="Cambria Math"/>
                <w:noProof/>
              </w:rPr>
              <m:t>K</m:t>
            </m:r>
          </m:e>
          <m:sub>
            <m:r>
              <w:rPr>
                <w:rFonts w:ascii="Cambria Math" w:hAnsi="Cambria Math"/>
                <w:noProof/>
              </w:rPr>
              <m:t>b</m:t>
            </m:r>
          </m:sub>
        </m:sSub>
      </m:oMath>
      <w:r w:rsidRPr="004F01E9">
        <w:rPr>
          <w:noProof/>
        </w:rPr>
        <w:t>:</w:t>
      </w:r>
    </w:p>
    <w:p w14:paraId="1E0B9258" w14:textId="6C6AC5C2" w:rsidR="004009AD" w:rsidRPr="004F01E9" w:rsidRDefault="00EE12EE" w:rsidP="004009AD">
      <w:pPr>
        <w:pStyle w:val="Text1"/>
        <w:rPr>
          <w:noProof/>
        </w:rPr>
      </w:pPr>
      <m:oMathPara>
        <m:oMath>
          <m:sSub>
            <m:sSubPr>
              <m:ctrlPr>
                <w:rPr>
                  <w:rFonts w:ascii="Cambria Math" w:hAnsi="Cambria Math"/>
                  <w:noProof/>
                </w:rPr>
              </m:ctrlPr>
            </m:sSubPr>
            <m:e>
              <m:r>
                <w:rPr>
                  <w:rFonts w:ascii="Cambria Math" w:hAnsi="Cambria Math"/>
                  <w:noProof/>
                </w:rPr>
                <m:t>K</m:t>
              </m:r>
            </m:e>
            <m:sub>
              <m:r>
                <w:rPr>
                  <w:rFonts w:ascii="Cambria Math" w:hAnsi="Cambria Math"/>
                  <w:noProof/>
                </w:rPr>
                <m:t>b</m:t>
              </m:r>
            </m:sub>
          </m:sSub>
          <m:r>
            <m:rPr>
              <m:sty m:val="p"/>
            </m:rPr>
            <w:rPr>
              <w:rFonts w:ascii="Cambria Math" w:hAnsi="Cambria Math"/>
              <w:noProof/>
            </w:rPr>
            <m:t>=</m:t>
          </m:r>
          <m:rad>
            <m:radPr>
              <m:degHide m:val="1"/>
              <m:ctrlPr>
                <w:rPr>
                  <w:rFonts w:ascii="Cambria Math" w:hAnsi="Cambria Math"/>
                  <w:noProof/>
                </w:rPr>
              </m:ctrlPr>
            </m:radPr>
            <m:deg/>
            <m:e>
              <m:nary>
                <m:naryPr>
                  <m:chr m:val="∑"/>
                  <m:limLoc m:val="undOvr"/>
                  <m:supHide m:val="1"/>
                  <m:ctrlPr>
                    <w:rPr>
                      <w:rFonts w:ascii="Cambria Math" w:hAnsi="Cambria Math"/>
                      <w:noProof/>
                    </w:rPr>
                  </m:ctrlPr>
                </m:naryPr>
                <m:sub>
                  <m:r>
                    <w:rPr>
                      <w:rFonts w:ascii="Cambria Math" w:hAnsi="Cambria Math"/>
                      <w:noProof/>
                    </w:rPr>
                    <m:t>k</m:t>
                  </m:r>
                </m:sub>
                <m:sup/>
                <m:e>
                  <m:sSubSup>
                    <m:sSubSupPr>
                      <m:ctrlPr>
                        <w:rPr>
                          <w:rFonts w:ascii="Cambria Math" w:hAnsi="Cambria Math"/>
                          <w:noProof/>
                        </w:rPr>
                      </m:ctrlPr>
                    </m:sSubSupPr>
                    <m:e>
                      <m:r>
                        <w:rPr>
                          <w:rFonts w:ascii="Cambria Math" w:hAnsi="Cambria Math"/>
                          <w:noProof/>
                        </w:rPr>
                        <m:t>WS</m:t>
                      </m:r>
                    </m:e>
                    <m:sub>
                      <m:r>
                        <w:rPr>
                          <w:rFonts w:ascii="Cambria Math" w:hAnsi="Cambria Math"/>
                          <w:noProof/>
                        </w:rPr>
                        <m:t>k</m:t>
                      </m:r>
                    </m:sub>
                    <m:sup>
                      <m:r>
                        <m:rPr>
                          <m:sty m:val="p"/>
                        </m:rPr>
                        <w:rPr>
                          <w:rFonts w:ascii="Cambria Math" w:hAnsi="Cambria Math"/>
                          <w:noProof/>
                        </w:rPr>
                        <m:t>2</m:t>
                      </m:r>
                    </m:sup>
                  </m:sSubSup>
                  <m:r>
                    <m:rPr>
                      <m:sty m:val="p"/>
                    </m:rPr>
                    <w:rPr>
                      <w:rFonts w:ascii="Cambria Math" w:hAnsi="Cambria Math"/>
                      <w:noProof/>
                    </w:rPr>
                    <m:t>+</m:t>
                  </m:r>
                  <m:nary>
                    <m:naryPr>
                      <m:chr m:val="∑"/>
                      <m:limLoc m:val="undOvr"/>
                      <m:supHide m:val="1"/>
                      <m:ctrlPr>
                        <w:rPr>
                          <w:rFonts w:ascii="Cambria Math" w:hAnsi="Cambria Math"/>
                          <w:noProof/>
                        </w:rPr>
                      </m:ctrlPr>
                    </m:naryPr>
                    <m:sub>
                      <m:r>
                        <w:rPr>
                          <w:rFonts w:ascii="Cambria Math" w:hAnsi="Cambria Math"/>
                          <w:noProof/>
                        </w:rPr>
                        <m:t>kϵb</m:t>
                      </m:r>
                    </m:sub>
                    <m:sup/>
                    <m:e>
                      <m:nary>
                        <m:naryPr>
                          <m:chr m:val="∑"/>
                          <m:limLoc m:val="undOvr"/>
                          <m:supHide m:val="1"/>
                          <m:ctrlPr>
                            <w:rPr>
                              <w:rFonts w:ascii="Cambria Math" w:hAnsi="Cambria Math"/>
                              <w:noProof/>
                            </w:rPr>
                          </m:ctrlPr>
                        </m:naryPr>
                        <m:sub>
                          <m:r>
                            <w:rPr>
                              <w:rFonts w:ascii="Cambria Math" w:hAnsi="Cambria Math"/>
                              <w:noProof/>
                            </w:rPr>
                            <m:t>lϵb</m:t>
                          </m:r>
                          <m:r>
                            <m:rPr>
                              <m:sty m:val="p"/>
                            </m:rPr>
                            <w:rPr>
                              <w:rFonts w:ascii="Cambria Math" w:hAnsi="Cambria Math"/>
                              <w:noProof/>
                            </w:rPr>
                            <m:t>,</m:t>
                          </m:r>
                          <m:r>
                            <w:rPr>
                              <w:rFonts w:ascii="Cambria Math" w:hAnsi="Cambria Math"/>
                              <w:noProof/>
                            </w:rPr>
                            <m:t>k</m:t>
                          </m:r>
                          <m:r>
                            <m:rPr>
                              <m:sty m:val="p"/>
                            </m:rPr>
                            <w:rPr>
                              <w:rFonts w:ascii="Cambria Math" w:hAnsi="Cambria Math"/>
                              <w:noProof/>
                            </w:rPr>
                            <m:t>≠</m:t>
                          </m:r>
                          <m:r>
                            <w:rPr>
                              <w:rFonts w:ascii="Cambria Math" w:hAnsi="Cambria Math"/>
                              <w:noProof/>
                            </w:rPr>
                            <m:t>l</m:t>
                          </m:r>
                        </m:sub>
                        <m:sup/>
                        <m:e>
                          <m:sSub>
                            <m:sSubPr>
                              <m:ctrlPr>
                                <w:rPr>
                                  <w:rFonts w:ascii="Cambria Math" w:hAnsi="Cambria Math"/>
                                  <w:noProof/>
                                </w:rPr>
                              </m:ctrlPr>
                            </m:sSubPr>
                            <m:e>
                              <m:r>
                                <w:rPr>
                                  <w:rFonts w:ascii="Cambria Math" w:hAnsi="Cambria Math"/>
                                  <w:noProof/>
                                </w:rPr>
                                <m:t>ρ</m:t>
                              </m:r>
                            </m:e>
                            <m:sub>
                              <m:r>
                                <w:rPr>
                                  <w:rFonts w:ascii="Cambria Math" w:hAnsi="Cambria Math"/>
                                  <w:noProof/>
                                </w:rPr>
                                <m:t>kl</m:t>
                              </m:r>
                            </m:sub>
                          </m:sSub>
                          <m:sSub>
                            <m:sSubPr>
                              <m:ctrlPr>
                                <w:rPr>
                                  <w:rFonts w:ascii="Cambria Math" w:hAnsi="Cambria Math"/>
                                  <w:noProof/>
                                </w:rPr>
                              </m:ctrlPr>
                            </m:sSubPr>
                            <m:e>
                              <m:r>
                                <w:rPr>
                                  <w:rFonts w:ascii="Cambria Math" w:hAnsi="Cambria Math"/>
                                  <w:noProof/>
                                </w:rPr>
                                <m:t>WS</m:t>
                              </m:r>
                            </m:e>
                            <m:sub>
                              <m:r>
                                <w:rPr>
                                  <w:rFonts w:ascii="Cambria Math" w:hAnsi="Cambria Math"/>
                                  <w:noProof/>
                                </w:rPr>
                                <m:t>k</m:t>
                              </m:r>
                            </m:sub>
                          </m:sSub>
                          <m:sSub>
                            <m:sSubPr>
                              <m:ctrlPr>
                                <w:rPr>
                                  <w:rFonts w:ascii="Cambria Math" w:hAnsi="Cambria Math"/>
                                  <w:noProof/>
                                </w:rPr>
                              </m:ctrlPr>
                            </m:sSubPr>
                            <m:e>
                              <m:r>
                                <w:rPr>
                                  <w:rFonts w:ascii="Cambria Math" w:hAnsi="Cambria Math"/>
                                  <w:noProof/>
                                </w:rPr>
                                <m:t>WS</m:t>
                              </m:r>
                            </m:e>
                            <m:sub>
                              <m:r>
                                <w:rPr>
                                  <w:rFonts w:ascii="Cambria Math" w:hAnsi="Cambria Math"/>
                                  <w:noProof/>
                                </w:rPr>
                                <m:t>l</m:t>
                              </m:r>
                            </m:sub>
                          </m:sSub>
                          <m:r>
                            <m:rPr>
                              <m:sty m:val="p"/>
                            </m:rPr>
                            <w:rPr>
                              <w:rFonts w:ascii="Cambria Math" w:hAnsi="Cambria Math"/>
                              <w:noProof/>
                            </w:rPr>
                            <m:t>+</m:t>
                          </m:r>
                          <m:r>
                            <w:rPr>
                              <w:rFonts w:ascii="Cambria Math" w:hAnsi="Cambria Math"/>
                              <w:noProof/>
                            </w:rPr>
                            <m:t>R</m:t>
                          </m:r>
                          <m:r>
                            <m:rPr>
                              <m:sty m:val="p"/>
                            </m:rPr>
                            <w:rPr>
                              <w:rFonts w:ascii="Cambria Math" w:hAnsi="Cambria Math"/>
                              <w:noProof/>
                            </w:rPr>
                            <m:t>∙</m:t>
                          </m:r>
                          <m:nary>
                            <m:naryPr>
                              <m:chr m:val="∑"/>
                              <m:limLoc m:val="undOvr"/>
                              <m:supHide m:val="1"/>
                              <m:ctrlPr>
                                <w:rPr>
                                  <w:rFonts w:ascii="Cambria Math" w:hAnsi="Cambria Math"/>
                                  <w:noProof/>
                                </w:rPr>
                              </m:ctrlPr>
                            </m:naryPr>
                            <m:sub>
                              <m:r>
                                <w:rPr>
                                  <w:rFonts w:ascii="Cambria Math" w:hAnsi="Cambria Math"/>
                                  <w:noProof/>
                                </w:rPr>
                                <m:t>kϵb</m:t>
                              </m:r>
                            </m:sub>
                            <m:sup/>
                            <m:e>
                              <m:d>
                                <m:dPr>
                                  <m:ctrlPr>
                                    <w:rPr>
                                      <w:rFonts w:ascii="Cambria Math" w:hAnsi="Cambria Math"/>
                                      <w:noProof/>
                                    </w:rPr>
                                  </m:ctrlPr>
                                </m:dPr>
                                <m:e>
                                  <m:sSup>
                                    <m:sSupPr>
                                      <m:ctrlPr>
                                        <w:rPr>
                                          <w:rFonts w:ascii="Cambria Math" w:hAnsi="Cambria Math"/>
                                          <w:noProof/>
                                        </w:rPr>
                                      </m:ctrlPr>
                                    </m:sSupPr>
                                    <m:e>
                                      <m:d>
                                        <m:dPr>
                                          <m:ctrlPr>
                                            <w:rPr>
                                              <w:rFonts w:ascii="Cambria Math" w:hAnsi="Cambria Math"/>
                                              <w:noProof/>
                                            </w:rPr>
                                          </m:ctrlPr>
                                        </m:dPr>
                                        <m:e>
                                          <m:sSubSup>
                                            <m:sSubSupPr>
                                              <m:ctrlPr>
                                                <w:rPr>
                                                  <w:rFonts w:ascii="Cambria Math" w:hAnsi="Cambria Math"/>
                                                  <w:noProof/>
                                                </w:rPr>
                                              </m:ctrlPr>
                                            </m:sSubSupPr>
                                            <m:e>
                                              <m:r>
                                                <w:rPr>
                                                  <w:rFonts w:ascii="Cambria Math" w:hAnsi="Cambria Math"/>
                                                  <w:noProof/>
                                                </w:rPr>
                                                <m:t>WS</m:t>
                                              </m:r>
                                            </m:e>
                                            <m:sub>
                                              <m:r>
                                                <w:rPr>
                                                  <w:rFonts w:ascii="Cambria Math" w:hAnsi="Cambria Math"/>
                                                  <w:noProof/>
                                                </w:rPr>
                                                <m:t>k</m:t>
                                              </m:r>
                                            </m:sub>
                                            <m:sup>
                                              <m:r>
                                                <w:rPr>
                                                  <w:rFonts w:ascii="Cambria Math" w:hAnsi="Cambria Math"/>
                                                  <w:noProof/>
                                                </w:rPr>
                                                <m:t>hedges</m:t>
                                              </m:r>
                                            </m:sup>
                                          </m:sSubSup>
                                        </m:e>
                                      </m:d>
                                    </m:e>
                                    <m:sup>
                                      <m:r>
                                        <m:rPr>
                                          <m:sty m:val="p"/>
                                        </m:rPr>
                                        <w:rPr>
                                          <w:rFonts w:ascii="Cambria Math" w:hAnsi="Cambria Math"/>
                                          <w:noProof/>
                                        </w:rPr>
                                        <m:t>2</m:t>
                                      </m:r>
                                    </m:sup>
                                  </m:sSup>
                                </m:e>
                              </m:d>
                            </m:e>
                          </m:nary>
                        </m:e>
                      </m:nary>
                    </m:e>
                  </m:nary>
                </m:e>
              </m:nary>
            </m:e>
          </m:rad>
        </m:oMath>
      </m:oMathPara>
    </w:p>
    <w:p w14:paraId="2A2914D8" w14:textId="77777777" w:rsidR="00806B81" w:rsidRPr="004F01E9" w:rsidRDefault="004009AD" w:rsidP="004009AD">
      <w:pPr>
        <w:pStyle w:val="Text1"/>
        <w:rPr>
          <w:noProof/>
        </w:rPr>
      </w:pPr>
      <w:r w:rsidRPr="004F01E9">
        <w:rPr>
          <w:noProof/>
        </w:rPr>
        <w:t>kde:</w:t>
      </w:r>
    </w:p>
    <w:p w14:paraId="5C41F2A2" w14:textId="1E0B95E3" w:rsidR="004009AD" w:rsidRPr="004F01E9" w:rsidRDefault="00EE12EE" w:rsidP="004009AD">
      <w:pPr>
        <w:pStyle w:val="Text1"/>
        <w:rPr>
          <w:rFonts w:eastAsiaTheme="minorEastAsia"/>
          <w:noProof/>
        </w:rPr>
      </w:pPr>
      <m:oMath>
        <m:sSub>
          <m:sSubPr>
            <m:ctrlPr>
              <w:rPr>
                <w:rFonts w:ascii="Cambria Math" w:eastAsiaTheme="minorEastAsia" w:hAnsi="Cambria Math"/>
                <w:i/>
                <w:noProof/>
              </w:rPr>
            </m:ctrlPr>
          </m:sSubPr>
          <m:e>
            <m:r>
              <w:rPr>
                <w:rFonts w:ascii="Cambria Math" w:eastAsiaTheme="minorEastAsia" w:hAnsi="Cambria Math"/>
                <w:noProof/>
              </w:rPr>
              <m:t>K</m:t>
            </m:r>
          </m:e>
          <m:sub>
            <m:r>
              <w:rPr>
                <w:rFonts w:ascii="Cambria Math" w:eastAsiaTheme="minorEastAsia" w:hAnsi="Cambria Math"/>
                <w:noProof/>
              </w:rPr>
              <m:t>b</m:t>
            </m:r>
          </m:sub>
        </m:sSub>
      </m:oMath>
      <w:r w:rsidR="00DE1B1D" w:rsidRPr="004F01E9">
        <w:rPr>
          <w:noProof/>
        </w:rPr>
        <w:tab/>
        <w:t>= citlivosť skupiny b špecifická pre skupinu;</w:t>
      </w:r>
    </w:p>
    <w:p w14:paraId="69062A02" w14:textId="47468B6D" w:rsidR="004009AD" w:rsidRPr="004F01E9" w:rsidRDefault="00EE12EE" w:rsidP="004009AD">
      <w:pPr>
        <w:pStyle w:val="Text1"/>
        <w:rPr>
          <w:noProof/>
        </w:rPr>
      </w:pPr>
      <m:oMath>
        <m:sSub>
          <m:sSubPr>
            <m:ctrlPr>
              <w:rPr>
                <w:rFonts w:ascii="Cambria Math" w:hAnsi="Cambria Math"/>
                <w:i/>
                <w:noProof/>
              </w:rPr>
            </m:ctrlPr>
          </m:sSubPr>
          <m:e>
            <m:r>
              <w:rPr>
                <w:rFonts w:ascii="Cambria Math" w:hAnsi="Cambria Math"/>
                <w:noProof/>
              </w:rPr>
              <m:t>ρ</m:t>
            </m:r>
          </m:e>
          <m:sub>
            <m:r>
              <w:rPr>
                <w:rFonts w:ascii="Cambria Math" w:hAnsi="Cambria Math"/>
                <w:noProof/>
              </w:rPr>
              <m:t>kl</m:t>
            </m:r>
          </m:sub>
        </m:sSub>
      </m:oMath>
      <w:r w:rsidR="00DE1B1D" w:rsidRPr="004F01E9">
        <w:rPr>
          <w:noProof/>
        </w:rPr>
        <w:tab/>
        <w:t>= zodpovedajúce korelačné parametre</w:t>
      </w:r>
      <w:r w:rsidR="004F01E9">
        <w:rPr>
          <w:noProof/>
        </w:rPr>
        <w:t xml:space="preserve"> v </w:t>
      </w:r>
      <w:r w:rsidR="00DE1B1D" w:rsidRPr="004F01E9">
        <w:rPr>
          <w:noProof/>
        </w:rPr>
        <w:t>rámci skupiny;</w:t>
      </w:r>
    </w:p>
    <w:p w14:paraId="2C8683EA" w14:textId="2E0128E1" w:rsidR="004009AD" w:rsidRPr="004F01E9" w:rsidRDefault="004009AD" w:rsidP="004009AD">
      <w:pPr>
        <w:pStyle w:val="Text1"/>
        <w:rPr>
          <w:noProof/>
        </w:rPr>
      </w:pPr>
      <m:oMath>
        <m:r>
          <w:rPr>
            <w:rFonts w:ascii="Cambria Math" w:hAnsi="Cambria Math"/>
            <w:noProof/>
          </w:rPr>
          <m:t>R</m:t>
        </m:r>
      </m:oMath>
      <w:r w:rsidRPr="004F01E9">
        <w:rPr>
          <w:noProof/>
        </w:rPr>
        <w:tab/>
        <w:t>= parameter neuznania hedžingu rovnajúci sa 0,01;</w:t>
      </w:r>
    </w:p>
    <w:p w14:paraId="3F7F8525" w14:textId="3623B304" w:rsidR="004009AD" w:rsidRPr="004F01E9" w:rsidRDefault="00EE12EE" w:rsidP="004009AD">
      <w:pPr>
        <w:pStyle w:val="Text1"/>
        <w:rPr>
          <w:noProof/>
        </w:rPr>
      </w:pPr>
      <m:oMath>
        <m:sSub>
          <m:sSubPr>
            <m:ctrlPr>
              <w:rPr>
                <w:rFonts w:ascii="Cambria Math" w:hAnsi="Cambria Math"/>
                <w:i/>
                <w:noProof/>
              </w:rPr>
            </m:ctrlPr>
          </m:sSubPr>
          <m:e>
            <m:r>
              <w:rPr>
                <w:rFonts w:ascii="Cambria Math" w:hAnsi="Cambria Math"/>
                <w:noProof/>
              </w:rPr>
              <m:t>WS</m:t>
            </m:r>
          </m:e>
          <m:sub>
            <m:r>
              <w:rPr>
                <w:rFonts w:ascii="Cambria Math" w:hAnsi="Cambria Math"/>
                <w:noProof/>
              </w:rPr>
              <m:t>k</m:t>
            </m:r>
          </m:sub>
        </m:sSub>
      </m:oMath>
      <w:r w:rsidR="00DE1B1D" w:rsidRPr="004F01E9">
        <w:rPr>
          <w:noProof/>
        </w:rPr>
        <w:tab/>
        <w:t>= čisté vážené citlivosti.</w:t>
      </w:r>
    </w:p>
    <w:p w14:paraId="1A23ADD1" w14:textId="0D94F8AF" w:rsidR="004009AD" w:rsidRPr="006A7A28" w:rsidRDefault="004009AD" w:rsidP="004009AD">
      <w:pPr>
        <w:pStyle w:val="Text1"/>
        <w:rPr>
          <w:noProof/>
          <w:spacing w:val="-4"/>
        </w:rPr>
      </w:pPr>
      <w:r w:rsidRPr="006A7A28">
        <w:rPr>
          <w:noProof/>
          <w:spacing w:val="-4"/>
        </w:rPr>
        <w:t>8. Citlivosť špecifická pre skupinu sa vypočítava</w:t>
      </w:r>
      <w:r w:rsidR="004F01E9" w:rsidRPr="006A7A28">
        <w:rPr>
          <w:noProof/>
          <w:spacing w:val="-4"/>
        </w:rPr>
        <w:t xml:space="preserve"> v </w:t>
      </w:r>
      <w:r w:rsidRPr="006A7A28">
        <w:rPr>
          <w:noProof/>
          <w:spacing w:val="-4"/>
        </w:rPr>
        <w:t>súlade</w:t>
      </w:r>
      <w:r w:rsidR="004F01E9" w:rsidRPr="006A7A28">
        <w:rPr>
          <w:noProof/>
          <w:spacing w:val="-4"/>
        </w:rPr>
        <w:t xml:space="preserve"> s </w:t>
      </w:r>
      <w:r w:rsidRPr="006A7A28">
        <w:rPr>
          <w:noProof/>
          <w:spacing w:val="-4"/>
        </w:rPr>
        <w:t>odsekmi 5, 6</w:t>
      </w:r>
      <w:r w:rsidR="004F01E9" w:rsidRPr="006A7A28">
        <w:rPr>
          <w:noProof/>
          <w:spacing w:val="-4"/>
        </w:rPr>
        <w:t xml:space="preserve"> a </w:t>
      </w:r>
      <w:r w:rsidRPr="006A7A28">
        <w:rPr>
          <w:noProof/>
          <w:spacing w:val="-4"/>
        </w:rPr>
        <w:t>7 pre každú skupinu</w:t>
      </w:r>
      <w:r w:rsidR="004F01E9" w:rsidRPr="006A7A28">
        <w:rPr>
          <w:noProof/>
          <w:spacing w:val="-4"/>
        </w:rPr>
        <w:t xml:space="preserve"> v </w:t>
      </w:r>
      <w:r w:rsidRPr="006A7A28">
        <w:rPr>
          <w:noProof/>
          <w:spacing w:val="-4"/>
        </w:rPr>
        <w:t>rámci triedy rizika. Keď sa citlivosť špecifická pre skupinu vypočítala pre všetky skupiny, vážené citlivosti na všetky faktory rizika naprieč skupinami sa agregujú podľa tohto vzorca</w:t>
      </w:r>
      <w:r w:rsidR="004F01E9" w:rsidRPr="006A7A28">
        <w:rPr>
          <w:noProof/>
          <w:spacing w:val="-4"/>
        </w:rPr>
        <w:t xml:space="preserve"> s </w:t>
      </w:r>
      <w:r w:rsidRPr="006A7A28">
        <w:rPr>
          <w:noProof/>
          <w:spacing w:val="-4"/>
        </w:rPr>
        <w:t xml:space="preserve">použitím zodpovedajúcich korelácií </w:t>
      </w:r>
      <m:oMath>
        <m:sSub>
          <m:sSubPr>
            <m:ctrlPr>
              <w:rPr>
                <w:rFonts w:ascii="Cambria Math" w:hAnsi="Cambria Math"/>
                <w:noProof/>
                <w:spacing w:val="-4"/>
              </w:rPr>
            </m:ctrlPr>
          </m:sSubPr>
          <m:e>
            <m:r>
              <w:rPr>
                <w:rFonts w:ascii="Cambria Math" w:hAnsi="Cambria Math"/>
                <w:noProof/>
                <w:spacing w:val="-4"/>
              </w:rPr>
              <m:t>γ</m:t>
            </m:r>
          </m:e>
          <m:sub>
            <m:r>
              <w:rPr>
                <w:rFonts w:ascii="Cambria Math" w:hAnsi="Cambria Math"/>
                <w:noProof/>
                <w:spacing w:val="-4"/>
              </w:rPr>
              <m:t>bc</m:t>
            </m:r>
          </m:sub>
        </m:sSub>
      </m:oMath>
      <w:r w:rsidRPr="006A7A28">
        <w:rPr>
          <w:noProof/>
          <w:spacing w:val="-4"/>
        </w:rPr>
        <w:t xml:space="preserve"> pre vážené citlivosti</w:t>
      </w:r>
      <w:r w:rsidR="004F01E9" w:rsidRPr="006A7A28">
        <w:rPr>
          <w:noProof/>
          <w:spacing w:val="-4"/>
        </w:rPr>
        <w:t xml:space="preserve"> v </w:t>
      </w:r>
      <w:r w:rsidRPr="006A7A28">
        <w:rPr>
          <w:noProof/>
          <w:spacing w:val="-4"/>
        </w:rPr>
        <w:t>rôznych skupinách stanovených</w:t>
      </w:r>
      <w:r w:rsidR="004F01E9" w:rsidRPr="006A7A28">
        <w:rPr>
          <w:noProof/>
          <w:spacing w:val="-4"/>
        </w:rPr>
        <w:t xml:space="preserve"> v </w:t>
      </w:r>
      <w:r w:rsidRPr="006A7A28">
        <w:rPr>
          <w:noProof/>
          <w:spacing w:val="-4"/>
        </w:rPr>
        <w:t>článkoch 383l, 383</w:t>
      </w:r>
      <w:r w:rsidR="004F01E9" w:rsidRPr="006A7A28">
        <w:rPr>
          <w:noProof/>
          <w:spacing w:val="-4"/>
        </w:rPr>
        <w:t xml:space="preserve"> a </w:t>
      </w:r>
      <w:r w:rsidRPr="006A7A28">
        <w:rPr>
          <w:noProof/>
          <w:spacing w:val="-4"/>
        </w:rPr>
        <w:t>383q, čím sa vytvoria požiadavky na vlastné zdroje pre riziko delta alebo vega špecifické pre triedu rizika:</w:t>
      </w:r>
    </w:p>
    <w:p w14:paraId="65CFE871" w14:textId="77777777" w:rsidR="004009AD" w:rsidRPr="004F01E9" w:rsidRDefault="004009AD" w:rsidP="004009AD">
      <w:pPr>
        <w:pStyle w:val="Text1"/>
        <w:rPr>
          <w:rFonts w:eastAsiaTheme="minorEastAsia"/>
          <w:noProof/>
        </w:rPr>
      </w:pPr>
      <m:oMathPara>
        <m:oMath>
          <m:r>
            <w:rPr>
              <w:rFonts w:ascii="Cambria Math" w:hAnsi="Cambria Math"/>
              <w:noProof/>
            </w:rPr>
            <m:t>Risk</m:t>
          </m:r>
          <m:r>
            <m:rPr>
              <m:sty m:val="p"/>
            </m:rPr>
            <w:rPr>
              <w:rFonts w:ascii="Cambria Math" w:hAnsi="Cambria Math"/>
              <w:noProof/>
            </w:rPr>
            <m:t xml:space="preserve"> - </m:t>
          </m:r>
          <m:r>
            <w:rPr>
              <w:rFonts w:ascii="Cambria Math" w:hAnsi="Cambria Math"/>
              <w:noProof/>
            </w:rPr>
            <m:t>classspecificownfundsrequirementfordeltaorvegarisk</m:t>
          </m:r>
          <m:r>
            <m:rPr>
              <m:sty m:val="p"/>
            </m:rPr>
            <w:rPr>
              <w:rFonts w:ascii="Cambria Math" w:hAnsi="Cambria Math"/>
              <w:noProof/>
            </w:rPr>
            <m:t>=</m:t>
          </m:r>
          <m:sSub>
            <m:sSubPr>
              <m:ctrlPr>
                <w:rPr>
                  <w:rFonts w:ascii="Cambria Math" w:eastAsiaTheme="minorEastAsia" w:hAnsi="Cambria Math"/>
                  <w:noProof/>
                </w:rPr>
              </m:ctrlPr>
            </m:sSubPr>
            <m:e>
              <m:r>
                <w:rPr>
                  <w:rFonts w:ascii="Cambria Math" w:eastAsiaTheme="minorEastAsia" w:hAnsi="Cambria Math"/>
                  <w:noProof/>
                </w:rPr>
                <m:t>m</m:t>
              </m:r>
            </m:e>
            <m:sub>
              <m:r>
                <w:rPr>
                  <w:rFonts w:ascii="Cambria Math" w:eastAsiaTheme="minorEastAsia" w:hAnsi="Cambria Math"/>
                  <w:noProof/>
                </w:rPr>
                <m:t>CVA</m:t>
              </m:r>
            </m:sub>
          </m:sSub>
          <m:rad>
            <m:radPr>
              <m:degHide m:val="1"/>
              <m:ctrlPr>
                <w:rPr>
                  <w:rFonts w:ascii="Cambria Math" w:eastAsiaTheme="minorEastAsia" w:hAnsi="Cambria Math"/>
                  <w:noProof/>
                </w:rPr>
              </m:ctrlPr>
            </m:radPr>
            <m:deg/>
            <m:e>
              <m:nary>
                <m:naryPr>
                  <m:chr m:val="∑"/>
                  <m:limLoc m:val="undOvr"/>
                  <m:supHide m:val="1"/>
                  <m:ctrlPr>
                    <w:rPr>
                      <w:rFonts w:ascii="Cambria Math" w:eastAsiaTheme="minorEastAsia" w:hAnsi="Cambria Math"/>
                      <w:noProof/>
                    </w:rPr>
                  </m:ctrlPr>
                </m:naryPr>
                <m:sub>
                  <m:r>
                    <w:rPr>
                      <w:rFonts w:ascii="Cambria Math" w:eastAsiaTheme="minorEastAsia" w:hAnsi="Cambria Math"/>
                      <w:noProof/>
                    </w:rPr>
                    <m:t>b</m:t>
                  </m:r>
                </m:sub>
                <m:sup/>
                <m:e>
                  <m:sSubSup>
                    <m:sSubSupPr>
                      <m:ctrlPr>
                        <w:rPr>
                          <w:rFonts w:ascii="Cambria Math" w:eastAsiaTheme="minorEastAsia" w:hAnsi="Cambria Math"/>
                          <w:noProof/>
                        </w:rPr>
                      </m:ctrlPr>
                    </m:sSubSupPr>
                    <m:e>
                      <m:r>
                        <w:rPr>
                          <w:rFonts w:ascii="Cambria Math" w:eastAsiaTheme="minorEastAsia" w:hAnsi="Cambria Math"/>
                          <w:noProof/>
                        </w:rPr>
                        <m:t>K</m:t>
                      </m:r>
                    </m:e>
                    <m:sub>
                      <m:r>
                        <w:rPr>
                          <w:rFonts w:ascii="Cambria Math" w:eastAsiaTheme="minorEastAsia" w:hAnsi="Cambria Math"/>
                          <w:noProof/>
                        </w:rPr>
                        <m:t>b</m:t>
                      </m:r>
                    </m:sub>
                    <m:sup>
                      <m:r>
                        <m:rPr>
                          <m:sty m:val="p"/>
                        </m:rPr>
                        <w:rPr>
                          <w:rFonts w:ascii="Cambria Math" w:eastAsiaTheme="minorEastAsia" w:hAnsi="Cambria Math"/>
                          <w:noProof/>
                        </w:rPr>
                        <m:t>2</m:t>
                      </m:r>
                    </m:sup>
                  </m:sSubSup>
                  <m:r>
                    <m:rPr>
                      <m:sty m:val="p"/>
                    </m:rPr>
                    <w:rPr>
                      <w:rFonts w:ascii="Cambria Math" w:eastAsiaTheme="minorEastAsia" w:hAnsi="Cambria Math"/>
                      <w:noProof/>
                    </w:rPr>
                    <m:t>+</m:t>
                  </m:r>
                  <m:nary>
                    <m:naryPr>
                      <m:chr m:val="∑"/>
                      <m:limLoc m:val="undOvr"/>
                      <m:supHide m:val="1"/>
                      <m:ctrlPr>
                        <w:rPr>
                          <w:rFonts w:ascii="Cambria Math" w:eastAsiaTheme="minorEastAsia" w:hAnsi="Cambria Math"/>
                          <w:noProof/>
                        </w:rPr>
                      </m:ctrlPr>
                    </m:naryPr>
                    <m:sub>
                      <m:r>
                        <w:rPr>
                          <w:rFonts w:ascii="Cambria Math" w:eastAsiaTheme="minorEastAsia" w:hAnsi="Cambria Math"/>
                          <w:noProof/>
                        </w:rPr>
                        <m:t>b</m:t>
                      </m:r>
                    </m:sub>
                    <m:sup/>
                    <m:e>
                      <m:nary>
                        <m:naryPr>
                          <m:chr m:val="∑"/>
                          <m:limLoc m:val="undOvr"/>
                          <m:supHide m:val="1"/>
                          <m:ctrlPr>
                            <w:rPr>
                              <w:rFonts w:ascii="Cambria Math" w:eastAsiaTheme="minorEastAsia" w:hAnsi="Cambria Math"/>
                              <w:noProof/>
                            </w:rPr>
                          </m:ctrlPr>
                        </m:naryPr>
                        <m:sub>
                          <m:r>
                            <w:rPr>
                              <w:rFonts w:ascii="Cambria Math" w:eastAsiaTheme="minorEastAsia" w:hAnsi="Cambria Math"/>
                              <w:noProof/>
                            </w:rPr>
                            <m:t>b</m:t>
                          </m:r>
                          <m:r>
                            <m:rPr>
                              <m:sty m:val="p"/>
                            </m:rPr>
                            <w:rPr>
                              <w:rFonts w:ascii="Cambria Math" w:eastAsiaTheme="minorEastAsia" w:hAnsi="Cambria Math"/>
                              <w:noProof/>
                            </w:rPr>
                            <m:t>≠</m:t>
                          </m:r>
                          <m:r>
                            <w:rPr>
                              <w:rFonts w:ascii="Cambria Math" w:eastAsiaTheme="minorEastAsia" w:hAnsi="Cambria Math"/>
                              <w:noProof/>
                            </w:rPr>
                            <m:t>c</m:t>
                          </m:r>
                        </m:sub>
                        <m:sup/>
                        <m:e>
                          <m:sSub>
                            <m:sSubPr>
                              <m:ctrlPr>
                                <w:rPr>
                                  <w:rFonts w:ascii="Cambria Math" w:eastAsiaTheme="minorEastAsia" w:hAnsi="Cambria Math"/>
                                  <w:noProof/>
                                </w:rPr>
                              </m:ctrlPr>
                            </m:sSubPr>
                            <m:e>
                              <m:r>
                                <w:rPr>
                                  <w:rFonts w:ascii="Cambria Math" w:eastAsiaTheme="minorEastAsia" w:hAnsi="Cambria Math"/>
                                  <w:noProof/>
                                </w:rPr>
                                <m:t>γ</m:t>
                              </m:r>
                            </m:e>
                            <m:sub>
                              <m:r>
                                <w:rPr>
                                  <w:rFonts w:ascii="Cambria Math" w:eastAsiaTheme="minorEastAsia" w:hAnsi="Cambria Math"/>
                                  <w:noProof/>
                                </w:rPr>
                                <m:t>bc</m:t>
                              </m:r>
                            </m:sub>
                          </m:sSub>
                          <m:sSub>
                            <m:sSubPr>
                              <m:ctrlPr>
                                <w:rPr>
                                  <w:rFonts w:ascii="Cambria Math" w:eastAsiaTheme="minorEastAsia" w:hAnsi="Cambria Math"/>
                                  <w:noProof/>
                                </w:rPr>
                              </m:ctrlPr>
                            </m:sSubPr>
                            <m:e>
                              <m:r>
                                <w:rPr>
                                  <w:rFonts w:ascii="Cambria Math" w:eastAsiaTheme="minorEastAsia" w:hAnsi="Cambria Math"/>
                                  <w:noProof/>
                                </w:rPr>
                                <m:t>S</m:t>
                              </m:r>
                            </m:e>
                            <m:sub>
                              <m:r>
                                <w:rPr>
                                  <w:rFonts w:ascii="Cambria Math" w:eastAsiaTheme="minorEastAsia" w:hAnsi="Cambria Math"/>
                                  <w:noProof/>
                                </w:rPr>
                                <m:t>b</m:t>
                              </m:r>
                            </m:sub>
                          </m:sSub>
                          <m:sSub>
                            <m:sSubPr>
                              <m:ctrlPr>
                                <w:rPr>
                                  <w:rFonts w:ascii="Cambria Math" w:eastAsiaTheme="minorEastAsia" w:hAnsi="Cambria Math"/>
                                  <w:noProof/>
                                </w:rPr>
                              </m:ctrlPr>
                            </m:sSubPr>
                            <m:e>
                              <m:r>
                                <w:rPr>
                                  <w:rFonts w:ascii="Cambria Math" w:eastAsiaTheme="minorEastAsia" w:hAnsi="Cambria Math"/>
                                  <w:noProof/>
                                </w:rPr>
                                <m:t>S</m:t>
                              </m:r>
                            </m:e>
                            <m:sub>
                              <m:r>
                                <w:rPr>
                                  <w:rFonts w:ascii="Cambria Math" w:eastAsiaTheme="minorEastAsia" w:hAnsi="Cambria Math"/>
                                  <w:noProof/>
                                </w:rPr>
                                <m:t>c</m:t>
                              </m:r>
                            </m:sub>
                          </m:sSub>
                        </m:e>
                      </m:nary>
                    </m:e>
                  </m:nary>
                </m:e>
              </m:nary>
            </m:e>
          </m:rad>
        </m:oMath>
      </m:oMathPara>
    </w:p>
    <w:p w14:paraId="741515C2" w14:textId="77777777" w:rsidR="004009AD" w:rsidRPr="004F01E9" w:rsidRDefault="004009AD" w:rsidP="004009AD">
      <w:pPr>
        <w:pStyle w:val="Text1"/>
        <w:rPr>
          <w:noProof/>
        </w:rPr>
      </w:pPr>
      <w:r w:rsidRPr="004F01E9">
        <w:rPr>
          <w:noProof/>
        </w:rPr>
        <w:t>kde:</w:t>
      </w:r>
    </w:p>
    <w:p w14:paraId="67F0A417" w14:textId="46BCCDF2" w:rsidR="004009AD" w:rsidRPr="004F01E9" w:rsidRDefault="00EE12EE" w:rsidP="004009AD">
      <w:pPr>
        <w:pStyle w:val="Text1"/>
        <w:rPr>
          <w:noProof/>
        </w:rPr>
      </w:pPr>
      <m:oMath>
        <m:sSub>
          <m:sSubPr>
            <m:ctrlPr>
              <w:rPr>
                <w:rFonts w:ascii="Cambria Math" w:hAnsi="Cambria Math"/>
                <w:noProof/>
                <w:lang w:eastAsia="en-GB"/>
              </w:rPr>
            </m:ctrlPr>
          </m:sSubPr>
          <m:e>
            <m:r>
              <w:rPr>
                <w:rFonts w:ascii="Cambria Math" w:hAnsi="Cambria Math"/>
                <w:noProof/>
                <w:lang w:eastAsia="en-GB"/>
              </w:rPr>
              <m:t>m</m:t>
            </m:r>
          </m:e>
          <m:sub>
            <m:r>
              <w:rPr>
                <w:rFonts w:ascii="Cambria Math" w:hAnsi="Cambria Math"/>
                <w:noProof/>
                <w:lang w:eastAsia="en-GB"/>
              </w:rPr>
              <m:t>CVA</m:t>
            </m:r>
          </m:sub>
        </m:sSub>
      </m:oMath>
      <w:r w:rsidR="00DE1B1D" w:rsidRPr="004F01E9">
        <w:rPr>
          <w:noProof/>
        </w:rPr>
        <w:t xml:space="preserve"> = multiplikačný faktor, ktorý sa rovná 1; príslušné orgány môžu zvýšiť hodnotu </w:t>
      </w:r>
      <m:oMath>
        <m:sSub>
          <m:sSubPr>
            <m:ctrlPr>
              <w:rPr>
                <w:rFonts w:ascii="Cambria Math" w:hAnsi="Cambria Math"/>
                <w:noProof/>
                <w:lang w:eastAsia="en-GB"/>
              </w:rPr>
            </m:ctrlPr>
          </m:sSubPr>
          <m:e>
            <m:r>
              <w:rPr>
                <w:rFonts w:ascii="Cambria Math" w:hAnsi="Cambria Math"/>
                <w:noProof/>
                <w:lang w:eastAsia="en-GB"/>
              </w:rPr>
              <m:t>m</m:t>
            </m:r>
          </m:e>
          <m:sub>
            <m:r>
              <w:rPr>
                <w:rFonts w:ascii="Cambria Math" w:hAnsi="Cambria Math"/>
                <w:noProof/>
                <w:lang w:eastAsia="en-GB"/>
              </w:rPr>
              <m:t>CVA</m:t>
            </m:r>
          </m:sub>
        </m:sSub>
      </m:oMath>
      <w:r w:rsidR="00DE1B1D" w:rsidRPr="004F01E9">
        <w:rPr>
          <w:noProof/>
        </w:rPr>
        <w:t>, ak regulačný model úpravy ocenenia pohľadávok inštitúcie prejavuje nedostatky, pokiaľ ide</w:t>
      </w:r>
      <w:r w:rsidR="004F01E9">
        <w:rPr>
          <w:noProof/>
        </w:rPr>
        <w:t xml:space="preserve"> o </w:t>
      </w:r>
      <w:r w:rsidR="00DE1B1D" w:rsidRPr="004F01E9">
        <w:rPr>
          <w:noProof/>
        </w:rPr>
        <w:t>náležité meranie požiadaviek na vlastné zdroje pre riziko úpravy ocenenia pohľadávok;</w:t>
      </w:r>
    </w:p>
    <w:p w14:paraId="15D406DC" w14:textId="7E609C5F" w:rsidR="004009AD" w:rsidRPr="004F01E9" w:rsidRDefault="00EE12EE" w:rsidP="004009AD">
      <w:pPr>
        <w:pStyle w:val="Text1"/>
        <w:rPr>
          <w:noProof/>
        </w:rPr>
      </w:pPr>
      <m:oMath>
        <m:sSub>
          <m:sSubPr>
            <m:ctrlPr>
              <w:rPr>
                <w:rFonts w:ascii="Cambria Math" w:hAnsi="Cambria Math"/>
                <w:noProof/>
                <w:lang w:eastAsia="en-GB"/>
              </w:rPr>
            </m:ctrlPr>
          </m:sSubPr>
          <m:e>
            <m:r>
              <w:rPr>
                <w:rFonts w:ascii="Cambria Math" w:hAnsi="Cambria Math"/>
                <w:noProof/>
                <w:lang w:eastAsia="en-GB"/>
              </w:rPr>
              <m:t>K</m:t>
            </m:r>
          </m:e>
          <m:sub>
            <m:r>
              <w:rPr>
                <w:rFonts w:ascii="Cambria Math" w:hAnsi="Cambria Math"/>
                <w:noProof/>
                <w:lang w:eastAsia="en-GB"/>
              </w:rPr>
              <m:t>b</m:t>
            </m:r>
          </m:sub>
        </m:sSub>
      </m:oMath>
      <w:r w:rsidR="00DE1B1D" w:rsidRPr="004F01E9">
        <w:rPr>
          <w:noProof/>
        </w:rPr>
        <w:t xml:space="preserve"> = citlivosť skupiny b špecifická pre skupinu;</w:t>
      </w:r>
    </w:p>
    <w:p w14:paraId="0217ED1C" w14:textId="6CC2F1A4" w:rsidR="004009AD" w:rsidRPr="004F01E9" w:rsidRDefault="00EE12EE" w:rsidP="004009AD">
      <w:pPr>
        <w:pStyle w:val="Text1"/>
        <w:rPr>
          <w:noProof/>
        </w:rPr>
      </w:pPr>
      <m:oMath>
        <m:sSub>
          <m:sSubPr>
            <m:ctrlPr>
              <w:rPr>
                <w:rFonts w:ascii="Cambria Math" w:hAnsi="Cambria Math"/>
                <w:noProof/>
                <w:lang w:eastAsia="en-GB"/>
              </w:rPr>
            </m:ctrlPr>
          </m:sSubPr>
          <m:e>
            <m:r>
              <w:rPr>
                <w:rFonts w:ascii="Cambria Math" w:hAnsi="Cambria Math"/>
                <w:noProof/>
                <w:lang w:eastAsia="en-GB"/>
              </w:rPr>
              <m:t>γ</m:t>
            </m:r>
          </m:e>
          <m:sub>
            <m:r>
              <w:rPr>
                <w:rFonts w:ascii="Cambria Math" w:hAnsi="Cambria Math"/>
                <w:noProof/>
                <w:lang w:eastAsia="en-GB"/>
              </w:rPr>
              <m:t>bc</m:t>
            </m:r>
          </m:sub>
        </m:sSub>
      </m:oMath>
      <w:r w:rsidR="00DE1B1D" w:rsidRPr="004F01E9">
        <w:rPr>
          <w:noProof/>
        </w:rPr>
        <w:t xml:space="preserve"> = korelačný parameter medzi skupinami b</w:t>
      </w:r>
      <w:r w:rsidR="004F01E9">
        <w:rPr>
          <w:noProof/>
        </w:rPr>
        <w:t xml:space="preserve"> a </w:t>
      </w:r>
      <w:r w:rsidR="00DE1B1D" w:rsidRPr="004F01E9">
        <w:rPr>
          <w:noProof/>
        </w:rPr>
        <w:t>c;</w:t>
      </w:r>
    </w:p>
    <w:p w14:paraId="6AEFEDB6" w14:textId="116A5D8D" w:rsidR="004009AD" w:rsidRPr="004F01E9" w:rsidRDefault="00EE12EE" w:rsidP="004009AD">
      <w:pPr>
        <w:pStyle w:val="Text1"/>
        <w:rPr>
          <w:noProof/>
        </w:rPr>
      </w:pPr>
      <m:oMath>
        <m:sSub>
          <m:sSubPr>
            <m:ctrlPr>
              <w:rPr>
                <w:rFonts w:ascii="Cambria Math" w:hAnsi="Cambria Math"/>
                <w:noProof/>
                <w:lang w:eastAsia="en-GB"/>
              </w:rPr>
            </m:ctrlPr>
          </m:sSubPr>
          <m:e>
            <m:r>
              <w:rPr>
                <w:rFonts w:ascii="Cambria Math" w:hAnsi="Cambria Math"/>
                <w:noProof/>
                <w:lang w:eastAsia="en-GB"/>
              </w:rPr>
              <m:t>S</m:t>
            </m:r>
          </m:e>
          <m:sub>
            <m:r>
              <w:rPr>
                <w:rFonts w:ascii="Cambria Math" w:hAnsi="Cambria Math"/>
                <w:noProof/>
                <w:lang w:eastAsia="en-GB"/>
              </w:rPr>
              <m:t>b</m:t>
            </m:r>
          </m:sub>
        </m:sSub>
        <m:r>
          <m:rPr>
            <m:sty m:val="p"/>
          </m:rPr>
          <w:rPr>
            <w:rFonts w:ascii="Cambria Math" w:hAnsi="Cambria Math"/>
            <w:noProof/>
            <w:lang w:eastAsia="en-GB"/>
          </w:rPr>
          <m:t>=</m:t>
        </m:r>
        <m:r>
          <w:rPr>
            <w:rFonts w:ascii="Cambria Math" w:hAnsi="Cambria Math"/>
            <w:noProof/>
            <w:lang w:eastAsia="en-GB"/>
          </w:rPr>
          <m:t>max</m:t>
        </m:r>
        <m:d>
          <m:dPr>
            <m:begChr m:val="{"/>
            <m:endChr m:val="}"/>
            <m:ctrlPr>
              <w:rPr>
                <w:rFonts w:ascii="Cambria Math" w:hAnsi="Cambria Math"/>
                <w:noProof/>
                <w:lang w:eastAsia="en-GB"/>
              </w:rPr>
            </m:ctrlPr>
          </m:dPr>
          <m:e>
            <m:sSub>
              <m:sSubPr>
                <m:ctrlPr>
                  <w:rPr>
                    <w:rFonts w:ascii="Cambria Math" w:hAnsi="Cambria Math"/>
                    <w:noProof/>
                    <w:lang w:eastAsia="en-GB"/>
                  </w:rPr>
                </m:ctrlPr>
              </m:sSubPr>
              <m:e>
                <m:r>
                  <m:rPr>
                    <m:sty m:val="p"/>
                  </m:rPr>
                  <w:rPr>
                    <w:rFonts w:ascii="Cambria Math" w:hAnsi="Cambria Math"/>
                    <w:noProof/>
                    <w:lang w:eastAsia="en-GB"/>
                  </w:rPr>
                  <m:t>-</m:t>
                </m:r>
                <m:r>
                  <w:rPr>
                    <w:rFonts w:ascii="Cambria Math" w:hAnsi="Cambria Math"/>
                    <w:noProof/>
                    <w:lang w:eastAsia="en-GB"/>
                  </w:rPr>
                  <m:t>K</m:t>
                </m:r>
              </m:e>
              <m:sub>
                <m:r>
                  <w:rPr>
                    <w:rFonts w:ascii="Cambria Math" w:hAnsi="Cambria Math"/>
                    <w:noProof/>
                    <w:lang w:eastAsia="en-GB"/>
                  </w:rPr>
                  <m:t>b</m:t>
                </m:r>
              </m:sub>
            </m:sSub>
            <m:r>
              <m:rPr>
                <m:sty m:val="p"/>
              </m:rPr>
              <w:rPr>
                <w:rFonts w:ascii="Cambria Math" w:hAnsi="Cambria Math"/>
                <w:noProof/>
                <w:lang w:eastAsia="en-GB"/>
              </w:rPr>
              <m:t>;</m:t>
            </m:r>
            <m:r>
              <w:rPr>
                <w:rFonts w:ascii="Cambria Math" w:hAnsi="Cambria Math"/>
                <w:noProof/>
                <w:lang w:eastAsia="en-GB"/>
              </w:rPr>
              <m:t>min</m:t>
            </m:r>
            <m:d>
              <m:dPr>
                <m:ctrlPr>
                  <w:rPr>
                    <w:rFonts w:ascii="Cambria Math" w:hAnsi="Cambria Math"/>
                    <w:noProof/>
                    <w:lang w:eastAsia="en-GB"/>
                  </w:rPr>
                </m:ctrlPr>
              </m:dPr>
              <m:e>
                <m:nary>
                  <m:naryPr>
                    <m:chr m:val="∑"/>
                    <m:limLoc m:val="undOvr"/>
                    <m:supHide m:val="1"/>
                    <m:ctrlPr>
                      <w:rPr>
                        <w:rFonts w:ascii="Cambria Math" w:hAnsi="Cambria Math"/>
                        <w:noProof/>
                        <w:lang w:eastAsia="en-GB"/>
                      </w:rPr>
                    </m:ctrlPr>
                  </m:naryPr>
                  <m:sub>
                    <m:r>
                      <w:rPr>
                        <w:rFonts w:ascii="Cambria Math" w:hAnsi="Cambria Math"/>
                        <w:noProof/>
                        <w:lang w:eastAsia="en-GB"/>
                      </w:rPr>
                      <m:t>k</m:t>
                    </m:r>
                    <m:r>
                      <m:rPr>
                        <m:sty m:val="p"/>
                      </m:rPr>
                      <w:rPr>
                        <w:rFonts w:ascii="Cambria Math" w:hAnsi="Cambria Math"/>
                        <w:noProof/>
                        <w:lang w:eastAsia="en-GB"/>
                      </w:rPr>
                      <m:t>∈</m:t>
                    </m:r>
                    <m:r>
                      <w:rPr>
                        <w:rFonts w:ascii="Cambria Math" w:hAnsi="Cambria Math"/>
                        <w:noProof/>
                        <w:lang w:eastAsia="en-GB"/>
                      </w:rPr>
                      <m:t>b</m:t>
                    </m:r>
                  </m:sub>
                  <m:sup/>
                  <m:e>
                    <m:sSub>
                      <m:sSubPr>
                        <m:ctrlPr>
                          <w:rPr>
                            <w:rFonts w:ascii="Cambria Math" w:hAnsi="Cambria Math"/>
                            <w:noProof/>
                            <w:lang w:eastAsia="en-GB"/>
                          </w:rPr>
                        </m:ctrlPr>
                      </m:sSubPr>
                      <m:e>
                        <m:r>
                          <w:rPr>
                            <w:rFonts w:ascii="Cambria Math" w:hAnsi="Cambria Math"/>
                            <w:noProof/>
                            <w:lang w:eastAsia="en-GB"/>
                          </w:rPr>
                          <m:t>WS</m:t>
                        </m:r>
                      </m:e>
                      <m:sub>
                        <m:r>
                          <w:rPr>
                            <w:rFonts w:ascii="Cambria Math" w:hAnsi="Cambria Math"/>
                            <w:noProof/>
                            <w:lang w:eastAsia="en-GB"/>
                          </w:rPr>
                          <m:t>k</m:t>
                        </m:r>
                      </m:sub>
                    </m:sSub>
                  </m:e>
                </m:nary>
                <m:r>
                  <m:rPr>
                    <m:sty m:val="p"/>
                  </m:rPr>
                  <w:rPr>
                    <w:rFonts w:ascii="Cambria Math" w:hAnsi="Cambria Math"/>
                    <w:noProof/>
                    <w:lang w:eastAsia="en-GB"/>
                  </w:rPr>
                  <m:t>;</m:t>
                </m:r>
                <m:sSub>
                  <m:sSubPr>
                    <m:ctrlPr>
                      <w:rPr>
                        <w:rFonts w:ascii="Cambria Math" w:hAnsi="Cambria Math"/>
                        <w:noProof/>
                        <w:lang w:eastAsia="en-GB"/>
                      </w:rPr>
                    </m:ctrlPr>
                  </m:sSubPr>
                  <m:e>
                    <m:r>
                      <w:rPr>
                        <w:rFonts w:ascii="Cambria Math" w:hAnsi="Cambria Math"/>
                        <w:noProof/>
                        <w:lang w:eastAsia="en-GB"/>
                      </w:rPr>
                      <m:t>K</m:t>
                    </m:r>
                  </m:e>
                  <m:sub>
                    <m:r>
                      <w:rPr>
                        <w:rFonts w:ascii="Cambria Math" w:hAnsi="Cambria Math"/>
                        <w:noProof/>
                        <w:lang w:eastAsia="en-GB"/>
                      </w:rPr>
                      <m:t>b</m:t>
                    </m:r>
                  </m:sub>
                </m:sSub>
              </m:e>
            </m:d>
          </m:e>
        </m:d>
      </m:oMath>
      <w:r w:rsidR="00DE1B1D" w:rsidRPr="004F01E9">
        <w:rPr>
          <w:noProof/>
        </w:rPr>
        <w:t xml:space="preserve"> = pre všetky faktory rizika</w:t>
      </w:r>
      <w:r w:rsidR="004F01E9">
        <w:rPr>
          <w:noProof/>
        </w:rPr>
        <w:t xml:space="preserve"> v </w:t>
      </w:r>
      <w:r w:rsidR="00DE1B1D" w:rsidRPr="004F01E9">
        <w:rPr>
          <w:noProof/>
        </w:rPr>
        <w:t>skupine b;</w:t>
      </w:r>
    </w:p>
    <w:p w14:paraId="117F5536" w14:textId="14D8CDE3" w:rsidR="004009AD" w:rsidRPr="004F01E9" w:rsidRDefault="00EE12EE" w:rsidP="004009AD">
      <w:pPr>
        <w:pStyle w:val="Text1"/>
        <w:rPr>
          <w:noProof/>
        </w:rPr>
      </w:pPr>
      <m:oMath>
        <m:sSub>
          <m:sSubPr>
            <m:ctrlPr>
              <w:rPr>
                <w:rFonts w:ascii="Cambria Math" w:hAnsi="Cambria Math"/>
                <w:noProof/>
                <w:lang w:eastAsia="en-GB"/>
              </w:rPr>
            </m:ctrlPr>
          </m:sSubPr>
          <m:e>
            <m:r>
              <w:rPr>
                <w:rFonts w:ascii="Cambria Math" w:hAnsi="Cambria Math"/>
                <w:noProof/>
                <w:lang w:eastAsia="en-GB"/>
              </w:rPr>
              <m:t>S</m:t>
            </m:r>
          </m:e>
          <m:sub>
            <m:r>
              <w:rPr>
                <w:rFonts w:ascii="Cambria Math" w:hAnsi="Cambria Math"/>
                <w:noProof/>
                <w:lang w:eastAsia="en-GB"/>
              </w:rPr>
              <m:t>c</m:t>
            </m:r>
          </m:sub>
        </m:sSub>
        <m:r>
          <m:rPr>
            <m:sty m:val="p"/>
          </m:rPr>
          <w:rPr>
            <w:rFonts w:ascii="Cambria Math" w:hAnsi="Cambria Math"/>
            <w:noProof/>
            <w:lang w:eastAsia="en-GB"/>
          </w:rPr>
          <m:t>=</m:t>
        </m:r>
        <m:r>
          <w:rPr>
            <w:rFonts w:ascii="Cambria Math" w:hAnsi="Cambria Math"/>
            <w:noProof/>
            <w:lang w:eastAsia="en-GB"/>
          </w:rPr>
          <m:t>max</m:t>
        </m:r>
        <m:d>
          <m:dPr>
            <m:begChr m:val="{"/>
            <m:endChr m:val="}"/>
            <m:ctrlPr>
              <w:rPr>
                <w:rFonts w:ascii="Cambria Math" w:hAnsi="Cambria Math"/>
                <w:noProof/>
                <w:lang w:eastAsia="en-GB"/>
              </w:rPr>
            </m:ctrlPr>
          </m:dPr>
          <m:e>
            <m:sSub>
              <m:sSubPr>
                <m:ctrlPr>
                  <w:rPr>
                    <w:rFonts w:ascii="Cambria Math" w:hAnsi="Cambria Math"/>
                    <w:noProof/>
                    <w:lang w:eastAsia="en-GB"/>
                  </w:rPr>
                </m:ctrlPr>
              </m:sSubPr>
              <m:e>
                <m:r>
                  <m:rPr>
                    <m:sty m:val="p"/>
                  </m:rPr>
                  <w:rPr>
                    <w:rFonts w:ascii="Cambria Math" w:hAnsi="Cambria Math"/>
                    <w:noProof/>
                    <w:lang w:eastAsia="en-GB"/>
                  </w:rPr>
                  <m:t>-</m:t>
                </m:r>
                <m:r>
                  <w:rPr>
                    <w:rFonts w:ascii="Cambria Math" w:hAnsi="Cambria Math"/>
                    <w:noProof/>
                    <w:lang w:eastAsia="en-GB"/>
                  </w:rPr>
                  <m:t>K</m:t>
                </m:r>
              </m:e>
              <m:sub>
                <m:r>
                  <w:rPr>
                    <w:rFonts w:ascii="Cambria Math" w:hAnsi="Cambria Math"/>
                    <w:noProof/>
                    <w:lang w:eastAsia="en-GB"/>
                  </w:rPr>
                  <m:t>c</m:t>
                </m:r>
              </m:sub>
            </m:sSub>
            <m:r>
              <m:rPr>
                <m:sty m:val="p"/>
              </m:rPr>
              <w:rPr>
                <w:rFonts w:ascii="Cambria Math" w:hAnsi="Cambria Math"/>
                <w:noProof/>
                <w:lang w:eastAsia="en-GB"/>
              </w:rPr>
              <m:t>;</m:t>
            </m:r>
            <m:r>
              <w:rPr>
                <w:rFonts w:ascii="Cambria Math" w:hAnsi="Cambria Math"/>
                <w:noProof/>
                <w:lang w:eastAsia="en-GB"/>
              </w:rPr>
              <m:t>min</m:t>
            </m:r>
            <m:d>
              <m:dPr>
                <m:ctrlPr>
                  <w:rPr>
                    <w:rFonts w:ascii="Cambria Math" w:hAnsi="Cambria Math"/>
                    <w:noProof/>
                    <w:lang w:eastAsia="en-GB"/>
                  </w:rPr>
                </m:ctrlPr>
              </m:dPr>
              <m:e>
                <m:nary>
                  <m:naryPr>
                    <m:chr m:val="∑"/>
                    <m:limLoc m:val="undOvr"/>
                    <m:supHide m:val="1"/>
                    <m:ctrlPr>
                      <w:rPr>
                        <w:rFonts w:ascii="Cambria Math" w:hAnsi="Cambria Math"/>
                        <w:noProof/>
                        <w:lang w:eastAsia="en-GB"/>
                      </w:rPr>
                    </m:ctrlPr>
                  </m:naryPr>
                  <m:sub>
                    <m:r>
                      <w:rPr>
                        <w:rFonts w:ascii="Cambria Math" w:hAnsi="Cambria Math"/>
                        <w:noProof/>
                        <w:lang w:eastAsia="en-GB"/>
                      </w:rPr>
                      <m:t>k</m:t>
                    </m:r>
                    <m:r>
                      <m:rPr>
                        <m:sty m:val="p"/>
                      </m:rPr>
                      <w:rPr>
                        <w:rFonts w:ascii="Cambria Math" w:hAnsi="Cambria Math"/>
                        <w:noProof/>
                        <w:lang w:eastAsia="en-GB"/>
                      </w:rPr>
                      <m:t>∈</m:t>
                    </m:r>
                    <m:r>
                      <w:rPr>
                        <w:rFonts w:ascii="Cambria Math" w:hAnsi="Cambria Math"/>
                        <w:noProof/>
                        <w:lang w:eastAsia="en-GB"/>
                      </w:rPr>
                      <m:t>b</m:t>
                    </m:r>
                  </m:sub>
                  <m:sup/>
                  <m:e>
                    <m:sSub>
                      <m:sSubPr>
                        <m:ctrlPr>
                          <w:rPr>
                            <w:rFonts w:ascii="Cambria Math" w:hAnsi="Cambria Math"/>
                            <w:noProof/>
                            <w:lang w:eastAsia="en-GB"/>
                          </w:rPr>
                        </m:ctrlPr>
                      </m:sSubPr>
                      <m:e>
                        <m:r>
                          <w:rPr>
                            <w:rFonts w:ascii="Cambria Math" w:hAnsi="Cambria Math"/>
                            <w:noProof/>
                            <w:lang w:eastAsia="en-GB"/>
                          </w:rPr>
                          <m:t>WS</m:t>
                        </m:r>
                      </m:e>
                      <m:sub>
                        <m:r>
                          <w:rPr>
                            <w:rFonts w:ascii="Cambria Math" w:hAnsi="Cambria Math"/>
                            <w:noProof/>
                            <w:lang w:eastAsia="en-GB"/>
                          </w:rPr>
                          <m:t>k</m:t>
                        </m:r>
                      </m:sub>
                    </m:sSub>
                  </m:e>
                </m:nary>
                <m:r>
                  <m:rPr>
                    <m:sty m:val="p"/>
                  </m:rPr>
                  <w:rPr>
                    <w:rFonts w:ascii="Cambria Math" w:hAnsi="Cambria Math"/>
                    <w:noProof/>
                    <w:lang w:eastAsia="en-GB"/>
                  </w:rPr>
                  <m:t>;</m:t>
                </m:r>
                <m:sSub>
                  <m:sSubPr>
                    <m:ctrlPr>
                      <w:rPr>
                        <w:rFonts w:ascii="Cambria Math" w:hAnsi="Cambria Math"/>
                        <w:noProof/>
                        <w:lang w:eastAsia="en-GB"/>
                      </w:rPr>
                    </m:ctrlPr>
                  </m:sSubPr>
                  <m:e>
                    <m:r>
                      <w:rPr>
                        <w:rFonts w:ascii="Cambria Math" w:hAnsi="Cambria Math"/>
                        <w:noProof/>
                        <w:lang w:eastAsia="en-GB"/>
                      </w:rPr>
                      <m:t>K</m:t>
                    </m:r>
                  </m:e>
                  <m:sub>
                    <m:r>
                      <w:rPr>
                        <w:rFonts w:ascii="Cambria Math" w:hAnsi="Cambria Math"/>
                        <w:noProof/>
                        <w:lang w:eastAsia="en-GB"/>
                      </w:rPr>
                      <m:t>c</m:t>
                    </m:r>
                  </m:sub>
                </m:sSub>
              </m:e>
            </m:d>
          </m:e>
        </m:d>
      </m:oMath>
      <w:r w:rsidR="00DE1B1D" w:rsidRPr="004F01E9">
        <w:rPr>
          <w:noProof/>
        </w:rPr>
        <w:t xml:space="preserve"> = pre všetky faktory rizika</w:t>
      </w:r>
      <w:r w:rsidR="004F01E9">
        <w:rPr>
          <w:noProof/>
        </w:rPr>
        <w:t xml:space="preserve"> v </w:t>
      </w:r>
      <w:r w:rsidR="00DE1B1D" w:rsidRPr="004F01E9">
        <w:rPr>
          <w:noProof/>
        </w:rPr>
        <w:t>skupine c.</w:t>
      </w:r>
    </w:p>
    <w:p w14:paraId="5CF4A6FF" w14:textId="77777777" w:rsidR="004009AD" w:rsidRPr="004F01E9" w:rsidRDefault="004009AD" w:rsidP="004009AD">
      <w:pPr>
        <w:pStyle w:val="Titrearticle"/>
        <w:rPr>
          <w:noProof/>
        </w:rPr>
      </w:pPr>
      <w:r w:rsidRPr="004F01E9">
        <w:rPr>
          <w:noProof/>
        </w:rPr>
        <w:t xml:space="preserve">Článok 383c </w:t>
      </w:r>
      <w:r w:rsidRPr="004F01E9">
        <w:rPr>
          <w:noProof/>
        </w:rPr>
        <w:br/>
      </w:r>
      <w:r w:rsidRPr="004F01E9">
        <w:rPr>
          <w:b/>
          <w:i w:val="0"/>
          <w:noProof/>
        </w:rPr>
        <w:t>Faktory úrokového rizika</w:t>
      </w:r>
    </w:p>
    <w:p w14:paraId="5B0CAB9D" w14:textId="77777777" w:rsidR="00806B81" w:rsidRPr="006A7A28" w:rsidRDefault="004009AD" w:rsidP="004009AD">
      <w:pPr>
        <w:pStyle w:val="Text1"/>
        <w:rPr>
          <w:noProof/>
          <w:spacing w:val="-4"/>
        </w:rPr>
      </w:pPr>
      <w:r w:rsidRPr="006A7A28">
        <w:rPr>
          <w:noProof/>
          <w:spacing w:val="-4"/>
        </w:rPr>
        <w:t>1. Pre faktory úrokového rizika delta vrátane rizika miery inflácie existuje jedna skupina pre každú menu, pričom každá skupina obsahuje rôzne druhy faktorov rizika.</w:t>
      </w:r>
    </w:p>
    <w:p w14:paraId="10116D31" w14:textId="477F961C" w:rsidR="00806B81" w:rsidRPr="004F01E9" w:rsidRDefault="004009AD" w:rsidP="004009AD">
      <w:pPr>
        <w:pStyle w:val="Text1"/>
        <w:rPr>
          <w:noProof/>
        </w:rPr>
      </w:pPr>
      <w:r w:rsidRPr="004F01E9">
        <w:rPr>
          <w:noProof/>
        </w:rPr>
        <w:t>Faktormi úrokového rizika delta, ktoré sa vzťahujú na nástroje citlivé na úrokové sadzby</w:t>
      </w:r>
      <w:r w:rsidR="004F01E9">
        <w:rPr>
          <w:noProof/>
        </w:rPr>
        <w:t xml:space="preserve"> v </w:t>
      </w:r>
      <w:r w:rsidRPr="004F01E9">
        <w:rPr>
          <w:noProof/>
        </w:rPr>
        <w:t>portfóliu úpravy ocenenia pohľadávok, sú bezrizikové sadzby pre príslušnú menu</w:t>
      </w:r>
      <w:r w:rsidR="004F01E9">
        <w:rPr>
          <w:noProof/>
        </w:rPr>
        <w:t xml:space="preserve"> a </w:t>
      </w:r>
      <w:r w:rsidRPr="004F01E9">
        <w:rPr>
          <w:noProof/>
        </w:rPr>
        <w:t>pre každú</w:t>
      </w:r>
      <w:r w:rsidR="004F01E9">
        <w:rPr>
          <w:noProof/>
        </w:rPr>
        <w:t xml:space="preserve"> z </w:t>
      </w:r>
      <w:r w:rsidRPr="004F01E9">
        <w:rPr>
          <w:noProof/>
        </w:rPr>
        <w:t>týchto splatností: 1 rok, 2 roky, 5 rokov, 10 rokov</w:t>
      </w:r>
      <w:r w:rsidR="004F01E9">
        <w:rPr>
          <w:noProof/>
        </w:rPr>
        <w:t xml:space="preserve"> a </w:t>
      </w:r>
      <w:r w:rsidRPr="004F01E9">
        <w:rPr>
          <w:noProof/>
        </w:rPr>
        <w:t>30 rokov.</w:t>
      </w:r>
    </w:p>
    <w:p w14:paraId="64EA0A47" w14:textId="2AC02E1F" w:rsidR="004009AD" w:rsidRPr="004F01E9" w:rsidRDefault="004009AD" w:rsidP="004009AD">
      <w:pPr>
        <w:pStyle w:val="Text1"/>
        <w:rPr>
          <w:noProof/>
        </w:rPr>
      </w:pPr>
      <w:r w:rsidRPr="004F01E9">
        <w:rPr>
          <w:noProof/>
        </w:rPr>
        <w:t>Faktormi úrokového rizika delta, ktoré sa uplatňujú na nástroje citlivé na mieru inflácie</w:t>
      </w:r>
      <w:r w:rsidR="004F01E9">
        <w:rPr>
          <w:noProof/>
        </w:rPr>
        <w:t xml:space="preserve"> v </w:t>
      </w:r>
      <w:r w:rsidRPr="004F01E9">
        <w:rPr>
          <w:noProof/>
        </w:rPr>
        <w:t>portfóliu úpravy ocenenia pohľadávok, sú miery inflácie pre príslušnú menu</w:t>
      </w:r>
      <w:r w:rsidR="004F01E9">
        <w:rPr>
          <w:noProof/>
        </w:rPr>
        <w:t xml:space="preserve"> a </w:t>
      </w:r>
      <w:r w:rsidRPr="004F01E9">
        <w:rPr>
          <w:noProof/>
        </w:rPr>
        <w:t>pre každú</w:t>
      </w:r>
      <w:r w:rsidR="004F01E9">
        <w:rPr>
          <w:noProof/>
        </w:rPr>
        <w:t xml:space="preserve"> z </w:t>
      </w:r>
      <w:r w:rsidRPr="004F01E9">
        <w:rPr>
          <w:noProof/>
        </w:rPr>
        <w:t>týchto splatností: 1 rok, 2 roky, 5 rokov, 10 rokov</w:t>
      </w:r>
      <w:r w:rsidR="004F01E9">
        <w:rPr>
          <w:noProof/>
        </w:rPr>
        <w:t xml:space="preserve"> a </w:t>
      </w:r>
      <w:r w:rsidRPr="004F01E9">
        <w:rPr>
          <w:noProof/>
        </w:rPr>
        <w:t>30 rokov.</w:t>
      </w:r>
    </w:p>
    <w:p w14:paraId="13E6DC03" w14:textId="4B70F707" w:rsidR="00806B81" w:rsidRPr="004F01E9" w:rsidRDefault="004009AD" w:rsidP="004009AD">
      <w:pPr>
        <w:pStyle w:val="Text1"/>
        <w:rPr>
          <w:noProof/>
        </w:rPr>
      </w:pPr>
      <w:r w:rsidRPr="004F01E9">
        <w:rPr>
          <w:noProof/>
        </w:rPr>
        <w:t>2. Meny,</w:t>
      </w:r>
      <w:r w:rsidR="004F01E9">
        <w:rPr>
          <w:noProof/>
        </w:rPr>
        <w:t xml:space="preserve"> v </w:t>
      </w:r>
      <w:r w:rsidRPr="004F01E9">
        <w:rPr>
          <w:noProof/>
        </w:rPr>
        <w:t>prípade ktorých inštitúcia uplatňuje faktory úrokového rizika delta</w:t>
      </w:r>
      <w:r w:rsidR="004F01E9">
        <w:rPr>
          <w:noProof/>
        </w:rPr>
        <w:t xml:space="preserve"> v </w:t>
      </w:r>
      <w:r w:rsidRPr="004F01E9">
        <w:rPr>
          <w:noProof/>
        </w:rPr>
        <w:t>súlade</w:t>
      </w:r>
      <w:r w:rsidR="004F01E9">
        <w:rPr>
          <w:noProof/>
        </w:rPr>
        <w:t xml:space="preserve"> s </w:t>
      </w:r>
      <w:r w:rsidRPr="004F01E9">
        <w:rPr>
          <w:noProof/>
        </w:rPr>
        <w:t>odsekom 1, sú USD, EUR, GBP, AUD, CAD, SEK, JPY</w:t>
      </w:r>
      <w:r w:rsidR="004F01E9">
        <w:rPr>
          <w:noProof/>
        </w:rPr>
        <w:t xml:space="preserve"> a </w:t>
      </w:r>
      <w:r w:rsidRPr="004F01E9">
        <w:rPr>
          <w:noProof/>
        </w:rPr>
        <w:t>mena vykazovania inštitúcie.</w:t>
      </w:r>
    </w:p>
    <w:p w14:paraId="6F672195" w14:textId="6867B4A5" w:rsidR="004009AD" w:rsidRPr="006A7A28" w:rsidRDefault="004009AD" w:rsidP="004009AD">
      <w:pPr>
        <w:pStyle w:val="Text1"/>
        <w:rPr>
          <w:noProof/>
          <w:spacing w:val="-4"/>
        </w:rPr>
      </w:pPr>
      <w:r w:rsidRPr="006A7A28">
        <w:rPr>
          <w:noProof/>
          <w:spacing w:val="-4"/>
        </w:rPr>
        <w:t>3. Pre meny, ktoré nie sú uvedené</w:t>
      </w:r>
      <w:r w:rsidR="004F01E9" w:rsidRPr="006A7A28">
        <w:rPr>
          <w:noProof/>
          <w:spacing w:val="-4"/>
        </w:rPr>
        <w:t xml:space="preserve"> v </w:t>
      </w:r>
      <w:r w:rsidRPr="006A7A28">
        <w:rPr>
          <w:noProof/>
          <w:spacing w:val="-4"/>
        </w:rPr>
        <w:t>odseku 2, sú faktormi úrokového rizika delta absolútna zmena miery inflácie</w:t>
      </w:r>
      <w:r w:rsidR="004F01E9" w:rsidRPr="006A7A28">
        <w:rPr>
          <w:noProof/>
          <w:spacing w:val="-4"/>
        </w:rPr>
        <w:t xml:space="preserve"> a </w:t>
      </w:r>
      <w:r w:rsidRPr="006A7A28">
        <w:rPr>
          <w:noProof/>
          <w:spacing w:val="-4"/>
        </w:rPr>
        <w:t>paralelný posun celej bezrizikovej krivky pre danú menu.</w:t>
      </w:r>
    </w:p>
    <w:p w14:paraId="62804C16" w14:textId="347C12E3" w:rsidR="004009AD" w:rsidRPr="004F01E9" w:rsidRDefault="004009AD" w:rsidP="004009AD">
      <w:pPr>
        <w:pStyle w:val="Text1"/>
        <w:rPr>
          <w:noProof/>
        </w:rPr>
      </w:pPr>
      <w:r w:rsidRPr="004F01E9">
        <w:rPr>
          <w:noProof/>
        </w:rPr>
        <w:t>4. Inštitúcie získavajú bezrizikové sadzby pre každú menu</w:t>
      </w:r>
      <w:r w:rsidR="004F01E9">
        <w:rPr>
          <w:noProof/>
        </w:rPr>
        <w:t xml:space="preserve"> z </w:t>
      </w:r>
      <w:r w:rsidRPr="004F01E9">
        <w:rPr>
          <w:noProof/>
        </w:rPr>
        <w:t>nástrojov peňažného trhu vedených</w:t>
      </w:r>
      <w:r w:rsidR="004F01E9">
        <w:rPr>
          <w:noProof/>
        </w:rPr>
        <w:t xml:space="preserve"> v </w:t>
      </w:r>
      <w:r w:rsidRPr="004F01E9">
        <w:rPr>
          <w:noProof/>
        </w:rPr>
        <w:t>ich obchodnej knihe, ktoré majú najnižšie kreditné riziko vrátane jednodňových indexových swapov.</w:t>
      </w:r>
    </w:p>
    <w:p w14:paraId="34925527" w14:textId="1A5D41B0" w:rsidR="00806B81" w:rsidRPr="004F01E9" w:rsidRDefault="004009AD" w:rsidP="004009AD">
      <w:pPr>
        <w:pStyle w:val="Text1"/>
        <w:rPr>
          <w:noProof/>
        </w:rPr>
      </w:pPr>
      <w:r w:rsidRPr="004F01E9">
        <w:rPr>
          <w:noProof/>
        </w:rPr>
        <w:t>5. Pokiaľ inštitúcia nemôže použiť prístup uvedený</w:t>
      </w:r>
      <w:r w:rsidR="004F01E9">
        <w:rPr>
          <w:noProof/>
        </w:rPr>
        <w:t xml:space="preserve"> v </w:t>
      </w:r>
      <w:r w:rsidRPr="004F01E9">
        <w:rPr>
          <w:noProof/>
        </w:rPr>
        <w:t>odseku 4, bezrizikové sadzby musia byť založené na jednej alebo viacerých swapových krivkách implikovaných trhom, ktoré inštitúcie používajú na označenie pozícií na trhu, ako sú swapové krivky pre úrokové sadzby ponúkané na medzibankovom trhu.</w:t>
      </w:r>
    </w:p>
    <w:p w14:paraId="1A87C139" w14:textId="51B45467" w:rsidR="004009AD" w:rsidRPr="004F01E9" w:rsidRDefault="004009AD" w:rsidP="004009AD">
      <w:pPr>
        <w:pStyle w:val="Text1"/>
        <w:rPr>
          <w:noProof/>
        </w:rPr>
      </w:pPr>
      <w:r w:rsidRPr="004F01E9">
        <w:rPr>
          <w:noProof/>
        </w:rPr>
        <w:t>Ak sú údaje</w:t>
      </w:r>
      <w:r w:rsidR="004F01E9">
        <w:rPr>
          <w:noProof/>
        </w:rPr>
        <w:t xml:space="preserve"> o </w:t>
      </w:r>
      <w:r w:rsidRPr="004F01E9">
        <w:rPr>
          <w:noProof/>
        </w:rPr>
        <w:t>swapových krivkách implikovaných trhom opísaných</w:t>
      </w:r>
      <w:r w:rsidR="004F01E9">
        <w:rPr>
          <w:noProof/>
        </w:rPr>
        <w:t xml:space="preserve"> v </w:t>
      </w:r>
      <w:r w:rsidRPr="004F01E9">
        <w:rPr>
          <w:noProof/>
        </w:rPr>
        <w:t>prvom pododseku tohto odseku nedostatočné, bezrizikové sadzby možno odvodiť od najvhodnejšej krivky štátnych dlhopisov pre danú menu.</w:t>
      </w:r>
    </w:p>
    <w:p w14:paraId="650C6944" w14:textId="77777777" w:rsidR="004009AD" w:rsidRPr="004F01E9" w:rsidRDefault="004009AD" w:rsidP="004009AD">
      <w:pPr>
        <w:pStyle w:val="Titrearticle"/>
        <w:rPr>
          <w:noProof/>
        </w:rPr>
      </w:pPr>
      <w:r w:rsidRPr="004F01E9">
        <w:rPr>
          <w:noProof/>
        </w:rPr>
        <w:t xml:space="preserve">Článok 383d </w:t>
      </w:r>
      <w:r w:rsidRPr="004F01E9">
        <w:rPr>
          <w:noProof/>
        </w:rPr>
        <w:br/>
      </w:r>
      <w:r w:rsidRPr="004F01E9">
        <w:rPr>
          <w:b/>
          <w:i w:val="0"/>
          <w:noProof/>
        </w:rPr>
        <w:t>Faktory devízového rizika</w:t>
      </w:r>
    </w:p>
    <w:p w14:paraId="282F536F" w14:textId="23A5FDCA" w:rsidR="004009AD" w:rsidRPr="004F01E9" w:rsidRDefault="004009AD" w:rsidP="004009AD">
      <w:pPr>
        <w:pStyle w:val="Text1"/>
        <w:rPr>
          <w:noProof/>
        </w:rPr>
      </w:pPr>
      <w:r w:rsidRPr="004F01E9">
        <w:rPr>
          <w:noProof/>
        </w:rPr>
        <w:t>1. Faktormi devízového rizika delta, ktoré majú inštitúcie uplatňovať na nástroje</w:t>
      </w:r>
      <w:r w:rsidR="004F01E9">
        <w:rPr>
          <w:noProof/>
        </w:rPr>
        <w:t xml:space="preserve"> v </w:t>
      </w:r>
      <w:r w:rsidRPr="004F01E9">
        <w:rPr>
          <w:noProof/>
        </w:rPr>
        <w:t>portfóliu úpravy ocenenia pohľadávok citlivé na spotové výmenné kurzy, sú všetky spotové výmenné kurzy medzi menou,</w:t>
      </w:r>
      <w:r w:rsidR="004F01E9">
        <w:rPr>
          <w:noProof/>
        </w:rPr>
        <w:t xml:space="preserve"> v </w:t>
      </w:r>
      <w:r w:rsidRPr="004F01E9">
        <w:rPr>
          <w:noProof/>
        </w:rPr>
        <w:t>ktorej je nástroj denominovaný,</w:t>
      </w:r>
      <w:r w:rsidR="004F01E9">
        <w:rPr>
          <w:noProof/>
        </w:rPr>
        <w:t xml:space="preserve"> a </w:t>
      </w:r>
      <w:r w:rsidRPr="004F01E9">
        <w:rPr>
          <w:noProof/>
        </w:rPr>
        <w:t>menou vykazovania inštitúcie. Na každý menový pár existuje jedna skupina, ktorá obsahuje jediný faktor rizika</w:t>
      </w:r>
      <w:r w:rsidR="004F01E9">
        <w:rPr>
          <w:noProof/>
        </w:rPr>
        <w:t xml:space="preserve"> a </w:t>
      </w:r>
      <w:r w:rsidRPr="004F01E9">
        <w:rPr>
          <w:noProof/>
        </w:rPr>
        <w:t>jedinú čistú citlivosť.</w:t>
      </w:r>
    </w:p>
    <w:p w14:paraId="3AA09B39" w14:textId="070F6631" w:rsidR="004009AD" w:rsidRPr="004F01E9" w:rsidRDefault="004009AD" w:rsidP="004009AD">
      <w:pPr>
        <w:pStyle w:val="Text1"/>
        <w:rPr>
          <w:noProof/>
        </w:rPr>
      </w:pPr>
      <w:r w:rsidRPr="004F01E9">
        <w:rPr>
          <w:noProof/>
        </w:rPr>
        <w:t>2. Faktormi devízového rizika vega, ktoré majú inštitúcie uplatňovať na nástroje</w:t>
      </w:r>
      <w:r w:rsidR="004F01E9">
        <w:rPr>
          <w:noProof/>
        </w:rPr>
        <w:t xml:space="preserve"> v </w:t>
      </w:r>
      <w:r w:rsidRPr="004F01E9">
        <w:rPr>
          <w:noProof/>
        </w:rPr>
        <w:t>portfóliu úpravy ocenenia pohľadávok citlivé na volatilitu výmenných kurzov, sú implikované volatility výmenných kurzov medzi menovými pármi uvedenými</w:t>
      </w:r>
      <w:r w:rsidR="004F01E9">
        <w:rPr>
          <w:noProof/>
        </w:rPr>
        <w:t xml:space="preserve"> v </w:t>
      </w:r>
      <w:r w:rsidRPr="004F01E9">
        <w:rPr>
          <w:noProof/>
        </w:rPr>
        <w:t>odseku 1. Na všetky meny</w:t>
      </w:r>
      <w:r w:rsidR="004F01E9">
        <w:rPr>
          <w:noProof/>
        </w:rPr>
        <w:t xml:space="preserve"> a </w:t>
      </w:r>
      <w:r w:rsidRPr="004F01E9">
        <w:rPr>
          <w:noProof/>
        </w:rPr>
        <w:t>splatnosti existuje jedna skupina, ktorá obsahuje všetky faktory devízového rizika vega</w:t>
      </w:r>
      <w:r w:rsidR="004F01E9">
        <w:rPr>
          <w:noProof/>
        </w:rPr>
        <w:t xml:space="preserve"> a </w:t>
      </w:r>
      <w:r w:rsidRPr="004F01E9">
        <w:rPr>
          <w:noProof/>
        </w:rPr>
        <w:t>jedinú čistú citlivosť.</w:t>
      </w:r>
    </w:p>
    <w:p w14:paraId="3E6FA1A3" w14:textId="5F7479EA" w:rsidR="004009AD" w:rsidRPr="004F01E9" w:rsidRDefault="004009AD" w:rsidP="004009AD">
      <w:pPr>
        <w:pStyle w:val="Text1"/>
        <w:rPr>
          <w:noProof/>
        </w:rPr>
      </w:pPr>
      <w:r w:rsidRPr="004F01E9">
        <w:rPr>
          <w:noProof/>
        </w:rPr>
        <w:t>3. Od inštitúcií sa nevyžaduje, aby rozlišovali medzi domácimi</w:t>
      </w:r>
      <w:r w:rsidR="004F01E9">
        <w:rPr>
          <w:noProof/>
        </w:rPr>
        <w:t xml:space="preserve"> a </w:t>
      </w:r>
      <w:r w:rsidRPr="004F01E9">
        <w:rPr>
          <w:noProof/>
        </w:rPr>
        <w:t>zahraničnými menovými variantmi pre faktory devízového rizika delta</w:t>
      </w:r>
      <w:r w:rsidR="004F01E9">
        <w:rPr>
          <w:noProof/>
        </w:rPr>
        <w:t xml:space="preserve"> a </w:t>
      </w:r>
      <w:r w:rsidRPr="004F01E9">
        <w:rPr>
          <w:noProof/>
        </w:rPr>
        <w:t>vega.</w:t>
      </w:r>
    </w:p>
    <w:p w14:paraId="5B98D270" w14:textId="77777777" w:rsidR="004009AD" w:rsidRPr="004F01E9" w:rsidRDefault="004009AD" w:rsidP="004009AD">
      <w:pPr>
        <w:pStyle w:val="Titrearticle"/>
        <w:rPr>
          <w:noProof/>
        </w:rPr>
      </w:pPr>
      <w:r w:rsidRPr="004F01E9">
        <w:rPr>
          <w:noProof/>
        </w:rPr>
        <w:t xml:space="preserve">Článok 383e </w:t>
      </w:r>
      <w:r w:rsidRPr="004F01E9">
        <w:rPr>
          <w:noProof/>
        </w:rPr>
        <w:br/>
      </w:r>
      <w:r w:rsidRPr="004F01E9">
        <w:rPr>
          <w:b/>
          <w:i w:val="0"/>
          <w:noProof/>
        </w:rPr>
        <w:t>Faktory rizika kreditného rozpätia protistrany</w:t>
      </w:r>
    </w:p>
    <w:p w14:paraId="282CD220" w14:textId="4C95E183" w:rsidR="00806B81" w:rsidRPr="006A7A28" w:rsidRDefault="004009AD" w:rsidP="004009AD">
      <w:pPr>
        <w:pStyle w:val="Text1"/>
        <w:rPr>
          <w:noProof/>
          <w:spacing w:val="-4"/>
        </w:rPr>
      </w:pPr>
      <w:r w:rsidRPr="006A7A28">
        <w:rPr>
          <w:noProof/>
          <w:spacing w:val="-4"/>
        </w:rPr>
        <w:t>1. Faktorom rizika kreditného rozpätia delta protistrany, ktorý sa uplatňuje na nástroje</w:t>
      </w:r>
      <w:r w:rsidR="004F01E9" w:rsidRPr="006A7A28">
        <w:rPr>
          <w:noProof/>
          <w:spacing w:val="-4"/>
        </w:rPr>
        <w:t xml:space="preserve"> v </w:t>
      </w:r>
      <w:r w:rsidRPr="006A7A28">
        <w:rPr>
          <w:noProof/>
          <w:spacing w:val="-4"/>
        </w:rPr>
        <w:t>portfóliu úpravy ocenenia pohľadávok citlivé na kreditné rozpätie protistrany, sú kreditné rozpätia jednotlivých protistrán</w:t>
      </w:r>
      <w:r w:rsidR="004F01E9" w:rsidRPr="006A7A28">
        <w:rPr>
          <w:noProof/>
          <w:spacing w:val="-4"/>
        </w:rPr>
        <w:t xml:space="preserve"> a </w:t>
      </w:r>
      <w:r w:rsidRPr="006A7A28">
        <w:rPr>
          <w:noProof/>
          <w:spacing w:val="-4"/>
        </w:rPr>
        <w:t>referenčné názvy</w:t>
      </w:r>
      <w:r w:rsidR="004F01E9" w:rsidRPr="006A7A28">
        <w:rPr>
          <w:noProof/>
          <w:spacing w:val="-4"/>
        </w:rPr>
        <w:t xml:space="preserve"> a </w:t>
      </w:r>
      <w:r w:rsidRPr="006A7A28">
        <w:rPr>
          <w:noProof/>
          <w:spacing w:val="-4"/>
        </w:rPr>
        <w:t>kvalifikované indexy pre tieto splatnosti: 0,5 roka, 1 rok, 3 roky, 5 rokov</w:t>
      </w:r>
      <w:r w:rsidR="004F01E9" w:rsidRPr="006A7A28">
        <w:rPr>
          <w:noProof/>
          <w:spacing w:val="-4"/>
        </w:rPr>
        <w:t xml:space="preserve"> a </w:t>
      </w:r>
      <w:r w:rsidRPr="006A7A28">
        <w:rPr>
          <w:noProof/>
          <w:spacing w:val="-4"/>
        </w:rPr>
        <w:t>10 rokov.</w:t>
      </w:r>
    </w:p>
    <w:p w14:paraId="4AC63CDF" w14:textId="5F259AC7" w:rsidR="004009AD" w:rsidRPr="006A7A28" w:rsidRDefault="004009AD" w:rsidP="004009AD">
      <w:pPr>
        <w:pStyle w:val="Text1"/>
        <w:rPr>
          <w:noProof/>
          <w:spacing w:val="-4"/>
        </w:rPr>
      </w:pPr>
      <w:r w:rsidRPr="006A7A28">
        <w:rPr>
          <w:noProof/>
          <w:spacing w:val="-4"/>
        </w:rPr>
        <w:t>2. Faktorom úrokového rizika delta, ktorý sa uplatňuje na nástroje</w:t>
      </w:r>
      <w:r w:rsidR="004F01E9" w:rsidRPr="006A7A28">
        <w:rPr>
          <w:noProof/>
          <w:spacing w:val="-4"/>
        </w:rPr>
        <w:t xml:space="preserve"> v </w:t>
      </w:r>
      <w:r w:rsidRPr="006A7A28">
        <w:rPr>
          <w:noProof/>
          <w:spacing w:val="-4"/>
        </w:rPr>
        <w:t>portfóliu úpravy ocenenia pohľadávok citlivé na mieru inflácie, sú príslušné miery inflácie pre príslušnú menu</w:t>
      </w:r>
      <w:r w:rsidR="004F01E9" w:rsidRPr="006A7A28">
        <w:rPr>
          <w:noProof/>
          <w:spacing w:val="-4"/>
        </w:rPr>
        <w:t xml:space="preserve"> a </w:t>
      </w:r>
      <w:r w:rsidRPr="006A7A28">
        <w:rPr>
          <w:noProof/>
          <w:spacing w:val="-4"/>
        </w:rPr>
        <w:t>pre každú</w:t>
      </w:r>
      <w:r w:rsidR="004F01E9" w:rsidRPr="006A7A28">
        <w:rPr>
          <w:noProof/>
          <w:spacing w:val="-4"/>
        </w:rPr>
        <w:t xml:space="preserve"> z </w:t>
      </w:r>
      <w:r w:rsidRPr="006A7A28">
        <w:rPr>
          <w:noProof/>
          <w:spacing w:val="-4"/>
        </w:rPr>
        <w:t>týchto splatností: 1 rok, 2 roky, 5 rokov, 10 rokov</w:t>
      </w:r>
      <w:r w:rsidR="004F01E9" w:rsidRPr="006A7A28">
        <w:rPr>
          <w:noProof/>
          <w:spacing w:val="-4"/>
        </w:rPr>
        <w:t xml:space="preserve"> a </w:t>
      </w:r>
      <w:r w:rsidRPr="006A7A28">
        <w:rPr>
          <w:noProof/>
          <w:spacing w:val="-4"/>
        </w:rPr>
        <w:t>30 rokov.</w:t>
      </w:r>
    </w:p>
    <w:p w14:paraId="321A26CE" w14:textId="77777777" w:rsidR="004009AD" w:rsidRPr="004F01E9" w:rsidRDefault="004009AD" w:rsidP="004009AD">
      <w:pPr>
        <w:pStyle w:val="Titrearticle"/>
        <w:rPr>
          <w:noProof/>
        </w:rPr>
      </w:pPr>
      <w:r w:rsidRPr="004F01E9">
        <w:rPr>
          <w:noProof/>
        </w:rPr>
        <w:t xml:space="preserve">Článok 383f </w:t>
      </w:r>
      <w:r w:rsidRPr="004F01E9">
        <w:rPr>
          <w:noProof/>
        </w:rPr>
        <w:br/>
      </w:r>
      <w:r w:rsidRPr="004F01E9">
        <w:rPr>
          <w:b/>
          <w:i w:val="0"/>
          <w:noProof/>
        </w:rPr>
        <w:t>Faktory rizika referenčného kreditného rozpätia</w:t>
      </w:r>
    </w:p>
    <w:p w14:paraId="304F86FA" w14:textId="6FF75987" w:rsidR="004009AD" w:rsidRPr="004F01E9" w:rsidRDefault="004009AD" w:rsidP="004009AD">
      <w:pPr>
        <w:pStyle w:val="Text1"/>
        <w:rPr>
          <w:noProof/>
        </w:rPr>
      </w:pPr>
      <w:r w:rsidRPr="004F01E9">
        <w:rPr>
          <w:noProof/>
        </w:rPr>
        <w:t>1. Faktorom rizika referenčného kreditného rozpätia delta, ktorý sa uplatňuje na nástroje</w:t>
      </w:r>
      <w:r w:rsidR="004F01E9">
        <w:rPr>
          <w:noProof/>
        </w:rPr>
        <w:t xml:space="preserve"> v </w:t>
      </w:r>
      <w:r w:rsidRPr="004F01E9">
        <w:rPr>
          <w:noProof/>
        </w:rPr>
        <w:t>portfóliu úpravy ocenenia pohľadávok citlivé na referenčné kreditné rozpätie, sú kreditné rozpätia všetkých splatností pre všetky referenčné názvy</w:t>
      </w:r>
      <w:r w:rsidR="004F01E9">
        <w:rPr>
          <w:noProof/>
        </w:rPr>
        <w:t xml:space="preserve"> v </w:t>
      </w:r>
      <w:r w:rsidRPr="004F01E9">
        <w:rPr>
          <w:noProof/>
        </w:rPr>
        <w:t>rámci skupiny. Pre každú skupinu sa vypočítava jedna čistá citlivosť.</w:t>
      </w:r>
    </w:p>
    <w:p w14:paraId="75F9EC00" w14:textId="786CDDE3" w:rsidR="004009AD" w:rsidRPr="006A7A28" w:rsidRDefault="004009AD" w:rsidP="004009AD">
      <w:pPr>
        <w:pStyle w:val="Text1"/>
        <w:rPr>
          <w:noProof/>
          <w:spacing w:val="-4"/>
        </w:rPr>
      </w:pPr>
      <w:r w:rsidRPr="006A7A28">
        <w:rPr>
          <w:noProof/>
          <w:spacing w:val="-4"/>
        </w:rPr>
        <w:t>2. Faktorom rizika referenčného kreditného rozpätia vega, ktorý sa uplatňuje na nástroje citlivé na referenčnú volatilitu kreditného rozpätia</w:t>
      </w:r>
      <w:r w:rsidR="004F01E9" w:rsidRPr="006A7A28">
        <w:rPr>
          <w:noProof/>
          <w:spacing w:val="-4"/>
        </w:rPr>
        <w:t xml:space="preserve"> v </w:t>
      </w:r>
      <w:r w:rsidRPr="006A7A28">
        <w:rPr>
          <w:noProof/>
          <w:spacing w:val="-4"/>
        </w:rPr>
        <w:t>portfóliu úpravy ocenenia pohľadávok, sú volatility kreditných rozpätí všetkých dôb splatností pre všetky referenčné názvy</w:t>
      </w:r>
      <w:r w:rsidR="004F01E9" w:rsidRPr="006A7A28">
        <w:rPr>
          <w:noProof/>
          <w:spacing w:val="-4"/>
        </w:rPr>
        <w:t xml:space="preserve"> v </w:t>
      </w:r>
      <w:r w:rsidRPr="006A7A28">
        <w:rPr>
          <w:noProof/>
          <w:spacing w:val="-4"/>
        </w:rPr>
        <w:t>rámci skupiny. Pre každú skupinu sa vypočítava jedna čistá citlivosť.</w:t>
      </w:r>
    </w:p>
    <w:p w14:paraId="0FDFAB46" w14:textId="77777777" w:rsidR="004009AD" w:rsidRPr="004F01E9" w:rsidRDefault="004009AD" w:rsidP="004009AD">
      <w:pPr>
        <w:pStyle w:val="Titrearticle"/>
        <w:rPr>
          <w:noProof/>
        </w:rPr>
      </w:pPr>
      <w:r w:rsidRPr="004F01E9">
        <w:rPr>
          <w:noProof/>
        </w:rPr>
        <w:t xml:space="preserve">Článok 383g </w:t>
      </w:r>
      <w:r w:rsidRPr="004F01E9">
        <w:rPr>
          <w:noProof/>
        </w:rPr>
        <w:br/>
      </w:r>
      <w:r w:rsidRPr="004F01E9">
        <w:rPr>
          <w:b/>
          <w:i w:val="0"/>
          <w:noProof/>
        </w:rPr>
        <w:t>Faktory akciového rizika</w:t>
      </w:r>
    </w:p>
    <w:p w14:paraId="12BA45DE" w14:textId="45DCE636" w:rsidR="004009AD" w:rsidRPr="004F01E9" w:rsidRDefault="004009AD" w:rsidP="004009AD">
      <w:pPr>
        <w:pStyle w:val="Text1"/>
        <w:rPr>
          <w:noProof/>
        </w:rPr>
      </w:pPr>
      <w:r w:rsidRPr="004F01E9">
        <w:rPr>
          <w:noProof/>
        </w:rPr>
        <w:t>1. Skupinami pre všetky faktory akciového rizika sú skupiny uvedené</w:t>
      </w:r>
      <w:r w:rsidR="004F01E9">
        <w:rPr>
          <w:noProof/>
        </w:rPr>
        <w:t xml:space="preserve"> v </w:t>
      </w:r>
      <w:r w:rsidRPr="004F01E9">
        <w:rPr>
          <w:noProof/>
        </w:rPr>
        <w:t>článku 383s.</w:t>
      </w:r>
    </w:p>
    <w:p w14:paraId="0F171A49" w14:textId="62BEB050" w:rsidR="004009AD" w:rsidRPr="004F01E9" w:rsidRDefault="004009AD" w:rsidP="004009AD">
      <w:pPr>
        <w:pStyle w:val="Text1"/>
        <w:rPr>
          <w:noProof/>
        </w:rPr>
      </w:pPr>
      <w:r w:rsidRPr="004F01E9">
        <w:rPr>
          <w:noProof/>
        </w:rPr>
        <w:t>2. Faktormi akciového rizika delta, ktoré majú inštitúcie uplatňovať na nástroje</w:t>
      </w:r>
      <w:r w:rsidR="004F01E9">
        <w:rPr>
          <w:noProof/>
        </w:rPr>
        <w:t xml:space="preserve"> v </w:t>
      </w:r>
      <w:r w:rsidRPr="004F01E9">
        <w:rPr>
          <w:noProof/>
        </w:rPr>
        <w:t>portfóliu úpravy ocenenia pohľadávok citlivé na spotové ceny akcie, sú spotové ceny všetkých kapitálových cenných papierov zaradené do tej istej skupiny uvedenej</w:t>
      </w:r>
      <w:r w:rsidR="004F01E9">
        <w:rPr>
          <w:noProof/>
        </w:rPr>
        <w:t xml:space="preserve"> v </w:t>
      </w:r>
      <w:r w:rsidRPr="004F01E9">
        <w:rPr>
          <w:noProof/>
        </w:rPr>
        <w:t>odseku 1. Pre každú skupinu sa vypočítava jedna čistá citlivosť.</w:t>
      </w:r>
    </w:p>
    <w:p w14:paraId="045824AF" w14:textId="3B257016" w:rsidR="004009AD" w:rsidRPr="004F01E9" w:rsidRDefault="004009AD" w:rsidP="004009AD">
      <w:pPr>
        <w:pStyle w:val="Text1"/>
        <w:rPr>
          <w:noProof/>
        </w:rPr>
      </w:pPr>
      <w:r w:rsidRPr="004F01E9">
        <w:rPr>
          <w:noProof/>
        </w:rPr>
        <w:t>3. Faktormi akciového rizika vega, ktoré majú inštitúcie uplatňovať na nástroje</w:t>
      </w:r>
      <w:r w:rsidR="004F01E9">
        <w:rPr>
          <w:noProof/>
        </w:rPr>
        <w:t xml:space="preserve"> v </w:t>
      </w:r>
      <w:r w:rsidRPr="004F01E9">
        <w:rPr>
          <w:noProof/>
        </w:rPr>
        <w:t>portfóliu úpravy ocenenia pohľadávok citlivé na volatilitu akcií, sú implikované volatility všetkých kapitálových cenných papierov zaradených do tej istej skupiny uvedenej</w:t>
      </w:r>
      <w:r w:rsidR="004F01E9">
        <w:rPr>
          <w:noProof/>
        </w:rPr>
        <w:t xml:space="preserve"> v </w:t>
      </w:r>
      <w:r w:rsidRPr="004F01E9">
        <w:rPr>
          <w:noProof/>
        </w:rPr>
        <w:t>odseku 1. Pre každú skupinu sa vypočítava jedna čistá citlivosť.</w:t>
      </w:r>
    </w:p>
    <w:p w14:paraId="44840FF6" w14:textId="77777777" w:rsidR="004009AD" w:rsidRPr="004F01E9" w:rsidRDefault="004009AD" w:rsidP="004009AD">
      <w:pPr>
        <w:pStyle w:val="Titrearticle"/>
        <w:rPr>
          <w:noProof/>
        </w:rPr>
      </w:pPr>
      <w:r w:rsidRPr="004F01E9">
        <w:rPr>
          <w:noProof/>
        </w:rPr>
        <w:t xml:space="preserve">Článok 383h </w:t>
      </w:r>
      <w:r w:rsidRPr="004F01E9">
        <w:rPr>
          <w:noProof/>
        </w:rPr>
        <w:br/>
      </w:r>
      <w:r w:rsidRPr="004F01E9">
        <w:rPr>
          <w:b/>
          <w:i w:val="0"/>
          <w:noProof/>
        </w:rPr>
        <w:t>Faktory komoditného rizika</w:t>
      </w:r>
    </w:p>
    <w:p w14:paraId="196527A9" w14:textId="7780B65C" w:rsidR="004009AD" w:rsidRPr="004F01E9" w:rsidRDefault="004009AD" w:rsidP="004009AD">
      <w:pPr>
        <w:pStyle w:val="Text1"/>
        <w:rPr>
          <w:noProof/>
        </w:rPr>
      </w:pPr>
      <w:r w:rsidRPr="004F01E9">
        <w:rPr>
          <w:noProof/>
        </w:rPr>
        <w:t>1. Skupinami pre všetky faktory komoditného rizika sú sektorové skupiny uvedené</w:t>
      </w:r>
      <w:r w:rsidR="004F01E9">
        <w:rPr>
          <w:noProof/>
        </w:rPr>
        <w:t xml:space="preserve"> v </w:t>
      </w:r>
      <w:r w:rsidRPr="004F01E9">
        <w:rPr>
          <w:noProof/>
        </w:rPr>
        <w:t>článku 383v.</w:t>
      </w:r>
    </w:p>
    <w:p w14:paraId="58AF4952" w14:textId="37B29EAD" w:rsidR="004009AD" w:rsidRPr="004F01E9" w:rsidRDefault="004009AD" w:rsidP="004009AD">
      <w:pPr>
        <w:pStyle w:val="Text1"/>
        <w:rPr>
          <w:noProof/>
        </w:rPr>
      </w:pPr>
      <w:r w:rsidRPr="004F01E9">
        <w:rPr>
          <w:noProof/>
        </w:rPr>
        <w:t>2. Faktormi komoditného rizika delta, ktoré majú inštitúcie uplatňovať na nástroje</w:t>
      </w:r>
      <w:r w:rsidR="004F01E9">
        <w:rPr>
          <w:noProof/>
        </w:rPr>
        <w:t xml:space="preserve"> v </w:t>
      </w:r>
      <w:r w:rsidRPr="004F01E9">
        <w:rPr>
          <w:noProof/>
        </w:rPr>
        <w:t>portfóliu úpravy ocenenia pohľadávok citlivé na spotové ceny komodít, sú spotové ceny všetkých komodít zaradené do tej istej sektorovej skupiny uvedenej</w:t>
      </w:r>
      <w:r w:rsidR="004F01E9">
        <w:rPr>
          <w:noProof/>
        </w:rPr>
        <w:t xml:space="preserve"> v </w:t>
      </w:r>
      <w:r w:rsidRPr="004F01E9">
        <w:rPr>
          <w:noProof/>
        </w:rPr>
        <w:t>odseku 1. Pre každú sektorovú skupinu sa vypočíta jedna čistá citlivosť.</w:t>
      </w:r>
    </w:p>
    <w:p w14:paraId="579CC134" w14:textId="59B3CC75" w:rsidR="004009AD" w:rsidRPr="004F01E9" w:rsidRDefault="004009AD" w:rsidP="004009AD">
      <w:pPr>
        <w:pStyle w:val="Text1"/>
        <w:rPr>
          <w:noProof/>
        </w:rPr>
      </w:pPr>
      <w:r w:rsidRPr="004F01E9">
        <w:rPr>
          <w:noProof/>
        </w:rPr>
        <w:t>3. Faktormi komoditného rizika vega, ktoré majú inštitúcie uplatňovať na nástroje</w:t>
      </w:r>
      <w:r w:rsidR="004F01E9">
        <w:rPr>
          <w:noProof/>
        </w:rPr>
        <w:t xml:space="preserve"> v </w:t>
      </w:r>
      <w:r w:rsidRPr="004F01E9">
        <w:rPr>
          <w:noProof/>
        </w:rPr>
        <w:t>portfóliu úpravy ocenenia pohľadávok citlivé na volatilitu ceny komodity, sú implikované volatility všetkých komodít zaradených do tej istej sektorovej skupiny uvedenej</w:t>
      </w:r>
      <w:r w:rsidR="004F01E9">
        <w:rPr>
          <w:noProof/>
        </w:rPr>
        <w:t xml:space="preserve"> v </w:t>
      </w:r>
      <w:r w:rsidRPr="004F01E9">
        <w:rPr>
          <w:noProof/>
        </w:rPr>
        <w:t>odseku 1. Pre každú sektorovú skupinu sa vypočíta jedna čistá citlivosť.</w:t>
      </w:r>
    </w:p>
    <w:p w14:paraId="33ACCFBE" w14:textId="77777777" w:rsidR="004009AD" w:rsidRPr="004F01E9" w:rsidRDefault="004009AD" w:rsidP="004009AD">
      <w:pPr>
        <w:pStyle w:val="Titrearticle"/>
        <w:rPr>
          <w:noProof/>
        </w:rPr>
      </w:pPr>
      <w:r w:rsidRPr="004F01E9">
        <w:rPr>
          <w:noProof/>
        </w:rPr>
        <w:t xml:space="preserve">Článok 383i </w:t>
      </w:r>
      <w:r w:rsidRPr="004F01E9">
        <w:rPr>
          <w:noProof/>
        </w:rPr>
        <w:br/>
      </w:r>
      <w:r w:rsidRPr="004F01E9">
        <w:rPr>
          <w:b/>
          <w:i w:val="0"/>
          <w:noProof/>
        </w:rPr>
        <w:t>Citlivosti na riziko delta</w:t>
      </w:r>
    </w:p>
    <w:p w14:paraId="07AA7C6D" w14:textId="79D89F34" w:rsidR="004009AD" w:rsidRPr="004F01E9" w:rsidRDefault="004009AD" w:rsidP="004009AD">
      <w:pPr>
        <w:pStyle w:val="Text1"/>
        <w:rPr>
          <w:noProof/>
        </w:rPr>
      </w:pPr>
      <w:r w:rsidRPr="004F01E9">
        <w:rPr>
          <w:noProof/>
        </w:rPr>
        <w:t>1. Inštitúcie vypočítavajú citlivosti delta pozostávajúce</w:t>
      </w:r>
      <w:r w:rsidR="004F01E9">
        <w:rPr>
          <w:noProof/>
        </w:rPr>
        <w:t xml:space="preserve"> z </w:t>
      </w:r>
      <w:r w:rsidRPr="004F01E9">
        <w:rPr>
          <w:noProof/>
        </w:rPr>
        <w:t>faktorov úrokového rizika takto:</w:t>
      </w:r>
    </w:p>
    <w:p w14:paraId="32741141" w14:textId="400FEDB6" w:rsidR="004009AD" w:rsidRPr="004F01E9" w:rsidRDefault="004009AD" w:rsidP="004009AD">
      <w:pPr>
        <w:pStyle w:val="Point1"/>
        <w:rPr>
          <w:noProof/>
        </w:rPr>
      </w:pPr>
      <w:r w:rsidRPr="004F01E9">
        <w:rPr>
          <w:noProof/>
        </w:rPr>
        <w:t>a)</w:t>
      </w:r>
      <w:r w:rsidRPr="004F01E9">
        <w:rPr>
          <w:noProof/>
        </w:rPr>
        <w:tab/>
        <w:t>citlivosti delta súhrnnej úpravy ocenenia pohľadávok na faktory rizika pozostávajúce</w:t>
      </w:r>
      <w:r w:rsidR="004F01E9">
        <w:rPr>
          <w:noProof/>
        </w:rPr>
        <w:t xml:space="preserve"> z </w:t>
      </w:r>
      <w:r w:rsidRPr="004F01E9">
        <w:rPr>
          <w:noProof/>
        </w:rPr>
        <w:t>bezrizikových sadzieb, ako aj prípustného hedžingu voči uvedeným faktorom rizika sa vypočítavajú takto:</w:t>
      </w:r>
    </w:p>
    <w:p w14:paraId="29C6B22C" w14:textId="77777777" w:rsidR="004009AD" w:rsidRPr="004F01E9" w:rsidRDefault="00EE12EE" w:rsidP="004009AD">
      <w:pPr>
        <w:rPr>
          <w:noProof/>
        </w:rPr>
      </w:pPr>
      <m:oMathPara>
        <m:oMath>
          <m:sSubSup>
            <m:sSubSupPr>
              <m:ctrlPr>
                <w:rPr>
                  <w:rFonts w:ascii="Cambria Math" w:hAnsi="Cambria Math"/>
                  <w:noProof/>
                </w:rPr>
              </m:ctrlPr>
            </m:sSubSupPr>
            <m:e>
              <m:r>
                <w:rPr>
                  <w:rFonts w:ascii="Cambria Math" w:hAnsi="Cambria Math"/>
                  <w:noProof/>
                </w:rPr>
                <m:t>S</m:t>
              </m:r>
            </m:e>
            <m:sub>
              <m:sSub>
                <m:sSubPr>
                  <m:ctrlPr>
                    <w:rPr>
                      <w:rFonts w:ascii="Cambria Math" w:hAnsi="Cambria Math"/>
                      <w:noProof/>
                    </w:rPr>
                  </m:ctrlPr>
                </m:sSubPr>
                <m:e>
                  <m:r>
                    <w:rPr>
                      <w:rFonts w:ascii="Cambria Math" w:hAnsi="Cambria Math"/>
                      <w:noProof/>
                    </w:rPr>
                    <m:t>r</m:t>
                  </m:r>
                </m:e>
                <m:sub>
                  <m:r>
                    <w:rPr>
                      <w:rFonts w:ascii="Cambria Math" w:hAnsi="Cambria Math"/>
                      <w:noProof/>
                    </w:rPr>
                    <m:t>kt</m:t>
                  </m:r>
                </m:sub>
              </m:sSub>
            </m:sub>
            <m:sup>
              <m:r>
                <w:rPr>
                  <w:rFonts w:ascii="Cambria Math" w:hAnsi="Cambria Math"/>
                  <w:noProof/>
                </w:rPr>
                <m:t>CVA</m:t>
              </m:r>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r</m:t>
                      </m:r>
                    </m:e>
                    <m:sub>
                      <m:r>
                        <w:rPr>
                          <w:rFonts w:ascii="Cambria Math" w:hAnsi="Cambria Math"/>
                          <w:noProof/>
                        </w:rPr>
                        <m:t>kt</m:t>
                      </m:r>
                    </m:sub>
                  </m:sSub>
                  <m:r>
                    <m:rPr>
                      <m:sty m:val="p"/>
                    </m:rPr>
                    <w:rPr>
                      <w:rFonts w:ascii="Cambria Math" w:hAnsi="Cambria Math"/>
                      <w:noProof/>
                    </w:rPr>
                    <m:t xml:space="preserve">+0.0001, </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r</m:t>
                      </m:r>
                    </m:e>
                    <m:sub>
                      <m:r>
                        <w:rPr>
                          <w:rFonts w:ascii="Cambria Math" w:hAnsi="Cambria Math"/>
                          <w:noProof/>
                        </w:rPr>
                        <m:t>kt</m:t>
                      </m:r>
                    </m:sub>
                  </m:sSub>
                  <m:r>
                    <m:rPr>
                      <m:sty m:val="p"/>
                    </m:rPr>
                    <w:rPr>
                      <w:rFonts w:ascii="Cambria Math" w:hAnsi="Cambria Math"/>
                      <w:noProof/>
                    </w:rPr>
                    <m:t xml:space="preserve">, </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m:t>
                  </m:r>
                </m:e>
              </m:d>
            </m:num>
            <m:den>
              <m:r>
                <m:rPr>
                  <m:sty m:val="p"/>
                </m:rPr>
                <w:rPr>
                  <w:rFonts w:ascii="Cambria Math" w:hAnsi="Cambria Math"/>
                  <w:noProof/>
                </w:rPr>
                <m:t>0.0001</m:t>
              </m:r>
            </m:den>
          </m:f>
        </m:oMath>
      </m:oMathPara>
    </w:p>
    <w:p w14:paraId="46AE075E" w14:textId="77777777" w:rsidR="004009AD" w:rsidRPr="004F01E9" w:rsidRDefault="00EE12EE" w:rsidP="004009AD">
      <w:pPr>
        <w:rPr>
          <w:rFonts w:eastAsiaTheme="minorEastAsia"/>
          <w:noProof/>
        </w:rPr>
      </w:pPr>
      <m:oMathPara>
        <m:oMathParaPr>
          <m:jc m:val="center"/>
        </m:oMathParaPr>
        <m:oMath>
          <m:sSubSup>
            <m:sSubSupPr>
              <m:ctrlPr>
                <w:rPr>
                  <w:rFonts w:ascii="Cambria Math" w:hAnsi="Cambria Math"/>
                  <w:noProof/>
                </w:rPr>
              </m:ctrlPr>
            </m:sSubSupPr>
            <m:e>
              <m:r>
                <w:rPr>
                  <w:rFonts w:ascii="Cambria Math" w:hAnsi="Cambria Math"/>
                  <w:noProof/>
                </w:rPr>
                <m:t>S</m:t>
              </m:r>
            </m:e>
            <m:sub>
              <m:sSub>
                <m:sSubPr>
                  <m:ctrlPr>
                    <w:rPr>
                      <w:rFonts w:ascii="Cambria Math" w:hAnsi="Cambria Math"/>
                      <w:noProof/>
                    </w:rPr>
                  </m:ctrlPr>
                </m:sSubPr>
                <m:e>
                  <m:r>
                    <w:rPr>
                      <w:rFonts w:ascii="Cambria Math" w:hAnsi="Cambria Math"/>
                      <w:noProof/>
                    </w:rPr>
                    <m:t>r</m:t>
                  </m:r>
                </m:e>
                <m:sub>
                  <m:r>
                    <w:rPr>
                      <w:rFonts w:ascii="Cambria Math" w:hAnsi="Cambria Math"/>
                      <w:noProof/>
                    </w:rPr>
                    <m:t>kt</m:t>
                  </m:r>
                </m:sub>
              </m:sSub>
            </m:sub>
            <m:sup>
              <m:sSub>
                <m:sSubPr>
                  <m:ctrlPr>
                    <w:rPr>
                      <w:rFonts w:ascii="Cambria Math" w:hAnsi="Cambria Math"/>
                      <w:noProof/>
                    </w:rPr>
                  </m:ctrlPr>
                </m:sSubPr>
                <m:e>
                  <m:r>
                    <w:rPr>
                      <w:rFonts w:ascii="Cambria Math" w:hAnsi="Cambria Math"/>
                      <w:noProof/>
                    </w:rPr>
                    <m:t>hedge</m:t>
                  </m:r>
                </m:e>
                <m:sub>
                  <m:r>
                    <w:rPr>
                      <w:rFonts w:ascii="Cambria Math" w:hAnsi="Cambria Math"/>
                      <w:noProof/>
                    </w:rPr>
                    <m:t>i</m:t>
                  </m:r>
                </m:sub>
              </m:sSub>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r</m:t>
                      </m:r>
                    </m:e>
                    <m:sub>
                      <m:r>
                        <w:rPr>
                          <w:rFonts w:ascii="Cambria Math" w:hAnsi="Cambria Math"/>
                          <w:noProof/>
                        </w:rPr>
                        <m:t>kt</m:t>
                      </m:r>
                    </m:sub>
                  </m:sSub>
                  <m:r>
                    <m:rPr>
                      <m:sty m:val="p"/>
                    </m:rPr>
                    <w:rPr>
                      <w:rFonts w:ascii="Cambria Math" w:hAnsi="Cambria Math"/>
                      <w:noProof/>
                    </w:rPr>
                    <m:t xml:space="preserve">+0.0001, </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r</m:t>
                      </m:r>
                    </m:e>
                    <m:sub>
                      <m:r>
                        <w:rPr>
                          <w:rFonts w:ascii="Cambria Math" w:hAnsi="Cambria Math"/>
                          <w:noProof/>
                        </w:rPr>
                        <m:t>kt</m:t>
                      </m:r>
                    </m:sub>
                  </m:sSub>
                  <m:r>
                    <m:rPr>
                      <m:sty m:val="p"/>
                    </m:rPr>
                    <w:rPr>
                      <w:rFonts w:ascii="Cambria Math" w:hAnsi="Cambria Math"/>
                      <w:noProof/>
                    </w:rPr>
                    <m:t xml:space="preserve">, </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m:t>
                  </m:r>
                </m:e>
              </m:d>
            </m:num>
            <m:den>
              <m:r>
                <m:rPr>
                  <m:sty m:val="p"/>
                </m:rPr>
                <w:rPr>
                  <w:rFonts w:ascii="Cambria Math" w:hAnsi="Cambria Math"/>
                  <w:noProof/>
                </w:rPr>
                <m:t>0.0001</m:t>
              </m:r>
            </m:den>
          </m:f>
        </m:oMath>
      </m:oMathPara>
    </w:p>
    <w:p w14:paraId="1D5D82A2" w14:textId="77777777" w:rsidR="004009AD" w:rsidRPr="004F01E9" w:rsidRDefault="004009AD" w:rsidP="004009AD">
      <w:pPr>
        <w:pStyle w:val="Text1"/>
        <w:rPr>
          <w:noProof/>
        </w:rPr>
      </w:pPr>
      <w:r w:rsidRPr="004F01E9">
        <w:rPr>
          <w:noProof/>
        </w:rPr>
        <w:t>kde:</w:t>
      </w:r>
    </w:p>
    <w:p w14:paraId="27694065" w14:textId="064B4DED" w:rsidR="004009AD" w:rsidRPr="004F01E9" w:rsidRDefault="00EE12EE" w:rsidP="00930CF2">
      <w:pPr>
        <w:pStyle w:val="Text1"/>
        <w:tabs>
          <w:tab w:val="left" w:pos="1701"/>
        </w:tabs>
        <w:rPr>
          <w:noProof/>
        </w:rPr>
      </w:pPr>
      <m:oMath>
        <m:sSubSup>
          <m:sSubSupPr>
            <m:ctrlPr>
              <w:rPr>
                <w:rFonts w:ascii="Cambria Math" w:hAnsi="Cambria Math"/>
                <w:i/>
                <w:noProof/>
              </w:rPr>
            </m:ctrlPr>
          </m:sSubSupPr>
          <m:e>
            <m:r>
              <w:rPr>
                <w:rFonts w:ascii="Cambria Math" w:hAnsi="Cambria Math"/>
                <w:noProof/>
              </w:rPr>
              <m:t>S</m:t>
            </m:r>
          </m:e>
          <m:sub>
            <m:sSub>
              <m:sSubPr>
                <m:ctrlPr>
                  <w:rPr>
                    <w:rFonts w:ascii="Cambria Math" w:hAnsi="Cambria Math"/>
                    <w:i/>
                    <w:noProof/>
                  </w:rPr>
                </m:ctrlPr>
              </m:sSubPr>
              <m:e>
                <m:r>
                  <w:rPr>
                    <w:rFonts w:ascii="Cambria Math" w:hAnsi="Cambria Math"/>
                    <w:noProof/>
                  </w:rPr>
                  <m:t>r</m:t>
                </m:r>
              </m:e>
              <m:sub>
                <m:r>
                  <w:rPr>
                    <w:rFonts w:ascii="Cambria Math" w:hAnsi="Cambria Math"/>
                    <w:noProof/>
                  </w:rPr>
                  <m:t>kt</m:t>
                </m:r>
              </m:sub>
            </m:sSub>
          </m:sub>
          <m:sup>
            <m:r>
              <w:rPr>
                <w:rFonts w:ascii="Cambria Math" w:hAnsi="Cambria Math"/>
                <w:noProof/>
              </w:rPr>
              <m:t>CVA</m:t>
            </m:r>
          </m:sup>
        </m:sSubSup>
      </m:oMath>
      <w:r w:rsidR="00DE1B1D" w:rsidRPr="004F01E9">
        <w:rPr>
          <w:noProof/>
        </w:rPr>
        <w:tab/>
        <w:t>= citlivosti súhrnnej úpravy ocenenia pohľadávok na faktor rizika bezrizikovej sadzby;</w:t>
      </w:r>
    </w:p>
    <w:p w14:paraId="0BD8175F" w14:textId="7B252F42" w:rsidR="004009AD" w:rsidRPr="004F01E9" w:rsidRDefault="00EE12EE" w:rsidP="00930CF2">
      <w:pPr>
        <w:pStyle w:val="Text1"/>
        <w:tabs>
          <w:tab w:val="left" w:pos="1701"/>
        </w:tabs>
        <w:rPr>
          <w:noProof/>
        </w:rPr>
      </w:pPr>
      <m:oMath>
        <m:sSub>
          <m:sSubPr>
            <m:ctrlPr>
              <w:rPr>
                <w:rFonts w:ascii="Cambria Math" w:hAnsi="Cambria Math"/>
                <w:i/>
                <w:noProof/>
              </w:rPr>
            </m:ctrlPr>
          </m:sSubPr>
          <m:e>
            <m:r>
              <w:rPr>
                <w:rFonts w:ascii="Cambria Math" w:hAnsi="Cambria Math"/>
                <w:noProof/>
              </w:rPr>
              <m:t>r</m:t>
            </m:r>
          </m:e>
          <m:sub>
            <m:r>
              <w:rPr>
                <w:rFonts w:ascii="Cambria Math" w:hAnsi="Cambria Math"/>
                <w:noProof/>
              </w:rPr>
              <m:t>kt</m:t>
            </m:r>
          </m:sub>
        </m:sSub>
      </m:oMath>
      <w:r w:rsidR="00DE1B1D" w:rsidRPr="004F01E9">
        <w:rPr>
          <w:noProof/>
        </w:rPr>
        <w:tab/>
        <w:t>=</w:t>
      </w:r>
      <w:r w:rsidR="00DE1B1D" w:rsidRPr="004F01E9">
        <w:rPr>
          <w:noProof/>
        </w:rPr>
        <w:tab/>
        <w:t>hodnota faktora rizika bezrizikovej sadzby</w:t>
      </w:r>
      <w:r w:rsidR="004F01E9">
        <w:rPr>
          <w:noProof/>
        </w:rPr>
        <w:t xml:space="preserve"> k </w:t>
      </w:r>
      <w:r w:rsidR="00DE1B1D" w:rsidRPr="004F01E9">
        <w:rPr>
          <w:noProof/>
        </w:rPr>
        <w:t>so splatnosťou t;</w:t>
      </w:r>
    </w:p>
    <w:p w14:paraId="2A87792F" w14:textId="4CF17EF5" w:rsidR="00806B81" w:rsidRPr="004F01E9" w:rsidRDefault="00EE12EE" w:rsidP="00930CF2">
      <w:pPr>
        <w:pStyle w:val="Text1"/>
        <w:tabs>
          <w:tab w:val="left" w:pos="1701"/>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00DE1B1D" w:rsidRPr="004F01E9">
        <w:rPr>
          <w:noProof/>
        </w:rPr>
        <w:tab/>
        <w:t>=</w:t>
      </w:r>
      <w:r w:rsidR="00DE1B1D" w:rsidRPr="004F01E9">
        <w:rPr>
          <w:noProof/>
        </w:rPr>
        <w:tab/>
        <w:t>súhrnná úprava ocenenia pohľadávok vypočítaná regulačným modelom úpravy ocenenia pohľadávok;</w:t>
      </w:r>
    </w:p>
    <w:p w14:paraId="705751E2" w14:textId="62D53DF0" w:rsidR="004009AD" w:rsidRPr="004F01E9" w:rsidRDefault="004009AD" w:rsidP="00930CF2">
      <w:pPr>
        <w:pStyle w:val="Text1"/>
        <w:tabs>
          <w:tab w:val="left" w:pos="1701"/>
        </w:tabs>
        <w:rPr>
          <w:noProof/>
        </w:rPr>
      </w:pPr>
      <m:oMath>
        <m:r>
          <w:rPr>
            <w:rFonts w:ascii="Cambria Math" w:hAnsi="Cambria Math"/>
            <w:noProof/>
          </w:rPr>
          <m:t>x,y</m:t>
        </m:r>
      </m:oMath>
      <w:r w:rsidRPr="004F01E9">
        <w:rPr>
          <w:noProof/>
        </w:rPr>
        <w:tab/>
        <w:t xml:space="preserve">= iné faktory rizika než </w:t>
      </w:r>
      <m:oMath>
        <m:sSub>
          <m:sSubPr>
            <m:ctrlPr>
              <w:rPr>
                <w:rFonts w:ascii="Cambria Math" w:hAnsi="Cambria Math"/>
                <w:i/>
                <w:noProof/>
              </w:rPr>
            </m:ctrlPr>
          </m:sSubPr>
          <m:e>
            <m:r>
              <w:rPr>
                <w:rFonts w:ascii="Cambria Math" w:hAnsi="Cambria Math"/>
                <w:noProof/>
              </w:rPr>
              <m:t>r</m:t>
            </m:r>
          </m:e>
          <m:sub>
            <m:r>
              <w:rPr>
                <w:rFonts w:ascii="Cambria Math" w:hAnsi="Cambria Math"/>
                <w:noProof/>
              </w:rPr>
              <m:t>kt</m:t>
            </m:r>
          </m:sub>
        </m:sSub>
        <m:r>
          <m:rPr>
            <m:sty m:val="p"/>
          </m:rPr>
          <w:rPr>
            <w:rFonts w:ascii="Cambria Math" w:hAnsi="Cambria Math"/>
            <w:noProof/>
          </w:rPr>
          <m:t xml:space="preserve"> v </m:t>
        </m:r>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Pr="004F01E9">
        <w:rPr>
          <w:noProof/>
        </w:rPr>
        <w:t>;</w:t>
      </w:r>
    </w:p>
    <w:p w14:paraId="60ED45C2" w14:textId="0AD5B5F1" w:rsidR="004009AD" w:rsidRPr="004F01E9" w:rsidRDefault="00EE12EE" w:rsidP="00930CF2">
      <w:pPr>
        <w:pStyle w:val="Text1"/>
        <w:tabs>
          <w:tab w:val="left" w:pos="1701"/>
        </w:tabs>
        <w:rPr>
          <w:noProof/>
        </w:rPr>
      </w:pPr>
      <m:oMath>
        <m:sSubSup>
          <m:sSubSupPr>
            <m:ctrlPr>
              <w:rPr>
                <w:rFonts w:ascii="Cambria Math" w:hAnsi="Cambria Math"/>
                <w:i/>
                <w:noProof/>
              </w:rPr>
            </m:ctrlPr>
          </m:sSubSupPr>
          <m:e>
            <m:r>
              <w:rPr>
                <w:rFonts w:ascii="Cambria Math" w:hAnsi="Cambria Math"/>
                <w:noProof/>
              </w:rPr>
              <m:t>S</m:t>
            </m:r>
          </m:e>
          <m:sub>
            <m:sSub>
              <m:sSubPr>
                <m:ctrlPr>
                  <w:rPr>
                    <w:rFonts w:ascii="Cambria Math" w:hAnsi="Cambria Math"/>
                    <w:i/>
                    <w:noProof/>
                  </w:rPr>
                </m:ctrlPr>
              </m:sSubPr>
              <m:e>
                <m:r>
                  <w:rPr>
                    <w:rFonts w:ascii="Cambria Math" w:hAnsi="Cambria Math"/>
                    <w:noProof/>
                  </w:rPr>
                  <m:t>r</m:t>
                </m:r>
              </m:e>
              <m:sub>
                <m:r>
                  <w:rPr>
                    <w:rFonts w:ascii="Cambria Math" w:hAnsi="Cambria Math"/>
                    <w:noProof/>
                  </w:rPr>
                  <m:t>kt</m:t>
                </m:r>
              </m:sub>
            </m:sSub>
          </m:sub>
          <m:sup>
            <m:sSub>
              <m:sSubPr>
                <m:ctrlPr>
                  <w:rPr>
                    <w:rFonts w:ascii="Cambria Math" w:hAnsi="Cambria Math"/>
                    <w:i/>
                    <w:noProof/>
                  </w:rPr>
                </m:ctrlPr>
              </m:sSubPr>
              <m:e>
                <m:r>
                  <w:rPr>
                    <w:rFonts w:ascii="Cambria Math" w:hAnsi="Cambria Math"/>
                    <w:noProof/>
                  </w:rPr>
                  <m:t>hedge</m:t>
                </m:r>
              </m:e>
              <m:sub>
                <m:r>
                  <w:rPr>
                    <w:rFonts w:ascii="Cambria Math" w:hAnsi="Cambria Math"/>
                    <w:noProof/>
                  </w:rPr>
                  <m:t>i</m:t>
                </m:r>
              </m:sub>
            </m:sSub>
          </m:sup>
        </m:sSubSup>
      </m:oMath>
      <w:r w:rsidR="00DE1B1D" w:rsidRPr="004F01E9">
        <w:rPr>
          <w:noProof/>
        </w:rPr>
        <w:tab/>
        <w:t>= citlivosti prípustného hedžingu</w:t>
      </w:r>
      <w:r w:rsidR="004F01E9">
        <w:rPr>
          <w:noProof/>
        </w:rPr>
        <w:t xml:space="preserve"> i </w:t>
      </w:r>
      <w:r w:rsidR="00DE1B1D" w:rsidRPr="004F01E9">
        <w:rPr>
          <w:noProof/>
        </w:rPr>
        <w:t>na faktor rizika bezrizikovej sadzby;</w:t>
      </w:r>
    </w:p>
    <w:p w14:paraId="6E52263D" w14:textId="562F8F1A" w:rsidR="00806B81" w:rsidRPr="004F01E9" w:rsidRDefault="00EE12EE" w:rsidP="00930CF2">
      <w:pPr>
        <w:pStyle w:val="Text1"/>
        <w:tabs>
          <w:tab w:val="left" w:pos="1701"/>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00DE1B1D" w:rsidRPr="004F01E9">
        <w:rPr>
          <w:noProof/>
        </w:rPr>
        <w:tab/>
        <w:t>= funkcia oceňovania prípustného hedžingu i;</w:t>
      </w:r>
    </w:p>
    <w:p w14:paraId="75978713" w14:textId="5721AD97" w:rsidR="004009AD" w:rsidRPr="004F01E9" w:rsidRDefault="004009AD" w:rsidP="00930CF2">
      <w:pPr>
        <w:pStyle w:val="Text1"/>
        <w:tabs>
          <w:tab w:val="left" w:pos="1701"/>
        </w:tabs>
        <w:rPr>
          <w:noProof/>
        </w:rPr>
      </w:pPr>
      <m:oMath>
        <m:r>
          <w:rPr>
            <w:rFonts w:ascii="Cambria Math" w:hAnsi="Cambria Math"/>
            <w:noProof/>
          </w:rPr>
          <m:t>w,z</m:t>
        </m:r>
      </m:oMath>
      <w:r w:rsidRPr="004F01E9">
        <w:rPr>
          <w:noProof/>
        </w:rPr>
        <w:tab/>
        <w:t xml:space="preserve">= iné faktory rizika než </w:t>
      </w:r>
      <m:oMath>
        <m:sSub>
          <m:sSubPr>
            <m:ctrlPr>
              <w:rPr>
                <w:rFonts w:ascii="Cambria Math" w:hAnsi="Cambria Math"/>
                <w:i/>
                <w:noProof/>
              </w:rPr>
            </m:ctrlPr>
          </m:sSubPr>
          <m:e>
            <m:r>
              <w:rPr>
                <w:rFonts w:ascii="Cambria Math" w:hAnsi="Cambria Math"/>
                <w:noProof/>
              </w:rPr>
              <m:t>r</m:t>
            </m:r>
          </m:e>
          <m:sub>
            <m:r>
              <w:rPr>
                <w:rFonts w:ascii="Cambria Math" w:hAnsi="Cambria Math"/>
                <w:noProof/>
              </w:rPr>
              <m:t>kt</m:t>
            </m:r>
          </m:sub>
        </m:sSub>
      </m:oMath>
      <w:r w:rsidRPr="004F01E9">
        <w:rPr>
          <w:noProof/>
        </w:rPr>
        <w:t xml:space="preserve"> vo funkcii oceňovania </w:t>
      </w: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Pr="004F01E9">
        <w:rPr>
          <w:noProof/>
        </w:rPr>
        <w:t>.</w:t>
      </w:r>
    </w:p>
    <w:p w14:paraId="5125DF02" w14:textId="4F267D2F" w:rsidR="004009AD" w:rsidRPr="004F01E9" w:rsidRDefault="004009AD" w:rsidP="004009AD">
      <w:pPr>
        <w:pStyle w:val="Point1"/>
        <w:rPr>
          <w:noProof/>
        </w:rPr>
      </w:pPr>
      <w:r w:rsidRPr="004F01E9">
        <w:rPr>
          <w:noProof/>
        </w:rPr>
        <w:t>b)</w:t>
      </w:r>
      <w:r w:rsidRPr="004F01E9">
        <w:rPr>
          <w:noProof/>
        </w:rPr>
        <w:tab/>
        <w:t>citlivosti delta na faktory rizika pozostávajúce</w:t>
      </w:r>
      <w:r w:rsidR="004F01E9">
        <w:rPr>
          <w:noProof/>
        </w:rPr>
        <w:t xml:space="preserve"> z </w:t>
      </w:r>
      <w:r w:rsidRPr="004F01E9">
        <w:rPr>
          <w:noProof/>
        </w:rPr>
        <w:t>mier inflácie, ako aj prípustného hedžingu voči uvedenému faktoru rizika sa vypočítavajú takto:</w:t>
      </w:r>
    </w:p>
    <w:p w14:paraId="34E93A5A" w14:textId="77777777" w:rsidR="004009AD" w:rsidRPr="004F01E9" w:rsidRDefault="00EE12EE"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sSub>
                <m:sSubPr>
                  <m:ctrlPr>
                    <w:rPr>
                      <w:rFonts w:ascii="Cambria Math" w:hAnsi="Cambria Math"/>
                      <w:noProof/>
                    </w:rPr>
                  </m:ctrlPr>
                </m:sSubPr>
                <m:e>
                  <m:r>
                    <w:rPr>
                      <w:rFonts w:ascii="Cambria Math" w:hAnsi="Cambria Math"/>
                      <w:noProof/>
                    </w:rPr>
                    <m:t>infl</m:t>
                  </m:r>
                </m:e>
                <m:sub>
                  <m:r>
                    <w:rPr>
                      <w:rFonts w:ascii="Cambria Math" w:hAnsi="Cambria Math"/>
                      <w:noProof/>
                    </w:rPr>
                    <m:t>kt</m:t>
                  </m:r>
                </m:sub>
              </m:sSub>
            </m:sub>
            <m:sup>
              <m:r>
                <w:rPr>
                  <w:rFonts w:ascii="Cambria Math" w:hAnsi="Cambria Math"/>
                  <w:noProof/>
                </w:rPr>
                <m:t>CVA</m:t>
              </m:r>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infl</m:t>
                      </m:r>
                    </m:e>
                    <m:sub>
                      <m:r>
                        <w:rPr>
                          <w:rFonts w:ascii="Cambria Math" w:hAnsi="Cambria Math"/>
                          <w:noProof/>
                        </w:rPr>
                        <m:t>kt</m:t>
                      </m:r>
                    </m:sub>
                  </m:sSub>
                  <m:r>
                    <m:rPr>
                      <m:sty m:val="p"/>
                    </m:rPr>
                    <w:rPr>
                      <w:rFonts w:ascii="Cambria Math" w:hAnsi="Cambria Math"/>
                      <w:noProof/>
                    </w:rPr>
                    <m:t xml:space="preserve">+0.0001, </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infl</m:t>
                      </m:r>
                    </m:e>
                    <m:sub>
                      <m:r>
                        <w:rPr>
                          <w:rFonts w:ascii="Cambria Math" w:hAnsi="Cambria Math"/>
                          <w:noProof/>
                        </w:rPr>
                        <m:t>kt</m:t>
                      </m:r>
                    </m:sub>
                  </m:sSub>
                  <m:r>
                    <m:rPr>
                      <m:sty m:val="p"/>
                    </m:rPr>
                    <w:rPr>
                      <w:rFonts w:ascii="Cambria Math" w:hAnsi="Cambria Math"/>
                      <w:noProof/>
                    </w:rPr>
                    <m:t xml:space="preserve">, </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m:t>
                  </m:r>
                </m:e>
              </m:d>
            </m:num>
            <m:den>
              <m:r>
                <m:rPr>
                  <m:sty m:val="p"/>
                </m:rPr>
                <w:rPr>
                  <w:rFonts w:ascii="Cambria Math" w:hAnsi="Cambria Math"/>
                  <w:noProof/>
                </w:rPr>
                <m:t>0.0001</m:t>
              </m:r>
            </m:den>
          </m:f>
        </m:oMath>
      </m:oMathPara>
    </w:p>
    <w:p w14:paraId="5A61E43B" w14:textId="505516E7" w:rsidR="004009AD" w:rsidRPr="004F01E9" w:rsidRDefault="00EE12EE"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sSub>
                <m:sSubPr>
                  <m:ctrlPr>
                    <w:rPr>
                      <w:rFonts w:ascii="Cambria Math" w:hAnsi="Cambria Math"/>
                      <w:noProof/>
                    </w:rPr>
                  </m:ctrlPr>
                </m:sSubPr>
                <m:e>
                  <m:r>
                    <w:rPr>
                      <w:rFonts w:ascii="Cambria Math" w:hAnsi="Cambria Math"/>
                      <w:noProof/>
                    </w:rPr>
                    <m:t>infl</m:t>
                  </m:r>
                </m:e>
                <m:sub>
                  <m:r>
                    <w:rPr>
                      <w:rFonts w:ascii="Cambria Math" w:hAnsi="Cambria Math"/>
                      <w:noProof/>
                    </w:rPr>
                    <m:t>kt</m:t>
                  </m:r>
                </m:sub>
              </m:sSub>
            </m:sub>
            <m:sup>
              <m:sSub>
                <m:sSubPr>
                  <m:ctrlPr>
                    <w:rPr>
                      <w:rFonts w:ascii="Cambria Math" w:hAnsi="Cambria Math"/>
                      <w:noProof/>
                    </w:rPr>
                  </m:ctrlPr>
                </m:sSubPr>
                <m:e>
                  <m:r>
                    <w:rPr>
                      <w:rFonts w:ascii="Cambria Math" w:hAnsi="Cambria Math"/>
                      <w:noProof/>
                    </w:rPr>
                    <m:t>hedge</m:t>
                  </m:r>
                </m:e>
                <m:sub>
                  <m:r>
                    <w:rPr>
                      <w:rFonts w:ascii="Cambria Math" w:hAnsi="Cambria Math"/>
                      <w:noProof/>
                    </w:rPr>
                    <m:t>i</m:t>
                  </m:r>
                </m:sub>
              </m:sSub>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infl</m:t>
                      </m:r>
                    </m:e>
                    <m:sub>
                      <m:r>
                        <w:rPr>
                          <w:rFonts w:ascii="Cambria Math" w:hAnsi="Cambria Math"/>
                          <w:noProof/>
                        </w:rPr>
                        <m:t>kt</m:t>
                      </m:r>
                    </m:sub>
                  </m:sSub>
                  <m:r>
                    <m:rPr>
                      <m:sty m:val="p"/>
                    </m:rPr>
                    <w:rPr>
                      <w:rFonts w:ascii="Cambria Math" w:hAnsi="Cambria Math"/>
                      <w:noProof/>
                    </w:rPr>
                    <m:t>+0.0001,</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infl</m:t>
                      </m:r>
                    </m:e>
                    <m:sub>
                      <m:r>
                        <w:rPr>
                          <w:rFonts w:ascii="Cambria Math" w:hAnsi="Cambria Math"/>
                          <w:noProof/>
                        </w:rPr>
                        <m:t>kt</m:t>
                      </m:r>
                    </m:sub>
                  </m:sSub>
                  <m:r>
                    <m:rPr>
                      <m:sty m:val="p"/>
                    </m:rPr>
                    <w:rPr>
                      <w:rFonts w:ascii="Cambria Math" w:hAnsi="Cambria Math"/>
                      <w:noProof/>
                    </w:rPr>
                    <m:t xml:space="preserve">, </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m:t>
                  </m:r>
                </m:e>
              </m:d>
            </m:num>
            <m:den>
              <m:r>
                <m:rPr>
                  <m:sty m:val="p"/>
                </m:rPr>
                <w:rPr>
                  <w:rFonts w:ascii="Cambria Math" w:hAnsi="Cambria Math"/>
                  <w:noProof/>
                </w:rPr>
                <m:t>0.0001</m:t>
              </m:r>
            </m:den>
          </m:f>
        </m:oMath>
      </m:oMathPara>
    </w:p>
    <w:p w14:paraId="787D80EC" w14:textId="77777777" w:rsidR="004009AD" w:rsidRPr="004F01E9" w:rsidRDefault="004009AD" w:rsidP="004009AD">
      <w:pPr>
        <w:pStyle w:val="Text1"/>
        <w:rPr>
          <w:noProof/>
        </w:rPr>
      </w:pPr>
      <w:r w:rsidRPr="004F01E9">
        <w:rPr>
          <w:noProof/>
        </w:rPr>
        <w:t>kde:</w:t>
      </w:r>
    </w:p>
    <w:p w14:paraId="01C7E79B" w14:textId="21B27307" w:rsidR="004009AD" w:rsidRPr="004F01E9" w:rsidRDefault="00EE12EE" w:rsidP="00930CF2">
      <w:pPr>
        <w:pStyle w:val="Text1"/>
        <w:tabs>
          <w:tab w:val="left" w:pos="1701"/>
        </w:tabs>
        <w:rPr>
          <w:noProof/>
        </w:rPr>
      </w:pPr>
      <m:oMath>
        <m:sSubSup>
          <m:sSubSupPr>
            <m:ctrlPr>
              <w:rPr>
                <w:rFonts w:ascii="Cambria Math" w:hAnsi="Cambria Math"/>
                <w:i/>
                <w:noProof/>
              </w:rPr>
            </m:ctrlPr>
          </m:sSubSupPr>
          <m:e>
            <m:r>
              <w:rPr>
                <w:rFonts w:ascii="Cambria Math" w:hAnsi="Cambria Math"/>
                <w:noProof/>
              </w:rPr>
              <m:t>S</m:t>
            </m:r>
          </m:e>
          <m:sub>
            <m:sSub>
              <m:sSubPr>
                <m:ctrlPr>
                  <w:rPr>
                    <w:rFonts w:ascii="Cambria Math" w:hAnsi="Cambria Math"/>
                    <w:i/>
                    <w:noProof/>
                  </w:rPr>
                </m:ctrlPr>
              </m:sSubPr>
              <m:e>
                <m:r>
                  <w:rPr>
                    <w:rFonts w:ascii="Cambria Math" w:hAnsi="Cambria Math"/>
                    <w:noProof/>
                  </w:rPr>
                  <m:t>infl</m:t>
                </m:r>
              </m:e>
              <m:sub>
                <m:r>
                  <w:rPr>
                    <w:rFonts w:ascii="Cambria Math" w:hAnsi="Cambria Math"/>
                    <w:noProof/>
                  </w:rPr>
                  <m:t>kt</m:t>
                </m:r>
              </m:sub>
            </m:sSub>
          </m:sub>
          <m:sup>
            <m:r>
              <w:rPr>
                <w:rFonts w:ascii="Cambria Math" w:hAnsi="Cambria Math"/>
                <w:noProof/>
              </w:rPr>
              <m:t>CVA</m:t>
            </m:r>
          </m:sup>
        </m:sSubSup>
      </m:oMath>
      <w:r w:rsidR="00DE1B1D" w:rsidRPr="004F01E9">
        <w:rPr>
          <w:noProof/>
        </w:rPr>
        <w:tab/>
        <w:t>= citlivosti súhrnnej úpravy ocenenia pohľadávok na faktor rizika miery inflácie;</w:t>
      </w:r>
    </w:p>
    <w:p w14:paraId="6D0CE12D" w14:textId="0AF3CA8D" w:rsidR="004009AD" w:rsidRPr="004F01E9" w:rsidRDefault="00EE12EE" w:rsidP="00930CF2">
      <w:pPr>
        <w:pStyle w:val="Text1"/>
        <w:tabs>
          <w:tab w:val="left" w:pos="1701"/>
        </w:tabs>
        <w:rPr>
          <w:noProof/>
        </w:rPr>
      </w:pPr>
      <m:oMath>
        <m:sSub>
          <m:sSubPr>
            <m:ctrlPr>
              <w:rPr>
                <w:rFonts w:ascii="Cambria Math" w:hAnsi="Cambria Math"/>
                <w:i/>
                <w:noProof/>
              </w:rPr>
            </m:ctrlPr>
          </m:sSubPr>
          <m:e>
            <m:r>
              <w:rPr>
                <w:rFonts w:ascii="Cambria Math" w:hAnsi="Cambria Math"/>
                <w:noProof/>
              </w:rPr>
              <m:t>infl</m:t>
            </m:r>
          </m:e>
          <m:sub>
            <m:r>
              <w:rPr>
                <w:rFonts w:ascii="Cambria Math" w:hAnsi="Cambria Math"/>
                <w:noProof/>
              </w:rPr>
              <m:t>kt</m:t>
            </m:r>
          </m:sub>
        </m:sSub>
      </m:oMath>
      <w:r w:rsidR="00DE1B1D" w:rsidRPr="004F01E9">
        <w:rPr>
          <w:noProof/>
        </w:rPr>
        <w:tab/>
        <w:t>= hodnota faktora rizika miery inflácie</w:t>
      </w:r>
      <w:r w:rsidR="004F01E9">
        <w:rPr>
          <w:noProof/>
        </w:rPr>
        <w:t xml:space="preserve"> k </w:t>
      </w:r>
      <w:r w:rsidR="00DE1B1D" w:rsidRPr="004F01E9">
        <w:rPr>
          <w:noProof/>
        </w:rPr>
        <w:t>so splatnosťou t;</w:t>
      </w:r>
    </w:p>
    <w:p w14:paraId="6605FC41" w14:textId="48360775" w:rsidR="00806B81" w:rsidRPr="004F01E9" w:rsidRDefault="00EE12EE" w:rsidP="00930CF2">
      <w:pPr>
        <w:pStyle w:val="Text1"/>
        <w:tabs>
          <w:tab w:val="left" w:pos="1701"/>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00DE1B1D" w:rsidRPr="004F01E9">
        <w:rPr>
          <w:noProof/>
        </w:rPr>
        <w:tab/>
        <w:t>= súhrnná úprava ocenenia pohľadávok vypočítaná regulačným modelom úpravy ocenenia pohľadávok;</w:t>
      </w:r>
    </w:p>
    <w:p w14:paraId="5ABC9285" w14:textId="5E57477B" w:rsidR="004009AD" w:rsidRPr="004F01E9" w:rsidRDefault="004009AD" w:rsidP="00930CF2">
      <w:pPr>
        <w:pStyle w:val="Text1"/>
        <w:tabs>
          <w:tab w:val="left" w:pos="1701"/>
        </w:tabs>
        <w:rPr>
          <w:noProof/>
        </w:rPr>
      </w:pPr>
      <m:oMath>
        <m:r>
          <w:rPr>
            <w:rFonts w:ascii="Cambria Math" w:hAnsi="Cambria Math"/>
            <w:noProof/>
          </w:rPr>
          <m:t>x,y</m:t>
        </m:r>
      </m:oMath>
      <w:r w:rsidRPr="004F01E9">
        <w:rPr>
          <w:noProof/>
        </w:rPr>
        <w:tab/>
        <w:t xml:space="preserve">= iné faktory rizika než </w:t>
      </w:r>
      <m:oMath>
        <m:sSub>
          <m:sSubPr>
            <m:ctrlPr>
              <w:rPr>
                <w:rFonts w:ascii="Cambria Math" w:hAnsi="Cambria Math"/>
                <w:i/>
                <w:noProof/>
              </w:rPr>
            </m:ctrlPr>
          </m:sSubPr>
          <m:e>
            <m:r>
              <w:rPr>
                <w:rFonts w:ascii="Cambria Math" w:hAnsi="Cambria Math"/>
                <w:noProof/>
              </w:rPr>
              <m:t>infl</m:t>
            </m:r>
          </m:e>
          <m:sub>
            <m:r>
              <w:rPr>
                <w:rFonts w:ascii="Cambria Math" w:hAnsi="Cambria Math"/>
                <w:noProof/>
              </w:rPr>
              <m:t>kt</m:t>
            </m:r>
          </m:sub>
        </m:sSub>
        <m:r>
          <m:rPr>
            <m:sty m:val="p"/>
          </m:rPr>
          <w:rPr>
            <w:rFonts w:ascii="Cambria Math" w:hAnsi="Cambria Math"/>
            <w:noProof/>
          </w:rPr>
          <m:t xml:space="preserve"> v </m:t>
        </m:r>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Pr="004F01E9">
        <w:rPr>
          <w:noProof/>
        </w:rPr>
        <w:t>;</w:t>
      </w:r>
    </w:p>
    <w:p w14:paraId="0F4DEE68" w14:textId="1004F3A8" w:rsidR="004009AD" w:rsidRPr="004F01E9" w:rsidRDefault="00EE12EE" w:rsidP="00930CF2">
      <w:pPr>
        <w:pStyle w:val="Text1"/>
        <w:tabs>
          <w:tab w:val="left" w:pos="1701"/>
        </w:tabs>
        <w:rPr>
          <w:noProof/>
        </w:rPr>
      </w:pPr>
      <m:oMath>
        <m:sSubSup>
          <m:sSubSupPr>
            <m:ctrlPr>
              <w:rPr>
                <w:rFonts w:ascii="Cambria Math" w:hAnsi="Cambria Math"/>
                <w:i/>
                <w:noProof/>
              </w:rPr>
            </m:ctrlPr>
          </m:sSubSupPr>
          <m:e>
            <m:r>
              <w:rPr>
                <w:rFonts w:ascii="Cambria Math" w:hAnsi="Cambria Math"/>
                <w:noProof/>
              </w:rPr>
              <m:t>S</m:t>
            </m:r>
          </m:e>
          <m:sub>
            <m:sSub>
              <m:sSubPr>
                <m:ctrlPr>
                  <w:rPr>
                    <w:rFonts w:ascii="Cambria Math" w:hAnsi="Cambria Math"/>
                    <w:i/>
                    <w:noProof/>
                  </w:rPr>
                </m:ctrlPr>
              </m:sSubPr>
              <m:e>
                <m:r>
                  <w:rPr>
                    <w:rFonts w:ascii="Cambria Math" w:hAnsi="Cambria Math"/>
                    <w:noProof/>
                  </w:rPr>
                  <m:t>infl</m:t>
                </m:r>
              </m:e>
              <m:sub>
                <m:r>
                  <w:rPr>
                    <w:rFonts w:ascii="Cambria Math" w:hAnsi="Cambria Math"/>
                    <w:noProof/>
                  </w:rPr>
                  <m:t>kt</m:t>
                </m:r>
              </m:sub>
            </m:sSub>
          </m:sub>
          <m:sup>
            <m:sSub>
              <m:sSubPr>
                <m:ctrlPr>
                  <w:rPr>
                    <w:rFonts w:ascii="Cambria Math" w:hAnsi="Cambria Math"/>
                    <w:i/>
                    <w:noProof/>
                  </w:rPr>
                </m:ctrlPr>
              </m:sSubPr>
              <m:e>
                <m:r>
                  <w:rPr>
                    <w:rFonts w:ascii="Cambria Math" w:hAnsi="Cambria Math"/>
                    <w:noProof/>
                  </w:rPr>
                  <m:t>hedge</m:t>
                </m:r>
              </m:e>
              <m:sub>
                <m:r>
                  <w:rPr>
                    <w:rFonts w:ascii="Cambria Math" w:hAnsi="Cambria Math"/>
                    <w:noProof/>
                  </w:rPr>
                  <m:t>i</m:t>
                </m:r>
              </m:sub>
            </m:sSub>
          </m:sup>
        </m:sSubSup>
      </m:oMath>
      <w:r w:rsidR="00DE1B1D" w:rsidRPr="004F01E9">
        <w:rPr>
          <w:noProof/>
        </w:rPr>
        <w:tab/>
        <w:t>= citlivosti prípustného hedžingu</w:t>
      </w:r>
      <w:r w:rsidR="004F01E9">
        <w:rPr>
          <w:noProof/>
        </w:rPr>
        <w:t xml:space="preserve"> i </w:t>
      </w:r>
      <w:r w:rsidR="00DE1B1D" w:rsidRPr="004F01E9">
        <w:rPr>
          <w:noProof/>
        </w:rPr>
        <w:t>na faktor rizika miery inflácie;</w:t>
      </w:r>
    </w:p>
    <w:p w14:paraId="7303D368" w14:textId="08A17AA6" w:rsidR="00806B81" w:rsidRPr="004F01E9" w:rsidRDefault="00EE12EE" w:rsidP="00930CF2">
      <w:pPr>
        <w:pStyle w:val="Text1"/>
        <w:tabs>
          <w:tab w:val="left" w:pos="1701"/>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00DE1B1D" w:rsidRPr="004F01E9">
        <w:rPr>
          <w:noProof/>
        </w:rPr>
        <w:tab/>
        <w:t>= funkcia oceňovania prípustného hedžingu i;</w:t>
      </w:r>
    </w:p>
    <w:p w14:paraId="47A0070F" w14:textId="068F7467" w:rsidR="004009AD" w:rsidRPr="004F01E9" w:rsidRDefault="004009AD" w:rsidP="00930CF2">
      <w:pPr>
        <w:pStyle w:val="Text1"/>
        <w:tabs>
          <w:tab w:val="left" w:pos="1701"/>
        </w:tabs>
        <w:rPr>
          <w:noProof/>
        </w:rPr>
      </w:pPr>
      <m:oMath>
        <m:r>
          <w:rPr>
            <w:rFonts w:ascii="Cambria Math" w:hAnsi="Cambria Math"/>
            <w:noProof/>
          </w:rPr>
          <m:t>w,z</m:t>
        </m:r>
      </m:oMath>
      <w:r w:rsidRPr="004F01E9">
        <w:rPr>
          <w:noProof/>
        </w:rPr>
        <w:tab/>
        <w:t xml:space="preserve">= iné faktory rizika než </w:t>
      </w:r>
      <m:oMath>
        <m:sSub>
          <m:sSubPr>
            <m:ctrlPr>
              <w:rPr>
                <w:rFonts w:ascii="Cambria Math" w:hAnsi="Cambria Math"/>
                <w:i/>
                <w:noProof/>
              </w:rPr>
            </m:ctrlPr>
          </m:sSubPr>
          <m:e>
            <m:r>
              <w:rPr>
                <w:rFonts w:ascii="Cambria Math" w:hAnsi="Cambria Math"/>
                <w:noProof/>
              </w:rPr>
              <m:t>infl</m:t>
            </m:r>
          </m:e>
          <m:sub>
            <m:r>
              <w:rPr>
                <w:rFonts w:ascii="Cambria Math" w:hAnsi="Cambria Math"/>
                <w:noProof/>
              </w:rPr>
              <m:t>kt</m:t>
            </m:r>
          </m:sub>
        </m:sSub>
      </m:oMath>
      <w:r w:rsidRPr="004F01E9">
        <w:rPr>
          <w:noProof/>
        </w:rPr>
        <w:t xml:space="preserve"> vo funkcii oceňovania </w:t>
      </w: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Pr="004F01E9">
        <w:rPr>
          <w:noProof/>
        </w:rPr>
        <w:t>.</w:t>
      </w:r>
    </w:p>
    <w:p w14:paraId="613BB2D3" w14:textId="384435DC" w:rsidR="004009AD" w:rsidRPr="004F01E9" w:rsidRDefault="004009AD" w:rsidP="004009AD">
      <w:pPr>
        <w:pStyle w:val="Text1"/>
        <w:rPr>
          <w:noProof/>
        </w:rPr>
      </w:pPr>
      <w:r w:rsidRPr="004F01E9">
        <w:rPr>
          <w:noProof/>
        </w:rPr>
        <w:t>2. Inštitúcie vypočítavajú citlivosti delta súhrnnej úpravy ocenenia pohľadávok na faktory rizika pozostávajúce</w:t>
      </w:r>
      <w:r w:rsidR="004F01E9">
        <w:rPr>
          <w:noProof/>
        </w:rPr>
        <w:t xml:space="preserve"> z </w:t>
      </w:r>
      <w:r w:rsidRPr="004F01E9">
        <w:rPr>
          <w:noProof/>
        </w:rPr>
        <w:t>devízových spotových výmenných kurzov, ako aj nástroja prípustného hedžingu voči uvedeným faktorom rizika takto:</w:t>
      </w:r>
    </w:p>
    <w:p w14:paraId="4A482377" w14:textId="77777777" w:rsidR="004009AD" w:rsidRPr="004F01E9" w:rsidRDefault="00EE12EE"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sSub>
                <m:sSubPr>
                  <m:ctrlPr>
                    <w:rPr>
                      <w:rFonts w:ascii="Cambria Math" w:hAnsi="Cambria Math"/>
                      <w:noProof/>
                    </w:rPr>
                  </m:ctrlPr>
                </m:sSubPr>
                <m:e>
                  <m:r>
                    <w:rPr>
                      <w:rFonts w:ascii="Cambria Math" w:hAnsi="Cambria Math"/>
                      <w:noProof/>
                    </w:rPr>
                    <m:t>FX</m:t>
                  </m:r>
                </m:e>
                <m:sub>
                  <m:r>
                    <w:rPr>
                      <w:rFonts w:ascii="Cambria Math" w:hAnsi="Cambria Math"/>
                      <w:noProof/>
                    </w:rPr>
                    <m:t>k</m:t>
                  </m:r>
                </m:sub>
              </m:sSub>
            </m:sub>
            <m:sup>
              <m:r>
                <w:rPr>
                  <w:rFonts w:ascii="Cambria Math" w:hAnsi="Cambria Math"/>
                  <w:noProof/>
                </w:rPr>
                <m:t>CVA</m:t>
              </m:r>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FX</m:t>
                      </m:r>
                    </m:e>
                    <m:sub>
                      <m:r>
                        <w:rPr>
                          <w:rFonts w:ascii="Cambria Math" w:hAnsi="Cambria Math"/>
                          <w:noProof/>
                        </w:rPr>
                        <m:t>k</m:t>
                      </m:r>
                    </m:sub>
                  </m:sSub>
                  <m:r>
                    <m:rPr>
                      <m:sty m:val="p"/>
                    </m:rPr>
                    <w:rPr>
                      <w:rFonts w:ascii="Cambria Math" w:hAnsi="Cambria Math"/>
                      <w:noProof/>
                    </w:rPr>
                    <m:t>+0.01,</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 xml:space="preserve">… </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FX</m:t>
                      </m:r>
                    </m:e>
                    <m:sub>
                      <m:r>
                        <w:rPr>
                          <w:rFonts w:ascii="Cambria Math" w:hAnsi="Cambria Math"/>
                          <w:noProof/>
                        </w:rPr>
                        <m:t>k</m:t>
                      </m:r>
                    </m:sub>
                  </m:sSub>
                  <m:r>
                    <m:rPr>
                      <m:sty m:val="p"/>
                    </m:rPr>
                    <w:rPr>
                      <w:rFonts w:ascii="Cambria Math" w:hAnsi="Cambria Math"/>
                      <w:noProof/>
                    </w:rPr>
                    <m:t xml:space="preserve">, </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m:t>
                  </m:r>
                </m:e>
              </m:d>
            </m:num>
            <m:den>
              <m:r>
                <m:rPr>
                  <m:sty m:val="p"/>
                </m:rPr>
                <w:rPr>
                  <w:rFonts w:ascii="Cambria Math" w:hAnsi="Cambria Math"/>
                  <w:noProof/>
                </w:rPr>
                <m:t>0.01</m:t>
              </m:r>
            </m:den>
          </m:f>
        </m:oMath>
      </m:oMathPara>
    </w:p>
    <w:p w14:paraId="4C856BC3" w14:textId="77777777" w:rsidR="004009AD" w:rsidRPr="004F01E9" w:rsidRDefault="00EE12EE"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sSub>
                <m:sSubPr>
                  <m:ctrlPr>
                    <w:rPr>
                      <w:rFonts w:ascii="Cambria Math" w:hAnsi="Cambria Math"/>
                      <w:noProof/>
                    </w:rPr>
                  </m:ctrlPr>
                </m:sSubPr>
                <m:e>
                  <m:r>
                    <w:rPr>
                      <w:rFonts w:ascii="Cambria Math" w:hAnsi="Cambria Math"/>
                      <w:noProof/>
                    </w:rPr>
                    <m:t>FX</m:t>
                  </m:r>
                </m:e>
                <m:sub>
                  <m:r>
                    <w:rPr>
                      <w:rFonts w:ascii="Cambria Math" w:hAnsi="Cambria Math"/>
                      <w:noProof/>
                    </w:rPr>
                    <m:t>k</m:t>
                  </m:r>
                </m:sub>
              </m:sSub>
            </m:sub>
            <m:sup>
              <m:sSub>
                <m:sSubPr>
                  <m:ctrlPr>
                    <w:rPr>
                      <w:rFonts w:ascii="Cambria Math" w:hAnsi="Cambria Math"/>
                      <w:noProof/>
                    </w:rPr>
                  </m:ctrlPr>
                </m:sSubPr>
                <m:e>
                  <m:r>
                    <w:rPr>
                      <w:rFonts w:ascii="Cambria Math" w:hAnsi="Cambria Math"/>
                      <w:noProof/>
                    </w:rPr>
                    <m:t>hedge</m:t>
                  </m:r>
                </m:e>
                <m:sub>
                  <m:r>
                    <w:rPr>
                      <w:rFonts w:ascii="Cambria Math" w:hAnsi="Cambria Math"/>
                      <w:noProof/>
                    </w:rPr>
                    <m:t>i</m:t>
                  </m:r>
                </m:sub>
              </m:sSub>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FX</m:t>
                      </m:r>
                    </m:e>
                    <m:sub>
                      <m:r>
                        <w:rPr>
                          <w:rFonts w:ascii="Cambria Math" w:hAnsi="Cambria Math"/>
                          <w:noProof/>
                        </w:rPr>
                        <m:t>k</m:t>
                      </m:r>
                    </m:sub>
                  </m:sSub>
                  <m:r>
                    <m:rPr>
                      <m:sty m:val="p"/>
                    </m:rPr>
                    <w:rPr>
                      <w:rFonts w:ascii="Cambria Math" w:hAnsi="Cambria Math"/>
                      <w:noProof/>
                    </w:rPr>
                    <m:t xml:space="preserve">+0.01, </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FX</m:t>
                      </m:r>
                    </m:e>
                    <m:sub>
                      <m:r>
                        <w:rPr>
                          <w:rFonts w:ascii="Cambria Math" w:hAnsi="Cambria Math"/>
                          <w:noProof/>
                        </w:rPr>
                        <m:t>k</m:t>
                      </m:r>
                    </m:sub>
                  </m:sSub>
                  <m:r>
                    <m:rPr>
                      <m:sty m:val="p"/>
                    </m:rPr>
                    <w:rPr>
                      <w:rFonts w:ascii="Cambria Math" w:hAnsi="Cambria Math"/>
                      <w:noProof/>
                    </w:rPr>
                    <m:t xml:space="preserve">, </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m:t>
                  </m:r>
                </m:e>
              </m:d>
            </m:num>
            <m:den>
              <m:r>
                <m:rPr>
                  <m:sty m:val="p"/>
                </m:rPr>
                <w:rPr>
                  <w:rFonts w:ascii="Cambria Math" w:hAnsi="Cambria Math"/>
                  <w:noProof/>
                </w:rPr>
                <m:t>0.01</m:t>
              </m:r>
            </m:den>
          </m:f>
        </m:oMath>
      </m:oMathPara>
    </w:p>
    <w:p w14:paraId="35840862" w14:textId="77777777" w:rsidR="004009AD" w:rsidRPr="004F01E9" w:rsidRDefault="004009AD" w:rsidP="004009AD">
      <w:pPr>
        <w:pStyle w:val="Text1"/>
        <w:rPr>
          <w:noProof/>
        </w:rPr>
      </w:pPr>
      <w:r w:rsidRPr="004F01E9">
        <w:rPr>
          <w:noProof/>
        </w:rPr>
        <w:t>kde:</w:t>
      </w:r>
    </w:p>
    <w:p w14:paraId="25426AB3" w14:textId="344D5FEB" w:rsidR="004009AD" w:rsidRPr="004F01E9" w:rsidRDefault="00EE12EE" w:rsidP="00930CF2">
      <w:pPr>
        <w:pStyle w:val="Text1"/>
        <w:tabs>
          <w:tab w:val="left" w:pos="1701"/>
        </w:tabs>
        <w:rPr>
          <w:noProof/>
        </w:rPr>
      </w:pPr>
      <m:oMath>
        <m:sSubSup>
          <m:sSubSupPr>
            <m:ctrlPr>
              <w:rPr>
                <w:rFonts w:ascii="Cambria Math" w:hAnsi="Cambria Math"/>
                <w:i/>
                <w:noProof/>
              </w:rPr>
            </m:ctrlPr>
          </m:sSubSupPr>
          <m:e>
            <m:r>
              <w:rPr>
                <w:rFonts w:ascii="Cambria Math" w:hAnsi="Cambria Math"/>
                <w:noProof/>
              </w:rPr>
              <m:t>S</m:t>
            </m:r>
          </m:e>
          <m:sub>
            <m:sSub>
              <m:sSubPr>
                <m:ctrlPr>
                  <w:rPr>
                    <w:rFonts w:ascii="Cambria Math" w:hAnsi="Cambria Math"/>
                    <w:i/>
                    <w:noProof/>
                  </w:rPr>
                </m:ctrlPr>
              </m:sSubPr>
              <m:e>
                <m:r>
                  <w:rPr>
                    <w:rFonts w:ascii="Cambria Math" w:hAnsi="Cambria Math"/>
                    <w:noProof/>
                  </w:rPr>
                  <m:t>FX</m:t>
                </m:r>
              </m:e>
              <m:sub>
                <m:r>
                  <w:rPr>
                    <w:rFonts w:ascii="Cambria Math" w:hAnsi="Cambria Math"/>
                    <w:noProof/>
                  </w:rPr>
                  <m:t>k</m:t>
                </m:r>
              </m:sub>
            </m:sSub>
          </m:sub>
          <m:sup>
            <m:r>
              <w:rPr>
                <w:rFonts w:ascii="Cambria Math" w:hAnsi="Cambria Math"/>
                <w:noProof/>
              </w:rPr>
              <m:t>CVA</m:t>
            </m:r>
          </m:sup>
        </m:sSubSup>
      </m:oMath>
      <w:r w:rsidR="00DE1B1D" w:rsidRPr="004F01E9">
        <w:rPr>
          <w:noProof/>
        </w:rPr>
        <w:tab/>
        <w:t>= citlivosti súhrnnej úpravy ocenenia pohľadávok na faktor rizika spotového výmenného kurzu;</w:t>
      </w:r>
    </w:p>
    <w:p w14:paraId="0004195E" w14:textId="5082ADB9" w:rsidR="004009AD" w:rsidRPr="004F01E9" w:rsidRDefault="00EE12EE" w:rsidP="00930CF2">
      <w:pPr>
        <w:pStyle w:val="Text1"/>
        <w:tabs>
          <w:tab w:val="left" w:pos="1701"/>
        </w:tabs>
        <w:rPr>
          <w:noProof/>
        </w:rPr>
      </w:pPr>
      <m:oMath>
        <m:sSub>
          <m:sSubPr>
            <m:ctrlPr>
              <w:rPr>
                <w:rFonts w:ascii="Cambria Math" w:hAnsi="Cambria Math"/>
                <w:i/>
                <w:noProof/>
              </w:rPr>
            </m:ctrlPr>
          </m:sSubPr>
          <m:e>
            <m:r>
              <w:rPr>
                <w:rFonts w:ascii="Cambria Math" w:hAnsi="Cambria Math"/>
                <w:noProof/>
              </w:rPr>
              <m:t>FX</m:t>
            </m:r>
          </m:e>
          <m:sub>
            <m:r>
              <w:rPr>
                <w:rFonts w:ascii="Cambria Math" w:hAnsi="Cambria Math"/>
                <w:noProof/>
              </w:rPr>
              <m:t>k</m:t>
            </m:r>
          </m:sub>
        </m:sSub>
      </m:oMath>
      <w:r w:rsidR="00DE1B1D" w:rsidRPr="004F01E9">
        <w:rPr>
          <w:noProof/>
        </w:rPr>
        <w:tab/>
        <w:t>= hodnota faktora rizika spotového výmenného kurzu k;</w:t>
      </w:r>
    </w:p>
    <w:p w14:paraId="384DD170" w14:textId="0928C262" w:rsidR="004009AD" w:rsidRPr="004F01E9" w:rsidRDefault="00EE12EE" w:rsidP="00930CF2">
      <w:pPr>
        <w:pStyle w:val="Text1"/>
        <w:tabs>
          <w:tab w:val="left" w:pos="1701"/>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00DE1B1D" w:rsidRPr="004F01E9">
        <w:rPr>
          <w:noProof/>
        </w:rPr>
        <w:tab/>
        <w:t>= súhrnná úprava ocenenia pohľadávok vypočítaná regulačným modelom úpravy ocenenia pohľadávok;</w:t>
      </w:r>
    </w:p>
    <w:p w14:paraId="1C688890" w14:textId="47E214F8" w:rsidR="004009AD" w:rsidRPr="004F01E9" w:rsidRDefault="004009AD" w:rsidP="00930CF2">
      <w:pPr>
        <w:pStyle w:val="Text1"/>
        <w:tabs>
          <w:tab w:val="left" w:pos="1701"/>
        </w:tabs>
        <w:rPr>
          <w:noProof/>
        </w:rPr>
      </w:pPr>
      <m:oMath>
        <m:r>
          <w:rPr>
            <w:rFonts w:ascii="Cambria Math" w:hAnsi="Cambria Math"/>
            <w:noProof/>
          </w:rPr>
          <m:t>x,y</m:t>
        </m:r>
      </m:oMath>
      <w:r w:rsidRPr="004F01E9">
        <w:rPr>
          <w:noProof/>
        </w:rPr>
        <w:tab/>
        <w:t xml:space="preserve">= iné faktory rizika než </w:t>
      </w:r>
      <m:oMath>
        <m:sSub>
          <m:sSubPr>
            <m:ctrlPr>
              <w:rPr>
                <w:rFonts w:ascii="Cambria Math" w:hAnsi="Cambria Math"/>
                <w:i/>
                <w:noProof/>
              </w:rPr>
            </m:ctrlPr>
          </m:sSubPr>
          <m:e>
            <m:r>
              <w:rPr>
                <w:rFonts w:ascii="Cambria Math" w:hAnsi="Cambria Math"/>
                <w:noProof/>
              </w:rPr>
              <m:t>FX</m:t>
            </m:r>
          </m:e>
          <m:sub>
            <m:r>
              <w:rPr>
                <w:rFonts w:ascii="Cambria Math" w:hAnsi="Cambria Math"/>
                <w:noProof/>
              </w:rPr>
              <m:t>k</m:t>
            </m:r>
          </m:sub>
        </m:sSub>
        <m:r>
          <m:rPr>
            <m:sty m:val="p"/>
          </m:rPr>
          <w:rPr>
            <w:rFonts w:ascii="Cambria Math" w:hAnsi="Cambria Math"/>
            <w:noProof/>
          </w:rPr>
          <m:t xml:space="preserve"> v </m:t>
        </m:r>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Pr="004F01E9">
        <w:rPr>
          <w:noProof/>
        </w:rPr>
        <w:t>;</w:t>
      </w:r>
    </w:p>
    <w:p w14:paraId="714BB99A" w14:textId="1EE55DFB" w:rsidR="004009AD" w:rsidRPr="004F01E9" w:rsidRDefault="00EE12EE" w:rsidP="00930CF2">
      <w:pPr>
        <w:pStyle w:val="Text1"/>
        <w:tabs>
          <w:tab w:val="left" w:pos="1701"/>
        </w:tabs>
        <w:rPr>
          <w:noProof/>
        </w:rPr>
      </w:pPr>
      <m:oMath>
        <m:sSubSup>
          <m:sSubSupPr>
            <m:ctrlPr>
              <w:rPr>
                <w:rFonts w:ascii="Cambria Math" w:hAnsi="Cambria Math"/>
                <w:i/>
                <w:noProof/>
              </w:rPr>
            </m:ctrlPr>
          </m:sSubSupPr>
          <m:e>
            <m:r>
              <w:rPr>
                <w:rFonts w:ascii="Cambria Math" w:hAnsi="Cambria Math"/>
                <w:noProof/>
              </w:rPr>
              <m:t>S</m:t>
            </m:r>
          </m:e>
          <m:sub>
            <m:sSub>
              <m:sSubPr>
                <m:ctrlPr>
                  <w:rPr>
                    <w:rFonts w:ascii="Cambria Math" w:hAnsi="Cambria Math"/>
                    <w:i/>
                    <w:noProof/>
                  </w:rPr>
                </m:ctrlPr>
              </m:sSubPr>
              <m:e>
                <m:r>
                  <w:rPr>
                    <w:rFonts w:ascii="Cambria Math" w:hAnsi="Cambria Math"/>
                    <w:noProof/>
                  </w:rPr>
                  <m:t>FX</m:t>
                </m:r>
              </m:e>
              <m:sub>
                <m:r>
                  <w:rPr>
                    <w:rFonts w:ascii="Cambria Math" w:hAnsi="Cambria Math"/>
                    <w:noProof/>
                  </w:rPr>
                  <m:t>k</m:t>
                </m:r>
              </m:sub>
            </m:sSub>
          </m:sub>
          <m:sup>
            <m:sSub>
              <m:sSubPr>
                <m:ctrlPr>
                  <w:rPr>
                    <w:rFonts w:ascii="Cambria Math" w:hAnsi="Cambria Math"/>
                    <w:i/>
                    <w:noProof/>
                  </w:rPr>
                </m:ctrlPr>
              </m:sSubPr>
              <m:e>
                <m:r>
                  <w:rPr>
                    <w:rFonts w:ascii="Cambria Math" w:hAnsi="Cambria Math"/>
                    <w:noProof/>
                  </w:rPr>
                  <m:t>hedge</m:t>
                </m:r>
              </m:e>
              <m:sub>
                <m:r>
                  <w:rPr>
                    <w:rFonts w:ascii="Cambria Math" w:hAnsi="Cambria Math"/>
                    <w:noProof/>
                  </w:rPr>
                  <m:t>i</m:t>
                </m:r>
              </m:sub>
            </m:sSub>
          </m:sup>
        </m:sSubSup>
      </m:oMath>
      <w:r w:rsidR="00DE1B1D" w:rsidRPr="004F01E9">
        <w:rPr>
          <w:noProof/>
        </w:rPr>
        <w:tab/>
        <w:t>= citlivosti prípustného hedžingu</w:t>
      </w:r>
      <w:r w:rsidR="004F01E9">
        <w:rPr>
          <w:noProof/>
        </w:rPr>
        <w:t xml:space="preserve"> i </w:t>
      </w:r>
      <w:r w:rsidR="00DE1B1D" w:rsidRPr="004F01E9">
        <w:rPr>
          <w:noProof/>
        </w:rPr>
        <w:t>na faktor rizika spotového výmenného kurzu;</w:t>
      </w:r>
    </w:p>
    <w:p w14:paraId="0B66761C" w14:textId="3AEE28F2" w:rsidR="00806B81" w:rsidRPr="004F01E9" w:rsidRDefault="00EE12EE" w:rsidP="00930CF2">
      <w:pPr>
        <w:pStyle w:val="Text1"/>
        <w:tabs>
          <w:tab w:val="left" w:pos="1701"/>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00DE1B1D" w:rsidRPr="004F01E9">
        <w:rPr>
          <w:noProof/>
        </w:rPr>
        <w:tab/>
        <w:t>= funkcia oceňovania prípustného hedžingu i;</w:t>
      </w:r>
    </w:p>
    <w:p w14:paraId="32C7E43A" w14:textId="67FF10BE" w:rsidR="004009AD" w:rsidRPr="004F01E9" w:rsidRDefault="004009AD" w:rsidP="00930CF2">
      <w:pPr>
        <w:pStyle w:val="Text1"/>
        <w:tabs>
          <w:tab w:val="left" w:pos="1701"/>
        </w:tabs>
        <w:rPr>
          <w:noProof/>
        </w:rPr>
      </w:pPr>
      <m:oMath>
        <m:r>
          <w:rPr>
            <w:rFonts w:ascii="Cambria Math" w:hAnsi="Cambria Math"/>
            <w:noProof/>
          </w:rPr>
          <m:t>w,z</m:t>
        </m:r>
      </m:oMath>
      <w:r w:rsidRPr="004F01E9">
        <w:rPr>
          <w:noProof/>
        </w:rPr>
        <w:tab/>
        <w:t xml:space="preserve">= iné faktory rizika než </w:t>
      </w:r>
      <m:oMath>
        <m:sSub>
          <m:sSubPr>
            <m:ctrlPr>
              <w:rPr>
                <w:rFonts w:ascii="Cambria Math" w:hAnsi="Cambria Math"/>
                <w:i/>
                <w:noProof/>
              </w:rPr>
            </m:ctrlPr>
          </m:sSubPr>
          <m:e>
            <m:r>
              <w:rPr>
                <w:rFonts w:ascii="Cambria Math" w:hAnsi="Cambria Math"/>
                <w:noProof/>
              </w:rPr>
              <m:t>FX</m:t>
            </m:r>
          </m:e>
          <m:sub>
            <m:r>
              <w:rPr>
                <w:rFonts w:ascii="Cambria Math" w:hAnsi="Cambria Math"/>
                <w:noProof/>
              </w:rPr>
              <m:t>k</m:t>
            </m:r>
          </m:sub>
        </m:sSub>
      </m:oMath>
      <w:r w:rsidRPr="004F01E9">
        <w:rPr>
          <w:noProof/>
        </w:rPr>
        <w:t xml:space="preserve"> vo funkcii oceňovania </w:t>
      </w: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Pr="004F01E9">
        <w:rPr>
          <w:noProof/>
        </w:rPr>
        <w:t>.</w:t>
      </w:r>
    </w:p>
    <w:p w14:paraId="398B64FB" w14:textId="77777777" w:rsidR="004009AD" w:rsidRPr="004F01E9" w:rsidRDefault="004009AD" w:rsidP="004009AD">
      <w:pPr>
        <w:pStyle w:val="Text1"/>
        <w:rPr>
          <w:noProof/>
        </w:rPr>
      </w:pPr>
      <w:r w:rsidRPr="004F01E9">
        <w:rPr>
          <w:noProof/>
        </w:rPr>
        <w:t>3. Inštitúcie vypočítavajú citlivosti delta súhrnnej úpravy ocenenia pohľadávok na faktory rizika pozostávajúce zo sadzieb kreditného rozpätia protistrany, ako aj nástroja prípustného hedžingu voči uvedeným faktorom rizika takto:</w:t>
      </w:r>
    </w:p>
    <w:p w14:paraId="33ADC358" w14:textId="77777777" w:rsidR="004009AD" w:rsidRPr="004F01E9" w:rsidRDefault="00EE12EE"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sSub>
                <m:sSubPr>
                  <m:ctrlPr>
                    <w:rPr>
                      <w:rFonts w:ascii="Cambria Math" w:hAnsi="Cambria Math"/>
                      <w:noProof/>
                    </w:rPr>
                  </m:ctrlPr>
                </m:sSubPr>
                <m:e>
                  <m:r>
                    <w:rPr>
                      <w:rFonts w:ascii="Cambria Math" w:hAnsi="Cambria Math"/>
                      <w:noProof/>
                    </w:rPr>
                    <m:t>ccs</m:t>
                  </m:r>
                </m:e>
                <m:sub>
                  <m:r>
                    <w:rPr>
                      <w:rFonts w:ascii="Cambria Math" w:hAnsi="Cambria Math"/>
                      <w:noProof/>
                    </w:rPr>
                    <m:t>kt</m:t>
                  </m:r>
                </m:sub>
              </m:sSub>
            </m:sub>
            <m:sup>
              <m:r>
                <w:rPr>
                  <w:rFonts w:ascii="Cambria Math" w:hAnsi="Cambria Math"/>
                  <w:noProof/>
                </w:rPr>
                <m:t>CVA</m:t>
              </m:r>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r>
                    <w:rPr>
                      <w:rFonts w:ascii="Cambria Math" w:hAnsi="Cambria Math"/>
                      <w:noProof/>
                    </w:rPr>
                    <m:t>c</m:t>
                  </m:r>
                  <m:sSub>
                    <m:sSubPr>
                      <m:ctrlPr>
                        <w:rPr>
                          <w:rFonts w:ascii="Cambria Math" w:hAnsi="Cambria Math"/>
                          <w:noProof/>
                        </w:rPr>
                      </m:ctrlPr>
                    </m:sSubPr>
                    <m:e>
                      <m:r>
                        <w:rPr>
                          <w:rFonts w:ascii="Cambria Math" w:hAnsi="Cambria Math"/>
                          <w:noProof/>
                        </w:rPr>
                        <m:t>cs</m:t>
                      </m:r>
                    </m:e>
                    <m:sub>
                      <m:r>
                        <w:rPr>
                          <w:rFonts w:ascii="Cambria Math" w:hAnsi="Cambria Math"/>
                          <w:noProof/>
                        </w:rPr>
                        <m:t>kt</m:t>
                      </m:r>
                    </m:sub>
                  </m:sSub>
                  <m:r>
                    <m:rPr>
                      <m:sty m:val="p"/>
                    </m:rPr>
                    <w:rPr>
                      <w:rFonts w:ascii="Cambria Math" w:hAnsi="Cambria Math"/>
                      <w:noProof/>
                    </w:rPr>
                    <m:t>+0.0001,</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 xml:space="preserve">… </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ccs</m:t>
                      </m:r>
                    </m:e>
                    <m:sub>
                      <m:r>
                        <w:rPr>
                          <w:rFonts w:ascii="Cambria Math" w:hAnsi="Cambria Math"/>
                          <w:noProof/>
                        </w:rPr>
                        <m:t>kt</m:t>
                      </m:r>
                    </m:sub>
                  </m:sSub>
                  <m:r>
                    <m:rPr>
                      <m:sty m:val="p"/>
                    </m:rPr>
                    <w:rPr>
                      <w:rFonts w:ascii="Cambria Math" w:hAnsi="Cambria Math"/>
                      <w:noProof/>
                    </w:rPr>
                    <m:t xml:space="preserve">, </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m:t>
                  </m:r>
                </m:e>
              </m:d>
            </m:num>
            <m:den>
              <m:r>
                <m:rPr>
                  <m:sty m:val="p"/>
                </m:rPr>
                <w:rPr>
                  <w:rFonts w:ascii="Cambria Math" w:hAnsi="Cambria Math"/>
                  <w:noProof/>
                </w:rPr>
                <m:t>0.0001</m:t>
              </m:r>
            </m:den>
          </m:f>
        </m:oMath>
      </m:oMathPara>
    </w:p>
    <w:p w14:paraId="2C2BD425" w14:textId="77777777" w:rsidR="004009AD" w:rsidRPr="004F01E9" w:rsidRDefault="00EE12EE"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r>
                <w:rPr>
                  <w:rFonts w:ascii="Cambria Math" w:hAnsi="Cambria Math"/>
                  <w:noProof/>
                </w:rPr>
                <m:t>c</m:t>
              </m:r>
              <m:sSub>
                <m:sSubPr>
                  <m:ctrlPr>
                    <w:rPr>
                      <w:rFonts w:ascii="Cambria Math" w:hAnsi="Cambria Math"/>
                      <w:noProof/>
                    </w:rPr>
                  </m:ctrlPr>
                </m:sSubPr>
                <m:e>
                  <m:r>
                    <w:rPr>
                      <w:rFonts w:ascii="Cambria Math" w:hAnsi="Cambria Math"/>
                      <w:noProof/>
                    </w:rPr>
                    <m:t>cs</m:t>
                  </m:r>
                </m:e>
                <m:sub>
                  <m:r>
                    <w:rPr>
                      <w:rFonts w:ascii="Cambria Math" w:hAnsi="Cambria Math"/>
                      <w:noProof/>
                    </w:rPr>
                    <m:t>kt</m:t>
                  </m:r>
                </m:sub>
              </m:sSub>
            </m:sub>
            <m:sup>
              <m:sSub>
                <m:sSubPr>
                  <m:ctrlPr>
                    <w:rPr>
                      <w:rFonts w:ascii="Cambria Math" w:hAnsi="Cambria Math"/>
                      <w:noProof/>
                    </w:rPr>
                  </m:ctrlPr>
                </m:sSubPr>
                <m:e>
                  <m:r>
                    <w:rPr>
                      <w:rFonts w:ascii="Cambria Math" w:hAnsi="Cambria Math"/>
                      <w:noProof/>
                    </w:rPr>
                    <m:t>hedge</m:t>
                  </m:r>
                </m:e>
                <m:sub>
                  <m:r>
                    <w:rPr>
                      <w:rFonts w:ascii="Cambria Math" w:hAnsi="Cambria Math"/>
                      <w:noProof/>
                    </w:rPr>
                    <m:t>i</m:t>
                  </m:r>
                </m:sub>
              </m:sSub>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ccs</m:t>
                      </m:r>
                    </m:e>
                    <m:sub>
                      <m:r>
                        <w:rPr>
                          <w:rFonts w:ascii="Cambria Math" w:hAnsi="Cambria Math"/>
                          <w:noProof/>
                        </w:rPr>
                        <m:t>kt</m:t>
                      </m:r>
                    </m:sub>
                  </m:sSub>
                  <m:r>
                    <m:rPr>
                      <m:sty m:val="p"/>
                    </m:rPr>
                    <w:rPr>
                      <w:rFonts w:ascii="Cambria Math" w:hAnsi="Cambria Math"/>
                      <w:noProof/>
                    </w:rPr>
                    <m:t>+0.0001,</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 xml:space="preserve">… </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ccs</m:t>
                      </m:r>
                    </m:e>
                    <m:sub>
                      <m:r>
                        <w:rPr>
                          <w:rFonts w:ascii="Cambria Math" w:hAnsi="Cambria Math"/>
                          <w:noProof/>
                        </w:rPr>
                        <m:t>kt</m:t>
                      </m:r>
                    </m:sub>
                  </m:sSub>
                  <m:r>
                    <m:rPr>
                      <m:sty m:val="p"/>
                    </m:rPr>
                    <w:rPr>
                      <w:rFonts w:ascii="Cambria Math" w:hAnsi="Cambria Math"/>
                      <w:noProof/>
                    </w:rPr>
                    <m:t xml:space="preserve">, </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m:t>
                  </m:r>
                </m:e>
              </m:d>
            </m:num>
            <m:den>
              <m:r>
                <m:rPr>
                  <m:sty m:val="p"/>
                </m:rPr>
                <w:rPr>
                  <w:rFonts w:ascii="Cambria Math" w:hAnsi="Cambria Math"/>
                  <w:noProof/>
                </w:rPr>
                <m:t>0.01</m:t>
              </m:r>
            </m:den>
          </m:f>
        </m:oMath>
      </m:oMathPara>
    </w:p>
    <w:p w14:paraId="28766CBB" w14:textId="77777777" w:rsidR="004009AD" w:rsidRPr="004F01E9" w:rsidRDefault="004009AD" w:rsidP="004009AD">
      <w:pPr>
        <w:pStyle w:val="Text1"/>
        <w:rPr>
          <w:noProof/>
        </w:rPr>
      </w:pPr>
      <w:r w:rsidRPr="004F01E9">
        <w:rPr>
          <w:noProof/>
        </w:rPr>
        <w:t>kde:</w:t>
      </w:r>
    </w:p>
    <w:p w14:paraId="6235FAE1" w14:textId="64A3D848" w:rsidR="004009AD" w:rsidRPr="004F01E9" w:rsidRDefault="00EE12EE" w:rsidP="00912E9A">
      <w:pPr>
        <w:pStyle w:val="Text1"/>
        <w:tabs>
          <w:tab w:val="left" w:pos="1843"/>
        </w:tabs>
        <w:rPr>
          <w:noProof/>
        </w:rPr>
      </w:pPr>
      <m:oMath>
        <m:sSubSup>
          <m:sSubSupPr>
            <m:ctrlPr>
              <w:rPr>
                <w:rFonts w:ascii="Cambria Math" w:hAnsi="Cambria Math"/>
                <w:i/>
                <w:noProof/>
              </w:rPr>
            </m:ctrlPr>
          </m:sSubSupPr>
          <m:e>
            <m:r>
              <w:rPr>
                <w:rFonts w:ascii="Cambria Math" w:hAnsi="Cambria Math"/>
                <w:noProof/>
              </w:rPr>
              <m:t>S</m:t>
            </m:r>
          </m:e>
          <m:sub>
            <m:sSub>
              <m:sSubPr>
                <m:ctrlPr>
                  <w:rPr>
                    <w:rFonts w:ascii="Cambria Math" w:hAnsi="Cambria Math"/>
                    <w:i/>
                    <w:noProof/>
                  </w:rPr>
                </m:ctrlPr>
              </m:sSubPr>
              <m:e>
                <m:r>
                  <w:rPr>
                    <w:rFonts w:ascii="Cambria Math" w:hAnsi="Cambria Math"/>
                    <w:noProof/>
                  </w:rPr>
                  <m:t>ccs</m:t>
                </m:r>
              </m:e>
              <m:sub>
                <m:r>
                  <w:rPr>
                    <w:rFonts w:ascii="Cambria Math" w:hAnsi="Cambria Math"/>
                    <w:noProof/>
                  </w:rPr>
                  <m:t>kt</m:t>
                </m:r>
              </m:sub>
            </m:sSub>
          </m:sub>
          <m:sup>
            <m:r>
              <w:rPr>
                <w:rFonts w:ascii="Cambria Math" w:hAnsi="Cambria Math"/>
                <w:noProof/>
              </w:rPr>
              <m:t>CVA</m:t>
            </m:r>
          </m:sup>
        </m:sSubSup>
      </m:oMath>
      <w:r w:rsidR="00DE1B1D" w:rsidRPr="004F01E9">
        <w:rPr>
          <w:noProof/>
        </w:rPr>
        <w:tab/>
        <w:t>= citlivosti súhrnnej úpravy ocenenia pohľadávok na faktor rizika sadzby kreditného rozpätia protistrany;</w:t>
      </w:r>
    </w:p>
    <w:p w14:paraId="4BE66560" w14:textId="4783A20D" w:rsidR="004009AD" w:rsidRPr="004F01E9" w:rsidRDefault="00EE12EE" w:rsidP="00912E9A">
      <w:pPr>
        <w:pStyle w:val="Text1"/>
        <w:tabs>
          <w:tab w:val="left" w:pos="1843"/>
        </w:tabs>
        <w:rPr>
          <w:noProof/>
        </w:rPr>
      </w:pPr>
      <m:oMath>
        <m:sSub>
          <m:sSubPr>
            <m:ctrlPr>
              <w:rPr>
                <w:rFonts w:ascii="Cambria Math" w:hAnsi="Cambria Math"/>
                <w:i/>
                <w:noProof/>
              </w:rPr>
            </m:ctrlPr>
          </m:sSubPr>
          <m:e>
            <m:r>
              <w:rPr>
                <w:rFonts w:ascii="Cambria Math" w:hAnsi="Cambria Math"/>
                <w:noProof/>
              </w:rPr>
              <m:t>ccs</m:t>
            </m:r>
          </m:e>
          <m:sub>
            <m:r>
              <w:rPr>
                <w:rFonts w:ascii="Cambria Math" w:hAnsi="Cambria Math"/>
                <w:noProof/>
              </w:rPr>
              <m:t>kt</m:t>
            </m:r>
          </m:sub>
        </m:sSub>
      </m:oMath>
      <w:r w:rsidR="00DE1B1D" w:rsidRPr="004F01E9">
        <w:rPr>
          <w:noProof/>
        </w:rPr>
        <w:tab/>
        <w:t>= hodnota faktora rizika sadzby kreditného rozpätia protistrany</w:t>
      </w:r>
      <w:r w:rsidR="004F01E9">
        <w:rPr>
          <w:noProof/>
        </w:rPr>
        <w:t xml:space="preserve"> k </w:t>
      </w:r>
      <w:r w:rsidR="00DE1B1D" w:rsidRPr="004F01E9">
        <w:rPr>
          <w:noProof/>
        </w:rPr>
        <w:t>so splatnosťou t;</w:t>
      </w:r>
    </w:p>
    <w:p w14:paraId="60CBF355" w14:textId="13CF34F7" w:rsidR="004009AD" w:rsidRPr="004F01E9" w:rsidRDefault="00EE12EE" w:rsidP="00912E9A">
      <w:pPr>
        <w:pStyle w:val="Text1"/>
        <w:tabs>
          <w:tab w:val="left" w:pos="1843"/>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00DE1B1D" w:rsidRPr="004F01E9">
        <w:rPr>
          <w:noProof/>
        </w:rPr>
        <w:tab/>
        <w:t>= súhrnná úprava ocenenia pohľadávok vypočítaná regulačným modelom úpravy ocenenia pohľadávok;</w:t>
      </w:r>
    </w:p>
    <w:p w14:paraId="0B42ED75" w14:textId="5457EB8A" w:rsidR="004009AD" w:rsidRPr="004F01E9" w:rsidRDefault="004009AD" w:rsidP="00912E9A">
      <w:pPr>
        <w:pStyle w:val="Text1"/>
        <w:tabs>
          <w:tab w:val="left" w:pos="1843"/>
        </w:tabs>
        <w:rPr>
          <w:noProof/>
        </w:rPr>
      </w:pPr>
      <m:oMath>
        <m:r>
          <w:rPr>
            <w:rFonts w:ascii="Cambria Math" w:hAnsi="Cambria Math"/>
            <w:noProof/>
          </w:rPr>
          <m:t>x,y</m:t>
        </m:r>
      </m:oMath>
      <w:r w:rsidRPr="004F01E9">
        <w:rPr>
          <w:noProof/>
        </w:rPr>
        <w:tab/>
        <w:t xml:space="preserve">= iné faktory rizika než </w:t>
      </w:r>
      <m:oMath>
        <m:sSub>
          <m:sSubPr>
            <m:ctrlPr>
              <w:rPr>
                <w:rFonts w:ascii="Cambria Math" w:hAnsi="Cambria Math"/>
                <w:i/>
                <w:noProof/>
              </w:rPr>
            </m:ctrlPr>
          </m:sSubPr>
          <m:e>
            <m:r>
              <w:rPr>
                <w:rFonts w:ascii="Cambria Math" w:hAnsi="Cambria Math"/>
                <w:noProof/>
              </w:rPr>
              <m:t>ccs</m:t>
            </m:r>
          </m:e>
          <m:sub>
            <m:r>
              <w:rPr>
                <w:rFonts w:ascii="Cambria Math" w:hAnsi="Cambria Math"/>
                <w:noProof/>
              </w:rPr>
              <m:t>kt</m:t>
            </m:r>
          </m:sub>
        </m:sSub>
        <m:r>
          <m:rPr>
            <m:sty m:val="p"/>
          </m:rPr>
          <w:rPr>
            <w:rFonts w:ascii="Cambria Math" w:hAnsi="Cambria Math"/>
            <w:noProof/>
          </w:rPr>
          <m:t xml:space="preserve"> v </m:t>
        </m:r>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Pr="004F01E9">
        <w:rPr>
          <w:noProof/>
        </w:rPr>
        <w:t>;</w:t>
      </w:r>
    </w:p>
    <w:p w14:paraId="219C525C" w14:textId="6F42D79B" w:rsidR="004009AD" w:rsidRPr="004F01E9" w:rsidRDefault="00EE12EE" w:rsidP="00912E9A">
      <w:pPr>
        <w:pStyle w:val="Text1"/>
        <w:tabs>
          <w:tab w:val="left" w:pos="1843"/>
        </w:tabs>
        <w:rPr>
          <w:noProof/>
        </w:rPr>
      </w:pPr>
      <m:oMath>
        <m:sSubSup>
          <m:sSubSupPr>
            <m:ctrlPr>
              <w:rPr>
                <w:rFonts w:ascii="Cambria Math" w:hAnsi="Cambria Math"/>
                <w:i/>
                <w:noProof/>
              </w:rPr>
            </m:ctrlPr>
          </m:sSubSupPr>
          <m:e>
            <m:r>
              <w:rPr>
                <w:rFonts w:ascii="Cambria Math" w:hAnsi="Cambria Math"/>
                <w:noProof/>
              </w:rPr>
              <m:t>S</m:t>
            </m:r>
          </m:e>
          <m:sub>
            <m:sSub>
              <m:sSubPr>
                <m:ctrlPr>
                  <w:rPr>
                    <w:rFonts w:ascii="Cambria Math" w:hAnsi="Cambria Math"/>
                    <w:i/>
                    <w:noProof/>
                  </w:rPr>
                </m:ctrlPr>
              </m:sSubPr>
              <m:e>
                <m:r>
                  <w:rPr>
                    <w:rFonts w:ascii="Cambria Math" w:hAnsi="Cambria Math"/>
                    <w:noProof/>
                  </w:rPr>
                  <m:t>ccs</m:t>
                </m:r>
              </m:e>
              <m:sub>
                <m:r>
                  <w:rPr>
                    <w:rFonts w:ascii="Cambria Math" w:hAnsi="Cambria Math"/>
                    <w:noProof/>
                  </w:rPr>
                  <m:t>kt</m:t>
                </m:r>
              </m:sub>
            </m:sSub>
          </m:sub>
          <m:sup>
            <m:sSub>
              <m:sSubPr>
                <m:ctrlPr>
                  <w:rPr>
                    <w:rFonts w:ascii="Cambria Math" w:hAnsi="Cambria Math"/>
                    <w:i/>
                    <w:noProof/>
                  </w:rPr>
                </m:ctrlPr>
              </m:sSubPr>
              <m:e>
                <m:r>
                  <w:rPr>
                    <w:rFonts w:ascii="Cambria Math" w:hAnsi="Cambria Math"/>
                    <w:noProof/>
                  </w:rPr>
                  <m:t>hedge</m:t>
                </m:r>
              </m:e>
              <m:sub>
                <m:r>
                  <w:rPr>
                    <w:rFonts w:ascii="Cambria Math" w:hAnsi="Cambria Math"/>
                    <w:noProof/>
                  </w:rPr>
                  <m:t>i</m:t>
                </m:r>
              </m:sub>
            </m:sSub>
          </m:sup>
        </m:sSubSup>
      </m:oMath>
      <w:r w:rsidR="00DE1B1D" w:rsidRPr="004F01E9">
        <w:rPr>
          <w:noProof/>
        </w:rPr>
        <w:tab/>
        <w:t>= citlivosti prípustného hedžingu</w:t>
      </w:r>
      <w:r w:rsidR="004F01E9">
        <w:rPr>
          <w:noProof/>
        </w:rPr>
        <w:t xml:space="preserve"> i </w:t>
      </w:r>
      <w:r w:rsidR="00DE1B1D" w:rsidRPr="004F01E9">
        <w:rPr>
          <w:noProof/>
        </w:rPr>
        <w:t>na faktor rizika sadzby kreditného rozpätia protistrany;</w:t>
      </w:r>
    </w:p>
    <w:p w14:paraId="05105763" w14:textId="2D8B0C97" w:rsidR="004009AD" w:rsidRPr="004F01E9" w:rsidRDefault="00EE12EE" w:rsidP="00912E9A">
      <w:pPr>
        <w:pStyle w:val="Text1"/>
        <w:tabs>
          <w:tab w:val="left" w:pos="1843"/>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00DE1B1D" w:rsidRPr="004F01E9">
        <w:rPr>
          <w:noProof/>
        </w:rPr>
        <w:tab/>
        <w:t>= funkcia oceňovania prípustného hedžingu i;</w:t>
      </w:r>
    </w:p>
    <w:p w14:paraId="5EF51AC6" w14:textId="458EB967" w:rsidR="004009AD" w:rsidRPr="004F01E9" w:rsidRDefault="004009AD" w:rsidP="00912E9A">
      <w:pPr>
        <w:pStyle w:val="Text1"/>
        <w:tabs>
          <w:tab w:val="left" w:pos="1843"/>
        </w:tabs>
        <w:rPr>
          <w:noProof/>
        </w:rPr>
      </w:pPr>
      <m:oMath>
        <m:r>
          <w:rPr>
            <w:rFonts w:ascii="Cambria Math" w:hAnsi="Cambria Math"/>
            <w:noProof/>
          </w:rPr>
          <m:t>w,z</m:t>
        </m:r>
      </m:oMath>
      <w:r w:rsidRPr="004F01E9">
        <w:rPr>
          <w:noProof/>
        </w:rPr>
        <w:tab/>
        <w:t xml:space="preserve">= iné faktory rizika než </w:t>
      </w:r>
      <m:oMath>
        <m:sSub>
          <m:sSubPr>
            <m:ctrlPr>
              <w:rPr>
                <w:rFonts w:ascii="Cambria Math" w:hAnsi="Cambria Math"/>
                <w:i/>
                <w:noProof/>
              </w:rPr>
            </m:ctrlPr>
          </m:sSubPr>
          <m:e>
            <m:r>
              <w:rPr>
                <w:rFonts w:ascii="Cambria Math" w:hAnsi="Cambria Math"/>
                <w:noProof/>
              </w:rPr>
              <m:t>ccs</m:t>
            </m:r>
          </m:e>
          <m:sub>
            <m:r>
              <w:rPr>
                <w:rFonts w:ascii="Cambria Math" w:hAnsi="Cambria Math"/>
                <w:noProof/>
              </w:rPr>
              <m:t>kt</m:t>
            </m:r>
          </m:sub>
        </m:sSub>
      </m:oMath>
      <w:r w:rsidRPr="004F01E9">
        <w:rPr>
          <w:noProof/>
        </w:rPr>
        <w:t xml:space="preserve"> vo funkcii oceňovania </w:t>
      </w: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Pr="004F01E9">
        <w:rPr>
          <w:noProof/>
        </w:rPr>
        <w:t>.</w:t>
      </w:r>
    </w:p>
    <w:p w14:paraId="7C110567" w14:textId="77777777" w:rsidR="004009AD" w:rsidRPr="004F01E9" w:rsidRDefault="004009AD" w:rsidP="004009AD">
      <w:pPr>
        <w:pStyle w:val="Text1"/>
        <w:rPr>
          <w:noProof/>
        </w:rPr>
      </w:pPr>
      <w:r w:rsidRPr="004F01E9">
        <w:rPr>
          <w:noProof/>
        </w:rPr>
        <w:t>4. Inštitúcie vypočítavajú citlivosti delta súhrnnej úpravy ocenenia pohľadávok na faktory rizika pozostávajúce zo sadzieb referenčného kreditného rozpätia, ako aj nástroja prípustného hedžingu voči uvedeným faktorom rizika takto:</w:t>
      </w:r>
    </w:p>
    <w:p w14:paraId="34093AB4" w14:textId="77777777" w:rsidR="004009AD" w:rsidRPr="004F01E9" w:rsidRDefault="00EE12EE"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sSub>
                <m:sSubPr>
                  <m:ctrlPr>
                    <w:rPr>
                      <w:rFonts w:ascii="Cambria Math" w:hAnsi="Cambria Math"/>
                      <w:noProof/>
                    </w:rPr>
                  </m:ctrlPr>
                </m:sSubPr>
                <m:e>
                  <m:r>
                    <w:rPr>
                      <w:rFonts w:ascii="Cambria Math" w:hAnsi="Cambria Math"/>
                      <w:noProof/>
                    </w:rPr>
                    <m:t>rcs</m:t>
                  </m:r>
                </m:e>
                <m:sub>
                  <m:r>
                    <w:rPr>
                      <w:rFonts w:ascii="Cambria Math" w:hAnsi="Cambria Math"/>
                      <w:noProof/>
                    </w:rPr>
                    <m:t>kt</m:t>
                  </m:r>
                </m:sub>
              </m:sSub>
            </m:sub>
            <m:sup>
              <m:r>
                <w:rPr>
                  <w:rFonts w:ascii="Cambria Math" w:hAnsi="Cambria Math"/>
                  <w:noProof/>
                </w:rPr>
                <m:t>CVA</m:t>
              </m:r>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r>
                    <w:rPr>
                      <w:rFonts w:ascii="Cambria Math" w:hAnsi="Cambria Math"/>
                      <w:noProof/>
                    </w:rPr>
                    <m:t>c</m:t>
                  </m:r>
                  <m:sSub>
                    <m:sSubPr>
                      <m:ctrlPr>
                        <w:rPr>
                          <w:rFonts w:ascii="Cambria Math" w:hAnsi="Cambria Math"/>
                          <w:noProof/>
                        </w:rPr>
                      </m:ctrlPr>
                    </m:sSubPr>
                    <m:e>
                      <m:r>
                        <w:rPr>
                          <w:rFonts w:ascii="Cambria Math" w:hAnsi="Cambria Math"/>
                          <w:noProof/>
                        </w:rPr>
                        <m:t>cs</m:t>
                      </m:r>
                    </m:e>
                    <m:sub>
                      <m:r>
                        <w:rPr>
                          <w:rFonts w:ascii="Cambria Math" w:hAnsi="Cambria Math"/>
                          <w:noProof/>
                        </w:rPr>
                        <m:t>kt</m:t>
                      </m:r>
                    </m:sub>
                  </m:sSub>
                  <m:r>
                    <m:rPr>
                      <m:sty m:val="p"/>
                    </m:rPr>
                    <w:rPr>
                      <w:rFonts w:ascii="Cambria Math" w:hAnsi="Cambria Math"/>
                      <w:noProof/>
                    </w:rPr>
                    <m:t>+0.0001,</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 xml:space="preserve">… </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rcs</m:t>
                      </m:r>
                    </m:e>
                    <m:sub>
                      <m:r>
                        <w:rPr>
                          <w:rFonts w:ascii="Cambria Math" w:hAnsi="Cambria Math"/>
                          <w:noProof/>
                        </w:rPr>
                        <m:t>kt</m:t>
                      </m:r>
                    </m:sub>
                  </m:sSub>
                  <m:r>
                    <m:rPr>
                      <m:sty m:val="p"/>
                    </m:rPr>
                    <w:rPr>
                      <w:rFonts w:ascii="Cambria Math" w:hAnsi="Cambria Math"/>
                      <w:noProof/>
                    </w:rPr>
                    <m:t xml:space="preserve">, </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m:t>
                  </m:r>
                </m:e>
              </m:d>
            </m:num>
            <m:den>
              <m:r>
                <m:rPr>
                  <m:sty m:val="p"/>
                </m:rPr>
                <w:rPr>
                  <w:rFonts w:ascii="Cambria Math" w:hAnsi="Cambria Math"/>
                  <w:noProof/>
                </w:rPr>
                <m:t>0.0001</m:t>
              </m:r>
            </m:den>
          </m:f>
        </m:oMath>
      </m:oMathPara>
    </w:p>
    <w:p w14:paraId="611DCFA6" w14:textId="77777777" w:rsidR="004009AD" w:rsidRPr="004F01E9" w:rsidRDefault="00EE12EE"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r>
                <w:rPr>
                  <w:rFonts w:ascii="Cambria Math" w:hAnsi="Cambria Math"/>
                  <w:noProof/>
                </w:rPr>
                <m:t>r</m:t>
              </m:r>
              <m:sSub>
                <m:sSubPr>
                  <m:ctrlPr>
                    <w:rPr>
                      <w:rFonts w:ascii="Cambria Math" w:hAnsi="Cambria Math"/>
                      <w:noProof/>
                    </w:rPr>
                  </m:ctrlPr>
                </m:sSubPr>
                <m:e>
                  <m:r>
                    <w:rPr>
                      <w:rFonts w:ascii="Cambria Math" w:hAnsi="Cambria Math"/>
                      <w:noProof/>
                    </w:rPr>
                    <m:t>cs</m:t>
                  </m:r>
                </m:e>
                <m:sub>
                  <m:r>
                    <w:rPr>
                      <w:rFonts w:ascii="Cambria Math" w:hAnsi="Cambria Math"/>
                      <w:noProof/>
                    </w:rPr>
                    <m:t>kt</m:t>
                  </m:r>
                </m:sub>
              </m:sSub>
            </m:sub>
            <m:sup>
              <m:sSub>
                <m:sSubPr>
                  <m:ctrlPr>
                    <w:rPr>
                      <w:rFonts w:ascii="Cambria Math" w:hAnsi="Cambria Math"/>
                      <w:noProof/>
                    </w:rPr>
                  </m:ctrlPr>
                </m:sSubPr>
                <m:e>
                  <m:r>
                    <w:rPr>
                      <w:rFonts w:ascii="Cambria Math" w:hAnsi="Cambria Math"/>
                      <w:noProof/>
                    </w:rPr>
                    <m:t>hedge</m:t>
                  </m:r>
                </m:e>
                <m:sub>
                  <m:r>
                    <w:rPr>
                      <w:rFonts w:ascii="Cambria Math" w:hAnsi="Cambria Math"/>
                      <w:noProof/>
                    </w:rPr>
                    <m:t>i</m:t>
                  </m:r>
                </m:sub>
              </m:sSub>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rcs</m:t>
                      </m:r>
                    </m:e>
                    <m:sub>
                      <m:r>
                        <w:rPr>
                          <w:rFonts w:ascii="Cambria Math" w:hAnsi="Cambria Math"/>
                          <w:noProof/>
                        </w:rPr>
                        <m:t>kt</m:t>
                      </m:r>
                    </m:sub>
                  </m:sSub>
                  <m:r>
                    <m:rPr>
                      <m:sty m:val="p"/>
                    </m:rPr>
                    <w:rPr>
                      <w:rFonts w:ascii="Cambria Math" w:hAnsi="Cambria Math"/>
                      <w:noProof/>
                    </w:rPr>
                    <m:t>+0.0001,</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 xml:space="preserve">… </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rcs</m:t>
                      </m:r>
                    </m:e>
                    <m:sub>
                      <m:r>
                        <w:rPr>
                          <w:rFonts w:ascii="Cambria Math" w:hAnsi="Cambria Math"/>
                          <w:noProof/>
                        </w:rPr>
                        <m:t>kt</m:t>
                      </m:r>
                    </m:sub>
                  </m:sSub>
                  <m:r>
                    <m:rPr>
                      <m:sty m:val="p"/>
                    </m:rPr>
                    <w:rPr>
                      <w:rFonts w:ascii="Cambria Math" w:hAnsi="Cambria Math"/>
                      <w:noProof/>
                    </w:rPr>
                    <m:t xml:space="preserve">, </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m:t>
                  </m:r>
                </m:e>
              </m:d>
            </m:num>
            <m:den>
              <m:r>
                <m:rPr>
                  <m:sty m:val="p"/>
                </m:rPr>
                <w:rPr>
                  <w:rFonts w:ascii="Cambria Math" w:hAnsi="Cambria Math"/>
                  <w:noProof/>
                </w:rPr>
                <m:t>0.0001</m:t>
              </m:r>
            </m:den>
          </m:f>
        </m:oMath>
      </m:oMathPara>
    </w:p>
    <w:p w14:paraId="4FB3FF5A" w14:textId="77777777" w:rsidR="004009AD" w:rsidRPr="004F01E9" w:rsidRDefault="004009AD" w:rsidP="004009AD">
      <w:pPr>
        <w:pStyle w:val="Text1"/>
        <w:rPr>
          <w:noProof/>
        </w:rPr>
      </w:pPr>
      <w:r w:rsidRPr="004F01E9">
        <w:rPr>
          <w:noProof/>
        </w:rPr>
        <w:t>kde:</w:t>
      </w:r>
    </w:p>
    <w:p w14:paraId="4757F6B0" w14:textId="1DB8862F" w:rsidR="004009AD" w:rsidRPr="004F01E9" w:rsidRDefault="00EE12EE" w:rsidP="00C87D28">
      <w:pPr>
        <w:pStyle w:val="Text1"/>
        <w:tabs>
          <w:tab w:val="left" w:pos="1843"/>
        </w:tabs>
        <w:rPr>
          <w:noProof/>
        </w:rPr>
      </w:pPr>
      <m:oMath>
        <m:sSubSup>
          <m:sSubSupPr>
            <m:ctrlPr>
              <w:rPr>
                <w:rFonts w:ascii="Cambria Math" w:hAnsi="Cambria Math"/>
                <w:i/>
                <w:noProof/>
              </w:rPr>
            </m:ctrlPr>
          </m:sSubSupPr>
          <m:e>
            <m:r>
              <w:rPr>
                <w:rFonts w:ascii="Cambria Math" w:hAnsi="Cambria Math"/>
                <w:noProof/>
              </w:rPr>
              <m:t>S</m:t>
            </m:r>
          </m:e>
          <m:sub>
            <m:sSub>
              <m:sSubPr>
                <m:ctrlPr>
                  <w:rPr>
                    <w:rFonts w:ascii="Cambria Math" w:hAnsi="Cambria Math"/>
                    <w:i/>
                    <w:noProof/>
                  </w:rPr>
                </m:ctrlPr>
              </m:sSubPr>
              <m:e>
                <m:r>
                  <w:rPr>
                    <w:rFonts w:ascii="Cambria Math" w:hAnsi="Cambria Math"/>
                    <w:noProof/>
                  </w:rPr>
                  <m:t>rcs</m:t>
                </m:r>
              </m:e>
              <m:sub>
                <m:r>
                  <w:rPr>
                    <w:rFonts w:ascii="Cambria Math" w:hAnsi="Cambria Math"/>
                    <w:noProof/>
                  </w:rPr>
                  <m:t>kt</m:t>
                </m:r>
              </m:sub>
            </m:sSub>
          </m:sub>
          <m:sup>
            <m:r>
              <w:rPr>
                <w:rFonts w:ascii="Cambria Math" w:hAnsi="Cambria Math"/>
                <w:noProof/>
              </w:rPr>
              <m:t>CVA</m:t>
            </m:r>
          </m:sup>
        </m:sSubSup>
      </m:oMath>
      <w:r w:rsidR="00DE1B1D" w:rsidRPr="004F01E9">
        <w:rPr>
          <w:noProof/>
        </w:rPr>
        <w:tab/>
        <w:t>= citlivosti súhrnnej úpravy ocenenia pohľadávok na faktor rizika sadzby referenčného kreditného rozpätia;</w:t>
      </w:r>
    </w:p>
    <w:p w14:paraId="149F935C" w14:textId="5756B61C" w:rsidR="004009AD" w:rsidRPr="004F01E9" w:rsidRDefault="00EE12EE" w:rsidP="00C87D28">
      <w:pPr>
        <w:pStyle w:val="Text1"/>
        <w:tabs>
          <w:tab w:val="left" w:pos="1843"/>
        </w:tabs>
        <w:rPr>
          <w:noProof/>
        </w:rPr>
      </w:pPr>
      <m:oMath>
        <m:sSub>
          <m:sSubPr>
            <m:ctrlPr>
              <w:rPr>
                <w:rFonts w:ascii="Cambria Math" w:hAnsi="Cambria Math"/>
                <w:i/>
                <w:noProof/>
              </w:rPr>
            </m:ctrlPr>
          </m:sSubPr>
          <m:e>
            <m:r>
              <w:rPr>
                <w:rFonts w:ascii="Cambria Math" w:hAnsi="Cambria Math"/>
                <w:noProof/>
              </w:rPr>
              <m:t>rcs</m:t>
            </m:r>
          </m:e>
          <m:sub>
            <m:r>
              <w:rPr>
                <w:rFonts w:ascii="Cambria Math" w:hAnsi="Cambria Math"/>
                <w:noProof/>
              </w:rPr>
              <m:t>kt</m:t>
            </m:r>
          </m:sub>
        </m:sSub>
      </m:oMath>
      <w:r w:rsidR="00DE1B1D" w:rsidRPr="004F01E9">
        <w:rPr>
          <w:noProof/>
        </w:rPr>
        <w:tab/>
        <w:t>= hodnota faktora rizika sadzby referenčného kreditného rozpätia</w:t>
      </w:r>
      <w:r w:rsidR="004F01E9">
        <w:rPr>
          <w:noProof/>
        </w:rPr>
        <w:t xml:space="preserve"> k </w:t>
      </w:r>
      <w:r w:rsidR="00DE1B1D" w:rsidRPr="004F01E9">
        <w:rPr>
          <w:noProof/>
        </w:rPr>
        <w:t>so splatnosťou t;</w:t>
      </w:r>
    </w:p>
    <w:p w14:paraId="48E4E698" w14:textId="2AF088C0" w:rsidR="004009AD" w:rsidRPr="004F01E9" w:rsidRDefault="00EE12EE" w:rsidP="00C87D28">
      <w:pPr>
        <w:pStyle w:val="Text1"/>
        <w:tabs>
          <w:tab w:val="left" w:pos="1843"/>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00DE1B1D" w:rsidRPr="004F01E9">
        <w:rPr>
          <w:noProof/>
        </w:rPr>
        <w:tab/>
        <w:t>= súhrnná úprava ocenenia pohľadávok vypočítaná regulačným modelom úpravy ocenenia pohľadávok;</w:t>
      </w:r>
    </w:p>
    <w:p w14:paraId="106F3B93" w14:textId="3B1727CA" w:rsidR="004009AD" w:rsidRPr="004F01E9" w:rsidRDefault="004009AD" w:rsidP="00C87D28">
      <w:pPr>
        <w:pStyle w:val="Text1"/>
        <w:tabs>
          <w:tab w:val="left" w:pos="1843"/>
        </w:tabs>
        <w:rPr>
          <w:noProof/>
        </w:rPr>
      </w:pPr>
      <m:oMath>
        <m:r>
          <w:rPr>
            <w:rFonts w:ascii="Cambria Math" w:hAnsi="Cambria Math"/>
            <w:noProof/>
          </w:rPr>
          <m:t>x,y</m:t>
        </m:r>
      </m:oMath>
      <w:r w:rsidRPr="004F01E9">
        <w:rPr>
          <w:noProof/>
        </w:rPr>
        <w:tab/>
        <w:t xml:space="preserve">= iné faktory rizika než </w:t>
      </w:r>
      <m:oMath>
        <m:sSub>
          <m:sSubPr>
            <m:ctrlPr>
              <w:rPr>
                <w:rFonts w:ascii="Cambria Math" w:hAnsi="Cambria Math"/>
                <w:i/>
                <w:noProof/>
              </w:rPr>
            </m:ctrlPr>
          </m:sSubPr>
          <m:e>
            <m:r>
              <w:rPr>
                <w:rFonts w:ascii="Cambria Math" w:hAnsi="Cambria Math"/>
                <w:noProof/>
              </w:rPr>
              <m:t>ccs</m:t>
            </m:r>
          </m:e>
          <m:sub>
            <m:r>
              <w:rPr>
                <w:rFonts w:ascii="Cambria Math" w:hAnsi="Cambria Math"/>
                <w:noProof/>
              </w:rPr>
              <m:t>kt</m:t>
            </m:r>
          </m:sub>
        </m:sSub>
        <m:r>
          <m:rPr>
            <m:sty m:val="p"/>
          </m:rPr>
          <w:rPr>
            <w:rFonts w:ascii="Cambria Math" w:hAnsi="Cambria Math"/>
            <w:noProof/>
          </w:rPr>
          <m:t xml:space="preserve"> v </m:t>
        </m:r>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Pr="004F01E9">
        <w:rPr>
          <w:noProof/>
        </w:rPr>
        <w:t>;</w:t>
      </w:r>
    </w:p>
    <w:p w14:paraId="164D2E87" w14:textId="74CDB7C0" w:rsidR="004009AD" w:rsidRPr="004F01E9" w:rsidRDefault="00EE12EE" w:rsidP="00C87D28">
      <w:pPr>
        <w:pStyle w:val="Text1"/>
        <w:tabs>
          <w:tab w:val="left" w:pos="1843"/>
        </w:tabs>
        <w:rPr>
          <w:noProof/>
        </w:rPr>
      </w:pPr>
      <m:oMath>
        <m:sSubSup>
          <m:sSubSupPr>
            <m:ctrlPr>
              <w:rPr>
                <w:rFonts w:ascii="Cambria Math" w:hAnsi="Cambria Math"/>
                <w:i/>
                <w:noProof/>
              </w:rPr>
            </m:ctrlPr>
          </m:sSubSupPr>
          <m:e>
            <m:r>
              <w:rPr>
                <w:rFonts w:ascii="Cambria Math" w:hAnsi="Cambria Math"/>
                <w:noProof/>
              </w:rPr>
              <m:t>S</m:t>
            </m:r>
          </m:e>
          <m:sub>
            <m:sSub>
              <m:sSubPr>
                <m:ctrlPr>
                  <w:rPr>
                    <w:rFonts w:ascii="Cambria Math" w:hAnsi="Cambria Math"/>
                    <w:i/>
                    <w:noProof/>
                  </w:rPr>
                </m:ctrlPr>
              </m:sSubPr>
              <m:e>
                <m:r>
                  <w:rPr>
                    <w:rFonts w:ascii="Cambria Math" w:hAnsi="Cambria Math"/>
                    <w:noProof/>
                  </w:rPr>
                  <m:t>rcs</m:t>
                </m:r>
              </m:e>
              <m:sub>
                <m:r>
                  <w:rPr>
                    <w:rFonts w:ascii="Cambria Math" w:hAnsi="Cambria Math"/>
                    <w:noProof/>
                  </w:rPr>
                  <m:t>kt</m:t>
                </m:r>
              </m:sub>
            </m:sSub>
          </m:sub>
          <m:sup>
            <m:sSub>
              <m:sSubPr>
                <m:ctrlPr>
                  <w:rPr>
                    <w:rFonts w:ascii="Cambria Math" w:hAnsi="Cambria Math"/>
                    <w:i/>
                    <w:noProof/>
                  </w:rPr>
                </m:ctrlPr>
              </m:sSubPr>
              <m:e>
                <m:r>
                  <w:rPr>
                    <w:rFonts w:ascii="Cambria Math" w:hAnsi="Cambria Math"/>
                    <w:noProof/>
                  </w:rPr>
                  <m:t>hedge</m:t>
                </m:r>
              </m:e>
              <m:sub>
                <m:r>
                  <w:rPr>
                    <w:rFonts w:ascii="Cambria Math" w:hAnsi="Cambria Math"/>
                    <w:noProof/>
                  </w:rPr>
                  <m:t>i</m:t>
                </m:r>
              </m:sub>
            </m:sSub>
          </m:sup>
        </m:sSubSup>
      </m:oMath>
      <w:r w:rsidR="00DE1B1D" w:rsidRPr="004F01E9">
        <w:rPr>
          <w:noProof/>
        </w:rPr>
        <w:tab/>
        <w:t>= citlivosti prípustného hedžingu</w:t>
      </w:r>
      <w:r w:rsidR="004F01E9">
        <w:rPr>
          <w:noProof/>
        </w:rPr>
        <w:t xml:space="preserve"> i </w:t>
      </w:r>
      <w:r w:rsidR="00DE1B1D" w:rsidRPr="004F01E9">
        <w:rPr>
          <w:noProof/>
        </w:rPr>
        <w:t>na faktor rizika sadzby referenčného kreditného rozpätia;</w:t>
      </w:r>
    </w:p>
    <w:p w14:paraId="29FEA665" w14:textId="59E2B47F" w:rsidR="004009AD" w:rsidRPr="004F01E9" w:rsidRDefault="00EE12EE" w:rsidP="00C87D28">
      <w:pPr>
        <w:pStyle w:val="Text1"/>
        <w:tabs>
          <w:tab w:val="left" w:pos="1843"/>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00DE1B1D" w:rsidRPr="004F01E9">
        <w:rPr>
          <w:noProof/>
        </w:rPr>
        <w:tab/>
        <w:t>= funkcia oceňovania prípustného hedžingu i;</w:t>
      </w:r>
    </w:p>
    <w:p w14:paraId="294230C2" w14:textId="625BFFA0" w:rsidR="004009AD" w:rsidRPr="004F01E9" w:rsidRDefault="004009AD" w:rsidP="00C87D28">
      <w:pPr>
        <w:pStyle w:val="Text1"/>
        <w:tabs>
          <w:tab w:val="left" w:pos="1843"/>
        </w:tabs>
        <w:rPr>
          <w:noProof/>
        </w:rPr>
      </w:pPr>
      <m:oMath>
        <m:r>
          <w:rPr>
            <w:rFonts w:ascii="Cambria Math" w:hAnsi="Cambria Math"/>
            <w:noProof/>
          </w:rPr>
          <m:t>w,z</m:t>
        </m:r>
      </m:oMath>
      <w:r w:rsidRPr="004F01E9">
        <w:rPr>
          <w:noProof/>
        </w:rPr>
        <w:tab/>
        <w:t xml:space="preserve">= iné faktory rizika než </w:t>
      </w:r>
      <m:oMath>
        <m:sSub>
          <m:sSubPr>
            <m:ctrlPr>
              <w:rPr>
                <w:rFonts w:ascii="Cambria Math" w:hAnsi="Cambria Math"/>
                <w:i/>
                <w:noProof/>
              </w:rPr>
            </m:ctrlPr>
          </m:sSubPr>
          <m:e>
            <m:r>
              <w:rPr>
                <w:rFonts w:ascii="Cambria Math" w:hAnsi="Cambria Math"/>
                <w:noProof/>
              </w:rPr>
              <m:t>ccs</m:t>
            </m:r>
          </m:e>
          <m:sub>
            <m:r>
              <w:rPr>
                <w:rFonts w:ascii="Cambria Math" w:hAnsi="Cambria Math"/>
                <w:noProof/>
              </w:rPr>
              <m:t>kt</m:t>
            </m:r>
          </m:sub>
        </m:sSub>
      </m:oMath>
      <w:r w:rsidRPr="004F01E9">
        <w:rPr>
          <w:noProof/>
        </w:rPr>
        <w:t xml:space="preserve"> vo funkcii oceňovania </w:t>
      </w: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Pr="004F01E9">
        <w:rPr>
          <w:noProof/>
        </w:rPr>
        <w:t>.</w:t>
      </w:r>
    </w:p>
    <w:p w14:paraId="6B554190" w14:textId="77777777" w:rsidR="004009AD" w:rsidRPr="004F01E9" w:rsidRDefault="004009AD" w:rsidP="004009AD">
      <w:pPr>
        <w:pStyle w:val="Text1"/>
        <w:rPr>
          <w:noProof/>
        </w:rPr>
      </w:pPr>
      <w:r w:rsidRPr="004F01E9">
        <w:rPr>
          <w:noProof/>
        </w:rPr>
        <w:t>5. Inštitúcie vypočítavajú citlivosti delta súhrnnej úpravy ocenenia pohľadávok na faktory rizika pozostávajúce zo spotových cien akcie, ako aj nástroja prípustného hedžingu voči uvedeným faktorom rizika takto:</w:t>
      </w:r>
    </w:p>
    <w:p w14:paraId="40C12F44" w14:textId="77777777" w:rsidR="004009AD" w:rsidRPr="004F01E9" w:rsidRDefault="00EE12EE"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r>
                <w:rPr>
                  <w:rFonts w:ascii="Cambria Math" w:hAnsi="Cambria Math"/>
                  <w:noProof/>
                </w:rPr>
                <m:t>EQ</m:t>
              </m:r>
            </m:sub>
            <m:sup>
              <m:r>
                <w:rPr>
                  <w:rFonts w:ascii="Cambria Math" w:hAnsi="Cambria Math"/>
                  <w:noProof/>
                </w:rPr>
                <m:t>CVA</m:t>
              </m:r>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r>
                    <w:rPr>
                      <w:rFonts w:ascii="Cambria Math" w:hAnsi="Cambria Math"/>
                      <w:noProof/>
                    </w:rPr>
                    <m:t>EQ</m:t>
                  </m:r>
                  <m:r>
                    <m:rPr>
                      <m:sty m:val="p"/>
                    </m:rPr>
                    <w:rPr>
                      <w:rFonts w:ascii="Cambria Math" w:hAnsi="Cambria Math"/>
                      <w:noProof/>
                    </w:rPr>
                    <m:t>+0.01,</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 xml:space="preserve">… </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r>
                    <w:rPr>
                      <w:rFonts w:ascii="Cambria Math" w:hAnsi="Cambria Math"/>
                      <w:noProof/>
                    </w:rPr>
                    <m:t>EQ</m:t>
                  </m:r>
                  <m:r>
                    <m:rPr>
                      <m:sty m:val="p"/>
                    </m:rPr>
                    <w:rPr>
                      <w:rFonts w:ascii="Cambria Math" w:hAnsi="Cambria Math"/>
                      <w:noProof/>
                    </w:rPr>
                    <m:t xml:space="preserve">, </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m:t>
                  </m:r>
                </m:e>
              </m:d>
            </m:num>
            <m:den>
              <m:r>
                <m:rPr>
                  <m:sty m:val="p"/>
                </m:rPr>
                <w:rPr>
                  <w:rFonts w:ascii="Cambria Math" w:hAnsi="Cambria Math"/>
                  <w:noProof/>
                </w:rPr>
                <m:t>0.01</m:t>
              </m:r>
            </m:den>
          </m:f>
        </m:oMath>
      </m:oMathPara>
    </w:p>
    <w:p w14:paraId="4E3F2A94" w14:textId="77777777" w:rsidR="004009AD" w:rsidRPr="004F01E9" w:rsidRDefault="00EE12EE"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r>
                <w:rPr>
                  <w:rFonts w:ascii="Cambria Math" w:hAnsi="Cambria Math"/>
                  <w:noProof/>
                </w:rPr>
                <m:t>EQ</m:t>
              </m:r>
            </m:sub>
            <m:sup>
              <m:sSub>
                <m:sSubPr>
                  <m:ctrlPr>
                    <w:rPr>
                      <w:rFonts w:ascii="Cambria Math" w:hAnsi="Cambria Math"/>
                      <w:noProof/>
                    </w:rPr>
                  </m:ctrlPr>
                </m:sSubPr>
                <m:e>
                  <m:r>
                    <w:rPr>
                      <w:rFonts w:ascii="Cambria Math" w:hAnsi="Cambria Math"/>
                      <w:noProof/>
                    </w:rPr>
                    <m:t>hedge</m:t>
                  </m:r>
                </m:e>
                <m:sub>
                  <m:r>
                    <w:rPr>
                      <w:rFonts w:ascii="Cambria Math" w:hAnsi="Cambria Math"/>
                      <w:noProof/>
                    </w:rPr>
                    <m:t>i</m:t>
                  </m:r>
                </m:sub>
              </m:sSub>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r>
                    <w:rPr>
                      <w:rFonts w:ascii="Cambria Math" w:hAnsi="Cambria Math"/>
                      <w:noProof/>
                    </w:rPr>
                    <m:t>EQ</m:t>
                  </m:r>
                  <m:r>
                    <m:rPr>
                      <m:sty m:val="p"/>
                    </m:rPr>
                    <w:rPr>
                      <w:rFonts w:ascii="Cambria Math" w:hAnsi="Cambria Math"/>
                      <w:noProof/>
                    </w:rPr>
                    <m:t>+0.01,</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 xml:space="preserve">… </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r>
                    <w:rPr>
                      <w:rFonts w:ascii="Cambria Math" w:hAnsi="Cambria Math"/>
                      <w:noProof/>
                    </w:rPr>
                    <m:t>EQ</m:t>
                  </m:r>
                  <m:r>
                    <m:rPr>
                      <m:sty m:val="p"/>
                    </m:rPr>
                    <w:rPr>
                      <w:rFonts w:ascii="Cambria Math" w:hAnsi="Cambria Math"/>
                      <w:noProof/>
                    </w:rPr>
                    <m:t xml:space="preserve">, </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m:t>
                  </m:r>
                </m:e>
              </m:d>
            </m:num>
            <m:den>
              <m:r>
                <m:rPr>
                  <m:sty m:val="p"/>
                </m:rPr>
                <w:rPr>
                  <w:rFonts w:ascii="Cambria Math" w:hAnsi="Cambria Math"/>
                  <w:noProof/>
                </w:rPr>
                <m:t>0.01</m:t>
              </m:r>
            </m:den>
          </m:f>
        </m:oMath>
      </m:oMathPara>
    </w:p>
    <w:p w14:paraId="685158AA" w14:textId="2D98451C" w:rsidR="004009AD" w:rsidRPr="004F01E9" w:rsidRDefault="004009AD" w:rsidP="004009AD">
      <w:pPr>
        <w:pStyle w:val="Text1"/>
        <w:rPr>
          <w:noProof/>
        </w:rPr>
      </w:pPr>
      <w:r w:rsidRPr="004F01E9">
        <w:rPr>
          <w:noProof/>
        </w:rPr>
        <w:t>kde:</w:t>
      </w:r>
    </w:p>
    <w:p w14:paraId="13C356FD" w14:textId="2124E589" w:rsidR="004009AD" w:rsidRPr="004F01E9" w:rsidRDefault="00EE12EE" w:rsidP="00F67C98">
      <w:pPr>
        <w:pStyle w:val="Text1"/>
        <w:tabs>
          <w:tab w:val="left" w:pos="1843"/>
        </w:tabs>
        <w:rPr>
          <w:noProof/>
        </w:rPr>
      </w:pPr>
      <m:oMath>
        <m:sSubSup>
          <m:sSubSupPr>
            <m:ctrlPr>
              <w:rPr>
                <w:rFonts w:ascii="Cambria Math" w:hAnsi="Cambria Math"/>
                <w:i/>
                <w:noProof/>
              </w:rPr>
            </m:ctrlPr>
          </m:sSubSupPr>
          <m:e>
            <m:r>
              <w:rPr>
                <w:rFonts w:ascii="Cambria Math" w:hAnsi="Cambria Math"/>
                <w:noProof/>
              </w:rPr>
              <m:t>S</m:t>
            </m:r>
          </m:e>
          <m:sub>
            <m:r>
              <w:rPr>
                <w:rFonts w:ascii="Cambria Math" w:hAnsi="Cambria Math"/>
                <w:noProof/>
              </w:rPr>
              <m:t>EQ</m:t>
            </m:r>
          </m:sub>
          <m:sup>
            <m:r>
              <w:rPr>
                <w:rFonts w:ascii="Cambria Math" w:hAnsi="Cambria Math"/>
                <w:noProof/>
              </w:rPr>
              <m:t>CVA</m:t>
            </m:r>
          </m:sup>
        </m:sSubSup>
      </m:oMath>
      <w:r w:rsidR="00DE1B1D" w:rsidRPr="004F01E9">
        <w:rPr>
          <w:noProof/>
        </w:rPr>
        <w:tab/>
        <w:t>= citlivosti súhrnnej úpravy ocenenia pohľadávok na faktor rizika spotovej ceny akcie;</w:t>
      </w:r>
    </w:p>
    <w:p w14:paraId="47ECEA99" w14:textId="1C0A9F65" w:rsidR="004009AD" w:rsidRPr="004F01E9" w:rsidRDefault="004009AD" w:rsidP="00F67C98">
      <w:pPr>
        <w:pStyle w:val="Text1"/>
        <w:tabs>
          <w:tab w:val="left" w:pos="1843"/>
        </w:tabs>
        <w:rPr>
          <w:noProof/>
        </w:rPr>
      </w:pPr>
      <m:oMath>
        <m:r>
          <w:rPr>
            <w:rFonts w:ascii="Cambria Math" w:hAnsi="Cambria Math"/>
            <w:noProof/>
          </w:rPr>
          <m:t>EQ</m:t>
        </m:r>
      </m:oMath>
      <w:r w:rsidRPr="004F01E9">
        <w:rPr>
          <w:noProof/>
        </w:rPr>
        <w:tab/>
        <w:t>= hodnota spotovej ceny akcie;</w:t>
      </w:r>
    </w:p>
    <w:p w14:paraId="5B81445E" w14:textId="017016A4" w:rsidR="00806B81" w:rsidRPr="004F01E9" w:rsidRDefault="00EE12EE" w:rsidP="00F67C98">
      <w:pPr>
        <w:pStyle w:val="Text1"/>
        <w:tabs>
          <w:tab w:val="left" w:pos="1843"/>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00DE1B1D" w:rsidRPr="004F01E9">
        <w:rPr>
          <w:noProof/>
        </w:rPr>
        <w:tab/>
        <w:t>= súhrnná úprava ocenenia pohľadávok vypočítaná regulačným modelom úpravy ocenenia pohľadávok;</w:t>
      </w:r>
    </w:p>
    <w:p w14:paraId="3C77DC69" w14:textId="769A1B25" w:rsidR="004009AD" w:rsidRPr="004F01E9" w:rsidRDefault="004009AD" w:rsidP="00F67C98">
      <w:pPr>
        <w:pStyle w:val="Text1"/>
        <w:tabs>
          <w:tab w:val="left" w:pos="1843"/>
        </w:tabs>
        <w:rPr>
          <w:noProof/>
        </w:rPr>
      </w:pPr>
      <m:oMath>
        <m:r>
          <w:rPr>
            <w:rFonts w:ascii="Cambria Math" w:hAnsi="Cambria Math"/>
            <w:noProof/>
          </w:rPr>
          <m:t>x,y</m:t>
        </m:r>
      </m:oMath>
      <w:r w:rsidRPr="004F01E9">
        <w:rPr>
          <w:noProof/>
        </w:rPr>
        <w:tab/>
        <w:t xml:space="preserve">= iné faktory rizika než </w:t>
      </w:r>
      <m:oMath>
        <m:r>
          <w:rPr>
            <w:rFonts w:ascii="Cambria Math" w:hAnsi="Cambria Math"/>
            <w:noProof/>
          </w:rPr>
          <m:t>EQ v </m:t>
        </m:r>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Pr="004F01E9">
        <w:rPr>
          <w:noProof/>
        </w:rPr>
        <w:t>;</w:t>
      </w:r>
    </w:p>
    <w:p w14:paraId="5D4F75B2" w14:textId="4A9AA9A1" w:rsidR="004009AD" w:rsidRPr="004F01E9" w:rsidRDefault="00EE12EE" w:rsidP="00F67C98">
      <w:pPr>
        <w:pStyle w:val="Text1"/>
        <w:tabs>
          <w:tab w:val="left" w:pos="1843"/>
        </w:tabs>
        <w:rPr>
          <w:noProof/>
        </w:rPr>
      </w:pPr>
      <m:oMath>
        <m:sSubSup>
          <m:sSubSupPr>
            <m:ctrlPr>
              <w:rPr>
                <w:rFonts w:ascii="Cambria Math" w:hAnsi="Cambria Math"/>
                <w:i/>
                <w:noProof/>
              </w:rPr>
            </m:ctrlPr>
          </m:sSubSupPr>
          <m:e>
            <m:r>
              <w:rPr>
                <w:rFonts w:ascii="Cambria Math" w:hAnsi="Cambria Math"/>
                <w:noProof/>
              </w:rPr>
              <m:t>S</m:t>
            </m:r>
          </m:e>
          <m:sub>
            <m:r>
              <w:rPr>
                <w:rFonts w:ascii="Cambria Math" w:hAnsi="Cambria Math"/>
                <w:noProof/>
              </w:rPr>
              <m:t>EQ</m:t>
            </m:r>
          </m:sub>
          <m:sup>
            <m:sSub>
              <m:sSubPr>
                <m:ctrlPr>
                  <w:rPr>
                    <w:rFonts w:ascii="Cambria Math" w:hAnsi="Cambria Math"/>
                    <w:i/>
                    <w:noProof/>
                  </w:rPr>
                </m:ctrlPr>
              </m:sSubPr>
              <m:e>
                <m:r>
                  <w:rPr>
                    <w:rFonts w:ascii="Cambria Math" w:hAnsi="Cambria Math"/>
                    <w:noProof/>
                  </w:rPr>
                  <m:t>hedge</m:t>
                </m:r>
              </m:e>
              <m:sub>
                <m:r>
                  <w:rPr>
                    <w:rFonts w:ascii="Cambria Math" w:hAnsi="Cambria Math"/>
                    <w:noProof/>
                  </w:rPr>
                  <m:t>i</m:t>
                </m:r>
              </m:sub>
            </m:sSub>
          </m:sup>
        </m:sSubSup>
      </m:oMath>
      <w:r w:rsidR="00DE1B1D" w:rsidRPr="004F01E9">
        <w:rPr>
          <w:noProof/>
        </w:rPr>
        <w:tab/>
        <w:t>= citlivosti prípustného hedžingu</w:t>
      </w:r>
      <w:r w:rsidR="004F01E9">
        <w:rPr>
          <w:noProof/>
        </w:rPr>
        <w:t xml:space="preserve"> i </w:t>
      </w:r>
      <w:r w:rsidR="00DE1B1D" w:rsidRPr="004F01E9">
        <w:rPr>
          <w:noProof/>
        </w:rPr>
        <w:t>na faktor rizika spotovej ceny akcie;</w:t>
      </w:r>
    </w:p>
    <w:p w14:paraId="4C63076D" w14:textId="2AAB4687" w:rsidR="004009AD" w:rsidRPr="004F01E9" w:rsidRDefault="00EE12EE" w:rsidP="00F67C98">
      <w:pPr>
        <w:pStyle w:val="Text1"/>
        <w:tabs>
          <w:tab w:val="left" w:pos="1843"/>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00DE1B1D" w:rsidRPr="004F01E9">
        <w:rPr>
          <w:noProof/>
        </w:rPr>
        <w:tab/>
        <w:t>= funkcia oceňovania prípustného hedžingu i;</w:t>
      </w:r>
    </w:p>
    <w:p w14:paraId="0E20D1AB" w14:textId="6A40D0BC" w:rsidR="004009AD" w:rsidRPr="004F01E9" w:rsidRDefault="004009AD" w:rsidP="00F67C98">
      <w:pPr>
        <w:pStyle w:val="Text1"/>
        <w:tabs>
          <w:tab w:val="left" w:pos="1843"/>
        </w:tabs>
        <w:rPr>
          <w:noProof/>
        </w:rPr>
      </w:pPr>
      <m:oMath>
        <m:r>
          <w:rPr>
            <w:rFonts w:ascii="Cambria Math" w:hAnsi="Cambria Math"/>
            <w:noProof/>
          </w:rPr>
          <m:t>w,z</m:t>
        </m:r>
      </m:oMath>
      <w:r w:rsidRPr="004F01E9">
        <w:rPr>
          <w:noProof/>
        </w:rPr>
        <w:tab/>
        <w:t xml:space="preserve">= iné faktory rizika než </w:t>
      </w:r>
      <m:oMath>
        <m:r>
          <w:rPr>
            <w:rFonts w:ascii="Cambria Math" w:hAnsi="Cambria Math"/>
            <w:noProof/>
          </w:rPr>
          <m:t xml:space="preserve">EQ </m:t>
        </m:r>
      </m:oMath>
      <w:r w:rsidRPr="004F01E9">
        <w:rPr>
          <w:noProof/>
        </w:rPr>
        <w:t xml:space="preserve">vo funkcii oceňovania </w:t>
      </w: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Pr="004F01E9">
        <w:rPr>
          <w:noProof/>
        </w:rPr>
        <w:t>.</w:t>
      </w:r>
    </w:p>
    <w:p w14:paraId="1C184445" w14:textId="77777777" w:rsidR="004009AD" w:rsidRPr="004F01E9" w:rsidRDefault="004009AD" w:rsidP="004009AD">
      <w:pPr>
        <w:pStyle w:val="Text1"/>
        <w:rPr>
          <w:noProof/>
        </w:rPr>
      </w:pPr>
      <w:r w:rsidRPr="004F01E9">
        <w:rPr>
          <w:noProof/>
        </w:rPr>
        <w:t>6. Inštitúcie vypočítavajú citlivosti delta súhrnnej úpravy ocenenia pohľadávok na faktory rizika pozostávajúce zo spotových cien komodít, ako aj nástroja prípustného hedžingu voči uvedeným faktorom rizika takto:</w:t>
      </w:r>
    </w:p>
    <w:p w14:paraId="69FFD8EA" w14:textId="77777777" w:rsidR="004009AD" w:rsidRPr="004F01E9" w:rsidRDefault="00EE12EE"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r>
                <w:rPr>
                  <w:rFonts w:ascii="Cambria Math" w:hAnsi="Cambria Math"/>
                  <w:noProof/>
                </w:rPr>
                <m:t>CTY</m:t>
              </m:r>
            </m:sub>
            <m:sup>
              <m:r>
                <w:rPr>
                  <w:rFonts w:ascii="Cambria Math" w:hAnsi="Cambria Math"/>
                  <w:noProof/>
                </w:rPr>
                <m:t>CVA</m:t>
              </m:r>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r>
                    <m:rPr>
                      <m:sty m:val="p"/>
                    </m:rPr>
                    <w:rPr>
                      <w:rFonts w:ascii="Cambria Math" w:hAnsi="Cambria Math"/>
                      <w:noProof/>
                    </w:rPr>
                    <m:t>1.01</m:t>
                  </m:r>
                  <m:r>
                    <w:rPr>
                      <w:rFonts w:ascii="Cambria Math" w:hAnsi="Cambria Math"/>
                      <w:noProof/>
                    </w:rPr>
                    <m:t>CTY</m:t>
                  </m:r>
                  <m:r>
                    <m:rPr>
                      <m:sty m:val="p"/>
                    </m:rPr>
                    <w:rPr>
                      <w:rFonts w:ascii="Cambria Math" w:hAnsi="Cambria Math"/>
                      <w:noProof/>
                    </w:rPr>
                    <m:t>,</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 xml:space="preserve">… </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r>
                    <w:rPr>
                      <w:rFonts w:ascii="Cambria Math" w:hAnsi="Cambria Math"/>
                      <w:noProof/>
                    </w:rPr>
                    <m:t>CTY</m:t>
                  </m:r>
                  <m:r>
                    <m:rPr>
                      <m:sty m:val="p"/>
                    </m:rPr>
                    <w:rPr>
                      <w:rFonts w:ascii="Cambria Math" w:hAnsi="Cambria Math"/>
                      <w:noProof/>
                    </w:rPr>
                    <m:t xml:space="preserve">, </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m:t>
                  </m:r>
                </m:e>
              </m:d>
            </m:num>
            <m:den>
              <m:r>
                <m:rPr>
                  <m:sty m:val="p"/>
                </m:rPr>
                <w:rPr>
                  <w:rFonts w:ascii="Cambria Math" w:hAnsi="Cambria Math"/>
                  <w:noProof/>
                </w:rPr>
                <m:t>0.01</m:t>
              </m:r>
            </m:den>
          </m:f>
        </m:oMath>
      </m:oMathPara>
    </w:p>
    <w:p w14:paraId="17317EA6" w14:textId="77777777" w:rsidR="004009AD" w:rsidRPr="004F01E9" w:rsidRDefault="00EE12EE"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r>
                <w:rPr>
                  <w:rFonts w:ascii="Cambria Math" w:hAnsi="Cambria Math"/>
                  <w:noProof/>
                </w:rPr>
                <m:t>CTY</m:t>
              </m:r>
            </m:sub>
            <m:sup>
              <m:sSub>
                <m:sSubPr>
                  <m:ctrlPr>
                    <w:rPr>
                      <w:rFonts w:ascii="Cambria Math" w:hAnsi="Cambria Math"/>
                      <w:noProof/>
                    </w:rPr>
                  </m:ctrlPr>
                </m:sSubPr>
                <m:e>
                  <m:r>
                    <w:rPr>
                      <w:rFonts w:ascii="Cambria Math" w:hAnsi="Cambria Math"/>
                      <w:noProof/>
                    </w:rPr>
                    <m:t>hedge</m:t>
                  </m:r>
                </m:e>
                <m:sub>
                  <m:r>
                    <w:rPr>
                      <w:rFonts w:ascii="Cambria Math" w:hAnsi="Cambria Math"/>
                      <w:noProof/>
                    </w:rPr>
                    <m:t>i</m:t>
                  </m:r>
                </m:sub>
              </m:sSub>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r>
                    <m:rPr>
                      <m:sty m:val="p"/>
                    </m:rPr>
                    <w:rPr>
                      <w:rFonts w:ascii="Cambria Math" w:hAnsi="Cambria Math"/>
                      <w:noProof/>
                    </w:rPr>
                    <m:t>1.01</m:t>
                  </m:r>
                  <m:r>
                    <w:rPr>
                      <w:rFonts w:ascii="Cambria Math" w:hAnsi="Cambria Math"/>
                      <w:noProof/>
                    </w:rPr>
                    <m:t>CTY</m:t>
                  </m:r>
                  <m:r>
                    <m:rPr>
                      <m:sty m:val="p"/>
                    </m:rPr>
                    <w:rPr>
                      <w:rFonts w:ascii="Cambria Math" w:hAnsi="Cambria Math"/>
                      <w:noProof/>
                    </w:rPr>
                    <m:t>,</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 xml:space="preserve">… </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r>
                    <w:rPr>
                      <w:rFonts w:ascii="Cambria Math" w:hAnsi="Cambria Math"/>
                      <w:noProof/>
                    </w:rPr>
                    <m:t>CTY</m:t>
                  </m:r>
                  <m:r>
                    <m:rPr>
                      <m:sty m:val="p"/>
                    </m:rPr>
                    <w:rPr>
                      <w:rFonts w:ascii="Cambria Math" w:hAnsi="Cambria Math"/>
                      <w:noProof/>
                    </w:rPr>
                    <m:t xml:space="preserve">, </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m:t>
                  </m:r>
                </m:e>
              </m:d>
            </m:num>
            <m:den>
              <m:r>
                <m:rPr>
                  <m:sty m:val="p"/>
                </m:rPr>
                <w:rPr>
                  <w:rFonts w:ascii="Cambria Math" w:hAnsi="Cambria Math"/>
                  <w:noProof/>
                </w:rPr>
                <m:t>0.01</m:t>
              </m:r>
            </m:den>
          </m:f>
        </m:oMath>
      </m:oMathPara>
    </w:p>
    <w:p w14:paraId="60D46086" w14:textId="23AA91BA" w:rsidR="004009AD" w:rsidRPr="004F01E9" w:rsidRDefault="004009AD" w:rsidP="004009AD">
      <w:pPr>
        <w:pStyle w:val="Text1"/>
        <w:rPr>
          <w:noProof/>
        </w:rPr>
      </w:pPr>
      <w:r w:rsidRPr="004F01E9">
        <w:rPr>
          <w:noProof/>
        </w:rPr>
        <w:t>kde:</w:t>
      </w:r>
    </w:p>
    <w:p w14:paraId="4E87D3B0" w14:textId="058ED68E" w:rsidR="004009AD" w:rsidRPr="004F01E9" w:rsidRDefault="00EE12EE" w:rsidP="00F67C98">
      <w:pPr>
        <w:pStyle w:val="Text1"/>
        <w:tabs>
          <w:tab w:val="left" w:pos="1806"/>
        </w:tabs>
        <w:rPr>
          <w:noProof/>
        </w:rPr>
      </w:pPr>
      <m:oMath>
        <m:sSubSup>
          <m:sSubSupPr>
            <m:ctrlPr>
              <w:rPr>
                <w:rFonts w:ascii="Cambria Math" w:hAnsi="Cambria Math"/>
                <w:i/>
                <w:noProof/>
              </w:rPr>
            </m:ctrlPr>
          </m:sSubSupPr>
          <m:e>
            <m:r>
              <w:rPr>
                <w:rFonts w:ascii="Cambria Math" w:hAnsi="Cambria Math"/>
                <w:noProof/>
              </w:rPr>
              <m:t>S</m:t>
            </m:r>
          </m:e>
          <m:sub>
            <m:r>
              <w:rPr>
                <w:rFonts w:ascii="Cambria Math" w:hAnsi="Cambria Math"/>
                <w:noProof/>
              </w:rPr>
              <m:t>CTY</m:t>
            </m:r>
          </m:sub>
          <m:sup>
            <m:r>
              <w:rPr>
                <w:rFonts w:ascii="Cambria Math" w:hAnsi="Cambria Math"/>
                <w:noProof/>
              </w:rPr>
              <m:t>CVA</m:t>
            </m:r>
          </m:sup>
        </m:sSubSup>
      </m:oMath>
      <w:r w:rsidR="00DE1B1D" w:rsidRPr="004F01E9">
        <w:rPr>
          <w:noProof/>
        </w:rPr>
        <w:tab/>
        <w:t>= citlivosti súhrnnej úpravy ocenenia pohľadávok na faktor rizika spotovej ceny komodity;</w:t>
      </w:r>
    </w:p>
    <w:p w14:paraId="4BD0ED10" w14:textId="1D2E3FBE" w:rsidR="004009AD" w:rsidRPr="004F01E9" w:rsidRDefault="004009AD" w:rsidP="00F67C98">
      <w:pPr>
        <w:pStyle w:val="Text1"/>
        <w:tabs>
          <w:tab w:val="left" w:pos="1806"/>
        </w:tabs>
        <w:rPr>
          <w:noProof/>
        </w:rPr>
      </w:pPr>
      <m:oMath>
        <m:r>
          <w:rPr>
            <w:rFonts w:ascii="Cambria Math" w:hAnsi="Cambria Math"/>
            <w:noProof/>
          </w:rPr>
          <m:t>CTY</m:t>
        </m:r>
      </m:oMath>
      <w:r w:rsidRPr="004F01E9">
        <w:rPr>
          <w:noProof/>
        </w:rPr>
        <w:tab/>
        <w:t>= hodnota spotovej ceny komodity;</w:t>
      </w:r>
    </w:p>
    <w:p w14:paraId="29236EC2" w14:textId="6315F526" w:rsidR="004009AD" w:rsidRPr="004F01E9" w:rsidRDefault="00EE12EE" w:rsidP="00F67C98">
      <w:pPr>
        <w:pStyle w:val="Text1"/>
        <w:tabs>
          <w:tab w:val="left" w:pos="1806"/>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00DE1B1D" w:rsidRPr="004F01E9">
        <w:rPr>
          <w:noProof/>
        </w:rPr>
        <w:tab/>
        <w:t>= súhrnná úprava ocenenia pohľadávok vypočítaná regulačným modelom úpravy ocenenia pohľadávok;</w:t>
      </w:r>
    </w:p>
    <w:p w14:paraId="4F5CCA30" w14:textId="377022DD" w:rsidR="004009AD" w:rsidRPr="004F01E9" w:rsidRDefault="004009AD" w:rsidP="00F67C98">
      <w:pPr>
        <w:pStyle w:val="Text1"/>
        <w:tabs>
          <w:tab w:val="left" w:pos="1806"/>
        </w:tabs>
        <w:rPr>
          <w:noProof/>
        </w:rPr>
      </w:pPr>
      <m:oMath>
        <m:r>
          <w:rPr>
            <w:rFonts w:ascii="Cambria Math" w:hAnsi="Cambria Math"/>
            <w:noProof/>
          </w:rPr>
          <m:t>x,y</m:t>
        </m:r>
      </m:oMath>
      <w:r w:rsidRPr="004F01E9">
        <w:rPr>
          <w:noProof/>
        </w:rPr>
        <w:tab/>
        <w:t xml:space="preserve">= iné faktory rizika než </w:t>
      </w:r>
      <m:oMath>
        <m:r>
          <w:rPr>
            <w:rFonts w:ascii="Cambria Math" w:hAnsi="Cambria Math"/>
            <w:noProof/>
          </w:rPr>
          <m:t>CTY v </m:t>
        </m:r>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Pr="004F01E9">
        <w:rPr>
          <w:noProof/>
        </w:rPr>
        <w:t>;</w:t>
      </w:r>
    </w:p>
    <w:p w14:paraId="35C578BE" w14:textId="4EE8FEE7" w:rsidR="004009AD" w:rsidRPr="004F01E9" w:rsidRDefault="00EE12EE" w:rsidP="00F67C98">
      <w:pPr>
        <w:pStyle w:val="Text1"/>
        <w:tabs>
          <w:tab w:val="left" w:pos="1806"/>
        </w:tabs>
        <w:rPr>
          <w:noProof/>
        </w:rPr>
      </w:pPr>
      <m:oMath>
        <m:sSubSup>
          <m:sSubSupPr>
            <m:ctrlPr>
              <w:rPr>
                <w:rFonts w:ascii="Cambria Math" w:hAnsi="Cambria Math"/>
                <w:i/>
                <w:noProof/>
              </w:rPr>
            </m:ctrlPr>
          </m:sSubSupPr>
          <m:e>
            <m:r>
              <w:rPr>
                <w:rFonts w:ascii="Cambria Math" w:hAnsi="Cambria Math"/>
                <w:noProof/>
              </w:rPr>
              <m:t>S</m:t>
            </m:r>
          </m:e>
          <m:sub>
            <m:r>
              <w:rPr>
                <w:rFonts w:ascii="Cambria Math" w:hAnsi="Cambria Math"/>
                <w:noProof/>
              </w:rPr>
              <m:t>CTY</m:t>
            </m:r>
          </m:sub>
          <m:sup>
            <m:sSub>
              <m:sSubPr>
                <m:ctrlPr>
                  <w:rPr>
                    <w:rFonts w:ascii="Cambria Math" w:hAnsi="Cambria Math"/>
                    <w:i/>
                    <w:noProof/>
                  </w:rPr>
                </m:ctrlPr>
              </m:sSubPr>
              <m:e>
                <m:r>
                  <w:rPr>
                    <w:rFonts w:ascii="Cambria Math" w:hAnsi="Cambria Math"/>
                    <w:noProof/>
                  </w:rPr>
                  <m:t>hedge</m:t>
                </m:r>
              </m:e>
              <m:sub>
                <m:r>
                  <w:rPr>
                    <w:rFonts w:ascii="Cambria Math" w:hAnsi="Cambria Math"/>
                    <w:noProof/>
                  </w:rPr>
                  <m:t>i</m:t>
                </m:r>
              </m:sub>
            </m:sSub>
          </m:sup>
        </m:sSubSup>
      </m:oMath>
      <w:r w:rsidR="00DE1B1D" w:rsidRPr="004F01E9">
        <w:rPr>
          <w:noProof/>
        </w:rPr>
        <w:tab/>
        <w:t>= citlivosti prípustného hedžingu</w:t>
      </w:r>
      <w:r w:rsidR="004F01E9">
        <w:rPr>
          <w:noProof/>
        </w:rPr>
        <w:t xml:space="preserve"> i </w:t>
      </w:r>
      <w:r w:rsidR="00DE1B1D" w:rsidRPr="004F01E9">
        <w:rPr>
          <w:noProof/>
        </w:rPr>
        <w:t>na faktor rizika spotovej ceny komodity;</w:t>
      </w:r>
    </w:p>
    <w:p w14:paraId="0CD3CB7E" w14:textId="13F1771A" w:rsidR="00806B81" w:rsidRPr="004F01E9" w:rsidRDefault="00EE12EE" w:rsidP="00F67C98">
      <w:pPr>
        <w:pStyle w:val="Text1"/>
        <w:tabs>
          <w:tab w:val="left" w:pos="1806"/>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00DE1B1D" w:rsidRPr="004F01E9">
        <w:rPr>
          <w:noProof/>
        </w:rPr>
        <w:tab/>
        <w:t>= funkcia oceňovania prípustného hedžingu i;</w:t>
      </w:r>
    </w:p>
    <w:p w14:paraId="22930DE5" w14:textId="46D06B5B" w:rsidR="004009AD" w:rsidRPr="004F01E9" w:rsidRDefault="004009AD" w:rsidP="00F67C98">
      <w:pPr>
        <w:pStyle w:val="Text1"/>
        <w:tabs>
          <w:tab w:val="left" w:pos="1806"/>
        </w:tabs>
        <w:rPr>
          <w:noProof/>
        </w:rPr>
      </w:pPr>
      <m:oMath>
        <m:r>
          <w:rPr>
            <w:rFonts w:ascii="Cambria Math" w:hAnsi="Cambria Math"/>
            <w:noProof/>
          </w:rPr>
          <m:t>w,z</m:t>
        </m:r>
      </m:oMath>
      <w:r w:rsidRPr="004F01E9">
        <w:rPr>
          <w:noProof/>
        </w:rPr>
        <w:tab/>
        <w:t xml:space="preserve">= iné faktory rizika než </w:t>
      </w:r>
      <m:oMath>
        <m:r>
          <w:rPr>
            <w:rFonts w:ascii="Cambria Math" w:hAnsi="Cambria Math"/>
            <w:noProof/>
          </w:rPr>
          <m:t xml:space="preserve">CTY </m:t>
        </m:r>
      </m:oMath>
      <w:r w:rsidRPr="004F01E9">
        <w:rPr>
          <w:noProof/>
        </w:rPr>
        <w:t xml:space="preserve">vo funkcii oceňovania </w:t>
      </w: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Pr="004F01E9">
        <w:rPr>
          <w:noProof/>
        </w:rPr>
        <w:t>.</w:t>
      </w:r>
    </w:p>
    <w:p w14:paraId="7E88C528" w14:textId="77777777" w:rsidR="004009AD" w:rsidRPr="004F01E9" w:rsidRDefault="004009AD" w:rsidP="004009AD">
      <w:pPr>
        <w:pStyle w:val="Titrearticle"/>
        <w:rPr>
          <w:noProof/>
        </w:rPr>
      </w:pPr>
      <w:r w:rsidRPr="004F01E9">
        <w:rPr>
          <w:noProof/>
        </w:rPr>
        <w:t xml:space="preserve">Článok 383j </w:t>
      </w:r>
      <w:r w:rsidRPr="004F01E9">
        <w:rPr>
          <w:noProof/>
        </w:rPr>
        <w:br/>
      </w:r>
      <w:r w:rsidRPr="004F01E9">
        <w:rPr>
          <w:b/>
          <w:i w:val="0"/>
          <w:noProof/>
        </w:rPr>
        <w:t>Citlivosti na riziko vega</w:t>
      </w:r>
    </w:p>
    <w:p w14:paraId="60008DDC" w14:textId="5C66AA4B" w:rsidR="004009AD" w:rsidRPr="004F01E9" w:rsidRDefault="004009AD" w:rsidP="004009AD">
      <w:pPr>
        <w:pStyle w:val="Text1"/>
        <w:rPr>
          <w:noProof/>
        </w:rPr>
      </w:pPr>
      <w:r w:rsidRPr="004F01E9">
        <w:rPr>
          <w:noProof/>
        </w:rPr>
        <w:t>Inštitúcie vypočítavajú citlivosti vega súhrnnej úpravy ocenenia pohľadávok na faktory rizika pozostávajúce</w:t>
      </w:r>
      <w:r w:rsidR="004F01E9">
        <w:rPr>
          <w:noProof/>
        </w:rPr>
        <w:t xml:space="preserve"> z </w:t>
      </w:r>
      <w:r w:rsidRPr="004F01E9">
        <w:rPr>
          <w:noProof/>
        </w:rPr>
        <w:t>implikovanej volatility, ako aj nástroja prípustného hedžingu voči uvedeným faktorom rizika takto:</w:t>
      </w:r>
    </w:p>
    <w:p w14:paraId="104F145B" w14:textId="77777777" w:rsidR="004009AD" w:rsidRPr="004F01E9" w:rsidRDefault="00EE12EE"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sSub>
                <m:sSubPr>
                  <m:ctrlPr>
                    <w:rPr>
                      <w:rFonts w:ascii="Cambria Math" w:hAnsi="Cambria Math"/>
                      <w:noProof/>
                    </w:rPr>
                  </m:ctrlPr>
                </m:sSubPr>
                <m:e>
                  <m:r>
                    <w:rPr>
                      <w:rFonts w:ascii="Cambria Math" w:hAnsi="Cambria Math"/>
                      <w:noProof/>
                    </w:rPr>
                    <m:t>vol</m:t>
                  </m:r>
                </m:e>
                <m:sub>
                  <m:r>
                    <w:rPr>
                      <w:rFonts w:ascii="Cambria Math" w:hAnsi="Cambria Math"/>
                      <w:noProof/>
                    </w:rPr>
                    <m:t>kt</m:t>
                  </m:r>
                </m:sub>
              </m:sSub>
            </m:sub>
            <m:sup>
              <m:r>
                <w:rPr>
                  <w:rFonts w:ascii="Cambria Math" w:hAnsi="Cambria Math"/>
                  <w:noProof/>
                </w:rPr>
                <m:t>CVA</m:t>
              </m:r>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vol</m:t>
                      </m:r>
                    </m:e>
                    <m:sub>
                      <m:r>
                        <w:rPr>
                          <w:rFonts w:ascii="Cambria Math" w:hAnsi="Cambria Math"/>
                          <w:noProof/>
                        </w:rPr>
                        <m:t>k</m:t>
                      </m:r>
                    </m:sub>
                  </m:sSub>
                  <m:r>
                    <m:rPr>
                      <m:sty m:val="p"/>
                    </m:rPr>
                    <w:rPr>
                      <w:rFonts w:ascii="Cambria Math" w:hAnsi="Cambria Math"/>
                      <w:noProof/>
                    </w:rPr>
                    <m:t xml:space="preserve">+0.01, </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vol</m:t>
                      </m:r>
                    </m:e>
                    <m:sub>
                      <m:r>
                        <w:rPr>
                          <w:rFonts w:ascii="Cambria Math" w:hAnsi="Cambria Math"/>
                          <w:noProof/>
                        </w:rPr>
                        <m:t>k</m:t>
                      </m:r>
                    </m:sub>
                  </m:sSub>
                  <m:r>
                    <m:rPr>
                      <m:sty m:val="p"/>
                    </m:rPr>
                    <w:rPr>
                      <w:rFonts w:ascii="Cambria Math" w:hAnsi="Cambria Math"/>
                      <w:noProof/>
                    </w:rPr>
                    <m:t xml:space="preserve">, </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m:t>
                  </m:r>
                </m:e>
              </m:d>
            </m:num>
            <m:den>
              <m:r>
                <m:rPr>
                  <m:sty m:val="p"/>
                </m:rPr>
                <w:rPr>
                  <w:rFonts w:ascii="Cambria Math" w:hAnsi="Cambria Math"/>
                  <w:noProof/>
                </w:rPr>
                <m:t>0.01</m:t>
              </m:r>
            </m:den>
          </m:f>
        </m:oMath>
      </m:oMathPara>
    </w:p>
    <w:p w14:paraId="44CC9BF5" w14:textId="77777777" w:rsidR="004009AD" w:rsidRPr="004F01E9" w:rsidRDefault="00EE12EE"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sSub>
                <m:sSubPr>
                  <m:ctrlPr>
                    <w:rPr>
                      <w:rFonts w:ascii="Cambria Math" w:hAnsi="Cambria Math"/>
                      <w:noProof/>
                    </w:rPr>
                  </m:ctrlPr>
                </m:sSubPr>
                <m:e>
                  <m:r>
                    <w:rPr>
                      <w:rFonts w:ascii="Cambria Math" w:hAnsi="Cambria Math"/>
                      <w:noProof/>
                    </w:rPr>
                    <m:t>vol</m:t>
                  </m:r>
                </m:e>
                <m:sub>
                  <m:r>
                    <w:rPr>
                      <w:rFonts w:ascii="Cambria Math" w:hAnsi="Cambria Math"/>
                      <w:noProof/>
                    </w:rPr>
                    <m:t>k</m:t>
                  </m:r>
                </m:sub>
              </m:sSub>
            </m:sub>
            <m:sup>
              <m:sSub>
                <m:sSubPr>
                  <m:ctrlPr>
                    <w:rPr>
                      <w:rFonts w:ascii="Cambria Math" w:hAnsi="Cambria Math"/>
                      <w:noProof/>
                    </w:rPr>
                  </m:ctrlPr>
                </m:sSubPr>
                <m:e>
                  <m:r>
                    <w:rPr>
                      <w:rFonts w:ascii="Cambria Math" w:hAnsi="Cambria Math"/>
                      <w:noProof/>
                    </w:rPr>
                    <m:t>hedge</m:t>
                  </m:r>
                </m:e>
                <m:sub>
                  <m:r>
                    <w:rPr>
                      <w:rFonts w:ascii="Cambria Math" w:hAnsi="Cambria Math"/>
                      <w:noProof/>
                    </w:rPr>
                    <m:t>i</m:t>
                  </m:r>
                </m:sub>
              </m:sSub>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vol</m:t>
                      </m:r>
                    </m:e>
                    <m:sub>
                      <m:r>
                        <w:rPr>
                          <w:rFonts w:ascii="Cambria Math" w:hAnsi="Cambria Math"/>
                          <w:noProof/>
                        </w:rPr>
                        <m:t>k</m:t>
                      </m:r>
                    </m:sub>
                  </m:sSub>
                  <m:r>
                    <m:rPr>
                      <m:sty m:val="p"/>
                    </m:rPr>
                    <w:rPr>
                      <w:rFonts w:ascii="Cambria Math" w:hAnsi="Cambria Math"/>
                      <w:noProof/>
                    </w:rPr>
                    <m:t xml:space="preserve">+0.01, </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vol</m:t>
                      </m:r>
                    </m:e>
                    <m:sub>
                      <m:r>
                        <w:rPr>
                          <w:rFonts w:ascii="Cambria Math" w:hAnsi="Cambria Math"/>
                          <w:noProof/>
                        </w:rPr>
                        <m:t>k</m:t>
                      </m:r>
                    </m:sub>
                  </m:sSub>
                  <m:r>
                    <m:rPr>
                      <m:sty m:val="p"/>
                    </m:rPr>
                    <w:rPr>
                      <w:rFonts w:ascii="Cambria Math" w:hAnsi="Cambria Math"/>
                      <w:noProof/>
                    </w:rPr>
                    <m:t xml:space="preserve">, </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m:t>
                  </m:r>
                </m:e>
              </m:d>
            </m:num>
            <m:den>
              <m:r>
                <m:rPr>
                  <m:sty m:val="p"/>
                </m:rPr>
                <w:rPr>
                  <w:rFonts w:ascii="Cambria Math" w:hAnsi="Cambria Math"/>
                  <w:noProof/>
                </w:rPr>
                <m:t>0.01</m:t>
              </m:r>
            </m:den>
          </m:f>
        </m:oMath>
      </m:oMathPara>
    </w:p>
    <w:p w14:paraId="7887E8FB" w14:textId="77777777" w:rsidR="004009AD" w:rsidRPr="004F01E9" w:rsidRDefault="004009AD" w:rsidP="004009AD">
      <w:pPr>
        <w:pStyle w:val="Text1"/>
        <w:rPr>
          <w:noProof/>
        </w:rPr>
      </w:pPr>
      <w:r w:rsidRPr="004F01E9">
        <w:rPr>
          <w:noProof/>
        </w:rPr>
        <w:t>kde:</w:t>
      </w:r>
    </w:p>
    <w:p w14:paraId="1101E35E" w14:textId="2D6B45D2" w:rsidR="004009AD" w:rsidRPr="004F01E9" w:rsidRDefault="00EE12EE" w:rsidP="006B7B99">
      <w:pPr>
        <w:pStyle w:val="Text1"/>
        <w:tabs>
          <w:tab w:val="left" w:pos="1843"/>
        </w:tabs>
        <w:rPr>
          <w:noProof/>
        </w:rPr>
      </w:pPr>
      <m:oMath>
        <m:sSubSup>
          <m:sSubSupPr>
            <m:ctrlPr>
              <w:rPr>
                <w:rFonts w:ascii="Cambria Math" w:hAnsi="Cambria Math"/>
                <w:i/>
                <w:noProof/>
              </w:rPr>
            </m:ctrlPr>
          </m:sSubSupPr>
          <m:e>
            <m:r>
              <w:rPr>
                <w:rFonts w:ascii="Cambria Math" w:hAnsi="Cambria Math"/>
                <w:noProof/>
              </w:rPr>
              <m:t>S</m:t>
            </m:r>
          </m:e>
          <m:sub>
            <m:sSub>
              <m:sSubPr>
                <m:ctrlPr>
                  <w:rPr>
                    <w:rFonts w:ascii="Cambria Math" w:hAnsi="Cambria Math"/>
                    <w:i/>
                    <w:noProof/>
                  </w:rPr>
                </m:ctrlPr>
              </m:sSubPr>
              <m:e>
                <m:r>
                  <w:rPr>
                    <w:rFonts w:ascii="Cambria Math" w:hAnsi="Cambria Math"/>
                    <w:noProof/>
                  </w:rPr>
                  <m:t>vol</m:t>
                </m:r>
              </m:e>
              <m:sub>
                <m:r>
                  <w:rPr>
                    <w:rFonts w:ascii="Cambria Math" w:hAnsi="Cambria Math"/>
                    <w:noProof/>
                  </w:rPr>
                  <m:t>k</m:t>
                </m:r>
              </m:sub>
            </m:sSub>
          </m:sub>
          <m:sup>
            <m:r>
              <w:rPr>
                <w:rFonts w:ascii="Cambria Math" w:hAnsi="Cambria Math"/>
                <w:noProof/>
              </w:rPr>
              <m:t>CVA</m:t>
            </m:r>
          </m:sup>
        </m:sSubSup>
      </m:oMath>
      <w:r w:rsidR="00DE1B1D" w:rsidRPr="004F01E9">
        <w:rPr>
          <w:noProof/>
        </w:rPr>
        <w:tab/>
        <w:t>= citlivosti súhrnnej úpravy ocenenia pohľadávok na faktor rizika implikovanej volatility;</w:t>
      </w:r>
    </w:p>
    <w:p w14:paraId="107C3C22" w14:textId="779A76C2" w:rsidR="004009AD" w:rsidRPr="004F01E9" w:rsidRDefault="00EE12EE" w:rsidP="006B7B99">
      <w:pPr>
        <w:pStyle w:val="Text1"/>
        <w:tabs>
          <w:tab w:val="left" w:pos="1843"/>
        </w:tabs>
        <w:rPr>
          <w:noProof/>
        </w:rPr>
      </w:pPr>
      <m:oMath>
        <m:sSub>
          <m:sSubPr>
            <m:ctrlPr>
              <w:rPr>
                <w:rFonts w:ascii="Cambria Math" w:hAnsi="Cambria Math"/>
                <w:i/>
                <w:noProof/>
              </w:rPr>
            </m:ctrlPr>
          </m:sSubPr>
          <m:e>
            <m:r>
              <w:rPr>
                <w:rFonts w:ascii="Cambria Math" w:hAnsi="Cambria Math"/>
                <w:noProof/>
              </w:rPr>
              <m:t>vol</m:t>
            </m:r>
          </m:e>
          <m:sub>
            <m:r>
              <w:rPr>
                <w:rFonts w:ascii="Cambria Math" w:hAnsi="Cambria Math"/>
                <w:noProof/>
              </w:rPr>
              <m:t>k</m:t>
            </m:r>
          </m:sub>
        </m:sSub>
      </m:oMath>
      <w:r w:rsidR="00DE1B1D" w:rsidRPr="004F01E9">
        <w:rPr>
          <w:noProof/>
        </w:rPr>
        <w:tab/>
        <w:t>= hodnota faktora rizika implikovanej volatility vyjadrená</w:t>
      </w:r>
      <w:r w:rsidR="004F01E9">
        <w:rPr>
          <w:noProof/>
        </w:rPr>
        <w:t xml:space="preserve"> v </w:t>
      </w:r>
      <w:r w:rsidR="00DE1B1D" w:rsidRPr="004F01E9">
        <w:rPr>
          <w:noProof/>
        </w:rPr>
        <w:t>percentách;</w:t>
      </w:r>
    </w:p>
    <w:p w14:paraId="091B938F" w14:textId="497E6A30" w:rsidR="004009AD" w:rsidRPr="004F01E9" w:rsidRDefault="00EE12EE" w:rsidP="006B7B99">
      <w:pPr>
        <w:pStyle w:val="Text1"/>
        <w:tabs>
          <w:tab w:val="left" w:pos="1843"/>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00DE1B1D" w:rsidRPr="004F01E9">
        <w:rPr>
          <w:noProof/>
        </w:rPr>
        <w:tab/>
        <w:t>= súhrnná úprava ocenenia pohľadávok vypočítaná regulačným modelom úpravy ocenenia pohľadávok;</w:t>
      </w:r>
    </w:p>
    <w:p w14:paraId="01F89910" w14:textId="1C1C8788" w:rsidR="004009AD" w:rsidRPr="004F01E9" w:rsidRDefault="004009AD" w:rsidP="006B7B99">
      <w:pPr>
        <w:pStyle w:val="Text1"/>
        <w:tabs>
          <w:tab w:val="left" w:pos="1843"/>
        </w:tabs>
        <w:rPr>
          <w:noProof/>
        </w:rPr>
      </w:pPr>
      <m:oMath>
        <m:r>
          <w:rPr>
            <w:rFonts w:ascii="Cambria Math" w:hAnsi="Cambria Math"/>
            <w:noProof/>
          </w:rPr>
          <m:t>x,y</m:t>
        </m:r>
      </m:oMath>
      <w:r w:rsidRPr="004F01E9">
        <w:rPr>
          <w:noProof/>
        </w:rPr>
        <w:tab/>
        <w:t xml:space="preserve">= iné faktory rizika než </w:t>
      </w:r>
      <m:oMath>
        <m:sSub>
          <m:sSubPr>
            <m:ctrlPr>
              <w:rPr>
                <w:rFonts w:ascii="Cambria Math" w:hAnsi="Cambria Math"/>
                <w:i/>
                <w:noProof/>
              </w:rPr>
            </m:ctrlPr>
          </m:sSubPr>
          <m:e>
            <m:r>
              <w:rPr>
                <w:rFonts w:ascii="Cambria Math" w:hAnsi="Cambria Math"/>
                <w:noProof/>
              </w:rPr>
              <m:t>vol</m:t>
            </m:r>
          </m:e>
          <m:sub>
            <m:r>
              <w:rPr>
                <w:rFonts w:ascii="Cambria Math" w:hAnsi="Cambria Math"/>
                <w:noProof/>
              </w:rPr>
              <m:t>k</m:t>
            </m:r>
          </m:sub>
        </m:sSub>
      </m:oMath>
      <w:r w:rsidRPr="004F01E9">
        <w:rPr>
          <w:noProof/>
        </w:rPr>
        <w:t xml:space="preserve"> vo funkcii oceňovania </w:t>
      </w: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Pr="004F01E9">
        <w:rPr>
          <w:noProof/>
        </w:rPr>
        <w:t>.</w:t>
      </w:r>
    </w:p>
    <w:p w14:paraId="3914B28F" w14:textId="00487B82" w:rsidR="004009AD" w:rsidRPr="004F01E9" w:rsidRDefault="00EE12EE" w:rsidP="006B7B99">
      <w:pPr>
        <w:pStyle w:val="Text1"/>
        <w:tabs>
          <w:tab w:val="left" w:pos="1843"/>
        </w:tabs>
        <w:rPr>
          <w:noProof/>
        </w:rPr>
      </w:pPr>
      <m:oMath>
        <m:sSubSup>
          <m:sSubSupPr>
            <m:ctrlPr>
              <w:rPr>
                <w:rFonts w:ascii="Cambria Math" w:hAnsi="Cambria Math"/>
                <w:i/>
                <w:noProof/>
              </w:rPr>
            </m:ctrlPr>
          </m:sSubSupPr>
          <m:e>
            <m:r>
              <w:rPr>
                <w:rFonts w:ascii="Cambria Math" w:hAnsi="Cambria Math"/>
                <w:noProof/>
              </w:rPr>
              <m:t>S</m:t>
            </m:r>
          </m:e>
          <m:sub>
            <m:sSub>
              <m:sSubPr>
                <m:ctrlPr>
                  <w:rPr>
                    <w:rFonts w:ascii="Cambria Math" w:hAnsi="Cambria Math"/>
                    <w:i/>
                    <w:noProof/>
                  </w:rPr>
                </m:ctrlPr>
              </m:sSubPr>
              <m:e>
                <m:r>
                  <w:rPr>
                    <w:rFonts w:ascii="Cambria Math" w:hAnsi="Cambria Math"/>
                    <w:noProof/>
                  </w:rPr>
                  <m:t>vol</m:t>
                </m:r>
              </m:e>
              <m:sub>
                <m:r>
                  <w:rPr>
                    <w:rFonts w:ascii="Cambria Math" w:hAnsi="Cambria Math"/>
                    <w:noProof/>
                  </w:rPr>
                  <m:t>k</m:t>
                </m:r>
              </m:sub>
            </m:sSub>
          </m:sub>
          <m:sup>
            <m:sSub>
              <m:sSubPr>
                <m:ctrlPr>
                  <w:rPr>
                    <w:rFonts w:ascii="Cambria Math" w:hAnsi="Cambria Math"/>
                    <w:i/>
                    <w:noProof/>
                  </w:rPr>
                </m:ctrlPr>
              </m:sSubPr>
              <m:e>
                <m:r>
                  <w:rPr>
                    <w:rFonts w:ascii="Cambria Math" w:hAnsi="Cambria Math"/>
                    <w:noProof/>
                  </w:rPr>
                  <m:t>hedge</m:t>
                </m:r>
              </m:e>
              <m:sub>
                <m:r>
                  <w:rPr>
                    <w:rFonts w:ascii="Cambria Math" w:hAnsi="Cambria Math"/>
                    <w:noProof/>
                  </w:rPr>
                  <m:t>i</m:t>
                </m:r>
              </m:sub>
            </m:sSub>
          </m:sup>
        </m:sSubSup>
      </m:oMath>
      <w:r w:rsidR="00DE1B1D" w:rsidRPr="004F01E9">
        <w:rPr>
          <w:noProof/>
        </w:rPr>
        <w:tab/>
        <w:t>= citlivosti prípustného hedžingu</w:t>
      </w:r>
      <w:r w:rsidR="004F01E9">
        <w:rPr>
          <w:noProof/>
        </w:rPr>
        <w:t xml:space="preserve"> i </w:t>
      </w:r>
      <w:r w:rsidR="00DE1B1D" w:rsidRPr="004F01E9">
        <w:rPr>
          <w:noProof/>
        </w:rPr>
        <w:t>na faktor rizika implikovanej volatility;</w:t>
      </w:r>
    </w:p>
    <w:p w14:paraId="6A12F72F" w14:textId="0F139AC3" w:rsidR="004009AD" w:rsidRPr="004F01E9" w:rsidRDefault="00EE12EE" w:rsidP="006B7B99">
      <w:pPr>
        <w:pStyle w:val="Text1"/>
        <w:tabs>
          <w:tab w:val="left" w:pos="1843"/>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00DE1B1D" w:rsidRPr="004F01E9">
        <w:rPr>
          <w:noProof/>
        </w:rPr>
        <w:tab/>
        <w:t>= funkcia oceňovania prípustného hedžingu i;</w:t>
      </w:r>
    </w:p>
    <w:p w14:paraId="74A1B1BE" w14:textId="6BF65CF7" w:rsidR="004009AD" w:rsidRPr="004F01E9" w:rsidRDefault="004009AD" w:rsidP="006B7B99">
      <w:pPr>
        <w:pStyle w:val="Text1"/>
        <w:tabs>
          <w:tab w:val="left" w:pos="1843"/>
        </w:tabs>
        <w:rPr>
          <w:noProof/>
        </w:rPr>
      </w:pPr>
      <m:oMath>
        <m:r>
          <w:rPr>
            <w:rFonts w:ascii="Cambria Math" w:hAnsi="Cambria Math"/>
            <w:noProof/>
          </w:rPr>
          <m:t>w,z</m:t>
        </m:r>
      </m:oMath>
      <w:r w:rsidRPr="004F01E9">
        <w:rPr>
          <w:noProof/>
        </w:rPr>
        <w:tab/>
        <w:t xml:space="preserve">= iné faktory rizika než </w:t>
      </w:r>
      <m:oMath>
        <m:sSub>
          <m:sSubPr>
            <m:ctrlPr>
              <w:rPr>
                <w:rFonts w:ascii="Cambria Math" w:hAnsi="Cambria Math"/>
                <w:i/>
                <w:noProof/>
              </w:rPr>
            </m:ctrlPr>
          </m:sSubPr>
          <m:e>
            <m:r>
              <w:rPr>
                <w:rFonts w:ascii="Cambria Math" w:hAnsi="Cambria Math"/>
                <w:noProof/>
              </w:rPr>
              <m:t>vol</m:t>
            </m:r>
          </m:e>
          <m:sub>
            <m:r>
              <w:rPr>
                <w:rFonts w:ascii="Cambria Math" w:hAnsi="Cambria Math"/>
                <w:noProof/>
              </w:rPr>
              <m:t>k</m:t>
            </m:r>
          </m:sub>
        </m:sSub>
      </m:oMath>
      <w:r w:rsidRPr="004F01E9">
        <w:rPr>
          <w:noProof/>
        </w:rPr>
        <w:t xml:space="preserve"> vo funkcii oceňovania </w:t>
      </w: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Pr="004F01E9">
        <w:rPr>
          <w:noProof/>
        </w:rPr>
        <w:t>.</w:t>
      </w:r>
    </w:p>
    <w:p w14:paraId="7A2CC6E6" w14:textId="77777777" w:rsidR="004009AD" w:rsidRPr="004F01E9" w:rsidRDefault="004009AD" w:rsidP="004009AD">
      <w:pPr>
        <w:pStyle w:val="Titrearticle"/>
        <w:rPr>
          <w:noProof/>
        </w:rPr>
      </w:pPr>
      <w:r w:rsidRPr="004F01E9">
        <w:rPr>
          <w:noProof/>
        </w:rPr>
        <w:t xml:space="preserve">Článok 383k </w:t>
      </w:r>
      <w:r w:rsidRPr="004F01E9">
        <w:rPr>
          <w:noProof/>
        </w:rPr>
        <w:br/>
      </w:r>
      <w:r w:rsidRPr="004F01E9">
        <w:rPr>
          <w:b/>
          <w:i w:val="0"/>
          <w:noProof/>
        </w:rPr>
        <w:t>Rizikové váhy pre úrokové riziko</w:t>
      </w:r>
    </w:p>
    <w:p w14:paraId="22D74F95" w14:textId="506B459E" w:rsidR="004009AD" w:rsidRPr="004F01E9" w:rsidRDefault="004009AD" w:rsidP="004009AD">
      <w:pPr>
        <w:pStyle w:val="Text1"/>
        <w:rPr>
          <w:rFonts w:eastAsiaTheme="minorEastAsia"/>
          <w:noProof/>
        </w:rPr>
      </w:pPr>
      <w:r w:rsidRPr="004F01E9">
        <w:rPr>
          <w:noProof/>
        </w:rPr>
        <w:t>1. Pre meny uvedené</w:t>
      </w:r>
      <w:r w:rsidR="004F01E9">
        <w:rPr>
          <w:noProof/>
        </w:rPr>
        <w:t xml:space="preserve"> v </w:t>
      </w:r>
      <w:r w:rsidRPr="004F01E9">
        <w:rPr>
          <w:noProof/>
        </w:rPr>
        <w:t>článku 383c ods. 2 sú rizikové váhy citlivostí delta bezrizikovej sadzby pre každú skupinu</w:t>
      </w:r>
      <w:r w:rsidR="004F01E9">
        <w:rPr>
          <w:noProof/>
        </w:rPr>
        <w:t xml:space="preserve"> v </w:t>
      </w:r>
      <w:r w:rsidRPr="004F01E9">
        <w:rPr>
          <w:noProof/>
        </w:rPr>
        <w:t>tabuľke 1 tieto:</w:t>
      </w:r>
    </w:p>
    <w:p w14:paraId="3914BB81" w14:textId="77777777" w:rsidR="004009AD" w:rsidRPr="004F01E9" w:rsidRDefault="004009AD" w:rsidP="00387D41">
      <w:pPr>
        <w:pStyle w:val="Text1"/>
        <w:jc w:val="center"/>
        <w:rPr>
          <w:noProof/>
        </w:rPr>
      </w:pPr>
      <w:r w:rsidRPr="004F01E9">
        <w:rPr>
          <w:noProof/>
        </w:rPr>
        <w:t>Tabuľka 1</w:t>
      </w:r>
    </w:p>
    <w:tbl>
      <w:tblPr>
        <w:tblStyle w:val="TableGrid"/>
        <w:tblW w:w="0" w:type="auto"/>
        <w:jc w:val="center"/>
        <w:tblLook w:val="04A0" w:firstRow="1" w:lastRow="0" w:firstColumn="1" w:lastColumn="0" w:noHBand="0" w:noVBand="1"/>
      </w:tblPr>
      <w:tblGrid>
        <w:gridCol w:w="1101"/>
        <w:gridCol w:w="1701"/>
        <w:gridCol w:w="1843"/>
      </w:tblGrid>
      <w:tr w:rsidR="004009AD" w:rsidRPr="004F01E9" w14:paraId="09C1FC8B" w14:textId="77777777" w:rsidTr="004334CE">
        <w:trPr>
          <w:jc w:val="center"/>
        </w:trPr>
        <w:tc>
          <w:tcPr>
            <w:tcW w:w="1101" w:type="dxa"/>
          </w:tcPr>
          <w:p w14:paraId="6B6A1C6D" w14:textId="77777777" w:rsidR="004009AD" w:rsidRPr="004F01E9" w:rsidRDefault="004009AD" w:rsidP="004009AD">
            <w:pPr>
              <w:jc w:val="center"/>
              <w:rPr>
                <w:noProof/>
              </w:rPr>
            </w:pPr>
            <w:r w:rsidRPr="004F01E9">
              <w:rPr>
                <w:noProof/>
              </w:rPr>
              <w:t>Skupina</w:t>
            </w:r>
          </w:p>
        </w:tc>
        <w:tc>
          <w:tcPr>
            <w:tcW w:w="1701" w:type="dxa"/>
          </w:tcPr>
          <w:p w14:paraId="60D17642" w14:textId="77777777" w:rsidR="004009AD" w:rsidRPr="004F01E9" w:rsidRDefault="004009AD" w:rsidP="004009AD">
            <w:pPr>
              <w:jc w:val="center"/>
              <w:rPr>
                <w:noProof/>
              </w:rPr>
            </w:pPr>
            <w:r w:rsidRPr="004F01E9">
              <w:rPr>
                <w:noProof/>
              </w:rPr>
              <w:t>Splatnosť</w:t>
            </w:r>
          </w:p>
        </w:tc>
        <w:tc>
          <w:tcPr>
            <w:tcW w:w="1843" w:type="dxa"/>
          </w:tcPr>
          <w:p w14:paraId="5EB2BB22" w14:textId="77777777" w:rsidR="004009AD" w:rsidRPr="004F01E9" w:rsidRDefault="004009AD" w:rsidP="004009AD">
            <w:pPr>
              <w:jc w:val="center"/>
              <w:rPr>
                <w:noProof/>
              </w:rPr>
            </w:pPr>
            <w:r w:rsidRPr="004F01E9">
              <w:rPr>
                <w:noProof/>
              </w:rPr>
              <w:t>Riziková váha</w:t>
            </w:r>
          </w:p>
        </w:tc>
      </w:tr>
      <w:tr w:rsidR="004009AD" w:rsidRPr="004F01E9" w14:paraId="6330B020" w14:textId="77777777" w:rsidTr="004334CE">
        <w:trPr>
          <w:jc w:val="center"/>
        </w:trPr>
        <w:tc>
          <w:tcPr>
            <w:tcW w:w="1101" w:type="dxa"/>
          </w:tcPr>
          <w:p w14:paraId="72021744" w14:textId="77777777" w:rsidR="004009AD" w:rsidRPr="004F01E9" w:rsidRDefault="004009AD" w:rsidP="004009AD">
            <w:pPr>
              <w:jc w:val="center"/>
              <w:rPr>
                <w:noProof/>
              </w:rPr>
            </w:pPr>
            <w:r w:rsidRPr="004F01E9">
              <w:rPr>
                <w:noProof/>
              </w:rPr>
              <w:t>1</w:t>
            </w:r>
          </w:p>
        </w:tc>
        <w:tc>
          <w:tcPr>
            <w:tcW w:w="1701" w:type="dxa"/>
          </w:tcPr>
          <w:p w14:paraId="55438370" w14:textId="77777777" w:rsidR="004009AD" w:rsidRPr="004F01E9" w:rsidRDefault="004009AD" w:rsidP="004009AD">
            <w:pPr>
              <w:jc w:val="center"/>
              <w:rPr>
                <w:noProof/>
              </w:rPr>
            </w:pPr>
            <w:r w:rsidRPr="004F01E9">
              <w:rPr>
                <w:noProof/>
              </w:rPr>
              <w:t>1 rok</w:t>
            </w:r>
          </w:p>
        </w:tc>
        <w:tc>
          <w:tcPr>
            <w:tcW w:w="1843" w:type="dxa"/>
          </w:tcPr>
          <w:p w14:paraId="1A1643B8" w14:textId="17ED5FC5" w:rsidR="004009AD" w:rsidRPr="004F01E9" w:rsidRDefault="004009AD" w:rsidP="004009AD">
            <w:pPr>
              <w:jc w:val="center"/>
              <w:rPr>
                <w:noProof/>
              </w:rPr>
            </w:pPr>
            <w:r w:rsidRPr="004F01E9">
              <w:rPr>
                <w:noProof/>
              </w:rPr>
              <w:t>1,11</w:t>
            </w:r>
            <w:r w:rsidR="004F01E9">
              <w:rPr>
                <w:noProof/>
              </w:rPr>
              <w:t> %</w:t>
            </w:r>
          </w:p>
        </w:tc>
      </w:tr>
      <w:tr w:rsidR="004009AD" w:rsidRPr="004F01E9" w14:paraId="2D43E643" w14:textId="77777777" w:rsidTr="004334CE">
        <w:trPr>
          <w:jc w:val="center"/>
        </w:trPr>
        <w:tc>
          <w:tcPr>
            <w:tcW w:w="1101" w:type="dxa"/>
          </w:tcPr>
          <w:p w14:paraId="5DE1A400" w14:textId="77777777" w:rsidR="004009AD" w:rsidRPr="004F01E9" w:rsidRDefault="004009AD" w:rsidP="004009AD">
            <w:pPr>
              <w:jc w:val="center"/>
              <w:rPr>
                <w:noProof/>
              </w:rPr>
            </w:pPr>
            <w:r w:rsidRPr="004F01E9">
              <w:rPr>
                <w:noProof/>
              </w:rPr>
              <w:t>2</w:t>
            </w:r>
          </w:p>
        </w:tc>
        <w:tc>
          <w:tcPr>
            <w:tcW w:w="1701" w:type="dxa"/>
          </w:tcPr>
          <w:p w14:paraId="345D6ED0" w14:textId="77777777" w:rsidR="004009AD" w:rsidRPr="004F01E9" w:rsidRDefault="004009AD" w:rsidP="004009AD">
            <w:pPr>
              <w:jc w:val="center"/>
              <w:rPr>
                <w:noProof/>
              </w:rPr>
            </w:pPr>
            <w:r w:rsidRPr="004F01E9">
              <w:rPr>
                <w:noProof/>
              </w:rPr>
              <w:t>2 roky</w:t>
            </w:r>
          </w:p>
        </w:tc>
        <w:tc>
          <w:tcPr>
            <w:tcW w:w="1843" w:type="dxa"/>
          </w:tcPr>
          <w:p w14:paraId="7F710118" w14:textId="274F6451" w:rsidR="004009AD" w:rsidRPr="004F01E9" w:rsidRDefault="004009AD" w:rsidP="004009AD">
            <w:pPr>
              <w:jc w:val="center"/>
              <w:rPr>
                <w:noProof/>
              </w:rPr>
            </w:pPr>
            <w:r w:rsidRPr="004F01E9">
              <w:rPr>
                <w:noProof/>
              </w:rPr>
              <w:t>0,93</w:t>
            </w:r>
            <w:r w:rsidR="004F01E9">
              <w:rPr>
                <w:noProof/>
              </w:rPr>
              <w:t> %</w:t>
            </w:r>
          </w:p>
        </w:tc>
      </w:tr>
      <w:tr w:rsidR="004009AD" w:rsidRPr="004F01E9" w14:paraId="5D8AD4A7" w14:textId="77777777" w:rsidTr="004334CE">
        <w:trPr>
          <w:jc w:val="center"/>
        </w:trPr>
        <w:tc>
          <w:tcPr>
            <w:tcW w:w="1101" w:type="dxa"/>
          </w:tcPr>
          <w:p w14:paraId="20E56B96" w14:textId="77777777" w:rsidR="004009AD" w:rsidRPr="004F01E9" w:rsidRDefault="004009AD" w:rsidP="004009AD">
            <w:pPr>
              <w:jc w:val="center"/>
              <w:rPr>
                <w:noProof/>
              </w:rPr>
            </w:pPr>
            <w:r w:rsidRPr="004F01E9">
              <w:rPr>
                <w:noProof/>
              </w:rPr>
              <w:t>3</w:t>
            </w:r>
          </w:p>
        </w:tc>
        <w:tc>
          <w:tcPr>
            <w:tcW w:w="1701" w:type="dxa"/>
          </w:tcPr>
          <w:p w14:paraId="1C5D2BC4" w14:textId="77777777" w:rsidR="004009AD" w:rsidRPr="004F01E9" w:rsidRDefault="004009AD" w:rsidP="004009AD">
            <w:pPr>
              <w:jc w:val="center"/>
              <w:rPr>
                <w:noProof/>
              </w:rPr>
            </w:pPr>
            <w:r w:rsidRPr="004F01E9">
              <w:rPr>
                <w:noProof/>
              </w:rPr>
              <w:t>5 rokov</w:t>
            </w:r>
          </w:p>
        </w:tc>
        <w:tc>
          <w:tcPr>
            <w:tcW w:w="1843" w:type="dxa"/>
          </w:tcPr>
          <w:p w14:paraId="3D64C29D" w14:textId="3C27EECD" w:rsidR="004009AD" w:rsidRPr="004F01E9" w:rsidRDefault="004009AD" w:rsidP="004009AD">
            <w:pPr>
              <w:jc w:val="center"/>
              <w:rPr>
                <w:noProof/>
              </w:rPr>
            </w:pPr>
            <w:r w:rsidRPr="004F01E9">
              <w:rPr>
                <w:noProof/>
              </w:rPr>
              <w:t>0,74</w:t>
            </w:r>
            <w:r w:rsidR="004F01E9">
              <w:rPr>
                <w:noProof/>
              </w:rPr>
              <w:t> %</w:t>
            </w:r>
          </w:p>
        </w:tc>
      </w:tr>
      <w:tr w:rsidR="004009AD" w:rsidRPr="004F01E9" w14:paraId="029B4BF3" w14:textId="77777777" w:rsidTr="004334CE">
        <w:trPr>
          <w:jc w:val="center"/>
        </w:trPr>
        <w:tc>
          <w:tcPr>
            <w:tcW w:w="1101" w:type="dxa"/>
          </w:tcPr>
          <w:p w14:paraId="320CFFC8" w14:textId="77777777" w:rsidR="004009AD" w:rsidRPr="004F01E9" w:rsidRDefault="004009AD" w:rsidP="004009AD">
            <w:pPr>
              <w:jc w:val="center"/>
              <w:rPr>
                <w:noProof/>
              </w:rPr>
            </w:pPr>
            <w:r w:rsidRPr="004F01E9">
              <w:rPr>
                <w:noProof/>
              </w:rPr>
              <w:t>4</w:t>
            </w:r>
          </w:p>
        </w:tc>
        <w:tc>
          <w:tcPr>
            <w:tcW w:w="1701" w:type="dxa"/>
          </w:tcPr>
          <w:p w14:paraId="37BD71D3" w14:textId="77777777" w:rsidR="004009AD" w:rsidRPr="004F01E9" w:rsidRDefault="004009AD" w:rsidP="004009AD">
            <w:pPr>
              <w:jc w:val="center"/>
              <w:rPr>
                <w:noProof/>
              </w:rPr>
            </w:pPr>
            <w:r w:rsidRPr="004F01E9">
              <w:rPr>
                <w:noProof/>
              </w:rPr>
              <w:t>10 rokov</w:t>
            </w:r>
          </w:p>
        </w:tc>
        <w:tc>
          <w:tcPr>
            <w:tcW w:w="1843" w:type="dxa"/>
          </w:tcPr>
          <w:p w14:paraId="79C48124" w14:textId="3A2FD0A8" w:rsidR="004009AD" w:rsidRPr="004F01E9" w:rsidRDefault="004009AD" w:rsidP="004009AD">
            <w:pPr>
              <w:jc w:val="center"/>
              <w:rPr>
                <w:noProof/>
              </w:rPr>
            </w:pPr>
            <w:r w:rsidRPr="004F01E9">
              <w:rPr>
                <w:noProof/>
              </w:rPr>
              <w:t>0,74</w:t>
            </w:r>
            <w:r w:rsidR="004F01E9">
              <w:rPr>
                <w:noProof/>
              </w:rPr>
              <w:t> %</w:t>
            </w:r>
          </w:p>
        </w:tc>
      </w:tr>
      <w:tr w:rsidR="004009AD" w:rsidRPr="004F01E9" w14:paraId="403F6260" w14:textId="77777777" w:rsidTr="004334CE">
        <w:trPr>
          <w:jc w:val="center"/>
        </w:trPr>
        <w:tc>
          <w:tcPr>
            <w:tcW w:w="1101" w:type="dxa"/>
          </w:tcPr>
          <w:p w14:paraId="1ABD6526" w14:textId="77777777" w:rsidR="004009AD" w:rsidRPr="004F01E9" w:rsidRDefault="004009AD" w:rsidP="004009AD">
            <w:pPr>
              <w:jc w:val="center"/>
              <w:rPr>
                <w:noProof/>
              </w:rPr>
            </w:pPr>
            <w:r w:rsidRPr="004F01E9">
              <w:rPr>
                <w:noProof/>
              </w:rPr>
              <w:t>5</w:t>
            </w:r>
          </w:p>
        </w:tc>
        <w:tc>
          <w:tcPr>
            <w:tcW w:w="1701" w:type="dxa"/>
          </w:tcPr>
          <w:p w14:paraId="6EDE1B4D" w14:textId="77777777" w:rsidR="004009AD" w:rsidRPr="004F01E9" w:rsidRDefault="004009AD" w:rsidP="004009AD">
            <w:pPr>
              <w:jc w:val="center"/>
              <w:rPr>
                <w:noProof/>
              </w:rPr>
            </w:pPr>
            <w:r w:rsidRPr="004F01E9">
              <w:rPr>
                <w:noProof/>
              </w:rPr>
              <w:t>30 rokov</w:t>
            </w:r>
          </w:p>
        </w:tc>
        <w:tc>
          <w:tcPr>
            <w:tcW w:w="1843" w:type="dxa"/>
          </w:tcPr>
          <w:p w14:paraId="59CA482A" w14:textId="48A39EB1" w:rsidR="004009AD" w:rsidRPr="004F01E9" w:rsidRDefault="004009AD" w:rsidP="004009AD">
            <w:pPr>
              <w:jc w:val="center"/>
              <w:rPr>
                <w:noProof/>
              </w:rPr>
            </w:pPr>
            <w:r w:rsidRPr="004F01E9">
              <w:rPr>
                <w:noProof/>
              </w:rPr>
              <w:t>0,74</w:t>
            </w:r>
            <w:r w:rsidR="004F01E9">
              <w:rPr>
                <w:noProof/>
              </w:rPr>
              <w:t> %</w:t>
            </w:r>
          </w:p>
        </w:tc>
      </w:tr>
    </w:tbl>
    <w:p w14:paraId="5AADE506" w14:textId="0891AFAC" w:rsidR="004009AD" w:rsidRPr="004F01E9" w:rsidRDefault="004009AD" w:rsidP="004009AD">
      <w:pPr>
        <w:pStyle w:val="Text1"/>
        <w:rPr>
          <w:rFonts w:eastAsiaTheme="minorEastAsia"/>
          <w:noProof/>
        </w:rPr>
      </w:pPr>
      <w:r w:rsidRPr="004F01E9">
        <w:rPr>
          <w:noProof/>
        </w:rPr>
        <w:t>2. Pre meny iné než meny uvedené</w:t>
      </w:r>
      <w:r w:rsidR="004F01E9">
        <w:rPr>
          <w:noProof/>
        </w:rPr>
        <w:t xml:space="preserve"> v </w:t>
      </w:r>
      <w:r w:rsidRPr="004F01E9">
        <w:rPr>
          <w:noProof/>
        </w:rPr>
        <w:t>článku 383c ods. 2 je riziková váha citlivostí delta bezrizikovej sadzby 1,58</w:t>
      </w:r>
      <w:r w:rsidR="004F01E9">
        <w:rPr>
          <w:noProof/>
        </w:rPr>
        <w:t> %</w:t>
      </w:r>
      <w:r w:rsidRPr="004F01E9">
        <w:rPr>
          <w:noProof/>
        </w:rPr>
        <w:t>.</w:t>
      </w:r>
    </w:p>
    <w:p w14:paraId="6B01BDFE" w14:textId="0A774B5C" w:rsidR="00806B81" w:rsidRPr="004F01E9" w:rsidRDefault="004009AD" w:rsidP="004009AD">
      <w:pPr>
        <w:pStyle w:val="Text1"/>
        <w:rPr>
          <w:noProof/>
        </w:rPr>
      </w:pPr>
      <w:r w:rsidRPr="004F01E9">
        <w:rPr>
          <w:noProof/>
        </w:rPr>
        <w:t>3. Pre riziko miery inflácie denominované</w:t>
      </w:r>
      <w:r w:rsidR="004F01E9">
        <w:rPr>
          <w:noProof/>
        </w:rPr>
        <w:t xml:space="preserve"> v </w:t>
      </w:r>
      <w:r w:rsidRPr="004F01E9">
        <w:rPr>
          <w:noProof/>
        </w:rPr>
        <w:t>jednej</w:t>
      </w:r>
      <w:r w:rsidR="004F01E9">
        <w:rPr>
          <w:noProof/>
        </w:rPr>
        <w:t xml:space="preserve"> z </w:t>
      </w:r>
      <w:r w:rsidRPr="004F01E9">
        <w:rPr>
          <w:noProof/>
        </w:rPr>
        <w:t>mien uvedených</w:t>
      </w:r>
      <w:r w:rsidR="004F01E9">
        <w:rPr>
          <w:noProof/>
        </w:rPr>
        <w:t xml:space="preserve"> v </w:t>
      </w:r>
      <w:r w:rsidRPr="004F01E9">
        <w:rPr>
          <w:noProof/>
        </w:rPr>
        <w:t>článku 383c ods. 2 je riziková váha citlivosti na riziko miery inflácie 1,11</w:t>
      </w:r>
      <w:r w:rsidR="004F01E9">
        <w:rPr>
          <w:noProof/>
        </w:rPr>
        <w:t> %</w:t>
      </w:r>
      <w:r w:rsidRPr="004F01E9">
        <w:rPr>
          <w:noProof/>
        </w:rPr>
        <w:t>.</w:t>
      </w:r>
    </w:p>
    <w:p w14:paraId="6BE93EAC" w14:textId="1F596E16" w:rsidR="004009AD" w:rsidRPr="004F01E9" w:rsidRDefault="004009AD" w:rsidP="004009AD">
      <w:pPr>
        <w:pStyle w:val="Text1"/>
        <w:rPr>
          <w:rFonts w:eastAsiaTheme="minorEastAsia"/>
          <w:noProof/>
        </w:rPr>
      </w:pPr>
      <w:r w:rsidRPr="004F01E9">
        <w:rPr>
          <w:noProof/>
        </w:rPr>
        <w:t>4. Pre riziko miery inflácie denominované</w:t>
      </w:r>
      <w:r w:rsidR="004F01E9">
        <w:rPr>
          <w:noProof/>
        </w:rPr>
        <w:t xml:space="preserve"> v </w:t>
      </w:r>
      <w:r w:rsidRPr="004F01E9">
        <w:rPr>
          <w:noProof/>
        </w:rPr>
        <w:t>inej mene než meny uvedené</w:t>
      </w:r>
      <w:r w:rsidR="004F01E9">
        <w:rPr>
          <w:noProof/>
        </w:rPr>
        <w:t xml:space="preserve"> v </w:t>
      </w:r>
      <w:r w:rsidRPr="004F01E9">
        <w:rPr>
          <w:noProof/>
        </w:rPr>
        <w:t>článku 383c ods. 2 je riziková váha citlivosti na riziko miery inflácie 1,58</w:t>
      </w:r>
      <w:r w:rsidR="004F01E9">
        <w:rPr>
          <w:noProof/>
        </w:rPr>
        <w:t> %</w:t>
      </w:r>
      <w:r w:rsidRPr="004F01E9">
        <w:rPr>
          <w:noProof/>
        </w:rPr>
        <w:t>.</w:t>
      </w:r>
    </w:p>
    <w:p w14:paraId="6E163BE6" w14:textId="0607A4D4" w:rsidR="004009AD" w:rsidRPr="004F01E9" w:rsidRDefault="004009AD" w:rsidP="004009AD">
      <w:pPr>
        <w:pStyle w:val="Text1"/>
        <w:rPr>
          <w:rFonts w:eastAsiaTheme="minorEastAsia"/>
          <w:noProof/>
        </w:rPr>
      </w:pPr>
      <w:r w:rsidRPr="004F01E9">
        <w:rPr>
          <w:noProof/>
        </w:rPr>
        <w:t>5. Rizikové váhy, ktoré sa majú uplatňovať na citlivosti na faktory úrokového rizika vega</w:t>
      </w:r>
      <w:r w:rsidR="004F01E9">
        <w:rPr>
          <w:noProof/>
        </w:rPr>
        <w:t xml:space="preserve"> a </w:t>
      </w:r>
      <w:r w:rsidRPr="004F01E9">
        <w:rPr>
          <w:noProof/>
        </w:rPr>
        <w:t>na faktory rizika miery inflácie pre všetky meny, sú 100</w:t>
      </w:r>
      <w:r w:rsidR="004F01E9">
        <w:rPr>
          <w:noProof/>
        </w:rPr>
        <w:t> %</w:t>
      </w:r>
      <w:r w:rsidRPr="004F01E9">
        <w:rPr>
          <w:noProof/>
        </w:rPr>
        <w:t>.</w:t>
      </w:r>
    </w:p>
    <w:p w14:paraId="6604EAA7" w14:textId="60AAA1B8" w:rsidR="004009AD" w:rsidRPr="004F01E9" w:rsidRDefault="004009AD" w:rsidP="004009AD">
      <w:pPr>
        <w:pStyle w:val="Titrearticle"/>
        <w:rPr>
          <w:noProof/>
        </w:rPr>
      </w:pPr>
      <w:r w:rsidRPr="004F01E9">
        <w:rPr>
          <w:noProof/>
        </w:rPr>
        <w:t xml:space="preserve">Článok 383l </w:t>
      </w:r>
      <w:r w:rsidRPr="004F01E9">
        <w:rPr>
          <w:noProof/>
        </w:rPr>
        <w:br/>
      </w:r>
      <w:r w:rsidRPr="004F01E9">
        <w:rPr>
          <w:b/>
          <w:i w:val="0"/>
          <w:noProof/>
        </w:rPr>
        <w:t>Korelácie</w:t>
      </w:r>
      <w:r w:rsidR="004F01E9">
        <w:rPr>
          <w:b/>
          <w:i w:val="0"/>
          <w:noProof/>
        </w:rPr>
        <w:t xml:space="preserve"> v </w:t>
      </w:r>
      <w:r w:rsidRPr="004F01E9">
        <w:rPr>
          <w:b/>
          <w:i w:val="0"/>
          <w:noProof/>
        </w:rPr>
        <w:t>rámci skupiny pre úrokové riziko</w:t>
      </w:r>
    </w:p>
    <w:p w14:paraId="65AAEB7F" w14:textId="205FA632" w:rsidR="004009AD" w:rsidRPr="004F01E9" w:rsidRDefault="004009AD" w:rsidP="004009AD">
      <w:pPr>
        <w:pStyle w:val="Text1"/>
        <w:rPr>
          <w:rFonts w:eastAsiaTheme="minorEastAsia"/>
          <w:noProof/>
        </w:rPr>
      </w:pPr>
      <w:r w:rsidRPr="004F01E9">
        <w:rPr>
          <w:noProof/>
        </w:rPr>
        <w:t>1. Pre meny uvedené</w:t>
      </w:r>
      <w:r w:rsidR="004F01E9">
        <w:rPr>
          <w:noProof/>
        </w:rPr>
        <w:t xml:space="preserve"> v </w:t>
      </w:r>
      <w:r w:rsidRPr="004F01E9">
        <w:rPr>
          <w:noProof/>
        </w:rPr>
        <w:t>článku 383c ods. 2 sú korelačné parametre, ktoré inštitúcie používajú na agregáciu citlivostí delta bezrizikovej sadzby medzi rôznymi skupinami stanovenými</w:t>
      </w:r>
      <w:r w:rsidR="004F01E9">
        <w:rPr>
          <w:noProof/>
        </w:rPr>
        <w:t xml:space="preserve"> v </w:t>
      </w:r>
      <w:r w:rsidRPr="004F01E9">
        <w:rPr>
          <w:noProof/>
        </w:rPr>
        <w:t>tabuľke 2, tieto:</w:t>
      </w:r>
    </w:p>
    <w:p w14:paraId="69195761" w14:textId="77777777" w:rsidR="004009AD" w:rsidRPr="004F01E9" w:rsidRDefault="004009AD" w:rsidP="00387D41">
      <w:pPr>
        <w:pStyle w:val="Text1"/>
        <w:jc w:val="center"/>
        <w:rPr>
          <w:noProof/>
        </w:rPr>
      </w:pPr>
      <w:r w:rsidRPr="004F01E9">
        <w:rPr>
          <w:noProof/>
        </w:rPr>
        <w:t>Tabuľka 2</w:t>
      </w:r>
    </w:p>
    <w:tbl>
      <w:tblPr>
        <w:tblStyle w:val="TableGrid"/>
        <w:tblW w:w="0" w:type="auto"/>
        <w:tblInd w:w="1416" w:type="dxa"/>
        <w:tblLook w:val="04A0" w:firstRow="1" w:lastRow="0" w:firstColumn="1" w:lastColumn="0" w:noHBand="0" w:noVBand="1"/>
      </w:tblPr>
      <w:tblGrid>
        <w:gridCol w:w="1007"/>
        <w:gridCol w:w="1229"/>
        <w:gridCol w:w="1134"/>
        <w:gridCol w:w="1134"/>
        <w:gridCol w:w="1276"/>
        <w:gridCol w:w="1338"/>
      </w:tblGrid>
      <w:tr w:rsidR="004009AD" w:rsidRPr="004F01E9" w14:paraId="765E9FEB" w14:textId="77777777" w:rsidTr="004334CE">
        <w:tc>
          <w:tcPr>
            <w:tcW w:w="1007" w:type="dxa"/>
          </w:tcPr>
          <w:p w14:paraId="0C3A01D4" w14:textId="77777777" w:rsidR="004009AD" w:rsidRPr="004F01E9" w:rsidRDefault="004009AD" w:rsidP="004334CE">
            <w:pPr>
              <w:rPr>
                <w:noProof/>
              </w:rPr>
            </w:pPr>
            <w:r w:rsidRPr="004F01E9">
              <w:rPr>
                <w:noProof/>
              </w:rPr>
              <w:t>Skupina</w:t>
            </w:r>
          </w:p>
        </w:tc>
        <w:tc>
          <w:tcPr>
            <w:tcW w:w="1229" w:type="dxa"/>
          </w:tcPr>
          <w:p w14:paraId="2864D079" w14:textId="77777777" w:rsidR="004009AD" w:rsidRPr="004F01E9" w:rsidRDefault="004009AD" w:rsidP="004334CE">
            <w:pPr>
              <w:rPr>
                <w:noProof/>
              </w:rPr>
            </w:pPr>
            <w:r w:rsidRPr="004F01E9">
              <w:rPr>
                <w:noProof/>
              </w:rPr>
              <w:t>1</w:t>
            </w:r>
          </w:p>
        </w:tc>
        <w:tc>
          <w:tcPr>
            <w:tcW w:w="1134" w:type="dxa"/>
          </w:tcPr>
          <w:p w14:paraId="3E9E7D1C" w14:textId="77777777" w:rsidR="004009AD" w:rsidRPr="004F01E9" w:rsidRDefault="004009AD" w:rsidP="004334CE">
            <w:pPr>
              <w:rPr>
                <w:noProof/>
              </w:rPr>
            </w:pPr>
            <w:r w:rsidRPr="004F01E9">
              <w:rPr>
                <w:noProof/>
              </w:rPr>
              <w:t>2</w:t>
            </w:r>
          </w:p>
        </w:tc>
        <w:tc>
          <w:tcPr>
            <w:tcW w:w="1134" w:type="dxa"/>
          </w:tcPr>
          <w:p w14:paraId="61327C21" w14:textId="77777777" w:rsidR="004009AD" w:rsidRPr="004F01E9" w:rsidRDefault="004009AD" w:rsidP="004334CE">
            <w:pPr>
              <w:rPr>
                <w:noProof/>
              </w:rPr>
            </w:pPr>
            <w:r w:rsidRPr="004F01E9">
              <w:rPr>
                <w:noProof/>
              </w:rPr>
              <w:t>3</w:t>
            </w:r>
          </w:p>
        </w:tc>
        <w:tc>
          <w:tcPr>
            <w:tcW w:w="1276" w:type="dxa"/>
          </w:tcPr>
          <w:p w14:paraId="68D0D979" w14:textId="77777777" w:rsidR="004009AD" w:rsidRPr="004F01E9" w:rsidRDefault="004009AD" w:rsidP="004334CE">
            <w:pPr>
              <w:rPr>
                <w:noProof/>
              </w:rPr>
            </w:pPr>
            <w:r w:rsidRPr="004F01E9">
              <w:rPr>
                <w:noProof/>
              </w:rPr>
              <w:t>4</w:t>
            </w:r>
          </w:p>
        </w:tc>
        <w:tc>
          <w:tcPr>
            <w:tcW w:w="1338" w:type="dxa"/>
          </w:tcPr>
          <w:p w14:paraId="2F33EED8" w14:textId="77777777" w:rsidR="004009AD" w:rsidRPr="004F01E9" w:rsidRDefault="004009AD" w:rsidP="004334CE">
            <w:pPr>
              <w:rPr>
                <w:noProof/>
              </w:rPr>
            </w:pPr>
            <w:r w:rsidRPr="004F01E9">
              <w:rPr>
                <w:noProof/>
              </w:rPr>
              <w:t>5</w:t>
            </w:r>
          </w:p>
        </w:tc>
      </w:tr>
      <w:tr w:rsidR="004009AD" w:rsidRPr="004F01E9" w14:paraId="5B09AF76" w14:textId="77777777" w:rsidTr="004334CE">
        <w:tc>
          <w:tcPr>
            <w:tcW w:w="1007" w:type="dxa"/>
          </w:tcPr>
          <w:p w14:paraId="2729F734" w14:textId="77777777" w:rsidR="004009AD" w:rsidRPr="004F01E9" w:rsidRDefault="004009AD" w:rsidP="004334CE">
            <w:pPr>
              <w:rPr>
                <w:noProof/>
              </w:rPr>
            </w:pPr>
            <w:r w:rsidRPr="004F01E9">
              <w:rPr>
                <w:noProof/>
              </w:rPr>
              <w:t>1</w:t>
            </w:r>
          </w:p>
        </w:tc>
        <w:tc>
          <w:tcPr>
            <w:tcW w:w="1229" w:type="dxa"/>
          </w:tcPr>
          <w:p w14:paraId="0FFD510C" w14:textId="5102A5BF" w:rsidR="004009AD" w:rsidRPr="004F01E9" w:rsidRDefault="004009AD" w:rsidP="004334CE">
            <w:pPr>
              <w:rPr>
                <w:noProof/>
              </w:rPr>
            </w:pPr>
            <w:r w:rsidRPr="004F01E9">
              <w:rPr>
                <w:noProof/>
              </w:rPr>
              <w:t>100</w:t>
            </w:r>
            <w:r w:rsidR="004F01E9">
              <w:rPr>
                <w:noProof/>
              </w:rPr>
              <w:t> %</w:t>
            </w:r>
          </w:p>
        </w:tc>
        <w:tc>
          <w:tcPr>
            <w:tcW w:w="1134" w:type="dxa"/>
          </w:tcPr>
          <w:p w14:paraId="041AF3F5" w14:textId="4A9F4924" w:rsidR="004009AD" w:rsidRPr="004F01E9" w:rsidRDefault="004009AD" w:rsidP="004334CE">
            <w:pPr>
              <w:rPr>
                <w:noProof/>
              </w:rPr>
            </w:pPr>
            <w:r w:rsidRPr="004F01E9">
              <w:rPr>
                <w:noProof/>
              </w:rPr>
              <w:t>91</w:t>
            </w:r>
            <w:r w:rsidR="004F01E9">
              <w:rPr>
                <w:noProof/>
              </w:rPr>
              <w:t> %</w:t>
            </w:r>
          </w:p>
        </w:tc>
        <w:tc>
          <w:tcPr>
            <w:tcW w:w="1134" w:type="dxa"/>
          </w:tcPr>
          <w:p w14:paraId="190DB321" w14:textId="4AE8F7D7" w:rsidR="004009AD" w:rsidRPr="004F01E9" w:rsidRDefault="004009AD" w:rsidP="004334CE">
            <w:pPr>
              <w:rPr>
                <w:noProof/>
              </w:rPr>
            </w:pPr>
            <w:r w:rsidRPr="004F01E9">
              <w:rPr>
                <w:noProof/>
              </w:rPr>
              <w:t>72</w:t>
            </w:r>
            <w:r w:rsidR="004F01E9">
              <w:rPr>
                <w:noProof/>
              </w:rPr>
              <w:t> %</w:t>
            </w:r>
          </w:p>
        </w:tc>
        <w:tc>
          <w:tcPr>
            <w:tcW w:w="1276" w:type="dxa"/>
          </w:tcPr>
          <w:p w14:paraId="3D9DCA83" w14:textId="41F101E2" w:rsidR="004009AD" w:rsidRPr="004F01E9" w:rsidRDefault="004009AD" w:rsidP="004334CE">
            <w:pPr>
              <w:rPr>
                <w:noProof/>
              </w:rPr>
            </w:pPr>
            <w:r w:rsidRPr="004F01E9">
              <w:rPr>
                <w:noProof/>
              </w:rPr>
              <w:t>55</w:t>
            </w:r>
            <w:r w:rsidR="004F01E9">
              <w:rPr>
                <w:noProof/>
              </w:rPr>
              <w:t> %</w:t>
            </w:r>
          </w:p>
        </w:tc>
        <w:tc>
          <w:tcPr>
            <w:tcW w:w="1338" w:type="dxa"/>
          </w:tcPr>
          <w:p w14:paraId="696ECF0A" w14:textId="5A8CD2C7" w:rsidR="004009AD" w:rsidRPr="004F01E9" w:rsidRDefault="004009AD" w:rsidP="004334CE">
            <w:pPr>
              <w:rPr>
                <w:noProof/>
              </w:rPr>
            </w:pPr>
            <w:r w:rsidRPr="004F01E9">
              <w:rPr>
                <w:noProof/>
              </w:rPr>
              <w:t>31</w:t>
            </w:r>
            <w:r w:rsidR="004F01E9">
              <w:rPr>
                <w:noProof/>
              </w:rPr>
              <w:t> %</w:t>
            </w:r>
          </w:p>
        </w:tc>
      </w:tr>
      <w:tr w:rsidR="004009AD" w:rsidRPr="004F01E9" w14:paraId="4F2A7D6C" w14:textId="77777777" w:rsidTr="004334CE">
        <w:tc>
          <w:tcPr>
            <w:tcW w:w="1007" w:type="dxa"/>
          </w:tcPr>
          <w:p w14:paraId="1D9D333C" w14:textId="77777777" w:rsidR="004009AD" w:rsidRPr="004F01E9" w:rsidRDefault="004009AD" w:rsidP="004334CE">
            <w:pPr>
              <w:rPr>
                <w:noProof/>
              </w:rPr>
            </w:pPr>
            <w:r w:rsidRPr="004F01E9">
              <w:rPr>
                <w:noProof/>
              </w:rPr>
              <w:t>2</w:t>
            </w:r>
          </w:p>
        </w:tc>
        <w:tc>
          <w:tcPr>
            <w:tcW w:w="1229" w:type="dxa"/>
          </w:tcPr>
          <w:p w14:paraId="32C357D2" w14:textId="77777777" w:rsidR="004009AD" w:rsidRPr="004F01E9" w:rsidRDefault="004009AD" w:rsidP="004334CE">
            <w:pPr>
              <w:rPr>
                <w:noProof/>
              </w:rPr>
            </w:pPr>
          </w:p>
        </w:tc>
        <w:tc>
          <w:tcPr>
            <w:tcW w:w="1134" w:type="dxa"/>
          </w:tcPr>
          <w:p w14:paraId="0B0CD0A9" w14:textId="0DDA7AD6" w:rsidR="004009AD" w:rsidRPr="004F01E9" w:rsidRDefault="004009AD" w:rsidP="004334CE">
            <w:pPr>
              <w:rPr>
                <w:noProof/>
              </w:rPr>
            </w:pPr>
            <w:r w:rsidRPr="004F01E9">
              <w:rPr>
                <w:noProof/>
              </w:rPr>
              <w:t>100</w:t>
            </w:r>
            <w:r w:rsidR="004F01E9">
              <w:rPr>
                <w:noProof/>
              </w:rPr>
              <w:t> %</w:t>
            </w:r>
          </w:p>
        </w:tc>
        <w:tc>
          <w:tcPr>
            <w:tcW w:w="1134" w:type="dxa"/>
          </w:tcPr>
          <w:p w14:paraId="05AD8DCF" w14:textId="52608EF2" w:rsidR="004009AD" w:rsidRPr="004F01E9" w:rsidRDefault="004009AD" w:rsidP="004334CE">
            <w:pPr>
              <w:rPr>
                <w:noProof/>
              </w:rPr>
            </w:pPr>
            <w:r w:rsidRPr="004F01E9">
              <w:rPr>
                <w:noProof/>
              </w:rPr>
              <w:t>87</w:t>
            </w:r>
            <w:r w:rsidR="004F01E9">
              <w:rPr>
                <w:noProof/>
              </w:rPr>
              <w:t> %</w:t>
            </w:r>
          </w:p>
        </w:tc>
        <w:tc>
          <w:tcPr>
            <w:tcW w:w="1276" w:type="dxa"/>
          </w:tcPr>
          <w:p w14:paraId="6E25EA54" w14:textId="308172F0" w:rsidR="004009AD" w:rsidRPr="004F01E9" w:rsidRDefault="004009AD" w:rsidP="004334CE">
            <w:pPr>
              <w:rPr>
                <w:noProof/>
              </w:rPr>
            </w:pPr>
            <w:r w:rsidRPr="004F01E9">
              <w:rPr>
                <w:noProof/>
              </w:rPr>
              <w:t>72</w:t>
            </w:r>
            <w:r w:rsidR="004F01E9">
              <w:rPr>
                <w:noProof/>
              </w:rPr>
              <w:t> %</w:t>
            </w:r>
          </w:p>
        </w:tc>
        <w:tc>
          <w:tcPr>
            <w:tcW w:w="1338" w:type="dxa"/>
          </w:tcPr>
          <w:p w14:paraId="3F9B9832" w14:textId="708DC259" w:rsidR="004009AD" w:rsidRPr="004F01E9" w:rsidRDefault="004009AD" w:rsidP="004334CE">
            <w:pPr>
              <w:rPr>
                <w:noProof/>
              </w:rPr>
            </w:pPr>
            <w:r w:rsidRPr="004F01E9">
              <w:rPr>
                <w:noProof/>
              </w:rPr>
              <w:t>45</w:t>
            </w:r>
            <w:r w:rsidR="004F01E9">
              <w:rPr>
                <w:noProof/>
              </w:rPr>
              <w:t> %</w:t>
            </w:r>
          </w:p>
        </w:tc>
      </w:tr>
      <w:tr w:rsidR="004009AD" w:rsidRPr="004F01E9" w14:paraId="6D2EC78E" w14:textId="77777777" w:rsidTr="004334CE">
        <w:tc>
          <w:tcPr>
            <w:tcW w:w="1007" w:type="dxa"/>
          </w:tcPr>
          <w:p w14:paraId="2C1A681C" w14:textId="77777777" w:rsidR="004009AD" w:rsidRPr="004F01E9" w:rsidRDefault="004009AD" w:rsidP="004334CE">
            <w:pPr>
              <w:rPr>
                <w:noProof/>
              </w:rPr>
            </w:pPr>
            <w:r w:rsidRPr="004F01E9">
              <w:rPr>
                <w:noProof/>
              </w:rPr>
              <w:t>3</w:t>
            </w:r>
          </w:p>
        </w:tc>
        <w:tc>
          <w:tcPr>
            <w:tcW w:w="1229" w:type="dxa"/>
          </w:tcPr>
          <w:p w14:paraId="0C18C5C7" w14:textId="77777777" w:rsidR="004009AD" w:rsidRPr="004F01E9" w:rsidRDefault="004009AD" w:rsidP="004334CE">
            <w:pPr>
              <w:rPr>
                <w:noProof/>
              </w:rPr>
            </w:pPr>
          </w:p>
        </w:tc>
        <w:tc>
          <w:tcPr>
            <w:tcW w:w="1134" w:type="dxa"/>
          </w:tcPr>
          <w:p w14:paraId="2D682156" w14:textId="77777777" w:rsidR="004009AD" w:rsidRPr="004F01E9" w:rsidRDefault="004009AD" w:rsidP="004334CE">
            <w:pPr>
              <w:rPr>
                <w:noProof/>
              </w:rPr>
            </w:pPr>
          </w:p>
        </w:tc>
        <w:tc>
          <w:tcPr>
            <w:tcW w:w="1134" w:type="dxa"/>
          </w:tcPr>
          <w:p w14:paraId="0ED3A302" w14:textId="21CFEB96" w:rsidR="004009AD" w:rsidRPr="004F01E9" w:rsidRDefault="004009AD" w:rsidP="004334CE">
            <w:pPr>
              <w:rPr>
                <w:noProof/>
              </w:rPr>
            </w:pPr>
            <w:r w:rsidRPr="004F01E9">
              <w:rPr>
                <w:noProof/>
              </w:rPr>
              <w:t>100</w:t>
            </w:r>
            <w:r w:rsidR="004F01E9">
              <w:rPr>
                <w:noProof/>
              </w:rPr>
              <w:t> %</w:t>
            </w:r>
          </w:p>
        </w:tc>
        <w:tc>
          <w:tcPr>
            <w:tcW w:w="1276" w:type="dxa"/>
          </w:tcPr>
          <w:p w14:paraId="68213122" w14:textId="1681BCED" w:rsidR="004009AD" w:rsidRPr="004F01E9" w:rsidRDefault="004009AD" w:rsidP="004334CE">
            <w:pPr>
              <w:rPr>
                <w:noProof/>
              </w:rPr>
            </w:pPr>
            <w:r w:rsidRPr="004F01E9">
              <w:rPr>
                <w:noProof/>
              </w:rPr>
              <w:t>91</w:t>
            </w:r>
            <w:r w:rsidR="004F01E9">
              <w:rPr>
                <w:noProof/>
              </w:rPr>
              <w:t> %</w:t>
            </w:r>
          </w:p>
        </w:tc>
        <w:tc>
          <w:tcPr>
            <w:tcW w:w="1338" w:type="dxa"/>
          </w:tcPr>
          <w:p w14:paraId="5C66C209" w14:textId="5C1D48B4" w:rsidR="004009AD" w:rsidRPr="004F01E9" w:rsidRDefault="004009AD" w:rsidP="004334CE">
            <w:pPr>
              <w:rPr>
                <w:noProof/>
              </w:rPr>
            </w:pPr>
            <w:r w:rsidRPr="004F01E9">
              <w:rPr>
                <w:noProof/>
              </w:rPr>
              <w:t>68</w:t>
            </w:r>
            <w:r w:rsidR="004F01E9">
              <w:rPr>
                <w:noProof/>
              </w:rPr>
              <w:t> %</w:t>
            </w:r>
          </w:p>
        </w:tc>
      </w:tr>
      <w:tr w:rsidR="004009AD" w:rsidRPr="004F01E9" w14:paraId="777D0339" w14:textId="77777777" w:rsidTr="004334CE">
        <w:tc>
          <w:tcPr>
            <w:tcW w:w="1007" w:type="dxa"/>
          </w:tcPr>
          <w:p w14:paraId="36AA8F31" w14:textId="77777777" w:rsidR="004009AD" w:rsidRPr="004F01E9" w:rsidRDefault="004009AD" w:rsidP="004334CE">
            <w:pPr>
              <w:rPr>
                <w:noProof/>
              </w:rPr>
            </w:pPr>
            <w:r w:rsidRPr="004F01E9">
              <w:rPr>
                <w:noProof/>
              </w:rPr>
              <w:t>4</w:t>
            </w:r>
          </w:p>
        </w:tc>
        <w:tc>
          <w:tcPr>
            <w:tcW w:w="1229" w:type="dxa"/>
          </w:tcPr>
          <w:p w14:paraId="48442756" w14:textId="77777777" w:rsidR="004009AD" w:rsidRPr="004F01E9" w:rsidRDefault="004009AD" w:rsidP="004334CE">
            <w:pPr>
              <w:rPr>
                <w:noProof/>
              </w:rPr>
            </w:pPr>
          </w:p>
        </w:tc>
        <w:tc>
          <w:tcPr>
            <w:tcW w:w="1134" w:type="dxa"/>
          </w:tcPr>
          <w:p w14:paraId="79A5F497" w14:textId="77777777" w:rsidR="004009AD" w:rsidRPr="004F01E9" w:rsidRDefault="004009AD" w:rsidP="004334CE">
            <w:pPr>
              <w:rPr>
                <w:noProof/>
              </w:rPr>
            </w:pPr>
          </w:p>
        </w:tc>
        <w:tc>
          <w:tcPr>
            <w:tcW w:w="1134" w:type="dxa"/>
          </w:tcPr>
          <w:p w14:paraId="6EA549B3" w14:textId="77777777" w:rsidR="004009AD" w:rsidRPr="004F01E9" w:rsidRDefault="004009AD" w:rsidP="004334CE">
            <w:pPr>
              <w:rPr>
                <w:noProof/>
              </w:rPr>
            </w:pPr>
          </w:p>
        </w:tc>
        <w:tc>
          <w:tcPr>
            <w:tcW w:w="1276" w:type="dxa"/>
          </w:tcPr>
          <w:p w14:paraId="56095A2D" w14:textId="0A3E8108" w:rsidR="004009AD" w:rsidRPr="004F01E9" w:rsidRDefault="004009AD" w:rsidP="004334CE">
            <w:pPr>
              <w:rPr>
                <w:noProof/>
              </w:rPr>
            </w:pPr>
            <w:r w:rsidRPr="004F01E9">
              <w:rPr>
                <w:noProof/>
              </w:rPr>
              <w:t>100</w:t>
            </w:r>
            <w:r w:rsidR="004F01E9">
              <w:rPr>
                <w:noProof/>
              </w:rPr>
              <w:t> %</w:t>
            </w:r>
          </w:p>
        </w:tc>
        <w:tc>
          <w:tcPr>
            <w:tcW w:w="1338" w:type="dxa"/>
          </w:tcPr>
          <w:p w14:paraId="3FD55DD1" w14:textId="70E99DC2" w:rsidR="004009AD" w:rsidRPr="004F01E9" w:rsidRDefault="004009AD" w:rsidP="004334CE">
            <w:pPr>
              <w:rPr>
                <w:noProof/>
              </w:rPr>
            </w:pPr>
            <w:r w:rsidRPr="004F01E9">
              <w:rPr>
                <w:noProof/>
              </w:rPr>
              <w:t>83</w:t>
            </w:r>
            <w:r w:rsidR="004F01E9">
              <w:rPr>
                <w:noProof/>
              </w:rPr>
              <w:t> %</w:t>
            </w:r>
          </w:p>
        </w:tc>
      </w:tr>
      <w:tr w:rsidR="004009AD" w:rsidRPr="004F01E9" w14:paraId="6288FF07" w14:textId="77777777" w:rsidTr="004334CE">
        <w:tc>
          <w:tcPr>
            <w:tcW w:w="1007" w:type="dxa"/>
          </w:tcPr>
          <w:p w14:paraId="11F19BEB" w14:textId="77777777" w:rsidR="004009AD" w:rsidRPr="004F01E9" w:rsidRDefault="004009AD" w:rsidP="004334CE">
            <w:pPr>
              <w:rPr>
                <w:noProof/>
              </w:rPr>
            </w:pPr>
            <w:r w:rsidRPr="004F01E9">
              <w:rPr>
                <w:noProof/>
              </w:rPr>
              <w:t>5</w:t>
            </w:r>
          </w:p>
        </w:tc>
        <w:tc>
          <w:tcPr>
            <w:tcW w:w="1229" w:type="dxa"/>
          </w:tcPr>
          <w:p w14:paraId="7CF743BC" w14:textId="77777777" w:rsidR="004009AD" w:rsidRPr="004F01E9" w:rsidRDefault="004009AD" w:rsidP="004334CE">
            <w:pPr>
              <w:rPr>
                <w:noProof/>
              </w:rPr>
            </w:pPr>
          </w:p>
        </w:tc>
        <w:tc>
          <w:tcPr>
            <w:tcW w:w="1134" w:type="dxa"/>
          </w:tcPr>
          <w:p w14:paraId="34EE7A6F" w14:textId="77777777" w:rsidR="004009AD" w:rsidRPr="004F01E9" w:rsidRDefault="004009AD" w:rsidP="004334CE">
            <w:pPr>
              <w:rPr>
                <w:noProof/>
              </w:rPr>
            </w:pPr>
          </w:p>
        </w:tc>
        <w:tc>
          <w:tcPr>
            <w:tcW w:w="1134" w:type="dxa"/>
          </w:tcPr>
          <w:p w14:paraId="3BDBC6F9" w14:textId="77777777" w:rsidR="004009AD" w:rsidRPr="004F01E9" w:rsidRDefault="004009AD" w:rsidP="004334CE">
            <w:pPr>
              <w:rPr>
                <w:noProof/>
              </w:rPr>
            </w:pPr>
          </w:p>
        </w:tc>
        <w:tc>
          <w:tcPr>
            <w:tcW w:w="1276" w:type="dxa"/>
          </w:tcPr>
          <w:p w14:paraId="796CFF57" w14:textId="77777777" w:rsidR="004009AD" w:rsidRPr="004F01E9" w:rsidRDefault="004009AD" w:rsidP="004334CE">
            <w:pPr>
              <w:rPr>
                <w:noProof/>
              </w:rPr>
            </w:pPr>
          </w:p>
        </w:tc>
        <w:tc>
          <w:tcPr>
            <w:tcW w:w="1338" w:type="dxa"/>
          </w:tcPr>
          <w:p w14:paraId="658CB858" w14:textId="7B3FD63A" w:rsidR="004009AD" w:rsidRPr="004F01E9" w:rsidRDefault="004009AD" w:rsidP="004334CE">
            <w:pPr>
              <w:rPr>
                <w:noProof/>
              </w:rPr>
            </w:pPr>
            <w:r w:rsidRPr="004F01E9">
              <w:rPr>
                <w:noProof/>
              </w:rPr>
              <w:t>100</w:t>
            </w:r>
            <w:r w:rsidR="004F01E9">
              <w:rPr>
                <w:noProof/>
              </w:rPr>
              <w:t> %</w:t>
            </w:r>
          </w:p>
        </w:tc>
      </w:tr>
    </w:tbl>
    <w:p w14:paraId="3CACA16F" w14:textId="3B61367C" w:rsidR="004009AD" w:rsidRPr="004F01E9" w:rsidRDefault="004009AD" w:rsidP="004009AD">
      <w:pPr>
        <w:pStyle w:val="Text1"/>
        <w:rPr>
          <w:rFonts w:eastAsiaTheme="minorEastAsia"/>
          <w:noProof/>
        </w:rPr>
      </w:pPr>
      <w:r w:rsidRPr="004F01E9">
        <w:rPr>
          <w:noProof/>
        </w:rPr>
        <w:t>2. Korelačný parameter, ktorý inštitúcie používajú na agregáciu citlivosti rizika delta miery inflácie</w:t>
      </w:r>
      <w:r w:rsidR="004F01E9">
        <w:rPr>
          <w:noProof/>
        </w:rPr>
        <w:t xml:space="preserve"> a </w:t>
      </w:r>
      <w:r w:rsidRPr="004F01E9">
        <w:rPr>
          <w:noProof/>
        </w:rPr>
        <w:t>citlivosti delta bezrizikovej úrokovej sadzby denominovanej</w:t>
      </w:r>
      <w:r w:rsidR="004F01E9">
        <w:rPr>
          <w:noProof/>
        </w:rPr>
        <w:t xml:space="preserve"> v </w:t>
      </w:r>
      <w:r w:rsidRPr="004F01E9">
        <w:rPr>
          <w:noProof/>
        </w:rPr>
        <w:t>tej istej mene, je 40</w:t>
      </w:r>
      <w:r w:rsidR="004F01E9">
        <w:rPr>
          <w:noProof/>
        </w:rPr>
        <w:t> %</w:t>
      </w:r>
      <w:r w:rsidRPr="004F01E9">
        <w:rPr>
          <w:noProof/>
        </w:rPr>
        <w:t>.</w:t>
      </w:r>
    </w:p>
    <w:p w14:paraId="45B9FCC3" w14:textId="4BAF6E33" w:rsidR="004009AD" w:rsidRPr="004F01E9" w:rsidRDefault="004009AD" w:rsidP="004009AD">
      <w:pPr>
        <w:pStyle w:val="Text1"/>
        <w:rPr>
          <w:noProof/>
        </w:rPr>
      </w:pPr>
      <w:r w:rsidRPr="004F01E9">
        <w:rPr>
          <w:noProof/>
        </w:rPr>
        <w:t>3. Korelačný parameter, ktorý inštitúcie používajú na agregáciu citlivosti faktora rizika vega miery inflácie</w:t>
      </w:r>
      <w:r w:rsidR="004F01E9">
        <w:rPr>
          <w:noProof/>
        </w:rPr>
        <w:t xml:space="preserve"> a </w:t>
      </w:r>
      <w:r w:rsidRPr="004F01E9">
        <w:rPr>
          <w:noProof/>
        </w:rPr>
        <w:t>citlivosti faktora úrokového rizika vega denominovaného</w:t>
      </w:r>
      <w:r w:rsidR="004F01E9">
        <w:rPr>
          <w:noProof/>
        </w:rPr>
        <w:t xml:space="preserve"> v </w:t>
      </w:r>
      <w:r w:rsidRPr="004F01E9">
        <w:rPr>
          <w:noProof/>
        </w:rPr>
        <w:t>tej istej mene, je 40</w:t>
      </w:r>
      <w:r w:rsidR="004F01E9">
        <w:rPr>
          <w:noProof/>
        </w:rPr>
        <w:t> %</w:t>
      </w:r>
      <w:r w:rsidRPr="004F01E9">
        <w:rPr>
          <w:noProof/>
        </w:rPr>
        <w:t>.</w:t>
      </w:r>
    </w:p>
    <w:p w14:paraId="0B228BBA" w14:textId="77777777" w:rsidR="004009AD" w:rsidRPr="004F01E9" w:rsidRDefault="004009AD" w:rsidP="004009AD">
      <w:pPr>
        <w:pStyle w:val="Titrearticle"/>
        <w:rPr>
          <w:noProof/>
        </w:rPr>
      </w:pPr>
      <w:r w:rsidRPr="004F01E9">
        <w:rPr>
          <w:noProof/>
        </w:rPr>
        <w:t xml:space="preserve">Článok 383m </w:t>
      </w:r>
      <w:r w:rsidRPr="004F01E9">
        <w:rPr>
          <w:noProof/>
        </w:rPr>
        <w:br/>
      </w:r>
      <w:r w:rsidRPr="004F01E9">
        <w:rPr>
          <w:b/>
          <w:i w:val="0"/>
          <w:noProof/>
        </w:rPr>
        <w:t>Rizikové váhy pre devízové riziko</w:t>
      </w:r>
    </w:p>
    <w:p w14:paraId="47570B9A" w14:textId="00EBD80A" w:rsidR="004009AD" w:rsidRPr="004F01E9" w:rsidRDefault="004009AD" w:rsidP="004009AD">
      <w:pPr>
        <w:pStyle w:val="Text1"/>
        <w:rPr>
          <w:rFonts w:eastAsiaTheme="minorEastAsia"/>
          <w:noProof/>
        </w:rPr>
      </w:pPr>
      <w:r w:rsidRPr="004F01E9">
        <w:rPr>
          <w:noProof/>
        </w:rPr>
        <w:t>1. Rizikové váhy pre všetky citlivosti delta na faktor devízového rizika medzi menou vykazovania inštitúcie</w:t>
      </w:r>
      <w:r w:rsidR="004F01E9">
        <w:rPr>
          <w:noProof/>
        </w:rPr>
        <w:t xml:space="preserve"> a </w:t>
      </w:r>
      <w:r w:rsidRPr="004F01E9">
        <w:rPr>
          <w:noProof/>
        </w:rPr>
        <w:t>inou menou sú 11</w:t>
      </w:r>
      <w:r w:rsidR="004F01E9">
        <w:rPr>
          <w:noProof/>
        </w:rPr>
        <w:t> %</w:t>
      </w:r>
      <w:r w:rsidRPr="004F01E9">
        <w:rPr>
          <w:noProof/>
        </w:rPr>
        <w:t>.</w:t>
      </w:r>
    </w:p>
    <w:p w14:paraId="7164F327" w14:textId="07DDE077" w:rsidR="004009AD" w:rsidRPr="004F01E9" w:rsidRDefault="004009AD" w:rsidP="004009AD">
      <w:pPr>
        <w:pStyle w:val="Text1"/>
        <w:rPr>
          <w:rFonts w:eastAsiaTheme="minorEastAsia"/>
          <w:noProof/>
        </w:rPr>
      </w:pPr>
      <w:r w:rsidRPr="004F01E9">
        <w:rPr>
          <w:noProof/>
        </w:rPr>
        <w:t>2. Rizikové váhy pre všetky citlivosti vega na faktor devízového rizika sú 100</w:t>
      </w:r>
      <w:r w:rsidR="004F01E9">
        <w:rPr>
          <w:noProof/>
        </w:rPr>
        <w:t> %</w:t>
      </w:r>
      <w:r w:rsidRPr="004F01E9">
        <w:rPr>
          <w:noProof/>
        </w:rPr>
        <w:t>.</w:t>
      </w:r>
    </w:p>
    <w:p w14:paraId="48D101B3" w14:textId="2F28ED73" w:rsidR="004009AD" w:rsidRPr="004F01E9" w:rsidRDefault="004009AD" w:rsidP="004009AD">
      <w:pPr>
        <w:pStyle w:val="Titrearticle"/>
        <w:rPr>
          <w:noProof/>
        </w:rPr>
      </w:pPr>
      <w:r w:rsidRPr="004F01E9">
        <w:rPr>
          <w:noProof/>
        </w:rPr>
        <w:t xml:space="preserve">Článok 383n </w:t>
      </w:r>
      <w:r w:rsidRPr="004F01E9">
        <w:rPr>
          <w:noProof/>
        </w:rPr>
        <w:br/>
      </w:r>
      <w:r w:rsidRPr="004F01E9">
        <w:rPr>
          <w:b/>
          <w:i w:val="0"/>
          <w:noProof/>
        </w:rPr>
        <w:t>Korelácie pre devízové riziko</w:t>
      </w:r>
    </w:p>
    <w:p w14:paraId="153B0479" w14:textId="186340AC" w:rsidR="004009AD" w:rsidRPr="004F01E9" w:rsidRDefault="004009AD" w:rsidP="004009AD">
      <w:pPr>
        <w:pStyle w:val="Text1"/>
        <w:rPr>
          <w:noProof/>
        </w:rPr>
      </w:pPr>
      <w:r w:rsidRPr="004F01E9">
        <w:rPr>
          <w:noProof/>
        </w:rPr>
        <w:t>Pri agregácii citlivostí na faktory devízového rizika delta</w:t>
      </w:r>
      <w:r w:rsidR="004F01E9">
        <w:rPr>
          <w:noProof/>
        </w:rPr>
        <w:t xml:space="preserve"> a </w:t>
      </w:r>
      <w:r w:rsidRPr="004F01E9">
        <w:rPr>
          <w:noProof/>
        </w:rPr>
        <w:t>vega sa používa jednotný korelačný parameter</w:t>
      </w:r>
      <w:r w:rsidR="004F01E9">
        <w:rPr>
          <w:noProof/>
        </w:rPr>
        <w:t xml:space="preserve"> v </w:t>
      </w:r>
      <w:r w:rsidRPr="004F01E9">
        <w:rPr>
          <w:noProof/>
        </w:rPr>
        <w:t>hodnote 60</w:t>
      </w:r>
      <w:r w:rsidR="004F01E9">
        <w:rPr>
          <w:noProof/>
        </w:rPr>
        <w:t> %</w:t>
      </w:r>
      <w:r w:rsidRPr="004F01E9">
        <w:rPr>
          <w:noProof/>
        </w:rPr>
        <w:t>.</w:t>
      </w:r>
    </w:p>
    <w:p w14:paraId="142764A2" w14:textId="77777777" w:rsidR="004009AD" w:rsidRPr="004F01E9" w:rsidRDefault="004009AD" w:rsidP="004009AD">
      <w:pPr>
        <w:pStyle w:val="Titrearticle"/>
        <w:rPr>
          <w:noProof/>
        </w:rPr>
      </w:pPr>
      <w:r w:rsidRPr="004F01E9">
        <w:rPr>
          <w:noProof/>
        </w:rPr>
        <w:t xml:space="preserve">Článok 383o </w:t>
      </w:r>
      <w:r w:rsidRPr="004F01E9">
        <w:rPr>
          <w:noProof/>
        </w:rPr>
        <w:br/>
      </w:r>
      <w:r w:rsidRPr="004F01E9">
        <w:rPr>
          <w:b/>
          <w:i w:val="0"/>
          <w:noProof/>
        </w:rPr>
        <w:t>Rizikové váhy pre riziko kreditného rozpätia protistrany</w:t>
      </w:r>
    </w:p>
    <w:p w14:paraId="464C6A0D" w14:textId="4062BC02" w:rsidR="004009AD" w:rsidRPr="004F01E9" w:rsidRDefault="004009AD" w:rsidP="004009AD">
      <w:pPr>
        <w:pStyle w:val="Text1"/>
        <w:rPr>
          <w:noProof/>
        </w:rPr>
      </w:pPr>
      <w:r w:rsidRPr="004F01E9">
        <w:rPr>
          <w:noProof/>
        </w:rPr>
        <w:t>1. Rizikové váhy pre citlivosti delta na faktory rizika kreditného rozpätia sú rovnaké pre všetky splatnosti (0,5 roka, 1 rok, 3 roky, 5 rokov, 10 rokov)</w:t>
      </w:r>
      <w:r w:rsidR="004F01E9">
        <w:rPr>
          <w:noProof/>
        </w:rPr>
        <w:t xml:space="preserve"> v </w:t>
      </w:r>
      <w:r w:rsidRPr="004F01E9">
        <w:rPr>
          <w:noProof/>
        </w:rPr>
        <w:t>rámci každej skupiny</w:t>
      </w:r>
      <w:r w:rsidR="004F01E9">
        <w:rPr>
          <w:noProof/>
        </w:rPr>
        <w:t xml:space="preserve"> v </w:t>
      </w:r>
      <w:r w:rsidRPr="004F01E9">
        <w:rPr>
          <w:noProof/>
        </w:rPr>
        <w:t>tabuľke 3</w:t>
      </w:r>
      <w:r w:rsidR="004F01E9">
        <w:rPr>
          <w:noProof/>
        </w:rPr>
        <w:t xml:space="preserve"> a </w:t>
      </w:r>
      <w:r w:rsidRPr="004F01E9">
        <w:rPr>
          <w:noProof/>
        </w:rPr>
        <w:t>sú tieto:</w:t>
      </w:r>
    </w:p>
    <w:p w14:paraId="7C8D4E55" w14:textId="77777777" w:rsidR="004009AD" w:rsidRPr="004F01E9" w:rsidRDefault="004009AD" w:rsidP="00387D41">
      <w:pPr>
        <w:pStyle w:val="Text1"/>
        <w:jc w:val="center"/>
        <w:rPr>
          <w:noProof/>
        </w:rPr>
      </w:pPr>
      <w:r w:rsidRPr="004F01E9">
        <w:rPr>
          <w:noProof/>
        </w:rPr>
        <w:t>Tabuľka 3</w:t>
      </w:r>
    </w:p>
    <w:tbl>
      <w:tblPr>
        <w:tblStyle w:val="TableGrid"/>
        <w:tblW w:w="4273" w:type="pct"/>
        <w:tblInd w:w="959" w:type="dxa"/>
        <w:tblLayout w:type="fixed"/>
        <w:tblLook w:val="04A0" w:firstRow="1" w:lastRow="0" w:firstColumn="1" w:lastColumn="0" w:noHBand="0" w:noVBand="1"/>
      </w:tblPr>
      <w:tblGrid>
        <w:gridCol w:w="992"/>
        <w:gridCol w:w="1132"/>
        <w:gridCol w:w="4255"/>
        <w:gridCol w:w="1559"/>
      </w:tblGrid>
      <w:tr w:rsidR="004009AD" w:rsidRPr="004F01E9" w14:paraId="6BFD4B5A" w14:textId="77777777" w:rsidTr="004334CE">
        <w:trPr>
          <w:trHeight w:val="450"/>
        </w:trPr>
        <w:tc>
          <w:tcPr>
            <w:tcW w:w="625" w:type="pct"/>
            <w:noWrap/>
            <w:hideMark/>
          </w:tcPr>
          <w:p w14:paraId="54031C5F" w14:textId="77777777" w:rsidR="004009AD" w:rsidRPr="004F01E9" w:rsidRDefault="004009AD" w:rsidP="004334CE">
            <w:pPr>
              <w:jc w:val="center"/>
              <w:rPr>
                <w:rFonts w:eastAsiaTheme="minorEastAsia"/>
                <w:noProof/>
              </w:rPr>
            </w:pPr>
            <w:r w:rsidRPr="004F01E9">
              <w:rPr>
                <w:noProof/>
              </w:rPr>
              <w:t>Skupina</w:t>
            </w:r>
          </w:p>
          <w:p w14:paraId="16644E58" w14:textId="77777777" w:rsidR="004009AD" w:rsidRPr="004F01E9" w:rsidRDefault="004009AD" w:rsidP="004334CE">
            <w:pPr>
              <w:jc w:val="center"/>
              <w:rPr>
                <w:rFonts w:eastAsiaTheme="minorEastAsia"/>
                <w:noProof/>
              </w:rPr>
            </w:pPr>
            <w:r w:rsidRPr="004F01E9">
              <w:rPr>
                <w:noProof/>
              </w:rPr>
              <w:t>skupiny</w:t>
            </w:r>
          </w:p>
        </w:tc>
        <w:tc>
          <w:tcPr>
            <w:tcW w:w="713" w:type="pct"/>
            <w:noWrap/>
            <w:hideMark/>
          </w:tcPr>
          <w:p w14:paraId="211E33AD" w14:textId="77777777" w:rsidR="004009AD" w:rsidRPr="004F01E9" w:rsidRDefault="004009AD" w:rsidP="004334CE">
            <w:pPr>
              <w:jc w:val="center"/>
              <w:rPr>
                <w:rFonts w:eastAsiaTheme="minorEastAsia"/>
                <w:noProof/>
              </w:rPr>
            </w:pPr>
            <w:r w:rsidRPr="004F01E9">
              <w:rPr>
                <w:noProof/>
              </w:rPr>
              <w:t>Kreditná</w:t>
            </w:r>
          </w:p>
          <w:p w14:paraId="1EB1460C" w14:textId="77777777" w:rsidR="004009AD" w:rsidRPr="004F01E9" w:rsidRDefault="004009AD" w:rsidP="004334CE">
            <w:pPr>
              <w:jc w:val="center"/>
              <w:rPr>
                <w:rFonts w:eastAsiaTheme="minorEastAsia"/>
                <w:noProof/>
              </w:rPr>
            </w:pPr>
            <w:r w:rsidRPr="004F01E9">
              <w:rPr>
                <w:noProof/>
              </w:rPr>
              <w:t>kvalita</w:t>
            </w:r>
          </w:p>
        </w:tc>
        <w:tc>
          <w:tcPr>
            <w:tcW w:w="2680" w:type="pct"/>
            <w:noWrap/>
            <w:hideMark/>
          </w:tcPr>
          <w:p w14:paraId="11D8F7CE" w14:textId="77777777" w:rsidR="004009AD" w:rsidRPr="004F01E9" w:rsidRDefault="004009AD" w:rsidP="004334CE">
            <w:pPr>
              <w:jc w:val="center"/>
              <w:rPr>
                <w:rFonts w:eastAsiaTheme="minorEastAsia"/>
                <w:noProof/>
              </w:rPr>
            </w:pPr>
            <w:r w:rsidRPr="004F01E9">
              <w:rPr>
                <w:noProof/>
              </w:rPr>
              <w:t>Sektor</w:t>
            </w:r>
          </w:p>
        </w:tc>
        <w:tc>
          <w:tcPr>
            <w:tcW w:w="982" w:type="pct"/>
            <w:hideMark/>
          </w:tcPr>
          <w:p w14:paraId="4BA74B37" w14:textId="397CF98E" w:rsidR="004009AD" w:rsidRPr="004F01E9" w:rsidRDefault="004009AD" w:rsidP="004334CE">
            <w:pPr>
              <w:jc w:val="center"/>
              <w:rPr>
                <w:rFonts w:eastAsiaTheme="minorEastAsia"/>
                <w:noProof/>
              </w:rPr>
            </w:pPr>
            <w:r w:rsidRPr="004F01E9">
              <w:rPr>
                <w:noProof/>
              </w:rPr>
              <w:t>Riziková váha</w:t>
            </w:r>
            <w:r w:rsidR="004F01E9" w:rsidRPr="004F01E9">
              <w:rPr>
                <w:noProof/>
              </w:rPr>
              <w:t xml:space="preserve"> </w:t>
            </w:r>
            <w:r w:rsidRPr="004F01E9">
              <w:rPr>
                <w:noProof/>
              </w:rPr>
              <w:br/>
              <w:t>(percentuálne body)</w:t>
            </w:r>
          </w:p>
        </w:tc>
      </w:tr>
      <w:tr w:rsidR="004009AD" w:rsidRPr="004F01E9" w14:paraId="63D84AD3" w14:textId="77777777" w:rsidTr="004334CE">
        <w:trPr>
          <w:trHeight w:val="300"/>
        </w:trPr>
        <w:tc>
          <w:tcPr>
            <w:tcW w:w="625" w:type="pct"/>
            <w:noWrap/>
            <w:hideMark/>
          </w:tcPr>
          <w:p w14:paraId="6F40BBBF" w14:textId="77777777" w:rsidR="004009AD" w:rsidRPr="004F01E9" w:rsidRDefault="004009AD" w:rsidP="004334CE">
            <w:pPr>
              <w:jc w:val="center"/>
              <w:rPr>
                <w:rFonts w:eastAsiaTheme="minorEastAsia"/>
                <w:noProof/>
              </w:rPr>
            </w:pPr>
            <w:r w:rsidRPr="004F01E9">
              <w:rPr>
                <w:noProof/>
              </w:rPr>
              <w:t>1</w:t>
            </w:r>
          </w:p>
        </w:tc>
        <w:tc>
          <w:tcPr>
            <w:tcW w:w="713" w:type="pct"/>
            <w:noWrap/>
            <w:hideMark/>
          </w:tcPr>
          <w:p w14:paraId="216F7890" w14:textId="77777777" w:rsidR="004009AD" w:rsidRPr="004F01E9" w:rsidRDefault="004009AD" w:rsidP="004334CE">
            <w:pPr>
              <w:jc w:val="center"/>
              <w:rPr>
                <w:rFonts w:eastAsiaTheme="minorEastAsia"/>
                <w:noProof/>
              </w:rPr>
            </w:pPr>
            <w:r w:rsidRPr="004F01E9">
              <w:rPr>
                <w:noProof/>
              </w:rPr>
              <w:t>Všetky</w:t>
            </w:r>
          </w:p>
        </w:tc>
        <w:tc>
          <w:tcPr>
            <w:tcW w:w="2680" w:type="pct"/>
            <w:noWrap/>
            <w:hideMark/>
          </w:tcPr>
          <w:p w14:paraId="4C70EEA0" w14:textId="77777777" w:rsidR="004009AD" w:rsidRPr="004F01E9" w:rsidRDefault="004009AD" w:rsidP="004334CE">
            <w:pPr>
              <w:jc w:val="center"/>
              <w:rPr>
                <w:rFonts w:eastAsiaTheme="minorEastAsia"/>
                <w:noProof/>
              </w:rPr>
            </w:pPr>
            <w:r w:rsidRPr="004F01E9">
              <w:rPr>
                <w:noProof/>
              </w:rPr>
              <w:t>Ústredná vláda členského štátu vrátane centrálnych bánk</w:t>
            </w:r>
          </w:p>
        </w:tc>
        <w:tc>
          <w:tcPr>
            <w:tcW w:w="982" w:type="pct"/>
            <w:hideMark/>
          </w:tcPr>
          <w:p w14:paraId="237F4073" w14:textId="5A54A3C7" w:rsidR="004009AD" w:rsidRPr="004F01E9" w:rsidRDefault="004009AD" w:rsidP="004334CE">
            <w:pPr>
              <w:jc w:val="center"/>
              <w:rPr>
                <w:rFonts w:eastAsiaTheme="minorEastAsia"/>
                <w:noProof/>
              </w:rPr>
            </w:pPr>
            <w:r w:rsidRPr="004F01E9">
              <w:rPr>
                <w:noProof/>
              </w:rPr>
              <w:t>0,5</w:t>
            </w:r>
            <w:r w:rsidR="004F01E9">
              <w:rPr>
                <w:noProof/>
              </w:rPr>
              <w:t> %</w:t>
            </w:r>
          </w:p>
        </w:tc>
      </w:tr>
      <w:tr w:rsidR="004009AD" w:rsidRPr="004F01E9" w14:paraId="2FA807A5" w14:textId="77777777" w:rsidTr="004334CE">
        <w:trPr>
          <w:trHeight w:val="465"/>
        </w:trPr>
        <w:tc>
          <w:tcPr>
            <w:tcW w:w="625" w:type="pct"/>
            <w:noWrap/>
            <w:hideMark/>
          </w:tcPr>
          <w:p w14:paraId="7BBB72B1" w14:textId="77777777" w:rsidR="004009AD" w:rsidRPr="004F01E9" w:rsidRDefault="004009AD" w:rsidP="004334CE">
            <w:pPr>
              <w:jc w:val="center"/>
              <w:rPr>
                <w:rFonts w:eastAsiaTheme="minorEastAsia"/>
                <w:noProof/>
              </w:rPr>
            </w:pPr>
            <w:r w:rsidRPr="004F01E9">
              <w:rPr>
                <w:noProof/>
              </w:rPr>
              <w:t>2</w:t>
            </w:r>
          </w:p>
        </w:tc>
        <w:tc>
          <w:tcPr>
            <w:tcW w:w="713" w:type="pct"/>
            <w:vMerge w:val="restart"/>
            <w:hideMark/>
          </w:tcPr>
          <w:p w14:paraId="612BDBAC" w14:textId="77777777" w:rsidR="004009AD" w:rsidRPr="004F01E9" w:rsidRDefault="004009AD" w:rsidP="004334CE">
            <w:pPr>
              <w:jc w:val="center"/>
              <w:rPr>
                <w:rFonts w:eastAsiaTheme="minorEastAsia"/>
                <w:noProof/>
              </w:rPr>
            </w:pPr>
            <w:r w:rsidRPr="004F01E9">
              <w:rPr>
                <w:noProof/>
              </w:rPr>
              <w:t>Stupeň kreditnej kvality 1 až 3</w:t>
            </w:r>
          </w:p>
        </w:tc>
        <w:tc>
          <w:tcPr>
            <w:tcW w:w="2680" w:type="pct"/>
            <w:hideMark/>
          </w:tcPr>
          <w:p w14:paraId="6A973A8F" w14:textId="548625AF" w:rsidR="004009AD" w:rsidRPr="004F01E9" w:rsidRDefault="004009AD" w:rsidP="004334CE">
            <w:pPr>
              <w:jc w:val="center"/>
              <w:rPr>
                <w:rFonts w:eastAsiaTheme="minorEastAsia"/>
                <w:noProof/>
              </w:rPr>
            </w:pPr>
            <w:r w:rsidRPr="004F01E9">
              <w:rPr>
                <w:noProof/>
              </w:rPr>
              <w:t>Ústredná vláda tretej krajiny vrátane centrálnych bánk, multilaterálne rozvojové banky</w:t>
            </w:r>
            <w:r w:rsidR="004F01E9">
              <w:rPr>
                <w:noProof/>
              </w:rPr>
              <w:t xml:space="preserve"> a </w:t>
            </w:r>
            <w:r w:rsidRPr="004F01E9">
              <w:rPr>
                <w:noProof/>
              </w:rPr>
              <w:t>medzinárodné organizácie uvedené</w:t>
            </w:r>
            <w:r w:rsidR="004F01E9">
              <w:rPr>
                <w:noProof/>
              </w:rPr>
              <w:t xml:space="preserve"> v </w:t>
            </w:r>
            <w:r w:rsidRPr="004F01E9">
              <w:rPr>
                <w:noProof/>
              </w:rPr>
              <w:t>článku 117 ods. 2</w:t>
            </w:r>
            <w:r w:rsidR="004F01E9">
              <w:rPr>
                <w:noProof/>
              </w:rPr>
              <w:t xml:space="preserve"> a </w:t>
            </w:r>
            <w:r w:rsidRPr="004F01E9">
              <w:rPr>
                <w:noProof/>
              </w:rPr>
              <w:t>článku 118</w:t>
            </w:r>
          </w:p>
        </w:tc>
        <w:tc>
          <w:tcPr>
            <w:tcW w:w="982" w:type="pct"/>
            <w:noWrap/>
            <w:hideMark/>
          </w:tcPr>
          <w:p w14:paraId="46AE816D" w14:textId="5957ADCF" w:rsidR="004009AD" w:rsidRPr="004F01E9" w:rsidRDefault="004009AD" w:rsidP="004334CE">
            <w:pPr>
              <w:jc w:val="center"/>
              <w:rPr>
                <w:rFonts w:eastAsiaTheme="minorEastAsia"/>
                <w:noProof/>
              </w:rPr>
            </w:pPr>
            <w:r w:rsidRPr="004F01E9">
              <w:rPr>
                <w:noProof/>
              </w:rPr>
              <w:t>0,5</w:t>
            </w:r>
            <w:r w:rsidR="004F01E9">
              <w:rPr>
                <w:noProof/>
              </w:rPr>
              <w:t> %</w:t>
            </w:r>
          </w:p>
        </w:tc>
      </w:tr>
      <w:tr w:rsidR="004009AD" w:rsidRPr="004F01E9" w14:paraId="2FA0FEAE" w14:textId="77777777" w:rsidTr="004334CE">
        <w:trPr>
          <w:trHeight w:val="300"/>
        </w:trPr>
        <w:tc>
          <w:tcPr>
            <w:tcW w:w="625" w:type="pct"/>
            <w:noWrap/>
            <w:hideMark/>
          </w:tcPr>
          <w:p w14:paraId="5C39FEA3" w14:textId="77777777" w:rsidR="004009AD" w:rsidRPr="004F01E9" w:rsidRDefault="004009AD" w:rsidP="004334CE">
            <w:pPr>
              <w:jc w:val="center"/>
              <w:rPr>
                <w:rFonts w:eastAsiaTheme="minorEastAsia"/>
                <w:noProof/>
              </w:rPr>
            </w:pPr>
            <w:r w:rsidRPr="004F01E9">
              <w:rPr>
                <w:noProof/>
              </w:rPr>
              <w:t>3</w:t>
            </w:r>
          </w:p>
        </w:tc>
        <w:tc>
          <w:tcPr>
            <w:tcW w:w="713" w:type="pct"/>
            <w:vMerge/>
            <w:hideMark/>
          </w:tcPr>
          <w:p w14:paraId="37EA87CF" w14:textId="77777777" w:rsidR="004009AD" w:rsidRPr="004F01E9" w:rsidRDefault="004009AD" w:rsidP="004334CE">
            <w:pPr>
              <w:jc w:val="center"/>
              <w:rPr>
                <w:rFonts w:eastAsiaTheme="minorEastAsia"/>
                <w:noProof/>
              </w:rPr>
            </w:pPr>
          </w:p>
        </w:tc>
        <w:tc>
          <w:tcPr>
            <w:tcW w:w="2680" w:type="pct"/>
            <w:hideMark/>
          </w:tcPr>
          <w:p w14:paraId="3B68ECD0" w14:textId="49A1A734" w:rsidR="004009AD" w:rsidRPr="004F01E9" w:rsidRDefault="004009AD" w:rsidP="004334CE">
            <w:pPr>
              <w:jc w:val="center"/>
              <w:rPr>
                <w:rFonts w:eastAsiaTheme="minorEastAsia"/>
                <w:noProof/>
              </w:rPr>
            </w:pPr>
            <w:r w:rsidRPr="004F01E9">
              <w:rPr>
                <w:noProof/>
              </w:rPr>
              <w:t>Regionálne alebo miestne orgány</w:t>
            </w:r>
            <w:r w:rsidR="004F01E9">
              <w:rPr>
                <w:noProof/>
              </w:rPr>
              <w:t xml:space="preserve"> a </w:t>
            </w:r>
            <w:r w:rsidRPr="004F01E9">
              <w:rPr>
                <w:noProof/>
              </w:rPr>
              <w:t>subjekty verejného sektora</w:t>
            </w:r>
          </w:p>
        </w:tc>
        <w:tc>
          <w:tcPr>
            <w:tcW w:w="982" w:type="pct"/>
            <w:noWrap/>
            <w:hideMark/>
          </w:tcPr>
          <w:p w14:paraId="4351AE85" w14:textId="73430B4C" w:rsidR="004009AD" w:rsidRPr="004F01E9" w:rsidRDefault="004009AD" w:rsidP="004334CE">
            <w:pPr>
              <w:jc w:val="center"/>
              <w:rPr>
                <w:rFonts w:eastAsiaTheme="minorEastAsia"/>
                <w:noProof/>
              </w:rPr>
            </w:pPr>
            <w:r w:rsidRPr="004F01E9">
              <w:rPr>
                <w:noProof/>
              </w:rPr>
              <w:t>1,0</w:t>
            </w:r>
            <w:r w:rsidR="004F01E9">
              <w:rPr>
                <w:noProof/>
              </w:rPr>
              <w:t> %</w:t>
            </w:r>
          </w:p>
        </w:tc>
      </w:tr>
      <w:tr w:rsidR="004009AD" w:rsidRPr="004F01E9" w14:paraId="12088B76" w14:textId="77777777" w:rsidTr="004334CE">
        <w:trPr>
          <w:trHeight w:val="465"/>
        </w:trPr>
        <w:tc>
          <w:tcPr>
            <w:tcW w:w="625" w:type="pct"/>
            <w:noWrap/>
            <w:hideMark/>
          </w:tcPr>
          <w:p w14:paraId="4E57354C" w14:textId="77777777" w:rsidR="004009AD" w:rsidRPr="004F01E9" w:rsidRDefault="004009AD" w:rsidP="004334CE">
            <w:pPr>
              <w:jc w:val="center"/>
              <w:rPr>
                <w:rFonts w:eastAsiaTheme="minorEastAsia"/>
                <w:noProof/>
              </w:rPr>
            </w:pPr>
            <w:r w:rsidRPr="004F01E9">
              <w:rPr>
                <w:noProof/>
              </w:rPr>
              <w:t>4</w:t>
            </w:r>
          </w:p>
        </w:tc>
        <w:tc>
          <w:tcPr>
            <w:tcW w:w="713" w:type="pct"/>
            <w:vMerge/>
            <w:hideMark/>
          </w:tcPr>
          <w:p w14:paraId="02A48785" w14:textId="77777777" w:rsidR="004009AD" w:rsidRPr="004F01E9" w:rsidRDefault="004009AD" w:rsidP="004334CE">
            <w:pPr>
              <w:jc w:val="center"/>
              <w:rPr>
                <w:rFonts w:eastAsiaTheme="minorEastAsia"/>
                <w:noProof/>
              </w:rPr>
            </w:pPr>
          </w:p>
        </w:tc>
        <w:tc>
          <w:tcPr>
            <w:tcW w:w="2680" w:type="pct"/>
            <w:hideMark/>
          </w:tcPr>
          <w:p w14:paraId="7CEFA3CC" w14:textId="40E48560" w:rsidR="004009AD" w:rsidRPr="004F01E9" w:rsidRDefault="004009AD" w:rsidP="004334CE">
            <w:pPr>
              <w:jc w:val="center"/>
              <w:rPr>
                <w:rFonts w:eastAsiaTheme="minorEastAsia"/>
                <w:noProof/>
              </w:rPr>
            </w:pPr>
            <w:r w:rsidRPr="004F01E9">
              <w:rPr>
                <w:noProof/>
              </w:rPr>
              <w:t>Subjekty finančného sektora vrátane úverových inštitúcií zriadených alebo založených ústrednou vládou, regionálnou vládou alebo miestnym orgánom</w:t>
            </w:r>
            <w:r w:rsidR="004F01E9">
              <w:rPr>
                <w:noProof/>
              </w:rPr>
              <w:t xml:space="preserve"> a </w:t>
            </w:r>
            <w:r w:rsidRPr="004F01E9">
              <w:rPr>
                <w:noProof/>
              </w:rPr>
              <w:t>poskytovatelia podporných úverov</w:t>
            </w:r>
          </w:p>
        </w:tc>
        <w:tc>
          <w:tcPr>
            <w:tcW w:w="982" w:type="pct"/>
            <w:noWrap/>
            <w:hideMark/>
          </w:tcPr>
          <w:p w14:paraId="106BC8F1" w14:textId="45DE52EA" w:rsidR="004009AD" w:rsidRPr="004F01E9" w:rsidRDefault="004009AD" w:rsidP="004334CE">
            <w:pPr>
              <w:jc w:val="center"/>
              <w:rPr>
                <w:rFonts w:eastAsiaTheme="minorEastAsia"/>
                <w:noProof/>
              </w:rPr>
            </w:pPr>
            <w:r w:rsidRPr="004F01E9">
              <w:rPr>
                <w:noProof/>
              </w:rPr>
              <w:t>5,0</w:t>
            </w:r>
            <w:r w:rsidR="004F01E9">
              <w:rPr>
                <w:noProof/>
              </w:rPr>
              <w:t> %</w:t>
            </w:r>
          </w:p>
        </w:tc>
      </w:tr>
      <w:tr w:rsidR="004009AD" w:rsidRPr="004F01E9" w14:paraId="5261D95C" w14:textId="77777777" w:rsidTr="004334CE">
        <w:trPr>
          <w:trHeight w:val="300"/>
        </w:trPr>
        <w:tc>
          <w:tcPr>
            <w:tcW w:w="625" w:type="pct"/>
            <w:noWrap/>
            <w:hideMark/>
          </w:tcPr>
          <w:p w14:paraId="6CDAF366" w14:textId="77777777" w:rsidR="004009AD" w:rsidRPr="004F01E9" w:rsidRDefault="004009AD" w:rsidP="004334CE">
            <w:pPr>
              <w:jc w:val="center"/>
              <w:rPr>
                <w:rFonts w:eastAsiaTheme="minorEastAsia"/>
                <w:noProof/>
              </w:rPr>
            </w:pPr>
            <w:r w:rsidRPr="004F01E9">
              <w:rPr>
                <w:noProof/>
              </w:rPr>
              <w:t>5</w:t>
            </w:r>
          </w:p>
        </w:tc>
        <w:tc>
          <w:tcPr>
            <w:tcW w:w="713" w:type="pct"/>
            <w:vMerge/>
            <w:hideMark/>
          </w:tcPr>
          <w:p w14:paraId="26B87F7A" w14:textId="77777777" w:rsidR="004009AD" w:rsidRPr="004F01E9" w:rsidRDefault="004009AD" w:rsidP="004334CE">
            <w:pPr>
              <w:jc w:val="center"/>
              <w:rPr>
                <w:rFonts w:eastAsiaTheme="minorEastAsia"/>
                <w:noProof/>
              </w:rPr>
            </w:pPr>
          </w:p>
        </w:tc>
        <w:tc>
          <w:tcPr>
            <w:tcW w:w="2680" w:type="pct"/>
            <w:hideMark/>
          </w:tcPr>
          <w:p w14:paraId="0EFF22B2" w14:textId="64DD0847" w:rsidR="004009AD" w:rsidRPr="004F01E9" w:rsidRDefault="004009AD" w:rsidP="004334CE">
            <w:pPr>
              <w:jc w:val="center"/>
              <w:rPr>
                <w:rFonts w:eastAsiaTheme="minorEastAsia"/>
                <w:noProof/>
              </w:rPr>
            </w:pPr>
            <w:r w:rsidRPr="004F01E9">
              <w:rPr>
                <w:noProof/>
              </w:rPr>
              <w:t>Základné materiály, energetika, priemyselné podniky, poľnohospodárstvo, spracovateľský priemysel, ťažba</w:t>
            </w:r>
            <w:r w:rsidR="004F01E9">
              <w:rPr>
                <w:noProof/>
              </w:rPr>
              <w:t xml:space="preserve"> a </w:t>
            </w:r>
            <w:r w:rsidRPr="004F01E9">
              <w:rPr>
                <w:noProof/>
              </w:rPr>
              <w:t>dobývanie</w:t>
            </w:r>
          </w:p>
        </w:tc>
        <w:tc>
          <w:tcPr>
            <w:tcW w:w="982" w:type="pct"/>
            <w:noWrap/>
            <w:hideMark/>
          </w:tcPr>
          <w:p w14:paraId="6CE2C30E" w14:textId="41A69A51" w:rsidR="004009AD" w:rsidRPr="004F01E9" w:rsidRDefault="004009AD" w:rsidP="004334CE">
            <w:pPr>
              <w:jc w:val="center"/>
              <w:rPr>
                <w:rFonts w:eastAsiaTheme="minorEastAsia"/>
                <w:noProof/>
              </w:rPr>
            </w:pPr>
            <w:r w:rsidRPr="004F01E9">
              <w:rPr>
                <w:noProof/>
              </w:rPr>
              <w:t>3,0</w:t>
            </w:r>
            <w:r w:rsidR="004F01E9">
              <w:rPr>
                <w:noProof/>
              </w:rPr>
              <w:t> %</w:t>
            </w:r>
          </w:p>
        </w:tc>
      </w:tr>
      <w:tr w:rsidR="004009AD" w:rsidRPr="004F01E9" w14:paraId="272E9FAA" w14:textId="77777777" w:rsidTr="004334CE">
        <w:trPr>
          <w:trHeight w:val="465"/>
        </w:trPr>
        <w:tc>
          <w:tcPr>
            <w:tcW w:w="625" w:type="pct"/>
            <w:noWrap/>
            <w:hideMark/>
          </w:tcPr>
          <w:p w14:paraId="0EDC8035" w14:textId="77777777" w:rsidR="004009AD" w:rsidRPr="004F01E9" w:rsidRDefault="004009AD" w:rsidP="004334CE">
            <w:pPr>
              <w:jc w:val="center"/>
              <w:rPr>
                <w:rFonts w:eastAsiaTheme="minorEastAsia"/>
                <w:noProof/>
              </w:rPr>
            </w:pPr>
            <w:r w:rsidRPr="004F01E9">
              <w:rPr>
                <w:noProof/>
              </w:rPr>
              <w:t>6</w:t>
            </w:r>
          </w:p>
        </w:tc>
        <w:tc>
          <w:tcPr>
            <w:tcW w:w="713" w:type="pct"/>
            <w:vMerge/>
            <w:hideMark/>
          </w:tcPr>
          <w:p w14:paraId="3C2F264E" w14:textId="77777777" w:rsidR="004009AD" w:rsidRPr="004F01E9" w:rsidRDefault="004009AD" w:rsidP="004334CE">
            <w:pPr>
              <w:jc w:val="center"/>
              <w:rPr>
                <w:rFonts w:eastAsiaTheme="minorEastAsia"/>
                <w:noProof/>
              </w:rPr>
            </w:pPr>
          </w:p>
        </w:tc>
        <w:tc>
          <w:tcPr>
            <w:tcW w:w="2680" w:type="pct"/>
            <w:hideMark/>
          </w:tcPr>
          <w:p w14:paraId="77DD48E3" w14:textId="3A62F493" w:rsidR="004009AD" w:rsidRPr="004F01E9" w:rsidRDefault="004009AD" w:rsidP="004334CE">
            <w:pPr>
              <w:jc w:val="center"/>
              <w:rPr>
                <w:rFonts w:eastAsiaTheme="minorEastAsia"/>
                <w:noProof/>
              </w:rPr>
            </w:pPr>
            <w:r w:rsidRPr="004F01E9">
              <w:rPr>
                <w:noProof/>
              </w:rPr>
              <w:t>Spotrebný tovar</w:t>
            </w:r>
            <w:r w:rsidR="004F01E9">
              <w:rPr>
                <w:noProof/>
              </w:rPr>
              <w:t xml:space="preserve"> a </w:t>
            </w:r>
            <w:r w:rsidRPr="004F01E9">
              <w:rPr>
                <w:noProof/>
              </w:rPr>
              <w:t>služby, doprava</w:t>
            </w:r>
            <w:r w:rsidR="004F01E9">
              <w:rPr>
                <w:noProof/>
              </w:rPr>
              <w:t xml:space="preserve"> a </w:t>
            </w:r>
            <w:r w:rsidRPr="004F01E9">
              <w:rPr>
                <w:noProof/>
              </w:rPr>
              <w:t>skladovanie, administratívne</w:t>
            </w:r>
            <w:r w:rsidR="004F01E9">
              <w:rPr>
                <w:noProof/>
              </w:rPr>
              <w:t xml:space="preserve"> a </w:t>
            </w:r>
            <w:r w:rsidRPr="004F01E9">
              <w:rPr>
                <w:noProof/>
              </w:rPr>
              <w:t>podporné činnosti</w:t>
            </w:r>
          </w:p>
        </w:tc>
        <w:tc>
          <w:tcPr>
            <w:tcW w:w="982" w:type="pct"/>
            <w:noWrap/>
            <w:hideMark/>
          </w:tcPr>
          <w:p w14:paraId="7F422266" w14:textId="1C9B39F6" w:rsidR="004009AD" w:rsidRPr="004F01E9" w:rsidRDefault="004009AD" w:rsidP="004334CE">
            <w:pPr>
              <w:jc w:val="center"/>
              <w:rPr>
                <w:rFonts w:eastAsiaTheme="minorEastAsia"/>
                <w:noProof/>
              </w:rPr>
            </w:pPr>
            <w:r w:rsidRPr="004F01E9">
              <w:rPr>
                <w:noProof/>
              </w:rPr>
              <w:t>30</w:t>
            </w:r>
            <w:r w:rsidR="004F01E9">
              <w:rPr>
                <w:noProof/>
              </w:rPr>
              <w:t> %</w:t>
            </w:r>
          </w:p>
        </w:tc>
      </w:tr>
      <w:tr w:rsidR="004009AD" w:rsidRPr="004F01E9" w14:paraId="0FC0BCD7" w14:textId="77777777" w:rsidTr="004334CE">
        <w:trPr>
          <w:trHeight w:val="300"/>
        </w:trPr>
        <w:tc>
          <w:tcPr>
            <w:tcW w:w="625" w:type="pct"/>
            <w:noWrap/>
            <w:hideMark/>
          </w:tcPr>
          <w:p w14:paraId="42AFF2EE" w14:textId="77777777" w:rsidR="004009AD" w:rsidRPr="004F01E9" w:rsidRDefault="004009AD" w:rsidP="004334CE">
            <w:pPr>
              <w:jc w:val="center"/>
              <w:rPr>
                <w:rFonts w:eastAsiaTheme="minorEastAsia"/>
                <w:noProof/>
              </w:rPr>
            </w:pPr>
            <w:r w:rsidRPr="004F01E9">
              <w:rPr>
                <w:noProof/>
              </w:rPr>
              <w:t>7</w:t>
            </w:r>
          </w:p>
        </w:tc>
        <w:tc>
          <w:tcPr>
            <w:tcW w:w="713" w:type="pct"/>
            <w:vMerge/>
            <w:hideMark/>
          </w:tcPr>
          <w:p w14:paraId="73077ACF" w14:textId="77777777" w:rsidR="004009AD" w:rsidRPr="004F01E9" w:rsidRDefault="004009AD" w:rsidP="004334CE">
            <w:pPr>
              <w:jc w:val="center"/>
              <w:rPr>
                <w:rFonts w:eastAsiaTheme="minorEastAsia"/>
                <w:noProof/>
              </w:rPr>
            </w:pPr>
          </w:p>
        </w:tc>
        <w:tc>
          <w:tcPr>
            <w:tcW w:w="2680" w:type="pct"/>
            <w:hideMark/>
          </w:tcPr>
          <w:p w14:paraId="00FF5C0D" w14:textId="77777777" w:rsidR="004009AD" w:rsidRPr="004F01E9" w:rsidRDefault="004009AD" w:rsidP="004334CE">
            <w:pPr>
              <w:jc w:val="center"/>
              <w:rPr>
                <w:rFonts w:eastAsiaTheme="minorEastAsia"/>
                <w:noProof/>
              </w:rPr>
            </w:pPr>
            <w:r w:rsidRPr="004F01E9">
              <w:rPr>
                <w:noProof/>
              </w:rPr>
              <w:t>Technológie, telekomunikácie</w:t>
            </w:r>
          </w:p>
        </w:tc>
        <w:tc>
          <w:tcPr>
            <w:tcW w:w="982" w:type="pct"/>
            <w:noWrap/>
            <w:hideMark/>
          </w:tcPr>
          <w:p w14:paraId="5F7B1425" w14:textId="6EBF72EA" w:rsidR="004009AD" w:rsidRPr="004F01E9" w:rsidRDefault="004009AD" w:rsidP="004334CE">
            <w:pPr>
              <w:jc w:val="center"/>
              <w:rPr>
                <w:rFonts w:eastAsiaTheme="minorEastAsia"/>
                <w:noProof/>
              </w:rPr>
            </w:pPr>
            <w:r w:rsidRPr="004F01E9">
              <w:rPr>
                <w:noProof/>
              </w:rPr>
              <w:t>2,0</w:t>
            </w:r>
            <w:r w:rsidR="004F01E9">
              <w:rPr>
                <w:noProof/>
              </w:rPr>
              <w:t> %</w:t>
            </w:r>
          </w:p>
        </w:tc>
      </w:tr>
      <w:tr w:rsidR="004009AD" w:rsidRPr="004F01E9" w14:paraId="7AA2E496" w14:textId="77777777" w:rsidTr="004334CE">
        <w:trPr>
          <w:trHeight w:val="300"/>
        </w:trPr>
        <w:tc>
          <w:tcPr>
            <w:tcW w:w="625" w:type="pct"/>
            <w:noWrap/>
            <w:hideMark/>
          </w:tcPr>
          <w:p w14:paraId="70194A89" w14:textId="77777777" w:rsidR="004009AD" w:rsidRPr="004F01E9" w:rsidRDefault="004009AD" w:rsidP="004334CE">
            <w:pPr>
              <w:jc w:val="center"/>
              <w:rPr>
                <w:rFonts w:eastAsiaTheme="minorEastAsia"/>
                <w:noProof/>
              </w:rPr>
            </w:pPr>
            <w:r w:rsidRPr="004F01E9">
              <w:rPr>
                <w:noProof/>
              </w:rPr>
              <w:t>8</w:t>
            </w:r>
          </w:p>
        </w:tc>
        <w:tc>
          <w:tcPr>
            <w:tcW w:w="713" w:type="pct"/>
            <w:vMerge/>
            <w:hideMark/>
          </w:tcPr>
          <w:p w14:paraId="154D6016" w14:textId="77777777" w:rsidR="004009AD" w:rsidRPr="004F01E9" w:rsidRDefault="004009AD" w:rsidP="004334CE">
            <w:pPr>
              <w:jc w:val="center"/>
              <w:rPr>
                <w:rFonts w:eastAsiaTheme="minorEastAsia"/>
                <w:noProof/>
              </w:rPr>
            </w:pPr>
          </w:p>
        </w:tc>
        <w:tc>
          <w:tcPr>
            <w:tcW w:w="2680" w:type="pct"/>
            <w:hideMark/>
          </w:tcPr>
          <w:p w14:paraId="546BD846" w14:textId="164DE994" w:rsidR="004009AD" w:rsidRPr="004F01E9" w:rsidRDefault="004009AD" w:rsidP="004334CE">
            <w:pPr>
              <w:jc w:val="center"/>
              <w:rPr>
                <w:rFonts w:eastAsiaTheme="minorEastAsia"/>
                <w:noProof/>
              </w:rPr>
            </w:pPr>
            <w:r w:rsidRPr="004F01E9">
              <w:rPr>
                <w:noProof/>
              </w:rPr>
              <w:t>Zdravotná starostlivosť, úžitkové služby, odborné</w:t>
            </w:r>
            <w:r w:rsidR="004F01E9">
              <w:rPr>
                <w:noProof/>
              </w:rPr>
              <w:t xml:space="preserve"> a </w:t>
            </w:r>
            <w:r w:rsidRPr="004F01E9">
              <w:rPr>
                <w:noProof/>
              </w:rPr>
              <w:t>technické činnosti</w:t>
            </w:r>
          </w:p>
        </w:tc>
        <w:tc>
          <w:tcPr>
            <w:tcW w:w="982" w:type="pct"/>
            <w:noWrap/>
            <w:hideMark/>
          </w:tcPr>
          <w:p w14:paraId="4854DCAE" w14:textId="72C8CF32" w:rsidR="004009AD" w:rsidRPr="004F01E9" w:rsidRDefault="004009AD" w:rsidP="004334CE">
            <w:pPr>
              <w:jc w:val="center"/>
              <w:rPr>
                <w:rFonts w:eastAsiaTheme="minorEastAsia"/>
                <w:noProof/>
              </w:rPr>
            </w:pPr>
            <w:r w:rsidRPr="004F01E9">
              <w:rPr>
                <w:noProof/>
              </w:rPr>
              <w:t>1,5</w:t>
            </w:r>
            <w:r w:rsidR="004F01E9">
              <w:rPr>
                <w:noProof/>
              </w:rPr>
              <w:t> %</w:t>
            </w:r>
          </w:p>
        </w:tc>
      </w:tr>
      <w:tr w:rsidR="004009AD" w:rsidRPr="004F01E9" w14:paraId="5EDEB1B4" w14:textId="77777777" w:rsidTr="004334CE">
        <w:trPr>
          <w:trHeight w:val="300"/>
        </w:trPr>
        <w:tc>
          <w:tcPr>
            <w:tcW w:w="625" w:type="pct"/>
            <w:noWrap/>
          </w:tcPr>
          <w:p w14:paraId="5628457A" w14:textId="77777777" w:rsidR="004009AD" w:rsidRPr="004F01E9" w:rsidRDefault="004009AD" w:rsidP="004334CE">
            <w:pPr>
              <w:jc w:val="center"/>
              <w:rPr>
                <w:rFonts w:eastAsiaTheme="minorEastAsia"/>
                <w:noProof/>
              </w:rPr>
            </w:pPr>
            <w:r w:rsidRPr="004F01E9">
              <w:rPr>
                <w:noProof/>
              </w:rPr>
              <w:t>9</w:t>
            </w:r>
          </w:p>
        </w:tc>
        <w:tc>
          <w:tcPr>
            <w:tcW w:w="713" w:type="pct"/>
            <w:vMerge/>
          </w:tcPr>
          <w:p w14:paraId="61FE443E" w14:textId="77777777" w:rsidR="004009AD" w:rsidRPr="004F01E9" w:rsidRDefault="004009AD" w:rsidP="004334CE">
            <w:pPr>
              <w:jc w:val="center"/>
              <w:rPr>
                <w:rFonts w:eastAsiaTheme="minorEastAsia"/>
                <w:noProof/>
              </w:rPr>
            </w:pPr>
          </w:p>
        </w:tc>
        <w:tc>
          <w:tcPr>
            <w:tcW w:w="2680" w:type="pct"/>
          </w:tcPr>
          <w:p w14:paraId="728CE014" w14:textId="77777777" w:rsidR="004009AD" w:rsidRPr="004F01E9" w:rsidRDefault="004009AD" w:rsidP="004334CE">
            <w:pPr>
              <w:jc w:val="center"/>
              <w:rPr>
                <w:rFonts w:eastAsiaTheme="minorEastAsia"/>
                <w:noProof/>
              </w:rPr>
            </w:pPr>
            <w:r w:rsidRPr="004F01E9">
              <w:rPr>
                <w:noProof/>
              </w:rPr>
              <w:t>Iný sektor</w:t>
            </w:r>
          </w:p>
        </w:tc>
        <w:tc>
          <w:tcPr>
            <w:tcW w:w="982" w:type="pct"/>
            <w:noWrap/>
          </w:tcPr>
          <w:p w14:paraId="217D4C23" w14:textId="4C1D67B9" w:rsidR="004009AD" w:rsidRPr="004F01E9" w:rsidRDefault="004009AD" w:rsidP="004334CE">
            <w:pPr>
              <w:jc w:val="center"/>
              <w:rPr>
                <w:rFonts w:eastAsiaTheme="minorEastAsia"/>
                <w:noProof/>
              </w:rPr>
            </w:pPr>
            <w:r w:rsidRPr="004F01E9">
              <w:rPr>
                <w:noProof/>
              </w:rPr>
              <w:t>5,0</w:t>
            </w:r>
            <w:r w:rsidR="004F01E9">
              <w:rPr>
                <w:noProof/>
              </w:rPr>
              <w:t> %</w:t>
            </w:r>
          </w:p>
        </w:tc>
      </w:tr>
      <w:tr w:rsidR="004009AD" w:rsidRPr="004F01E9" w14:paraId="45777605" w14:textId="77777777" w:rsidTr="004334CE">
        <w:trPr>
          <w:trHeight w:val="300"/>
        </w:trPr>
        <w:tc>
          <w:tcPr>
            <w:tcW w:w="625" w:type="pct"/>
            <w:noWrap/>
          </w:tcPr>
          <w:p w14:paraId="2054422D" w14:textId="77777777" w:rsidR="004009AD" w:rsidRPr="004F01E9" w:rsidRDefault="004009AD" w:rsidP="004334CE">
            <w:pPr>
              <w:jc w:val="center"/>
              <w:rPr>
                <w:rFonts w:eastAsiaTheme="minorEastAsia"/>
                <w:noProof/>
              </w:rPr>
            </w:pPr>
            <w:r w:rsidRPr="004F01E9">
              <w:rPr>
                <w:noProof/>
              </w:rPr>
              <w:t>10</w:t>
            </w:r>
          </w:p>
        </w:tc>
        <w:tc>
          <w:tcPr>
            <w:tcW w:w="713" w:type="pct"/>
            <w:vMerge/>
          </w:tcPr>
          <w:p w14:paraId="5B7B6E85" w14:textId="77777777" w:rsidR="004009AD" w:rsidRPr="004F01E9" w:rsidRDefault="004009AD" w:rsidP="004334CE">
            <w:pPr>
              <w:jc w:val="center"/>
              <w:rPr>
                <w:rFonts w:eastAsiaTheme="minorEastAsia"/>
                <w:noProof/>
              </w:rPr>
            </w:pPr>
          </w:p>
        </w:tc>
        <w:tc>
          <w:tcPr>
            <w:tcW w:w="2680" w:type="pct"/>
          </w:tcPr>
          <w:p w14:paraId="294BCAAC" w14:textId="77777777" w:rsidR="004009AD" w:rsidRPr="004F01E9" w:rsidRDefault="004009AD" w:rsidP="004334CE">
            <w:pPr>
              <w:jc w:val="center"/>
              <w:rPr>
                <w:rFonts w:eastAsiaTheme="minorEastAsia"/>
                <w:noProof/>
              </w:rPr>
            </w:pPr>
            <w:r w:rsidRPr="004F01E9">
              <w:rPr>
                <w:noProof/>
              </w:rPr>
              <w:t>Kvalifikované indexy</w:t>
            </w:r>
          </w:p>
        </w:tc>
        <w:tc>
          <w:tcPr>
            <w:tcW w:w="982" w:type="pct"/>
            <w:noWrap/>
          </w:tcPr>
          <w:p w14:paraId="5BAAE09B" w14:textId="4F5488D1" w:rsidR="004009AD" w:rsidRPr="004F01E9" w:rsidRDefault="004009AD" w:rsidP="004334CE">
            <w:pPr>
              <w:jc w:val="center"/>
              <w:rPr>
                <w:rFonts w:eastAsiaTheme="minorEastAsia"/>
                <w:noProof/>
              </w:rPr>
            </w:pPr>
            <w:r w:rsidRPr="004F01E9">
              <w:rPr>
                <w:noProof/>
              </w:rPr>
              <w:t>1,5</w:t>
            </w:r>
            <w:r w:rsidR="004F01E9">
              <w:rPr>
                <w:noProof/>
              </w:rPr>
              <w:t> %</w:t>
            </w:r>
          </w:p>
        </w:tc>
      </w:tr>
      <w:tr w:rsidR="004009AD" w:rsidRPr="004F01E9" w14:paraId="100EECD9" w14:textId="77777777" w:rsidTr="004334CE">
        <w:trPr>
          <w:trHeight w:val="300"/>
        </w:trPr>
        <w:tc>
          <w:tcPr>
            <w:tcW w:w="625" w:type="pct"/>
            <w:noWrap/>
          </w:tcPr>
          <w:p w14:paraId="12F7843F" w14:textId="77777777" w:rsidR="004009AD" w:rsidRPr="004F01E9" w:rsidRDefault="004009AD" w:rsidP="004334CE">
            <w:pPr>
              <w:jc w:val="center"/>
              <w:rPr>
                <w:rFonts w:eastAsiaTheme="minorEastAsia"/>
                <w:noProof/>
              </w:rPr>
            </w:pPr>
            <w:r w:rsidRPr="004F01E9">
              <w:rPr>
                <w:noProof/>
              </w:rPr>
              <w:t>11</w:t>
            </w:r>
          </w:p>
        </w:tc>
        <w:tc>
          <w:tcPr>
            <w:tcW w:w="713" w:type="pct"/>
            <w:vMerge w:val="restart"/>
          </w:tcPr>
          <w:p w14:paraId="3C9923FA" w14:textId="033C16FE" w:rsidR="004009AD" w:rsidRPr="004F01E9" w:rsidRDefault="004009AD" w:rsidP="004334CE">
            <w:pPr>
              <w:jc w:val="center"/>
              <w:rPr>
                <w:rFonts w:eastAsiaTheme="minorEastAsia"/>
                <w:noProof/>
              </w:rPr>
            </w:pPr>
            <w:r w:rsidRPr="004F01E9">
              <w:rPr>
                <w:noProof/>
              </w:rPr>
              <w:t>Stupeň kreditnej kvality 4 až 6</w:t>
            </w:r>
            <w:r w:rsidR="004F01E9">
              <w:rPr>
                <w:noProof/>
              </w:rPr>
              <w:t xml:space="preserve"> a </w:t>
            </w:r>
            <w:r w:rsidRPr="004F01E9">
              <w:rPr>
                <w:noProof/>
              </w:rPr>
              <w:t>bez ratingu</w:t>
            </w:r>
          </w:p>
        </w:tc>
        <w:tc>
          <w:tcPr>
            <w:tcW w:w="2680" w:type="pct"/>
          </w:tcPr>
          <w:p w14:paraId="5A060569" w14:textId="5F5E9AAC" w:rsidR="004009AD" w:rsidRPr="004F01E9" w:rsidRDefault="004009AD" w:rsidP="004334CE">
            <w:pPr>
              <w:jc w:val="center"/>
              <w:rPr>
                <w:rFonts w:eastAsiaTheme="minorEastAsia"/>
                <w:noProof/>
              </w:rPr>
            </w:pPr>
            <w:r w:rsidRPr="004F01E9">
              <w:rPr>
                <w:noProof/>
              </w:rPr>
              <w:t>Ústredná vláda tretej krajiny vrátane centrálnych bánk, multilaterálne rozvojové banky</w:t>
            </w:r>
            <w:r w:rsidR="004F01E9">
              <w:rPr>
                <w:noProof/>
              </w:rPr>
              <w:t xml:space="preserve"> a </w:t>
            </w:r>
            <w:r w:rsidRPr="004F01E9">
              <w:rPr>
                <w:noProof/>
              </w:rPr>
              <w:t>medzinárodné organizácie uvedené</w:t>
            </w:r>
            <w:r w:rsidR="004F01E9">
              <w:rPr>
                <w:noProof/>
              </w:rPr>
              <w:t xml:space="preserve"> v </w:t>
            </w:r>
            <w:r w:rsidRPr="004F01E9">
              <w:rPr>
                <w:noProof/>
              </w:rPr>
              <w:t>článku 117 ods. 2</w:t>
            </w:r>
            <w:r w:rsidR="004F01E9">
              <w:rPr>
                <w:noProof/>
              </w:rPr>
              <w:t xml:space="preserve"> a </w:t>
            </w:r>
            <w:r w:rsidRPr="004F01E9">
              <w:rPr>
                <w:noProof/>
              </w:rPr>
              <w:t>článku 118</w:t>
            </w:r>
          </w:p>
        </w:tc>
        <w:tc>
          <w:tcPr>
            <w:tcW w:w="982" w:type="pct"/>
            <w:noWrap/>
          </w:tcPr>
          <w:p w14:paraId="340A73F2" w14:textId="3227FA55" w:rsidR="004009AD" w:rsidRPr="004F01E9" w:rsidRDefault="004009AD" w:rsidP="004334CE">
            <w:pPr>
              <w:jc w:val="center"/>
              <w:rPr>
                <w:rFonts w:eastAsiaTheme="minorEastAsia"/>
                <w:noProof/>
              </w:rPr>
            </w:pPr>
            <w:r w:rsidRPr="004F01E9">
              <w:rPr>
                <w:noProof/>
              </w:rPr>
              <w:t>2,0</w:t>
            </w:r>
            <w:r w:rsidR="004F01E9">
              <w:rPr>
                <w:noProof/>
              </w:rPr>
              <w:t> %</w:t>
            </w:r>
          </w:p>
        </w:tc>
      </w:tr>
      <w:tr w:rsidR="004009AD" w:rsidRPr="004F01E9" w14:paraId="3275B194" w14:textId="77777777" w:rsidTr="004334CE">
        <w:trPr>
          <w:trHeight w:val="300"/>
        </w:trPr>
        <w:tc>
          <w:tcPr>
            <w:tcW w:w="625" w:type="pct"/>
            <w:noWrap/>
          </w:tcPr>
          <w:p w14:paraId="27A103D2" w14:textId="77777777" w:rsidR="004009AD" w:rsidRPr="004F01E9" w:rsidRDefault="004009AD" w:rsidP="004334CE">
            <w:pPr>
              <w:jc w:val="center"/>
              <w:rPr>
                <w:rFonts w:eastAsiaTheme="minorEastAsia"/>
                <w:noProof/>
              </w:rPr>
            </w:pPr>
            <w:r w:rsidRPr="004F01E9">
              <w:rPr>
                <w:noProof/>
              </w:rPr>
              <w:t>12</w:t>
            </w:r>
          </w:p>
        </w:tc>
        <w:tc>
          <w:tcPr>
            <w:tcW w:w="713" w:type="pct"/>
            <w:vMerge/>
          </w:tcPr>
          <w:p w14:paraId="671C5199" w14:textId="77777777" w:rsidR="004009AD" w:rsidRPr="004F01E9" w:rsidRDefault="004009AD" w:rsidP="004334CE">
            <w:pPr>
              <w:jc w:val="center"/>
              <w:rPr>
                <w:rFonts w:eastAsiaTheme="minorEastAsia"/>
                <w:noProof/>
              </w:rPr>
            </w:pPr>
          </w:p>
        </w:tc>
        <w:tc>
          <w:tcPr>
            <w:tcW w:w="2680" w:type="pct"/>
          </w:tcPr>
          <w:p w14:paraId="44735145" w14:textId="578BD5C4" w:rsidR="004009AD" w:rsidRPr="004F01E9" w:rsidRDefault="004009AD" w:rsidP="004334CE">
            <w:pPr>
              <w:jc w:val="center"/>
              <w:rPr>
                <w:rFonts w:eastAsiaTheme="minorEastAsia"/>
                <w:noProof/>
              </w:rPr>
            </w:pPr>
            <w:r w:rsidRPr="004F01E9">
              <w:rPr>
                <w:noProof/>
              </w:rPr>
              <w:t>Regionálne alebo miestne orgány</w:t>
            </w:r>
            <w:r w:rsidR="004F01E9">
              <w:rPr>
                <w:noProof/>
              </w:rPr>
              <w:t xml:space="preserve"> a </w:t>
            </w:r>
            <w:r w:rsidRPr="004F01E9">
              <w:rPr>
                <w:noProof/>
              </w:rPr>
              <w:t>subjekty verejného sektora</w:t>
            </w:r>
          </w:p>
        </w:tc>
        <w:tc>
          <w:tcPr>
            <w:tcW w:w="982" w:type="pct"/>
            <w:noWrap/>
          </w:tcPr>
          <w:p w14:paraId="1701931E" w14:textId="2ADB2A73" w:rsidR="004009AD" w:rsidRPr="004F01E9" w:rsidRDefault="004009AD" w:rsidP="004334CE">
            <w:pPr>
              <w:jc w:val="center"/>
              <w:rPr>
                <w:rFonts w:eastAsiaTheme="minorEastAsia"/>
                <w:noProof/>
              </w:rPr>
            </w:pPr>
            <w:r w:rsidRPr="004F01E9">
              <w:rPr>
                <w:noProof/>
              </w:rPr>
              <w:t>4,0</w:t>
            </w:r>
            <w:r w:rsidR="004F01E9">
              <w:rPr>
                <w:noProof/>
              </w:rPr>
              <w:t> %</w:t>
            </w:r>
          </w:p>
        </w:tc>
      </w:tr>
      <w:tr w:rsidR="004009AD" w:rsidRPr="004F01E9" w14:paraId="6923DDA8" w14:textId="77777777" w:rsidTr="004334CE">
        <w:trPr>
          <w:trHeight w:val="300"/>
        </w:trPr>
        <w:tc>
          <w:tcPr>
            <w:tcW w:w="625" w:type="pct"/>
            <w:noWrap/>
          </w:tcPr>
          <w:p w14:paraId="682A3FC6" w14:textId="77777777" w:rsidR="004009AD" w:rsidRPr="004F01E9" w:rsidRDefault="004009AD" w:rsidP="004334CE">
            <w:pPr>
              <w:jc w:val="center"/>
              <w:rPr>
                <w:rFonts w:eastAsiaTheme="minorEastAsia"/>
                <w:noProof/>
              </w:rPr>
            </w:pPr>
            <w:r w:rsidRPr="004F01E9">
              <w:rPr>
                <w:noProof/>
              </w:rPr>
              <w:t>13</w:t>
            </w:r>
          </w:p>
        </w:tc>
        <w:tc>
          <w:tcPr>
            <w:tcW w:w="713" w:type="pct"/>
            <w:vMerge/>
          </w:tcPr>
          <w:p w14:paraId="37DD73EF" w14:textId="77777777" w:rsidR="004009AD" w:rsidRPr="004F01E9" w:rsidRDefault="004009AD" w:rsidP="004334CE">
            <w:pPr>
              <w:jc w:val="center"/>
              <w:rPr>
                <w:rFonts w:eastAsiaTheme="minorEastAsia"/>
                <w:noProof/>
              </w:rPr>
            </w:pPr>
          </w:p>
        </w:tc>
        <w:tc>
          <w:tcPr>
            <w:tcW w:w="2680" w:type="pct"/>
          </w:tcPr>
          <w:p w14:paraId="45B56BF8" w14:textId="2264E3FB" w:rsidR="004009AD" w:rsidRPr="004F01E9" w:rsidRDefault="004009AD" w:rsidP="004334CE">
            <w:pPr>
              <w:jc w:val="center"/>
              <w:rPr>
                <w:rFonts w:eastAsiaTheme="minorEastAsia"/>
                <w:noProof/>
              </w:rPr>
            </w:pPr>
            <w:r w:rsidRPr="004F01E9">
              <w:rPr>
                <w:noProof/>
              </w:rPr>
              <w:t>Subjekty finančného sektora vrátane úverových inštitúcií zriadených alebo založených ústrednou vládou, regionálnou vládou alebo miestnym orgánom</w:t>
            </w:r>
            <w:r w:rsidR="004F01E9">
              <w:rPr>
                <w:noProof/>
              </w:rPr>
              <w:t xml:space="preserve"> a </w:t>
            </w:r>
            <w:r w:rsidRPr="004F01E9">
              <w:rPr>
                <w:noProof/>
              </w:rPr>
              <w:t>poskytovatelia podporných úverov</w:t>
            </w:r>
          </w:p>
        </w:tc>
        <w:tc>
          <w:tcPr>
            <w:tcW w:w="982" w:type="pct"/>
            <w:noWrap/>
          </w:tcPr>
          <w:p w14:paraId="5BFBE242" w14:textId="32130A70" w:rsidR="004009AD" w:rsidRPr="004F01E9" w:rsidRDefault="004009AD" w:rsidP="004334CE">
            <w:pPr>
              <w:jc w:val="center"/>
              <w:rPr>
                <w:rFonts w:eastAsiaTheme="minorEastAsia"/>
                <w:noProof/>
              </w:rPr>
            </w:pPr>
            <w:r w:rsidRPr="004F01E9">
              <w:rPr>
                <w:noProof/>
              </w:rPr>
              <w:t>12,0</w:t>
            </w:r>
            <w:r w:rsidR="004F01E9">
              <w:rPr>
                <w:noProof/>
              </w:rPr>
              <w:t> %</w:t>
            </w:r>
          </w:p>
        </w:tc>
      </w:tr>
      <w:tr w:rsidR="004009AD" w:rsidRPr="004F01E9" w14:paraId="563EA032" w14:textId="77777777" w:rsidTr="004334CE">
        <w:trPr>
          <w:trHeight w:val="300"/>
        </w:trPr>
        <w:tc>
          <w:tcPr>
            <w:tcW w:w="625" w:type="pct"/>
            <w:noWrap/>
          </w:tcPr>
          <w:p w14:paraId="1FFB7483" w14:textId="77777777" w:rsidR="004009AD" w:rsidRPr="004F01E9" w:rsidRDefault="004009AD" w:rsidP="004334CE">
            <w:pPr>
              <w:jc w:val="center"/>
              <w:rPr>
                <w:rFonts w:eastAsiaTheme="minorEastAsia"/>
                <w:noProof/>
              </w:rPr>
            </w:pPr>
            <w:r w:rsidRPr="004F01E9">
              <w:rPr>
                <w:noProof/>
              </w:rPr>
              <w:t>14</w:t>
            </w:r>
          </w:p>
        </w:tc>
        <w:tc>
          <w:tcPr>
            <w:tcW w:w="713" w:type="pct"/>
            <w:vMerge/>
          </w:tcPr>
          <w:p w14:paraId="0CB19072" w14:textId="77777777" w:rsidR="004009AD" w:rsidRPr="004F01E9" w:rsidRDefault="004009AD" w:rsidP="004334CE">
            <w:pPr>
              <w:jc w:val="center"/>
              <w:rPr>
                <w:rFonts w:eastAsiaTheme="minorEastAsia"/>
                <w:noProof/>
              </w:rPr>
            </w:pPr>
          </w:p>
        </w:tc>
        <w:tc>
          <w:tcPr>
            <w:tcW w:w="2680" w:type="pct"/>
          </w:tcPr>
          <w:p w14:paraId="12FF2A80" w14:textId="4F9B9EBC" w:rsidR="004009AD" w:rsidRPr="004F01E9" w:rsidRDefault="004009AD" w:rsidP="004334CE">
            <w:pPr>
              <w:jc w:val="center"/>
              <w:rPr>
                <w:rFonts w:eastAsiaTheme="minorEastAsia"/>
                <w:noProof/>
              </w:rPr>
            </w:pPr>
            <w:r w:rsidRPr="004F01E9">
              <w:rPr>
                <w:noProof/>
              </w:rPr>
              <w:t>Základné materiály, energetika, priemyselné podniky, poľnohospodárstvo, spracovateľský priemysel, ťažba</w:t>
            </w:r>
            <w:r w:rsidR="004F01E9">
              <w:rPr>
                <w:noProof/>
              </w:rPr>
              <w:t xml:space="preserve"> a </w:t>
            </w:r>
            <w:r w:rsidRPr="004F01E9">
              <w:rPr>
                <w:noProof/>
              </w:rPr>
              <w:t>dobývanie</w:t>
            </w:r>
          </w:p>
        </w:tc>
        <w:tc>
          <w:tcPr>
            <w:tcW w:w="982" w:type="pct"/>
            <w:noWrap/>
          </w:tcPr>
          <w:p w14:paraId="620E361B" w14:textId="313735DA" w:rsidR="004009AD" w:rsidRPr="004F01E9" w:rsidRDefault="004009AD" w:rsidP="004334CE">
            <w:pPr>
              <w:jc w:val="center"/>
              <w:rPr>
                <w:rFonts w:eastAsiaTheme="minorEastAsia"/>
                <w:noProof/>
              </w:rPr>
            </w:pPr>
            <w:r w:rsidRPr="004F01E9">
              <w:rPr>
                <w:noProof/>
              </w:rPr>
              <w:t>7,0</w:t>
            </w:r>
            <w:r w:rsidR="004F01E9">
              <w:rPr>
                <w:noProof/>
              </w:rPr>
              <w:t> %</w:t>
            </w:r>
          </w:p>
        </w:tc>
      </w:tr>
      <w:tr w:rsidR="004009AD" w:rsidRPr="004F01E9" w14:paraId="7EEF5109" w14:textId="77777777" w:rsidTr="004334CE">
        <w:trPr>
          <w:trHeight w:val="300"/>
        </w:trPr>
        <w:tc>
          <w:tcPr>
            <w:tcW w:w="625" w:type="pct"/>
            <w:noWrap/>
          </w:tcPr>
          <w:p w14:paraId="3B9477B4" w14:textId="77777777" w:rsidR="004009AD" w:rsidRPr="004F01E9" w:rsidRDefault="004009AD" w:rsidP="004334CE">
            <w:pPr>
              <w:jc w:val="center"/>
              <w:rPr>
                <w:rFonts w:eastAsiaTheme="minorEastAsia"/>
                <w:noProof/>
              </w:rPr>
            </w:pPr>
            <w:r w:rsidRPr="004F01E9">
              <w:rPr>
                <w:noProof/>
              </w:rPr>
              <w:t>15</w:t>
            </w:r>
          </w:p>
        </w:tc>
        <w:tc>
          <w:tcPr>
            <w:tcW w:w="713" w:type="pct"/>
            <w:vMerge/>
          </w:tcPr>
          <w:p w14:paraId="49C1108D" w14:textId="77777777" w:rsidR="004009AD" w:rsidRPr="004F01E9" w:rsidRDefault="004009AD" w:rsidP="004334CE">
            <w:pPr>
              <w:jc w:val="center"/>
              <w:rPr>
                <w:rFonts w:eastAsiaTheme="minorEastAsia"/>
                <w:noProof/>
              </w:rPr>
            </w:pPr>
          </w:p>
        </w:tc>
        <w:tc>
          <w:tcPr>
            <w:tcW w:w="2680" w:type="pct"/>
          </w:tcPr>
          <w:p w14:paraId="0EA4DB1A" w14:textId="77A438F6" w:rsidR="004009AD" w:rsidRPr="004F01E9" w:rsidRDefault="004009AD" w:rsidP="004334CE">
            <w:pPr>
              <w:jc w:val="center"/>
              <w:rPr>
                <w:rFonts w:eastAsiaTheme="minorEastAsia"/>
                <w:noProof/>
              </w:rPr>
            </w:pPr>
            <w:r w:rsidRPr="004F01E9">
              <w:rPr>
                <w:noProof/>
              </w:rPr>
              <w:t>Spotrebný tovar</w:t>
            </w:r>
            <w:r w:rsidR="004F01E9">
              <w:rPr>
                <w:noProof/>
              </w:rPr>
              <w:t xml:space="preserve"> a </w:t>
            </w:r>
            <w:r w:rsidRPr="004F01E9">
              <w:rPr>
                <w:noProof/>
              </w:rPr>
              <w:t>služby, doprava</w:t>
            </w:r>
            <w:r w:rsidR="004F01E9">
              <w:rPr>
                <w:noProof/>
              </w:rPr>
              <w:t xml:space="preserve"> a </w:t>
            </w:r>
            <w:r w:rsidRPr="004F01E9">
              <w:rPr>
                <w:noProof/>
              </w:rPr>
              <w:t>skladovanie, administratívne</w:t>
            </w:r>
            <w:r w:rsidR="004F01E9">
              <w:rPr>
                <w:noProof/>
              </w:rPr>
              <w:t xml:space="preserve"> a </w:t>
            </w:r>
            <w:r w:rsidRPr="004F01E9">
              <w:rPr>
                <w:noProof/>
              </w:rPr>
              <w:t>podporné činnosti</w:t>
            </w:r>
          </w:p>
        </w:tc>
        <w:tc>
          <w:tcPr>
            <w:tcW w:w="982" w:type="pct"/>
            <w:noWrap/>
          </w:tcPr>
          <w:p w14:paraId="65761ACF" w14:textId="2D9B5B45" w:rsidR="004009AD" w:rsidRPr="004F01E9" w:rsidRDefault="004009AD" w:rsidP="004334CE">
            <w:pPr>
              <w:jc w:val="center"/>
              <w:rPr>
                <w:rFonts w:eastAsiaTheme="minorEastAsia"/>
                <w:noProof/>
              </w:rPr>
            </w:pPr>
            <w:r w:rsidRPr="004F01E9">
              <w:rPr>
                <w:noProof/>
              </w:rPr>
              <w:t>8,5</w:t>
            </w:r>
            <w:r w:rsidR="004F01E9">
              <w:rPr>
                <w:noProof/>
              </w:rPr>
              <w:t> %</w:t>
            </w:r>
          </w:p>
        </w:tc>
      </w:tr>
      <w:tr w:rsidR="004009AD" w:rsidRPr="004F01E9" w14:paraId="45D1F3AB" w14:textId="77777777" w:rsidTr="004334CE">
        <w:trPr>
          <w:trHeight w:val="300"/>
        </w:trPr>
        <w:tc>
          <w:tcPr>
            <w:tcW w:w="625" w:type="pct"/>
            <w:noWrap/>
          </w:tcPr>
          <w:p w14:paraId="3E04BE4E" w14:textId="77777777" w:rsidR="004009AD" w:rsidRPr="004F01E9" w:rsidRDefault="004009AD" w:rsidP="004334CE">
            <w:pPr>
              <w:jc w:val="center"/>
              <w:rPr>
                <w:rFonts w:eastAsiaTheme="minorEastAsia"/>
                <w:noProof/>
              </w:rPr>
            </w:pPr>
            <w:r w:rsidRPr="004F01E9">
              <w:rPr>
                <w:noProof/>
              </w:rPr>
              <w:t>16</w:t>
            </w:r>
          </w:p>
        </w:tc>
        <w:tc>
          <w:tcPr>
            <w:tcW w:w="713" w:type="pct"/>
            <w:vMerge/>
          </w:tcPr>
          <w:p w14:paraId="57058FE0" w14:textId="77777777" w:rsidR="004009AD" w:rsidRPr="004F01E9" w:rsidRDefault="004009AD" w:rsidP="004334CE">
            <w:pPr>
              <w:jc w:val="center"/>
              <w:rPr>
                <w:rFonts w:eastAsiaTheme="minorEastAsia"/>
                <w:noProof/>
              </w:rPr>
            </w:pPr>
          </w:p>
        </w:tc>
        <w:tc>
          <w:tcPr>
            <w:tcW w:w="2680" w:type="pct"/>
          </w:tcPr>
          <w:p w14:paraId="0B6D608A" w14:textId="77777777" w:rsidR="004009AD" w:rsidRPr="004F01E9" w:rsidRDefault="004009AD" w:rsidP="004334CE">
            <w:pPr>
              <w:jc w:val="center"/>
              <w:rPr>
                <w:rFonts w:eastAsiaTheme="minorEastAsia"/>
                <w:noProof/>
              </w:rPr>
            </w:pPr>
            <w:r w:rsidRPr="004F01E9">
              <w:rPr>
                <w:noProof/>
              </w:rPr>
              <w:t>Technológie, telekomunikácie</w:t>
            </w:r>
          </w:p>
        </w:tc>
        <w:tc>
          <w:tcPr>
            <w:tcW w:w="982" w:type="pct"/>
            <w:noWrap/>
          </w:tcPr>
          <w:p w14:paraId="7E1D51A4" w14:textId="49727E20" w:rsidR="004009AD" w:rsidRPr="004F01E9" w:rsidRDefault="004009AD" w:rsidP="004334CE">
            <w:pPr>
              <w:jc w:val="center"/>
              <w:rPr>
                <w:rFonts w:eastAsiaTheme="minorEastAsia"/>
                <w:noProof/>
              </w:rPr>
            </w:pPr>
            <w:r w:rsidRPr="004F01E9">
              <w:rPr>
                <w:noProof/>
              </w:rPr>
              <w:t>5,5</w:t>
            </w:r>
            <w:r w:rsidR="004F01E9">
              <w:rPr>
                <w:noProof/>
              </w:rPr>
              <w:t> %</w:t>
            </w:r>
          </w:p>
        </w:tc>
      </w:tr>
      <w:tr w:rsidR="004009AD" w:rsidRPr="004F01E9" w14:paraId="0B61D18A" w14:textId="77777777" w:rsidTr="004334CE">
        <w:trPr>
          <w:trHeight w:val="300"/>
        </w:trPr>
        <w:tc>
          <w:tcPr>
            <w:tcW w:w="625" w:type="pct"/>
            <w:noWrap/>
          </w:tcPr>
          <w:p w14:paraId="227DC0F6" w14:textId="77777777" w:rsidR="004009AD" w:rsidRPr="004F01E9" w:rsidRDefault="004009AD" w:rsidP="004334CE">
            <w:pPr>
              <w:jc w:val="center"/>
              <w:rPr>
                <w:rFonts w:eastAsiaTheme="minorEastAsia"/>
                <w:noProof/>
              </w:rPr>
            </w:pPr>
            <w:r w:rsidRPr="004F01E9">
              <w:rPr>
                <w:noProof/>
              </w:rPr>
              <w:t>17</w:t>
            </w:r>
          </w:p>
        </w:tc>
        <w:tc>
          <w:tcPr>
            <w:tcW w:w="713" w:type="pct"/>
            <w:vMerge/>
          </w:tcPr>
          <w:p w14:paraId="4D606F0A" w14:textId="77777777" w:rsidR="004009AD" w:rsidRPr="004F01E9" w:rsidRDefault="004009AD" w:rsidP="004334CE">
            <w:pPr>
              <w:jc w:val="center"/>
              <w:rPr>
                <w:rFonts w:eastAsiaTheme="minorEastAsia"/>
                <w:noProof/>
              </w:rPr>
            </w:pPr>
          </w:p>
        </w:tc>
        <w:tc>
          <w:tcPr>
            <w:tcW w:w="2680" w:type="pct"/>
          </w:tcPr>
          <w:p w14:paraId="0790AC07" w14:textId="587E31F9" w:rsidR="004009AD" w:rsidRPr="004F01E9" w:rsidRDefault="004009AD" w:rsidP="004334CE">
            <w:pPr>
              <w:jc w:val="center"/>
              <w:rPr>
                <w:rFonts w:eastAsiaTheme="minorEastAsia"/>
                <w:noProof/>
              </w:rPr>
            </w:pPr>
            <w:r w:rsidRPr="004F01E9">
              <w:rPr>
                <w:noProof/>
              </w:rPr>
              <w:t>Zdravotná starostlivosť, úžitkové služby, odborné</w:t>
            </w:r>
            <w:r w:rsidR="004F01E9">
              <w:rPr>
                <w:noProof/>
              </w:rPr>
              <w:t xml:space="preserve"> a </w:t>
            </w:r>
            <w:r w:rsidRPr="004F01E9">
              <w:rPr>
                <w:noProof/>
              </w:rPr>
              <w:t>technické činnosti</w:t>
            </w:r>
          </w:p>
        </w:tc>
        <w:tc>
          <w:tcPr>
            <w:tcW w:w="982" w:type="pct"/>
            <w:noWrap/>
          </w:tcPr>
          <w:p w14:paraId="54243067" w14:textId="44943305" w:rsidR="004009AD" w:rsidRPr="004F01E9" w:rsidRDefault="004009AD" w:rsidP="004334CE">
            <w:pPr>
              <w:jc w:val="center"/>
              <w:rPr>
                <w:rFonts w:eastAsiaTheme="minorEastAsia"/>
                <w:noProof/>
              </w:rPr>
            </w:pPr>
            <w:r w:rsidRPr="004F01E9">
              <w:rPr>
                <w:noProof/>
              </w:rPr>
              <w:t>5,0</w:t>
            </w:r>
            <w:r w:rsidR="004F01E9">
              <w:rPr>
                <w:noProof/>
              </w:rPr>
              <w:t> %</w:t>
            </w:r>
          </w:p>
        </w:tc>
      </w:tr>
      <w:tr w:rsidR="004009AD" w:rsidRPr="004F01E9" w14:paraId="79299CCA" w14:textId="77777777" w:rsidTr="004334CE">
        <w:trPr>
          <w:trHeight w:val="300"/>
        </w:trPr>
        <w:tc>
          <w:tcPr>
            <w:tcW w:w="625" w:type="pct"/>
            <w:noWrap/>
          </w:tcPr>
          <w:p w14:paraId="42B040BF" w14:textId="77777777" w:rsidR="004009AD" w:rsidRPr="004F01E9" w:rsidRDefault="004009AD" w:rsidP="004334CE">
            <w:pPr>
              <w:jc w:val="center"/>
              <w:rPr>
                <w:rFonts w:eastAsiaTheme="minorEastAsia"/>
                <w:noProof/>
              </w:rPr>
            </w:pPr>
            <w:r w:rsidRPr="004F01E9">
              <w:rPr>
                <w:noProof/>
              </w:rPr>
              <w:t>18</w:t>
            </w:r>
          </w:p>
        </w:tc>
        <w:tc>
          <w:tcPr>
            <w:tcW w:w="713" w:type="pct"/>
            <w:vMerge/>
          </w:tcPr>
          <w:p w14:paraId="7EB0C044" w14:textId="77777777" w:rsidR="004009AD" w:rsidRPr="004F01E9" w:rsidRDefault="004009AD" w:rsidP="004334CE">
            <w:pPr>
              <w:jc w:val="center"/>
              <w:rPr>
                <w:rFonts w:eastAsiaTheme="minorEastAsia"/>
                <w:noProof/>
              </w:rPr>
            </w:pPr>
          </w:p>
        </w:tc>
        <w:tc>
          <w:tcPr>
            <w:tcW w:w="2680" w:type="pct"/>
          </w:tcPr>
          <w:p w14:paraId="5DCCEB96" w14:textId="77777777" w:rsidR="004009AD" w:rsidRPr="004F01E9" w:rsidRDefault="004009AD" w:rsidP="004334CE">
            <w:pPr>
              <w:jc w:val="center"/>
              <w:rPr>
                <w:rFonts w:eastAsiaTheme="minorEastAsia"/>
                <w:noProof/>
              </w:rPr>
            </w:pPr>
            <w:r w:rsidRPr="004F01E9">
              <w:rPr>
                <w:noProof/>
              </w:rPr>
              <w:t>Iný sektor</w:t>
            </w:r>
          </w:p>
        </w:tc>
        <w:tc>
          <w:tcPr>
            <w:tcW w:w="982" w:type="pct"/>
            <w:noWrap/>
          </w:tcPr>
          <w:p w14:paraId="1976AF23" w14:textId="44900A87" w:rsidR="004009AD" w:rsidRPr="004F01E9" w:rsidRDefault="004009AD" w:rsidP="004334CE">
            <w:pPr>
              <w:jc w:val="center"/>
              <w:rPr>
                <w:rFonts w:eastAsiaTheme="minorEastAsia"/>
                <w:noProof/>
              </w:rPr>
            </w:pPr>
            <w:r w:rsidRPr="004F01E9">
              <w:rPr>
                <w:noProof/>
              </w:rPr>
              <w:t>12,0</w:t>
            </w:r>
            <w:r w:rsidR="004F01E9">
              <w:rPr>
                <w:noProof/>
              </w:rPr>
              <w:t> %</w:t>
            </w:r>
          </w:p>
        </w:tc>
      </w:tr>
      <w:tr w:rsidR="004009AD" w:rsidRPr="004F01E9" w14:paraId="180AE31A" w14:textId="77777777" w:rsidTr="004334CE">
        <w:trPr>
          <w:trHeight w:val="300"/>
        </w:trPr>
        <w:tc>
          <w:tcPr>
            <w:tcW w:w="625" w:type="pct"/>
            <w:noWrap/>
          </w:tcPr>
          <w:p w14:paraId="4C70F1BC" w14:textId="77777777" w:rsidR="004009AD" w:rsidRPr="004F01E9" w:rsidRDefault="004009AD" w:rsidP="004334CE">
            <w:pPr>
              <w:jc w:val="center"/>
              <w:rPr>
                <w:rFonts w:eastAsiaTheme="minorEastAsia"/>
                <w:noProof/>
              </w:rPr>
            </w:pPr>
            <w:r w:rsidRPr="004F01E9">
              <w:rPr>
                <w:noProof/>
              </w:rPr>
              <w:t>19</w:t>
            </w:r>
          </w:p>
        </w:tc>
        <w:tc>
          <w:tcPr>
            <w:tcW w:w="713" w:type="pct"/>
            <w:vMerge/>
          </w:tcPr>
          <w:p w14:paraId="23F698FB" w14:textId="77777777" w:rsidR="004009AD" w:rsidRPr="004F01E9" w:rsidRDefault="004009AD" w:rsidP="004334CE">
            <w:pPr>
              <w:jc w:val="center"/>
              <w:rPr>
                <w:rFonts w:eastAsiaTheme="minorEastAsia"/>
                <w:noProof/>
              </w:rPr>
            </w:pPr>
          </w:p>
        </w:tc>
        <w:tc>
          <w:tcPr>
            <w:tcW w:w="2680" w:type="pct"/>
          </w:tcPr>
          <w:p w14:paraId="4657AD4D" w14:textId="77777777" w:rsidR="004009AD" w:rsidRPr="004F01E9" w:rsidRDefault="004009AD" w:rsidP="004334CE">
            <w:pPr>
              <w:jc w:val="center"/>
              <w:rPr>
                <w:rFonts w:eastAsiaTheme="minorEastAsia"/>
                <w:noProof/>
              </w:rPr>
            </w:pPr>
            <w:r w:rsidRPr="004F01E9">
              <w:rPr>
                <w:noProof/>
              </w:rPr>
              <w:t>Kvalifikované indexy</w:t>
            </w:r>
          </w:p>
        </w:tc>
        <w:tc>
          <w:tcPr>
            <w:tcW w:w="982" w:type="pct"/>
            <w:noWrap/>
          </w:tcPr>
          <w:p w14:paraId="2CA02DD4" w14:textId="02F7FE84" w:rsidR="004009AD" w:rsidRPr="004F01E9" w:rsidRDefault="004009AD" w:rsidP="004334CE">
            <w:pPr>
              <w:jc w:val="center"/>
              <w:rPr>
                <w:rFonts w:eastAsiaTheme="minorEastAsia"/>
                <w:noProof/>
              </w:rPr>
            </w:pPr>
            <w:r w:rsidRPr="004F01E9">
              <w:rPr>
                <w:noProof/>
              </w:rPr>
              <w:t>5,0</w:t>
            </w:r>
            <w:r w:rsidR="004F01E9">
              <w:rPr>
                <w:noProof/>
              </w:rPr>
              <w:t> %</w:t>
            </w:r>
          </w:p>
        </w:tc>
      </w:tr>
    </w:tbl>
    <w:p w14:paraId="21EBD897" w14:textId="26A6040E" w:rsidR="00806B81" w:rsidRPr="004F01E9" w:rsidRDefault="004009AD" w:rsidP="004009AD">
      <w:pPr>
        <w:pStyle w:val="Text1"/>
        <w:rPr>
          <w:noProof/>
        </w:rPr>
      </w:pPr>
      <w:r w:rsidRPr="004F01E9">
        <w:rPr>
          <w:noProof/>
        </w:rPr>
        <w:t>2.</w:t>
      </w:r>
      <w:r w:rsidR="004F01E9">
        <w:rPr>
          <w:noProof/>
        </w:rPr>
        <w:t xml:space="preserve"> S </w:t>
      </w:r>
      <w:r w:rsidRPr="004F01E9">
        <w:rPr>
          <w:noProof/>
        </w:rPr>
        <w:t>cieľom priradiť expozíciu voči rizikám</w:t>
      </w:r>
      <w:r w:rsidR="004F01E9">
        <w:rPr>
          <w:noProof/>
        </w:rPr>
        <w:t xml:space="preserve"> k </w:t>
      </w:r>
      <w:r w:rsidRPr="004F01E9">
        <w:rPr>
          <w:noProof/>
        </w:rPr>
        <w:t>sektoru sa inštitúcie spoliehajú na klasifikáciu, ktorá sa bežne používa na trhu na zoskupovanie emitentov podľa sektora. Inštitúcie zaradia každého emitenta iba do jednej zo sektorových skupín stanovených</w:t>
      </w:r>
      <w:r w:rsidR="004F01E9">
        <w:rPr>
          <w:noProof/>
        </w:rPr>
        <w:t xml:space="preserve"> v </w:t>
      </w:r>
      <w:r w:rsidRPr="004F01E9">
        <w:rPr>
          <w:noProof/>
        </w:rPr>
        <w:t>tabuľke 3. Expozície voči rizikám súvisiace</w:t>
      </w:r>
      <w:r w:rsidR="004F01E9">
        <w:rPr>
          <w:noProof/>
        </w:rPr>
        <w:t xml:space="preserve"> s </w:t>
      </w:r>
      <w:r w:rsidRPr="004F01E9">
        <w:rPr>
          <w:noProof/>
        </w:rPr>
        <w:t>akýmkoľvek emitentom, ktorého inštitúcia nedokáže takýmto spôsobom zaradiť do nejakého sektora, sa zaradia do skupiny 9 alebo do skupiny 18</w:t>
      </w:r>
      <w:r w:rsidR="004F01E9">
        <w:rPr>
          <w:noProof/>
        </w:rPr>
        <w:t xml:space="preserve"> v </w:t>
      </w:r>
      <w:r w:rsidRPr="004F01E9">
        <w:rPr>
          <w:noProof/>
        </w:rPr>
        <w:t>tabuľke 3,</w:t>
      </w:r>
      <w:r w:rsidR="004F01E9">
        <w:rPr>
          <w:noProof/>
        </w:rPr>
        <w:t xml:space="preserve"> a </w:t>
      </w:r>
      <w:r w:rsidRPr="004F01E9">
        <w:rPr>
          <w:noProof/>
        </w:rPr>
        <w:t>to</w:t>
      </w:r>
      <w:r w:rsidR="004F01E9">
        <w:rPr>
          <w:noProof/>
        </w:rPr>
        <w:t xml:space="preserve"> v </w:t>
      </w:r>
      <w:r w:rsidRPr="004F01E9">
        <w:rPr>
          <w:noProof/>
        </w:rPr>
        <w:t>závislosti od kreditnej kvality emitenta.</w:t>
      </w:r>
    </w:p>
    <w:p w14:paraId="30A2431C" w14:textId="0887956F" w:rsidR="004009AD" w:rsidRPr="004F01E9" w:rsidRDefault="004009AD" w:rsidP="004009AD">
      <w:pPr>
        <w:pStyle w:val="Text1"/>
        <w:rPr>
          <w:noProof/>
        </w:rPr>
      </w:pPr>
      <w:r w:rsidRPr="004F01E9">
        <w:rPr>
          <w:noProof/>
        </w:rPr>
        <w:t>3. Inštitúcie zaradia do skupín 10</w:t>
      </w:r>
      <w:r w:rsidR="004F01E9">
        <w:rPr>
          <w:noProof/>
        </w:rPr>
        <w:t xml:space="preserve"> a </w:t>
      </w:r>
      <w:r w:rsidRPr="004F01E9">
        <w:rPr>
          <w:noProof/>
        </w:rPr>
        <w:t>19</w:t>
      </w:r>
      <w:r w:rsidR="004F01E9">
        <w:rPr>
          <w:noProof/>
        </w:rPr>
        <w:t xml:space="preserve"> v </w:t>
      </w:r>
      <w:r w:rsidRPr="004F01E9">
        <w:rPr>
          <w:noProof/>
        </w:rPr>
        <w:t>tabuľke 3 len expozície, ktoré sa týkajú kvalifikovaných indexov, ako sa uvádza</w:t>
      </w:r>
      <w:r w:rsidR="004F01E9">
        <w:rPr>
          <w:noProof/>
        </w:rPr>
        <w:t xml:space="preserve"> v </w:t>
      </w:r>
      <w:r w:rsidRPr="004F01E9">
        <w:rPr>
          <w:noProof/>
        </w:rPr>
        <w:t>článku 383b ods. 4.</w:t>
      </w:r>
    </w:p>
    <w:p w14:paraId="5BF562B6" w14:textId="77777777" w:rsidR="004009AD" w:rsidRPr="004F01E9" w:rsidRDefault="004009AD" w:rsidP="004009AD">
      <w:pPr>
        <w:pStyle w:val="Text1"/>
        <w:rPr>
          <w:noProof/>
        </w:rPr>
      </w:pPr>
      <w:r w:rsidRPr="004F01E9">
        <w:rPr>
          <w:noProof/>
        </w:rPr>
        <w:t>4. Inštitúcie používajú prístup založený na prezretí podkladových expozícií, aby určili citlivosti expozície, ktorá sa týka nekvalifikovaného indexu.</w:t>
      </w:r>
    </w:p>
    <w:p w14:paraId="6FD8BC47" w14:textId="2E13C729" w:rsidR="004334CE" w:rsidRPr="004F01E9" w:rsidRDefault="004334CE" w:rsidP="004334CE">
      <w:pPr>
        <w:pStyle w:val="Titrearticle"/>
        <w:rPr>
          <w:noProof/>
        </w:rPr>
      </w:pPr>
      <w:r w:rsidRPr="004F01E9">
        <w:rPr>
          <w:noProof/>
        </w:rPr>
        <w:t xml:space="preserve">Článok 383p </w:t>
      </w:r>
      <w:r w:rsidRPr="004F01E9">
        <w:rPr>
          <w:noProof/>
        </w:rPr>
        <w:br/>
      </w:r>
      <w:r w:rsidRPr="004F01E9">
        <w:rPr>
          <w:b/>
          <w:i w:val="0"/>
          <w:noProof/>
        </w:rPr>
        <w:t>Korelácie</w:t>
      </w:r>
      <w:r w:rsidR="004F01E9">
        <w:rPr>
          <w:b/>
          <w:i w:val="0"/>
          <w:noProof/>
        </w:rPr>
        <w:t xml:space="preserve"> v </w:t>
      </w:r>
      <w:r w:rsidRPr="004F01E9">
        <w:rPr>
          <w:b/>
          <w:i w:val="0"/>
          <w:noProof/>
        </w:rPr>
        <w:t>rámci skupiny pre riziko kreditného rozpätia protistrany</w:t>
      </w:r>
    </w:p>
    <w:p w14:paraId="68BBD9AA" w14:textId="52C0EE57" w:rsidR="004334CE" w:rsidRPr="004F01E9" w:rsidRDefault="004334CE" w:rsidP="004334CE">
      <w:pPr>
        <w:pStyle w:val="Text1"/>
        <w:rPr>
          <w:noProof/>
        </w:rPr>
      </w:pPr>
      <w:r w:rsidRPr="004F01E9">
        <w:rPr>
          <w:noProof/>
        </w:rPr>
        <w:t xml:space="preserve">1. Korelačný parameter </w:t>
      </w:r>
      <m:oMath>
        <m:sSub>
          <m:sSubPr>
            <m:ctrlPr>
              <w:rPr>
                <w:rFonts w:ascii="Cambria Math" w:hAnsi="Cambria Math"/>
                <w:i/>
                <w:noProof/>
              </w:rPr>
            </m:ctrlPr>
          </m:sSubPr>
          <m:e>
            <m:r>
              <w:rPr>
                <w:rFonts w:ascii="Cambria Math" w:hAnsi="Cambria Math"/>
                <w:noProof/>
              </w:rPr>
              <m:t>ρ</m:t>
            </m:r>
          </m:e>
          <m:sub>
            <m:r>
              <w:rPr>
                <w:rFonts w:ascii="Cambria Math" w:hAnsi="Cambria Math"/>
                <w:noProof/>
              </w:rPr>
              <m:t>kl</m:t>
            </m:r>
          </m:sub>
        </m:sSub>
      </m:oMath>
      <w:r w:rsidRPr="004F01E9">
        <w:rPr>
          <w:noProof/>
        </w:rPr>
        <w:t xml:space="preserve"> medzi dvoma citlivosťami </w:t>
      </w:r>
      <m:oMath>
        <m:sSub>
          <m:sSubPr>
            <m:ctrlPr>
              <w:rPr>
                <w:rFonts w:ascii="Cambria Math" w:hAnsi="Cambria Math"/>
                <w:i/>
                <w:noProof/>
              </w:rPr>
            </m:ctrlPr>
          </m:sSubPr>
          <m:e>
            <m:r>
              <w:rPr>
                <w:rFonts w:ascii="Cambria Math" w:hAnsi="Cambria Math"/>
                <w:noProof/>
              </w:rPr>
              <m:t>WS</m:t>
            </m:r>
          </m:e>
          <m:sub>
            <m:r>
              <w:rPr>
                <w:rFonts w:ascii="Cambria Math" w:hAnsi="Cambria Math"/>
                <w:noProof/>
              </w:rPr>
              <m:t>k</m:t>
            </m:r>
          </m:sub>
        </m:sSub>
        <m:r>
          <m:rPr>
            <m:sty m:val="p"/>
          </m:rPr>
          <w:rPr>
            <w:rFonts w:ascii="Cambria Math" w:hAnsi="Cambria Math"/>
            <w:noProof/>
          </w:rPr>
          <m:t xml:space="preserve"> a </m:t>
        </m:r>
        <m:sSub>
          <m:sSubPr>
            <m:ctrlPr>
              <w:rPr>
                <w:rFonts w:ascii="Cambria Math" w:hAnsi="Cambria Math"/>
                <w:i/>
                <w:noProof/>
              </w:rPr>
            </m:ctrlPr>
          </m:sSubPr>
          <m:e>
            <m:r>
              <w:rPr>
                <w:rFonts w:ascii="Cambria Math" w:hAnsi="Cambria Math"/>
                <w:noProof/>
              </w:rPr>
              <m:t>WS</m:t>
            </m:r>
          </m:e>
          <m:sub>
            <m:r>
              <w:rPr>
                <w:rFonts w:ascii="Cambria Math" w:hAnsi="Cambria Math"/>
                <w:noProof/>
              </w:rPr>
              <m:t>l</m:t>
            </m:r>
          </m:sub>
        </m:sSub>
      </m:oMath>
      <w:r w:rsidRPr="004F01E9">
        <w:rPr>
          <w:noProof/>
        </w:rPr>
        <w:t>, ktoré vyplývajú</w:t>
      </w:r>
      <w:r w:rsidR="004F01E9">
        <w:rPr>
          <w:noProof/>
        </w:rPr>
        <w:t xml:space="preserve"> z </w:t>
      </w:r>
      <w:r w:rsidRPr="004F01E9">
        <w:rPr>
          <w:noProof/>
        </w:rPr>
        <w:t>expozícií voči rizikám zaradených do sektorových skupín 1 až 9</w:t>
      </w:r>
      <w:r w:rsidR="004F01E9">
        <w:rPr>
          <w:noProof/>
        </w:rPr>
        <w:t xml:space="preserve"> a </w:t>
      </w:r>
      <w:r w:rsidRPr="004F01E9">
        <w:rPr>
          <w:noProof/>
        </w:rPr>
        <w:t>11 až 18, ako sa uvádza</w:t>
      </w:r>
      <w:r w:rsidR="004F01E9">
        <w:rPr>
          <w:noProof/>
        </w:rPr>
        <w:t xml:space="preserve"> v </w:t>
      </w:r>
      <w:r w:rsidRPr="004F01E9">
        <w:rPr>
          <w:noProof/>
        </w:rPr>
        <w:t>článku 383o ods. 1 tabuľke 3, sa stanovuje takto:</w:t>
      </w:r>
    </w:p>
    <w:p w14:paraId="099A41ED" w14:textId="77777777" w:rsidR="004334CE" w:rsidRPr="004F01E9" w:rsidRDefault="00EE12EE" w:rsidP="004334CE">
      <w:pPr>
        <w:pStyle w:val="Text1"/>
        <w:rPr>
          <w:noProof/>
        </w:rPr>
      </w:pPr>
      <m:oMathPara>
        <m:oMath>
          <m:sSub>
            <m:sSubPr>
              <m:ctrlPr>
                <w:rPr>
                  <w:rFonts w:ascii="Cambria Math" w:hAnsi="Cambria Math"/>
                  <w:noProof/>
                </w:rPr>
              </m:ctrlPr>
            </m:sSubPr>
            <m:e>
              <m:r>
                <w:rPr>
                  <w:rFonts w:ascii="Cambria Math" w:hAnsi="Cambria Math"/>
                  <w:noProof/>
                </w:rPr>
                <m:t>ρ</m:t>
              </m:r>
            </m:e>
            <m:sub>
              <m:r>
                <w:rPr>
                  <w:rFonts w:ascii="Cambria Math" w:hAnsi="Cambria Math"/>
                  <w:noProof/>
                </w:rPr>
                <m:t>kl</m:t>
              </m:r>
            </m:sub>
          </m:sSub>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tenor</m:t>
              </m:r>
              <m:r>
                <m:rPr>
                  <m:sty m:val="p"/>
                </m:rPr>
                <w:rPr>
                  <w:rFonts w:ascii="Cambria Math" w:hAnsi="Cambria Math"/>
                  <w:noProof/>
                </w:rPr>
                <m:t>)</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name</m:t>
              </m:r>
              <m:r>
                <m:rPr>
                  <m:sty m:val="p"/>
                </m:rPr>
                <w:rPr>
                  <w:rFonts w:ascii="Cambria Math" w:hAnsi="Cambria Math"/>
                  <w:noProof/>
                </w:rPr>
                <m:t>)</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quality</m:t>
              </m:r>
              <m:r>
                <m:rPr>
                  <m:sty m:val="p"/>
                </m:rPr>
                <w:rPr>
                  <w:rFonts w:ascii="Cambria Math" w:hAnsi="Cambria Math"/>
                  <w:noProof/>
                </w:rPr>
                <m:t>)</m:t>
              </m:r>
            </m:sup>
          </m:sSubSup>
        </m:oMath>
      </m:oMathPara>
    </w:p>
    <w:p w14:paraId="7DDFDB8A" w14:textId="7B617E0C" w:rsidR="004334CE" w:rsidRPr="004F01E9" w:rsidRDefault="004334CE" w:rsidP="004334CE">
      <w:pPr>
        <w:pStyle w:val="Text1"/>
        <w:rPr>
          <w:noProof/>
        </w:rPr>
      </w:pPr>
      <w:r w:rsidRPr="004F01E9">
        <w:rPr>
          <w:noProof/>
        </w:rPr>
        <w:t>kde:</w:t>
      </w:r>
    </w:p>
    <w:p w14:paraId="0FF6310D" w14:textId="373455F2" w:rsidR="004334CE" w:rsidRPr="004F01E9" w:rsidRDefault="00EE12EE" w:rsidP="004334CE">
      <w:pPr>
        <w:pStyle w:val="Text1"/>
        <w:rPr>
          <w:noProof/>
        </w:rPr>
      </w:pPr>
      <m:oMath>
        <m:sSubSup>
          <m:sSubSupPr>
            <m:ctrlPr>
              <w:rPr>
                <w:rFonts w:ascii="Cambria Math" w:hAnsi="Cambria Math"/>
                <w:i/>
                <w:noProof/>
              </w:rPr>
            </m:ctrlPr>
          </m:sSubSupPr>
          <m:e>
            <m:r>
              <w:rPr>
                <w:rFonts w:ascii="Cambria Math" w:hAnsi="Cambria Math"/>
                <w:noProof/>
              </w:rPr>
              <m:t>ρ</m:t>
            </m:r>
          </m:e>
          <m:sub>
            <m:r>
              <w:rPr>
                <w:rFonts w:ascii="Cambria Math" w:hAnsi="Cambria Math"/>
                <w:noProof/>
              </w:rPr>
              <m:t>kl</m:t>
            </m:r>
          </m:sub>
          <m:sup>
            <m:r>
              <w:rPr>
                <w:rFonts w:ascii="Cambria Math" w:hAnsi="Cambria Math"/>
                <w:noProof/>
              </w:rPr>
              <m:t>(tenor)</m:t>
            </m:r>
          </m:sup>
        </m:sSubSup>
      </m:oMath>
      <w:r w:rsidR="00DE1B1D" w:rsidRPr="004F01E9">
        <w:rPr>
          <w:noProof/>
        </w:rPr>
        <w:t xml:space="preserve"> sa rovná 1, ak dva vrcholné body citlivostí</w:t>
      </w:r>
      <w:r w:rsidR="004F01E9">
        <w:rPr>
          <w:noProof/>
        </w:rPr>
        <w:t xml:space="preserve"> k a </w:t>
      </w:r>
      <w:r w:rsidR="00DE1B1D" w:rsidRPr="004F01E9">
        <w:rPr>
          <w:noProof/>
        </w:rPr>
        <w:t>l sú identické,</w:t>
      </w:r>
      <w:r w:rsidR="004F01E9">
        <w:rPr>
          <w:noProof/>
        </w:rPr>
        <w:t xml:space="preserve"> a </w:t>
      </w:r>
      <w:r w:rsidR="00DE1B1D" w:rsidRPr="004F01E9">
        <w:rPr>
          <w:noProof/>
        </w:rPr>
        <w:t>90</w:t>
      </w:r>
      <w:r w:rsidR="004F01E9">
        <w:rPr>
          <w:noProof/>
        </w:rPr>
        <w:t> % v </w:t>
      </w:r>
      <w:r w:rsidR="00DE1B1D" w:rsidRPr="004F01E9">
        <w:rPr>
          <w:noProof/>
        </w:rPr>
        <w:t>ostatných prípadoch;</w:t>
      </w:r>
    </w:p>
    <w:p w14:paraId="72C47332" w14:textId="28B76B5C" w:rsidR="004334CE" w:rsidRPr="004F01E9" w:rsidRDefault="00EE12EE" w:rsidP="004334CE">
      <w:pPr>
        <w:pStyle w:val="Text1"/>
        <w:rPr>
          <w:noProof/>
        </w:rPr>
      </w:pPr>
      <m:oMath>
        <m:sSubSup>
          <m:sSubSupPr>
            <m:ctrlPr>
              <w:rPr>
                <w:rFonts w:ascii="Cambria Math" w:hAnsi="Cambria Math"/>
                <w:i/>
                <w:noProof/>
              </w:rPr>
            </m:ctrlPr>
          </m:sSubSupPr>
          <m:e>
            <m:r>
              <w:rPr>
                <w:rFonts w:ascii="Cambria Math" w:hAnsi="Cambria Math"/>
                <w:noProof/>
              </w:rPr>
              <m:t>ρ</m:t>
            </m:r>
          </m:e>
          <m:sub>
            <m:r>
              <w:rPr>
                <w:rFonts w:ascii="Cambria Math" w:hAnsi="Cambria Math"/>
                <w:noProof/>
              </w:rPr>
              <m:t>kl</m:t>
            </m:r>
          </m:sub>
          <m:sup>
            <m:r>
              <w:rPr>
                <w:rFonts w:ascii="Cambria Math" w:hAnsi="Cambria Math"/>
                <w:noProof/>
              </w:rPr>
              <m:t>(name)</m:t>
            </m:r>
          </m:sup>
        </m:sSubSup>
      </m:oMath>
      <w:r w:rsidR="00DE1B1D" w:rsidRPr="004F01E9">
        <w:rPr>
          <w:noProof/>
        </w:rPr>
        <w:t xml:space="preserve"> sa rovná 1, ak dva referenčné tituly citlivostí</w:t>
      </w:r>
      <w:r w:rsidR="004F01E9">
        <w:rPr>
          <w:noProof/>
        </w:rPr>
        <w:t xml:space="preserve"> k a </w:t>
      </w:r>
      <w:r w:rsidR="00DE1B1D" w:rsidRPr="004F01E9">
        <w:rPr>
          <w:noProof/>
        </w:rPr>
        <w:t>l sú identické,</w:t>
      </w:r>
      <w:r w:rsidR="004F01E9">
        <w:rPr>
          <w:noProof/>
        </w:rPr>
        <w:t xml:space="preserve"> a </w:t>
      </w:r>
      <w:r w:rsidR="00DE1B1D" w:rsidRPr="004F01E9">
        <w:rPr>
          <w:noProof/>
        </w:rPr>
        <w:t>50</w:t>
      </w:r>
      <w:r w:rsidR="004F01E9">
        <w:rPr>
          <w:noProof/>
        </w:rPr>
        <w:t> % v </w:t>
      </w:r>
      <w:r w:rsidR="00DE1B1D" w:rsidRPr="004F01E9">
        <w:rPr>
          <w:noProof/>
        </w:rPr>
        <w:t>ostatných prípadoch;</w:t>
      </w:r>
    </w:p>
    <w:p w14:paraId="6FEC5646" w14:textId="1E291F53" w:rsidR="00806B81" w:rsidRPr="004F01E9" w:rsidRDefault="00EE12EE" w:rsidP="004334CE">
      <w:pPr>
        <w:pStyle w:val="Text1"/>
        <w:rPr>
          <w:noProof/>
        </w:rPr>
      </w:pPr>
      <m:oMath>
        <m:sSubSup>
          <m:sSubSupPr>
            <m:ctrlPr>
              <w:rPr>
                <w:rFonts w:ascii="Cambria Math" w:hAnsi="Cambria Math"/>
                <w:i/>
                <w:noProof/>
              </w:rPr>
            </m:ctrlPr>
          </m:sSubSupPr>
          <m:e>
            <m:r>
              <w:rPr>
                <w:rFonts w:ascii="Cambria Math" w:hAnsi="Cambria Math"/>
                <w:noProof/>
              </w:rPr>
              <m:t>ρ</m:t>
            </m:r>
          </m:e>
          <m:sub>
            <m:r>
              <w:rPr>
                <w:rFonts w:ascii="Cambria Math" w:hAnsi="Cambria Math"/>
                <w:noProof/>
              </w:rPr>
              <m:t>kl</m:t>
            </m:r>
          </m:sub>
          <m:sup>
            <m:r>
              <w:rPr>
                <w:rFonts w:ascii="Cambria Math" w:hAnsi="Cambria Math"/>
                <w:noProof/>
              </w:rPr>
              <m:t>(quality)</m:t>
            </m:r>
          </m:sup>
        </m:sSubSup>
      </m:oMath>
      <w:r w:rsidR="00DE1B1D" w:rsidRPr="004F01E9">
        <w:rPr>
          <w:noProof/>
        </w:rPr>
        <w:t xml:space="preserve"> sa rovná 1, ak oba referenčné tituly sú</w:t>
      </w:r>
      <w:r w:rsidR="004F01E9">
        <w:rPr>
          <w:noProof/>
        </w:rPr>
        <w:t xml:space="preserve"> v </w:t>
      </w:r>
      <w:r w:rsidR="00DE1B1D" w:rsidRPr="004F01E9">
        <w:rPr>
          <w:noProof/>
        </w:rPr>
        <w:t>skupinách 1 až 9 alebo</w:t>
      </w:r>
      <w:r w:rsidR="004F01E9">
        <w:rPr>
          <w:noProof/>
        </w:rPr>
        <w:t xml:space="preserve"> v </w:t>
      </w:r>
      <w:r w:rsidR="00DE1B1D" w:rsidRPr="004F01E9">
        <w:rPr>
          <w:noProof/>
        </w:rPr>
        <w:t>skupinách 11 až 18,</w:t>
      </w:r>
      <w:r w:rsidR="004F01E9">
        <w:rPr>
          <w:noProof/>
        </w:rPr>
        <w:t xml:space="preserve"> a </w:t>
      </w:r>
      <w:r w:rsidR="00DE1B1D" w:rsidRPr="004F01E9">
        <w:rPr>
          <w:noProof/>
        </w:rPr>
        <w:t>80</w:t>
      </w:r>
      <w:r w:rsidR="004F01E9">
        <w:rPr>
          <w:noProof/>
        </w:rPr>
        <w:t> % v </w:t>
      </w:r>
      <w:r w:rsidR="00DE1B1D" w:rsidRPr="004F01E9">
        <w:rPr>
          <w:noProof/>
        </w:rPr>
        <w:t>ostatných prípadoch.</w:t>
      </w:r>
    </w:p>
    <w:p w14:paraId="6D2CA710" w14:textId="57D61E4B" w:rsidR="004334CE" w:rsidRPr="004F01E9" w:rsidRDefault="004334CE" w:rsidP="004334CE">
      <w:pPr>
        <w:pStyle w:val="Text1"/>
        <w:rPr>
          <w:noProof/>
        </w:rPr>
      </w:pPr>
      <w:r w:rsidRPr="004F01E9">
        <w:rPr>
          <w:noProof/>
        </w:rPr>
        <w:t xml:space="preserve">2. Korelačný parameter </w:t>
      </w:r>
      <m:oMath>
        <m:sSub>
          <m:sSubPr>
            <m:ctrlPr>
              <w:rPr>
                <w:rFonts w:ascii="Cambria Math" w:hAnsi="Cambria Math"/>
                <w:i/>
                <w:noProof/>
              </w:rPr>
            </m:ctrlPr>
          </m:sSubPr>
          <m:e>
            <m:r>
              <w:rPr>
                <w:rFonts w:ascii="Cambria Math" w:hAnsi="Cambria Math"/>
                <w:noProof/>
              </w:rPr>
              <m:t>ρ</m:t>
            </m:r>
          </m:e>
          <m:sub>
            <m:r>
              <w:rPr>
                <w:rFonts w:ascii="Cambria Math" w:hAnsi="Cambria Math"/>
                <w:noProof/>
              </w:rPr>
              <m:t>kl</m:t>
            </m:r>
          </m:sub>
        </m:sSub>
      </m:oMath>
      <w:r w:rsidRPr="004F01E9">
        <w:rPr>
          <w:noProof/>
        </w:rPr>
        <w:t xml:space="preserve"> medzi dvoma citlivosťami </w:t>
      </w:r>
      <m:oMath>
        <m:sSub>
          <m:sSubPr>
            <m:ctrlPr>
              <w:rPr>
                <w:rFonts w:ascii="Cambria Math" w:hAnsi="Cambria Math"/>
                <w:i/>
                <w:noProof/>
              </w:rPr>
            </m:ctrlPr>
          </m:sSubPr>
          <m:e>
            <m:r>
              <w:rPr>
                <w:rFonts w:ascii="Cambria Math" w:hAnsi="Cambria Math"/>
                <w:noProof/>
              </w:rPr>
              <m:t>WS</m:t>
            </m:r>
          </m:e>
          <m:sub>
            <m:r>
              <w:rPr>
                <w:rFonts w:ascii="Cambria Math" w:hAnsi="Cambria Math"/>
                <w:noProof/>
              </w:rPr>
              <m:t>k</m:t>
            </m:r>
          </m:sub>
        </m:sSub>
        <m:r>
          <m:rPr>
            <m:sty m:val="p"/>
          </m:rPr>
          <w:rPr>
            <w:rFonts w:ascii="Cambria Math" w:hAnsi="Cambria Math"/>
            <w:noProof/>
          </w:rPr>
          <m:t xml:space="preserve"> a </m:t>
        </m:r>
        <m:sSub>
          <m:sSubPr>
            <m:ctrlPr>
              <w:rPr>
                <w:rFonts w:ascii="Cambria Math" w:hAnsi="Cambria Math"/>
                <w:i/>
                <w:noProof/>
              </w:rPr>
            </m:ctrlPr>
          </m:sSubPr>
          <m:e>
            <m:r>
              <w:rPr>
                <w:rFonts w:ascii="Cambria Math" w:hAnsi="Cambria Math"/>
                <w:noProof/>
              </w:rPr>
              <m:t>WS</m:t>
            </m:r>
          </m:e>
          <m:sub>
            <m:r>
              <w:rPr>
                <w:rFonts w:ascii="Cambria Math" w:hAnsi="Cambria Math"/>
                <w:noProof/>
              </w:rPr>
              <m:t>l</m:t>
            </m:r>
          </m:sub>
        </m:sSub>
      </m:oMath>
      <w:r w:rsidRPr="004F01E9">
        <w:rPr>
          <w:noProof/>
        </w:rPr>
        <w:t>, ktoré vyplývajú</w:t>
      </w:r>
      <w:r w:rsidR="004F01E9">
        <w:rPr>
          <w:noProof/>
        </w:rPr>
        <w:t xml:space="preserve"> z </w:t>
      </w:r>
      <w:r w:rsidRPr="004F01E9">
        <w:rPr>
          <w:noProof/>
        </w:rPr>
        <w:t>expozícií voči rizikám zaradených do sektorových skupín 10</w:t>
      </w:r>
      <w:r w:rsidR="004F01E9">
        <w:rPr>
          <w:noProof/>
        </w:rPr>
        <w:t xml:space="preserve"> a </w:t>
      </w:r>
      <w:r w:rsidRPr="004F01E9">
        <w:rPr>
          <w:noProof/>
        </w:rPr>
        <w:t>19, sa stanovuje takto:</w:t>
      </w:r>
    </w:p>
    <w:p w14:paraId="65121369" w14:textId="77777777" w:rsidR="004334CE" w:rsidRPr="004F01E9" w:rsidRDefault="00EE12EE" w:rsidP="004334CE">
      <w:pPr>
        <w:pStyle w:val="Text1"/>
        <w:rPr>
          <w:noProof/>
        </w:rPr>
      </w:pPr>
      <m:oMathPara>
        <m:oMath>
          <m:sSub>
            <m:sSubPr>
              <m:ctrlPr>
                <w:rPr>
                  <w:rFonts w:ascii="Cambria Math" w:hAnsi="Cambria Math"/>
                  <w:noProof/>
                </w:rPr>
              </m:ctrlPr>
            </m:sSubPr>
            <m:e>
              <m:r>
                <w:rPr>
                  <w:rFonts w:ascii="Cambria Math" w:hAnsi="Cambria Math"/>
                  <w:noProof/>
                </w:rPr>
                <m:t>ρ</m:t>
              </m:r>
            </m:e>
            <m:sub>
              <m:r>
                <w:rPr>
                  <w:rFonts w:ascii="Cambria Math" w:hAnsi="Cambria Math"/>
                  <w:noProof/>
                </w:rPr>
                <m:t>kl</m:t>
              </m:r>
            </m:sub>
          </m:sSub>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tenor</m:t>
              </m:r>
              <m:r>
                <m:rPr>
                  <m:sty m:val="p"/>
                </m:rPr>
                <w:rPr>
                  <w:rFonts w:ascii="Cambria Math" w:hAnsi="Cambria Math"/>
                  <w:noProof/>
                </w:rPr>
                <m:t>)</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name</m:t>
              </m:r>
              <m:r>
                <m:rPr>
                  <m:sty m:val="p"/>
                </m:rPr>
                <w:rPr>
                  <w:rFonts w:ascii="Cambria Math" w:hAnsi="Cambria Math"/>
                  <w:noProof/>
                </w:rPr>
                <m:t>)</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quality</m:t>
              </m:r>
              <m:r>
                <m:rPr>
                  <m:sty m:val="p"/>
                </m:rPr>
                <w:rPr>
                  <w:rFonts w:ascii="Cambria Math" w:hAnsi="Cambria Math"/>
                  <w:noProof/>
                </w:rPr>
                <m:t>)</m:t>
              </m:r>
            </m:sup>
          </m:sSubSup>
        </m:oMath>
      </m:oMathPara>
    </w:p>
    <w:p w14:paraId="017F9411" w14:textId="13CF1E84" w:rsidR="004334CE" w:rsidRPr="004F01E9" w:rsidRDefault="004334CE" w:rsidP="004334CE">
      <w:pPr>
        <w:pStyle w:val="Text1"/>
        <w:rPr>
          <w:noProof/>
        </w:rPr>
      </w:pPr>
      <w:r w:rsidRPr="004F01E9">
        <w:rPr>
          <w:noProof/>
        </w:rPr>
        <w:t>kde:</w:t>
      </w:r>
    </w:p>
    <w:p w14:paraId="165FF964" w14:textId="5DCC904F" w:rsidR="004334CE" w:rsidRPr="004F01E9" w:rsidRDefault="00EE12EE" w:rsidP="004334CE">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tenor</m:t>
            </m:r>
            <m:r>
              <m:rPr>
                <m:sty m:val="p"/>
              </m:rPr>
              <w:rPr>
                <w:rFonts w:ascii="Cambria Math" w:hAnsi="Cambria Math"/>
                <w:noProof/>
              </w:rPr>
              <m:t>)</m:t>
            </m:r>
          </m:sup>
        </m:sSubSup>
      </m:oMath>
      <w:r w:rsidR="00DE1B1D" w:rsidRPr="004F01E9">
        <w:rPr>
          <w:noProof/>
        </w:rPr>
        <w:t xml:space="preserve"> sa rovná 1, ak dva vrcholné body citlivostí</w:t>
      </w:r>
      <w:r w:rsidR="004F01E9">
        <w:rPr>
          <w:noProof/>
        </w:rPr>
        <w:t xml:space="preserve"> k a </w:t>
      </w:r>
      <w:r w:rsidR="00DE1B1D" w:rsidRPr="004F01E9">
        <w:rPr>
          <w:noProof/>
        </w:rPr>
        <w:t>l sú identické,</w:t>
      </w:r>
      <w:r w:rsidR="004F01E9">
        <w:rPr>
          <w:noProof/>
        </w:rPr>
        <w:t xml:space="preserve"> a </w:t>
      </w:r>
      <w:r w:rsidR="00DE1B1D" w:rsidRPr="004F01E9">
        <w:rPr>
          <w:noProof/>
        </w:rPr>
        <w:t>90</w:t>
      </w:r>
      <w:r w:rsidR="004F01E9">
        <w:rPr>
          <w:noProof/>
        </w:rPr>
        <w:t> % v </w:t>
      </w:r>
      <w:r w:rsidR="00DE1B1D" w:rsidRPr="004F01E9">
        <w:rPr>
          <w:noProof/>
        </w:rPr>
        <w:t>ostatných prípadoch;</w:t>
      </w:r>
    </w:p>
    <w:p w14:paraId="7AEF210E" w14:textId="3A8AEFC5" w:rsidR="004334CE" w:rsidRPr="004F01E9" w:rsidRDefault="00EE12EE" w:rsidP="004334CE">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name</m:t>
            </m:r>
            <m:r>
              <m:rPr>
                <m:sty m:val="p"/>
              </m:rPr>
              <w:rPr>
                <w:rFonts w:ascii="Cambria Math" w:hAnsi="Cambria Math"/>
                <w:noProof/>
              </w:rPr>
              <m:t>)</m:t>
            </m:r>
          </m:sup>
        </m:sSubSup>
      </m:oMath>
      <w:r w:rsidR="00DE1B1D" w:rsidRPr="004F01E9">
        <w:rPr>
          <w:noProof/>
        </w:rPr>
        <w:t xml:space="preserve"> sa rovná 1, ak dva referenčné tituly citlivostí</w:t>
      </w:r>
      <w:r w:rsidR="004F01E9">
        <w:rPr>
          <w:noProof/>
        </w:rPr>
        <w:t xml:space="preserve"> k a </w:t>
      </w:r>
      <w:r w:rsidR="00DE1B1D" w:rsidRPr="004F01E9">
        <w:rPr>
          <w:noProof/>
        </w:rPr>
        <w:t>l sú identické</w:t>
      </w:r>
      <w:r w:rsidR="004F01E9">
        <w:rPr>
          <w:noProof/>
        </w:rPr>
        <w:t xml:space="preserve"> a </w:t>
      </w:r>
      <w:r w:rsidR="00DE1B1D" w:rsidRPr="004F01E9">
        <w:rPr>
          <w:noProof/>
        </w:rPr>
        <w:t>dva indexy sú</w:t>
      </w:r>
      <w:r w:rsidR="004F01E9">
        <w:rPr>
          <w:noProof/>
        </w:rPr>
        <w:t xml:space="preserve"> z </w:t>
      </w:r>
      <w:r w:rsidR="00DE1B1D" w:rsidRPr="004F01E9">
        <w:rPr>
          <w:noProof/>
        </w:rPr>
        <w:t>rovnakej indexovej série,</w:t>
      </w:r>
      <w:r w:rsidR="004F01E9">
        <w:rPr>
          <w:noProof/>
        </w:rPr>
        <w:t xml:space="preserve"> a </w:t>
      </w:r>
      <w:r w:rsidR="00DE1B1D" w:rsidRPr="004F01E9">
        <w:rPr>
          <w:noProof/>
        </w:rPr>
        <w:t>80</w:t>
      </w:r>
      <w:r w:rsidR="004F01E9">
        <w:rPr>
          <w:noProof/>
        </w:rPr>
        <w:t> % v </w:t>
      </w:r>
      <w:r w:rsidR="00DE1B1D" w:rsidRPr="004F01E9">
        <w:rPr>
          <w:noProof/>
        </w:rPr>
        <w:t>ostatných prípadoch;</w:t>
      </w:r>
    </w:p>
    <w:p w14:paraId="607D2EF4" w14:textId="1C3AE771" w:rsidR="00806B81" w:rsidRPr="004F01E9" w:rsidRDefault="00EE12EE" w:rsidP="004334CE">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quality</m:t>
            </m:r>
            <m:r>
              <m:rPr>
                <m:sty m:val="p"/>
              </m:rPr>
              <w:rPr>
                <w:rFonts w:ascii="Cambria Math" w:hAnsi="Cambria Math"/>
                <w:noProof/>
              </w:rPr>
              <m:t>)</m:t>
            </m:r>
          </m:sup>
        </m:sSubSup>
      </m:oMath>
      <w:r w:rsidR="00DE1B1D" w:rsidRPr="004F01E9">
        <w:rPr>
          <w:noProof/>
        </w:rPr>
        <w:t xml:space="preserve"> sa rovná 1, ak oba referenčné tituly sú</w:t>
      </w:r>
      <w:r w:rsidR="004F01E9">
        <w:rPr>
          <w:noProof/>
        </w:rPr>
        <w:t xml:space="preserve"> v </w:t>
      </w:r>
      <w:r w:rsidR="00DE1B1D" w:rsidRPr="004F01E9">
        <w:rPr>
          <w:noProof/>
        </w:rPr>
        <w:t>skupine 10 alebo</w:t>
      </w:r>
      <w:r w:rsidR="004F01E9">
        <w:rPr>
          <w:noProof/>
        </w:rPr>
        <w:t xml:space="preserve"> v </w:t>
      </w:r>
      <w:r w:rsidR="00DE1B1D" w:rsidRPr="004F01E9">
        <w:rPr>
          <w:noProof/>
        </w:rPr>
        <w:t>skupine 19,</w:t>
      </w:r>
      <w:r w:rsidR="004F01E9">
        <w:rPr>
          <w:noProof/>
        </w:rPr>
        <w:t xml:space="preserve"> a </w:t>
      </w:r>
      <w:r w:rsidR="00DE1B1D" w:rsidRPr="004F01E9">
        <w:rPr>
          <w:noProof/>
        </w:rPr>
        <w:t>80</w:t>
      </w:r>
      <w:r w:rsidR="004F01E9">
        <w:rPr>
          <w:noProof/>
        </w:rPr>
        <w:t> % v </w:t>
      </w:r>
      <w:r w:rsidR="00DE1B1D" w:rsidRPr="004F01E9">
        <w:rPr>
          <w:noProof/>
        </w:rPr>
        <w:t>ostatných prípadoch.</w:t>
      </w:r>
    </w:p>
    <w:p w14:paraId="5D6F1644" w14:textId="1C3CB875" w:rsidR="004334CE" w:rsidRPr="004F01E9" w:rsidRDefault="004334CE" w:rsidP="004334CE">
      <w:pPr>
        <w:pStyle w:val="Titrearticle"/>
        <w:rPr>
          <w:noProof/>
        </w:rPr>
      </w:pPr>
      <w:r w:rsidRPr="004F01E9">
        <w:rPr>
          <w:noProof/>
        </w:rPr>
        <w:t xml:space="preserve">Článok 383q </w:t>
      </w:r>
      <w:r w:rsidRPr="004F01E9">
        <w:rPr>
          <w:noProof/>
        </w:rPr>
        <w:br/>
      </w:r>
      <w:r w:rsidRPr="004F01E9">
        <w:rPr>
          <w:b/>
          <w:i w:val="0"/>
          <w:noProof/>
        </w:rPr>
        <w:t>Korelácie naprieč skupinami pre riziko kreditného rozpätia protistrany</w:t>
      </w:r>
    </w:p>
    <w:p w14:paraId="09B627A4" w14:textId="77777777" w:rsidR="004334CE" w:rsidRPr="004F01E9" w:rsidRDefault="004334CE" w:rsidP="004334CE">
      <w:pPr>
        <w:pStyle w:val="Text1"/>
        <w:rPr>
          <w:rFonts w:eastAsiaTheme="minorEastAsia"/>
          <w:noProof/>
        </w:rPr>
      </w:pPr>
      <w:r w:rsidRPr="004F01E9">
        <w:rPr>
          <w:noProof/>
        </w:rPr>
        <w:t>Korelácie naprieč skupinami pre riziko kreditného rozpätia delta sú tieto:</w:t>
      </w:r>
    </w:p>
    <w:p w14:paraId="2C1B7880" w14:textId="77777777" w:rsidR="004334CE" w:rsidRPr="004F01E9" w:rsidRDefault="004334CE" w:rsidP="004334CE">
      <w:pPr>
        <w:pStyle w:val="Text1"/>
        <w:jc w:val="center"/>
        <w:rPr>
          <w:noProof/>
        </w:rPr>
      </w:pPr>
      <w:r w:rsidRPr="004F01E9">
        <w:rPr>
          <w:noProof/>
        </w:rPr>
        <w:t>Tabuľka 4</w:t>
      </w:r>
    </w:p>
    <w:tbl>
      <w:tblPr>
        <w:tblStyle w:val="TableGrid"/>
        <w:tblW w:w="0" w:type="auto"/>
        <w:jc w:val="center"/>
        <w:tblLayout w:type="fixed"/>
        <w:tblLook w:val="04A0" w:firstRow="1" w:lastRow="0" w:firstColumn="1" w:lastColumn="0" w:noHBand="0" w:noVBand="1"/>
      </w:tblPr>
      <w:tblGrid>
        <w:gridCol w:w="1729"/>
        <w:gridCol w:w="883"/>
        <w:gridCol w:w="884"/>
        <w:gridCol w:w="883"/>
        <w:gridCol w:w="884"/>
        <w:gridCol w:w="884"/>
        <w:gridCol w:w="883"/>
        <w:gridCol w:w="884"/>
        <w:gridCol w:w="884"/>
      </w:tblGrid>
      <w:tr w:rsidR="004334CE" w:rsidRPr="004F01E9" w14:paraId="5FF749E8" w14:textId="77777777" w:rsidTr="004334CE">
        <w:trPr>
          <w:trHeight w:val="608"/>
          <w:jc w:val="center"/>
        </w:trPr>
        <w:tc>
          <w:tcPr>
            <w:tcW w:w="1729" w:type="dxa"/>
          </w:tcPr>
          <w:p w14:paraId="34EA89A3" w14:textId="77777777" w:rsidR="004334CE" w:rsidRPr="004F01E9" w:rsidRDefault="004334CE" w:rsidP="004334CE">
            <w:pPr>
              <w:rPr>
                <w:noProof/>
                <w:sz w:val="20"/>
              </w:rPr>
            </w:pPr>
            <w:r w:rsidRPr="004F01E9">
              <w:rPr>
                <w:noProof/>
                <w:sz w:val="20"/>
              </w:rPr>
              <w:t>Skupina</w:t>
            </w:r>
          </w:p>
        </w:tc>
        <w:tc>
          <w:tcPr>
            <w:tcW w:w="883" w:type="dxa"/>
          </w:tcPr>
          <w:p w14:paraId="24AF0277" w14:textId="3D0044A1" w:rsidR="004334CE" w:rsidRPr="004F01E9" w:rsidRDefault="004334CE" w:rsidP="004334CE">
            <w:pPr>
              <w:rPr>
                <w:noProof/>
                <w:sz w:val="20"/>
              </w:rPr>
            </w:pPr>
            <w:r w:rsidRPr="004F01E9">
              <w:rPr>
                <w:noProof/>
                <w:sz w:val="20"/>
              </w:rPr>
              <w:t>1, 2, 3, 11</w:t>
            </w:r>
            <w:r w:rsidR="004F01E9">
              <w:rPr>
                <w:noProof/>
                <w:sz w:val="20"/>
              </w:rPr>
              <w:t xml:space="preserve"> a </w:t>
            </w:r>
            <w:r w:rsidRPr="004F01E9">
              <w:rPr>
                <w:noProof/>
                <w:sz w:val="20"/>
              </w:rPr>
              <w:t>12</w:t>
            </w:r>
          </w:p>
        </w:tc>
        <w:tc>
          <w:tcPr>
            <w:tcW w:w="884" w:type="dxa"/>
          </w:tcPr>
          <w:p w14:paraId="68FE574F" w14:textId="45811B8B" w:rsidR="004334CE" w:rsidRPr="004F01E9" w:rsidRDefault="004334CE" w:rsidP="004334CE">
            <w:pPr>
              <w:rPr>
                <w:noProof/>
                <w:sz w:val="20"/>
              </w:rPr>
            </w:pPr>
            <w:r w:rsidRPr="004F01E9">
              <w:rPr>
                <w:noProof/>
                <w:sz w:val="20"/>
              </w:rPr>
              <w:t>4</w:t>
            </w:r>
            <w:r w:rsidR="004F01E9">
              <w:rPr>
                <w:noProof/>
                <w:sz w:val="20"/>
              </w:rPr>
              <w:t xml:space="preserve"> a </w:t>
            </w:r>
            <w:r w:rsidRPr="004F01E9">
              <w:rPr>
                <w:noProof/>
                <w:sz w:val="20"/>
              </w:rPr>
              <w:t>13</w:t>
            </w:r>
          </w:p>
        </w:tc>
        <w:tc>
          <w:tcPr>
            <w:tcW w:w="883" w:type="dxa"/>
          </w:tcPr>
          <w:p w14:paraId="006867DE" w14:textId="009C2538" w:rsidR="004334CE" w:rsidRPr="004F01E9" w:rsidRDefault="004334CE" w:rsidP="004334CE">
            <w:pPr>
              <w:rPr>
                <w:noProof/>
                <w:sz w:val="20"/>
              </w:rPr>
            </w:pPr>
            <w:r w:rsidRPr="004F01E9">
              <w:rPr>
                <w:noProof/>
                <w:sz w:val="20"/>
              </w:rPr>
              <w:t>5</w:t>
            </w:r>
            <w:r w:rsidR="004F01E9">
              <w:rPr>
                <w:noProof/>
                <w:sz w:val="20"/>
              </w:rPr>
              <w:t xml:space="preserve"> a </w:t>
            </w:r>
            <w:r w:rsidRPr="004F01E9">
              <w:rPr>
                <w:noProof/>
                <w:sz w:val="20"/>
              </w:rPr>
              <w:t>14</w:t>
            </w:r>
          </w:p>
        </w:tc>
        <w:tc>
          <w:tcPr>
            <w:tcW w:w="884" w:type="dxa"/>
          </w:tcPr>
          <w:p w14:paraId="40654DEB" w14:textId="6D1EB502" w:rsidR="004334CE" w:rsidRPr="004F01E9" w:rsidRDefault="004334CE" w:rsidP="004334CE">
            <w:pPr>
              <w:rPr>
                <w:noProof/>
                <w:sz w:val="20"/>
              </w:rPr>
            </w:pPr>
            <w:r w:rsidRPr="004F01E9">
              <w:rPr>
                <w:noProof/>
                <w:sz w:val="20"/>
              </w:rPr>
              <w:t>6</w:t>
            </w:r>
            <w:r w:rsidR="004F01E9">
              <w:rPr>
                <w:noProof/>
                <w:sz w:val="20"/>
              </w:rPr>
              <w:t xml:space="preserve"> a </w:t>
            </w:r>
            <w:r w:rsidRPr="004F01E9">
              <w:rPr>
                <w:noProof/>
                <w:sz w:val="20"/>
              </w:rPr>
              <w:t>15</w:t>
            </w:r>
          </w:p>
        </w:tc>
        <w:tc>
          <w:tcPr>
            <w:tcW w:w="884" w:type="dxa"/>
          </w:tcPr>
          <w:p w14:paraId="096B18E7" w14:textId="48963602" w:rsidR="004334CE" w:rsidRPr="004F01E9" w:rsidRDefault="004334CE" w:rsidP="004334CE">
            <w:pPr>
              <w:rPr>
                <w:noProof/>
                <w:sz w:val="20"/>
              </w:rPr>
            </w:pPr>
            <w:r w:rsidRPr="004F01E9">
              <w:rPr>
                <w:noProof/>
                <w:sz w:val="20"/>
              </w:rPr>
              <w:t>7</w:t>
            </w:r>
            <w:r w:rsidR="004F01E9">
              <w:rPr>
                <w:noProof/>
                <w:sz w:val="20"/>
              </w:rPr>
              <w:t xml:space="preserve"> a </w:t>
            </w:r>
            <w:r w:rsidRPr="004F01E9">
              <w:rPr>
                <w:noProof/>
                <w:sz w:val="20"/>
              </w:rPr>
              <w:t>16</w:t>
            </w:r>
          </w:p>
        </w:tc>
        <w:tc>
          <w:tcPr>
            <w:tcW w:w="883" w:type="dxa"/>
          </w:tcPr>
          <w:p w14:paraId="6CA70053" w14:textId="1366BD4E" w:rsidR="004334CE" w:rsidRPr="004F01E9" w:rsidRDefault="004334CE" w:rsidP="004334CE">
            <w:pPr>
              <w:rPr>
                <w:noProof/>
                <w:sz w:val="20"/>
              </w:rPr>
            </w:pPr>
            <w:r w:rsidRPr="004F01E9">
              <w:rPr>
                <w:noProof/>
                <w:sz w:val="20"/>
              </w:rPr>
              <w:t>8</w:t>
            </w:r>
            <w:r w:rsidR="004F01E9">
              <w:rPr>
                <w:noProof/>
                <w:sz w:val="20"/>
              </w:rPr>
              <w:t xml:space="preserve"> a </w:t>
            </w:r>
            <w:r w:rsidRPr="004F01E9">
              <w:rPr>
                <w:noProof/>
                <w:sz w:val="20"/>
              </w:rPr>
              <w:t>17</w:t>
            </w:r>
          </w:p>
        </w:tc>
        <w:tc>
          <w:tcPr>
            <w:tcW w:w="884" w:type="dxa"/>
          </w:tcPr>
          <w:p w14:paraId="5DC46903" w14:textId="29384162" w:rsidR="004334CE" w:rsidRPr="004F01E9" w:rsidRDefault="004334CE" w:rsidP="004334CE">
            <w:pPr>
              <w:rPr>
                <w:noProof/>
                <w:sz w:val="20"/>
              </w:rPr>
            </w:pPr>
            <w:r w:rsidRPr="004F01E9">
              <w:rPr>
                <w:noProof/>
                <w:sz w:val="20"/>
              </w:rPr>
              <w:t>9</w:t>
            </w:r>
            <w:r w:rsidR="004F01E9">
              <w:rPr>
                <w:noProof/>
                <w:sz w:val="20"/>
              </w:rPr>
              <w:t xml:space="preserve"> a </w:t>
            </w:r>
            <w:r w:rsidRPr="004F01E9">
              <w:rPr>
                <w:noProof/>
                <w:sz w:val="20"/>
              </w:rPr>
              <w:t>18</w:t>
            </w:r>
          </w:p>
        </w:tc>
        <w:tc>
          <w:tcPr>
            <w:tcW w:w="884" w:type="dxa"/>
          </w:tcPr>
          <w:p w14:paraId="52FD717A" w14:textId="6D353EE3" w:rsidR="004334CE" w:rsidRPr="004F01E9" w:rsidRDefault="004334CE" w:rsidP="004334CE">
            <w:pPr>
              <w:rPr>
                <w:noProof/>
                <w:sz w:val="20"/>
              </w:rPr>
            </w:pPr>
            <w:r w:rsidRPr="004F01E9">
              <w:rPr>
                <w:noProof/>
                <w:sz w:val="20"/>
              </w:rPr>
              <w:t>10</w:t>
            </w:r>
            <w:r w:rsidR="004F01E9">
              <w:rPr>
                <w:noProof/>
                <w:sz w:val="20"/>
              </w:rPr>
              <w:t xml:space="preserve"> a </w:t>
            </w:r>
            <w:r w:rsidRPr="004F01E9">
              <w:rPr>
                <w:noProof/>
                <w:sz w:val="20"/>
              </w:rPr>
              <w:t>19</w:t>
            </w:r>
          </w:p>
        </w:tc>
      </w:tr>
      <w:tr w:rsidR="004334CE" w:rsidRPr="004F01E9" w14:paraId="4FD16D00" w14:textId="77777777" w:rsidTr="004334CE">
        <w:trPr>
          <w:trHeight w:val="590"/>
          <w:jc w:val="center"/>
        </w:trPr>
        <w:tc>
          <w:tcPr>
            <w:tcW w:w="1729" w:type="dxa"/>
          </w:tcPr>
          <w:p w14:paraId="2CDB3B66" w14:textId="420DFA68" w:rsidR="004334CE" w:rsidRPr="004F01E9" w:rsidRDefault="004334CE" w:rsidP="004334CE">
            <w:pPr>
              <w:rPr>
                <w:noProof/>
                <w:sz w:val="20"/>
              </w:rPr>
            </w:pPr>
            <w:r w:rsidRPr="004F01E9">
              <w:rPr>
                <w:noProof/>
                <w:sz w:val="20"/>
              </w:rPr>
              <w:t>1, 2, 3, 11</w:t>
            </w:r>
            <w:r w:rsidR="004F01E9">
              <w:rPr>
                <w:noProof/>
                <w:sz w:val="20"/>
              </w:rPr>
              <w:t xml:space="preserve"> a </w:t>
            </w:r>
            <w:r w:rsidRPr="004F01E9">
              <w:rPr>
                <w:noProof/>
                <w:sz w:val="20"/>
              </w:rPr>
              <w:t>12</w:t>
            </w:r>
          </w:p>
        </w:tc>
        <w:tc>
          <w:tcPr>
            <w:tcW w:w="883" w:type="dxa"/>
          </w:tcPr>
          <w:p w14:paraId="71828407" w14:textId="5C2B3529" w:rsidR="004334CE" w:rsidRPr="004F01E9" w:rsidRDefault="004334CE" w:rsidP="004334CE">
            <w:pPr>
              <w:rPr>
                <w:noProof/>
                <w:sz w:val="20"/>
              </w:rPr>
            </w:pPr>
            <w:r w:rsidRPr="004F01E9">
              <w:rPr>
                <w:noProof/>
                <w:sz w:val="20"/>
              </w:rPr>
              <w:t>100</w:t>
            </w:r>
            <w:r w:rsidR="004F01E9">
              <w:rPr>
                <w:noProof/>
                <w:sz w:val="20"/>
              </w:rPr>
              <w:t> %</w:t>
            </w:r>
          </w:p>
        </w:tc>
        <w:tc>
          <w:tcPr>
            <w:tcW w:w="884" w:type="dxa"/>
          </w:tcPr>
          <w:p w14:paraId="371007CA" w14:textId="132F9132" w:rsidR="004334CE" w:rsidRPr="004F01E9" w:rsidRDefault="004334CE" w:rsidP="004334CE">
            <w:pPr>
              <w:rPr>
                <w:noProof/>
                <w:sz w:val="20"/>
              </w:rPr>
            </w:pPr>
            <w:r w:rsidRPr="004F01E9">
              <w:rPr>
                <w:noProof/>
                <w:sz w:val="20"/>
              </w:rPr>
              <w:t>10</w:t>
            </w:r>
            <w:r w:rsidR="004F01E9">
              <w:rPr>
                <w:noProof/>
                <w:sz w:val="20"/>
              </w:rPr>
              <w:t> %</w:t>
            </w:r>
          </w:p>
        </w:tc>
        <w:tc>
          <w:tcPr>
            <w:tcW w:w="883" w:type="dxa"/>
          </w:tcPr>
          <w:p w14:paraId="7D07A4F9" w14:textId="4D7A9E83" w:rsidR="004334CE" w:rsidRPr="004F01E9" w:rsidRDefault="004334CE" w:rsidP="004334CE">
            <w:pPr>
              <w:rPr>
                <w:noProof/>
                <w:sz w:val="20"/>
              </w:rPr>
            </w:pPr>
            <w:r w:rsidRPr="004F01E9">
              <w:rPr>
                <w:noProof/>
                <w:sz w:val="20"/>
              </w:rPr>
              <w:t>20</w:t>
            </w:r>
            <w:r w:rsidR="004F01E9">
              <w:rPr>
                <w:noProof/>
                <w:sz w:val="20"/>
              </w:rPr>
              <w:t> %</w:t>
            </w:r>
          </w:p>
        </w:tc>
        <w:tc>
          <w:tcPr>
            <w:tcW w:w="884" w:type="dxa"/>
          </w:tcPr>
          <w:p w14:paraId="2950E76F" w14:textId="050866E5" w:rsidR="004334CE" w:rsidRPr="004F01E9" w:rsidRDefault="004334CE" w:rsidP="004334CE">
            <w:pPr>
              <w:rPr>
                <w:noProof/>
                <w:sz w:val="20"/>
              </w:rPr>
            </w:pPr>
            <w:r w:rsidRPr="004F01E9">
              <w:rPr>
                <w:noProof/>
                <w:sz w:val="20"/>
              </w:rPr>
              <w:t>25</w:t>
            </w:r>
            <w:r w:rsidR="004F01E9">
              <w:rPr>
                <w:noProof/>
                <w:sz w:val="20"/>
              </w:rPr>
              <w:t> %</w:t>
            </w:r>
          </w:p>
        </w:tc>
        <w:tc>
          <w:tcPr>
            <w:tcW w:w="884" w:type="dxa"/>
          </w:tcPr>
          <w:p w14:paraId="1FCB5449" w14:textId="3811EC46" w:rsidR="004334CE" w:rsidRPr="004F01E9" w:rsidRDefault="004334CE" w:rsidP="004334CE">
            <w:pPr>
              <w:rPr>
                <w:noProof/>
                <w:sz w:val="20"/>
              </w:rPr>
            </w:pPr>
            <w:r w:rsidRPr="004F01E9">
              <w:rPr>
                <w:noProof/>
                <w:sz w:val="20"/>
              </w:rPr>
              <w:t>20</w:t>
            </w:r>
            <w:r w:rsidR="004F01E9">
              <w:rPr>
                <w:noProof/>
                <w:sz w:val="20"/>
              </w:rPr>
              <w:t> %</w:t>
            </w:r>
          </w:p>
        </w:tc>
        <w:tc>
          <w:tcPr>
            <w:tcW w:w="883" w:type="dxa"/>
          </w:tcPr>
          <w:p w14:paraId="566D2885" w14:textId="3F59C946" w:rsidR="004334CE" w:rsidRPr="004F01E9" w:rsidRDefault="004334CE" w:rsidP="004334CE">
            <w:pPr>
              <w:rPr>
                <w:noProof/>
                <w:sz w:val="20"/>
              </w:rPr>
            </w:pPr>
            <w:r w:rsidRPr="004F01E9">
              <w:rPr>
                <w:noProof/>
                <w:sz w:val="20"/>
              </w:rPr>
              <w:t>15</w:t>
            </w:r>
            <w:r w:rsidR="004F01E9">
              <w:rPr>
                <w:noProof/>
                <w:sz w:val="20"/>
              </w:rPr>
              <w:t> %</w:t>
            </w:r>
          </w:p>
        </w:tc>
        <w:tc>
          <w:tcPr>
            <w:tcW w:w="884" w:type="dxa"/>
          </w:tcPr>
          <w:p w14:paraId="34B85267" w14:textId="652C2E16" w:rsidR="004334CE" w:rsidRPr="004F01E9" w:rsidRDefault="004334CE" w:rsidP="004334CE">
            <w:pPr>
              <w:rPr>
                <w:noProof/>
                <w:sz w:val="20"/>
              </w:rPr>
            </w:pPr>
            <w:r w:rsidRPr="004F01E9">
              <w:rPr>
                <w:noProof/>
                <w:sz w:val="20"/>
              </w:rPr>
              <w:t>0</w:t>
            </w:r>
            <w:r w:rsidR="004F01E9">
              <w:rPr>
                <w:noProof/>
                <w:sz w:val="20"/>
              </w:rPr>
              <w:t> %</w:t>
            </w:r>
          </w:p>
        </w:tc>
        <w:tc>
          <w:tcPr>
            <w:tcW w:w="884" w:type="dxa"/>
          </w:tcPr>
          <w:p w14:paraId="1E3E1C53" w14:textId="357348F3" w:rsidR="004334CE" w:rsidRPr="004F01E9" w:rsidRDefault="004334CE" w:rsidP="004334CE">
            <w:pPr>
              <w:rPr>
                <w:noProof/>
                <w:sz w:val="20"/>
              </w:rPr>
            </w:pPr>
            <w:r w:rsidRPr="004F01E9">
              <w:rPr>
                <w:noProof/>
                <w:sz w:val="20"/>
              </w:rPr>
              <w:t>45</w:t>
            </w:r>
            <w:r w:rsidR="004F01E9">
              <w:rPr>
                <w:noProof/>
                <w:sz w:val="20"/>
              </w:rPr>
              <w:t> %</w:t>
            </w:r>
          </w:p>
        </w:tc>
      </w:tr>
      <w:tr w:rsidR="004334CE" w:rsidRPr="004F01E9" w14:paraId="2D4B1148" w14:textId="77777777" w:rsidTr="004334CE">
        <w:trPr>
          <w:trHeight w:val="590"/>
          <w:jc w:val="center"/>
        </w:trPr>
        <w:tc>
          <w:tcPr>
            <w:tcW w:w="1729" w:type="dxa"/>
          </w:tcPr>
          <w:p w14:paraId="304F7277" w14:textId="62899668" w:rsidR="004334CE" w:rsidRPr="004F01E9" w:rsidRDefault="004334CE" w:rsidP="004334CE">
            <w:pPr>
              <w:rPr>
                <w:noProof/>
                <w:sz w:val="20"/>
              </w:rPr>
            </w:pPr>
            <w:r w:rsidRPr="004F01E9">
              <w:rPr>
                <w:noProof/>
                <w:sz w:val="20"/>
              </w:rPr>
              <w:t>4</w:t>
            </w:r>
            <w:r w:rsidR="004F01E9">
              <w:rPr>
                <w:noProof/>
                <w:sz w:val="20"/>
              </w:rPr>
              <w:t xml:space="preserve"> a </w:t>
            </w:r>
            <w:r w:rsidRPr="004F01E9">
              <w:rPr>
                <w:noProof/>
                <w:sz w:val="20"/>
              </w:rPr>
              <w:t>13</w:t>
            </w:r>
          </w:p>
        </w:tc>
        <w:tc>
          <w:tcPr>
            <w:tcW w:w="883" w:type="dxa"/>
          </w:tcPr>
          <w:p w14:paraId="72E7146C" w14:textId="77777777" w:rsidR="004334CE" w:rsidRPr="004F01E9" w:rsidRDefault="004334CE" w:rsidP="004334CE">
            <w:pPr>
              <w:rPr>
                <w:noProof/>
                <w:sz w:val="20"/>
              </w:rPr>
            </w:pPr>
          </w:p>
        </w:tc>
        <w:tc>
          <w:tcPr>
            <w:tcW w:w="884" w:type="dxa"/>
          </w:tcPr>
          <w:p w14:paraId="2607613B" w14:textId="145C335F" w:rsidR="004334CE" w:rsidRPr="004F01E9" w:rsidRDefault="004334CE" w:rsidP="004334CE">
            <w:pPr>
              <w:rPr>
                <w:noProof/>
                <w:sz w:val="20"/>
              </w:rPr>
            </w:pPr>
            <w:r w:rsidRPr="004F01E9">
              <w:rPr>
                <w:noProof/>
                <w:sz w:val="20"/>
              </w:rPr>
              <w:t>100</w:t>
            </w:r>
            <w:r w:rsidR="004F01E9">
              <w:rPr>
                <w:noProof/>
                <w:sz w:val="20"/>
              </w:rPr>
              <w:t> %</w:t>
            </w:r>
          </w:p>
        </w:tc>
        <w:tc>
          <w:tcPr>
            <w:tcW w:w="883" w:type="dxa"/>
          </w:tcPr>
          <w:p w14:paraId="0429E0CA" w14:textId="0FBCCB5C" w:rsidR="004334CE" w:rsidRPr="004F01E9" w:rsidRDefault="004334CE" w:rsidP="004334CE">
            <w:pPr>
              <w:rPr>
                <w:noProof/>
                <w:sz w:val="20"/>
              </w:rPr>
            </w:pPr>
            <w:r w:rsidRPr="004F01E9">
              <w:rPr>
                <w:noProof/>
                <w:sz w:val="20"/>
              </w:rPr>
              <w:t>5</w:t>
            </w:r>
            <w:r w:rsidR="004F01E9">
              <w:rPr>
                <w:noProof/>
                <w:sz w:val="20"/>
              </w:rPr>
              <w:t> %</w:t>
            </w:r>
          </w:p>
        </w:tc>
        <w:tc>
          <w:tcPr>
            <w:tcW w:w="884" w:type="dxa"/>
          </w:tcPr>
          <w:p w14:paraId="55A15C61" w14:textId="154DACD9" w:rsidR="004334CE" w:rsidRPr="004F01E9" w:rsidRDefault="004334CE" w:rsidP="004334CE">
            <w:pPr>
              <w:rPr>
                <w:noProof/>
                <w:sz w:val="20"/>
              </w:rPr>
            </w:pPr>
            <w:r w:rsidRPr="004F01E9">
              <w:rPr>
                <w:noProof/>
                <w:sz w:val="20"/>
              </w:rPr>
              <w:t>15</w:t>
            </w:r>
            <w:r w:rsidR="004F01E9">
              <w:rPr>
                <w:noProof/>
                <w:sz w:val="20"/>
              </w:rPr>
              <w:t> %</w:t>
            </w:r>
          </w:p>
        </w:tc>
        <w:tc>
          <w:tcPr>
            <w:tcW w:w="884" w:type="dxa"/>
          </w:tcPr>
          <w:p w14:paraId="2A61DB84" w14:textId="19E1A8F0" w:rsidR="004334CE" w:rsidRPr="004F01E9" w:rsidRDefault="004334CE" w:rsidP="004334CE">
            <w:pPr>
              <w:rPr>
                <w:noProof/>
                <w:sz w:val="20"/>
              </w:rPr>
            </w:pPr>
            <w:r w:rsidRPr="004F01E9">
              <w:rPr>
                <w:noProof/>
                <w:sz w:val="20"/>
              </w:rPr>
              <w:t>20</w:t>
            </w:r>
            <w:r w:rsidR="004F01E9">
              <w:rPr>
                <w:noProof/>
                <w:sz w:val="20"/>
              </w:rPr>
              <w:t> %</w:t>
            </w:r>
          </w:p>
        </w:tc>
        <w:tc>
          <w:tcPr>
            <w:tcW w:w="883" w:type="dxa"/>
          </w:tcPr>
          <w:p w14:paraId="072F2E79" w14:textId="7B7550B3" w:rsidR="004334CE" w:rsidRPr="004F01E9" w:rsidRDefault="004334CE" w:rsidP="004334CE">
            <w:pPr>
              <w:rPr>
                <w:noProof/>
                <w:sz w:val="20"/>
              </w:rPr>
            </w:pPr>
            <w:r w:rsidRPr="004F01E9">
              <w:rPr>
                <w:noProof/>
                <w:sz w:val="20"/>
              </w:rPr>
              <w:t>5</w:t>
            </w:r>
            <w:r w:rsidR="004F01E9">
              <w:rPr>
                <w:noProof/>
                <w:sz w:val="20"/>
              </w:rPr>
              <w:t> %</w:t>
            </w:r>
          </w:p>
        </w:tc>
        <w:tc>
          <w:tcPr>
            <w:tcW w:w="884" w:type="dxa"/>
          </w:tcPr>
          <w:p w14:paraId="3816916E" w14:textId="1A0E8E1F" w:rsidR="004334CE" w:rsidRPr="004F01E9" w:rsidRDefault="004334CE" w:rsidP="004334CE">
            <w:pPr>
              <w:rPr>
                <w:noProof/>
                <w:sz w:val="20"/>
              </w:rPr>
            </w:pPr>
            <w:r w:rsidRPr="004F01E9">
              <w:rPr>
                <w:noProof/>
                <w:sz w:val="20"/>
              </w:rPr>
              <w:t>0</w:t>
            </w:r>
            <w:r w:rsidR="004F01E9">
              <w:rPr>
                <w:noProof/>
                <w:sz w:val="20"/>
              </w:rPr>
              <w:t> %</w:t>
            </w:r>
          </w:p>
        </w:tc>
        <w:tc>
          <w:tcPr>
            <w:tcW w:w="884" w:type="dxa"/>
          </w:tcPr>
          <w:p w14:paraId="54D5E8A6" w14:textId="2DE88ADF" w:rsidR="004334CE" w:rsidRPr="004F01E9" w:rsidRDefault="004334CE" w:rsidP="004334CE">
            <w:pPr>
              <w:rPr>
                <w:noProof/>
                <w:sz w:val="20"/>
              </w:rPr>
            </w:pPr>
            <w:r w:rsidRPr="004F01E9">
              <w:rPr>
                <w:noProof/>
                <w:sz w:val="20"/>
              </w:rPr>
              <w:t>45</w:t>
            </w:r>
            <w:r w:rsidR="004F01E9">
              <w:rPr>
                <w:noProof/>
                <w:sz w:val="20"/>
              </w:rPr>
              <w:t> %</w:t>
            </w:r>
          </w:p>
        </w:tc>
      </w:tr>
      <w:tr w:rsidR="004334CE" w:rsidRPr="004F01E9" w14:paraId="1352C92A" w14:textId="77777777" w:rsidTr="004334CE">
        <w:trPr>
          <w:trHeight w:val="590"/>
          <w:jc w:val="center"/>
        </w:trPr>
        <w:tc>
          <w:tcPr>
            <w:tcW w:w="1729" w:type="dxa"/>
          </w:tcPr>
          <w:p w14:paraId="33E2BCFE" w14:textId="08B4DE91" w:rsidR="004334CE" w:rsidRPr="004F01E9" w:rsidRDefault="004334CE" w:rsidP="004334CE">
            <w:pPr>
              <w:rPr>
                <w:noProof/>
                <w:sz w:val="20"/>
              </w:rPr>
            </w:pPr>
            <w:r w:rsidRPr="004F01E9">
              <w:rPr>
                <w:noProof/>
                <w:sz w:val="20"/>
              </w:rPr>
              <w:t>5</w:t>
            </w:r>
            <w:r w:rsidR="004F01E9">
              <w:rPr>
                <w:noProof/>
                <w:sz w:val="20"/>
              </w:rPr>
              <w:t xml:space="preserve"> a </w:t>
            </w:r>
            <w:r w:rsidRPr="004F01E9">
              <w:rPr>
                <w:noProof/>
                <w:sz w:val="20"/>
              </w:rPr>
              <w:t>14</w:t>
            </w:r>
          </w:p>
        </w:tc>
        <w:tc>
          <w:tcPr>
            <w:tcW w:w="883" w:type="dxa"/>
          </w:tcPr>
          <w:p w14:paraId="1C791AD7" w14:textId="77777777" w:rsidR="004334CE" w:rsidRPr="004F01E9" w:rsidRDefault="004334CE" w:rsidP="004334CE">
            <w:pPr>
              <w:rPr>
                <w:noProof/>
                <w:sz w:val="20"/>
              </w:rPr>
            </w:pPr>
          </w:p>
        </w:tc>
        <w:tc>
          <w:tcPr>
            <w:tcW w:w="884" w:type="dxa"/>
          </w:tcPr>
          <w:p w14:paraId="6D077747" w14:textId="77777777" w:rsidR="004334CE" w:rsidRPr="004F01E9" w:rsidRDefault="004334CE" w:rsidP="004334CE">
            <w:pPr>
              <w:rPr>
                <w:noProof/>
                <w:sz w:val="20"/>
              </w:rPr>
            </w:pPr>
          </w:p>
        </w:tc>
        <w:tc>
          <w:tcPr>
            <w:tcW w:w="883" w:type="dxa"/>
          </w:tcPr>
          <w:p w14:paraId="5277E271" w14:textId="060987B6" w:rsidR="004334CE" w:rsidRPr="004F01E9" w:rsidRDefault="004334CE" w:rsidP="004334CE">
            <w:pPr>
              <w:rPr>
                <w:noProof/>
                <w:sz w:val="20"/>
              </w:rPr>
            </w:pPr>
            <w:r w:rsidRPr="004F01E9">
              <w:rPr>
                <w:noProof/>
                <w:sz w:val="20"/>
              </w:rPr>
              <w:t>100</w:t>
            </w:r>
            <w:r w:rsidR="004F01E9">
              <w:rPr>
                <w:noProof/>
                <w:sz w:val="20"/>
              </w:rPr>
              <w:t> %</w:t>
            </w:r>
          </w:p>
        </w:tc>
        <w:tc>
          <w:tcPr>
            <w:tcW w:w="884" w:type="dxa"/>
          </w:tcPr>
          <w:p w14:paraId="5C36E86F" w14:textId="6671B0A4" w:rsidR="004334CE" w:rsidRPr="004F01E9" w:rsidRDefault="004334CE" w:rsidP="004334CE">
            <w:pPr>
              <w:rPr>
                <w:noProof/>
                <w:sz w:val="20"/>
              </w:rPr>
            </w:pPr>
            <w:r w:rsidRPr="004F01E9">
              <w:rPr>
                <w:noProof/>
                <w:sz w:val="20"/>
              </w:rPr>
              <w:t>25</w:t>
            </w:r>
            <w:r w:rsidR="004F01E9">
              <w:rPr>
                <w:noProof/>
                <w:sz w:val="20"/>
              </w:rPr>
              <w:t> %</w:t>
            </w:r>
          </w:p>
        </w:tc>
        <w:tc>
          <w:tcPr>
            <w:tcW w:w="884" w:type="dxa"/>
          </w:tcPr>
          <w:p w14:paraId="417FCCEE" w14:textId="34AEFCB1" w:rsidR="004334CE" w:rsidRPr="004F01E9" w:rsidRDefault="004334CE" w:rsidP="004334CE">
            <w:pPr>
              <w:rPr>
                <w:noProof/>
                <w:sz w:val="20"/>
              </w:rPr>
            </w:pPr>
            <w:r w:rsidRPr="004F01E9">
              <w:rPr>
                <w:noProof/>
                <w:sz w:val="20"/>
              </w:rPr>
              <w:t>25</w:t>
            </w:r>
            <w:r w:rsidR="004F01E9">
              <w:rPr>
                <w:noProof/>
                <w:sz w:val="20"/>
              </w:rPr>
              <w:t> %</w:t>
            </w:r>
          </w:p>
        </w:tc>
        <w:tc>
          <w:tcPr>
            <w:tcW w:w="883" w:type="dxa"/>
          </w:tcPr>
          <w:p w14:paraId="5EE5A1CC" w14:textId="5E02416F" w:rsidR="004334CE" w:rsidRPr="004F01E9" w:rsidRDefault="004334CE" w:rsidP="004334CE">
            <w:pPr>
              <w:rPr>
                <w:noProof/>
                <w:sz w:val="20"/>
              </w:rPr>
            </w:pPr>
            <w:r w:rsidRPr="004F01E9">
              <w:rPr>
                <w:noProof/>
                <w:sz w:val="20"/>
              </w:rPr>
              <w:t>5</w:t>
            </w:r>
            <w:r w:rsidR="004F01E9">
              <w:rPr>
                <w:noProof/>
                <w:sz w:val="20"/>
              </w:rPr>
              <w:t> %</w:t>
            </w:r>
          </w:p>
        </w:tc>
        <w:tc>
          <w:tcPr>
            <w:tcW w:w="884" w:type="dxa"/>
          </w:tcPr>
          <w:p w14:paraId="2A7CF90F" w14:textId="525CDF1B" w:rsidR="004334CE" w:rsidRPr="004F01E9" w:rsidRDefault="004334CE" w:rsidP="004334CE">
            <w:pPr>
              <w:rPr>
                <w:noProof/>
                <w:sz w:val="20"/>
              </w:rPr>
            </w:pPr>
            <w:r w:rsidRPr="004F01E9">
              <w:rPr>
                <w:noProof/>
                <w:sz w:val="20"/>
              </w:rPr>
              <w:t>0</w:t>
            </w:r>
            <w:r w:rsidR="004F01E9">
              <w:rPr>
                <w:noProof/>
                <w:sz w:val="20"/>
              </w:rPr>
              <w:t> %</w:t>
            </w:r>
          </w:p>
        </w:tc>
        <w:tc>
          <w:tcPr>
            <w:tcW w:w="884" w:type="dxa"/>
          </w:tcPr>
          <w:p w14:paraId="176B8826" w14:textId="0D84A91C" w:rsidR="004334CE" w:rsidRPr="004F01E9" w:rsidRDefault="004334CE" w:rsidP="004334CE">
            <w:pPr>
              <w:rPr>
                <w:noProof/>
                <w:sz w:val="20"/>
              </w:rPr>
            </w:pPr>
            <w:r w:rsidRPr="004F01E9">
              <w:rPr>
                <w:noProof/>
                <w:sz w:val="20"/>
              </w:rPr>
              <w:t>45</w:t>
            </w:r>
            <w:r w:rsidR="004F01E9">
              <w:rPr>
                <w:noProof/>
                <w:sz w:val="20"/>
              </w:rPr>
              <w:t> %</w:t>
            </w:r>
          </w:p>
        </w:tc>
      </w:tr>
      <w:tr w:rsidR="004334CE" w:rsidRPr="004F01E9" w14:paraId="23CEF24F" w14:textId="77777777" w:rsidTr="004334CE">
        <w:trPr>
          <w:trHeight w:val="590"/>
          <w:jc w:val="center"/>
        </w:trPr>
        <w:tc>
          <w:tcPr>
            <w:tcW w:w="1729" w:type="dxa"/>
          </w:tcPr>
          <w:p w14:paraId="69FBFBF0" w14:textId="135DC782" w:rsidR="004334CE" w:rsidRPr="004F01E9" w:rsidRDefault="004334CE" w:rsidP="004334CE">
            <w:pPr>
              <w:rPr>
                <w:noProof/>
                <w:sz w:val="20"/>
              </w:rPr>
            </w:pPr>
            <w:r w:rsidRPr="004F01E9">
              <w:rPr>
                <w:noProof/>
                <w:sz w:val="20"/>
              </w:rPr>
              <w:t>6</w:t>
            </w:r>
            <w:r w:rsidR="004F01E9">
              <w:rPr>
                <w:noProof/>
                <w:sz w:val="20"/>
              </w:rPr>
              <w:t xml:space="preserve"> a </w:t>
            </w:r>
            <w:r w:rsidRPr="004F01E9">
              <w:rPr>
                <w:noProof/>
                <w:sz w:val="20"/>
              </w:rPr>
              <w:t>15</w:t>
            </w:r>
          </w:p>
        </w:tc>
        <w:tc>
          <w:tcPr>
            <w:tcW w:w="883" w:type="dxa"/>
          </w:tcPr>
          <w:p w14:paraId="02FD226C" w14:textId="77777777" w:rsidR="004334CE" w:rsidRPr="004F01E9" w:rsidRDefault="004334CE" w:rsidP="004334CE">
            <w:pPr>
              <w:rPr>
                <w:noProof/>
                <w:sz w:val="20"/>
              </w:rPr>
            </w:pPr>
          </w:p>
        </w:tc>
        <w:tc>
          <w:tcPr>
            <w:tcW w:w="884" w:type="dxa"/>
          </w:tcPr>
          <w:p w14:paraId="441E42DB" w14:textId="77777777" w:rsidR="004334CE" w:rsidRPr="004F01E9" w:rsidRDefault="004334CE" w:rsidP="004334CE">
            <w:pPr>
              <w:rPr>
                <w:noProof/>
                <w:sz w:val="20"/>
              </w:rPr>
            </w:pPr>
          </w:p>
        </w:tc>
        <w:tc>
          <w:tcPr>
            <w:tcW w:w="883" w:type="dxa"/>
          </w:tcPr>
          <w:p w14:paraId="57F7992F" w14:textId="77777777" w:rsidR="004334CE" w:rsidRPr="004F01E9" w:rsidRDefault="004334CE" w:rsidP="004334CE">
            <w:pPr>
              <w:rPr>
                <w:noProof/>
                <w:sz w:val="20"/>
              </w:rPr>
            </w:pPr>
          </w:p>
        </w:tc>
        <w:tc>
          <w:tcPr>
            <w:tcW w:w="884" w:type="dxa"/>
          </w:tcPr>
          <w:p w14:paraId="50BC97CF" w14:textId="1A67CF1F" w:rsidR="004334CE" w:rsidRPr="004F01E9" w:rsidRDefault="004334CE" w:rsidP="004334CE">
            <w:pPr>
              <w:rPr>
                <w:noProof/>
                <w:sz w:val="20"/>
              </w:rPr>
            </w:pPr>
            <w:r w:rsidRPr="004F01E9">
              <w:rPr>
                <w:noProof/>
                <w:sz w:val="20"/>
              </w:rPr>
              <w:t>100</w:t>
            </w:r>
            <w:r w:rsidR="004F01E9">
              <w:rPr>
                <w:noProof/>
                <w:sz w:val="20"/>
              </w:rPr>
              <w:t> %</w:t>
            </w:r>
          </w:p>
        </w:tc>
        <w:tc>
          <w:tcPr>
            <w:tcW w:w="884" w:type="dxa"/>
          </w:tcPr>
          <w:p w14:paraId="6E18C413" w14:textId="55FFAAA1" w:rsidR="004334CE" w:rsidRPr="004F01E9" w:rsidRDefault="004334CE" w:rsidP="004334CE">
            <w:pPr>
              <w:rPr>
                <w:noProof/>
                <w:sz w:val="20"/>
              </w:rPr>
            </w:pPr>
            <w:r w:rsidRPr="004F01E9">
              <w:rPr>
                <w:noProof/>
                <w:sz w:val="20"/>
              </w:rPr>
              <w:t>83</w:t>
            </w:r>
            <w:r w:rsidR="004F01E9">
              <w:rPr>
                <w:noProof/>
                <w:sz w:val="20"/>
              </w:rPr>
              <w:t> %</w:t>
            </w:r>
          </w:p>
        </w:tc>
        <w:tc>
          <w:tcPr>
            <w:tcW w:w="883" w:type="dxa"/>
          </w:tcPr>
          <w:p w14:paraId="472711FA" w14:textId="13977506" w:rsidR="004334CE" w:rsidRPr="004F01E9" w:rsidRDefault="004334CE" w:rsidP="004334CE">
            <w:pPr>
              <w:rPr>
                <w:noProof/>
                <w:sz w:val="20"/>
              </w:rPr>
            </w:pPr>
            <w:r w:rsidRPr="004F01E9">
              <w:rPr>
                <w:noProof/>
                <w:sz w:val="20"/>
              </w:rPr>
              <w:t>5</w:t>
            </w:r>
            <w:r w:rsidR="004F01E9">
              <w:rPr>
                <w:noProof/>
                <w:sz w:val="20"/>
              </w:rPr>
              <w:t> %</w:t>
            </w:r>
          </w:p>
        </w:tc>
        <w:tc>
          <w:tcPr>
            <w:tcW w:w="884" w:type="dxa"/>
          </w:tcPr>
          <w:p w14:paraId="40E96E13" w14:textId="72AB0A1B" w:rsidR="004334CE" w:rsidRPr="004F01E9" w:rsidRDefault="004334CE" w:rsidP="004334CE">
            <w:pPr>
              <w:rPr>
                <w:noProof/>
                <w:sz w:val="20"/>
              </w:rPr>
            </w:pPr>
            <w:r w:rsidRPr="004F01E9">
              <w:rPr>
                <w:noProof/>
                <w:sz w:val="20"/>
              </w:rPr>
              <w:t>0</w:t>
            </w:r>
            <w:r w:rsidR="004F01E9">
              <w:rPr>
                <w:noProof/>
                <w:sz w:val="20"/>
              </w:rPr>
              <w:t> %</w:t>
            </w:r>
          </w:p>
        </w:tc>
        <w:tc>
          <w:tcPr>
            <w:tcW w:w="884" w:type="dxa"/>
          </w:tcPr>
          <w:p w14:paraId="5630A8F7" w14:textId="39E1FB39" w:rsidR="004334CE" w:rsidRPr="004F01E9" w:rsidRDefault="004334CE" w:rsidP="004334CE">
            <w:pPr>
              <w:rPr>
                <w:noProof/>
                <w:sz w:val="20"/>
              </w:rPr>
            </w:pPr>
            <w:r w:rsidRPr="004F01E9">
              <w:rPr>
                <w:noProof/>
                <w:sz w:val="20"/>
              </w:rPr>
              <w:t>45</w:t>
            </w:r>
            <w:r w:rsidR="004F01E9">
              <w:rPr>
                <w:noProof/>
                <w:sz w:val="20"/>
              </w:rPr>
              <w:t> %</w:t>
            </w:r>
          </w:p>
        </w:tc>
      </w:tr>
      <w:tr w:rsidR="004334CE" w:rsidRPr="004F01E9" w14:paraId="6D9867AB" w14:textId="77777777" w:rsidTr="004334CE">
        <w:trPr>
          <w:trHeight w:val="590"/>
          <w:jc w:val="center"/>
        </w:trPr>
        <w:tc>
          <w:tcPr>
            <w:tcW w:w="1729" w:type="dxa"/>
          </w:tcPr>
          <w:p w14:paraId="55328DB9" w14:textId="24A3724D" w:rsidR="004334CE" w:rsidRPr="004F01E9" w:rsidRDefault="004334CE" w:rsidP="004334CE">
            <w:pPr>
              <w:rPr>
                <w:noProof/>
                <w:sz w:val="20"/>
              </w:rPr>
            </w:pPr>
            <w:r w:rsidRPr="004F01E9">
              <w:rPr>
                <w:noProof/>
                <w:sz w:val="20"/>
              </w:rPr>
              <w:t>7</w:t>
            </w:r>
            <w:r w:rsidR="004F01E9">
              <w:rPr>
                <w:noProof/>
                <w:sz w:val="20"/>
              </w:rPr>
              <w:t xml:space="preserve"> a </w:t>
            </w:r>
            <w:r w:rsidRPr="004F01E9">
              <w:rPr>
                <w:noProof/>
                <w:sz w:val="20"/>
              </w:rPr>
              <w:t>16</w:t>
            </w:r>
          </w:p>
        </w:tc>
        <w:tc>
          <w:tcPr>
            <w:tcW w:w="883" w:type="dxa"/>
          </w:tcPr>
          <w:p w14:paraId="0F73E7EC" w14:textId="77777777" w:rsidR="004334CE" w:rsidRPr="004F01E9" w:rsidRDefault="004334CE" w:rsidP="004334CE">
            <w:pPr>
              <w:rPr>
                <w:noProof/>
                <w:sz w:val="20"/>
              </w:rPr>
            </w:pPr>
          </w:p>
        </w:tc>
        <w:tc>
          <w:tcPr>
            <w:tcW w:w="884" w:type="dxa"/>
          </w:tcPr>
          <w:p w14:paraId="6C9509EB" w14:textId="77777777" w:rsidR="004334CE" w:rsidRPr="004F01E9" w:rsidRDefault="004334CE" w:rsidP="004334CE">
            <w:pPr>
              <w:rPr>
                <w:noProof/>
                <w:sz w:val="20"/>
              </w:rPr>
            </w:pPr>
          </w:p>
        </w:tc>
        <w:tc>
          <w:tcPr>
            <w:tcW w:w="883" w:type="dxa"/>
          </w:tcPr>
          <w:p w14:paraId="2CAA7DA0" w14:textId="77777777" w:rsidR="004334CE" w:rsidRPr="004F01E9" w:rsidRDefault="004334CE" w:rsidP="004334CE">
            <w:pPr>
              <w:rPr>
                <w:noProof/>
                <w:sz w:val="20"/>
              </w:rPr>
            </w:pPr>
          </w:p>
        </w:tc>
        <w:tc>
          <w:tcPr>
            <w:tcW w:w="884" w:type="dxa"/>
          </w:tcPr>
          <w:p w14:paraId="23A22357" w14:textId="77777777" w:rsidR="004334CE" w:rsidRPr="004F01E9" w:rsidRDefault="004334CE" w:rsidP="004334CE">
            <w:pPr>
              <w:rPr>
                <w:noProof/>
                <w:sz w:val="20"/>
              </w:rPr>
            </w:pPr>
          </w:p>
        </w:tc>
        <w:tc>
          <w:tcPr>
            <w:tcW w:w="884" w:type="dxa"/>
          </w:tcPr>
          <w:p w14:paraId="1E328DA2" w14:textId="2C3456C4" w:rsidR="004334CE" w:rsidRPr="004F01E9" w:rsidRDefault="004334CE" w:rsidP="004334CE">
            <w:pPr>
              <w:rPr>
                <w:noProof/>
                <w:sz w:val="20"/>
              </w:rPr>
            </w:pPr>
            <w:r w:rsidRPr="004F01E9">
              <w:rPr>
                <w:noProof/>
                <w:sz w:val="20"/>
              </w:rPr>
              <w:t>100</w:t>
            </w:r>
            <w:r w:rsidR="004F01E9">
              <w:rPr>
                <w:noProof/>
                <w:sz w:val="20"/>
              </w:rPr>
              <w:t> %</w:t>
            </w:r>
          </w:p>
        </w:tc>
        <w:tc>
          <w:tcPr>
            <w:tcW w:w="883" w:type="dxa"/>
          </w:tcPr>
          <w:p w14:paraId="14704F34" w14:textId="3E90A844" w:rsidR="004334CE" w:rsidRPr="004F01E9" w:rsidRDefault="004334CE" w:rsidP="004334CE">
            <w:pPr>
              <w:rPr>
                <w:noProof/>
                <w:sz w:val="20"/>
              </w:rPr>
            </w:pPr>
            <w:r w:rsidRPr="004F01E9">
              <w:rPr>
                <w:noProof/>
                <w:sz w:val="20"/>
              </w:rPr>
              <w:t>5</w:t>
            </w:r>
            <w:r w:rsidR="004F01E9">
              <w:rPr>
                <w:noProof/>
                <w:sz w:val="20"/>
              </w:rPr>
              <w:t> %</w:t>
            </w:r>
          </w:p>
        </w:tc>
        <w:tc>
          <w:tcPr>
            <w:tcW w:w="884" w:type="dxa"/>
          </w:tcPr>
          <w:p w14:paraId="339B3F14" w14:textId="2130B4D3" w:rsidR="004334CE" w:rsidRPr="004F01E9" w:rsidRDefault="004334CE" w:rsidP="004334CE">
            <w:pPr>
              <w:rPr>
                <w:noProof/>
                <w:sz w:val="20"/>
              </w:rPr>
            </w:pPr>
            <w:r w:rsidRPr="004F01E9">
              <w:rPr>
                <w:noProof/>
                <w:sz w:val="20"/>
              </w:rPr>
              <w:t>0</w:t>
            </w:r>
            <w:r w:rsidR="004F01E9">
              <w:rPr>
                <w:noProof/>
                <w:sz w:val="20"/>
              </w:rPr>
              <w:t> %</w:t>
            </w:r>
          </w:p>
        </w:tc>
        <w:tc>
          <w:tcPr>
            <w:tcW w:w="884" w:type="dxa"/>
          </w:tcPr>
          <w:p w14:paraId="65CFBD27" w14:textId="6363E903" w:rsidR="004334CE" w:rsidRPr="004F01E9" w:rsidRDefault="004334CE" w:rsidP="004334CE">
            <w:pPr>
              <w:rPr>
                <w:noProof/>
                <w:sz w:val="20"/>
              </w:rPr>
            </w:pPr>
            <w:r w:rsidRPr="004F01E9">
              <w:rPr>
                <w:noProof/>
                <w:sz w:val="20"/>
              </w:rPr>
              <w:t>45</w:t>
            </w:r>
            <w:r w:rsidR="004F01E9">
              <w:rPr>
                <w:noProof/>
                <w:sz w:val="20"/>
              </w:rPr>
              <w:t> %</w:t>
            </w:r>
          </w:p>
        </w:tc>
      </w:tr>
      <w:tr w:rsidR="004334CE" w:rsidRPr="004F01E9" w14:paraId="5EF62C7E" w14:textId="77777777" w:rsidTr="004334CE">
        <w:trPr>
          <w:trHeight w:val="590"/>
          <w:jc w:val="center"/>
        </w:trPr>
        <w:tc>
          <w:tcPr>
            <w:tcW w:w="1729" w:type="dxa"/>
          </w:tcPr>
          <w:p w14:paraId="0ACDF78C" w14:textId="0A3F0F88" w:rsidR="004334CE" w:rsidRPr="004F01E9" w:rsidRDefault="004334CE" w:rsidP="004334CE">
            <w:pPr>
              <w:rPr>
                <w:noProof/>
                <w:sz w:val="20"/>
              </w:rPr>
            </w:pPr>
            <w:r w:rsidRPr="004F01E9">
              <w:rPr>
                <w:noProof/>
                <w:sz w:val="20"/>
              </w:rPr>
              <w:t>8</w:t>
            </w:r>
            <w:r w:rsidR="004F01E9">
              <w:rPr>
                <w:noProof/>
                <w:sz w:val="20"/>
              </w:rPr>
              <w:t xml:space="preserve"> a </w:t>
            </w:r>
            <w:r w:rsidRPr="004F01E9">
              <w:rPr>
                <w:noProof/>
                <w:sz w:val="20"/>
              </w:rPr>
              <w:t>17</w:t>
            </w:r>
          </w:p>
        </w:tc>
        <w:tc>
          <w:tcPr>
            <w:tcW w:w="883" w:type="dxa"/>
          </w:tcPr>
          <w:p w14:paraId="1A9E630B" w14:textId="77777777" w:rsidR="004334CE" w:rsidRPr="004F01E9" w:rsidRDefault="004334CE" w:rsidP="004334CE">
            <w:pPr>
              <w:rPr>
                <w:noProof/>
                <w:sz w:val="20"/>
              </w:rPr>
            </w:pPr>
          </w:p>
        </w:tc>
        <w:tc>
          <w:tcPr>
            <w:tcW w:w="884" w:type="dxa"/>
          </w:tcPr>
          <w:p w14:paraId="494A64C7" w14:textId="77777777" w:rsidR="004334CE" w:rsidRPr="004F01E9" w:rsidRDefault="004334CE" w:rsidP="004334CE">
            <w:pPr>
              <w:rPr>
                <w:noProof/>
                <w:sz w:val="20"/>
              </w:rPr>
            </w:pPr>
          </w:p>
        </w:tc>
        <w:tc>
          <w:tcPr>
            <w:tcW w:w="883" w:type="dxa"/>
          </w:tcPr>
          <w:p w14:paraId="46090095" w14:textId="77777777" w:rsidR="004334CE" w:rsidRPr="004F01E9" w:rsidRDefault="004334CE" w:rsidP="004334CE">
            <w:pPr>
              <w:rPr>
                <w:noProof/>
                <w:sz w:val="20"/>
              </w:rPr>
            </w:pPr>
          </w:p>
        </w:tc>
        <w:tc>
          <w:tcPr>
            <w:tcW w:w="884" w:type="dxa"/>
          </w:tcPr>
          <w:p w14:paraId="6268293F" w14:textId="77777777" w:rsidR="004334CE" w:rsidRPr="004F01E9" w:rsidRDefault="004334CE" w:rsidP="004334CE">
            <w:pPr>
              <w:rPr>
                <w:noProof/>
                <w:sz w:val="20"/>
              </w:rPr>
            </w:pPr>
          </w:p>
        </w:tc>
        <w:tc>
          <w:tcPr>
            <w:tcW w:w="884" w:type="dxa"/>
          </w:tcPr>
          <w:p w14:paraId="51033CEA" w14:textId="77777777" w:rsidR="004334CE" w:rsidRPr="004F01E9" w:rsidRDefault="004334CE" w:rsidP="004334CE">
            <w:pPr>
              <w:rPr>
                <w:noProof/>
                <w:sz w:val="20"/>
              </w:rPr>
            </w:pPr>
          </w:p>
        </w:tc>
        <w:tc>
          <w:tcPr>
            <w:tcW w:w="883" w:type="dxa"/>
          </w:tcPr>
          <w:p w14:paraId="0444AD7C" w14:textId="1127CB0F" w:rsidR="004334CE" w:rsidRPr="004F01E9" w:rsidRDefault="004334CE" w:rsidP="004334CE">
            <w:pPr>
              <w:rPr>
                <w:noProof/>
                <w:sz w:val="20"/>
              </w:rPr>
            </w:pPr>
            <w:r w:rsidRPr="004F01E9">
              <w:rPr>
                <w:noProof/>
                <w:sz w:val="20"/>
              </w:rPr>
              <w:t>100</w:t>
            </w:r>
            <w:r w:rsidR="004F01E9">
              <w:rPr>
                <w:noProof/>
                <w:sz w:val="20"/>
              </w:rPr>
              <w:t> %</w:t>
            </w:r>
          </w:p>
        </w:tc>
        <w:tc>
          <w:tcPr>
            <w:tcW w:w="884" w:type="dxa"/>
          </w:tcPr>
          <w:p w14:paraId="59C024AB" w14:textId="781A4693" w:rsidR="004334CE" w:rsidRPr="004F01E9" w:rsidRDefault="004334CE" w:rsidP="004334CE">
            <w:pPr>
              <w:rPr>
                <w:noProof/>
                <w:sz w:val="20"/>
              </w:rPr>
            </w:pPr>
            <w:r w:rsidRPr="004F01E9">
              <w:rPr>
                <w:noProof/>
                <w:sz w:val="20"/>
              </w:rPr>
              <w:t>0</w:t>
            </w:r>
            <w:r w:rsidR="004F01E9">
              <w:rPr>
                <w:noProof/>
                <w:sz w:val="20"/>
              </w:rPr>
              <w:t> %</w:t>
            </w:r>
          </w:p>
        </w:tc>
        <w:tc>
          <w:tcPr>
            <w:tcW w:w="884" w:type="dxa"/>
          </w:tcPr>
          <w:p w14:paraId="3B4B9DEC" w14:textId="13BE2983" w:rsidR="004334CE" w:rsidRPr="004F01E9" w:rsidRDefault="004334CE" w:rsidP="004334CE">
            <w:pPr>
              <w:rPr>
                <w:noProof/>
                <w:sz w:val="20"/>
              </w:rPr>
            </w:pPr>
            <w:r w:rsidRPr="004F01E9">
              <w:rPr>
                <w:noProof/>
                <w:sz w:val="20"/>
              </w:rPr>
              <w:t>45</w:t>
            </w:r>
            <w:r w:rsidR="004F01E9">
              <w:rPr>
                <w:noProof/>
                <w:sz w:val="20"/>
              </w:rPr>
              <w:t> %</w:t>
            </w:r>
          </w:p>
        </w:tc>
      </w:tr>
      <w:tr w:rsidR="004334CE" w:rsidRPr="004F01E9" w14:paraId="7EB7D138" w14:textId="77777777" w:rsidTr="004334CE">
        <w:trPr>
          <w:trHeight w:val="590"/>
          <w:jc w:val="center"/>
        </w:trPr>
        <w:tc>
          <w:tcPr>
            <w:tcW w:w="1729" w:type="dxa"/>
          </w:tcPr>
          <w:p w14:paraId="2515BBBC" w14:textId="2750F6D7" w:rsidR="004334CE" w:rsidRPr="004F01E9" w:rsidRDefault="004334CE" w:rsidP="004334CE">
            <w:pPr>
              <w:rPr>
                <w:noProof/>
                <w:sz w:val="20"/>
              </w:rPr>
            </w:pPr>
            <w:r w:rsidRPr="004F01E9">
              <w:rPr>
                <w:noProof/>
                <w:sz w:val="20"/>
              </w:rPr>
              <w:t>9</w:t>
            </w:r>
            <w:r w:rsidR="004F01E9">
              <w:rPr>
                <w:noProof/>
                <w:sz w:val="20"/>
              </w:rPr>
              <w:t xml:space="preserve"> a </w:t>
            </w:r>
            <w:r w:rsidRPr="004F01E9">
              <w:rPr>
                <w:noProof/>
                <w:sz w:val="20"/>
              </w:rPr>
              <w:t>18</w:t>
            </w:r>
          </w:p>
        </w:tc>
        <w:tc>
          <w:tcPr>
            <w:tcW w:w="883" w:type="dxa"/>
          </w:tcPr>
          <w:p w14:paraId="4DCFEC98" w14:textId="77777777" w:rsidR="004334CE" w:rsidRPr="004F01E9" w:rsidRDefault="004334CE" w:rsidP="004334CE">
            <w:pPr>
              <w:rPr>
                <w:noProof/>
                <w:sz w:val="20"/>
              </w:rPr>
            </w:pPr>
          </w:p>
        </w:tc>
        <w:tc>
          <w:tcPr>
            <w:tcW w:w="884" w:type="dxa"/>
          </w:tcPr>
          <w:p w14:paraId="3CB46021" w14:textId="77777777" w:rsidR="004334CE" w:rsidRPr="004F01E9" w:rsidRDefault="004334CE" w:rsidP="004334CE">
            <w:pPr>
              <w:rPr>
                <w:noProof/>
                <w:sz w:val="20"/>
              </w:rPr>
            </w:pPr>
          </w:p>
        </w:tc>
        <w:tc>
          <w:tcPr>
            <w:tcW w:w="883" w:type="dxa"/>
          </w:tcPr>
          <w:p w14:paraId="6ED8B4D1" w14:textId="77777777" w:rsidR="004334CE" w:rsidRPr="004F01E9" w:rsidRDefault="004334CE" w:rsidP="004334CE">
            <w:pPr>
              <w:rPr>
                <w:noProof/>
                <w:sz w:val="20"/>
              </w:rPr>
            </w:pPr>
          </w:p>
        </w:tc>
        <w:tc>
          <w:tcPr>
            <w:tcW w:w="884" w:type="dxa"/>
          </w:tcPr>
          <w:p w14:paraId="0A9DA62C" w14:textId="77777777" w:rsidR="004334CE" w:rsidRPr="004F01E9" w:rsidRDefault="004334CE" w:rsidP="004334CE">
            <w:pPr>
              <w:rPr>
                <w:noProof/>
                <w:sz w:val="20"/>
              </w:rPr>
            </w:pPr>
          </w:p>
        </w:tc>
        <w:tc>
          <w:tcPr>
            <w:tcW w:w="884" w:type="dxa"/>
          </w:tcPr>
          <w:p w14:paraId="5CFC9D5B" w14:textId="77777777" w:rsidR="004334CE" w:rsidRPr="004F01E9" w:rsidRDefault="004334CE" w:rsidP="004334CE">
            <w:pPr>
              <w:rPr>
                <w:noProof/>
                <w:sz w:val="20"/>
              </w:rPr>
            </w:pPr>
          </w:p>
        </w:tc>
        <w:tc>
          <w:tcPr>
            <w:tcW w:w="883" w:type="dxa"/>
          </w:tcPr>
          <w:p w14:paraId="622D8ED0" w14:textId="77777777" w:rsidR="004334CE" w:rsidRPr="004F01E9" w:rsidRDefault="004334CE" w:rsidP="004334CE">
            <w:pPr>
              <w:rPr>
                <w:noProof/>
                <w:sz w:val="20"/>
              </w:rPr>
            </w:pPr>
          </w:p>
        </w:tc>
        <w:tc>
          <w:tcPr>
            <w:tcW w:w="884" w:type="dxa"/>
          </w:tcPr>
          <w:p w14:paraId="08CCAAD7" w14:textId="3CDD1CE9" w:rsidR="004334CE" w:rsidRPr="004F01E9" w:rsidRDefault="004334CE" w:rsidP="004334CE">
            <w:pPr>
              <w:rPr>
                <w:noProof/>
                <w:sz w:val="20"/>
              </w:rPr>
            </w:pPr>
            <w:r w:rsidRPr="004F01E9">
              <w:rPr>
                <w:noProof/>
                <w:sz w:val="20"/>
              </w:rPr>
              <w:t>100</w:t>
            </w:r>
            <w:r w:rsidR="004F01E9">
              <w:rPr>
                <w:noProof/>
                <w:sz w:val="20"/>
              </w:rPr>
              <w:t> %</w:t>
            </w:r>
          </w:p>
        </w:tc>
        <w:tc>
          <w:tcPr>
            <w:tcW w:w="884" w:type="dxa"/>
          </w:tcPr>
          <w:p w14:paraId="2EC2B573" w14:textId="7CEA0CEA" w:rsidR="004334CE" w:rsidRPr="004F01E9" w:rsidRDefault="004334CE" w:rsidP="004334CE">
            <w:pPr>
              <w:rPr>
                <w:noProof/>
                <w:sz w:val="20"/>
              </w:rPr>
            </w:pPr>
            <w:r w:rsidRPr="004F01E9">
              <w:rPr>
                <w:noProof/>
                <w:sz w:val="20"/>
              </w:rPr>
              <w:t>0</w:t>
            </w:r>
            <w:r w:rsidR="004F01E9">
              <w:rPr>
                <w:noProof/>
                <w:sz w:val="20"/>
              </w:rPr>
              <w:t> %</w:t>
            </w:r>
          </w:p>
        </w:tc>
      </w:tr>
      <w:tr w:rsidR="004334CE" w:rsidRPr="004F01E9" w14:paraId="328B9317" w14:textId="77777777" w:rsidTr="004334CE">
        <w:trPr>
          <w:trHeight w:val="590"/>
          <w:jc w:val="center"/>
        </w:trPr>
        <w:tc>
          <w:tcPr>
            <w:tcW w:w="1729" w:type="dxa"/>
          </w:tcPr>
          <w:p w14:paraId="6CE24661" w14:textId="553D7703" w:rsidR="004334CE" w:rsidRPr="004F01E9" w:rsidRDefault="004334CE" w:rsidP="004334CE">
            <w:pPr>
              <w:rPr>
                <w:noProof/>
                <w:sz w:val="20"/>
              </w:rPr>
            </w:pPr>
            <w:r w:rsidRPr="004F01E9">
              <w:rPr>
                <w:noProof/>
                <w:sz w:val="20"/>
              </w:rPr>
              <w:t>10</w:t>
            </w:r>
            <w:r w:rsidR="004F01E9">
              <w:rPr>
                <w:noProof/>
                <w:sz w:val="20"/>
              </w:rPr>
              <w:t xml:space="preserve"> a </w:t>
            </w:r>
            <w:r w:rsidRPr="004F01E9">
              <w:rPr>
                <w:noProof/>
                <w:sz w:val="20"/>
              </w:rPr>
              <w:t>19</w:t>
            </w:r>
          </w:p>
        </w:tc>
        <w:tc>
          <w:tcPr>
            <w:tcW w:w="883" w:type="dxa"/>
          </w:tcPr>
          <w:p w14:paraId="3FB2ECF3" w14:textId="77777777" w:rsidR="004334CE" w:rsidRPr="004F01E9" w:rsidRDefault="004334CE" w:rsidP="004334CE">
            <w:pPr>
              <w:rPr>
                <w:noProof/>
                <w:sz w:val="20"/>
              </w:rPr>
            </w:pPr>
          </w:p>
        </w:tc>
        <w:tc>
          <w:tcPr>
            <w:tcW w:w="884" w:type="dxa"/>
          </w:tcPr>
          <w:p w14:paraId="4E390DE7" w14:textId="77777777" w:rsidR="004334CE" w:rsidRPr="004F01E9" w:rsidRDefault="004334CE" w:rsidP="004334CE">
            <w:pPr>
              <w:rPr>
                <w:noProof/>
                <w:sz w:val="20"/>
              </w:rPr>
            </w:pPr>
          </w:p>
        </w:tc>
        <w:tc>
          <w:tcPr>
            <w:tcW w:w="883" w:type="dxa"/>
          </w:tcPr>
          <w:p w14:paraId="7DD738C5" w14:textId="77777777" w:rsidR="004334CE" w:rsidRPr="004F01E9" w:rsidRDefault="004334CE" w:rsidP="004334CE">
            <w:pPr>
              <w:rPr>
                <w:noProof/>
                <w:sz w:val="20"/>
              </w:rPr>
            </w:pPr>
          </w:p>
        </w:tc>
        <w:tc>
          <w:tcPr>
            <w:tcW w:w="884" w:type="dxa"/>
          </w:tcPr>
          <w:p w14:paraId="44A9E650" w14:textId="77777777" w:rsidR="004334CE" w:rsidRPr="004F01E9" w:rsidRDefault="004334CE" w:rsidP="004334CE">
            <w:pPr>
              <w:rPr>
                <w:noProof/>
                <w:sz w:val="20"/>
              </w:rPr>
            </w:pPr>
          </w:p>
        </w:tc>
        <w:tc>
          <w:tcPr>
            <w:tcW w:w="884" w:type="dxa"/>
          </w:tcPr>
          <w:p w14:paraId="44F55192" w14:textId="77777777" w:rsidR="004334CE" w:rsidRPr="004F01E9" w:rsidRDefault="004334CE" w:rsidP="004334CE">
            <w:pPr>
              <w:rPr>
                <w:noProof/>
                <w:sz w:val="20"/>
              </w:rPr>
            </w:pPr>
          </w:p>
        </w:tc>
        <w:tc>
          <w:tcPr>
            <w:tcW w:w="883" w:type="dxa"/>
          </w:tcPr>
          <w:p w14:paraId="124724F6" w14:textId="77777777" w:rsidR="004334CE" w:rsidRPr="004F01E9" w:rsidRDefault="004334CE" w:rsidP="004334CE">
            <w:pPr>
              <w:rPr>
                <w:noProof/>
                <w:sz w:val="20"/>
              </w:rPr>
            </w:pPr>
          </w:p>
        </w:tc>
        <w:tc>
          <w:tcPr>
            <w:tcW w:w="884" w:type="dxa"/>
          </w:tcPr>
          <w:p w14:paraId="4E619974" w14:textId="77777777" w:rsidR="004334CE" w:rsidRPr="004F01E9" w:rsidRDefault="004334CE" w:rsidP="004334CE">
            <w:pPr>
              <w:rPr>
                <w:noProof/>
                <w:sz w:val="20"/>
              </w:rPr>
            </w:pPr>
          </w:p>
        </w:tc>
        <w:tc>
          <w:tcPr>
            <w:tcW w:w="884" w:type="dxa"/>
          </w:tcPr>
          <w:p w14:paraId="1148D7CD" w14:textId="6EF01689" w:rsidR="004334CE" w:rsidRPr="004F01E9" w:rsidRDefault="004334CE" w:rsidP="004334CE">
            <w:pPr>
              <w:rPr>
                <w:noProof/>
                <w:sz w:val="20"/>
              </w:rPr>
            </w:pPr>
            <w:r w:rsidRPr="004F01E9">
              <w:rPr>
                <w:noProof/>
                <w:sz w:val="20"/>
              </w:rPr>
              <w:t>100</w:t>
            </w:r>
            <w:r w:rsidR="004F01E9">
              <w:rPr>
                <w:noProof/>
                <w:sz w:val="20"/>
              </w:rPr>
              <w:t> %</w:t>
            </w:r>
          </w:p>
        </w:tc>
      </w:tr>
    </w:tbl>
    <w:p w14:paraId="2F969500" w14:textId="77777777" w:rsidR="004334CE" w:rsidRPr="004F01E9" w:rsidRDefault="004334CE" w:rsidP="004334CE">
      <w:pPr>
        <w:pStyle w:val="Titrearticle"/>
        <w:rPr>
          <w:noProof/>
        </w:rPr>
      </w:pPr>
      <w:r w:rsidRPr="004F01E9">
        <w:rPr>
          <w:noProof/>
        </w:rPr>
        <w:t xml:space="preserve">Článok 383r </w:t>
      </w:r>
      <w:r w:rsidRPr="004F01E9">
        <w:rPr>
          <w:noProof/>
        </w:rPr>
        <w:br/>
      </w:r>
      <w:r w:rsidRPr="004F01E9">
        <w:rPr>
          <w:b/>
          <w:i w:val="0"/>
          <w:noProof/>
        </w:rPr>
        <w:t>Rizikové váhy pre riziko referenčného kreditného rozpätia</w:t>
      </w:r>
    </w:p>
    <w:p w14:paraId="3EDEEAF4" w14:textId="291F7CA3" w:rsidR="004334CE" w:rsidRPr="004F01E9" w:rsidRDefault="004334CE" w:rsidP="004334CE">
      <w:pPr>
        <w:pStyle w:val="Text1"/>
        <w:rPr>
          <w:noProof/>
        </w:rPr>
      </w:pPr>
      <w:r w:rsidRPr="004F01E9">
        <w:rPr>
          <w:noProof/>
        </w:rPr>
        <w:t>1. Rizikové váhy pre citlivosti delta na faktory rizika referenčného kreditného rozpätia sú rovnaké pre všetky splatnosti (0,5 roka, 1 rok, 3 roky, 5 rokov, 10 rokov)</w:t>
      </w:r>
      <w:r w:rsidR="004F01E9">
        <w:rPr>
          <w:noProof/>
        </w:rPr>
        <w:t xml:space="preserve"> a </w:t>
      </w:r>
      <w:r w:rsidRPr="004F01E9">
        <w:rPr>
          <w:noProof/>
        </w:rPr>
        <w:t>pre všetky expozície voči referenčnému kreditnému rozpätiu</w:t>
      </w:r>
      <w:r w:rsidR="004F01E9">
        <w:rPr>
          <w:noProof/>
        </w:rPr>
        <w:t xml:space="preserve"> v </w:t>
      </w:r>
      <w:r w:rsidRPr="004F01E9">
        <w:rPr>
          <w:noProof/>
        </w:rPr>
        <w:t>rámci každej skupiny</w:t>
      </w:r>
      <w:r w:rsidR="004F01E9">
        <w:rPr>
          <w:noProof/>
        </w:rPr>
        <w:t xml:space="preserve"> v </w:t>
      </w:r>
      <w:r w:rsidRPr="004F01E9">
        <w:rPr>
          <w:noProof/>
        </w:rPr>
        <w:t>tabuľke 5,</w:t>
      </w:r>
      <w:r w:rsidR="004F01E9">
        <w:rPr>
          <w:noProof/>
        </w:rPr>
        <w:t xml:space="preserve"> a </w:t>
      </w:r>
      <w:r w:rsidRPr="004F01E9">
        <w:rPr>
          <w:noProof/>
        </w:rPr>
        <w:t>sú tieto:</w:t>
      </w:r>
    </w:p>
    <w:p w14:paraId="08E87733" w14:textId="77777777" w:rsidR="004334CE" w:rsidRPr="004F01E9" w:rsidRDefault="004334CE" w:rsidP="006B0ADD">
      <w:pPr>
        <w:pStyle w:val="Text1"/>
        <w:jc w:val="center"/>
        <w:rPr>
          <w:noProof/>
        </w:rPr>
      </w:pPr>
      <w:r w:rsidRPr="004F01E9">
        <w:rPr>
          <w:noProof/>
        </w:rPr>
        <w:t>Tabuľka 5</w:t>
      </w:r>
    </w:p>
    <w:tbl>
      <w:tblPr>
        <w:tblStyle w:val="TableGrid"/>
        <w:tblW w:w="4865" w:type="pct"/>
        <w:jc w:val="center"/>
        <w:tblLayout w:type="fixed"/>
        <w:tblLook w:val="04A0" w:firstRow="1" w:lastRow="0" w:firstColumn="1" w:lastColumn="0" w:noHBand="0" w:noVBand="1"/>
      </w:tblPr>
      <w:tblGrid>
        <w:gridCol w:w="1195"/>
        <w:gridCol w:w="1325"/>
        <w:gridCol w:w="5137"/>
        <w:gridCol w:w="1381"/>
      </w:tblGrid>
      <w:tr w:rsidR="004334CE" w:rsidRPr="004F01E9" w14:paraId="33EC167F" w14:textId="77777777" w:rsidTr="004334CE">
        <w:trPr>
          <w:trHeight w:val="450"/>
          <w:jc w:val="center"/>
        </w:trPr>
        <w:tc>
          <w:tcPr>
            <w:tcW w:w="661" w:type="pct"/>
            <w:noWrap/>
            <w:hideMark/>
          </w:tcPr>
          <w:p w14:paraId="593189DC" w14:textId="77777777" w:rsidR="004334CE" w:rsidRPr="004F01E9" w:rsidRDefault="004334CE" w:rsidP="004334CE">
            <w:pPr>
              <w:jc w:val="center"/>
              <w:rPr>
                <w:rFonts w:eastAsiaTheme="minorEastAsia"/>
                <w:noProof/>
              </w:rPr>
            </w:pPr>
            <w:r w:rsidRPr="004F01E9">
              <w:rPr>
                <w:noProof/>
              </w:rPr>
              <w:t>Číslo skupiny</w:t>
            </w:r>
          </w:p>
        </w:tc>
        <w:tc>
          <w:tcPr>
            <w:tcW w:w="733" w:type="pct"/>
            <w:noWrap/>
            <w:hideMark/>
          </w:tcPr>
          <w:p w14:paraId="5C82AED0" w14:textId="77777777" w:rsidR="004334CE" w:rsidRPr="004F01E9" w:rsidRDefault="004334CE" w:rsidP="004334CE">
            <w:pPr>
              <w:jc w:val="center"/>
              <w:rPr>
                <w:rFonts w:eastAsiaTheme="minorEastAsia"/>
                <w:noProof/>
              </w:rPr>
            </w:pPr>
            <w:r w:rsidRPr="004F01E9">
              <w:rPr>
                <w:noProof/>
              </w:rPr>
              <w:t>Kreditná kvalita</w:t>
            </w:r>
          </w:p>
        </w:tc>
        <w:tc>
          <w:tcPr>
            <w:tcW w:w="2842" w:type="pct"/>
            <w:noWrap/>
            <w:hideMark/>
          </w:tcPr>
          <w:p w14:paraId="1C793F00" w14:textId="77777777" w:rsidR="004334CE" w:rsidRPr="004F01E9" w:rsidRDefault="004334CE" w:rsidP="004334CE">
            <w:pPr>
              <w:jc w:val="center"/>
              <w:rPr>
                <w:rFonts w:eastAsiaTheme="minorEastAsia"/>
                <w:noProof/>
              </w:rPr>
            </w:pPr>
            <w:r w:rsidRPr="004F01E9">
              <w:rPr>
                <w:noProof/>
              </w:rPr>
              <w:t>Sektor</w:t>
            </w:r>
          </w:p>
        </w:tc>
        <w:tc>
          <w:tcPr>
            <w:tcW w:w="764" w:type="pct"/>
            <w:hideMark/>
          </w:tcPr>
          <w:p w14:paraId="7272A9E1" w14:textId="6F259C41" w:rsidR="004334CE" w:rsidRPr="004F01E9" w:rsidRDefault="004334CE" w:rsidP="004334CE">
            <w:pPr>
              <w:jc w:val="center"/>
              <w:rPr>
                <w:rFonts w:eastAsiaTheme="minorEastAsia"/>
                <w:noProof/>
              </w:rPr>
            </w:pPr>
            <w:r w:rsidRPr="004F01E9">
              <w:rPr>
                <w:noProof/>
              </w:rPr>
              <w:t>Riziková váha</w:t>
            </w:r>
            <w:r w:rsidR="004F01E9" w:rsidRPr="004F01E9">
              <w:rPr>
                <w:noProof/>
              </w:rPr>
              <w:t xml:space="preserve"> </w:t>
            </w:r>
            <w:r w:rsidRPr="004F01E9">
              <w:rPr>
                <w:noProof/>
              </w:rPr>
              <w:br/>
              <w:t>(percentuálne body)</w:t>
            </w:r>
          </w:p>
        </w:tc>
      </w:tr>
      <w:tr w:rsidR="004334CE" w:rsidRPr="004F01E9" w14:paraId="68BA91D4" w14:textId="77777777" w:rsidTr="004334CE">
        <w:trPr>
          <w:trHeight w:val="300"/>
          <w:jc w:val="center"/>
        </w:trPr>
        <w:tc>
          <w:tcPr>
            <w:tcW w:w="661" w:type="pct"/>
            <w:noWrap/>
            <w:hideMark/>
          </w:tcPr>
          <w:p w14:paraId="0327E66C" w14:textId="77777777" w:rsidR="004334CE" w:rsidRPr="004F01E9" w:rsidRDefault="004334CE" w:rsidP="004334CE">
            <w:pPr>
              <w:jc w:val="center"/>
              <w:rPr>
                <w:rFonts w:eastAsiaTheme="minorEastAsia"/>
                <w:noProof/>
              </w:rPr>
            </w:pPr>
            <w:r w:rsidRPr="004F01E9">
              <w:rPr>
                <w:noProof/>
              </w:rPr>
              <w:t>1</w:t>
            </w:r>
          </w:p>
        </w:tc>
        <w:tc>
          <w:tcPr>
            <w:tcW w:w="733" w:type="pct"/>
            <w:noWrap/>
            <w:hideMark/>
          </w:tcPr>
          <w:p w14:paraId="2CBF805F" w14:textId="77777777" w:rsidR="004334CE" w:rsidRPr="004F01E9" w:rsidRDefault="004334CE" w:rsidP="004334CE">
            <w:pPr>
              <w:jc w:val="center"/>
              <w:rPr>
                <w:rFonts w:eastAsiaTheme="minorEastAsia"/>
                <w:noProof/>
              </w:rPr>
            </w:pPr>
            <w:r w:rsidRPr="004F01E9">
              <w:rPr>
                <w:noProof/>
              </w:rPr>
              <w:t>Všetky</w:t>
            </w:r>
          </w:p>
        </w:tc>
        <w:tc>
          <w:tcPr>
            <w:tcW w:w="2842" w:type="pct"/>
            <w:noWrap/>
            <w:hideMark/>
          </w:tcPr>
          <w:p w14:paraId="49AC8CC3" w14:textId="77777777" w:rsidR="004334CE" w:rsidRPr="004F01E9" w:rsidRDefault="004334CE" w:rsidP="004334CE">
            <w:pPr>
              <w:jc w:val="center"/>
              <w:rPr>
                <w:rFonts w:eastAsiaTheme="minorEastAsia"/>
                <w:noProof/>
              </w:rPr>
            </w:pPr>
            <w:r w:rsidRPr="004F01E9">
              <w:rPr>
                <w:noProof/>
              </w:rPr>
              <w:t>Ústredná vláda členského štátu vrátane centrálnych bánk</w:t>
            </w:r>
          </w:p>
        </w:tc>
        <w:tc>
          <w:tcPr>
            <w:tcW w:w="764" w:type="pct"/>
            <w:hideMark/>
          </w:tcPr>
          <w:p w14:paraId="7BA0F3EC" w14:textId="34BF1811" w:rsidR="004334CE" w:rsidRPr="004F01E9" w:rsidRDefault="004334CE" w:rsidP="004334CE">
            <w:pPr>
              <w:jc w:val="center"/>
              <w:rPr>
                <w:rFonts w:eastAsiaTheme="minorEastAsia"/>
                <w:noProof/>
              </w:rPr>
            </w:pPr>
            <w:r w:rsidRPr="004F01E9">
              <w:rPr>
                <w:noProof/>
              </w:rPr>
              <w:t>0,5</w:t>
            </w:r>
            <w:r w:rsidR="004F01E9">
              <w:rPr>
                <w:noProof/>
              </w:rPr>
              <w:t> %</w:t>
            </w:r>
          </w:p>
        </w:tc>
      </w:tr>
      <w:tr w:rsidR="004334CE" w:rsidRPr="004F01E9" w14:paraId="508A420D" w14:textId="77777777" w:rsidTr="004334CE">
        <w:trPr>
          <w:trHeight w:val="465"/>
          <w:jc w:val="center"/>
        </w:trPr>
        <w:tc>
          <w:tcPr>
            <w:tcW w:w="661" w:type="pct"/>
            <w:noWrap/>
            <w:hideMark/>
          </w:tcPr>
          <w:p w14:paraId="58795DD6" w14:textId="77777777" w:rsidR="004334CE" w:rsidRPr="004F01E9" w:rsidRDefault="004334CE" w:rsidP="004334CE">
            <w:pPr>
              <w:jc w:val="center"/>
              <w:rPr>
                <w:rFonts w:eastAsiaTheme="minorEastAsia"/>
                <w:noProof/>
              </w:rPr>
            </w:pPr>
            <w:r w:rsidRPr="004F01E9">
              <w:rPr>
                <w:noProof/>
              </w:rPr>
              <w:t>2</w:t>
            </w:r>
          </w:p>
        </w:tc>
        <w:tc>
          <w:tcPr>
            <w:tcW w:w="733" w:type="pct"/>
            <w:vMerge w:val="restart"/>
            <w:hideMark/>
          </w:tcPr>
          <w:p w14:paraId="4311C331" w14:textId="77777777" w:rsidR="004334CE" w:rsidRPr="004F01E9" w:rsidRDefault="004334CE" w:rsidP="004334CE">
            <w:pPr>
              <w:jc w:val="center"/>
              <w:rPr>
                <w:rFonts w:eastAsiaTheme="minorEastAsia"/>
                <w:noProof/>
              </w:rPr>
            </w:pPr>
            <w:r w:rsidRPr="004F01E9">
              <w:rPr>
                <w:noProof/>
              </w:rPr>
              <w:t>Stupeň kreditnej kvality 1 až 3</w:t>
            </w:r>
          </w:p>
        </w:tc>
        <w:tc>
          <w:tcPr>
            <w:tcW w:w="2842" w:type="pct"/>
            <w:hideMark/>
          </w:tcPr>
          <w:p w14:paraId="1B7A1096" w14:textId="07AD1D6C" w:rsidR="004334CE" w:rsidRPr="004F01E9" w:rsidRDefault="004334CE" w:rsidP="004334CE">
            <w:pPr>
              <w:jc w:val="center"/>
              <w:rPr>
                <w:rFonts w:eastAsiaTheme="minorEastAsia"/>
                <w:noProof/>
              </w:rPr>
            </w:pPr>
            <w:r w:rsidRPr="004F01E9">
              <w:rPr>
                <w:noProof/>
              </w:rPr>
              <w:t>Ústredná vláda tretej krajiny vrátane centrálnych bánk, multilaterálne rozvojové banky</w:t>
            </w:r>
            <w:r w:rsidR="004F01E9">
              <w:rPr>
                <w:noProof/>
              </w:rPr>
              <w:t xml:space="preserve"> a </w:t>
            </w:r>
            <w:r w:rsidRPr="004F01E9">
              <w:rPr>
                <w:noProof/>
              </w:rPr>
              <w:t>medzinárodné organizácie uvedené</w:t>
            </w:r>
            <w:r w:rsidR="004F01E9">
              <w:rPr>
                <w:noProof/>
              </w:rPr>
              <w:t xml:space="preserve"> v </w:t>
            </w:r>
            <w:r w:rsidRPr="004F01E9">
              <w:rPr>
                <w:noProof/>
              </w:rPr>
              <w:t>článku 117 ods. 2</w:t>
            </w:r>
            <w:r w:rsidR="004F01E9">
              <w:rPr>
                <w:noProof/>
              </w:rPr>
              <w:t xml:space="preserve"> a </w:t>
            </w:r>
            <w:r w:rsidRPr="004F01E9">
              <w:rPr>
                <w:noProof/>
              </w:rPr>
              <w:t>článku 118</w:t>
            </w:r>
          </w:p>
        </w:tc>
        <w:tc>
          <w:tcPr>
            <w:tcW w:w="764" w:type="pct"/>
            <w:noWrap/>
            <w:hideMark/>
          </w:tcPr>
          <w:p w14:paraId="34DAFF8B" w14:textId="1BAB9DBF" w:rsidR="004334CE" w:rsidRPr="004F01E9" w:rsidRDefault="004334CE" w:rsidP="004334CE">
            <w:pPr>
              <w:jc w:val="center"/>
              <w:rPr>
                <w:rFonts w:eastAsiaTheme="minorEastAsia"/>
                <w:noProof/>
              </w:rPr>
            </w:pPr>
            <w:r w:rsidRPr="004F01E9">
              <w:rPr>
                <w:noProof/>
              </w:rPr>
              <w:t>0,5</w:t>
            </w:r>
            <w:r w:rsidR="004F01E9">
              <w:rPr>
                <w:noProof/>
              </w:rPr>
              <w:t> %</w:t>
            </w:r>
          </w:p>
        </w:tc>
      </w:tr>
      <w:tr w:rsidR="004334CE" w:rsidRPr="004F01E9" w14:paraId="6E1B18B5" w14:textId="77777777" w:rsidTr="004334CE">
        <w:trPr>
          <w:trHeight w:val="300"/>
          <w:jc w:val="center"/>
        </w:trPr>
        <w:tc>
          <w:tcPr>
            <w:tcW w:w="661" w:type="pct"/>
            <w:noWrap/>
            <w:hideMark/>
          </w:tcPr>
          <w:p w14:paraId="6314BC4B" w14:textId="77777777" w:rsidR="004334CE" w:rsidRPr="004F01E9" w:rsidRDefault="004334CE" w:rsidP="004334CE">
            <w:pPr>
              <w:jc w:val="center"/>
              <w:rPr>
                <w:rFonts w:eastAsiaTheme="minorEastAsia"/>
                <w:noProof/>
              </w:rPr>
            </w:pPr>
            <w:r w:rsidRPr="004F01E9">
              <w:rPr>
                <w:noProof/>
              </w:rPr>
              <w:t>3</w:t>
            </w:r>
          </w:p>
        </w:tc>
        <w:tc>
          <w:tcPr>
            <w:tcW w:w="733" w:type="pct"/>
            <w:vMerge/>
            <w:hideMark/>
          </w:tcPr>
          <w:p w14:paraId="2D8885B4" w14:textId="77777777" w:rsidR="004334CE" w:rsidRPr="004F01E9" w:rsidRDefault="004334CE" w:rsidP="004334CE">
            <w:pPr>
              <w:jc w:val="center"/>
              <w:rPr>
                <w:rFonts w:eastAsiaTheme="minorEastAsia"/>
                <w:noProof/>
              </w:rPr>
            </w:pPr>
          </w:p>
        </w:tc>
        <w:tc>
          <w:tcPr>
            <w:tcW w:w="2842" w:type="pct"/>
            <w:hideMark/>
          </w:tcPr>
          <w:p w14:paraId="697E18EA" w14:textId="34CC61B3" w:rsidR="004334CE" w:rsidRPr="004F01E9" w:rsidRDefault="004334CE" w:rsidP="004334CE">
            <w:pPr>
              <w:jc w:val="center"/>
              <w:rPr>
                <w:rFonts w:eastAsiaTheme="minorEastAsia"/>
                <w:noProof/>
              </w:rPr>
            </w:pPr>
            <w:r w:rsidRPr="004F01E9">
              <w:rPr>
                <w:noProof/>
              </w:rPr>
              <w:t>Regionálne alebo miestne orgány</w:t>
            </w:r>
            <w:r w:rsidR="004F01E9">
              <w:rPr>
                <w:noProof/>
              </w:rPr>
              <w:t xml:space="preserve"> a </w:t>
            </w:r>
            <w:r w:rsidRPr="004F01E9">
              <w:rPr>
                <w:noProof/>
              </w:rPr>
              <w:t>subjekty verejného sektora</w:t>
            </w:r>
          </w:p>
        </w:tc>
        <w:tc>
          <w:tcPr>
            <w:tcW w:w="764" w:type="pct"/>
            <w:noWrap/>
            <w:hideMark/>
          </w:tcPr>
          <w:p w14:paraId="258EB0A3" w14:textId="2B4BDBBA" w:rsidR="004334CE" w:rsidRPr="004F01E9" w:rsidRDefault="004334CE" w:rsidP="004334CE">
            <w:pPr>
              <w:jc w:val="center"/>
              <w:rPr>
                <w:rFonts w:eastAsiaTheme="minorEastAsia"/>
                <w:noProof/>
              </w:rPr>
            </w:pPr>
            <w:r w:rsidRPr="004F01E9">
              <w:rPr>
                <w:noProof/>
              </w:rPr>
              <w:t>1,0</w:t>
            </w:r>
            <w:r w:rsidR="004F01E9">
              <w:rPr>
                <w:noProof/>
              </w:rPr>
              <w:t> %</w:t>
            </w:r>
          </w:p>
        </w:tc>
      </w:tr>
      <w:tr w:rsidR="004334CE" w:rsidRPr="004F01E9" w14:paraId="3C04AC0F" w14:textId="77777777" w:rsidTr="004334CE">
        <w:trPr>
          <w:trHeight w:val="465"/>
          <w:jc w:val="center"/>
        </w:trPr>
        <w:tc>
          <w:tcPr>
            <w:tcW w:w="661" w:type="pct"/>
            <w:noWrap/>
            <w:hideMark/>
          </w:tcPr>
          <w:p w14:paraId="208FBA23" w14:textId="77777777" w:rsidR="004334CE" w:rsidRPr="004F01E9" w:rsidRDefault="004334CE" w:rsidP="004334CE">
            <w:pPr>
              <w:jc w:val="center"/>
              <w:rPr>
                <w:rFonts w:eastAsiaTheme="minorEastAsia"/>
                <w:noProof/>
              </w:rPr>
            </w:pPr>
            <w:r w:rsidRPr="004F01E9">
              <w:rPr>
                <w:noProof/>
              </w:rPr>
              <w:t>4</w:t>
            </w:r>
          </w:p>
        </w:tc>
        <w:tc>
          <w:tcPr>
            <w:tcW w:w="733" w:type="pct"/>
            <w:vMerge/>
            <w:hideMark/>
          </w:tcPr>
          <w:p w14:paraId="44E49739" w14:textId="77777777" w:rsidR="004334CE" w:rsidRPr="004F01E9" w:rsidRDefault="004334CE" w:rsidP="004334CE">
            <w:pPr>
              <w:jc w:val="center"/>
              <w:rPr>
                <w:rFonts w:eastAsiaTheme="minorEastAsia"/>
                <w:noProof/>
              </w:rPr>
            </w:pPr>
          </w:p>
        </w:tc>
        <w:tc>
          <w:tcPr>
            <w:tcW w:w="2842" w:type="pct"/>
            <w:hideMark/>
          </w:tcPr>
          <w:p w14:paraId="108A3CA1" w14:textId="129DD21D" w:rsidR="004334CE" w:rsidRPr="004F01E9" w:rsidRDefault="004334CE" w:rsidP="004334CE">
            <w:pPr>
              <w:jc w:val="center"/>
              <w:rPr>
                <w:rFonts w:eastAsiaTheme="minorEastAsia"/>
                <w:noProof/>
              </w:rPr>
            </w:pPr>
            <w:r w:rsidRPr="004F01E9">
              <w:rPr>
                <w:noProof/>
              </w:rPr>
              <w:t>Subjekty finančného sektora vrátane úverových inštitúcií zriadených alebo založených ústrednou vládou, regionálnou vládou alebo miestnym orgánom</w:t>
            </w:r>
            <w:r w:rsidR="004F01E9">
              <w:rPr>
                <w:noProof/>
              </w:rPr>
              <w:t xml:space="preserve"> a </w:t>
            </w:r>
            <w:r w:rsidRPr="004F01E9">
              <w:rPr>
                <w:noProof/>
              </w:rPr>
              <w:t>poskytovatelia podporných úverov</w:t>
            </w:r>
          </w:p>
        </w:tc>
        <w:tc>
          <w:tcPr>
            <w:tcW w:w="764" w:type="pct"/>
            <w:noWrap/>
            <w:hideMark/>
          </w:tcPr>
          <w:p w14:paraId="22449494" w14:textId="649983FC" w:rsidR="004334CE" w:rsidRPr="004F01E9" w:rsidRDefault="004334CE" w:rsidP="004334CE">
            <w:pPr>
              <w:jc w:val="center"/>
              <w:rPr>
                <w:rFonts w:eastAsiaTheme="minorEastAsia"/>
                <w:noProof/>
              </w:rPr>
            </w:pPr>
            <w:r w:rsidRPr="004F01E9">
              <w:rPr>
                <w:noProof/>
              </w:rPr>
              <w:t>5,0</w:t>
            </w:r>
            <w:r w:rsidR="004F01E9">
              <w:rPr>
                <w:noProof/>
              </w:rPr>
              <w:t> %</w:t>
            </w:r>
          </w:p>
        </w:tc>
      </w:tr>
      <w:tr w:rsidR="004334CE" w:rsidRPr="004F01E9" w14:paraId="21803FE4" w14:textId="77777777" w:rsidTr="004334CE">
        <w:trPr>
          <w:trHeight w:val="300"/>
          <w:jc w:val="center"/>
        </w:trPr>
        <w:tc>
          <w:tcPr>
            <w:tcW w:w="661" w:type="pct"/>
            <w:noWrap/>
            <w:hideMark/>
          </w:tcPr>
          <w:p w14:paraId="1A49A16E" w14:textId="77777777" w:rsidR="004334CE" w:rsidRPr="004F01E9" w:rsidRDefault="004334CE" w:rsidP="004334CE">
            <w:pPr>
              <w:jc w:val="center"/>
              <w:rPr>
                <w:rFonts w:eastAsiaTheme="minorEastAsia"/>
                <w:noProof/>
              </w:rPr>
            </w:pPr>
            <w:r w:rsidRPr="004F01E9">
              <w:rPr>
                <w:noProof/>
              </w:rPr>
              <w:t>5</w:t>
            </w:r>
          </w:p>
        </w:tc>
        <w:tc>
          <w:tcPr>
            <w:tcW w:w="733" w:type="pct"/>
            <w:vMerge/>
            <w:hideMark/>
          </w:tcPr>
          <w:p w14:paraId="15C2B49B" w14:textId="77777777" w:rsidR="004334CE" w:rsidRPr="004F01E9" w:rsidRDefault="004334CE" w:rsidP="004334CE">
            <w:pPr>
              <w:jc w:val="center"/>
              <w:rPr>
                <w:rFonts w:eastAsiaTheme="minorEastAsia"/>
                <w:noProof/>
              </w:rPr>
            </w:pPr>
          </w:p>
        </w:tc>
        <w:tc>
          <w:tcPr>
            <w:tcW w:w="2842" w:type="pct"/>
            <w:hideMark/>
          </w:tcPr>
          <w:p w14:paraId="69976843" w14:textId="48B6CA4A" w:rsidR="004334CE" w:rsidRPr="004F01E9" w:rsidRDefault="004334CE" w:rsidP="004334CE">
            <w:pPr>
              <w:jc w:val="center"/>
              <w:rPr>
                <w:rFonts w:eastAsiaTheme="minorEastAsia"/>
                <w:noProof/>
              </w:rPr>
            </w:pPr>
            <w:r w:rsidRPr="004F01E9">
              <w:rPr>
                <w:noProof/>
              </w:rPr>
              <w:t>Základné materiály, energetika, priemyselné podniky, poľnohospodárstvo, spracovateľský priemysel, ťažba</w:t>
            </w:r>
            <w:r w:rsidR="004F01E9">
              <w:rPr>
                <w:noProof/>
              </w:rPr>
              <w:t xml:space="preserve"> a </w:t>
            </w:r>
            <w:r w:rsidRPr="004F01E9">
              <w:rPr>
                <w:noProof/>
              </w:rPr>
              <w:t>dobývanie</w:t>
            </w:r>
          </w:p>
        </w:tc>
        <w:tc>
          <w:tcPr>
            <w:tcW w:w="764" w:type="pct"/>
            <w:noWrap/>
            <w:hideMark/>
          </w:tcPr>
          <w:p w14:paraId="7087B6E4" w14:textId="10FCD544" w:rsidR="004334CE" w:rsidRPr="004F01E9" w:rsidRDefault="004334CE" w:rsidP="004334CE">
            <w:pPr>
              <w:jc w:val="center"/>
              <w:rPr>
                <w:rFonts w:eastAsiaTheme="minorEastAsia"/>
                <w:noProof/>
              </w:rPr>
            </w:pPr>
            <w:r w:rsidRPr="004F01E9">
              <w:rPr>
                <w:noProof/>
              </w:rPr>
              <w:t>3,0</w:t>
            </w:r>
            <w:r w:rsidR="004F01E9">
              <w:rPr>
                <w:noProof/>
              </w:rPr>
              <w:t> %</w:t>
            </w:r>
          </w:p>
        </w:tc>
      </w:tr>
      <w:tr w:rsidR="004334CE" w:rsidRPr="004F01E9" w14:paraId="48194611" w14:textId="77777777" w:rsidTr="004334CE">
        <w:trPr>
          <w:trHeight w:val="465"/>
          <w:jc w:val="center"/>
        </w:trPr>
        <w:tc>
          <w:tcPr>
            <w:tcW w:w="661" w:type="pct"/>
            <w:noWrap/>
            <w:hideMark/>
          </w:tcPr>
          <w:p w14:paraId="501FD96E" w14:textId="77777777" w:rsidR="004334CE" w:rsidRPr="004F01E9" w:rsidRDefault="004334CE" w:rsidP="004334CE">
            <w:pPr>
              <w:jc w:val="center"/>
              <w:rPr>
                <w:rFonts w:eastAsiaTheme="minorEastAsia"/>
                <w:noProof/>
              </w:rPr>
            </w:pPr>
            <w:r w:rsidRPr="004F01E9">
              <w:rPr>
                <w:noProof/>
              </w:rPr>
              <w:t>6</w:t>
            </w:r>
          </w:p>
        </w:tc>
        <w:tc>
          <w:tcPr>
            <w:tcW w:w="733" w:type="pct"/>
            <w:vMerge/>
            <w:hideMark/>
          </w:tcPr>
          <w:p w14:paraId="70E5355D" w14:textId="77777777" w:rsidR="004334CE" w:rsidRPr="004F01E9" w:rsidRDefault="004334CE" w:rsidP="004334CE">
            <w:pPr>
              <w:jc w:val="center"/>
              <w:rPr>
                <w:rFonts w:eastAsiaTheme="minorEastAsia"/>
                <w:noProof/>
              </w:rPr>
            </w:pPr>
          </w:p>
        </w:tc>
        <w:tc>
          <w:tcPr>
            <w:tcW w:w="2842" w:type="pct"/>
            <w:hideMark/>
          </w:tcPr>
          <w:p w14:paraId="243D19E9" w14:textId="024BC5AB" w:rsidR="004334CE" w:rsidRPr="004F01E9" w:rsidRDefault="004334CE" w:rsidP="004334CE">
            <w:pPr>
              <w:jc w:val="center"/>
              <w:rPr>
                <w:rFonts w:eastAsiaTheme="minorEastAsia"/>
                <w:noProof/>
              </w:rPr>
            </w:pPr>
            <w:r w:rsidRPr="004F01E9">
              <w:rPr>
                <w:noProof/>
              </w:rPr>
              <w:t>Spotrebný tovar</w:t>
            </w:r>
            <w:r w:rsidR="004F01E9">
              <w:rPr>
                <w:noProof/>
              </w:rPr>
              <w:t xml:space="preserve"> a </w:t>
            </w:r>
            <w:r w:rsidRPr="004F01E9">
              <w:rPr>
                <w:noProof/>
              </w:rPr>
              <w:t>služby, doprava</w:t>
            </w:r>
            <w:r w:rsidR="004F01E9">
              <w:rPr>
                <w:noProof/>
              </w:rPr>
              <w:t xml:space="preserve"> a </w:t>
            </w:r>
            <w:r w:rsidRPr="004F01E9">
              <w:rPr>
                <w:noProof/>
              </w:rPr>
              <w:t>skladovanie, administratívne</w:t>
            </w:r>
            <w:r w:rsidR="004F01E9">
              <w:rPr>
                <w:noProof/>
              </w:rPr>
              <w:t xml:space="preserve"> a </w:t>
            </w:r>
            <w:r w:rsidRPr="004F01E9">
              <w:rPr>
                <w:noProof/>
              </w:rPr>
              <w:t>podporné činnosti</w:t>
            </w:r>
          </w:p>
        </w:tc>
        <w:tc>
          <w:tcPr>
            <w:tcW w:w="764" w:type="pct"/>
            <w:noWrap/>
            <w:hideMark/>
          </w:tcPr>
          <w:p w14:paraId="5717D37D" w14:textId="4556AC7C" w:rsidR="004334CE" w:rsidRPr="004F01E9" w:rsidRDefault="004334CE" w:rsidP="004334CE">
            <w:pPr>
              <w:jc w:val="center"/>
              <w:rPr>
                <w:rFonts w:eastAsiaTheme="minorEastAsia"/>
                <w:noProof/>
              </w:rPr>
            </w:pPr>
            <w:r w:rsidRPr="004F01E9">
              <w:rPr>
                <w:noProof/>
              </w:rPr>
              <w:t>3,0</w:t>
            </w:r>
            <w:r w:rsidR="004F01E9">
              <w:rPr>
                <w:noProof/>
              </w:rPr>
              <w:t> %</w:t>
            </w:r>
          </w:p>
        </w:tc>
      </w:tr>
      <w:tr w:rsidR="004334CE" w:rsidRPr="004F01E9" w14:paraId="64CBF8FF" w14:textId="77777777" w:rsidTr="004334CE">
        <w:trPr>
          <w:trHeight w:val="300"/>
          <w:jc w:val="center"/>
        </w:trPr>
        <w:tc>
          <w:tcPr>
            <w:tcW w:w="661" w:type="pct"/>
            <w:noWrap/>
            <w:hideMark/>
          </w:tcPr>
          <w:p w14:paraId="0CA1C3FC" w14:textId="77777777" w:rsidR="004334CE" w:rsidRPr="004F01E9" w:rsidRDefault="004334CE" w:rsidP="004334CE">
            <w:pPr>
              <w:jc w:val="center"/>
              <w:rPr>
                <w:rFonts w:eastAsiaTheme="minorEastAsia"/>
                <w:noProof/>
              </w:rPr>
            </w:pPr>
            <w:r w:rsidRPr="004F01E9">
              <w:rPr>
                <w:noProof/>
              </w:rPr>
              <w:t>7</w:t>
            </w:r>
          </w:p>
        </w:tc>
        <w:tc>
          <w:tcPr>
            <w:tcW w:w="733" w:type="pct"/>
            <w:vMerge/>
            <w:hideMark/>
          </w:tcPr>
          <w:p w14:paraId="34E84ACD" w14:textId="77777777" w:rsidR="004334CE" w:rsidRPr="004F01E9" w:rsidRDefault="004334CE" w:rsidP="004334CE">
            <w:pPr>
              <w:jc w:val="center"/>
              <w:rPr>
                <w:rFonts w:eastAsiaTheme="minorEastAsia"/>
                <w:noProof/>
              </w:rPr>
            </w:pPr>
          </w:p>
        </w:tc>
        <w:tc>
          <w:tcPr>
            <w:tcW w:w="2842" w:type="pct"/>
            <w:hideMark/>
          </w:tcPr>
          <w:p w14:paraId="4E8A7369" w14:textId="77777777" w:rsidR="004334CE" w:rsidRPr="004F01E9" w:rsidRDefault="004334CE" w:rsidP="004334CE">
            <w:pPr>
              <w:jc w:val="center"/>
              <w:rPr>
                <w:rFonts w:eastAsiaTheme="minorEastAsia"/>
                <w:noProof/>
              </w:rPr>
            </w:pPr>
            <w:r w:rsidRPr="004F01E9">
              <w:rPr>
                <w:noProof/>
              </w:rPr>
              <w:t>Technológie, telekomunikácie</w:t>
            </w:r>
          </w:p>
        </w:tc>
        <w:tc>
          <w:tcPr>
            <w:tcW w:w="764" w:type="pct"/>
            <w:noWrap/>
            <w:hideMark/>
          </w:tcPr>
          <w:p w14:paraId="307A744A" w14:textId="5FEBAFAC" w:rsidR="004334CE" w:rsidRPr="004F01E9" w:rsidRDefault="004334CE" w:rsidP="004334CE">
            <w:pPr>
              <w:jc w:val="center"/>
              <w:rPr>
                <w:rFonts w:eastAsiaTheme="minorEastAsia"/>
                <w:noProof/>
              </w:rPr>
            </w:pPr>
            <w:r w:rsidRPr="004F01E9">
              <w:rPr>
                <w:noProof/>
              </w:rPr>
              <w:t>2,0</w:t>
            </w:r>
            <w:r w:rsidR="004F01E9">
              <w:rPr>
                <w:noProof/>
              </w:rPr>
              <w:t> %</w:t>
            </w:r>
          </w:p>
        </w:tc>
      </w:tr>
      <w:tr w:rsidR="004334CE" w:rsidRPr="004F01E9" w14:paraId="7A9C340F" w14:textId="77777777" w:rsidTr="004334CE">
        <w:trPr>
          <w:trHeight w:val="300"/>
          <w:jc w:val="center"/>
        </w:trPr>
        <w:tc>
          <w:tcPr>
            <w:tcW w:w="661" w:type="pct"/>
            <w:noWrap/>
            <w:hideMark/>
          </w:tcPr>
          <w:p w14:paraId="001C3EBC" w14:textId="77777777" w:rsidR="004334CE" w:rsidRPr="004F01E9" w:rsidRDefault="004334CE" w:rsidP="004334CE">
            <w:pPr>
              <w:jc w:val="center"/>
              <w:rPr>
                <w:rFonts w:eastAsiaTheme="minorEastAsia"/>
                <w:noProof/>
              </w:rPr>
            </w:pPr>
            <w:r w:rsidRPr="004F01E9">
              <w:rPr>
                <w:noProof/>
              </w:rPr>
              <w:t>8</w:t>
            </w:r>
          </w:p>
        </w:tc>
        <w:tc>
          <w:tcPr>
            <w:tcW w:w="733" w:type="pct"/>
            <w:vMerge/>
            <w:hideMark/>
          </w:tcPr>
          <w:p w14:paraId="569F5B95" w14:textId="77777777" w:rsidR="004334CE" w:rsidRPr="004F01E9" w:rsidRDefault="004334CE" w:rsidP="004334CE">
            <w:pPr>
              <w:jc w:val="center"/>
              <w:rPr>
                <w:rFonts w:eastAsiaTheme="minorEastAsia"/>
                <w:noProof/>
              </w:rPr>
            </w:pPr>
          </w:p>
        </w:tc>
        <w:tc>
          <w:tcPr>
            <w:tcW w:w="2842" w:type="pct"/>
            <w:hideMark/>
          </w:tcPr>
          <w:p w14:paraId="3A894031" w14:textId="5E3A2251" w:rsidR="004334CE" w:rsidRPr="004F01E9" w:rsidRDefault="004334CE" w:rsidP="004334CE">
            <w:pPr>
              <w:jc w:val="center"/>
              <w:rPr>
                <w:rFonts w:eastAsiaTheme="minorEastAsia"/>
                <w:noProof/>
              </w:rPr>
            </w:pPr>
            <w:r w:rsidRPr="004F01E9">
              <w:rPr>
                <w:noProof/>
              </w:rPr>
              <w:t>Zdravotná starostlivosť, úžitkové služby, odborné</w:t>
            </w:r>
            <w:r w:rsidR="004F01E9">
              <w:rPr>
                <w:noProof/>
              </w:rPr>
              <w:t xml:space="preserve"> a </w:t>
            </w:r>
            <w:r w:rsidRPr="004F01E9">
              <w:rPr>
                <w:noProof/>
              </w:rPr>
              <w:t>technické činnosti</w:t>
            </w:r>
          </w:p>
        </w:tc>
        <w:tc>
          <w:tcPr>
            <w:tcW w:w="764" w:type="pct"/>
            <w:noWrap/>
            <w:hideMark/>
          </w:tcPr>
          <w:p w14:paraId="3E707097" w14:textId="183A2522" w:rsidR="004334CE" w:rsidRPr="004F01E9" w:rsidRDefault="004334CE" w:rsidP="004334CE">
            <w:pPr>
              <w:jc w:val="center"/>
              <w:rPr>
                <w:rFonts w:eastAsiaTheme="minorEastAsia"/>
                <w:noProof/>
              </w:rPr>
            </w:pPr>
            <w:r w:rsidRPr="004F01E9">
              <w:rPr>
                <w:noProof/>
              </w:rPr>
              <w:t>1,5</w:t>
            </w:r>
            <w:r w:rsidR="004F01E9">
              <w:rPr>
                <w:noProof/>
              </w:rPr>
              <w:t> %</w:t>
            </w:r>
          </w:p>
        </w:tc>
      </w:tr>
      <w:tr w:rsidR="004334CE" w:rsidRPr="004F01E9" w14:paraId="23812F4E" w14:textId="77777777" w:rsidTr="004334CE">
        <w:trPr>
          <w:trHeight w:val="300"/>
          <w:jc w:val="center"/>
        </w:trPr>
        <w:tc>
          <w:tcPr>
            <w:tcW w:w="661" w:type="pct"/>
            <w:noWrap/>
          </w:tcPr>
          <w:p w14:paraId="5586102B" w14:textId="77777777" w:rsidR="004334CE" w:rsidRPr="004F01E9" w:rsidRDefault="004334CE" w:rsidP="004334CE">
            <w:pPr>
              <w:jc w:val="center"/>
              <w:rPr>
                <w:rFonts w:eastAsiaTheme="minorEastAsia"/>
                <w:noProof/>
              </w:rPr>
            </w:pPr>
            <w:r w:rsidRPr="004F01E9">
              <w:rPr>
                <w:noProof/>
              </w:rPr>
              <w:t>10</w:t>
            </w:r>
          </w:p>
        </w:tc>
        <w:tc>
          <w:tcPr>
            <w:tcW w:w="733" w:type="pct"/>
            <w:vMerge/>
          </w:tcPr>
          <w:p w14:paraId="1327310B" w14:textId="77777777" w:rsidR="004334CE" w:rsidRPr="004F01E9" w:rsidRDefault="004334CE" w:rsidP="004334CE">
            <w:pPr>
              <w:jc w:val="center"/>
              <w:rPr>
                <w:rFonts w:eastAsiaTheme="minorEastAsia"/>
                <w:noProof/>
              </w:rPr>
            </w:pPr>
          </w:p>
        </w:tc>
        <w:tc>
          <w:tcPr>
            <w:tcW w:w="2842" w:type="pct"/>
          </w:tcPr>
          <w:p w14:paraId="61912A4B" w14:textId="77777777" w:rsidR="004334CE" w:rsidRPr="004F01E9" w:rsidRDefault="004334CE" w:rsidP="004334CE">
            <w:pPr>
              <w:jc w:val="center"/>
              <w:rPr>
                <w:rFonts w:eastAsiaTheme="minorEastAsia"/>
                <w:noProof/>
              </w:rPr>
            </w:pPr>
            <w:r w:rsidRPr="004F01E9">
              <w:rPr>
                <w:noProof/>
              </w:rPr>
              <w:t>Kvalifikované indexy</w:t>
            </w:r>
          </w:p>
        </w:tc>
        <w:tc>
          <w:tcPr>
            <w:tcW w:w="764" w:type="pct"/>
            <w:noWrap/>
          </w:tcPr>
          <w:p w14:paraId="19105B09" w14:textId="24B74BEE" w:rsidR="004334CE" w:rsidRPr="004F01E9" w:rsidRDefault="004334CE" w:rsidP="004334CE">
            <w:pPr>
              <w:jc w:val="center"/>
              <w:rPr>
                <w:rFonts w:eastAsiaTheme="minorEastAsia"/>
                <w:noProof/>
              </w:rPr>
            </w:pPr>
            <w:r w:rsidRPr="004F01E9">
              <w:rPr>
                <w:noProof/>
              </w:rPr>
              <w:t>1,5</w:t>
            </w:r>
            <w:r w:rsidR="004F01E9">
              <w:rPr>
                <w:noProof/>
              </w:rPr>
              <w:t> %</w:t>
            </w:r>
          </w:p>
        </w:tc>
      </w:tr>
      <w:tr w:rsidR="004334CE" w:rsidRPr="004F01E9" w14:paraId="37571F69" w14:textId="77777777" w:rsidTr="004334CE">
        <w:trPr>
          <w:trHeight w:val="300"/>
          <w:jc w:val="center"/>
        </w:trPr>
        <w:tc>
          <w:tcPr>
            <w:tcW w:w="661" w:type="pct"/>
            <w:noWrap/>
          </w:tcPr>
          <w:p w14:paraId="2E007E4E" w14:textId="77777777" w:rsidR="004334CE" w:rsidRPr="004F01E9" w:rsidRDefault="004334CE" w:rsidP="004334CE">
            <w:pPr>
              <w:jc w:val="center"/>
              <w:rPr>
                <w:rFonts w:eastAsiaTheme="minorEastAsia"/>
                <w:noProof/>
              </w:rPr>
            </w:pPr>
            <w:r w:rsidRPr="004F01E9">
              <w:rPr>
                <w:noProof/>
              </w:rPr>
              <w:t>11</w:t>
            </w:r>
          </w:p>
        </w:tc>
        <w:tc>
          <w:tcPr>
            <w:tcW w:w="733" w:type="pct"/>
            <w:vMerge w:val="restart"/>
          </w:tcPr>
          <w:p w14:paraId="63FA4E4D" w14:textId="6F4218C8" w:rsidR="004334CE" w:rsidRPr="004F01E9" w:rsidRDefault="004334CE" w:rsidP="004334CE">
            <w:pPr>
              <w:jc w:val="center"/>
              <w:rPr>
                <w:rFonts w:eastAsiaTheme="minorEastAsia"/>
                <w:noProof/>
              </w:rPr>
            </w:pPr>
            <w:r w:rsidRPr="004F01E9">
              <w:rPr>
                <w:noProof/>
              </w:rPr>
              <w:t>Stupeň kreditnej kvality 4 až 6</w:t>
            </w:r>
            <w:r w:rsidR="004F01E9">
              <w:rPr>
                <w:noProof/>
              </w:rPr>
              <w:t xml:space="preserve"> a </w:t>
            </w:r>
            <w:r w:rsidRPr="004F01E9">
              <w:rPr>
                <w:noProof/>
              </w:rPr>
              <w:t>bez ratingu</w:t>
            </w:r>
          </w:p>
        </w:tc>
        <w:tc>
          <w:tcPr>
            <w:tcW w:w="2842" w:type="pct"/>
          </w:tcPr>
          <w:p w14:paraId="149AC341" w14:textId="5C4F341C" w:rsidR="004334CE" w:rsidRPr="004F01E9" w:rsidRDefault="004334CE" w:rsidP="004334CE">
            <w:pPr>
              <w:jc w:val="center"/>
              <w:rPr>
                <w:rFonts w:eastAsiaTheme="minorEastAsia"/>
                <w:noProof/>
              </w:rPr>
            </w:pPr>
            <w:r w:rsidRPr="004F01E9">
              <w:rPr>
                <w:noProof/>
              </w:rPr>
              <w:t>Ústredná vláda tretej krajiny vrátane centrálnych bánk, multilaterálne rozvojové banky</w:t>
            </w:r>
            <w:r w:rsidR="004F01E9">
              <w:rPr>
                <w:noProof/>
              </w:rPr>
              <w:t xml:space="preserve"> a </w:t>
            </w:r>
            <w:r w:rsidRPr="004F01E9">
              <w:rPr>
                <w:noProof/>
              </w:rPr>
              <w:t>medzinárodné organizácie uvedené</w:t>
            </w:r>
            <w:r w:rsidR="004F01E9">
              <w:rPr>
                <w:noProof/>
              </w:rPr>
              <w:t xml:space="preserve"> v </w:t>
            </w:r>
            <w:r w:rsidRPr="004F01E9">
              <w:rPr>
                <w:noProof/>
              </w:rPr>
              <w:t>článku 117 ods. 2</w:t>
            </w:r>
            <w:r w:rsidR="004F01E9">
              <w:rPr>
                <w:noProof/>
              </w:rPr>
              <w:t xml:space="preserve"> a </w:t>
            </w:r>
            <w:r w:rsidRPr="004F01E9">
              <w:rPr>
                <w:noProof/>
              </w:rPr>
              <w:t>článku 118</w:t>
            </w:r>
          </w:p>
        </w:tc>
        <w:tc>
          <w:tcPr>
            <w:tcW w:w="764" w:type="pct"/>
            <w:noWrap/>
          </w:tcPr>
          <w:p w14:paraId="104161F1" w14:textId="45522F6D" w:rsidR="004334CE" w:rsidRPr="004F01E9" w:rsidRDefault="004334CE" w:rsidP="004334CE">
            <w:pPr>
              <w:jc w:val="center"/>
              <w:rPr>
                <w:rFonts w:eastAsiaTheme="minorEastAsia"/>
                <w:noProof/>
              </w:rPr>
            </w:pPr>
            <w:r w:rsidRPr="004F01E9">
              <w:rPr>
                <w:noProof/>
              </w:rPr>
              <w:t>2,0</w:t>
            </w:r>
            <w:r w:rsidR="004F01E9">
              <w:rPr>
                <w:noProof/>
              </w:rPr>
              <w:t> %</w:t>
            </w:r>
          </w:p>
        </w:tc>
      </w:tr>
      <w:tr w:rsidR="004334CE" w:rsidRPr="004F01E9" w14:paraId="73AFB7C7" w14:textId="77777777" w:rsidTr="004334CE">
        <w:trPr>
          <w:trHeight w:val="300"/>
          <w:jc w:val="center"/>
        </w:trPr>
        <w:tc>
          <w:tcPr>
            <w:tcW w:w="661" w:type="pct"/>
            <w:noWrap/>
          </w:tcPr>
          <w:p w14:paraId="245CD637" w14:textId="77777777" w:rsidR="004334CE" w:rsidRPr="004F01E9" w:rsidRDefault="004334CE" w:rsidP="004334CE">
            <w:pPr>
              <w:jc w:val="center"/>
              <w:rPr>
                <w:rFonts w:eastAsiaTheme="minorEastAsia"/>
                <w:noProof/>
              </w:rPr>
            </w:pPr>
            <w:r w:rsidRPr="004F01E9">
              <w:rPr>
                <w:noProof/>
              </w:rPr>
              <w:t>12</w:t>
            </w:r>
          </w:p>
        </w:tc>
        <w:tc>
          <w:tcPr>
            <w:tcW w:w="733" w:type="pct"/>
            <w:vMerge/>
          </w:tcPr>
          <w:p w14:paraId="1892B202" w14:textId="77777777" w:rsidR="004334CE" w:rsidRPr="004F01E9" w:rsidRDefault="004334CE" w:rsidP="004334CE">
            <w:pPr>
              <w:jc w:val="center"/>
              <w:rPr>
                <w:rFonts w:eastAsiaTheme="minorEastAsia"/>
                <w:noProof/>
              </w:rPr>
            </w:pPr>
          </w:p>
        </w:tc>
        <w:tc>
          <w:tcPr>
            <w:tcW w:w="2842" w:type="pct"/>
          </w:tcPr>
          <w:p w14:paraId="4EC3A8C7" w14:textId="38D3C6AA" w:rsidR="004334CE" w:rsidRPr="004F01E9" w:rsidRDefault="004334CE" w:rsidP="004334CE">
            <w:pPr>
              <w:jc w:val="center"/>
              <w:rPr>
                <w:rFonts w:eastAsiaTheme="minorEastAsia"/>
                <w:noProof/>
              </w:rPr>
            </w:pPr>
            <w:r w:rsidRPr="004F01E9">
              <w:rPr>
                <w:noProof/>
              </w:rPr>
              <w:t>Regionálne alebo miestne orgány</w:t>
            </w:r>
            <w:r w:rsidR="004F01E9">
              <w:rPr>
                <w:noProof/>
              </w:rPr>
              <w:t xml:space="preserve"> a </w:t>
            </w:r>
            <w:r w:rsidRPr="004F01E9">
              <w:rPr>
                <w:noProof/>
              </w:rPr>
              <w:t>subjekty verejného sektora</w:t>
            </w:r>
          </w:p>
        </w:tc>
        <w:tc>
          <w:tcPr>
            <w:tcW w:w="764" w:type="pct"/>
            <w:noWrap/>
          </w:tcPr>
          <w:p w14:paraId="432EC105" w14:textId="77A8F4CD" w:rsidR="004334CE" w:rsidRPr="004F01E9" w:rsidRDefault="004334CE" w:rsidP="004334CE">
            <w:pPr>
              <w:jc w:val="center"/>
              <w:rPr>
                <w:rFonts w:eastAsiaTheme="minorEastAsia"/>
                <w:noProof/>
              </w:rPr>
            </w:pPr>
            <w:r w:rsidRPr="004F01E9">
              <w:rPr>
                <w:noProof/>
              </w:rPr>
              <w:t>4,0</w:t>
            </w:r>
            <w:r w:rsidR="004F01E9">
              <w:rPr>
                <w:noProof/>
              </w:rPr>
              <w:t> %</w:t>
            </w:r>
          </w:p>
        </w:tc>
      </w:tr>
      <w:tr w:rsidR="004334CE" w:rsidRPr="004F01E9" w14:paraId="10A5AA6A" w14:textId="77777777" w:rsidTr="004334CE">
        <w:trPr>
          <w:trHeight w:val="300"/>
          <w:jc w:val="center"/>
        </w:trPr>
        <w:tc>
          <w:tcPr>
            <w:tcW w:w="661" w:type="pct"/>
            <w:noWrap/>
          </w:tcPr>
          <w:p w14:paraId="372A3AC4" w14:textId="77777777" w:rsidR="004334CE" w:rsidRPr="004F01E9" w:rsidRDefault="004334CE" w:rsidP="004334CE">
            <w:pPr>
              <w:jc w:val="center"/>
              <w:rPr>
                <w:rFonts w:eastAsiaTheme="minorEastAsia"/>
                <w:noProof/>
              </w:rPr>
            </w:pPr>
            <w:r w:rsidRPr="004F01E9">
              <w:rPr>
                <w:noProof/>
              </w:rPr>
              <w:t>13</w:t>
            </w:r>
          </w:p>
        </w:tc>
        <w:tc>
          <w:tcPr>
            <w:tcW w:w="733" w:type="pct"/>
            <w:vMerge/>
          </w:tcPr>
          <w:p w14:paraId="6A1D3336" w14:textId="77777777" w:rsidR="004334CE" w:rsidRPr="004F01E9" w:rsidRDefault="004334CE" w:rsidP="004334CE">
            <w:pPr>
              <w:jc w:val="center"/>
              <w:rPr>
                <w:rFonts w:eastAsiaTheme="minorEastAsia"/>
                <w:noProof/>
              </w:rPr>
            </w:pPr>
          </w:p>
        </w:tc>
        <w:tc>
          <w:tcPr>
            <w:tcW w:w="2842" w:type="pct"/>
          </w:tcPr>
          <w:p w14:paraId="7D429FCA" w14:textId="5B7169C2" w:rsidR="004334CE" w:rsidRPr="004F01E9" w:rsidRDefault="004334CE" w:rsidP="004334CE">
            <w:pPr>
              <w:jc w:val="center"/>
              <w:rPr>
                <w:rFonts w:eastAsiaTheme="minorEastAsia"/>
                <w:noProof/>
              </w:rPr>
            </w:pPr>
            <w:r w:rsidRPr="004F01E9">
              <w:rPr>
                <w:noProof/>
              </w:rPr>
              <w:t>Subjekty finančného sektora vrátane úverových inštitúcií zriadených alebo založených ústrednou vládou, regionálnou vládou alebo miestnym orgánom</w:t>
            </w:r>
            <w:r w:rsidR="004F01E9">
              <w:rPr>
                <w:noProof/>
              </w:rPr>
              <w:t xml:space="preserve"> a </w:t>
            </w:r>
            <w:r w:rsidRPr="004F01E9">
              <w:rPr>
                <w:noProof/>
              </w:rPr>
              <w:t>poskytovatelia podporných úverov</w:t>
            </w:r>
          </w:p>
        </w:tc>
        <w:tc>
          <w:tcPr>
            <w:tcW w:w="764" w:type="pct"/>
            <w:noWrap/>
          </w:tcPr>
          <w:p w14:paraId="7FF90E47" w14:textId="31E23915" w:rsidR="004334CE" w:rsidRPr="004F01E9" w:rsidRDefault="004334CE" w:rsidP="004334CE">
            <w:pPr>
              <w:jc w:val="center"/>
              <w:rPr>
                <w:rFonts w:eastAsiaTheme="minorEastAsia"/>
                <w:noProof/>
              </w:rPr>
            </w:pPr>
            <w:r w:rsidRPr="004F01E9">
              <w:rPr>
                <w:noProof/>
              </w:rPr>
              <w:t>12,0</w:t>
            </w:r>
            <w:r w:rsidR="004F01E9">
              <w:rPr>
                <w:noProof/>
              </w:rPr>
              <w:t> %</w:t>
            </w:r>
          </w:p>
        </w:tc>
      </w:tr>
      <w:tr w:rsidR="004334CE" w:rsidRPr="004F01E9" w14:paraId="593CE4E8" w14:textId="77777777" w:rsidTr="004334CE">
        <w:trPr>
          <w:trHeight w:val="300"/>
          <w:jc w:val="center"/>
        </w:trPr>
        <w:tc>
          <w:tcPr>
            <w:tcW w:w="661" w:type="pct"/>
            <w:noWrap/>
          </w:tcPr>
          <w:p w14:paraId="3E875849" w14:textId="77777777" w:rsidR="004334CE" w:rsidRPr="004F01E9" w:rsidRDefault="004334CE" w:rsidP="004334CE">
            <w:pPr>
              <w:jc w:val="center"/>
              <w:rPr>
                <w:rFonts w:eastAsiaTheme="minorEastAsia"/>
                <w:noProof/>
              </w:rPr>
            </w:pPr>
            <w:r w:rsidRPr="004F01E9">
              <w:rPr>
                <w:noProof/>
              </w:rPr>
              <w:t>14</w:t>
            </w:r>
          </w:p>
        </w:tc>
        <w:tc>
          <w:tcPr>
            <w:tcW w:w="733" w:type="pct"/>
            <w:vMerge/>
          </w:tcPr>
          <w:p w14:paraId="6952AFB3" w14:textId="77777777" w:rsidR="004334CE" w:rsidRPr="004F01E9" w:rsidRDefault="004334CE" w:rsidP="004334CE">
            <w:pPr>
              <w:jc w:val="center"/>
              <w:rPr>
                <w:rFonts w:eastAsiaTheme="minorEastAsia"/>
                <w:noProof/>
              </w:rPr>
            </w:pPr>
          </w:p>
        </w:tc>
        <w:tc>
          <w:tcPr>
            <w:tcW w:w="2842" w:type="pct"/>
          </w:tcPr>
          <w:p w14:paraId="242B554C" w14:textId="1386D896" w:rsidR="004334CE" w:rsidRPr="004F01E9" w:rsidRDefault="004334CE" w:rsidP="004334CE">
            <w:pPr>
              <w:jc w:val="center"/>
              <w:rPr>
                <w:rFonts w:eastAsiaTheme="minorEastAsia"/>
                <w:noProof/>
              </w:rPr>
            </w:pPr>
            <w:r w:rsidRPr="004F01E9">
              <w:rPr>
                <w:noProof/>
              </w:rPr>
              <w:t>Základné materiály, energetika, priemyselné podniky, poľnohospodárstvo, spracovateľský priemysel, ťažba</w:t>
            </w:r>
            <w:r w:rsidR="004F01E9">
              <w:rPr>
                <w:noProof/>
              </w:rPr>
              <w:t xml:space="preserve"> a </w:t>
            </w:r>
            <w:r w:rsidRPr="004F01E9">
              <w:rPr>
                <w:noProof/>
              </w:rPr>
              <w:t>dobývanie</w:t>
            </w:r>
          </w:p>
        </w:tc>
        <w:tc>
          <w:tcPr>
            <w:tcW w:w="764" w:type="pct"/>
            <w:noWrap/>
          </w:tcPr>
          <w:p w14:paraId="2D741456" w14:textId="00E4862A" w:rsidR="004334CE" w:rsidRPr="004F01E9" w:rsidRDefault="004334CE" w:rsidP="004334CE">
            <w:pPr>
              <w:jc w:val="center"/>
              <w:rPr>
                <w:rFonts w:eastAsiaTheme="minorEastAsia"/>
                <w:noProof/>
              </w:rPr>
            </w:pPr>
            <w:r w:rsidRPr="004F01E9">
              <w:rPr>
                <w:noProof/>
              </w:rPr>
              <w:t>7,0</w:t>
            </w:r>
            <w:r w:rsidR="004F01E9">
              <w:rPr>
                <w:noProof/>
              </w:rPr>
              <w:t> %</w:t>
            </w:r>
          </w:p>
        </w:tc>
      </w:tr>
      <w:tr w:rsidR="004334CE" w:rsidRPr="004F01E9" w14:paraId="02B51CA1" w14:textId="77777777" w:rsidTr="004334CE">
        <w:trPr>
          <w:trHeight w:val="300"/>
          <w:jc w:val="center"/>
        </w:trPr>
        <w:tc>
          <w:tcPr>
            <w:tcW w:w="661" w:type="pct"/>
            <w:noWrap/>
          </w:tcPr>
          <w:p w14:paraId="102684EE" w14:textId="77777777" w:rsidR="004334CE" w:rsidRPr="004F01E9" w:rsidRDefault="004334CE" w:rsidP="004334CE">
            <w:pPr>
              <w:jc w:val="center"/>
              <w:rPr>
                <w:rFonts w:eastAsiaTheme="minorEastAsia"/>
                <w:noProof/>
              </w:rPr>
            </w:pPr>
            <w:r w:rsidRPr="004F01E9">
              <w:rPr>
                <w:noProof/>
              </w:rPr>
              <w:t>15</w:t>
            </w:r>
          </w:p>
        </w:tc>
        <w:tc>
          <w:tcPr>
            <w:tcW w:w="733" w:type="pct"/>
            <w:vMerge/>
          </w:tcPr>
          <w:p w14:paraId="30C66079" w14:textId="77777777" w:rsidR="004334CE" w:rsidRPr="004F01E9" w:rsidRDefault="004334CE" w:rsidP="004334CE">
            <w:pPr>
              <w:jc w:val="center"/>
              <w:rPr>
                <w:rFonts w:eastAsiaTheme="minorEastAsia"/>
                <w:noProof/>
              </w:rPr>
            </w:pPr>
          </w:p>
        </w:tc>
        <w:tc>
          <w:tcPr>
            <w:tcW w:w="2842" w:type="pct"/>
          </w:tcPr>
          <w:p w14:paraId="456FDCC5" w14:textId="78606C5D" w:rsidR="004334CE" w:rsidRPr="004F01E9" w:rsidRDefault="004334CE" w:rsidP="004334CE">
            <w:pPr>
              <w:jc w:val="center"/>
              <w:rPr>
                <w:rFonts w:eastAsiaTheme="minorEastAsia"/>
                <w:noProof/>
              </w:rPr>
            </w:pPr>
            <w:r w:rsidRPr="004F01E9">
              <w:rPr>
                <w:noProof/>
              </w:rPr>
              <w:t>Spotrebný tovar</w:t>
            </w:r>
            <w:r w:rsidR="004F01E9">
              <w:rPr>
                <w:noProof/>
              </w:rPr>
              <w:t xml:space="preserve"> a </w:t>
            </w:r>
            <w:r w:rsidRPr="004F01E9">
              <w:rPr>
                <w:noProof/>
              </w:rPr>
              <w:t>služby, doprava</w:t>
            </w:r>
            <w:r w:rsidR="004F01E9">
              <w:rPr>
                <w:noProof/>
              </w:rPr>
              <w:t xml:space="preserve"> a </w:t>
            </w:r>
            <w:r w:rsidRPr="004F01E9">
              <w:rPr>
                <w:noProof/>
              </w:rPr>
              <w:t>skladovanie, administratívne</w:t>
            </w:r>
            <w:r w:rsidR="004F01E9">
              <w:rPr>
                <w:noProof/>
              </w:rPr>
              <w:t xml:space="preserve"> a </w:t>
            </w:r>
            <w:r w:rsidRPr="004F01E9">
              <w:rPr>
                <w:noProof/>
              </w:rPr>
              <w:t>podporné činnosti</w:t>
            </w:r>
          </w:p>
        </w:tc>
        <w:tc>
          <w:tcPr>
            <w:tcW w:w="764" w:type="pct"/>
            <w:noWrap/>
          </w:tcPr>
          <w:p w14:paraId="6F755119" w14:textId="26AE5F04" w:rsidR="004334CE" w:rsidRPr="004F01E9" w:rsidRDefault="004334CE" w:rsidP="004334CE">
            <w:pPr>
              <w:jc w:val="center"/>
              <w:rPr>
                <w:rFonts w:eastAsiaTheme="minorEastAsia"/>
                <w:noProof/>
              </w:rPr>
            </w:pPr>
            <w:r w:rsidRPr="004F01E9">
              <w:rPr>
                <w:noProof/>
              </w:rPr>
              <w:t>8,5</w:t>
            </w:r>
            <w:r w:rsidR="004F01E9">
              <w:rPr>
                <w:noProof/>
              </w:rPr>
              <w:t> %</w:t>
            </w:r>
          </w:p>
        </w:tc>
      </w:tr>
      <w:tr w:rsidR="004334CE" w:rsidRPr="004F01E9" w14:paraId="2CB60634" w14:textId="77777777" w:rsidTr="004334CE">
        <w:trPr>
          <w:trHeight w:val="300"/>
          <w:jc w:val="center"/>
        </w:trPr>
        <w:tc>
          <w:tcPr>
            <w:tcW w:w="661" w:type="pct"/>
            <w:noWrap/>
          </w:tcPr>
          <w:p w14:paraId="7917F95E" w14:textId="77777777" w:rsidR="004334CE" w:rsidRPr="004F01E9" w:rsidRDefault="004334CE" w:rsidP="004334CE">
            <w:pPr>
              <w:jc w:val="center"/>
              <w:rPr>
                <w:rFonts w:eastAsiaTheme="minorEastAsia"/>
                <w:noProof/>
              </w:rPr>
            </w:pPr>
            <w:r w:rsidRPr="004F01E9">
              <w:rPr>
                <w:noProof/>
              </w:rPr>
              <w:t>16</w:t>
            </w:r>
          </w:p>
        </w:tc>
        <w:tc>
          <w:tcPr>
            <w:tcW w:w="733" w:type="pct"/>
            <w:vMerge/>
          </w:tcPr>
          <w:p w14:paraId="27C683CA" w14:textId="77777777" w:rsidR="004334CE" w:rsidRPr="004F01E9" w:rsidRDefault="004334CE" w:rsidP="004334CE">
            <w:pPr>
              <w:jc w:val="center"/>
              <w:rPr>
                <w:rFonts w:eastAsiaTheme="minorEastAsia"/>
                <w:noProof/>
              </w:rPr>
            </w:pPr>
          </w:p>
        </w:tc>
        <w:tc>
          <w:tcPr>
            <w:tcW w:w="2842" w:type="pct"/>
          </w:tcPr>
          <w:p w14:paraId="05BA9183" w14:textId="77777777" w:rsidR="004334CE" w:rsidRPr="004F01E9" w:rsidRDefault="004334CE" w:rsidP="004334CE">
            <w:pPr>
              <w:jc w:val="center"/>
              <w:rPr>
                <w:rFonts w:eastAsiaTheme="minorEastAsia"/>
                <w:noProof/>
              </w:rPr>
            </w:pPr>
            <w:r w:rsidRPr="004F01E9">
              <w:rPr>
                <w:noProof/>
              </w:rPr>
              <w:t>Technológie, telekomunikácie</w:t>
            </w:r>
          </w:p>
        </w:tc>
        <w:tc>
          <w:tcPr>
            <w:tcW w:w="764" w:type="pct"/>
            <w:noWrap/>
          </w:tcPr>
          <w:p w14:paraId="616CF9BF" w14:textId="67160F93" w:rsidR="004334CE" w:rsidRPr="004F01E9" w:rsidRDefault="004334CE" w:rsidP="004334CE">
            <w:pPr>
              <w:jc w:val="center"/>
              <w:rPr>
                <w:rFonts w:eastAsiaTheme="minorEastAsia"/>
                <w:noProof/>
              </w:rPr>
            </w:pPr>
            <w:r w:rsidRPr="004F01E9">
              <w:rPr>
                <w:noProof/>
              </w:rPr>
              <w:t>5,5</w:t>
            </w:r>
            <w:r w:rsidR="004F01E9">
              <w:rPr>
                <w:noProof/>
              </w:rPr>
              <w:t> %</w:t>
            </w:r>
          </w:p>
        </w:tc>
      </w:tr>
      <w:tr w:rsidR="004334CE" w:rsidRPr="004F01E9" w14:paraId="01FBBAC4" w14:textId="77777777" w:rsidTr="004334CE">
        <w:trPr>
          <w:trHeight w:val="300"/>
          <w:jc w:val="center"/>
        </w:trPr>
        <w:tc>
          <w:tcPr>
            <w:tcW w:w="661" w:type="pct"/>
            <w:noWrap/>
          </w:tcPr>
          <w:p w14:paraId="5E18CF5B" w14:textId="77777777" w:rsidR="004334CE" w:rsidRPr="004F01E9" w:rsidRDefault="004334CE" w:rsidP="004334CE">
            <w:pPr>
              <w:jc w:val="center"/>
              <w:rPr>
                <w:rFonts w:eastAsiaTheme="minorEastAsia"/>
                <w:noProof/>
              </w:rPr>
            </w:pPr>
            <w:r w:rsidRPr="004F01E9">
              <w:rPr>
                <w:noProof/>
              </w:rPr>
              <w:t>17</w:t>
            </w:r>
          </w:p>
        </w:tc>
        <w:tc>
          <w:tcPr>
            <w:tcW w:w="733" w:type="pct"/>
            <w:vMerge/>
          </w:tcPr>
          <w:p w14:paraId="78D7C76C" w14:textId="77777777" w:rsidR="004334CE" w:rsidRPr="004F01E9" w:rsidRDefault="004334CE" w:rsidP="004334CE">
            <w:pPr>
              <w:jc w:val="center"/>
              <w:rPr>
                <w:rFonts w:eastAsiaTheme="minorEastAsia"/>
                <w:noProof/>
              </w:rPr>
            </w:pPr>
          </w:p>
        </w:tc>
        <w:tc>
          <w:tcPr>
            <w:tcW w:w="2842" w:type="pct"/>
          </w:tcPr>
          <w:p w14:paraId="090A739F" w14:textId="39EC45D6" w:rsidR="004334CE" w:rsidRPr="004F01E9" w:rsidRDefault="004334CE" w:rsidP="004334CE">
            <w:pPr>
              <w:jc w:val="center"/>
              <w:rPr>
                <w:rFonts w:eastAsiaTheme="minorEastAsia"/>
                <w:noProof/>
              </w:rPr>
            </w:pPr>
            <w:r w:rsidRPr="004F01E9">
              <w:rPr>
                <w:noProof/>
              </w:rPr>
              <w:t>Zdravotná starostlivosť, úžitkové služby, odborné</w:t>
            </w:r>
            <w:r w:rsidR="004F01E9">
              <w:rPr>
                <w:noProof/>
              </w:rPr>
              <w:t xml:space="preserve"> a </w:t>
            </w:r>
            <w:r w:rsidRPr="004F01E9">
              <w:rPr>
                <w:noProof/>
              </w:rPr>
              <w:t>technické činnosti</w:t>
            </w:r>
          </w:p>
        </w:tc>
        <w:tc>
          <w:tcPr>
            <w:tcW w:w="764" w:type="pct"/>
            <w:noWrap/>
          </w:tcPr>
          <w:p w14:paraId="71025820" w14:textId="1304ACBA" w:rsidR="004334CE" w:rsidRPr="004F01E9" w:rsidRDefault="004334CE" w:rsidP="004334CE">
            <w:pPr>
              <w:jc w:val="center"/>
              <w:rPr>
                <w:rFonts w:eastAsiaTheme="minorEastAsia"/>
                <w:noProof/>
              </w:rPr>
            </w:pPr>
            <w:r w:rsidRPr="004F01E9">
              <w:rPr>
                <w:noProof/>
              </w:rPr>
              <w:t>5,0</w:t>
            </w:r>
            <w:r w:rsidR="004F01E9">
              <w:rPr>
                <w:noProof/>
              </w:rPr>
              <w:t> %</w:t>
            </w:r>
          </w:p>
        </w:tc>
      </w:tr>
      <w:tr w:rsidR="004334CE" w:rsidRPr="004F01E9" w14:paraId="18B4FBC4" w14:textId="77777777" w:rsidTr="004334CE">
        <w:trPr>
          <w:trHeight w:val="300"/>
          <w:jc w:val="center"/>
        </w:trPr>
        <w:tc>
          <w:tcPr>
            <w:tcW w:w="661" w:type="pct"/>
            <w:noWrap/>
          </w:tcPr>
          <w:p w14:paraId="31389D7D" w14:textId="77777777" w:rsidR="004334CE" w:rsidRPr="004F01E9" w:rsidRDefault="004334CE" w:rsidP="004334CE">
            <w:pPr>
              <w:jc w:val="center"/>
              <w:rPr>
                <w:rFonts w:eastAsiaTheme="minorEastAsia"/>
                <w:noProof/>
              </w:rPr>
            </w:pPr>
            <w:r w:rsidRPr="004F01E9">
              <w:rPr>
                <w:noProof/>
              </w:rPr>
              <w:t>18</w:t>
            </w:r>
          </w:p>
        </w:tc>
        <w:tc>
          <w:tcPr>
            <w:tcW w:w="733" w:type="pct"/>
            <w:vMerge/>
          </w:tcPr>
          <w:p w14:paraId="63FE854C" w14:textId="77777777" w:rsidR="004334CE" w:rsidRPr="004F01E9" w:rsidRDefault="004334CE" w:rsidP="004334CE">
            <w:pPr>
              <w:jc w:val="center"/>
              <w:rPr>
                <w:rFonts w:eastAsiaTheme="minorEastAsia"/>
                <w:noProof/>
              </w:rPr>
            </w:pPr>
          </w:p>
        </w:tc>
        <w:tc>
          <w:tcPr>
            <w:tcW w:w="2842" w:type="pct"/>
          </w:tcPr>
          <w:p w14:paraId="364CB0FE" w14:textId="77777777" w:rsidR="004334CE" w:rsidRPr="004F01E9" w:rsidRDefault="004334CE" w:rsidP="004334CE">
            <w:pPr>
              <w:jc w:val="center"/>
              <w:rPr>
                <w:rFonts w:eastAsiaTheme="minorEastAsia"/>
                <w:noProof/>
              </w:rPr>
            </w:pPr>
            <w:r w:rsidRPr="004F01E9">
              <w:rPr>
                <w:noProof/>
              </w:rPr>
              <w:t>Kvalifikované indexy</w:t>
            </w:r>
          </w:p>
        </w:tc>
        <w:tc>
          <w:tcPr>
            <w:tcW w:w="764" w:type="pct"/>
            <w:noWrap/>
          </w:tcPr>
          <w:p w14:paraId="372EC7D5" w14:textId="359E0183" w:rsidR="004334CE" w:rsidRPr="004F01E9" w:rsidRDefault="004334CE" w:rsidP="004334CE">
            <w:pPr>
              <w:jc w:val="center"/>
              <w:rPr>
                <w:rFonts w:eastAsiaTheme="minorEastAsia"/>
                <w:noProof/>
              </w:rPr>
            </w:pPr>
            <w:r w:rsidRPr="004F01E9">
              <w:rPr>
                <w:noProof/>
              </w:rPr>
              <w:t>5,0</w:t>
            </w:r>
            <w:r w:rsidR="004F01E9">
              <w:rPr>
                <w:noProof/>
              </w:rPr>
              <w:t> %</w:t>
            </w:r>
          </w:p>
        </w:tc>
      </w:tr>
      <w:tr w:rsidR="004334CE" w:rsidRPr="004F01E9" w14:paraId="772768AE" w14:textId="77777777" w:rsidTr="004334CE">
        <w:trPr>
          <w:trHeight w:val="300"/>
          <w:jc w:val="center"/>
        </w:trPr>
        <w:tc>
          <w:tcPr>
            <w:tcW w:w="661" w:type="pct"/>
            <w:noWrap/>
          </w:tcPr>
          <w:p w14:paraId="722B4952" w14:textId="77777777" w:rsidR="004334CE" w:rsidRPr="004F01E9" w:rsidRDefault="004334CE" w:rsidP="004334CE">
            <w:pPr>
              <w:jc w:val="center"/>
              <w:rPr>
                <w:rFonts w:eastAsiaTheme="minorEastAsia"/>
                <w:noProof/>
              </w:rPr>
            </w:pPr>
            <w:r w:rsidRPr="004F01E9">
              <w:rPr>
                <w:noProof/>
              </w:rPr>
              <w:t>19</w:t>
            </w:r>
          </w:p>
        </w:tc>
        <w:tc>
          <w:tcPr>
            <w:tcW w:w="3575" w:type="pct"/>
            <w:gridSpan w:val="2"/>
          </w:tcPr>
          <w:p w14:paraId="01A8B4B2" w14:textId="77777777" w:rsidR="004334CE" w:rsidRPr="004F01E9" w:rsidRDefault="004334CE" w:rsidP="004334CE">
            <w:pPr>
              <w:jc w:val="center"/>
              <w:rPr>
                <w:rFonts w:eastAsiaTheme="minorEastAsia"/>
                <w:noProof/>
              </w:rPr>
            </w:pPr>
            <w:r w:rsidRPr="004F01E9">
              <w:rPr>
                <w:noProof/>
              </w:rPr>
              <w:t>Iný sektor</w:t>
            </w:r>
          </w:p>
        </w:tc>
        <w:tc>
          <w:tcPr>
            <w:tcW w:w="764" w:type="pct"/>
            <w:noWrap/>
          </w:tcPr>
          <w:p w14:paraId="4028C557" w14:textId="47877F2B" w:rsidR="004334CE" w:rsidRPr="004F01E9" w:rsidRDefault="004334CE" w:rsidP="004334CE">
            <w:pPr>
              <w:jc w:val="center"/>
              <w:rPr>
                <w:rFonts w:eastAsiaTheme="minorEastAsia"/>
                <w:noProof/>
              </w:rPr>
            </w:pPr>
            <w:r w:rsidRPr="004F01E9">
              <w:rPr>
                <w:noProof/>
              </w:rPr>
              <w:t>12,0</w:t>
            </w:r>
            <w:r w:rsidR="004F01E9">
              <w:rPr>
                <w:noProof/>
              </w:rPr>
              <w:t> %</w:t>
            </w:r>
          </w:p>
        </w:tc>
      </w:tr>
    </w:tbl>
    <w:p w14:paraId="108A7875" w14:textId="05F57DE8" w:rsidR="00806B81" w:rsidRPr="004F01E9" w:rsidRDefault="004334CE" w:rsidP="004334CE">
      <w:pPr>
        <w:pStyle w:val="Text1"/>
        <w:rPr>
          <w:noProof/>
        </w:rPr>
      </w:pPr>
      <w:r w:rsidRPr="004F01E9">
        <w:rPr>
          <w:noProof/>
        </w:rPr>
        <w:t>2.</w:t>
      </w:r>
      <w:r w:rsidR="004F01E9">
        <w:rPr>
          <w:noProof/>
        </w:rPr>
        <w:t xml:space="preserve"> S </w:t>
      </w:r>
      <w:r w:rsidRPr="004F01E9">
        <w:rPr>
          <w:noProof/>
        </w:rPr>
        <w:t>cieľom priradiť expozíciu voči rizikám</w:t>
      </w:r>
      <w:r w:rsidR="004F01E9">
        <w:rPr>
          <w:noProof/>
        </w:rPr>
        <w:t xml:space="preserve"> k </w:t>
      </w:r>
      <w:r w:rsidRPr="004F01E9">
        <w:rPr>
          <w:noProof/>
        </w:rPr>
        <w:t>sektoru sa inštitúcie spoliehajú na klasifikáciu, ktorá sa bežne používa na trhu na zoskupovanie emitentov podľa sektora. Inštitúcie zaradia každého emitenta iba do jednej zo sektorových skupín uvedených</w:t>
      </w:r>
      <w:r w:rsidR="004F01E9">
        <w:rPr>
          <w:noProof/>
        </w:rPr>
        <w:t xml:space="preserve"> v </w:t>
      </w:r>
      <w:r w:rsidRPr="004F01E9">
        <w:rPr>
          <w:noProof/>
        </w:rPr>
        <w:t>tabuľke 5. Expozície voči rizikám súvisiace</w:t>
      </w:r>
      <w:r w:rsidR="004F01E9">
        <w:rPr>
          <w:noProof/>
        </w:rPr>
        <w:t xml:space="preserve"> s </w:t>
      </w:r>
      <w:r w:rsidRPr="004F01E9">
        <w:rPr>
          <w:noProof/>
        </w:rPr>
        <w:t>akýmkoľvek emitentom, ktorého inštitúcia nedokáže takýmto spôsobom zaradiť do nejakého sektora, sa zaradia do skupiny 19</w:t>
      </w:r>
      <w:r w:rsidR="004F01E9">
        <w:rPr>
          <w:noProof/>
        </w:rPr>
        <w:t xml:space="preserve"> v </w:t>
      </w:r>
      <w:r w:rsidRPr="004F01E9">
        <w:rPr>
          <w:noProof/>
        </w:rPr>
        <w:t>tabuľke 5,</w:t>
      </w:r>
      <w:r w:rsidR="004F01E9">
        <w:rPr>
          <w:noProof/>
        </w:rPr>
        <w:t xml:space="preserve"> a </w:t>
      </w:r>
      <w:r w:rsidRPr="004F01E9">
        <w:rPr>
          <w:noProof/>
        </w:rPr>
        <w:t>to</w:t>
      </w:r>
      <w:r w:rsidR="004F01E9">
        <w:rPr>
          <w:noProof/>
        </w:rPr>
        <w:t xml:space="preserve"> v </w:t>
      </w:r>
      <w:r w:rsidRPr="004F01E9">
        <w:rPr>
          <w:noProof/>
        </w:rPr>
        <w:t>závislosti od kreditnej kvality emitenta.</w:t>
      </w:r>
    </w:p>
    <w:p w14:paraId="005DFFEA" w14:textId="32E9BD5E" w:rsidR="004334CE" w:rsidRPr="004F01E9" w:rsidRDefault="004334CE" w:rsidP="004334CE">
      <w:pPr>
        <w:pStyle w:val="Text1"/>
        <w:rPr>
          <w:noProof/>
        </w:rPr>
      </w:pPr>
      <w:r w:rsidRPr="004F01E9">
        <w:rPr>
          <w:noProof/>
        </w:rPr>
        <w:t>3. Inštitúcie zaradia do skupín 10</w:t>
      </w:r>
      <w:r w:rsidR="004F01E9">
        <w:rPr>
          <w:noProof/>
        </w:rPr>
        <w:t xml:space="preserve"> a </w:t>
      </w:r>
      <w:r w:rsidRPr="004F01E9">
        <w:rPr>
          <w:noProof/>
        </w:rPr>
        <w:t>18 len expozície, ktoré sa týkajú kvalifikovaných indexov, ako sa uvádza</w:t>
      </w:r>
      <w:r w:rsidR="004F01E9">
        <w:rPr>
          <w:noProof/>
        </w:rPr>
        <w:t xml:space="preserve"> v </w:t>
      </w:r>
      <w:r w:rsidRPr="004F01E9">
        <w:rPr>
          <w:noProof/>
        </w:rPr>
        <w:t>článku 383b ods. 4.</w:t>
      </w:r>
    </w:p>
    <w:p w14:paraId="312F6B02" w14:textId="77777777" w:rsidR="004334CE" w:rsidRPr="004F01E9" w:rsidRDefault="004334CE" w:rsidP="004334CE">
      <w:pPr>
        <w:pStyle w:val="Text1"/>
        <w:rPr>
          <w:noProof/>
        </w:rPr>
      </w:pPr>
      <w:r w:rsidRPr="004F01E9">
        <w:rPr>
          <w:noProof/>
        </w:rPr>
        <w:t>4. Inštitúcie používajú prístup založený na prezretí podkladových expozícií, aby určili citlivosti expozície, ktorá sa týka nekvalifikovaného indexu.</w:t>
      </w:r>
    </w:p>
    <w:p w14:paraId="0328EBA5" w14:textId="7FD5EE5C" w:rsidR="004334CE" w:rsidRPr="004F01E9" w:rsidRDefault="004334CE" w:rsidP="004334CE">
      <w:pPr>
        <w:pStyle w:val="Titrearticle"/>
        <w:rPr>
          <w:noProof/>
        </w:rPr>
      </w:pPr>
      <w:r w:rsidRPr="004F01E9">
        <w:rPr>
          <w:noProof/>
        </w:rPr>
        <w:t xml:space="preserve">Článok 383s </w:t>
      </w:r>
      <w:r w:rsidRPr="004F01E9">
        <w:rPr>
          <w:noProof/>
        </w:rPr>
        <w:br/>
      </w:r>
      <w:r w:rsidRPr="004F01E9">
        <w:rPr>
          <w:b/>
          <w:i w:val="0"/>
          <w:noProof/>
        </w:rPr>
        <w:t>Korelácie</w:t>
      </w:r>
      <w:r w:rsidR="004F01E9">
        <w:rPr>
          <w:b/>
          <w:i w:val="0"/>
          <w:noProof/>
        </w:rPr>
        <w:t xml:space="preserve"> v </w:t>
      </w:r>
      <w:r w:rsidRPr="004F01E9">
        <w:rPr>
          <w:b/>
          <w:i w:val="0"/>
          <w:noProof/>
        </w:rPr>
        <w:t>rámci skupiny pre riziko referenčného kreditného rozpätia</w:t>
      </w:r>
    </w:p>
    <w:p w14:paraId="53E4D87B" w14:textId="61C089DA" w:rsidR="004334CE" w:rsidRPr="004F01E9" w:rsidRDefault="004334CE" w:rsidP="004334CE">
      <w:pPr>
        <w:pStyle w:val="Text1"/>
        <w:rPr>
          <w:noProof/>
        </w:rPr>
      </w:pPr>
      <w:r w:rsidRPr="004F01E9">
        <w:rPr>
          <w:noProof/>
        </w:rPr>
        <w:t xml:space="preserve">1. Korelačný parameter </w:t>
      </w:r>
      <m:oMath>
        <m:sSub>
          <m:sSubPr>
            <m:ctrlPr>
              <w:rPr>
                <w:rFonts w:ascii="Cambria Math" w:hAnsi="Cambria Math"/>
                <w:i/>
                <w:noProof/>
              </w:rPr>
            </m:ctrlPr>
          </m:sSubPr>
          <m:e>
            <m:r>
              <w:rPr>
                <w:rFonts w:ascii="Cambria Math" w:hAnsi="Cambria Math"/>
                <w:noProof/>
              </w:rPr>
              <m:t>ρ</m:t>
            </m:r>
          </m:e>
          <m:sub>
            <m:r>
              <w:rPr>
                <w:rFonts w:ascii="Cambria Math" w:hAnsi="Cambria Math"/>
                <w:noProof/>
              </w:rPr>
              <m:t>kl</m:t>
            </m:r>
          </m:sub>
        </m:sSub>
      </m:oMath>
      <w:r w:rsidRPr="004F01E9">
        <w:rPr>
          <w:noProof/>
        </w:rPr>
        <w:t xml:space="preserve"> medzi dvoma citlivosťami </w:t>
      </w:r>
      <m:oMath>
        <m:sSub>
          <m:sSubPr>
            <m:ctrlPr>
              <w:rPr>
                <w:rFonts w:ascii="Cambria Math" w:hAnsi="Cambria Math"/>
                <w:i/>
                <w:noProof/>
              </w:rPr>
            </m:ctrlPr>
          </m:sSubPr>
          <m:e>
            <m:r>
              <w:rPr>
                <w:rFonts w:ascii="Cambria Math" w:hAnsi="Cambria Math"/>
                <w:noProof/>
              </w:rPr>
              <m:t>WS</m:t>
            </m:r>
          </m:e>
          <m:sub>
            <m:r>
              <w:rPr>
                <w:rFonts w:ascii="Cambria Math" w:hAnsi="Cambria Math"/>
                <w:noProof/>
              </w:rPr>
              <m:t>k</m:t>
            </m:r>
          </m:sub>
        </m:sSub>
        <m:r>
          <m:rPr>
            <m:sty m:val="p"/>
          </m:rPr>
          <w:rPr>
            <w:rFonts w:ascii="Cambria Math" w:hAnsi="Cambria Math"/>
            <w:noProof/>
          </w:rPr>
          <m:t xml:space="preserve"> a </m:t>
        </m:r>
        <m:sSub>
          <m:sSubPr>
            <m:ctrlPr>
              <w:rPr>
                <w:rFonts w:ascii="Cambria Math" w:hAnsi="Cambria Math"/>
                <w:i/>
                <w:noProof/>
              </w:rPr>
            </m:ctrlPr>
          </m:sSubPr>
          <m:e>
            <m:r>
              <w:rPr>
                <w:rFonts w:ascii="Cambria Math" w:hAnsi="Cambria Math"/>
                <w:noProof/>
              </w:rPr>
              <m:t>WS</m:t>
            </m:r>
          </m:e>
          <m:sub>
            <m:r>
              <w:rPr>
                <w:rFonts w:ascii="Cambria Math" w:hAnsi="Cambria Math"/>
                <w:noProof/>
              </w:rPr>
              <m:t>l</m:t>
            </m:r>
          </m:sub>
        </m:sSub>
      </m:oMath>
      <w:r w:rsidRPr="004F01E9">
        <w:rPr>
          <w:noProof/>
        </w:rPr>
        <w:t>, ktoré vyplývajú</w:t>
      </w:r>
      <w:r w:rsidR="004F01E9">
        <w:rPr>
          <w:noProof/>
        </w:rPr>
        <w:t xml:space="preserve"> z </w:t>
      </w:r>
      <w:r w:rsidRPr="004F01E9">
        <w:rPr>
          <w:noProof/>
        </w:rPr>
        <w:t>expozícií voči rizikám zaradených do sektorových skupín 1 až 9</w:t>
      </w:r>
      <w:r w:rsidR="004F01E9">
        <w:rPr>
          <w:noProof/>
        </w:rPr>
        <w:t xml:space="preserve"> a </w:t>
      </w:r>
      <w:r w:rsidRPr="004F01E9">
        <w:rPr>
          <w:noProof/>
        </w:rPr>
        <w:t>11 až 18</w:t>
      </w:r>
      <w:r w:rsidR="004F01E9">
        <w:rPr>
          <w:noProof/>
        </w:rPr>
        <w:t xml:space="preserve"> v </w:t>
      </w:r>
      <w:r w:rsidRPr="004F01E9">
        <w:rPr>
          <w:noProof/>
        </w:rPr>
        <w:t>článku A383r ods. 1 tabuľke 5, sa stanovuje takto:</w:t>
      </w:r>
    </w:p>
    <w:p w14:paraId="0D51C1BA" w14:textId="77777777" w:rsidR="004334CE" w:rsidRPr="004F01E9" w:rsidRDefault="00EE12EE" w:rsidP="004334CE">
      <w:pPr>
        <w:pStyle w:val="Text1"/>
        <w:rPr>
          <w:noProof/>
        </w:rPr>
      </w:pPr>
      <m:oMathPara>
        <m:oMath>
          <m:sSub>
            <m:sSubPr>
              <m:ctrlPr>
                <w:rPr>
                  <w:rFonts w:ascii="Cambria Math" w:hAnsi="Cambria Math"/>
                  <w:noProof/>
                </w:rPr>
              </m:ctrlPr>
            </m:sSubPr>
            <m:e>
              <m:r>
                <w:rPr>
                  <w:rFonts w:ascii="Cambria Math" w:hAnsi="Cambria Math"/>
                  <w:noProof/>
                </w:rPr>
                <m:t>ρ</m:t>
              </m:r>
            </m:e>
            <m:sub>
              <m:r>
                <w:rPr>
                  <w:rFonts w:ascii="Cambria Math" w:hAnsi="Cambria Math"/>
                  <w:noProof/>
                </w:rPr>
                <m:t>kl</m:t>
              </m:r>
            </m:sub>
          </m:sSub>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tenor</m:t>
              </m:r>
              <m:r>
                <m:rPr>
                  <m:sty m:val="p"/>
                </m:rPr>
                <w:rPr>
                  <w:rFonts w:ascii="Cambria Math" w:hAnsi="Cambria Math"/>
                  <w:noProof/>
                </w:rPr>
                <m:t>)</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name</m:t>
              </m:r>
              <m:r>
                <m:rPr>
                  <m:sty m:val="p"/>
                </m:rPr>
                <w:rPr>
                  <w:rFonts w:ascii="Cambria Math" w:hAnsi="Cambria Math"/>
                  <w:noProof/>
                </w:rPr>
                <m:t>)</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quality</m:t>
              </m:r>
              <m:r>
                <m:rPr>
                  <m:sty m:val="p"/>
                </m:rPr>
                <w:rPr>
                  <w:rFonts w:ascii="Cambria Math" w:hAnsi="Cambria Math"/>
                  <w:noProof/>
                </w:rPr>
                <m:t>)</m:t>
              </m:r>
            </m:sup>
          </m:sSubSup>
        </m:oMath>
      </m:oMathPara>
    </w:p>
    <w:p w14:paraId="1481BB4A" w14:textId="77777777" w:rsidR="004334CE" w:rsidRPr="004F01E9" w:rsidRDefault="004334CE" w:rsidP="004334CE">
      <w:pPr>
        <w:pStyle w:val="Text1"/>
        <w:rPr>
          <w:noProof/>
        </w:rPr>
      </w:pPr>
      <w:r w:rsidRPr="004F01E9">
        <w:rPr>
          <w:noProof/>
        </w:rPr>
        <w:t>kde:</w:t>
      </w:r>
    </w:p>
    <w:p w14:paraId="4FFABAA2" w14:textId="3F350FE3" w:rsidR="004334CE" w:rsidRPr="004F01E9" w:rsidRDefault="00EE12EE" w:rsidP="004334CE">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tenor</m:t>
            </m:r>
            <m:r>
              <m:rPr>
                <m:sty m:val="p"/>
              </m:rPr>
              <w:rPr>
                <w:rFonts w:ascii="Cambria Math" w:hAnsi="Cambria Math"/>
                <w:noProof/>
              </w:rPr>
              <m:t>)</m:t>
            </m:r>
          </m:sup>
        </m:sSubSup>
      </m:oMath>
      <w:r w:rsidR="00DE1B1D" w:rsidRPr="004F01E9">
        <w:rPr>
          <w:noProof/>
        </w:rPr>
        <w:t xml:space="preserve"> sa rovná 1, ak dva vrcholné body citlivostí</w:t>
      </w:r>
      <w:r w:rsidR="004F01E9">
        <w:rPr>
          <w:noProof/>
        </w:rPr>
        <w:t xml:space="preserve"> k a </w:t>
      </w:r>
      <w:r w:rsidR="00DE1B1D" w:rsidRPr="004F01E9">
        <w:rPr>
          <w:noProof/>
        </w:rPr>
        <w:t>l sú identické,</w:t>
      </w:r>
      <w:r w:rsidR="004F01E9">
        <w:rPr>
          <w:noProof/>
        </w:rPr>
        <w:t xml:space="preserve"> a </w:t>
      </w:r>
      <w:r w:rsidR="00DE1B1D" w:rsidRPr="004F01E9">
        <w:rPr>
          <w:noProof/>
        </w:rPr>
        <w:t>90</w:t>
      </w:r>
      <w:r w:rsidR="004F01E9">
        <w:rPr>
          <w:noProof/>
        </w:rPr>
        <w:t> % v </w:t>
      </w:r>
      <w:r w:rsidR="00DE1B1D" w:rsidRPr="004F01E9">
        <w:rPr>
          <w:noProof/>
        </w:rPr>
        <w:t>ostatných prípadoch;</w:t>
      </w:r>
    </w:p>
    <w:p w14:paraId="60D6ADE5" w14:textId="6E0E2C29" w:rsidR="004334CE" w:rsidRPr="004F01E9" w:rsidRDefault="00EE12EE" w:rsidP="004334CE">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name</m:t>
            </m:r>
            <m:r>
              <m:rPr>
                <m:sty m:val="p"/>
              </m:rPr>
              <w:rPr>
                <w:rFonts w:ascii="Cambria Math" w:hAnsi="Cambria Math"/>
                <w:noProof/>
              </w:rPr>
              <m:t>)</m:t>
            </m:r>
          </m:sup>
        </m:sSubSup>
      </m:oMath>
      <w:r w:rsidR="00DE1B1D" w:rsidRPr="004F01E9">
        <w:rPr>
          <w:noProof/>
        </w:rPr>
        <w:t xml:space="preserve"> sa rovná 1, ak dva referenčné tituly citlivostí</w:t>
      </w:r>
      <w:r w:rsidR="004F01E9">
        <w:rPr>
          <w:noProof/>
        </w:rPr>
        <w:t xml:space="preserve"> k a </w:t>
      </w:r>
      <w:r w:rsidR="00DE1B1D" w:rsidRPr="004F01E9">
        <w:rPr>
          <w:noProof/>
        </w:rPr>
        <w:t>l sú identické,</w:t>
      </w:r>
      <w:r w:rsidR="004F01E9">
        <w:rPr>
          <w:noProof/>
        </w:rPr>
        <w:t xml:space="preserve"> a </w:t>
      </w:r>
      <w:r w:rsidR="00DE1B1D" w:rsidRPr="004F01E9">
        <w:rPr>
          <w:noProof/>
        </w:rPr>
        <w:t>50</w:t>
      </w:r>
      <w:r w:rsidR="004F01E9">
        <w:rPr>
          <w:noProof/>
        </w:rPr>
        <w:t> % v </w:t>
      </w:r>
      <w:r w:rsidR="00DE1B1D" w:rsidRPr="004F01E9">
        <w:rPr>
          <w:noProof/>
        </w:rPr>
        <w:t>ostatných prípadoch;</w:t>
      </w:r>
    </w:p>
    <w:p w14:paraId="3F764480" w14:textId="79F7A6A8" w:rsidR="00806B81" w:rsidRPr="004F01E9" w:rsidRDefault="00EE12EE" w:rsidP="004334CE">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quality</m:t>
            </m:r>
            <m:r>
              <m:rPr>
                <m:sty m:val="p"/>
              </m:rPr>
              <w:rPr>
                <w:rFonts w:ascii="Cambria Math" w:hAnsi="Cambria Math"/>
                <w:noProof/>
              </w:rPr>
              <m:t>)</m:t>
            </m:r>
          </m:sup>
        </m:sSubSup>
      </m:oMath>
      <w:r w:rsidR="00DE1B1D" w:rsidRPr="004F01E9">
        <w:rPr>
          <w:noProof/>
        </w:rPr>
        <w:t xml:space="preserve"> sa rovná 1, ak oba referenčné tituly sú</w:t>
      </w:r>
      <w:r w:rsidR="004F01E9">
        <w:rPr>
          <w:noProof/>
        </w:rPr>
        <w:t xml:space="preserve"> v </w:t>
      </w:r>
      <w:r w:rsidR="00DE1B1D" w:rsidRPr="004F01E9">
        <w:rPr>
          <w:noProof/>
        </w:rPr>
        <w:t>skupinách 1 až 9 alebo</w:t>
      </w:r>
      <w:r w:rsidR="004F01E9">
        <w:rPr>
          <w:noProof/>
        </w:rPr>
        <w:t xml:space="preserve"> v </w:t>
      </w:r>
      <w:r w:rsidR="00DE1B1D" w:rsidRPr="004F01E9">
        <w:rPr>
          <w:noProof/>
        </w:rPr>
        <w:t>skupinách 11 až 18,</w:t>
      </w:r>
      <w:r w:rsidR="004F01E9">
        <w:rPr>
          <w:noProof/>
        </w:rPr>
        <w:t xml:space="preserve"> a </w:t>
      </w:r>
      <w:r w:rsidR="00DE1B1D" w:rsidRPr="004F01E9">
        <w:rPr>
          <w:noProof/>
        </w:rPr>
        <w:t>80</w:t>
      </w:r>
      <w:r w:rsidR="004F01E9">
        <w:rPr>
          <w:noProof/>
        </w:rPr>
        <w:t> % v </w:t>
      </w:r>
      <w:r w:rsidR="00DE1B1D" w:rsidRPr="004F01E9">
        <w:rPr>
          <w:noProof/>
        </w:rPr>
        <w:t>ostatných prípadoch.</w:t>
      </w:r>
    </w:p>
    <w:p w14:paraId="15C80DD9" w14:textId="7AC53997" w:rsidR="004334CE" w:rsidRPr="004F01E9" w:rsidRDefault="004334CE" w:rsidP="004334CE">
      <w:pPr>
        <w:pStyle w:val="Text1"/>
        <w:rPr>
          <w:noProof/>
        </w:rPr>
      </w:pPr>
      <w:r w:rsidRPr="004F01E9">
        <w:rPr>
          <w:noProof/>
        </w:rPr>
        <w:t xml:space="preserve">2. Korelačný parameter </w:t>
      </w:r>
      <m:oMath>
        <m:sSub>
          <m:sSubPr>
            <m:ctrlPr>
              <w:rPr>
                <w:rFonts w:ascii="Cambria Math" w:hAnsi="Cambria Math"/>
                <w:i/>
                <w:noProof/>
              </w:rPr>
            </m:ctrlPr>
          </m:sSubPr>
          <m:e>
            <m:r>
              <w:rPr>
                <w:rFonts w:ascii="Cambria Math" w:hAnsi="Cambria Math"/>
                <w:noProof/>
              </w:rPr>
              <m:t>ρ</m:t>
            </m:r>
          </m:e>
          <m:sub>
            <m:r>
              <w:rPr>
                <w:rFonts w:ascii="Cambria Math" w:hAnsi="Cambria Math"/>
                <w:noProof/>
              </w:rPr>
              <m:t>kl</m:t>
            </m:r>
          </m:sub>
        </m:sSub>
      </m:oMath>
      <w:r w:rsidRPr="004F01E9">
        <w:rPr>
          <w:noProof/>
        </w:rPr>
        <w:t xml:space="preserve"> medzi dvoma citlivosťami </w:t>
      </w:r>
      <m:oMath>
        <m:sSub>
          <m:sSubPr>
            <m:ctrlPr>
              <w:rPr>
                <w:rFonts w:ascii="Cambria Math" w:hAnsi="Cambria Math"/>
                <w:i/>
                <w:noProof/>
              </w:rPr>
            </m:ctrlPr>
          </m:sSubPr>
          <m:e>
            <m:r>
              <w:rPr>
                <w:rFonts w:ascii="Cambria Math" w:hAnsi="Cambria Math"/>
                <w:noProof/>
              </w:rPr>
              <m:t>WS</m:t>
            </m:r>
          </m:e>
          <m:sub>
            <m:r>
              <w:rPr>
                <w:rFonts w:ascii="Cambria Math" w:hAnsi="Cambria Math"/>
                <w:noProof/>
              </w:rPr>
              <m:t>k</m:t>
            </m:r>
          </m:sub>
        </m:sSub>
        <m:r>
          <m:rPr>
            <m:sty m:val="p"/>
          </m:rPr>
          <w:rPr>
            <w:rFonts w:ascii="Cambria Math" w:hAnsi="Cambria Math"/>
            <w:noProof/>
          </w:rPr>
          <m:t xml:space="preserve"> a </m:t>
        </m:r>
        <m:sSub>
          <m:sSubPr>
            <m:ctrlPr>
              <w:rPr>
                <w:rFonts w:ascii="Cambria Math" w:hAnsi="Cambria Math"/>
                <w:i/>
                <w:noProof/>
              </w:rPr>
            </m:ctrlPr>
          </m:sSubPr>
          <m:e>
            <m:r>
              <w:rPr>
                <w:rFonts w:ascii="Cambria Math" w:hAnsi="Cambria Math"/>
                <w:noProof/>
              </w:rPr>
              <m:t>WS</m:t>
            </m:r>
          </m:e>
          <m:sub>
            <m:r>
              <w:rPr>
                <w:rFonts w:ascii="Cambria Math" w:hAnsi="Cambria Math"/>
                <w:noProof/>
              </w:rPr>
              <m:t>l</m:t>
            </m:r>
          </m:sub>
        </m:sSub>
      </m:oMath>
      <w:r w:rsidRPr="004F01E9">
        <w:rPr>
          <w:noProof/>
        </w:rPr>
        <w:t>, ktoré vyplývajú</w:t>
      </w:r>
      <w:r w:rsidR="004F01E9">
        <w:rPr>
          <w:noProof/>
        </w:rPr>
        <w:t xml:space="preserve"> z </w:t>
      </w:r>
      <w:r w:rsidRPr="004F01E9">
        <w:rPr>
          <w:noProof/>
        </w:rPr>
        <w:t>expozícií voči rizikám zaradených do sektorových skupín 10</w:t>
      </w:r>
      <w:r w:rsidR="004F01E9">
        <w:rPr>
          <w:noProof/>
        </w:rPr>
        <w:t xml:space="preserve"> a </w:t>
      </w:r>
      <w:r w:rsidRPr="004F01E9">
        <w:rPr>
          <w:noProof/>
        </w:rPr>
        <w:t>19, sa stanovuje takto:</w:t>
      </w:r>
    </w:p>
    <w:p w14:paraId="36C7F415" w14:textId="77777777" w:rsidR="004334CE" w:rsidRPr="004F01E9" w:rsidRDefault="00EE12EE" w:rsidP="004334CE">
      <w:pPr>
        <w:pStyle w:val="Text1"/>
        <w:rPr>
          <w:noProof/>
        </w:rPr>
      </w:pPr>
      <m:oMathPara>
        <m:oMath>
          <m:sSub>
            <m:sSubPr>
              <m:ctrlPr>
                <w:rPr>
                  <w:rFonts w:ascii="Cambria Math" w:hAnsi="Cambria Math"/>
                  <w:noProof/>
                </w:rPr>
              </m:ctrlPr>
            </m:sSubPr>
            <m:e>
              <m:r>
                <w:rPr>
                  <w:rFonts w:ascii="Cambria Math" w:hAnsi="Cambria Math"/>
                  <w:noProof/>
                </w:rPr>
                <m:t>ρ</m:t>
              </m:r>
            </m:e>
            <m:sub>
              <m:r>
                <w:rPr>
                  <w:rFonts w:ascii="Cambria Math" w:hAnsi="Cambria Math"/>
                  <w:noProof/>
                </w:rPr>
                <m:t>kl</m:t>
              </m:r>
            </m:sub>
          </m:sSub>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tenor</m:t>
              </m:r>
              <m:r>
                <m:rPr>
                  <m:sty m:val="p"/>
                </m:rPr>
                <w:rPr>
                  <w:rFonts w:ascii="Cambria Math" w:hAnsi="Cambria Math"/>
                  <w:noProof/>
                </w:rPr>
                <m:t>)</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name</m:t>
              </m:r>
              <m:r>
                <m:rPr>
                  <m:sty m:val="p"/>
                </m:rPr>
                <w:rPr>
                  <w:rFonts w:ascii="Cambria Math" w:hAnsi="Cambria Math"/>
                  <w:noProof/>
                </w:rPr>
                <m:t>)</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quality</m:t>
              </m:r>
              <m:r>
                <m:rPr>
                  <m:sty m:val="p"/>
                </m:rPr>
                <w:rPr>
                  <w:rFonts w:ascii="Cambria Math" w:hAnsi="Cambria Math"/>
                  <w:noProof/>
                </w:rPr>
                <m:t>)</m:t>
              </m:r>
            </m:sup>
          </m:sSubSup>
        </m:oMath>
      </m:oMathPara>
    </w:p>
    <w:p w14:paraId="2FEB9096" w14:textId="77777777" w:rsidR="004334CE" w:rsidRPr="004F01E9" w:rsidRDefault="004334CE" w:rsidP="004334CE">
      <w:pPr>
        <w:pStyle w:val="Text1"/>
        <w:rPr>
          <w:noProof/>
        </w:rPr>
      </w:pPr>
      <w:r w:rsidRPr="004F01E9">
        <w:rPr>
          <w:noProof/>
        </w:rPr>
        <w:t>kde:</w:t>
      </w:r>
    </w:p>
    <w:p w14:paraId="7B16A4DA" w14:textId="1473AC33" w:rsidR="004334CE" w:rsidRPr="004F01E9" w:rsidRDefault="00EE12EE" w:rsidP="004334CE">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tenor</m:t>
            </m:r>
            <m:r>
              <m:rPr>
                <m:sty m:val="p"/>
              </m:rPr>
              <w:rPr>
                <w:rFonts w:ascii="Cambria Math" w:hAnsi="Cambria Math"/>
                <w:noProof/>
              </w:rPr>
              <m:t>)</m:t>
            </m:r>
          </m:sup>
        </m:sSubSup>
      </m:oMath>
      <w:r w:rsidR="00DE1B1D" w:rsidRPr="004F01E9">
        <w:rPr>
          <w:noProof/>
        </w:rPr>
        <w:t xml:space="preserve"> sa rovná 1, ak dva vrcholné body citlivostí</w:t>
      </w:r>
      <w:r w:rsidR="004F01E9">
        <w:rPr>
          <w:noProof/>
        </w:rPr>
        <w:t xml:space="preserve"> k a </w:t>
      </w:r>
      <w:r w:rsidR="00DE1B1D" w:rsidRPr="004F01E9">
        <w:rPr>
          <w:noProof/>
        </w:rPr>
        <w:t>l sú identické,</w:t>
      </w:r>
      <w:r w:rsidR="004F01E9">
        <w:rPr>
          <w:noProof/>
        </w:rPr>
        <w:t xml:space="preserve"> a </w:t>
      </w:r>
      <w:r w:rsidR="00DE1B1D" w:rsidRPr="004F01E9">
        <w:rPr>
          <w:noProof/>
        </w:rPr>
        <w:t>90</w:t>
      </w:r>
      <w:r w:rsidR="004F01E9">
        <w:rPr>
          <w:noProof/>
        </w:rPr>
        <w:t> % v </w:t>
      </w:r>
      <w:r w:rsidR="00DE1B1D" w:rsidRPr="004F01E9">
        <w:rPr>
          <w:noProof/>
        </w:rPr>
        <w:t>ostatných prípadoch;</w:t>
      </w:r>
    </w:p>
    <w:p w14:paraId="2EBF41A6" w14:textId="42EF7243" w:rsidR="004334CE" w:rsidRPr="004F01E9" w:rsidRDefault="00EE12EE" w:rsidP="004334CE">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name</m:t>
            </m:r>
            <m:r>
              <m:rPr>
                <m:sty m:val="p"/>
              </m:rPr>
              <w:rPr>
                <w:rFonts w:ascii="Cambria Math" w:hAnsi="Cambria Math"/>
                <w:noProof/>
              </w:rPr>
              <m:t>)</m:t>
            </m:r>
          </m:sup>
        </m:sSubSup>
      </m:oMath>
      <w:r w:rsidR="00DE1B1D" w:rsidRPr="004F01E9">
        <w:rPr>
          <w:noProof/>
        </w:rPr>
        <w:t xml:space="preserve"> sa rovná 1, ak dva referenčné tituly citlivostí</w:t>
      </w:r>
      <w:r w:rsidR="004F01E9">
        <w:rPr>
          <w:noProof/>
        </w:rPr>
        <w:t xml:space="preserve"> k a </w:t>
      </w:r>
      <w:r w:rsidR="00DE1B1D" w:rsidRPr="004F01E9">
        <w:rPr>
          <w:noProof/>
        </w:rPr>
        <w:t>l sú identické</w:t>
      </w:r>
      <w:r w:rsidR="004F01E9">
        <w:rPr>
          <w:noProof/>
        </w:rPr>
        <w:t xml:space="preserve"> a </w:t>
      </w:r>
      <w:r w:rsidR="00DE1B1D" w:rsidRPr="004F01E9">
        <w:rPr>
          <w:noProof/>
        </w:rPr>
        <w:t>dva indexy sú</w:t>
      </w:r>
      <w:r w:rsidR="004F01E9">
        <w:rPr>
          <w:noProof/>
        </w:rPr>
        <w:t xml:space="preserve"> z </w:t>
      </w:r>
      <w:r w:rsidR="00DE1B1D" w:rsidRPr="004F01E9">
        <w:rPr>
          <w:noProof/>
        </w:rPr>
        <w:t>rovnakej indexovej série,</w:t>
      </w:r>
      <w:r w:rsidR="004F01E9">
        <w:rPr>
          <w:noProof/>
        </w:rPr>
        <w:t xml:space="preserve"> a </w:t>
      </w:r>
      <w:r w:rsidR="00DE1B1D" w:rsidRPr="004F01E9">
        <w:rPr>
          <w:noProof/>
        </w:rPr>
        <w:t>80</w:t>
      </w:r>
      <w:r w:rsidR="004F01E9">
        <w:rPr>
          <w:noProof/>
        </w:rPr>
        <w:t> % v </w:t>
      </w:r>
      <w:r w:rsidR="00DE1B1D" w:rsidRPr="004F01E9">
        <w:rPr>
          <w:noProof/>
        </w:rPr>
        <w:t>ostatných prípadoch;</w:t>
      </w:r>
    </w:p>
    <w:p w14:paraId="7A849DFF" w14:textId="3D13591D" w:rsidR="00806B81" w:rsidRPr="004F01E9" w:rsidRDefault="00EE12EE" w:rsidP="004334CE">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quality</m:t>
            </m:r>
            <m:r>
              <m:rPr>
                <m:sty m:val="p"/>
              </m:rPr>
              <w:rPr>
                <w:rFonts w:ascii="Cambria Math" w:hAnsi="Cambria Math"/>
                <w:noProof/>
              </w:rPr>
              <m:t>)</m:t>
            </m:r>
          </m:sup>
        </m:sSubSup>
      </m:oMath>
      <w:r w:rsidR="00DE1B1D" w:rsidRPr="004F01E9">
        <w:rPr>
          <w:noProof/>
        </w:rPr>
        <w:t xml:space="preserve"> sa rovná 1, ak oba referenčné tituly sú</w:t>
      </w:r>
      <w:r w:rsidR="004F01E9">
        <w:rPr>
          <w:noProof/>
        </w:rPr>
        <w:t xml:space="preserve"> v </w:t>
      </w:r>
      <w:r w:rsidR="00DE1B1D" w:rsidRPr="004F01E9">
        <w:rPr>
          <w:noProof/>
        </w:rPr>
        <w:t>skupine 10 alebo</w:t>
      </w:r>
      <w:r w:rsidR="004F01E9">
        <w:rPr>
          <w:noProof/>
        </w:rPr>
        <w:t xml:space="preserve"> v </w:t>
      </w:r>
      <w:r w:rsidR="00DE1B1D" w:rsidRPr="004F01E9">
        <w:rPr>
          <w:noProof/>
        </w:rPr>
        <w:t>skupine 19,</w:t>
      </w:r>
      <w:r w:rsidR="004F01E9">
        <w:rPr>
          <w:noProof/>
        </w:rPr>
        <w:t xml:space="preserve"> a </w:t>
      </w:r>
      <w:r w:rsidR="00DE1B1D" w:rsidRPr="004F01E9">
        <w:rPr>
          <w:noProof/>
        </w:rPr>
        <w:t>80</w:t>
      </w:r>
      <w:r w:rsidR="004F01E9">
        <w:rPr>
          <w:noProof/>
        </w:rPr>
        <w:t> % v </w:t>
      </w:r>
      <w:r w:rsidR="00DE1B1D" w:rsidRPr="004F01E9">
        <w:rPr>
          <w:noProof/>
        </w:rPr>
        <w:t>ostatných prípadoch.</w:t>
      </w:r>
    </w:p>
    <w:p w14:paraId="7328EA8C" w14:textId="66E501D8" w:rsidR="004334CE" w:rsidRPr="004F01E9" w:rsidRDefault="004334CE" w:rsidP="004334CE">
      <w:pPr>
        <w:pStyle w:val="Titrearticle"/>
        <w:rPr>
          <w:noProof/>
        </w:rPr>
      </w:pPr>
      <w:r w:rsidRPr="004F01E9">
        <w:rPr>
          <w:noProof/>
        </w:rPr>
        <w:t xml:space="preserve">Článok 383t </w:t>
      </w:r>
      <w:r w:rsidRPr="004F01E9">
        <w:rPr>
          <w:noProof/>
        </w:rPr>
        <w:br/>
      </w:r>
      <w:r w:rsidRPr="004F01E9">
        <w:rPr>
          <w:b/>
          <w:i w:val="0"/>
          <w:noProof/>
        </w:rPr>
        <w:t>Rizikové váhy skupín pre akciové riziko</w:t>
      </w:r>
    </w:p>
    <w:p w14:paraId="03BAF892" w14:textId="03E41099" w:rsidR="004334CE" w:rsidRPr="004F01E9" w:rsidRDefault="004334CE" w:rsidP="004334CE">
      <w:pPr>
        <w:pStyle w:val="Text1"/>
        <w:rPr>
          <w:noProof/>
        </w:rPr>
      </w:pPr>
      <w:r w:rsidRPr="004F01E9">
        <w:rPr>
          <w:noProof/>
        </w:rPr>
        <w:t>1. Rizikové váhy pre citlivosti delta na faktory rizika spotovej ceny akcie sú rovnaké pre všetky expozície voči akciovému riziku</w:t>
      </w:r>
      <w:r w:rsidR="004F01E9">
        <w:rPr>
          <w:noProof/>
        </w:rPr>
        <w:t xml:space="preserve"> v </w:t>
      </w:r>
      <w:r w:rsidRPr="004F01E9">
        <w:rPr>
          <w:noProof/>
        </w:rPr>
        <w:t>rámci každej skupiny</w:t>
      </w:r>
      <w:r w:rsidR="004F01E9">
        <w:rPr>
          <w:noProof/>
        </w:rPr>
        <w:t xml:space="preserve"> v </w:t>
      </w:r>
      <w:r w:rsidRPr="004F01E9">
        <w:rPr>
          <w:noProof/>
        </w:rPr>
        <w:t>tabuľke 6,</w:t>
      </w:r>
      <w:r w:rsidR="004F01E9">
        <w:rPr>
          <w:noProof/>
        </w:rPr>
        <w:t xml:space="preserve"> a </w:t>
      </w:r>
      <w:r w:rsidRPr="004F01E9">
        <w:rPr>
          <w:noProof/>
        </w:rPr>
        <w:t>sú tieto:</w:t>
      </w:r>
    </w:p>
    <w:p w14:paraId="36DEA852" w14:textId="77777777" w:rsidR="004334CE" w:rsidRPr="004F01E9" w:rsidRDefault="004334CE" w:rsidP="006B0ADD">
      <w:pPr>
        <w:pStyle w:val="Text1"/>
        <w:jc w:val="center"/>
        <w:rPr>
          <w:noProof/>
        </w:rPr>
      </w:pPr>
      <w:r w:rsidRPr="004F01E9">
        <w:rPr>
          <w:noProof/>
        </w:rPr>
        <w:t>Tabuľka 6</w:t>
      </w:r>
    </w:p>
    <w:tbl>
      <w:tblPr>
        <w:tblStyle w:val="TableGrid"/>
        <w:tblW w:w="0" w:type="auto"/>
        <w:tblInd w:w="649" w:type="dxa"/>
        <w:tblLook w:val="04A0" w:firstRow="1" w:lastRow="0" w:firstColumn="1" w:lastColumn="0" w:noHBand="0" w:noVBand="1"/>
      </w:tblPr>
      <w:tblGrid>
        <w:gridCol w:w="977"/>
        <w:gridCol w:w="1429"/>
        <w:gridCol w:w="1550"/>
        <w:gridCol w:w="3138"/>
        <w:gridCol w:w="1546"/>
      </w:tblGrid>
      <w:tr w:rsidR="004334CE" w:rsidRPr="004F01E9" w14:paraId="57C7187C" w14:textId="77777777" w:rsidTr="004334CE">
        <w:tc>
          <w:tcPr>
            <w:tcW w:w="240" w:type="dxa"/>
          </w:tcPr>
          <w:p w14:paraId="16EC1CDF" w14:textId="77777777" w:rsidR="004334CE" w:rsidRPr="004F01E9" w:rsidRDefault="004334CE" w:rsidP="004334CE">
            <w:pPr>
              <w:jc w:val="center"/>
              <w:rPr>
                <w:noProof/>
              </w:rPr>
            </w:pPr>
            <w:r w:rsidRPr="004F01E9">
              <w:rPr>
                <w:noProof/>
              </w:rPr>
              <w:t>Číslo skupiny</w:t>
            </w:r>
          </w:p>
        </w:tc>
        <w:tc>
          <w:tcPr>
            <w:tcW w:w="1408" w:type="dxa"/>
          </w:tcPr>
          <w:p w14:paraId="7B1C4AA2" w14:textId="77777777" w:rsidR="004334CE" w:rsidRPr="004F01E9" w:rsidRDefault="004334CE" w:rsidP="004334CE">
            <w:pPr>
              <w:jc w:val="center"/>
              <w:rPr>
                <w:noProof/>
              </w:rPr>
            </w:pPr>
            <w:r w:rsidRPr="004F01E9">
              <w:rPr>
                <w:noProof/>
              </w:rPr>
              <w:t>Trhová kapitalizácia</w:t>
            </w:r>
          </w:p>
        </w:tc>
        <w:tc>
          <w:tcPr>
            <w:tcW w:w="1185" w:type="dxa"/>
          </w:tcPr>
          <w:p w14:paraId="07682ED4" w14:textId="77777777" w:rsidR="004334CE" w:rsidRPr="004F01E9" w:rsidRDefault="004334CE" w:rsidP="004334CE">
            <w:pPr>
              <w:jc w:val="center"/>
              <w:rPr>
                <w:noProof/>
              </w:rPr>
            </w:pPr>
            <w:r w:rsidRPr="004F01E9">
              <w:rPr>
                <w:noProof/>
              </w:rPr>
              <w:t>Hospodárstvo</w:t>
            </w:r>
          </w:p>
        </w:tc>
        <w:tc>
          <w:tcPr>
            <w:tcW w:w="4189" w:type="dxa"/>
          </w:tcPr>
          <w:p w14:paraId="42D925CD" w14:textId="77777777" w:rsidR="004334CE" w:rsidRPr="004F01E9" w:rsidRDefault="004334CE" w:rsidP="004334CE">
            <w:pPr>
              <w:jc w:val="center"/>
              <w:rPr>
                <w:noProof/>
              </w:rPr>
            </w:pPr>
            <w:r w:rsidRPr="004F01E9">
              <w:rPr>
                <w:noProof/>
              </w:rPr>
              <w:t>Sektor</w:t>
            </w:r>
          </w:p>
        </w:tc>
        <w:tc>
          <w:tcPr>
            <w:tcW w:w="1571" w:type="dxa"/>
          </w:tcPr>
          <w:p w14:paraId="1F8BF873" w14:textId="77777777" w:rsidR="004334CE" w:rsidRPr="004F01E9" w:rsidRDefault="004334CE" w:rsidP="004334CE">
            <w:pPr>
              <w:jc w:val="center"/>
              <w:rPr>
                <w:noProof/>
              </w:rPr>
            </w:pPr>
            <w:r w:rsidRPr="004F01E9">
              <w:rPr>
                <w:noProof/>
              </w:rPr>
              <w:t xml:space="preserve">Riziková váha pre spotovú cenu akcie </w:t>
            </w:r>
            <w:r w:rsidRPr="004F01E9">
              <w:rPr>
                <w:noProof/>
              </w:rPr>
              <w:br/>
              <w:t>(percentuálne body)</w:t>
            </w:r>
          </w:p>
        </w:tc>
      </w:tr>
      <w:tr w:rsidR="004334CE" w:rsidRPr="004F01E9" w14:paraId="761E050C" w14:textId="77777777" w:rsidTr="004334CE">
        <w:tc>
          <w:tcPr>
            <w:tcW w:w="240" w:type="dxa"/>
          </w:tcPr>
          <w:p w14:paraId="0C033C8B" w14:textId="77777777" w:rsidR="004334CE" w:rsidRPr="004F01E9" w:rsidRDefault="004334CE" w:rsidP="004334CE">
            <w:pPr>
              <w:jc w:val="center"/>
              <w:rPr>
                <w:noProof/>
              </w:rPr>
            </w:pPr>
            <w:r w:rsidRPr="004F01E9">
              <w:rPr>
                <w:noProof/>
              </w:rPr>
              <w:t>1</w:t>
            </w:r>
          </w:p>
        </w:tc>
        <w:tc>
          <w:tcPr>
            <w:tcW w:w="1408" w:type="dxa"/>
            <w:vMerge w:val="restart"/>
          </w:tcPr>
          <w:p w14:paraId="73365EC2" w14:textId="77777777" w:rsidR="004334CE" w:rsidRPr="004F01E9" w:rsidRDefault="004334CE" w:rsidP="004334CE">
            <w:pPr>
              <w:jc w:val="center"/>
              <w:rPr>
                <w:noProof/>
              </w:rPr>
            </w:pPr>
            <w:r w:rsidRPr="004F01E9">
              <w:rPr>
                <w:noProof/>
              </w:rPr>
              <w:t>Veľká</w:t>
            </w:r>
          </w:p>
        </w:tc>
        <w:tc>
          <w:tcPr>
            <w:tcW w:w="1185" w:type="dxa"/>
            <w:vMerge w:val="restart"/>
          </w:tcPr>
          <w:p w14:paraId="07DE3682" w14:textId="77777777" w:rsidR="004334CE" w:rsidRPr="004F01E9" w:rsidRDefault="004334CE" w:rsidP="004334CE">
            <w:pPr>
              <w:jc w:val="center"/>
              <w:rPr>
                <w:noProof/>
              </w:rPr>
            </w:pPr>
            <w:r w:rsidRPr="004F01E9">
              <w:rPr>
                <w:noProof/>
              </w:rPr>
              <w:t>Rozvíjajúce sa trhové hospodárstvo</w:t>
            </w:r>
          </w:p>
        </w:tc>
        <w:tc>
          <w:tcPr>
            <w:tcW w:w="4189" w:type="dxa"/>
          </w:tcPr>
          <w:p w14:paraId="72DDE0C8" w14:textId="344CE3F3" w:rsidR="004334CE" w:rsidRPr="004F01E9" w:rsidRDefault="004334CE" w:rsidP="004334CE">
            <w:pPr>
              <w:jc w:val="center"/>
              <w:rPr>
                <w:noProof/>
              </w:rPr>
            </w:pPr>
            <w:r w:rsidRPr="004F01E9">
              <w:rPr>
                <w:noProof/>
              </w:rPr>
              <w:t>Spotrebný tovar</w:t>
            </w:r>
            <w:r w:rsidR="004F01E9">
              <w:rPr>
                <w:noProof/>
              </w:rPr>
              <w:t xml:space="preserve"> a </w:t>
            </w:r>
            <w:r w:rsidRPr="004F01E9">
              <w:rPr>
                <w:noProof/>
              </w:rPr>
              <w:t>služby, doprava</w:t>
            </w:r>
            <w:r w:rsidR="004F01E9">
              <w:rPr>
                <w:noProof/>
              </w:rPr>
              <w:t xml:space="preserve"> a </w:t>
            </w:r>
            <w:r w:rsidRPr="004F01E9">
              <w:rPr>
                <w:noProof/>
              </w:rPr>
              <w:t>skladovanie, administratívne</w:t>
            </w:r>
            <w:r w:rsidR="004F01E9">
              <w:rPr>
                <w:noProof/>
              </w:rPr>
              <w:t xml:space="preserve"> a </w:t>
            </w:r>
            <w:r w:rsidRPr="004F01E9">
              <w:rPr>
                <w:noProof/>
              </w:rPr>
              <w:t>podporné činnosti, zdravotná starostlivosť, úžitkové služby</w:t>
            </w:r>
          </w:p>
        </w:tc>
        <w:tc>
          <w:tcPr>
            <w:tcW w:w="1571" w:type="dxa"/>
          </w:tcPr>
          <w:p w14:paraId="45054467" w14:textId="21954095" w:rsidR="004334CE" w:rsidRPr="004F01E9" w:rsidRDefault="004334CE" w:rsidP="004334CE">
            <w:pPr>
              <w:jc w:val="center"/>
              <w:rPr>
                <w:noProof/>
              </w:rPr>
            </w:pPr>
            <w:r w:rsidRPr="004F01E9">
              <w:rPr>
                <w:noProof/>
              </w:rPr>
              <w:t>55</w:t>
            </w:r>
            <w:r w:rsidR="004F01E9">
              <w:rPr>
                <w:noProof/>
              </w:rPr>
              <w:t> %</w:t>
            </w:r>
          </w:p>
        </w:tc>
      </w:tr>
      <w:tr w:rsidR="004334CE" w:rsidRPr="004F01E9" w14:paraId="4ECC72B2" w14:textId="77777777" w:rsidTr="004334CE">
        <w:tc>
          <w:tcPr>
            <w:tcW w:w="240" w:type="dxa"/>
          </w:tcPr>
          <w:p w14:paraId="78B49132" w14:textId="77777777" w:rsidR="004334CE" w:rsidRPr="004F01E9" w:rsidRDefault="004334CE" w:rsidP="004334CE">
            <w:pPr>
              <w:jc w:val="center"/>
              <w:rPr>
                <w:noProof/>
              </w:rPr>
            </w:pPr>
            <w:r w:rsidRPr="004F01E9">
              <w:rPr>
                <w:noProof/>
              </w:rPr>
              <w:t>2</w:t>
            </w:r>
          </w:p>
        </w:tc>
        <w:tc>
          <w:tcPr>
            <w:tcW w:w="1408" w:type="dxa"/>
            <w:vMerge/>
          </w:tcPr>
          <w:p w14:paraId="42332479" w14:textId="77777777" w:rsidR="004334CE" w:rsidRPr="004F01E9" w:rsidRDefault="004334CE" w:rsidP="004334CE">
            <w:pPr>
              <w:jc w:val="center"/>
              <w:rPr>
                <w:noProof/>
              </w:rPr>
            </w:pPr>
          </w:p>
        </w:tc>
        <w:tc>
          <w:tcPr>
            <w:tcW w:w="1185" w:type="dxa"/>
            <w:vMerge/>
          </w:tcPr>
          <w:p w14:paraId="3F0B12CB" w14:textId="77777777" w:rsidR="004334CE" w:rsidRPr="004F01E9" w:rsidRDefault="004334CE" w:rsidP="004334CE">
            <w:pPr>
              <w:jc w:val="center"/>
              <w:rPr>
                <w:noProof/>
              </w:rPr>
            </w:pPr>
          </w:p>
        </w:tc>
        <w:tc>
          <w:tcPr>
            <w:tcW w:w="4189" w:type="dxa"/>
          </w:tcPr>
          <w:p w14:paraId="26DCD19C" w14:textId="77777777" w:rsidR="004334CE" w:rsidRPr="004F01E9" w:rsidRDefault="004334CE" w:rsidP="004334CE">
            <w:pPr>
              <w:jc w:val="center"/>
              <w:rPr>
                <w:noProof/>
              </w:rPr>
            </w:pPr>
            <w:r w:rsidRPr="004F01E9">
              <w:rPr>
                <w:noProof/>
              </w:rPr>
              <w:t>Telekomunikácie, priemyselné podniky</w:t>
            </w:r>
          </w:p>
        </w:tc>
        <w:tc>
          <w:tcPr>
            <w:tcW w:w="1571" w:type="dxa"/>
          </w:tcPr>
          <w:p w14:paraId="00621BAD" w14:textId="7D365ED9" w:rsidR="004334CE" w:rsidRPr="004F01E9" w:rsidRDefault="004334CE" w:rsidP="004334CE">
            <w:pPr>
              <w:jc w:val="center"/>
              <w:rPr>
                <w:noProof/>
              </w:rPr>
            </w:pPr>
            <w:r w:rsidRPr="004F01E9">
              <w:rPr>
                <w:noProof/>
              </w:rPr>
              <w:t>60</w:t>
            </w:r>
            <w:r w:rsidR="004F01E9">
              <w:rPr>
                <w:noProof/>
              </w:rPr>
              <w:t> %</w:t>
            </w:r>
          </w:p>
        </w:tc>
      </w:tr>
      <w:tr w:rsidR="004334CE" w:rsidRPr="004F01E9" w14:paraId="0DA3A53A" w14:textId="77777777" w:rsidTr="004334CE">
        <w:tc>
          <w:tcPr>
            <w:tcW w:w="240" w:type="dxa"/>
          </w:tcPr>
          <w:p w14:paraId="1458EF02" w14:textId="77777777" w:rsidR="004334CE" w:rsidRPr="004F01E9" w:rsidRDefault="004334CE" w:rsidP="004334CE">
            <w:pPr>
              <w:jc w:val="center"/>
              <w:rPr>
                <w:noProof/>
              </w:rPr>
            </w:pPr>
            <w:r w:rsidRPr="004F01E9">
              <w:rPr>
                <w:noProof/>
              </w:rPr>
              <w:t>3</w:t>
            </w:r>
          </w:p>
        </w:tc>
        <w:tc>
          <w:tcPr>
            <w:tcW w:w="1408" w:type="dxa"/>
            <w:vMerge/>
          </w:tcPr>
          <w:p w14:paraId="32D5E782" w14:textId="77777777" w:rsidR="004334CE" w:rsidRPr="004F01E9" w:rsidRDefault="004334CE" w:rsidP="004334CE">
            <w:pPr>
              <w:jc w:val="center"/>
              <w:rPr>
                <w:noProof/>
              </w:rPr>
            </w:pPr>
          </w:p>
        </w:tc>
        <w:tc>
          <w:tcPr>
            <w:tcW w:w="1185" w:type="dxa"/>
            <w:vMerge/>
          </w:tcPr>
          <w:p w14:paraId="531F4084" w14:textId="77777777" w:rsidR="004334CE" w:rsidRPr="004F01E9" w:rsidRDefault="004334CE" w:rsidP="004334CE">
            <w:pPr>
              <w:jc w:val="center"/>
              <w:rPr>
                <w:noProof/>
              </w:rPr>
            </w:pPr>
          </w:p>
        </w:tc>
        <w:tc>
          <w:tcPr>
            <w:tcW w:w="4189" w:type="dxa"/>
          </w:tcPr>
          <w:p w14:paraId="70FADD12" w14:textId="7DA53853" w:rsidR="004334CE" w:rsidRPr="004F01E9" w:rsidRDefault="004334CE" w:rsidP="004334CE">
            <w:pPr>
              <w:jc w:val="center"/>
              <w:rPr>
                <w:noProof/>
              </w:rPr>
            </w:pPr>
            <w:r w:rsidRPr="004F01E9">
              <w:rPr>
                <w:noProof/>
              </w:rPr>
              <w:t>Základné materiály, energetika, poľnohospodárstvo, spracovateľský priemysel, ťažba</w:t>
            </w:r>
            <w:r w:rsidR="004F01E9">
              <w:rPr>
                <w:noProof/>
              </w:rPr>
              <w:t xml:space="preserve"> a </w:t>
            </w:r>
            <w:r w:rsidRPr="004F01E9">
              <w:rPr>
                <w:noProof/>
              </w:rPr>
              <w:t>dobývanie</w:t>
            </w:r>
          </w:p>
        </w:tc>
        <w:tc>
          <w:tcPr>
            <w:tcW w:w="1571" w:type="dxa"/>
          </w:tcPr>
          <w:p w14:paraId="62FFE290" w14:textId="5387B1B4" w:rsidR="004334CE" w:rsidRPr="004F01E9" w:rsidRDefault="004334CE" w:rsidP="004334CE">
            <w:pPr>
              <w:jc w:val="center"/>
              <w:rPr>
                <w:noProof/>
              </w:rPr>
            </w:pPr>
            <w:r w:rsidRPr="004F01E9">
              <w:rPr>
                <w:noProof/>
              </w:rPr>
              <w:t>45</w:t>
            </w:r>
            <w:r w:rsidR="004F01E9">
              <w:rPr>
                <w:noProof/>
              </w:rPr>
              <w:t> %</w:t>
            </w:r>
          </w:p>
        </w:tc>
      </w:tr>
      <w:tr w:rsidR="004334CE" w:rsidRPr="004F01E9" w14:paraId="3B213FFC" w14:textId="77777777" w:rsidTr="004334CE">
        <w:tc>
          <w:tcPr>
            <w:tcW w:w="240" w:type="dxa"/>
          </w:tcPr>
          <w:p w14:paraId="5A065FA9" w14:textId="77777777" w:rsidR="004334CE" w:rsidRPr="004F01E9" w:rsidRDefault="004334CE" w:rsidP="004334CE">
            <w:pPr>
              <w:jc w:val="center"/>
              <w:rPr>
                <w:noProof/>
              </w:rPr>
            </w:pPr>
            <w:r w:rsidRPr="004F01E9">
              <w:rPr>
                <w:noProof/>
              </w:rPr>
              <w:t>4</w:t>
            </w:r>
          </w:p>
        </w:tc>
        <w:tc>
          <w:tcPr>
            <w:tcW w:w="1408" w:type="dxa"/>
            <w:vMerge/>
          </w:tcPr>
          <w:p w14:paraId="4190BC13" w14:textId="77777777" w:rsidR="004334CE" w:rsidRPr="004F01E9" w:rsidRDefault="004334CE" w:rsidP="004334CE">
            <w:pPr>
              <w:jc w:val="center"/>
              <w:rPr>
                <w:noProof/>
              </w:rPr>
            </w:pPr>
          </w:p>
        </w:tc>
        <w:tc>
          <w:tcPr>
            <w:tcW w:w="1185" w:type="dxa"/>
            <w:vMerge/>
          </w:tcPr>
          <w:p w14:paraId="688BEB08" w14:textId="77777777" w:rsidR="004334CE" w:rsidRPr="004F01E9" w:rsidRDefault="004334CE" w:rsidP="004334CE">
            <w:pPr>
              <w:jc w:val="center"/>
              <w:rPr>
                <w:noProof/>
              </w:rPr>
            </w:pPr>
          </w:p>
        </w:tc>
        <w:tc>
          <w:tcPr>
            <w:tcW w:w="4189" w:type="dxa"/>
          </w:tcPr>
          <w:p w14:paraId="5AC492B5" w14:textId="77777777" w:rsidR="004334CE" w:rsidRPr="004F01E9" w:rsidRDefault="004334CE" w:rsidP="004334CE">
            <w:pPr>
              <w:jc w:val="center"/>
              <w:rPr>
                <w:noProof/>
              </w:rPr>
            </w:pPr>
            <w:r w:rsidRPr="004F01E9">
              <w:rPr>
                <w:noProof/>
              </w:rPr>
              <w:t>Finančné podniky vrátane podnikov zabezpečených vládou, realitné činnosti, technológie</w:t>
            </w:r>
          </w:p>
        </w:tc>
        <w:tc>
          <w:tcPr>
            <w:tcW w:w="1571" w:type="dxa"/>
          </w:tcPr>
          <w:p w14:paraId="423D0CCF" w14:textId="33F0EACA" w:rsidR="004334CE" w:rsidRPr="004F01E9" w:rsidRDefault="004334CE" w:rsidP="004334CE">
            <w:pPr>
              <w:jc w:val="center"/>
              <w:rPr>
                <w:noProof/>
              </w:rPr>
            </w:pPr>
            <w:r w:rsidRPr="004F01E9">
              <w:rPr>
                <w:noProof/>
              </w:rPr>
              <w:t>55</w:t>
            </w:r>
            <w:r w:rsidR="004F01E9">
              <w:rPr>
                <w:noProof/>
              </w:rPr>
              <w:t> %</w:t>
            </w:r>
          </w:p>
        </w:tc>
      </w:tr>
      <w:tr w:rsidR="004334CE" w:rsidRPr="004F01E9" w14:paraId="2E252A12" w14:textId="77777777" w:rsidTr="004334CE">
        <w:tc>
          <w:tcPr>
            <w:tcW w:w="240" w:type="dxa"/>
          </w:tcPr>
          <w:p w14:paraId="05A077C6" w14:textId="77777777" w:rsidR="004334CE" w:rsidRPr="004F01E9" w:rsidRDefault="004334CE" w:rsidP="004334CE">
            <w:pPr>
              <w:jc w:val="center"/>
              <w:rPr>
                <w:noProof/>
              </w:rPr>
            </w:pPr>
            <w:r w:rsidRPr="004F01E9">
              <w:rPr>
                <w:noProof/>
              </w:rPr>
              <w:t>5</w:t>
            </w:r>
          </w:p>
        </w:tc>
        <w:tc>
          <w:tcPr>
            <w:tcW w:w="1408" w:type="dxa"/>
            <w:vMerge/>
          </w:tcPr>
          <w:p w14:paraId="781F9682" w14:textId="77777777" w:rsidR="004334CE" w:rsidRPr="004F01E9" w:rsidRDefault="004334CE" w:rsidP="004334CE">
            <w:pPr>
              <w:jc w:val="center"/>
              <w:rPr>
                <w:noProof/>
              </w:rPr>
            </w:pPr>
          </w:p>
        </w:tc>
        <w:tc>
          <w:tcPr>
            <w:tcW w:w="1185" w:type="dxa"/>
            <w:vMerge w:val="restart"/>
          </w:tcPr>
          <w:p w14:paraId="6EDDE02D" w14:textId="77777777" w:rsidR="004334CE" w:rsidRPr="004F01E9" w:rsidRDefault="004334CE" w:rsidP="004334CE">
            <w:pPr>
              <w:jc w:val="center"/>
              <w:rPr>
                <w:noProof/>
              </w:rPr>
            </w:pPr>
            <w:r w:rsidRPr="004F01E9">
              <w:rPr>
                <w:noProof/>
              </w:rPr>
              <w:t>Rozvinuté hospodárstvo</w:t>
            </w:r>
          </w:p>
        </w:tc>
        <w:tc>
          <w:tcPr>
            <w:tcW w:w="4189" w:type="dxa"/>
          </w:tcPr>
          <w:p w14:paraId="50EE0E5D" w14:textId="46F173EE" w:rsidR="004334CE" w:rsidRPr="004F01E9" w:rsidRDefault="004334CE" w:rsidP="004334CE">
            <w:pPr>
              <w:jc w:val="center"/>
              <w:rPr>
                <w:noProof/>
              </w:rPr>
            </w:pPr>
            <w:r w:rsidRPr="004F01E9">
              <w:rPr>
                <w:noProof/>
              </w:rPr>
              <w:t>Spotrebný tovar</w:t>
            </w:r>
            <w:r w:rsidR="004F01E9">
              <w:rPr>
                <w:noProof/>
              </w:rPr>
              <w:t xml:space="preserve"> a </w:t>
            </w:r>
            <w:r w:rsidRPr="004F01E9">
              <w:rPr>
                <w:noProof/>
              </w:rPr>
              <w:t>služby, doprava</w:t>
            </w:r>
            <w:r w:rsidR="004F01E9">
              <w:rPr>
                <w:noProof/>
              </w:rPr>
              <w:t xml:space="preserve"> a </w:t>
            </w:r>
            <w:r w:rsidRPr="004F01E9">
              <w:rPr>
                <w:noProof/>
              </w:rPr>
              <w:t>skladovanie, administratívne</w:t>
            </w:r>
            <w:r w:rsidR="004F01E9">
              <w:rPr>
                <w:noProof/>
              </w:rPr>
              <w:t xml:space="preserve"> a </w:t>
            </w:r>
            <w:r w:rsidRPr="004F01E9">
              <w:rPr>
                <w:noProof/>
              </w:rPr>
              <w:t>podporné činnosti, zdravotná starostlivosť, úžitkové služby</w:t>
            </w:r>
          </w:p>
        </w:tc>
        <w:tc>
          <w:tcPr>
            <w:tcW w:w="1571" w:type="dxa"/>
          </w:tcPr>
          <w:p w14:paraId="57A9F4E7" w14:textId="17B9E21F" w:rsidR="004334CE" w:rsidRPr="004F01E9" w:rsidRDefault="004334CE" w:rsidP="004334CE">
            <w:pPr>
              <w:jc w:val="center"/>
              <w:rPr>
                <w:noProof/>
              </w:rPr>
            </w:pPr>
            <w:r w:rsidRPr="004F01E9">
              <w:rPr>
                <w:noProof/>
              </w:rPr>
              <w:t>30</w:t>
            </w:r>
            <w:r w:rsidR="004F01E9">
              <w:rPr>
                <w:noProof/>
              </w:rPr>
              <w:t> %</w:t>
            </w:r>
          </w:p>
        </w:tc>
      </w:tr>
      <w:tr w:rsidR="004334CE" w:rsidRPr="004F01E9" w14:paraId="2C45BBB2" w14:textId="77777777" w:rsidTr="004334CE">
        <w:tc>
          <w:tcPr>
            <w:tcW w:w="240" w:type="dxa"/>
          </w:tcPr>
          <w:p w14:paraId="62CBBA72" w14:textId="77777777" w:rsidR="004334CE" w:rsidRPr="004F01E9" w:rsidRDefault="004334CE" w:rsidP="004334CE">
            <w:pPr>
              <w:jc w:val="center"/>
              <w:rPr>
                <w:noProof/>
              </w:rPr>
            </w:pPr>
            <w:r w:rsidRPr="004F01E9">
              <w:rPr>
                <w:noProof/>
              </w:rPr>
              <w:t>6</w:t>
            </w:r>
          </w:p>
        </w:tc>
        <w:tc>
          <w:tcPr>
            <w:tcW w:w="1408" w:type="dxa"/>
            <w:vMerge/>
          </w:tcPr>
          <w:p w14:paraId="3CBC9350" w14:textId="77777777" w:rsidR="004334CE" w:rsidRPr="004F01E9" w:rsidRDefault="004334CE" w:rsidP="004334CE">
            <w:pPr>
              <w:jc w:val="center"/>
              <w:rPr>
                <w:noProof/>
              </w:rPr>
            </w:pPr>
          </w:p>
        </w:tc>
        <w:tc>
          <w:tcPr>
            <w:tcW w:w="1185" w:type="dxa"/>
            <w:vMerge/>
          </w:tcPr>
          <w:p w14:paraId="296C2D1F" w14:textId="77777777" w:rsidR="004334CE" w:rsidRPr="004F01E9" w:rsidRDefault="004334CE" w:rsidP="004334CE">
            <w:pPr>
              <w:jc w:val="center"/>
              <w:rPr>
                <w:noProof/>
              </w:rPr>
            </w:pPr>
          </w:p>
        </w:tc>
        <w:tc>
          <w:tcPr>
            <w:tcW w:w="4189" w:type="dxa"/>
          </w:tcPr>
          <w:p w14:paraId="360BB58F" w14:textId="77777777" w:rsidR="004334CE" w:rsidRPr="004F01E9" w:rsidRDefault="004334CE" w:rsidP="004334CE">
            <w:pPr>
              <w:jc w:val="center"/>
              <w:rPr>
                <w:noProof/>
              </w:rPr>
            </w:pPr>
            <w:r w:rsidRPr="004F01E9">
              <w:rPr>
                <w:noProof/>
              </w:rPr>
              <w:t>Telekomunikácie, priemyselné podniky</w:t>
            </w:r>
          </w:p>
        </w:tc>
        <w:tc>
          <w:tcPr>
            <w:tcW w:w="1571" w:type="dxa"/>
          </w:tcPr>
          <w:p w14:paraId="7A410ABC" w14:textId="7D52B9D7" w:rsidR="004334CE" w:rsidRPr="004F01E9" w:rsidRDefault="004334CE" w:rsidP="004334CE">
            <w:pPr>
              <w:jc w:val="center"/>
              <w:rPr>
                <w:noProof/>
              </w:rPr>
            </w:pPr>
            <w:r w:rsidRPr="004F01E9">
              <w:rPr>
                <w:noProof/>
              </w:rPr>
              <w:t>35</w:t>
            </w:r>
            <w:r w:rsidR="004F01E9">
              <w:rPr>
                <w:noProof/>
              </w:rPr>
              <w:t> %</w:t>
            </w:r>
          </w:p>
        </w:tc>
      </w:tr>
      <w:tr w:rsidR="004334CE" w:rsidRPr="004F01E9" w14:paraId="5193CC0D" w14:textId="77777777" w:rsidTr="004334CE">
        <w:tc>
          <w:tcPr>
            <w:tcW w:w="240" w:type="dxa"/>
          </w:tcPr>
          <w:p w14:paraId="0A3E56A3" w14:textId="77777777" w:rsidR="004334CE" w:rsidRPr="004F01E9" w:rsidRDefault="004334CE" w:rsidP="004334CE">
            <w:pPr>
              <w:jc w:val="center"/>
              <w:rPr>
                <w:noProof/>
              </w:rPr>
            </w:pPr>
            <w:r w:rsidRPr="004F01E9">
              <w:rPr>
                <w:noProof/>
              </w:rPr>
              <w:t>7</w:t>
            </w:r>
          </w:p>
        </w:tc>
        <w:tc>
          <w:tcPr>
            <w:tcW w:w="1408" w:type="dxa"/>
            <w:vMerge/>
          </w:tcPr>
          <w:p w14:paraId="148E5CD2" w14:textId="77777777" w:rsidR="004334CE" w:rsidRPr="004F01E9" w:rsidRDefault="004334CE" w:rsidP="004334CE">
            <w:pPr>
              <w:jc w:val="center"/>
              <w:rPr>
                <w:noProof/>
              </w:rPr>
            </w:pPr>
          </w:p>
        </w:tc>
        <w:tc>
          <w:tcPr>
            <w:tcW w:w="1185" w:type="dxa"/>
            <w:vMerge/>
          </w:tcPr>
          <w:p w14:paraId="348BA135" w14:textId="77777777" w:rsidR="004334CE" w:rsidRPr="004F01E9" w:rsidRDefault="004334CE" w:rsidP="004334CE">
            <w:pPr>
              <w:jc w:val="center"/>
              <w:rPr>
                <w:noProof/>
              </w:rPr>
            </w:pPr>
          </w:p>
        </w:tc>
        <w:tc>
          <w:tcPr>
            <w:tcW w:w="4189" w:type="dxa"/>
          </w:tcPr>
          <w:p w14:paraId="6BB43B94" w14:textId="7193FD19" w:rsidR="004334CE" w:rsidRPr="004F01E9" w:rsidRDefault="004334CE" w:rsidP="004334CE">
            <w:pPr>
              <w:jc w:val="center"/>
              <w:rPr>
                <w:noProof/>
              </w:rPr>
            </w:pPr>
            <w:r w:rsidRPr="004F01E9">
              <w:rPr>
                <w:noProof/>
              </w:rPr>
              <w:t>Základné materiály, energetika, poľnohospodárstvo, spracovateľský priemysel, ťažba</w:t>
            </w:r>
            <w:r w:rsidR="004F01E9">
              <w:rPr>
                <w:noProof/>
              </w:rPr>
              <w:t xml:space="preserve"> a </w:t>
            </w:r>
            <w:r w:rsidRPr="004F01E9">
              <w:rPr>
                <w:noProof/>
              </w:rPr>
              <w:t>dobývanie</w:t>
            </w:r>
          </w:p>
        </w:tc>
        <w:tc>
          <w:tcPr>
            <w:tcW w:w="1571" w:type="dxa"/>
          </w:tcPr>
          <w:p w14:paraId="7C5E87FC" w14:textId="2DC63F3F" w:rsidR="004334CE" w:rsidRPr="004F01E9" w:rsidRDefault="004334CE" w:rsidP="004334CE">
            <w:pPr>
              <w:jc w:val="center"/>
              <w:rPr>
                <w:noProof/>
              </w:rPr>
            </w:pPr>
            <w:r w:rsidRPr="004F01E9">
              <w:rPr>
                <w:noProof/>
              </w:rPr>
              <w:t>40</w:t>
            </w:r>
            <w:r w:rsidR="004F01E9">
              <w:rPr>
                <w:noProof/>
              </w:rPr>
              <w:t> %</w:t>
            </w:r>
          </w:p>
        </w:tc>
      </w:tr>
      <w:tr w:rsidR="004334CE" w:rsidRPr="004F01E9" w14:paraId="21EBEECA" w14:textId="77777777" w:rsidTr="004334CE">
        <w:tc>
          <w:tcPr>
            <w:tcW w:w="240" w:type="dxa"/>
          </w:tcPr>
          <w:p w14:paraId="2E07F227" w14:textId="77777777" w:rsidR="004334CE" w:rsidRPr="004F01E9" w:rsidRDefault="004334CE" w:rsidP="004334CE">
            <w:pPr>
              <w:jc w:val="center"/>
              <w:rPr>
                <w:noProof/>
              </w:rPr>
            </w:pPr>
            <w:r w:rsidRPr="004F01E9">
              <w:rPr>
                <w:noProof/>
              </w:rPr>
              <w:t>8</w:t>
            </w:r>
          </w:p>
        </w:tc>
        <w:tc>
          <w:tcPr>
            <w:tcW w:w="1408" w:type="dxa"/>
            <w:vMerge/>
          </w:tcPr>
          <w:p w14:paraId="01E19D6F" w14:textId="77777777" w:rsidR="004334CE" w:rsidRPr="004F01E9" w:rsidRDefault="004334CE" w:rsidP="004334CE">
            <w:pPr>
              <w:jc w:val="center"/>
              <w:rPr>
                <w:noProof/>
              </w:rPr>
            </w:pPr>
          </w:p>
        </w:tc>
        <w:tc>
          <w:tcPr>
            <w:tcW w:w="1185" w:type="dxa"/>
            <w:vMerge/>
          </w:tcPr>
          <w:p w14:paraId="476167F1" w14:textId="77777777" w:rsidR="004334CE" w:rsidRPr="004F01E9" w:rsidRDefault="004334CE" w:rsidP="004334CE">
            <w:pPr>
              <w:jc w:val="center"/>
              <w:rPr>
                <w:noProof/>
              </w:rPr>
            </w:pPr>
          </w:p>
        </w:tc>
        <w:tc>
          <w:tcPr>
            <w:tcW w:w="4189" w:type="dxa"/>
          </w:tcPr>
          <w:p w14:paraId="7EDD605E" w14:textId="77777777" w:rsidR="004334CE" w:rsidRPr="004F01E9" w:rsidRDefault="004334CE" w:rsidP="004334CE">
            <w:pPr>
              <w:jc w:val="center"/>
              <w:rPr>
                <w:noProof/>
              </w:rPr>
            </w:pPr>
            <w:r w:rsidRPr="004F01E9">
              <w:rPr>
                <w:noProof/>
              </w:rPr>
              <w:t>Finančné podniky vrátane podnikov zabezpečených vládou, realitné činnosti, technológie</w:t>
            </w:r>
          </w:p>
        </w:tc>
        <w:tc>
          <w:tcPr>
            <w:tcW w:w="1571" w:type="dxa"/>
          </w:tcPr>
          <w:p w14:paraId="0DC6E280" w14:textId="0E45B74F" w:rsidR="004334CE" w:rsidRPr="004F01E9" w:rsidRDefault="004334CE" w:rsidP="004334CE">
            <w:pPr>
              <w:jc w:val="center"/>
              <w:rPr>
                <w:noProof/>
              </w:rPr>
            </w:pPr>
            <w:r w:rsidRPr="004F01E9">
              <w:rPr>
                <w:noProof/>
              </w:rPr>
              <w:t>50</w:t>
            </w:r>
            <w:r w:rsidR="004F01E9">
              <w:rPr>
                <w:noProof/>
              </w:rPr>
              <w:t> %</w:t>
            </w:r>
          </w:p>
        </w:tc>
      </w:tr>
      <w:tr w:rsidR="004334CE" w:rsidRPr="004F01E9" w14:paraId="3E83F8AE" w14:textId="77777777" w:rsidTr="004334CE">
        <w:tc>
          <w:tcPr>
            <w:tcW w:w="240" w:type="dxa"/>
          </w:tcPr>
          <w:p w14:paraId="73348E40" w14:textId="77777777" w:rsidR="004334CE" w:rsidRPr="004F01E9" w:rsidRDefault="004334CE" w:rsidP="004334CE">
            <w:pPr>
              <w:jc w:val="center"/>
              <w:rPr>
                <w:noProof/>
              </w:rPr>
            </w:pPr>
            <w:r w:rsidRPr="004F01E9">
              <w:rPr>
                <w:noProof/>
              </w:rPr>
              <w:t>9</w:t>
            </w:r>
          </w:p>
        </w:tc>
        <w:tc>
          <w:tcPr>
            <w:tcW w:w="1408" w:type="dxa"/>
            <w:vMerge w:val="restart"/>
          </w:tcPr>
          <w:p w14:paraId="42422968" w14:textId="77777777" w:rsidR="004334CE" w:rsidRPr="004F01E9" w:rsidRDefault="004334CE" w:rsidP="004334CE">
            <w:pPr>
              <w:jc w:val="center"/>
              <w:rPr>
                <w:noProof/>
              </w:rPr>
            </w:pPr>
            <w:r w:rsidRPr="004F01E9">
              <w:rPr>
                <w:noProof/>
              </w:rPr>
              <w:t>Malá</w:t>
            </w:r>
          </w:p>
        </w:tc>
        <w:tc>
          <w:tcPr>
            <w:tcW w:w="1185" w:type="dxa"/>
          </w:tcPr>
          <w:p w14:paraId="7F3B53DE" w14:textId="77777777" w:rsidR="004334CE" w:rsidRPr="004F01E9" w:rsidRDefault="004334CE" w:rsidP="004334CE">
            <w:pPr>
              <w:jc w:val="center"/>
              <w:rPr>
                <w:noProof/>
              </w:rPr>
            </w:pPr>
            <w:r w:rsidRPr="004F01E9">
              <w:rPr>
                <w:noProof/>
              </w:rPr>
              <w:t>Rozvíjajúce sa trhové hospodárstvo</w:t>
            </w:r>
          </w:p>
        </w:tc>
        <w:tc>
          <w:tcPr>
            <w:tcW w:w="4189" w:type="dxa"/>
          </w:tcPr>
          <w:p w14:paraId="220D6ABB" w14:textId="1EACE867" w:rsidR="004334CE" w:rsidRPr="004F01E9" w:rsidRDefault="004334CE" w:rsidP="004334CE">
            <w:pPr>
              <w:jc w:val="center"/>
              <w:rPr>
                <w:noProof/>
              </w:rPr>
            </w:pPr>
            <w:r w:rsidRPr="004F01E9">
              <w:rPr>
                <w:noProof/>
              </w:rPr>
              <w:t>Všetky sektory opísané</w:t>
            </w:r>
            <w:r w:rsidR="004F01E9">
              <w:rPr>
                <w:noProof/>
              </w:rPr>
              <w:t xml:space="preserve"> v </w:t>
            </w:r>
            <w:r w:rsidRPr="004F01E9">
              <w:rPr>
                <w:noProof/>
              </w:rPr>
              <w:t>skupinách číslo 1, 2, 3</w:t>
            </w:r>
            <w:r w:rsidR="004F01E9">
              <w:rPr>
                <w:noProof/>
              </w:rPr>
              <w:t xml:space="preserve"> a </w:t>
            </w:r>
            <w:r w:rsidRPr="004F01E9">
              <w:rPr>
                <w:noProof/>
              </w:rPr>
              <w:t>4</w:t>
            </w:r>
          </w:p>
        </w:tc>
        <w:tc>
          <w:tcPr>
            <w:tcW w:w="1571" w:type="dxa"/>
          </w:tcPr>
          <w:p w14:paraId="77C43DCE" w14:textId="77777777" w:rsidR="004334CE" w:rsidRPr="004F01E9" w:rsidRDefault="004334CE" w:rsidP="004334CE">
            <w:pPr>
              <w:jc w:val="center"/>
              <w:rPr>
                <w:noProof/>
              </w:rPr>
            </w:pPr>
            <w:r w:rsidRPr="004F01E9">
              <w:rPr>
                <w:noProof/>
              </w:rPr>
              <w:t>70</w:t>
            </w:r>
          </w:p>
        </w:tc>
      </w:tr>
      <w:tr w:rsidR="004334CE" w:rsidRPr="004F01E9" w14:paraId="33A09773" w14:textId="77777777" w:rsidTr="004334CE">
        <w:tc>
          <w:tcPr>
            <w:tcW w:w="240" w:type="dxa"/>
          </w:tcPr>
          <w:p w14:paraId="67E7F3F7" w14:textId="77777777" w:rsidR="004334CE" w:rsidRPr="004F01E9" w:rsidRDefault="004334CE" w:rsidP="004334CE">
            <w:pPr>
              <w:jc w:val="center"/>
              <w:rPr>
                <w:noProof/>
              </w:rPr>
            </w:pPr>
            <w:r w:rsidRPr="004F01E9">
              <w:rPr>
                <w:noProof/>
              </w:rPr>
              <w:t>10</w:t>
            </w:r>
          </w:p>
        </w:tc>
        <w:tc>
          <w:tcPr>
            <w:tcW w:w="1408" w:type="dxa"/>
            <w:vMerge/>
          </w:tcPr>
          <w:p w14:paraId="488732E1" w14:textId="77777777" w:rsidR="004334CE" w:rsidRPr="004F01E9" w:rsidRDefault="004334CE" w:rsidP="004334CE">
            <w:pPr>
              <w:jc w:val="center"/>
              <w:rPr>
                <w:noProof/>
              </w:rPr>
            </w:pPr>
          </w:p>
        </w:tc>
        <w:tc>
          <w:tcPr>
            <w:tcW w:w="1185" w:type="dxa"/>
          </w:tcPr>
          <w:p w14:paraId="05B7CE03" w14:textId="77777777" w:rsidR="004334CE" w:rsidRPr="004F01E9" w:rsidRDefault="004334CE" w:rsidP="004334CE">
            <w:pPr>
              <w:jc w:val="center"/>
              <w:rPr>
                <w:noProof/>
              </w:rPr>
            </w:pPr>
            <w:r w:rsidRPr="004F01E9">
              <w:rPr>
                <w:noProof/>
              </w:rPr>
              <w:t>Rozvinuté hospodárstvo</w:t>
            </w:r>
          </w:p>
        </w:tc>
        <w:tc>
          <w:tcPr>
            <w:tcW w:w="4189" w:type="dxa"/>
          </w:tcPr>
          <w:p w14:paraId="77670E9F" w14:textId="7ABF13D8" w:rsidR="004334CE" w:rsidRPr="004F01E9" w:rsidRDefault="004334CE" w:rsidP="004334CE">
            <w:pPr>
              <w:jc w:val="center"/>
              <w:rPr>
                <w:noProof/>
              </w:rPr>
            </w:pPr>
            <w:r w:rsidRPr="004F01E9">
              <w:rPr>
                <w:noProof/>
              </w:rPr>
              <w:t>Všetky sektory opísané</w:t>
            </w:r>
            <w:r w:rsidR="004F01E9">
              <w:rPr>
                <w:noProof/>
              </w:rPr>
              <w:t xml:space="preserve"> v </w:t>
            </w:r>
            <w:r w:rsidRPr="004F01E9">
              <w:rPr>
                <w:noProof/>
              </w:rPr>
              <w:t>skupinách číslo 5, 6, 7</w:t>
            </w:r>
            <w:r w:rsidR="004F01E9">
              <w:rPr>
                <w:noProof/>
              </w:rPr>
              <w:t xml:space="preserve"> a </w:t>
            </w:r>
            <w:r w:rsidRPr="004F01E9">
              <w:rPr>
                <w:noProof/>
              </w:rPr>
              <w:t>8</w:t>
            </w:r>
          </w:p>
        </w:tc>
        <w:tc>
          <w:tcPr>
            <w:tcW w:w="1571" w:type="dxa"/>
          </w:tcPr>
          <w:p w14:paraId="47A8D92E" w14:textId="4C62CBC1" w:rsidR="004334CE" w:rsidRPr="004F01E9" w:rsidRDefault="004334CE" w:rsidP="004334CE">
            <w:pPr>
              <w:jc w:val="center"/>
              <w:rPr>
                <w:noProof/>
              </w:rPr>
            </w:pPr>
            <w:r w:rsidRPr="004F01E9">
              <w:rPr>
                <w:noProof/>
              </w:rPr>
              <w:t>50</w:t>
            </w:r>
            <w:r w:rsidR="004F01E9">
              <w:rPr>
                <w:noProof/>
              </w:rPr>
              <w:t> %</w:t>
            </w:r>
          </w:p>
        </w:tc>
      </w:tr>
      <w:tr w:rsidR="004334CE" w:rsidRPr="004F01E9" w14:paraId="2A963F00" w14:textId="77777777" w:rsidTr="004334CE">
        <w:tc>
          <w:tcPr>
            <w:tcW w:w="240" w:type="dxa"/>
          </w:tcPr>
          <w:p w14:paraId="32DED32C" w14:textId="77777777" w:rsidR="004334CE" w:rsidRPr="004F01E9" w:rsidRDefault="004334CE" w:rsidP="004334CE">
            <w:pPr>
              <w:jc w:val="center"/>
              <w:rPr>
                <w:noProof/>
              </w:rPr>
            </w:pPr>
            <w:r w:rsidRPr="004F01E9">
              <w:rPr>
                <w:noProof/>
              </w:rPr>
              <w:t>11</w:t>
            </w:r>
          </w:p>
        </w:tc>
        <w:tc>
          <w:tcPr>
            <w:tcW w:w="6782" w:type="dxa"/>
            <w:gridSpan w:val="3"/>
          </w:tcPr>
          <w:p w14:paraId="295801E6" w14:textId="77777777" w:rsidR="004334CE" w:rsidRPr="004F01E9" w:rsidRDefault="004334CE" w:rsidP="004334CE">
            <w:pPr>
              <w:jc w:val="center"/>
              <w:rPr>
                <w:noProof/>
              </w:rPr>
            </w:pPr>
            <w:r w:rsidRPr="004F01E9">
              <w:rPr>
                <w:noProof/>
              </w:rPr>
              <w:t>Iný sektor</w:t>
            </w:r>
          </w:p>
        </w:tc>
        <w:tc>
          <w:tcPr>
            <w:tcW w:w="1571" w:type="dxa"/>
          </w:tcPr>
          <w:p w14:paraId="304D8FE6" w14:textId="0A7F7CA7" w:rsidR="004334CE" w:rsidRPr="004F01E9" w:rsidRDefault="004334CE" w:rsidP="004334CE">
            <w:pPr>
              <w:jc w:val="center"/>
              <w:rPr>
                <w:noProof/>
              </w:rPr>
            </w:pPr>
            <w:r w:rsidRPr="004F01E9">
              <w:rPr>
                <w:noProof/>
              </w:rPr>
              <w:t>70</w:t>
            </w:r>
            <w:r w:rsidR="004F01E9">
              <w:rPr>
                <w:noProof/>
              </w:rPr>
              <w:t> %</w:t>
            </w:r>
          </w:p>
        </w:tc>
      </w:tr>
      <w:tr w:rsidR="004334CE" w:rsidRPr="004F01E9" w14:paraId="52B4BAFD" w14:textId="77777777" w:rsidTr="004334CE">
        <w:tc>
          <w:tcPr>
            <w:tcW w:w="240" w:type="dxa"/>
          </w:tcPr>
          <w:p w14:paraId="60FBB1AC" w14:textId="77777777" w:rsidR="004334CE" w:rsidRPr="004F01E9" w:rsidRDefault="004334CE" w:rsidP="004334CE">
            <w:pPr>
              <w:jc w:val="center"/>
              <w:rPr>
                <w:noProof/>
              </w:rPr>
            </w:pPr>
            <w:r w:rsidRPr="004F01E9">
              <w:rPr>
                <w:noProof/>
              </w:rPr>
              <w:t>12</w:t>
            </w:r>
          </w:p>
        </w:tc>
        <w:tc>
          <w:tcPr>
            <w:tcW w:w="1408" w:type="dxa"/>
          </w:tcPr>
          <w:p w14:paraId="32DC090C" w14:textId="77777777" w:rsidR="004334CE" w:rsidRPr="004F01E9" w:rsidRDefault="004334CE" w:rsidP="004334CE">
            <w:pPr>
              <w:jc w:val="center"/>
              <w:rPr>
                <w:noProof/>
              </w:rPr>
            </w:pPr>
            <w:r w:rsidRPr="004F01E9">
              <w:rPr>
                <w:noProof/>
              </w:rPr>
              <w:t>Veľká</w:t>
            </w:r>
          </w:p>
        </w:tc>
        <w:tc>
          <w:tcPr>
            <w:tcW w:w="1185" w:type="dxa"/>
          </w:tcPr>
          <w:p w14:paraId="3E53EAF9" w14:textId="77777777" w:rsidR="004334CE" w:rsidRPr="004F01E9" w:rsidRDefault="004334CE" w:rsidP="004334CE">
            <w:pPr>
              <w:jc w:val="center"/>
              <w:rPr>
                <w:noProof/>
              </w:rPr>
            </w:pPr>
            <w:r w:rsidRPr="004F01E9">
              <w:rPr>
                <w:noProof/>
              </w:rPr>
              <w:t>Rozvinuté hospodárstvo</w:t>
            </w:r>
          </w:p>
        </w:tc>
        <w:tc>
          <w:tcPr>
            <w:tcW w:w="4189" w:type="dxa"/>
          </w:tcPr>
          <w:p w14:paraId="346A3597" w14:textId="77777777" w:rsidR="004334CE" w:rsidRPr="004F01E9" w:rsidRDefault="004334CE" w:rsidP="004334CE">
            <w:pPr>
              <w:jc w:val="center"/>
              <w:rPr>
                <w:noProof/>
              </w:rPr>
            </w:pPr>
            <w:r w:rsidRPr="004F01E9">
              <w:rPr>
                <w:noProof/>
              </w:rPr>
              <w:t>Kvalifikované indexy</w:t>
            </w:r>
          </w:p>
        </w:tc>
        <w:tc>
          <w:tcPr>
            <w:tcW w:w="1571" w:type="dxa"/>
          </w:tcPr>
          <w:p w14:paraId="6996A13E" w14:textId="737A1A6D" w:rsidR="004334CE" w:rsidRPr="004F01E9" w:rsidRDefault="004334CE" w:rsidP="004334CE">
            <w:pPr>
              <w:jc w:val="center"/>
              <w:rPr>
                <w:noProof/>
              </w:rPr>
            </w:pPr>
            <w:r w:rsidRPr="004F01E9">
              <w:rPr>
                <w:noProof/>
              </w:rPr>
              <w:t>15</w:t>
            </w:r>
            <w:r w:rsidR="004F01E9">
              <w:rPr>
                <w:noProof/>
              </w:rPr>
              <w:t> %</w:t>
            </w:r>
          </w:p>
        </w:tc>
      </w:tr>
      <w:tr w:rsidR="004334CE" w:rsidRPr="004F01E9" w14:paraId="062F7000" w14:textId="77777777" w:rsidTr="004334CE">
        <w:tc>
          <w:tcPr>
            <w:tcW w:w="240" w:type="dxa"/>
          </w:tcPr>
          <w:p w14:paraId="7A765239" w14:textId="77777777" w:rsidR="004334CE" w:rsidRPr="004F01E9" w:rsidRDefault="004334CE" w:rsidP="004334CE">
            <w:pPr>
              <w:jc w:val="center"/>
              <w:rPr>
                <w:noProof/>
              </w:rPr>
            </w:pPr>
            <w:r w:rsidRPr="004F01E9">
              <w:rPr>
                <w:noProof/>
              </w:rPr>
              <w:t>13</w:t>
            </w:r>
          </w:p>
        </w:tc>
        <w:tc>
          <w:tcPr>
            <w:tcW w:w="2593" w:type="dxa"/>
            <w:gridSpan w:val="2"/>
          </w:tcPr>
          <w:p w14:paraId="283D5E80" w14:textId="77777777" w:rsidR="004334CE" w:rsidRPr="004F01E9" w:rsidRDefault="004334CE" w:rsidP="004334CE">
            <w:pPr>
              <w:jc w:val="center"/>
              <w:rPr>
                <w:noProof/>
              </w:rPr>
            </w:pPr>
            <w:r w:rsidRPr="004F01E9">
              <w:rPr>
                <w:noProof/>
              </w:rPr>
              <w:t>Iná</w:t>
            </w:r>
          </w:p>
        </w:tc>
        <w:tc>
          <w:tcPr>
            <w:tcW w:w="4189" w:type="dxa"/>
          </w:tcPr>
          <w:p w14:paraId="555F2FD6" w14:textId="77777777" w:rsidR="004334CE" w:rsidRPr="004F01E9" w:rsidRDefault="004334CE" w:rsidP="004334CE">
            <w:pPr>
              <w:jc w:val="center"/>
              <w:rPr>
                <w:noProof/>
              </w:rPr>
            </w:pPr>
            <w:r w:rsidRPr="004F01E9">
              <w:rPr>
                <w:noProof/>
              </w:rPr>
              <w:t>Kvalifikované indexy</w:t>
            </w:r>
          </w:p>
        </w:tc>
        <w:tc>
          <w:tcPr>
            <w:tcW w:w="1571" w:type="dxa"/>
          </w:tcPr>
          <w:p w14:paraId="3FBB0EB1" w14:textId="06426CA2" w:rsidR="004334CE" w:rsidRPr="004F01E9" w:rsidRDefault="004334CE" w:rsidP="004334CE">
            <w:pPr>
              <w:jc w:val="center"/>
              <w:rPr>
                <w:noProof/>
              </w:rPr>
            </w:pPr>
            <w:r w:rsidRPr="004F01E9">
              <w:rPr>
                <w:noProof/>
              </w:rPr>
              <w:t>25</w:t>
            </w:r>
            <w:r w:rsidR="004F01E9">
              <w:rPr>
                <w:noProof/>
              </w:rPr>
              <w:t> %</w:t>
            </w:r>
          </w:p>
        </w:tc>
      </w:tr>
    </w:tbl>
    <w:p w14:paraId="64E85F5A" w14:textId="5637F6EC" w:rsidR="004334CE" w:rsidRPr="004F01E9" w:rsidRDefault="004334CE" w:rsidP="004334CE">
      <w:pPr>
        <w:pStyle w:val="Text1"/>
        <w:rPr>
          <w:noProof/>
        </w:rPr>
      </w:pPr>
      <w:r w:rsidRPr="004F01E9">
        <w:rPr>
          <w:noProof/>
        </w:rPr>
        <w:t>2. Na účely odseku 1 sa</w:t>
      </w:r>
      <w:r w:rsidR="004F01E9">
        <w:rPr>
          <w:noProof/>
        </w:rPr>
        <w:t xml:space="preserve"> v </w:t>
      </w:r>
      <w:r w:rsidRPr="004F01E9">
        <w:rPr>
          <w:noProof/>
        </w:rPr>
        <w:t>regulačných technických predpisoch uvedených</w:t>
      </w:r>
      <w:r w:rsidR="004F01E9">
        <w:rPr>
          <w:noProof/>
        </w:rPr>
        <w:t xml:space="preserve"> v </w:t>
      </w:r>
      <w:r w:rsidRPr="004F01E9">
        <w:rPr>
          <w:noProof/>
        </w:rPr>
        <w:t>článku 325bd ods. 7 presne stanoví, čo tvorí malú</w:t>
      </w:r>
      <w:r w:rsidR="004F01E9">
        <w:rPr>
          <w:noProof/>
        </w:rPr>
        <w:t xml:space="preserve"> a </w:t>
      </w:r>
      <w:r w:rsidRPr="004F01E9">
        <w:rPr>
          <w:noProof/>
        </w:rPr>
        <w:t>veľkú trhovú kapitalizáciu.</w:t>
      </w:r>
    </w:p>
    <w:p w14:paraId="419EF81B" w14:textId="2F76248D" w:rsidR="004334CE" w:rsidRPr="006A7A28" w:rsidRDefault="004334CE" w:rsidP="004334CE">
      <w:pPr>
        <w:pStyle w:val="Text1"/>
        <w:rPr>
          <w:noProof/>
          <w:spacing w:val="-8"/>
        </w:rPr>
      </w:pPr>
      <w:r w:rsidRPr="006A7A28">
        <w:rPr>
          <w:noProof/>
          <w:spacing w:val="-8"/>
        </w:rPr>
        <w:t>3. Na účely odseku 1 sa</w:t>
      </w:r>
      <w:r w:rsidR="004F01E9" w:rsidRPr="006A7A28">
        <w:rPr>
          <w:noProof/>
          <w:spacing w:val="-8"/>
        </w:rPr>
        <w:t xml:space="preserve"> v </w:t>
      </w:r>
      <w:r w:rsidRPr="006A7A28">
        <w:rPr>
          <w:noProof/>
          <w:spacing w:val="-8"/>
        </w:rPr>
        <w:t>regulačných technických predpisoch uvedených</w:t>
      </w:r>
      <w:r w:rsidR="004F01E9" w:rsidRPr="006A7A28">
        <w:rPr>
          <w:noProof/>
          <w:spacing w:val="-8"/>
        </w:rPr>
        <w:t xml:space="preserve"> v </w:t>
      </w:r>
      <w:r w:rsidRPr="006A7A28">
        <w:rPr>
          <w:noProof/>
          <w:spacing w:val="-8"/>
        </w:rPr>
        <w:t>článku 325ap ods. 3 presne stanoví, čo tvorí rozvíjajúce sa trhové hospodárstvo</w:t>
      </w:r>
      <w:r w:rsidR="004F01E9" w:rsidRPr="006A7A28">
        <w:rPr>
          <w:noProof/>
          <w:spacing w:val="-8"/>
        </w:rPr>
        <w:t xml:space="preserve"> a </w:t>
      </w:r>
      <w:r w:rsidRPr="006A7A28">
        <w:rPr>
          <w:noProof/>
          <w:spacing w:val="-8"/>
        </w:rPr>
        <w:t>rozvinuté hospodárstvo.</w:t>
      </w:r>
    </w:p>
    <w:p w14:paraId="0AA0F9AE" w14:textId="53B536AC" w:rsidR="004334CE" w:rsidRPr="004F01E9" w:rsidRDefault="004334CE" w:rsidP="004334CE">
      <w:pPr>
        <w:pStyle w:val="Text1"/>
        <w:rPr>
          <w:noProof/>
        </w:rPr>
      </w:pPr>
      <w:r w:rsidRPr="004F01E9">
        <w:rPr>
          <w:noProof/>
        </w:rPr>
        <w:t>4. Pri zaraďovaní expozície voči rizikám</w:t>
      </w:r>
      <w:r w:rsidR="004F01E9">
        <w:rPr>
          <w:noProof/>
        </w:rPr>
        <w:t xml:space="preserve"> k </w:t>
      </w:r>
      <w:r w:rsidRPr="004F01E9">
        <w:rPr>
          <w:noProof/>
        </w:rPr>
        <w:t>sektoru sa inštitúcie spoliehajú na klasifikáciu, ktorá sa bežne používa na trhu na zoskupovanie emitentov podľa priemyselného odvetvia. Inštitúcie zaradia každého emitenta do jednej zo sektorových skupín uvedených</w:t>
      </w:r>
      <w:r w:rsidR="004F01E9">
        <w:rPr>
          <w:noProof/>
        </w:rPr>
        <w:t xml:space="preserve"> v </w:t>
      </w:r>
      <w:r w:rsidRPr="004F01E9">
        <w:rPr>
          <w:noProof/>
        </w:rPr>
        <w:t>odseku 1 tabuľke 6</w:t>
      </w:r>
      <w:r w:rsidR="004F01E9">
        <w:rPr>
          <w:noProof/>
        </w:rPr>
        <w:t xml:space="preserve"> a </w:t>
      </w:r>
      <w:r w:rsidRPr="004F01E9">
        <w:rPr>
          <w:noProof/>
        </w:rPr>
        <w:t>zaradia všetkých emitentov</w:t>
      </w:r>
      <w:r w:rsidR="004F01E9">
        <w:rPr>
          <w:noProof/>
        </w:rPr>
        <w:t xml:space="preserve"> z </w:t>
      </w:r>
      <w:r w:rsidRPr="004F01E9">
        <w:rPr>
          <w:noProof/>
        </w:rPr>
        <w:t>rovnakého priemyselného odvetvia do rovnakého sektora. Rizikové expozície súvisiace</w:t>
      </w:r>
      <w:r w:rsidR="004F01E9">
        <w:rPr>
          <w:noProof/>
        </w:rPr>
        <w:t xml:space="preserve"> s </w:t>
      </w:r>
      <w:r w:rsidRPr="004F01E9">
        <w:rPr>
          <w:noProof/>
        </w:rPr>
        <w:t>akýmkoľvek emitentom, ktorého úverová inštitúcia nedokáže takto zaradiť do nejakého sektora, sa zaradia do skupiny 11. Nadnárodní alebo viacodvetvoví emitenti akcií sa zaradia do konkrétnej skupiny na základe najvýznamnejšieho regiónu</w:t>
      </w:r>
      <w:r w:rsidR="004F01E9">
        <w:rPr>
          <w:noProof/>
        </w:rPr>
        <w:t xml:space="preserve"> a </w:t>
      </w:r>
      <w:r w:rsidRPr="004F01E9">
        <w:rPr>
          <w:noProof/>
        </w:rPr>
        <w:t>sektora,</w:t>
      </w:r>
      <w:r w:rsidR="004F01E9">
        <w:rPr>
          <w:noProof/>
        </w:rPr>
        <w:t xml:space="preserve"> v </w:t>
      </w:r>
      <w:r w:rsidRPr="004F01E9">
        <w:rPr>
          <w:noProof/>
        </w:rPr>
        <w:t>ktorom emitent akcií pôsobí.</w:t>
      </w:r>
    </w:p>
    <w:p w14:paraId="5C9741D4" w14:textId="5EEEAB42" w:rsidR="004334CE" w:rsidRPr="004F01E9" w:rsidRDefault="004334CE" w:rsidP="004334CE">
      <w:pPr>
        <w:pStyle w:val="Text1"/>
        <w:rPr>
          <w:noProof/>
        </w:rPr>
      </w:pPr>
      <w:r w:rsidRPr="004F01E9">
        <w:rPr>
          <w:noProof/>
        </w:rPr>
        <w:t>5. Rizikové váhy pre akciové riziko vega sa stanovujú na 78</w:t>
      </w:r>
      <w:r w:rsidR="004F01E9">
        <w:rPr>
          <w:noProof/>
        </w:rPr>
        <w:t> %</w:t>
      </w:r>
      <w:r w:rsidRPr="004F01E9">
        <w:rPr>
          <w:noProof/>
        </w:rPr>
        <w:t xml:space="preserve"> pre skupiny 1 až 8</w:t>
      </w:r>
      <w:r w:rsidR="004F01E9">
        <w:rPr>
          <w:noProof/>
        </w:rPr>
        <w:t xml:space="preserve"> a </w:t>
      </w:r>
      <w:r w:rsidRPr="004F01E9">
        <w:rPr>
          <w:noProof/>
        </w:rPr>
        <w:t>skupinu 12,</w:t>
      </w:r>
      <w:r w:rsidR="004F01E9">
        <w:rPr>
          <w:noProof/>
        </w:rPr>
        <w:t xml:space="preserve"> a </w:t>
      </w:r>
      <w:r w:rsidRPr="004F01E9">
        <w:rPr>
          <w:noProof/>
        </w:rPr>
        <w:t>na 100</w:t>
      </w:r>
      <w:r w:rsidR="004F01E9">
        <w:rPr>
          <w:noProof/>
        </w:rPr>
        <w:t> %</w:t>
      </w:r>
      <w:r w:rsidRPr="004F01E9">
        <w:rPr>
          <w:noProof/>
        </w:rPr>
        <w:t xml:space="preserve"> pre všetky ostatné skupiny.</w:t>
      </w:r>
    </w:p>
    <w:p w14:paraId="31C55601" w14:textId="77777777" w:rsidR="004334CE" w:rsidRPr="004F01E9" w:rsidRDefault="004334CE" w:rsidP="004334CE">
      <w:pPr>
        <w:pStyle w:val="Titrearticle"/>
        <w:rPr>
          <w:noProof/>
        </w:rPr>
      </w:pPr>
      <w:r w:rsidRPr="004F01E9">
        <w:rPr>
          <w:noProof/>
        </w:rPr>
        <w:t xml:space="preserve">Článok 383u </w:t>
      </w:r>
      <w:r w:rsidRPr="004F01E9">
        <w:rPr>
          <w:noProof/>
        </w:rPr>
        <w:br/>
      </w:r>
      <w:r w:rsidRPr="004F01E9">
        <w:rPr>
          <w:b/>
          <w:i w:val="0"/>
          <w:noProof/>
        </w:rPr>
        <w:t>Korelácie naprieč skupinami pre akciové riziko</w:t>
      </w:r>
    </w:p>
    <w:p w14:paraId="7A814518" w14:textId="784D3E0E" w:rsidR="004334CE" w:rsidRPr="004F01E9" w:rsidRDefault="004334CE" w:rsidP="004334CE">
      <w:pPr>
        <w:pStyle w:val="Text1"/>
        <w:rPr>
          <w:noProof/>
        </w:rPr>
      </w:pPr>
      <w:r w:rsidRPr="004F01E9">
        <w:rPr>
          <w:noProof/>
        </w:rPr>
        <w:t>Korelačný parameter krížovej skupiny pre akciové riziko delta</w:t>
      </w:r>
      <w:r w:rsidR="004F01E9">
        <w:rPr>
          <w:noProof/>
        </w:rPr>
        <w:t xml:space="preserve"> a </w:t>
      </w:r>
      <w:r w:rsidRPr="004F01E9">
        <w:rPr>
          <w:noProof/>
        </w:rPr>
        <w:t>vega sa nastaví na:</w:t>
      </w:r>
    </w:p>
    <w:p w14:paraId="4C4496AA" w14:textId="27509662" w:rsidR="004334CE" w:rsidRPr="006A7A28" w:rsidRDefault="004334CE" w:rsidP="004334CE">
      <w:pPr>
        <w:pStyle w:val="Point1"/>
        <w:rPr>
          <w:noProof/>
          <w:spacing w:val="-4"/>
        </w:rPr>
      </w:pPr>
      <w:r w:rsidRPr="006A7A28">
        <w:rPr>
          <w:noProof/>
          <w:spacing w:val="-4"/>
        </w:rPr>
        <w:t>a)</w:t>
      </w:r>
      <w:r w:rsidRPr="006A7A28">
        <w:rPr>
          <w:noProof/>
          <w:spacing w:val="-4"/>
        </w:rPr>
        <w:tab/>
        <w:t>15</w:t>
      </w:r>
      <w:r w:rsidR="004F01E9" w:rsidRPr="006A7A28">
        <w:rPr>
          <w:noProof/>
          <w:spacing w:val="-4"/>
        </w:rPr>
        <w:t> %</w:t>
      </w:r>
      <w:r w:rsidRPr="006A7A28">
        <w:rPr>
          <w:noProof/>
          <w:spacing w:val="-4"/>
        </w:rPr>
        <w:t>, ak tieto dve skupiny patria do skupín 1 až 10</w:t>
      </w:r>
      <w:r w:rsidR="004F01E9" w:rsidRPr="006A7A28">
        <w:rPr>
          <w:noProof/>
          <w:spacing w:val="-4"/>
        </w:rPr>
        <w:t xml:space="preserve"> v </w:t>
      </w:r>
      <w:r w:rsidRPr="006A7A28">
        <w:rPr>
          <w:noProof/>
          <w:spacing w:val="-4"/>
        </w:rPr>
        <w:t>článku 383t ods. 1 tabuľke 6;</w:t>
      </w:r>
    </w:p>
    <w:p w14:paraId="7E54D5CA" w14:textId="4BF4EB39" w:rsidR="004334CE" w:rsidRPr="006A7A28" w:rsidRDefault="004334CE" w:rsidP="004334CE">
      <w:pPr>
        <w:pStyle w:val="Point1"/>
        <w:rPr>
          <w:noProof/>
          <w:spacing w:val="-4"/>
        </w:rPr>
      </w:pPr>
      <w:r w:rsidRPr="006A7A28">
        <w:rPr>
          <w:noProof/>
          <w:spacing w:val="-4"/>
        </w:rPr>
        <w:t>b)</w:t>
      </w:r>
      <w:r w:rsidRPr="006A7A28">
        <w:rPr>
          <w:noProof/>
          <w:spacing w:val="-4"/>
        </w:rPr>
        <w:tab/>
        <w:t>75</w:t>
      </w:r>
      <w:r w:rsidR="004F01E9" w:rsidRPr="006A7A28">
        <w:rPr>
          <w:noProof/>
          <w:spacing w:val="-4"/>
        </w:rPr>
        <w:t> %</w:t>
      </w:r>
      <w:r w:rsidRPr="006A7A28">
        <w:rPr>
          <w:noProof/>
          <w:spacing w:val="-4"/>
        </w:rPr>
        <w:t>, ak sú tieto dve skupiny skupinami 12</w:t>
      </w:r>
      <w:r w:rsidR="004F01E9" w:rsidRPr="006A7A28">
        <w:rPr>
          <w:noProof/>
          <w:spacing w:val="-4"/>
        </w:rPr>
        <w:t xml:space="preserve"> a </w:t>
      </w:r>
      <w:r w:rsidRPr="006A7A28">
        <w:rPr>
          <w:noProof/>
          <w:spacing w:val="-4"/>
        </w:rPr>
        <w:t>13</w:t>
      </w:r>
      <w:r w:rsidR="004F01E9" w:rsidRPr="006A7A28">
        <w:rPr>
          <w:noProof/>
          <w:spacing w:val="-4"/>
        </w:rPr>
        <w:t xml:space="preserve"> v </w:t>
      </w:r>
      <w:r w:rsidRPr="006A7A28">
        <w:rPr>
          <w:noProof/>
          <w:spacing w:val="-4"/>
        </w:rPr>
        <w:t>článku 383t ods. 1 tabuľke 6;</w:t>
      </w:r>
    </w:p>
    <w:p w14:paraId="179AA504" w14:textId="6700D53F" w:rsidR="004334CE" w:rsidRPr="006A7A28" w:rsidRDefault="004334CE" w:rsidP="004334CE">
      <w:pPr>
        <w:pStyle w:val="Point1"/>
        <w:rPr>
          <w:noProof/>
          <w:spacing w:val="-4"/>
        </w:rPr>
      </w:pPr>
      <w:r w:rsidRPr="006A7A28">
        <w:rPr>
          <w:noProof/>
          <w:spacing w:val="-4"/>
        </w:rPr>
        <w:t>c)</w:t>
      </w:r>
      <w:r w:rsidRPr="006A7A28">
        <w:rPr>
          <w:noProof/>
          <w:spacing w:val="-4"/>
        </w:rPr>
        <w:tab/>
        <w:t>45</w:t>
      </w:r>
      <w:r w:rsidR="004F01E9" w:rsidRPr="006A7A28">
        <w:rPr>
          <w:noProof/>
          <w:spacing w:val="-4"/>
        </w:rPr>
        <w:t> %</w:t>
      </w:r>
      <w:r w:rsidRPr="006A7A28">
        <w:rPr>
          <w:noProof/>
          <w:spacing w:val="-4"/>
        </w:rPr>
        <w:t>, ak jedna zo skupín je skupina 12</w:t>
      </w:r>
      <w:r w:rsidR="004F01E9" w:rsidRPr="006A7A28">
        <w:rPr>
          <w:noProof/>
          <w:spacing w:val="-4"/>
        </w:rPr>
        <w:t xml:space="preserve"> a </w:t>
      </w:r>
      <w:r w:rsidRPr="006A7A28">
        <w:rPr>
          <w:noProof/>
          <w:spacing w:val="-4"/>
        </w:rPr>
        <w:t>13</w:t>
      </w:r>
      <w:r w:rsidR="004F01E9" w:rsidRPr="006A7A28">
        <w:rPr>
          <w:noProof/>
          <w:spacing w:val="-4"/>
        </w:rPr>
        <w:t xml:space="preserve"> v </w:t>
      </w:r>
      <w:r w:rsidRPr="006A7A28">
        <w:rPr>
          <w:noProof/>
          <w:spacing w:val="-4"/>
        </w:rPr>
        <w:t>článku 383t ods. 1 tabuľke 6</w:t>
      </w:r>
      <w:r w:rsidR="004F01E9" w:rsidRPr="006A7A28">
        <w:rPr>
          <w:noProof/>
          <w:spacing w:val="-4"/>
        </w:rPr>
        <w:t xml:space="preserve"> a </w:t>
      </w:r>
      <w:r w:rsidRPr="006A7A28">
        <w:rPr>
          <w:noProof/>
          <w:spacing w:val="-4"/>
        </w:rPr>
        <w:t>druhá skupina patrí do skupín 1 až 10</w:t>
      </w:r>
      <w:r w:rsidR="004F01E9" w:rsidRPr="006A7A28">
        <w:rPr>
          <w:noProof/>
          <w:spacing w:val="-4"/>
        </w:rPr>
        <w:t xml:space="preserve"> v </w:t>
      </w:r>
      <w:r w:rsidRPr="006A7A28">
        <w:rPr>
          <w:noProof/>
          <w:spacing w:val="-4"/>
        </w:rPr>
        <w:t>článku 383t ods. 1 tabuľke 6;</w:t>
      </w:r>
    </w:p>
    <w:p w14:paraId="22B93D08" w14:textId="2D33818F" w:rsidR="004334CE" w:rsidRPr="006A7A28" w:rsidRDefault="004334CE" w:rsidP="004334CE">
      <w:pPr>
        <w:pStyle w:val="Point1"/>
        <w:rPr>
          <w:noProof/>
          <w:spacing w:val="-4"/>
        </w:rPr>
      </w:pPr>
      <w:r w:rsidRPr="006A7A28">
        <w:rPr>
          <w:noProof/>
          <w:spacing w:val="-4"/>
        </w:rPr>
        <w:t>d)</w:t>
      </w:r>
      <w:r w:rsidRPr="006A7A28">
        <w:rPr>
          <w:noProof/>
          <w:spacing w:val="-4"/>
        </w:rPr>
        <w:tab/>
        <w:t>0</w:t>
      </w:r>
      <w:r w:rsidR="004F01E9" w:rsidRPr="006A7A28">
        <w:rPr>
          <w:noProof/>
          <w:spacing w:val="-4"/>
        </w:rPr>
        <w:t> %</w:t>
      </w:r>
      <w:r w:rsidRPr="006A7A28">
        <w:rPr>
          <w:noProof/>
          <w:spacing w:val="-4"/>
        </w:rPr>
        <w:t>, ak jedna</w:t>
      </w:r>
      <w:r w:rsidR="004F01E9" w:rsidRPr="006A7A28">
        <w:rPr>
          <w:noProof/>
          <w:spacing w:val="-4"/>
        </w:rPr>
        <w:t xml:space="preserve"> z </w:t>
      </w:r>
      <w:r w:rsidRPr="006A7A28">
        <w:rPr>
          <w:noProof/>
          <w:spacing w:val="-4"/>
        </w:rPr>
        <w:t>týchto dvoch skupín je skupina 11</w:t>
      </w:r>
      <w:r w:rsidR="004F01E9" w:rsidRPr="006A7A28">
        <w:rPr>
          <w:noProof/>
          <w:spacing w:val="-4"/>
        </w:rPr>
        <w:t xml:space="preserve"> v </w:t>
      </w:r>
      <w:r w:rsidRPr="006A7A28">
        <w:rPr>
          <w:noProof/>
          <w:spacing w:val="-4"/>
        </w:rPr>
        <w:t>článku 383t ods. 1 tabuľke 6.</w:t>
      </w:r>
    </w:p>
    <w:p w14:paraId="376726AF" w14:textId="77777777" w:rsidR="004334CE" w:rsidRPr="004F01E9" w:rsidRDefault="004334CE" w:rsidP="004334CE">
      <w:pPr>
        <w:pStyle w:val="Titrearticle"/>
        <w:rPr>
          <w:noProof/>
        </w:rPr>
      </w:pPr>
      <w:r w:rsidRPr="004F01E9">
        <w:rPr>
          <w:noProof/>
        </w:rPr>
        <w:t xml:space="preserve">Článok 383v </w:t>
      </w:r>
      <w:r w:rsidRPr="004F01E9">
        <w:rPr>
          <w:noProof/>
        </w:rPr>
        <w:br/>
        <w:t>Rizikové váhy skupín pre komoditné riziko</w:t>
      </w:r>
    </w:p>
    <w:p w14:paraId="0B43EC0E" w14:textId="7B769FB5" w:rsidR="004334CE" w:rsidRPr="004F01E9" w:rsidRDefault="004334CE" w:rsidP="004334CE">
      <w:pPr>
        <w:pStyle w:val="Text1"/>
        <w:rPr>
          <w:noProof/>
        </w:rPr>
      </w:pPr>
      <w:r w:rsidRPr="004F01E9">
        <w:rPr>
          <w:noProof/>
        </w:rPr>
        <w:t>1. Rizikové váhy pre citlivosti delta na faktory rizika spotovej ceny komodity sú rovnaké pre všetky expozície voči komoditnému riziku</w:t>
      </w:r>
      <w:r w:rsidR="004F01E9">
        <w:rPr>
          <w:noProof/>
        </w:rPr>
        <w:t xml:space="preserve"> v </w:t>
      </w:r>
      <w:r w:rsidRPr="004F01E9">
        <w:rPr>
          <w:noProof/>
        </w:rPr>
        <w:t>rámci každej skupiny</w:t>
      </w:r>
      <w:r w:rsidR="004F01E9">
        <w:rPr>
          <w:noProof/>
        </w:rPr>
        <w:t xml:space="preserve"> v </w:t>
      </w:r>
      <w:r w:rsidRPr="004F01E9">
        <w:rPr>
          <w:noProof/>
        </w:rPr>
        <w:t>tabuľke 7,</w:t>
      </w:r>
      <w:r w:rsidR="004F01E9">
        <w:rPr>
          <w:noProof/>
        </w:rPr>
        <w:t xml:space="preserve"> a </w:t>
      </w:r>
      <w:r w:rsidRPr="004F01E9">
        <w:rPr>
          <w:noProof/>
        </w:rPr>
        <w:t>sú tieto:</w:t>
      </w:r>
    </w:p>
    <w:p w14:paraId="47C39ED1" w14:textId="77777777" w:rsidR="004334CE" w:rsidRPr="004F01E9" w:rsidRDefault="004334CE" w:rsidP="00FB6CE6">
      <w:pPr>
        <w:pStyle w:val="Text1"/>
        <w:jc w:val="center"/>
        <w:rPr>
          <w:noProof/>
        </w:rPr>
      </w:pPr>
      <w:r w:rsidRPr="004F01E9">
        <w:rPr>
          <w:noProof/>
        </w:rPr>
        <w:t>Tabuľka 7</w:t>
      </w:r>
    </w:p>
    <w:tbl>
      <w:tblPr>
        <w:tblStyle w:val="TableGrid"/>
        <w:tblW w:w="0" w:type="auto"/>
        <w:jc w:val="center"/>
        <w:tblLook w:val="04A0" w:firstRow="1" w:lastRow="0" w:firstColumn="1" w:lastColumn="0" w:noHBand="0" w:noVBand="1"/>
      </w:tblPr>
      <w:tblGrid>
        <w:gridCol w:w="977"/>
        <w:gridCol w:w="4189"/>
        <w:gridCol w:w="1571"/>
      </w:tblGrid>
      <w:tr w:rsidR="004334CE" w:rsidRPr="004F01E9" w14:paraId="6D8298D9" w14:textId="77777777" w:rsidTr="004334CE">
        <w:trPr>
          <w:jc w:val="center"/>
        </w:trPr>
        <w:tc>
          <w:tcPr>
            <w:tcW w:w="889" w:type="dxa"/>
          </w:tcPr>
          <w:p w14:paraId="36B08793" w14:textId="77777777" w:rsidR="004334CE" w:rsidRPr="004F01E9" w:rsidRDefault="004334CE" w:rsidP="004334CE">
            <w:pPr>
              <w:jc w:val="center"/>
              <w:rPr>
                <w:noProof/>
              </w:rPr>
            </w:pPr>
            <w:r w:rsidRPr="004F01E9">
              <w:rPr>
                <w:noProof/>
              </w:rPr>
              <w:t>Číslo skupiny</w:t>
            </w:r>
          </w:p>
        </w:tc>
        <w:tc>
          <w:tcPr>
            <w:tcW w:w="4189" w:type="dxa"/>
          </w:tcPr>
          <w:p w14:paraId="2D4DEF77" w14:textId="77777777" w:rsidR="004334CE" w:rsidRPr="004F01E9" w:rsidRDefault="004334CE" w:rsidP="004334CE">
            <w:pPr>
              <w:jc w:val="center"/>
              <w:rPr>
                <w:noProof/>
              </w:rPr>
            </w:pPr>
            <w:r w:rsidRPr="004F01E9">
              <w:rPr>
                <w:noProof/>
              </w:rPr>
              <w:t>Názov skupiny</w:t>
            </w:r>
          </w:p>
        </w:tc>
        <w:tc>
          <w:tcPr>
            <w:tcW w:w="1571" w:type="dxa"/>
          </w:tcPr>
          <w:p w14:paraId="21E872A3" w14:textId="77777777" w:rsidR="004334CE" w:rsidRPr="004F01E9" w:rsidRDefault="004334CE" w:rsidP="004334CE">
            <w:pPr>
              <w:jc w:val="center"/>
              <w:rPr>
                <w:noProof/>
              </w:rPr>
            </w:pPr>
            <w:r w:rsidRPr="004F01E9">
              <w:rPr>
                <w:noProof/>
              </w:rPr>
              <w:t xml:space="preserve">Riziková váha pre spotovú cenu komodity </w:t>
            </w:r>
            <w:r w:rsidRPr="004F01E9">
              <w:rPr>
                <w:noProof/>
              </w:rPr>
              <w:br/>
              <w:t>(percentuálne body)</w:t>
            </w:r>
          </w:p>
        </w:tc>
      </w:tr>
      <w:tr w:rsidR="004334CE" w:rsidRPr="004F01E9" w14:paraId="275A2AD6" w14:textId="77777777" w:rsidTr="004334CE">
        <w:trPr>
          <w:jc w:val="center"/>
        </w:trPr>
        <w:tc>
          <w:tcPr>
            <w:tcW w:w="889" w:type="dxa"/>
          </w:tcPr>
          <w:p w14:paraId="462EC188" w14:textId="77777777" w:rsidR="004334CE" w:rsidRPr="004F01E9" w:rsidRDefault="004334CE" w:rsidP="004334CE">
            <w:pPr>
              <w:jc w:val="center"/>
              <w:rPr>
                <w:noProof/>
              </w:rPr>
            </w:pPr>
            <w:r w:rsidRPr="004F01E9">
              <w:rPr>
                <w:noProof/>
              </w:rPr>
              <w:t>1</w:t>
            </w:r>
          </w:p>
        </w:tc>
        <w:tc>
          <w:tcPr>
            <w:tcW w:w="4189" w:type="dxa"/>
          </w:tcPr>
          <w:p w14:paraId="0AC34C43" w14:textId="77777777" w:rsidR="004334CE" w:rsidRPr="004F01E9" w:rsidRDefault="004334CE" w:rsidP="004334CE">
            <w:pPr>
              <w:jc w:val="center"/>
              <w:rPr>
                <w:noProof/>
              </w:rPr>
            </w:pPr>
            <w:r w:rsidRPr="004F01E9">
              <w:rPr>
                <w:noProof/>
              </w:rPr>
              <w:t>Energia – tuhé palivá</w:t>
            </w:r>
          </w:p>
        </w:tc>
        <w:tc>
          <w:tcPr>
            <w:tcW w:w="1571" w:type="dxa"/>
          </w:tcPr>
          <w:p w14:paraId="01514F41" w14:textId="4B49FF6E" w:rsidR="004334CE" w:rsidRPr="004F01E9" w:rsidRDefault="004334CE" w:rsidP="004334CE">
            <w:pPr>
              <w:jc w:val="center"/>
              <w:rPr>
                <w:noProof/>
              </w:rPr>
            </w:pPr>
            <w:r w:rsidRPr="004F01E9">
              <w:rPr>
                <w:noProof/>
              </w:rPr>
              <w:t>30</w:t>
            </w:r>
            <w:r w:rsidR="004F01E9">
              <w:rPr>
                <w:noProof/>
              </w:rPr>
              <w:t> %</w:t>
            </w:r>
          </w:p>
        </w:tc>
      </w:tr>
      <w:tr w:rsidR="004334CE" w:rsidRPr="004F01E9" w14:paraId="2F96ABFD" w14:textId="77777777" w:rsidTr="004334CE">
        <w:trPr>
          <w:jc w:val="center"/>
        </w:trPr>
        <w:tc>
          <w:tcPr>
            <w:tcW w:w="889" w:type="dxa"/>
          </w:tcPr>
          <w:p w14:paraId="492A0C64" w14:textId="77777777" w:rsidR="004334CE" w:rsidRPr="004F01E9" w:rsidRDefault="004334CE" w:rsidP="004334CE">
            <w:pPr>
              <w:jc w:val="center"/>
              <w:rPr>
                <w:noProof/>
              </w:rPr>
            </w:pPr>
            <w:r w:rsidRPr="004F01E9">
              <w:rPr>
                <w:noProof/>
              </w:rPr>
              <w:t>2</w:t>
            </w:r>
          </w:p>
        </w:tc>
        <w:tc>
          <w:tcPr>
            <w:tcW w:w="4189" w:type="dxa"/>
          </w:tcPr>
          <w:p w14:paraId="6D2A2397" w14:textId="77777777" w:rsidR="004334CE" w:rsidRPr="004F01E9" w:rsidRDefault="004334CE" w:rsidP="004334CE">
            <w:pPr>
              <w:jc w:val="center"/>
              <w:rPr>
                <w:noProof/>
              </w:rPr>
            </w:pPr>
            <w:r w:rsidRPr="004F01E9">
              <w:rPr>
                <w:noProof/>
              </w:rPr>
              <w:t>Energia – tekuté palivá</w:t>
            </w:r>
          </w:p>
        </w:tc>
        <w:tc>
          <w:tcPr>
            <w:tcW w:w="1571" w:type="dxa"/>
          </w:tcPr>
          <w:p w14:paraId="04A4567D" w14:textId="51A4E16D" w:rsidR="004334CE" w:rsidRPr="004F01E9" w:rsidRDefault="004334CE" w:rsidP="004334CE">
            <w:pPr>
              <w:jc w:val="center"/>
              <w:rPr>
                <w:noProof/>
              </w:rPr>
            </w:pPr>
            <w:r w:rsidRPr="004F01E9">
              <w:rPr>
                <w:noProof/>
              </w:rPr>
              <w:t>35</w:t>
            </w:r>
            <w:r w:rsidR="004F01E9">
              <w:rPr>
                <w:noProof/>
              </w:rPr>
              <w:t> %</w:t>
            </w:r>
          </w:p>
        </w:tc>
      </w:tr>
      <w:tr w:rsidR="004334CE" w:rsidRPr="004F01E9" w14:paraId="203CB099" w14:textId="77777777" w:rsidTr="004334CE">
        <w:trPr>
          <w:jc w:val="center"/>
        </w:trPr>
        <w:tc>
          <w:tcPr>
            <w:tcW w:w="889" w:type="dxa"/>
          </w:tcPr>
          <w:p w14:paraId="4250D3B0" w14:textId="77777777" w:rsidR="004334CE" w:rsidRPr="004F01E9" w:rsidRDefault="004334CE" w:rsidP="004334CE">
            <w:pPr>
              <w:jc w:val="center"/>
              <w:rPr>
                <w:noProof/>
              </w:rPr>
            </w:pPr>
            <w:r w:rsidRPr="004F01E9">
              <w:rPr>
                <w:noProof/>
              </w:rPr>
              <w:t>3</w:t>
            </w:r>
          </w:p>
        </w:tc>
        <w:tc>
          <w:tcPr>
            <w:tcW w:w="4189" w:type="dxa"/>
          </w:tcPr>
          <w:p w14:paraId="31D5EB6B" w14:textId="77777777" w:rsidR="004334CE" w:rsidRPr="004F01E9" w:rsidRDefault="004334CE" w:rsidP="004334CE">
            <w:pPr>
              <w:jc w:val="center"/>
              <w:rPr>
                <w:noProof/>
              </w:rPr>
            </w:pPr>
            <w:r w:rsidRPr="004F01E9">
              <w:rPr>
                <w:noProof/>
              </w:rPr>
              <w:t>Energia – elektrina</w:t>
            </w:r>
          </w:p>
        </w:tc>
        <w:tc>
          <w:tcPr>
            <w:tcW w:w="1571" w:type="dxa"/>
          </w:tcPr>
          <w:p w14:paraId="76B53199" w14:textId="7C2F62C5" w:rsidR="004334CE" w:rsidRPr="004F01E9" w:rsidRDefault="004334CE" w:rsidP="004334CE">
            <w:pPr>
              <w:jc w:val="center"/>
              <w:rPr>
                <w:noProof/>
              </w:rPr>
            </w:pPr>
            <w:r w:rsidRPr="004F01E9">
              <w:rPr>
                <w:noProof/>
              </w:rPr>
              <w:t>60</w:t>
            </w:r>
            <w:r w:rsidR="004F01E9">
              <w:rPr>
                <w:noProof/>
              </w:rPr>
              <w:t> %</w:t>
            </w:r>
          </w:p>
        </w:tc>
      </w:tr>
      <w:tr w:rsidR="004334CE" w:rsidRPr="004F01E9" w14:paraId="748991D0" w14:textId="77777777" w:rsidTr="004334CE">
        <w:trPr>
          <w:jc w:val="center"/>
        </w:trPr>
        <w:tc>
          <w:tcPr>
            <w:tcW w:w="889" w:type="dxa"/>
          </w:tcPr>
          <w:p w14:paraId="534F945B" w14:textId="77777777" w:rsidR="004334CE" w:rsidRPr="004F01E9" w:rsidRDefault="004334CE" w:rsidP="004334CE">
            <w:pPr>
              <w:jc w:val="center"/>
              <w:rPr>
                <w:noProof/>
              </w:rPr>
            </w:pPr>
            <w:r w:rsidRPr="004F01E9">
              <w:rPr>
                <w:noProof/>
              </w:rPr>
              <w:t>4</w:t>
            </w:r>
          </w:p>
        </w:tc>
        <w:tc>
          <w:tcPr>
            <w:tcW w:w="4189" w:type="dxa"/>
          </w:tcPr>
          <w:p w14:paraId="2EFB386F" w14:textId="5CBC9CAE" w:rsidR="004334CE" w:rsidRPr="004F01E9" w:rsidRDefault="004334CE" w:rsidP="004334CE">
            <w:pPr>
              <w:jc w:val="center"/>
              <w:rPr>
                <w:noProof/>
              </w:rPr>
            </w:pPr>
            <w:r w:rsidRPr="004F01E9">
              <w:rPr>
                <w:noProof/>
              </w:rPr>
              <w:t>Energia – obchodovanie</w:t>
            </w:r>
            <w:r w:rsidR="004F01E9">
              <w:rPr>
                <w:noProof/>
              </w:rPr>
              <w:t xml:space="preserve"> s </w:t>
            </w:r>
            <w:r w:rsidRPr="004F01E9">
              <w:rPr>
                <w:noProof/>
              </w:rPr>
              <w:t>emisiami uhlíka</w:t>
            </w:r>
          </w:p>
        </w:tc>
        <w:tc>
          <w:tcPr>
            <w:tcW w:w="1571" w:type="dxa"/>
          </w:tcPr>
          <w:p w14:paraId="76B0B7D6" w14:textId="65A34665" w:rsidR="004334CE" w:rsidRPr="004F01E9" w:rsidRDefault="004334CE" w:rsidP="004334CE">
            <w:pPr>
              <w:jc w:val="center"/>
              <w:rPr>
                <w:noProof/>
              </w:rPr>
            </w:pPr>
            <w:r w:rsidRPr="004F01E9">
              <w:rPr>
                <w:noProof/>
              </w:rPr>
              <w:t>40</w:t>
            </w:r>
            <w:r w:rsidR="004F01E9">
              <w:rPr>
                <w:noProof/>
              </w:rPr>
              <w:t> %</w:t>
            </w:r>
          </w:p>
        </w:tc>
      </w:tr>
      <w:tr w:rsidR="004334CE" w:rsidRPr="004F01E9" w14:paraId="00B2D726" w14:textId="77777777" w:rsidTr="004334CE">
        <w:trPr>
          <w:jc w:val="center"/>
        </w:trPr>
        <w:tc>
          <w:tcPr>
            <w:tcW w:w="889" w:type="dxa"/>
          </w:tcPr>
          <w:p w14:paraId="5CABC92E" w14:textId="77777777" w:rsidR="004334CE" w:rsidRPr="004F01E9" w:rsidRDefault="004334CE" w:rsidP="004334CE">
            <w:pPr>
              <w:jc w:val="center"/>
              <w:rPr>
                <w:noProof/>
              </w:rPr>
            </w:pPr>
            <w:r w:rsidRPr="004F01E9">
              <w:rPr>
                <w:noProof/>
              </w:rPr>
              <w:t>5</w:t>
            </w:r>
          </w:p>
        </w:tc>
        <w:tc>
          <w:tcPr>
            <w:tcW w:w="4189" w:type="dxa"/>
          </w:tcPr>
          <w:p w14:paraId="4551C3DA" w14:textId="77777777" w:rsidR="004334CE" w:rsidRPr="004F01E9" w:rsidRDefault="004334CE" w:rsidP="004334CE">
            <w:pPr>
              <w:jc w:val="center"/>
              <w:rPr>
                <w:noProof/>
              </w:rPr>
            </w:pPr>
            <w:r w:rsidRPr="004F01E9">
              <w:rPr>
                <w:noProof/>
              </w:rPr>
              <w:t>Preprava nákladu</w:t>
            </w:r>
          </w:p>
        </w:tc>
        <w:tc>
          <w:tcPr>
            <w:tcW w:w="1571" w:type="dxa"/>
          </w:tcPr>
          <w:p w14:paraId="6CD34960" w14:textId="312E6B91" w:rsidR="004334CE" w:rsidRPr="004F01E9" w:rsidRDefault="004334CE" w:rsidP="004334CE">
            <w:pPr>
              <w:jc w:val="center"/>
              <w:rPr>
                <w:noProof/>
              </w:rPr>
            </w:pPr>
            <w:r w:rsidRPr="004F01E9">
              <w:rPr>
                <w:noProof/>
              </w:rPr>
              <w:t>80</w:t>
            </w:r>
            <w:r w:rsidR="004F01E9">
              <w:rPr>
                <w:noProof/>
              </w:rPr>
              <w:t> %</w:t>
            </w:r>
          </w:p>
        </w:tc>
      </w:tr>
      <w:tr w:rsidR="004334CE" w:rsidRPr="004F01E9" w14:paraId="4549CE0D" w14:textId="77777777" w:rsidTr="004334CE">
        <w:trPr>
          <w:jc w:val="center"/>
        </w:trPr>
        <w:tc>
          <w:tcPr>
            <w:tcW w:w="889" w:type="dxa"/>
          </w:tcPr>
          <w:p w14:paraId="67F4763D" w14:textId="77777777" w:rsidR="004334CE" w:rsidRPr="004F01E9" w:rsidRDefault="004334CE" w:rsidP="004334CE">
            <w:pPr>
              <w:jc w:val="center"/>
              <w:rPr>
                <w:noProof/>
              </w:rPr>
            </w:pPr>
            <w:r w:rsidRPr="004F01E9">
              <w:rPr>
                <w:noProof/>
              </w:rPr>
              <w:t>6</w:t>
            </w:r>
          </w:p>
        </w:tc>
        <w:tc>
          <w:tcPr>
            <w:tcW w:w="4189" w:type="dxa"/>
          </w:tcPr>
          <w:p w14:paraId="2868ED29" w14:textId="77777777" w:rsidR="004334CE" w:rsidRPr="004F01E9" w:rsidRDefault="004334CE" w:rsidP="004334CE">
            <w:pPr>
              <w:jc w:val="center"/>
              <w:rPr>
                <w:noProof/>
              </w:rPr>
            </w:pPr>
            <w:r w:rsidRPr="004F01E9">
              <w:rPr>
                <w:noProof/>
              </w:rPr>
              <w:t>Kovy – bežné</w:t>
            </w:r>
          </w:p>
        </w:tc>
        <w:tc>
          <w:tcPr>
            <w:tcW w:w="1571" w:type="dxa"/>
          </w:tcPr>
          <w:p w14:paraId="5C5F0B85" w14:textId="4D422158" w:rsidR="004334CE" w:rsidRPr="004F01E9" w:rsidRDefault="004334CE" w:rsidP="004334CE">
            <w:pPr>
              <w:jc w:val="center"/>
              <w:rPr>
                <w:noProof/>
              </w:rPr>
            </w:pPr>
            <w:r w:rsidRPr="004F01E9">
              <w:rPr>
                <w:noProof/>
              </w:rPr>
              <w:t>40</w:t>
            </w:r>
            <w:r w:rsidR="004F01E9">
              <w:rPr>
                <w:noProof/>
              </w:rPr>
              <w:t> %</w:t>
            </w:r>
          </w:p>
        </w:tc>
      </w:tr>
      <w:tr w:rsidR="004334CE" w:rsidRPr="004F01E9" w14:paraId="7B7E644C" w14:textId="77777777" w:rsidTr="004334CE">
        <w:trPr>
          <w:jc w:val="center"/>
        </w:trPr>
        <w:tc>
          <w:tcPr>
            <w:tcW w:w="889" w:type="dxa"/>
          </w:tcPr>
          <w:p w14:paraId="3B728F4E" w14:textId="77777777" w:rsidR="004334CE" w:rsidRPr="004F01E9" w:rsidRDefault="004334CE" w:rsidP="004334CE">
            <w:pPr>
              <w:jc w:val="center"/>
              <w:rPr>
                <w:noProof/>
              </w:rPr>
            </w:pPr>
            <w:r w:rsidRPr="004F01E9">
              <w:rPr>
                <w:noProof/>
              </w:rPr>
              <w:t>7</w:t>
            </w:r>
          </w:p>
        </w:tc>
        <w:tc>
          <w:tcPr>
            <w:tcW w:w="4189" w:type="dxa"/>
          </w:tcPr>
          <w:p w14:paraId="34F08139" w14:textId="77777777" w:rsidR="004334CE" w:rsidRPr="004F01E9" w:rsidRDefault="004334CE" w:rsidP="004334CE">
            <w:pPr>
              <w:jc w:val="center"/>
              <w:rPr>
                <w:noProof/>
              </w:rPr>
            </w:pPr>
            <w:r w:rsidRPr="004F01E9">
              <w:rPr>
                <w:noProof/>
              </w:rPr>
              <w:t>Plynné palivá</w:t>
            </w:r>
          </w:p>
        </w:tc>
        <w:tc>
          <w:tcPr>
            <w:tcW w:w="1571" w:type="dxa"/>
          </w:tcPr>
          <w:p w14:paraId="099A320A" w14:textId="6C3459E0" w:rsidR="004334CE" w:rsidRPr="004F01E9" w:rsidRDefault="004334CE" w:rsidP="004334CE">
            <w:pPr>
              <w:jc w:val="center"/>
              <w:rPr>
                <w:noProof/>
              </w:rPr>
            </w:pPr>
            <w:r w:rsidRPr="004F01E9">
              <w:rPr>
                <w:noProof/>
              </w:rPr>
              <w:t>45</w:t>
            </w:r>
            <w:r w:rsidR="004F01E9">
              <w:rPr>
                <w:noProof/>
              </w:rPr>
              <w:t> %</w:t>
            </w:r>
          </w:p>
        </w:tc>
      </w:tr>
      <w:tr w:rsidR="004334CE" w:rsidRPr="004F01E9" w14:paraId="74522DE9" w14:textId="77777777" w:rsidTr="004334CE">
        <w:trPr>
          <w:jc w:val="center"/>
        </w:trPr>
        <w:tc>
          <w:tcPr>
            <w:tcW w:w="889" w:type="dxa"/>
          </w:tcPr>
          <w:p w14:paraId="3ADAC06E" w14:textId="77777777" w:rsidR="004334CE" w:rsidRPr="004F01E9" w:rsidRDefault="004334CE" w:rsidP="004334CE">
            <w:pPr>
              <w:jc w:val="center"/>
              <w:rPr>
                <w:noProof/>
              </w:rPr>
            </w:pPr>
            <w:r w:rsidRPr="004F01E9">
              <w:rPr>
                <w:noProof/>
              </w:rPr>
              <w:t>8</w:t>
            </w:r>
          </w:p>
        </w:tc>
        <w:tc>
          <w:tcPr>
            <w:tcW w:w="4189" w:type="dxa"/>
          </w:tcPr>
          <w:p w14:paraId="75150982" w14:textId="77777777" w:rsidR="004334CE" w:rsidRPr="004F01E9" w:rsidRDefault="004334CE" w:rsidP="004334CE">
            <w:pPr>
              <w:jc w:val="center"/>
              <w:rPr>
                <w:noProof/>
              </w:rPr>
            </w:pPr>
            <w:r w:rsidRPr="004F01E9">
              <w:rPr>
                <w:noProof/>
              </w:rPr>
              <w:t>Drahé kovy (vrátane zlata)</w:t>
            </w:r>
          </w:p>
        </w:tc>
        <w:tc>
          <w:tcPr>
            <w:tcW w:w="1571" w:type="dxa"/>
          </w:tcPr>
          <w:p w14:paraId="431AC05B" w14:textId="659396D2" w:rsidR="004334CE" w:rsidRPr="004F01E9" w:rsidRDefault="004334CE" w:rsidP="004334CE">
            <w:pPr>
              <w:jc w:val="center"/>
              <w:rPr>
                <w:noProof/>
              </w:rPr>
            </w:pPr>
            <w:r w:rsidRPr="004F01E9">
              <w:rPr>
                <w:noProof/>
              </w:rPr>
              <w:t>20</w:t>
            </w:r>
            <w:r w:rsidR="004F01E9">
              <w:rPr>
                <w:noProof/>
              </w:rPr>
              <w:t> %</w:t>
            </w:r>
          </w:p>
        </w:tc>
      </w:tr>
      <w:tr w:rsidR="004334CE" w:rsidRPr="004F01E9" w14:paraId="7C9D2273" w14:textId="77777777" w:rsidTr="004334CE">
        <w:trPr>
          <w:jc w:val="center"/>
        </w:trPr>
        <w:tc>
          <w:tcPr>
            <w:tcW w:w="889" w:type="dxa"/>
          </w:tcPr>
          <w:p w14:paraId="0FB82F18" w14:textId="77777777" w:rsidR="004334CE" w:rsidRPr="004F01E9" w:rsidRDefault="004334CE" w:rsidP="004334CE">
            <w:pPr>
              <w:jc w:val="center"/>
              <w:rPr>
                <w:noProof/>
              </w:rPr>
            </w:pPr>
            <w:r w:rsidRPr="004F01E9">
              <w:rPr>
                <w:noProof/>
              </w:rPr>
              <w:t>9</w:t>
            </w:r>
          </w:p>
        </w:tc>
        <w:tc>
          <w:tcPr>
            <w:tcW w:w="4189" w:type="dxa"/>
          </w:tcPr>
          <w:p w14:paraId="27F3717B" w14:textId="105DB458" w:rsidR="004334CE" w:rsidRPr="004F01E9" w:rsidRDefault="004334CE" w:rsidP="004334CE">
            <w:pPr>
              <w:jc w:val="center"/>
              <w:rPr>
                <w:noProof/>
              </w:rPr>
            </w:pPr>
            <w:r w:rsidRPr="004F01E9">
              <w:rPr>
                <w:noProof/>
              </w:rPr>
              <w:t>Obilniny</w:t>
            </w:r>
            <w:r w:rsidR="004F01E9">
              <w:rPr>
                <w:noProof/>
              </w:rPr>
              <w:t xml:space="preserve"> a </w:t>
            </w:r>
            <w:r w:rsidRPr="004F01E9">
              <w:rPr>
                <w:noProof/>
              </w:rPr>
              <w:t>olejniny</w:t>
            </w:r>
          </w:p>
        </w:tc>
        <w:tc>
          <w:tcPr>
            <w:tcW w:w="1571" w:type="dxa"/>
          </w:tcPr>
          <w:p w14:paraId="41553348" w14:textId="342937C9" w:rsidR="004334CE" w:rsidRPr="004F01E9" w:rsidRDefault="004334CE" w:rsidP="004334CE">
            <w:pPr>
              <w:jc w:val="center"/>
              <w:rPr>
                <w:noProof/>
              </w:rPr>
            </w:pPr>
            <w:r w:rsidRPr="004F01E9">
              <w:rPr>
                <w:noProof/>
              </w:rPr>
              <w:t>35</w:t>
            </w:r>
            <w:r w:rsidR="004F01E9">
              <w:rPr>
                <w:noProof/>
              </w:rPr>
              <w:t> %</w:t>
            </w:r>
          </w:p>
        </w:tc>
      </w:tr>
      <w:tr w:rsidR="004334CE" w:rsidRPr="004F01E9" w14:paraId="6CB119D0" w14:textId="77777777" w:rsidTr="004334CE">
        <w:trPr>
          <w:jc w:val="center"/>
        </w:trPr>
        <w:tc>
          <w:tcPr>
            <w:tcW w:w="889" w:type="dxa"/>
          </w:tcPr>
          <w:p w14:paraId="333F990E" w14:textId="77777777" w:rsidR="004334CE" w:rsidRPr="004F01E9" w:rsidRDefault="004334CE" w:rsidP="004334CE">
            <w:pPr>
              <w:jc w:val="center"/>
              <w:rPr>
                <w:noProof/>
              </w:rPr>
            </w:pPr>
            <w:r w:rsidRPr="004F01E9">
              <w:rPr>
                <w:noProof/>
              </w:rPr>
              <w:t>10</w:t>
            </w:r>
          </w:p>
        </w:tc>
        <w:tc>
          <w:tcPr>
            <w:tcW w:w="4189" w:type="dxa"/>
          </w:tcPr>
          <w:p w14:paraId="29DF6A8E" w14:textId="1D68E0B4" w:rsidR="004334CE" w:rsidRPr="004F01E9" w:rsidRDefault="004334CE" w:rsidP="004334CE">
            <w:pPr>
              <w:jc w:val="center"/>
              <w:rPr>
                <w:noProof/>
              </w:rPr>
            </w:pPr>
            <w:r w:rsidRPr="004F01E9">
              <w:rPr>
                <w:noProof/>
              </w:rPr>
              <w:t>Hospodárske zvieratá</w:t>
            </w:r>
            <w:r w:rsidR="004F01E9">
              <w:rPr>
                <w:noProof/>
              </w:rPr>
              <w:t xml:space="preserve"> a </w:t>
            </w:r>
            <w:r w:rsidRPr="004F01E9">
              <w:rPr>
                <w:noProof/>
              </w:rPr>
              <w:t>mliečne výrobky</w:t>
            </w:r>
          </w:p>
        </w:tc>
        <w:tc>
          <w:tcPr>
            <w:tcW w:w="1571" w:type="dxa"/>
          </w:tcPr>
          <w:p w14:paraId="7B079376" w14:textId="41442220" w:rsidR="004334CE" w:rsidRPr="004F01E9" w:rsidRDefault="004334CE" w:rsidP="004334CE">
            <w:pPr>
              <w:jc w:val="center"/>
              <w:rPr>
                <w:noProof/>
              </w:rPr>
            </w:pPr>
            <w:r w:rsidRPr="004F01E9">
              <w:rPr>
                <w:noProof/>
              </w:rPr>
              <w:t>25</w:t>
            </w:r>
            <w:r w:rsidR="004F01E9">
              <w:rPr>
                <w:noProof/>
              </w:rPr>
              <w:t> %</w:t>
            </w:r>
          </w:p>
        </w:tc>
      </w:tr>
      <w:tr w:rsidR="004334CE" w:rsidRPr="004F01E9" w14:paraId="55055BEF" w14:textId="77777777" w:rsidTr="004334CE">
        <w:trPr>
          <w:jc w:val="center"/>
        </w:trPr>
        <w:tc>
          <w:tcPr>
            <w:tcW w:w="889" w:type="dxa"/>
          </w:tcPr>
          <w:p w14:paraId="61383BD1" w14:textId="77777777" w:rsidR="004334CE" w:rsidRPr="004F01E9" w:rsidRDefault="004334CE" w:rsidP="004334CE">
            <w:pPr>
              <w:jc w:val="center"/>
              <w:rPr>
                <w:noProof/>
              </w:rPr>
            </w:pPr>
            <w:r w:rsidRPr="004F01E9">
              <w:rPr>
                <w:noProof/>
              </w:rPr>
              <w:t>11</w:t>
            </w:r>
          </w:p>
        </w:tc>
        <w:tc>
          <w:tcPr>
            <w:tcW w:w="4189" w:type="dxa"/>
          </w:tcPr>
          <w:p w14:paraId="455BB97C" w14:textId="019529CA" w:rsidR="004334CE" w:rsidRPr="004F01E9" w:rsidRDefault="004334CE" w:rsidP="004334CE">
            <w:pPr>
              <w:jc w:val="center"/>
              <w:rPr>
                <w:noProof/>
              </w:rPr>
            </w:pPr>
            <w:r w:rsidRPr="004F01E9">
              <w:rPr>
                <w:noProof/>
              </w:rPr>
              <w:t>Netrvanlivé</w:t>
            </w:r>
            <w:r w:rsidR="004F01E9">
              <w:rPr>
                <w:noProof/>
              </w:rPr>
              <w:t xml:space="preserve"> a </w:t>
            </w:r>
            <w:r w:rsidRPr="004F01E9">
              <w:rPr>
                <w:noProof/>
              </w:rPr>
              <w:t>ďalšie poľnohospodárske výrobky</w:t>
            </w:r>
          </w:p>
        </w:tc>
        <w:tc>
          <w:tcPr>
            <w:tcW w:w="1571" w:type="dxa"/>
          </w:tcPr>
          <w:p w14:paraId="6AE7ADD9" w14:textId="795EE13C" w:rsidR="004334CE" w:rsidRPr="004F01E9" w:rsidRDefault="004334CE" w:rsidP="004334CE">
            <w:pPr>
              <w:jc w:val="center"/>
              <w:rPr>
                <w:noProof/>
              </w:rPr>
            </w:pPr>
            <w:r w:rsidRPr="004F01E9">
              <w:rPr>
                <w:noProof/>
              </w:rPr>
              <w:t>35</w:t>
            </w:r>
            <w:r w:rsidR="004F01E9">
              <w:rPr>
                <w:noProof/>
              </w:rPr>
              <w:t> %</w:t>
            </w:r>
          </w:p>
        </w:tc>
      </w:tr>
      <w:tr w:rsidR="004334CE" w:rsidRPr="004F01E9" w14:paraId="19E074EB" w14:textId="77777777" w:rsidTr="004334CE">
        <w:trPr>
          <w:jc w:val="center"/>
        </w:trPr>
        <w:tc>
          <w:tcPr>
            <w:tcW w:w="889" w:type="dxa"/>
          </w:tcPr>
          <w:p w14:paraId="49A4D4A3" w14:textId="77777777" w:rsidR="004334CE" w:rsidRPr="004F01E9" w:rsidRDefault="004334CE" w:rsidP="004334CE">
            <w:pPr>
              <w:jc w:val="center"/>
              <w:rPr>
                <w:noProof/>
              </w:rPr>
            </w:pPr>
            <w:r w:rsidRPr="004F01E9">
              <w:rPr>
                <w:noProof/>
              </w:rPr>
              <w:t>12</w:t>
            </w:r>
          </w:p>
        </w:tc>
        <w:tc>
          <w:tcPr>
            <w:tcW w:w="4189" w:type="dxa"/>
          </w:tcPr>
          <w:p w14:paraId="537E51DF" w14:textId="77777777" w:rsidR="004334CE" w:rsidRPr="004F01E9" w:rsidRDefault="004334CE" w:rsidP="004334CE">
            <w:pPr>
              <w:jc w:val="center"/>
              <w:rPr>
                <w:noProof/>
              </w:rPr>
            </w:pPr>
            <w:r w:rsidRPr="004F01E9">
              <w:rPr>
                <w:noProof/>
              </w:rPr>
              <w:t>Ostatné komodity</w:t>
            </w:r>
          </w:p>
        </w:tc>
        <w:tc>
          <w:tcPr>
            <w:tcW w:w="1571" w:type="dxa"/>
          </w:tcPr>
          <w:p w14:paraId="3017BDFE" w14:textId="6B290E74" w:rsidR="004334CE" w:rsidRPr="004F01E9" w:rsidRDefault="004334CE" w:rsidP="004334CE">
            <w:pPr>
              <w:jc w:val="center"/>
              <w:rPr>
                <w:noProof/>
              </w:rPr>
            </w:pPr>
            <w:r w:rsidRPr="004F01E9">
              <w:rPr>
                <w:noProof/>
              </w:rPr>
              <w:t>50</w:t>
            </w:r>
            <w:r w:rsidR="004F01E9">
              <w:rPr>
                <w:noProof/>
              </w:rPr>
              <w:t> %</w:t>
            </w:r>
          </w:p>
        </w:tc>
      </w:tr>
    </w:tbl>
    <w:p w14:paraId="157367C8" w14:textId="59B516FF" w:rsidR="00806B81" w:rsidRPr="004F01E9" w:rsidRDefault="004334CE" w:rsidP="004334CE">
      <w:pPr>
        <w:pStyle w:val="Text1"/>
        <w:rPr>
          <w:rFonts w:eastAsiaTheme="minorEastAsia"/>
          <w:noProof/>
        </w:rPr>
      </w:pPr>
      <w:r w:rsidRPr="004F01E9">
        <w:rPr>
          <w:noProof/>
        </w:rPr>
        <w:t>2. Rizikové váhy pre komoditné riziko vega sa stanovujú na 100</w:t>
      </w:r>
      <w:r w:rsidR="004F01E9">
        <w:rPr>
          <w:noProof/>
        </w:rPr>
        <w:t> %</w:t>
      </w:r>
      <w:r w:rsidRPr="004F01E9">
        <w:rPr>
          <w:noProof/>
        </w:rPr>
        <w:t>.</w:t>
      </w:r>
    </w:p>
    <w:p w14:paraId="36438174" w14:textId="3174F020" w:rsidR="004334CE" w:rsidRPr="004F01E9" w:rsidRDefault="004334CE" w:rsidP="004334CE">
      <w:pPr>
        <w:pStyle w:val="Titrearticle"/>
        <w:spacing w:before="120"/>
        <w:rPr>
          <w:noProof/>
        </w:rPr>
      </w:pPr>
      <w:r w:rsidRPr="004F01E9">
        <w:rPr>
          <w:noProof/>
        </w:rPr>
        <w:t xml:space="preserve">Článok 383w </w:t>
      </w:r>
      <w:r w:rsidRPr="004F01E9">
        <w:rPr>
          <w:noProof/>
        </w:rPr>
        <w:br/>
      </w:r>
      <w:r w:rsidRPr="004F01E9">
        <w:rPr>
          <w:b/>
          <w:i w:val="0"/>
          <w:noProof/>
        </w:rPr>
        <w:t>Rizikové váhy skupín pre komoditné riziko</w:t>
      </w:r>
    </w:p>
    <w:p w14:paraId="56CA0AAB" w14:textId="77777777" w:rsidR="004334CE" w:rsidRPr="004F01E9" w:rsidRDefault="004334CE" w:rsidP="004334CE">
      <w:pPr>
        <w:pStyle w:val="Text1"/>
        <w:rPr>
          <w:noProof/>
        </w:rPr>
      </w:pPr>
      <w:r w:rsidRPr="004F01E9">
        <w:rPr>
          <w:noProof/>
        </w:rPr>
        <w:t>1. Parameter korelácie naprieč skupinami pre komoditné riziko delta sa nastavuje na:</w:t>
      </w:r>
    </w:p>
    <w:p w14:paraId="20081F8F" w14:textId="1D9D374B" w:rsidR="004334CE" w:rsidRPr="006A7A28" w:rsidRDefault="004334CE" w:rsidP="004334CE">
      <w:pPr>
        <w:pStyle w:val="Point1"/>
        <w:rPr>
          <w:noProof/>
          <w:spacing w:val="-6"/>
        </w:rPr>
      </w:pPr>
      <w:r w:rsidRPr="006A7A28">
        <w:rPr>
          <w:noProof/>
          <w:spacing w:val="-6"/>
        </w:rPr>
        <w:t>a)</w:t>
      </w:r>
      <w:r w:rsidRPr="006A7A28">
        <w:rPr>
          <w:noProof/>
          <w:spacing w:val="-6"/>
        </w:rPr>
        <w:tab/>
        <w:t>20</w:t>
      </w:r>
      <w:r w:rsidR="004F01E9" w:rsidRPr="006A7A28">
        <w:rPr>
          <w:noProof/>
          <w:spacing w:val="-6"/>
        </w:rPr>
        <w:t> %</w:t>
      </w:r>
      <w:r w:rsidRPr="006A7A28">
        <w:rPr>
          <w:noProof/>
          <w:spacing w:val="-6"/>
        </w:rPr>
        <w:t>, ak tieto dve skupiny patria do skupín 1 až 11</w:t>
      </w:r>
      <w:r w:rsidR="004F01E9" w:rsidRPr="006A7A28">
        <w:rPr>
          <w:noProof/>
          <w:spacing w:val="-6"/>
        </w:rPr>
        <w:t xml:space="preserve"> v </w:t>
      </w:r>
      <w:r w:rsidRPr="006A7A28">
        <w:rPr>
          <w:noProof/>
          <w:spacing w:val="-6"/>
        </w:rPr>
        <w:t>článku 383v ods. 1 tabuľke 7;</w:t>
      </w:r>
    </w:p>
    <w:p w14:paraId="72AF77D4" w14:textId="5E3AAAB6" w:rsidR="004334CE" w:rsidRPr="006A7A28" w:rsidRDefault="004334CE" w:rsidP="004334CE">
      <w:pPr>
        <w:pStyle w:val="Point1"/>
        <w:rPr>
          <w:noProof/>
          <w:spacing w:val="-6"/>
        </w:rPr>
      </w:pPr>
      <w:r w:rsidRPr="006A7A28">
        <w:rPr>
          <w:noProof/>
          <w:spacing w:val="-6"/>
        </w:rPr>
        <w:t>b)</w:t>
      </w:r>
      <w:r w:rsidRPr="006A7A28">
        <w:rPr>
          <w:noProof/>
          <w:spacing w:val="-6"/>
        </w:rPr>
        <w:tab/>
        <w:t>0</w:t>
      </w:r>
      <w:r w:rsidR="004F01E9" w:rsidRPr="006A7A28">
        <w:rPr>
          <w:noProof/>
          <w:spacing w:val="-6"/>
        </w:rPr>
        <w:t> %</w:t>
      </w:r>
      <w:r w:rsidRPr="006A7A28">
        <w:rPr>
          <w:noProof/>
          <w:spacing w:val="-6"/>
        </w:rPr>
        <w:t>, ak jedna</w:t>
      </w:r>
      <w:r w:rsidR="004F01E9" w:rsidRPr="006A7A28">
        <w:rPr>
          <w:noProof/>
          <w:spacing w:val="-6"/>
        </w:rPr>
        <w:t xml:space="preserve"> z </w:t>
      </w:r>
      <w:r w:rsidRPr="006A7A28">
        <w:rPr>
          <w:noProof/>
          <w:spacing w:val="-6"/>
        </w:rPr>
        <w:t>týchto dvoch skupín je skupina 12</w:t>
      </w:r>
      <w:r w:rsidR="004F01E9" w:rsidRPr="006A7A28">
        <w:rPr>
          <w:noProof/>
          <w:spacing w:val="-6"/>
        </w:rPr>
        <w:t xml:space="preserve"> v </w:t>
      </w:r>
      <w:r w:rsidRPr="006A7A28">
        <w:rPr>
          <w:noProof/>
          <w:spacing w:val="-6"/>
        </w:rPr>
        <w:t>článku 383v ods. 1 tabuľke 7.</w:t>
      </w:r>
    </w:p>
    <w:p w14:paraId="5094F9C6" w14:textId="77777777" w:rsidR="004334CE" w:rsidRPr="006A7A28" w:rsidRDefault="004334CE" w:rsidP="004334CE">
      <w:pPr>
        <w:pStyle w:val="Text1"/>
        <w:rPr>
          <w:rFonts w:eastAsiaTheme="minorEastAsia"/>
          <w:noProof/>
          <w:spacing w:val="-6"/>
        </w:rPr>
      </w:pPr>
      <w:r w:rsidRPr="006A7A28">
        <w:rPr>
          <w:noProof/>
          <w:spacing w:val="-6"/>
        </w:rPr>
        <w:t>2. Parameter korelácie naprieč skupinami pre komoditné riziko vega sa nastavuje na:</w:t>
      </w:r>
    </w:p>
    <w:p w14:paraId="7E3F0136" w14:textId="0F82DF15" w:rsidR="004334CE" w:rsidRPr="006A7A28" w:rsidRDefault="004334CE" w:rsidP="004334CE">
      <w:pPr>
        <w:pStyle w:val="Point1"/>
        <w:rPr>
          <w:rFonts w:eastAsiaTheme="minorEastAsia"/>
          <w:noProof/>
          <w:spacing w:val="-6"/>
        </w:rPr>
      </w:pPr>
      <w:r w:rsidRPr="006A7A28">
        <w:rPr>
          <w:noProof/>
          <w:spacing w:val="-6"/>
        </w:rPr>
        <w:t>a)</w:t>
      </w:r>
      <w:r w:rsidRPr="006A7A28">
        <w:rPr>
          <w:noProof/>
          <w:spacing w:val="-6"/>
        </w:rPr>
        <w:tab/>
        <w:t>20</w:t>
      </w:r>
      <w:r w:rsidR="004F01E9" w:rsidRPr="006A7A28">
        <w:rPr>
          <w:noProof/>
          <w:spacing w:val="-6"/>
        </w:rPr>
        <w:t> %</w:t>
      </w:r>
      <w:r w:rsidRPr="006A7A28">
        <w:rPr>
          <w:noProof/>
          <w:spacing w:val="-6"/>
        </w:rPr>
        <w:t>, ak tieto dve skupiny patria do skupín 1 až 11</w:t>
      </w:r>
      <w:r w:rsidR="004F01E9" w:rsidRPr="006A7A28">
        <w:rPr>
          <w:noProof/>
          <w:spacing w:val="-6"/>
        </w:rPr>
        <w:t xml:space="preserve"> v </w:t>
      </w:r>
      <w:r w:rsidRPr="006A7A28">
        <w:rPr>
          <w:noProof/>
          <w:spacing w:val="-6"/>
        </w:rPr>
        <w:t>článku 383v ods. 1 tabuľke 7;</w:t>
      </w:r>
    </w:p>
    <w:p w14:paraId="521E5E1E" w14:textId="7A5B07B9" w:rsidR="004334CE" w:rsidRPr="006A7A28" w:rsidRDefault="004334CE" w:rsidP="004334CE">
      <w:pPr>
        <w:pStyle w:val="Point1"/>
        <w:rPr>
          <w:rFonts w:eastAsiaTheme="minorEastAsia"/>
          <w:noProof/>
          <w:spacing w:val="-6"/>
        </w:rPr>
      </w:pPr>
      <w:r w:rsidRPr="006A7A28">
        <w:rPr>
          <w:noProof/>
          <w:spacing w:val="-6"/>
        </w:rPr>
        <w:t>b)</w:t>
      </w:r>
      <w:r w:rsidRPr="006A7A28">
        <w:rPr>
          <w:noProof/>
          <w:spacing w:val="-6"/>
        </w:rPr>
        <w:tab/>
        <w:t>0</w:t>
      </w:r>
      <w:r w:rsidR="004F01E9" w:rsidRPr="006A7A28">
        <w:rPr>
          <w:noProof/>
          <w:spacing w:val="-6"/>
        </w:rPr>
        <w:t> %</w:t>
      </w:r>
      <w:r w:rsidRPr="006A7A28">
        <w:rPr>
          <w:noProof/>
          <w:spacing w:val="-6"/>
        </w:rPr>
        <w:t>, ak jedna</w:t>
      </w:r>
      <w:r w:rsidR="004F01E9" w:rsidRPr="006A7A28">
        <w:rPr>
          <w:noProof/>
          <w:spacing w:val="-6"/>
        </w:rPr>
        <w:t xml:space="preserve"> z </w:t>
      </w:r>
      <w:r w:rsidRPr="006A7A28">
        <w:rPr>
          <w:noProof/>
          <w:spacing w:val="-6"/>
        </w:rPr>
        <w:t>týchto dvoch skupín je skupina 12</w:t>
      </w:r>
      <w:r w:rsidR="004F01E9" w:rsidRPr="006A7A28">
        <w:rPr>
          <w:noProof/>
          <w:spacing w:val="-6"/>
        </w:rPr>
        <w:t xml:space="preserve"> v </w:t>
      </w:r>
      <w:r w:rsidRPr="006A7A28">
        <w:rPr>
          <w:noProof/>
          <w:spacing w:val="-6"/>
        </w:rPr>
        <w:t>článku 383v ods. 1 tabuľke 7.“</w:t>
      </w:r>
    </w:p>
    <w:p w14:paraId="531FF3F7" w14:textId="64A45128" w:rsidR="00806B81" w:rsidRPr="004F01E9" w:rsidRDefault="00B16452" w:rsidP="00B16452">
      <w:pPr>
        <w:pStyle w:val="Point0"/>
        <w:rPr>
          <w:noProof/>
        </w:rPr>
      </w:pPr>
      <w:r w:rsidRPr="00B16452">
        <w:rPr>
          <w:noProof/>
        </w:rPr>
        <w:t>170</w:t>
      </w:r>
      <w:r>
        <w:rPr>
          <w:noProof/>
        </w:rPr>
        <w:t>.</w:t>
      </w:r>
      <w:r w:rsidRPr="00B16452">
        <w:rPr>
          <w:noProof/>
        </w:rPr>
        <w:tab/>
      </w:r>
      <w:r w:rsidR="004334CE" w:rsidRPr="004F01E9">
        <w:rPr>
          <w:noProof/>
        </w:rPr>
        <w:t>Články 384, 385</w:t>
      </w:r>
      <w:r w:rsidR="004F01E9">
        <w:rPr>
          <w:noProof/>
        </w:rPr>
        <w:t xml:space="preserve"> a </w:t>
      </w:r>
      <w:r w:rsidR="004334CE" w:rsidRPr="004F01E9">
        <w:rPr>
          <w:noProof/>
        </w:rPr>
        <w:t>386 sa nahrádzajú takto:</w:t>
      </w:r>
    </w:p>
    <w:p w14:paraId="0953FAE4" w14:textId="5D4CD969" w:rsidR="004334CE" w:rsidRPr="004F01E9" w:rsidRDefault="004334CE" w:rsidP="004334CE">
      <w:pPr>
        <w:pStyle w:val="Titrearticle"/>
        <w:rPr>
          <w:i w:val="0"/>
          <w:noProof/>
        </w:rPr>
      </w:pPr>
      <w:r w:rsidRPr="004F01E9">
        <w:rPr>
          <w:noProof/>
        </w:rPr>
        <w:t>„Článok 384</w:t>
      </w:r>
      <w:r w:rsidR="004F01E9" w:rsidRPr="004F01E9">
        <w:rPr>
          <w:noProof/>
        </w:rPr>
        <w:t xml:space="preserve"> </w:t>
      </w:r>
      <w:r w:rsidRPr="004F01E9">
        <w:rPr>
          <w:noProof/>
        </w:rPr>
        <w:br/>
      </w:r>
      <w:r w:rsidRPr="004F01E9">
        <w:rPr>
          <w:b/>
          <w:i w:val="0"/>
          <w:noProof/>
        </w:rPr>
        <w:t>Základný prístup</w:t>
      </w:r>
    </w:p>
    <w:p w14:paraId="001FD448" w14:textId="2240F292" w:rsidR="00806B81" w:rsidRPr="006A7A28" w:rsidRDefault="004334CE" w:rsidP="004334CE">
      <w:pPr>
        <w:pStyle w:val="Text1"/>
        <w:rPr>
          <w:noProof/>
          <w:spacing w:val="-4"/>
        </w:rPr>
      </w:pPr>
      <w:r w:rsidRPr="006A7A28">
        <w:rPr>
          <w:noProof/>
          <w:spacing w:val="-4"/>
        </w:rPr>
        <w:t>1. Inštitúcia vypočítava požiadavky na vlastné zdroje pre riziko úpravy ocenenia pohľadávok</w:t>
      </w:r>
      <w:r w:rsidR="004F01E9" w:rsidRPr="006A7A28">
        <w:rPr>
          <w:noProof/>
          <w:spacing w:val="-4"/>
        </w:rPr>
        <w:t xml:space="preserve"> v </w:t>
      </w:r>
      <w:r w:rsidRPr="006A7A28">
        <w:rPr>
          <w:noProof/>
          <w:spacing w:val="-4"/>
        </w:rPr>
        <w:t>súlade</w:t>
      </w:r>
      <w:r w:rsidR="004F01E9" w:rsidRPr="006A7A28">
        <w:rPr>
          <w:noProof/>
          <w:spacing w:val="-4"/>
        </w:rPr>
        <w:t xml:space="preserve"> s </w:t>
      </w:r>
      <w:r w:rsidRPr="006A7A28">
        <w:rPr>
          <w:noProof/>
          <w:spacing w:val="-4"/>
        </w:rPr>
        <w:t>odsekom 2 alebo prípadne 3 pre portfólio transakcií</w:t>
      </w:r>
      <w:r w:rsidR="004F01E9" w:rsidRPr="006A7A28">
        <w:rPr>
          <w:noProof/>
          <w:spacing w:val="-4"/>
        </w:rPr>
        <w:t xml:space="preserve"> s </w:t>
      </w:r>
      <w:r w:rsidRPr="006A7A28">
        <w:rPr>
          <w:noProof/>
          <w:spacing w:val="-4"/>
        </w:rPr>
        <w:t>jednou alebo viacerými protistranami,</w:t>
      </w:r>
      <w:r w:rsidR="004F01E9" w:rsidRPr="006A7A28">
        <w:rPr>
          <w:noProof/>
          <w:spacing w:val="-4"/>
        </w:rPr>
        <w:t xml:space="preserve"> a </w:t>
      </w:r>
      <w:r w:rsidRPr="006A7A28">
        <w:rPr>
          <w:noProof/>
          <w:spacing w:val="-4"/>
        </w:rPr>
        <w:t>to podľa potreby pomocou jedného</w:t>
      </w:r>
      <w:r w:rsidR="004F01E9" w:rsidRPr="006A7A28">
        <w:rPr>
          <w:noProof/>
          <w:spacing w:val="-4"/>
        </w:rPr>
        <w:t xml:space="preserve"> z </w:t>
      </w:r>
      <w:r w:rsidRPr="006A7A28">
        <w:rPr>
          <w:noProof/>
          <w:spacing w:val="-4"/>
        </w:rPr>
        <w:t>týchto vzorcov:</w:t>
      </w:r>
    </w:p>
    <w:p w14:paraId="47190314" w14:textId="4C2325D9" w:rsidR="004334CE" w:rsidRPr="004F01E9" w:rsidRDefault="004334CE" w:rsidP="004334CE">
      <w:pPr>
        <w:pStyle w:val="Point1"/>
        <w:rPr>
          <w:noProof/>
        </w:rPr>
      </w:pPr>
      <w:r w:rsidRPr="004F01E9">
        <w:rPr>
          <w:noProof/>
        </w:rPr>
        <w:t>a)</w:t>
      </w:r>
      <w:r w:rsidRPr="004F01E9">
        <w:rPr>
          <w:noProof/>
        </w:rPr>
        <w:tab/>
        <w:t>vzorca stanoveného</w:t>
      </w:r>
      <w:r w:rsidR="004F01E9">
        <w:rPr>
          <w:noProof/>
        </w:rPr>
        <w:t xml:space="preserve"> v </w:t>
      </w:r>
      <w:r w:rsidRPr="004F01E9">
        <w:rPr>
          <w:noProof/>
        </w:rPr>
        <w:t>odseku 2, ak inštitúcia do výpočtu zahrnie jeden alebo viacero prípustných hedžingov uznaných</w:t>
      </w:r>
      <w:r w:rsidR="004F01E9">
        <w:rPr>
          <w:noProof/>
        </w:rPr>
        <w:t xml:space="preserve"> v </w:t>
      </w:r>
      <w:r w:rsidRPr="004F01E9">
        <w:rPr>
          <w:noProof/>
        </w:rPr>
        <w:t>súlade</w:t>
      </w:r>
      <w:r w:rsidR="004F01E9">
        <w:rPr>
          <w:noProof/>
        </w:rPr>
        <w:t xml:space="preserve"> s </w:t>
      </w:r>
      <w:r w:rsidRPr="004F01E9">
        <w:rPr>
          <w:noProof/>
        </w:rPr>
        <w:t>článkom 386;</w:t>
      </w:r>
    </w:p>
    <w:p w14:paraId="2597F6B3" w14:textId="29F95650" w:rsidR="004334CE" w:rsidRPr="004F01E9" w:rsidRDefault="004334CE" w:rsidP="004334CE">
      <w:pPr>
        <w:pStyle w:val="Point1"/>
        <w:rPr>
          <w:noProof/>
        </w:rPr>
      </w:pPr>
      <w:r w:rsidRPr="004F01E9">
        <w:rPr>
          <w:noProof/>
        </w:rPr>
        <w:t>b)</w:t>
      </w:r>
      <w:r w:rsidRPr="004F01E9">
        <w:rPr>
          <w:noProof/>
        </w:rPr>
        <w:tab/>
        <w:t>vzorca stanoveného</w:t>
      </w:r>
      <w:r w:rsidR="004F01E9">
        <w:rPr>
          <w:noProof/>
        </w:rPr>
        <w:t xml:space="preserve"> v </w:t>
      </w:r>
      <w:r w:rsidRPr="004F01E9">
        <w:rPr>
          <w:noProof/>
        </w:rPr>
        <w:t>odseku 3, ak inštitúcia do výpočtu nezahrnie žiadne prípustné hedžingy uznané</w:t>
      </w:r>
      <w:r w:rsidR="004F01E9">
        <w:rPr>
          <w:noProof/>
        </w:rPr>
        <w:t xml:space="preserve"> v </w:t>
      </w:r>
      <w:r w:rsidRPr="004F01E9">
        <w:rPr>
          <w:noProof/>
        </w:rPr>
        <w:t>súlade</w:t>
      </w:r>
      <w:r w:rsidR="004F01E9">
        <w:rPr>
          <w:noProof/>
        </w:rPr>
        <w:t xml:space="preserve"> s </w:t>
      </w:r>
      <w:r w:rsidRPr="004F01E9">
        <w:rPr>
          <w:noProof/>
        </w:rPr>
        <w:t>článkom 386.</w:t>
      </w:r>
    </w:p>
    <w:p w14:paraId="51E00219" w14:textId="7E254190" w:rsidR="004334CE" w:rsidRPr="004F01E9" w:rsidRDefault="004334CE" w:rsidP="004334CE">
      <w:pPr>
        <w:pStyle w:val="Text1"/>
        <w:rPr>
          <w:noProof/>
        </w:rPr>
      </w:pPr>
      <w:r w:rsidRPr="004F01E9">
        <w:rPr>
          <w:noProof/>
        </w:rPr>
        <w:t>Prístupy stanovené</w:t>
      </w:r>
      <w:r w:rsidR="004F01E9">
        <w:rPr>
          <w:noProof/>
        </w:rPr>
        <w:t xml:space="preserve"> v </w:t>
      </w:r>
      <w:r w:rsidRPr="004F01E9">
        <w:rPr>
          <w:noProof/>
        </w:rPr>
        <w:t>písmenách a)</w:t>
      </w:r>
      <w:r w:rsidR="004F01E9">
        <w:rPr>
          <w:noProof/>
        </w:rPr>
        <w:t xml:space="preserve"> a </w:t>
      </w:r>
      <w:r w:rsidRPr="004F01E9">
        <w:rPr>
          <w:noProof/>
        </w:rPr>
        <w:t>b) sa nesmú kombinovať.</w:t>
      </w:r>
    </w:p>
    <w:p w14:paraId="19BD6774" w14:textId="6F776B69" w:rsidR="004334CE" w:rsidRPr="004F01E9" w:rsidRDefault="004334CE" w:rsidP="004334CE">
      <w:pPr>
        <w:pStyle w:val="Text1"/>
        <w:rPr>
          <w:noProof/>
        </w:rPr>
      </w:pPr>
      <w:r w:rsidRPr="004F01E9">
        <w:rPr>
          <w:noProof/>
        </w:rPr>
        <w:t>2. Inštitúcia, ktorá spĺňa podmienku uvedenú</w:t>
      </w:r>
      <w:r w:rsidR="004F01E9">
        <w:rPr>
          <w:noProof/>
        </w:rPr>
        <w:t xml:space="preserve"> v </w:t>
      </w:r>
      <w:r w:rsidRPr="004F01E9">
        <w:rPr>
          <w:noProof/>
        </w:rPr>
        <w:t>odseku 1 písm. a), vypočítava požiadavky na vlastné zdroje pre riziká úpravy ocenenia pohľadávok takto:</w:t>
      </w:r>
    </w:p>
    <w:p w14:paraId="123695F9" w14:textId="77777777" w:rsidR="004334CE" w:rsidRPr="004F01E9" w:rsidRDefault="00EE12EE" w:rsidP="004334CE">
      <w:pPr>
        <w:pStyle w:val="Text1"/>
        <w:rPr>
          <w:rFonts w:eastAsiaTheme="minorEastAsia"/>
          <w:noProof/>
          <w:sz w:val="20"/>
          <w:szCs w:val="20"/>
        </w:rPr>
      </w:pPr>
      <m:oMathPara>
        <m:oMath>
          <m:sSup>
            <m:sSupPr>
              <m:ctrlPr>
                <w:rPr>
                  <w:rFonts w:ascii="Cambria Math" w:hAnsi="Cambria Math"/>
                  <w:i/>
                  <w:noProof/>
                  <w:sz w:val="20"/>
                  <w:szCs w:val="20"/>
                </w:rPr>
              </m:ctrlPr>
            </m:sSupPr>
            <m:e>
              <m:r>
                <w:rPr>
                  <w:rFonts w:ascii="Cambria Math" w:hAnsi="Cambria Math"/>
                  <w:noProof/>
                  <w:sz w:val="20"/>
                  <w:szCs w:val="20"/>
                </w:rPr>
                <m:t>BACVA</m:t>
              </m:r>
            </m:e>
            <m:sup>
              <m:r>
                <w:rPr>
                  <w:rFonts w:ascii="Cambria Math" w:hAnsi="Cambria Math"/>
                  <w:noProof/>
                  <w:sz w:val="20"/>
                  <w:szCs w:val="20"/>
                </w:rPr>
                <m:t>total</m:t>
              </m:r>
            </m:sup>
          </m:sSup>
          <m:r>
            <w:rPr>
              <w:rFonts w:ascii="Cambria Math" w:hAnsi="Cambria Math"/>
              <w:noProof/>
              <w:sz w:val="20"/>
              <w:szCs w:val="20"/>
            </w:rPr>
            <m:t>=</m:t>
          </m:r>
          <m:sSub>
            <m:sSubPr>
              <m:ctrlPr>
                <w:rPr>
                  <w:rFonts w:ascii="Cambria Math" w:hAnsi="Cambria Math"/>
                  <w:i/>
                  <w:noProof/>
                  <w:sz w:val="20"/>
                  <w:szCs w:val="20"/>
                </w:rPr>
              </m:ctrlPr>
            </m:sSubPr>
            <m:e>
              <m:r>
                <w:rPr>
                  <w:rFonts w:ascii="Cambria Math" w:hAnsi="Cambria Math"/>
                  <w:noProof/>
                  <w:sz w:val="20"/>
                  <w:szCs w:val="20"/>
                </w:rPr>
                <m:t>DS</m:t>
              </m:r>
            </m:e>
            <m:sub>
              <m:r>
                <w:rPr>
                  <w:rFonts w:ascii="Cambria Math" w:hAnsi="Cambria Math"/>
                  <w:noProof/>
                  <w:sz w:val="20"/>
                  <w:szCs w:val="20"/>
                </w:rPr>
                <m:t>CVA</m:t>
              </m:r>
            </m:sub>
          </m:sSub>
          <m:r>
            <m:rPr>
              <m:sty m:val="p"/>
            </m:rPr>
            <w:rPr>
              <w:rFonts w:ascii="Cambria Math" w:eastAsiaTheme="minorEastAsia" w:hAnsi="Cambria Math"/>
              <w:noProof/>
              <w:sz w:val="20"/>
              <w:szCs w:val="20"/>
            </w:rPr>
            <m:t>⋅</m:t>
          </m:r>
          <m:d>
            <m:dPr>
              <m:ctrlPr>
                <w:rPr>
                  <w:rFonts w:ascii="Cambria Math" w:hAnsi="Cambria Math"/>
                  <w:i/>
                  <w:noProof/>
                  <w:sz w:val="20"/>
                  <w:szCs w:val="20"/>
                </w:rPr>
              </m:ctrlPr>
            </m:dPr>
            <m:e>
              <m:r>
                <w:rPr>
                  <w:rFonts w:ascii="Cambria Math" w:hAnsi="Cambria Math"/>
                  <w:noProof/>
                  <w:sz w:val="20"/>
                  <w:szCs w:val="20"/>
                </w:rPr>
                <m:t>β</m:t>
              </m:r>
              <m:sSup>
                <m:sSupPr>
                  <m:ctrlPr>
                    <w:rPr>
                      <w:rFonts w:ascii="Cambria Math" w:hAnsi="Cambria Math"/>
                      <w:i/>
                      <w:noProof/>
                      <w:sz w:val="20"/>
                      <w:szCs w:val="20"/>
                    </w:rPr>
                  </m:ctrlPr>
                </m:sSupPr>
                <m:e>
                  <m:r>
                    <m:rPr>
                      <m:sty m:val="p"/>
                    </m:rPr>
                    <w:rPr>
                      <w:rFonts w:ascii="Cambria Math" w:eastAsiaTheme="minorEastAsia" w:hAnsi="Cambria Math"/>
                      <w:noProof/>
                      <w:sz w:val="20"/>
                      <w:szCs w:val="20"/>
                    </w:rPr>
                    <m:t>⋅</m:t>
                  </m:r>
                  <m:r>
                    <w:rPr>
                      <w:rFonts w:ascii="Cambria Math" w:hAnsi="Cambria Math"/>
                      <w:noProof/>
                      <w:sz w:val="20"/>
                      <w:szCs w:val="20"/>
                    </w:rPr>
                    <m:t>BACVA</m:t>
                  </m:r>
                </m:e>
                <m:sup>
                  <m:r>
                    <w:rPr>
                      <w:rFonts w:ascii="Cambria Math" w:hAnsi="Cambria Math"/>
                      <w:noProof/>
                      <w:sz w:val="20"/>
                      <w:szCs w:val="20"/>
                    </w:rPr>
                    <m:t>csr-unhedged</m:t>
                  </m:r>
                </m:sup>
              </m:sSup>
              <m:r>
                <w:rPr>
                  <w:rFonts w:ascii="Cambria Math" w:hAnsi="Cambria Math"/>
                  <w:noProof/>
                  <w:sz w:val="20"/>
                  <w:szCs w:val="20"/>
                </w:rPr>
                <m:t>+</m:t>
              </m:r>
              <m:d>
                <m:dPr>
                  <m:ctrlPr>
                    <w:rPr>
                      <w:rFonts w:ascii="Cambria Math" w:eastAsiaTheme="minorEastAsia" w:hAnsi="Cambria Math"/>
                      <w:noProof/>
                      <w:sz w:val="20"/>
                      <w:szCs w:val="20"/>
                    </w:rPr>
                  </m:ctrlPr>
                </m:dPr>
                <m:e>
                  <m:r>
                    <m:rPr>
                      <m:sty m:val="p"/>
                    </m:rPr>
                    <w:rPr>
                      <w:rFonts w:ascii="Cambria Math" w:eastAsiaTheme="minorEastAsia" w:hAnsi="Cambria Math"/>
                      <w:noProof/>
                      <w:sz w:val="20"/>
                      <w:szCs w:val="20"/>
                    </w:rPr>
                    <m:t>1-</m:t>
                  </m:r>
                  <m:r>
                    <w:rPr>
                      <w:rFonts w:ascii="Cambria Math" w:hAnsi="Cambria Math"/>
                      <w:noProof/>
                      <w:sz w:val="20"/>
                      <w:szCs w:val="20"/>
                    </w:rPr>
                    <m:t>β</m:t>
                  </m:r>
                </m:e>
              </m:d>
              <m:sSup>
                <m:sSupPr>
                  <m:ctrlPr>
                    <w:rPr>
                      <w:rFonts w:ascii="Cambria Math" w:hAnsi="Cambria Math"/>
                      <w:i/>
                      <w:noProof/>
                      <w:sz w:val="20"/>
                      <w:szCs w:val="20"/>
                    </w:rPr>
                  </m:ctrlPr>
                </m:sSupPr>
                <m:e>
                  <m:r>
                    <m:rPr>
                      <m:sty m:val="p"/>
                    </m:rPr>
                    <w:rPr>
                      <w:rFonts w:ascii="Cambria Math" w:eastAsiaTheme="minorEastAsia" w:hAnsi="Cambria Math"/>
                      <w:noProof/>
                      <w:sz w:val="20"/>
                      <w:szCs w:val="20"/>
                    </w:rPr>
                    <m:t>⋅</m:t>
                  </m:r>
                  <m:r>
                    <w:rPr>
                      <w:rFonts w:ascii="Cambria Math" w:hAnsi="Cambria Math"/>
                      <w:noProof/>
                      <w:sz w:val="20"/>
                      <w:szCs w:val="20"/>
                    </w:rPr>
                    <m:t>BACVA</m:t>
                  </m:r>
                </m:e>
                <m:sup>
                  <m:r>
                    <w:rPr>
                      <w:rFonts w:ascii="Cambria Math" w:hAnsi="Cambria Math"/>
                      <w:noProof/>
                      <w:sz w:val="20"/>
                      <w:szCs w:val="20"/>
                    </w:rPr>
                    <m:t>csr-hedged</m:t>
                  </m:r>
                </m:sup>
              </m:sSup>
            </m:e>
          </m:d>
        </m:oMath>
      </m:oMathPara>
    </w:p>
    <w:p w14:paraId="003C36DD" w14:textId="77777777" w:rsidR="00806B81" w:rsidRPr="004F01E9" w:rsidRDefault="004334CE" w:rsidP="004334CE">
      <w:pPr>
        <w:pStyle w:val="Text1"/>
        <w:rPr>
          <w:noProof/>
        </w:rPr>
      </w:pPr>
      <w:r w:rsidRPr="004F01E9">
        <w:rPr>
          <w:noProof/>
        </w:rPr>
        <w:t>kde:</w:t>
      </w:r>
    </w:p>
    <w:p w14:paraId="00510385" w14:textId="17478332" w:rsidR="00806B81" w:rsidRPr="004F01E9" w:rsidRDefault="00EE12EE" w:rsidP="004334CE">
      <w:pPr>
        <w:pStyle w:val="Text1"/>
        <w:rPr>
          <w:noProof/>
        </w:rPr>
      </w:pPr>
      <m:oMath>
        <m:sSup>
          <m:sSupPr>
            <m:ctrlPr>
              <w:rPr>
                <w:rFonts w:ascii="Cambria Math" w:hAnsi="Cambria Math"/>
                <w:noProof/>
              </w:rPr>
            </m:ctrlPr>
          </m:sSupPr>
          <m:e>
            <m:r>
              <w:rPr>
                <w:rFonts w:ascii="Cambria Math" w:hAnsi="Cambria Math"/>
                <w:noProof/>
              </w:rPr>
              <m:t>BACVA</m:t>
            </m:r>
          </m:e>
          <m:sup>
            <m:r>
              <w:rPr>
                <w:rFonts w:ascii="Cambria Math" w:hAnsi="Cambria Math"/>
                <w:noProof/>
              </w:rPr>
              <m:t>total</m:t>
            </m:r>
          </m:sup>
        </m:sSup>
      </m:oMath>
      <w:r w:rsidR="00DE1B1D" w:rsidRPr="004F01E9">
        <w:rPr>
          <w:noProof/>
        </w:rPr>
        <w:tab/>
        <w:t>= požiadavky na vlastné zdroje pre riziko úpravy ocenenia pohľadávok podľa základného prístupu;</w:t>
      </w:r>
    </w:p>
    <w:p w14:paraId="5BE87879" w14:textId="1811BFDA" w:rsidR="004334CE" w:rsidRPr="004F01E9" w:rsidRDefault="00EE12EE" w:rsidP="004334CE">
      <w:pPr>
        <w:pStyle w:val="Text1"/>
        <w:rPr>
          <w:noProof/>
        </w:rPr>
      </w:pPr>
      <m:oMath>
        <m:sSup>
          <m:sSupPr>
            <m:ctrlPr>
              <w:rPr>
                <w:rFonts w:ascii="Cambria Math" w:hAnsi="Cambria Math"/>
                <w:noProof/>
              </w:rPr>
            </m:ctrlPr>
          </m:sSupPr>
          <m:e>
            <m:r>
              <w:rPr>
                <w:rFonts w:ascii="Cambria Math" w:hAnsi="Cambria Math"/>
                <w:noProof/>
              </w:rPr>
              <m:t>BACVA</m:t>
            </m:r>
          </m:e>
          <m:sup>
            <m:r>
              <w:rPr>
                <w:rFonts w:ascii="Cambria Math" w:hAnsi="Cambria Math"/>
                <w:noProof/>
              </w:rPr>
              <m:t>csr</m:t>
            </m:r>
            <m:r>
              <m:rPr>
                <m:sty m:val="p"/>
              </m:rPr>
              <w:rPr>
                <w:rFonts w:ascii="Cambria Math" w:hAnsi="Cambria Math"/>
                <w:noProof/>
              </w:rPr>
              <m:t>-</m:t>
            </m:r>
            <m:r>
              <w:rPr>
                <w:rFonts w:ascii="Cambria Math" w:hAnsi="Cambria Math"/>
                <w:noProof/>
              </w:rPr>
              <m:t>unhedged</m:t>
            </m:r>
          </m:sup>
        </m:sSup>
      </m:oMath>
      <w:r w:rsidR="00DE1B1D" w:rsidRPr="004F01E9">
        <w:rPr>
          <w:noProof/>
        </w:rPr>
        <w:tab/>
        <w:t>= požiadavky na vlastné zdroje pre riziko úpravy ocenenia pohľadávok podľa základného prístupu vypočítaného</w:t>
      </w:r>
      <w:r w:rsidR="004F01E9">
        <w:rPr>
          <w:noProof/>
        </w:rPr>
        <w:t xml:space="preserve"> v </w:t>
      </w:r>
      <w:r w:rsidR="00DE1B1D" w:rsidRPr="004F01E9">
        <w:rPr>
          <w:noProof/>
        </w:rPr>
        <w:t>súlade</w:t>
      </w:r>
      <w:r w:rsidR="004F01E9">
        <w:rPr>
          <w:noProof/>
        </w:rPr>
        <w:t xml:space="preserve"> s </w:t>
      </w:r>
      <w:r w:rsidR="00DE1B1D" w:rsidRPr="004F01E9">
        <w:rPr>
          <w:noProof/>
        </w:rPr>
        <w:t>odsekom 3 pre inštitúciu, ktorá spĺňa podmienku stanovenú</w:t>
      </w:r>
      <w:r w:rsidR="004F01E9">
        <w:rPr>
          <w:noProof/>
        </w:rPr>
        <w:t xml:space="preserve"> v </w:t>
      </w:r>
      <w:r w:rsidR="00DE1B1D" w:rsidRPr="004F01E9">
        <w:rPr>
          <w:noProof/>
        </w:rPr>
        <w:t>odseku 1 písm. b);</w:t>
      </w:r>
    </w:p>
    <w:p w14:paraId="0062A5DC" w14:textId="443BA39B" w:rsidR="004334CE" w:rsidRPr="004F01E9" w:rsidRDefault="00EE12EE" w:rsidP="004334CE">
      <w:pPr>
        <w:pStyle w:val="Text1"/>
        <w:rPr>
          <w:noProof/>
        </w:rPr>
      </w:pPr>
      <m:oMath>
        <m:sSub>
          <m:sSubPr>
            <m:ctrlPr>
              <w:rPr>
                <w:rFonts w:ascii="Cambria Math" w:hAnsi="Cambria Math"/>
                <w:noProof/>
              </w:rPr>
            </m:ctrlPr>
          </m:sSubPr>
          <m:e>
            <m:r>
              <w:rPr>
                <w:rFonts w:ascii="Cambria Math" w:hAnsi="Cambria Math"/>
                <w:noProof/>
              </w:rPr>
              <m:t>DS</m:t>
            </m:r>
          </m:e>
          <m:sub>
            <m:r>
              <w:rPr>
                <w:rFonts w:ascii="Cambria Math" w:hAnsi="Cambria Math"/>
                <w:noProof/>
              </w:rPr>
              <m:t>CVA</m:t>
            </m:r>
          </m:sub>
        </m:sSub>
      </m:oMath>
      <w:r w:rsidR="00DE1B1D" w:rsidRPr="004F01E9">
        <w:rPr>
          <w:noProof/>
        </w:rPr>
        <w:tab/>
        <w:t>= 0,65;</w:t>
      </w:r>
    </w:p>
    <w:p w14:paraId="63818B9D" w14:textId="0B9A2819" w:rsidR="004334CE" w:rsidRPr="004F01E9" w:rsidRDefault="004334CE" w:rsidP="004334CE">
      <w:pPr>
        <w:pStyle w:val="Text1"/>
        <w:rPr>
          <w:noProof/>
        </w:rPr>
      </w:pPr>
      <m:oMath>
        <m:r>
          <w:rPr>
            <w:rFonts w:ascii="Cambria Math" w:hAnsi="Cambria Math"/>
            <w:noProof/>
          </w:rPr>
          <m:t>β</m:t>
        </m:r>
      </m:oMath>
      <w:r w:rsidRPr="004F01E9">
        <w:rPr>
          <w:noProof/>
        </w:rPr>
        <w:tab/>
        <w:t>= 0,25;</w:t>
      </w:r>
    </w:p>
    <w:p w14:paraId="7BD5E3B2" w14:textId="4CD1BBA7" w:rsidR="004334CE" w:rsidRPr="004F01E9" w:rsidRDefault="00EE12EE" w:rsidP="00615061">
      <w:pPr>
        <w:pStyle w:val="Text1"/>
        <w:rPr>
          <w:noProof/>
          <w:color w:val="372F32"/>
        </w:rPr>
      </w:pPr>
      <m:oMathPara>
        <m:oMathParaPr>
          <m:jc m:val="left"/>
        </m:oMathParaPr>
        <m:oMath>
          <m:sSup>
            <m:sSupPr>
              <m:ctrlPr>
                <w:rPr>
                  <w:rFonts w:ascii="Cambria Math" w:hAnsi="Cambria Math"/>
                  <w:i/>
                  <w:noProof/>
                  <w:sz w:val="20"/>
                  <w:szCs w:val="20"/>
                </w:rPr>
              </m:ctrlPr>
            </m:sSupPr>
            <m:e>
              <m:r>
                <w:rPr>
                  <w:rFonts w:ascii="Cambria Math" w:hAnsi="Cambria Math"/>
                  <w:noProof/>
                  <w:sz w:val="20"/>
                  <w:szCs w:val="20"/>
                </w:rPr>
                <m:t>BACVA</m:t>
              </m:r>
            </m:e>
            <m:sup>
              <m:r>
                <w:rPr>
                  <w:rFonts w:ascii="Cambria Math" w:hAnsi="Cambria Math"/>
                  <w:noProof/>
                  <w:sz w:val="20"/>
                  <w:szCs w:val="20"/>
                </w:rPr>
                <m:t>csr-hedged</m:t>
              </m:r>
            </m:sup>
          </m:sSup>
          <m:r>
            <w:rPr>
              <w:rFonts w:ascii="Cambria Math" w:hAnsi="Cambria Math"/>
              <w:noProof/>
              <w:sz w:val="20"/>
              <w:szCs w:val="20"/>
            </w:rPr>
            <m:t xml:space="preserve"> =</m:t>
          </m:r>
          <m:rad>
            <m:radPr>
              <m:degHide m:val="1"/>
              <m:ctrlPr>
                <w:rPr>
                  <w:rFonts w:ascii="Cambria Math" w:hAnsi="Cambria Math"/>
                  <w:noProof/>
                  <w:sz w:val="20"/>
                  <w:szCs w:val="20"/>
                </w:rPr>
              </m:ctrlPr>
            </m:radPr>
            <m:deg/>
            <m:e>
              <m:sSup>
                <m:sSupPr>
                  <m:ctrlPr>
                    <w:rPr>
                      <w:rFonts w:ascii="Cambria Math" w:hAnsi="Cambria Math"/>
                      <w:noProof/>
                      <w:sz w:val="20"/>
                      <w:szCs w:val="20"/>
                    </w:rPr>
                  </m:ctrlPr>
                </m:sSupPr>
                <m:e>
                  <m:d>
                    <m:dPr>
                      <m:ctrlPr>
                        <w:rPr>
                          <w:rFonts w:ascii="Cambria Math" w:hAnsi="Cambria Math"/>
                          <w:noProof/>
                          <w:sz w:val="20"/>
                          <w:szCs w:val="20"/>
                        </w:rPr>
                      </m:ctrlPr>
                    </m:dPr>
                    <m:e>
                      <m:r>
                        <w:rPr>
                          <w:rFonts w:ascii="Cambria Math" w:hAnsi="Cambria Math"/>
                          <w:noProof/>
                          <w:sz w:val="20"/>
                          <w:szCs w:val="20"/>
                        </w:rPr>
                        <m:t>ρ</m:t>
                      </m:r>
                      <m:r>
                        <m:rPr>
                          <m:sty m:val="p"/>
                        </m:rPr>
                        <w:rPr>
                          <w:rFonts w:ascii="Cambria Math" w:eastAsiaTheme="minorEastAsia" w:hAnsi="Cambria Math"/>
                          <w:noProof/>
                          <w:sz w:val="20"/>
                          <w:szCs w:val="20"/>
                        </w:rPr>
                        <m:t>⋅</m:t>
                      </m:r>
                      <m:nary>
                        <m:naryPr>
                          <m:chr m:val="∑"/>
                          <m:limLoc m:val="undOvr"/>
                          <m:supHide m:val="1"/>
                          <m:ctrlPr>
                            <w:rPr>
                              <w:rFonts w:ascii="Cambria Math" w:hAnsi="Cambria Math"/>
                              <w:noProof/>
                              <w:sz w:val="20"/>
                              <w:szCs w:val="20"/>
                            </w:rPr>
                          </m:ctrlPr>
                        </m:naryPr>
                        <m:sub>
                          <m:r>
                            <w:rPr>
                              <w:rFonts w:ascii="Cambria Math" w:hAnsi="Cambria Math"/>
                              <w:noProof/>
                              <w:sz w:val="20"/>
                              <w:szCs w:val="20"/>
                            </w:rPr>
                            <m:t>c</m:t>
                          </m:r>
                        </m:sub>
                        <m:sup/>
                        <m:e>
                          <m:d>
                            <m:dPr>
                              <m:ctrlPr>
                                <w:rPr>
                                  <w:rFonts w:ascii="Cambria Math" w:hAnsi="Cambria Math"/>
                                  <w:noProof/>
                                  <w:sz w:val="20"/>
                                  <w:szCs w:val="20"/>
                                </w:rPr>
                              </m:ctrlPr>
                            </m:dPr>
                            <m:e>
                              <m:sSub>
                                <m:sSubPr>
                                  <m:ctrlPr>
                                    <w:rPr>
                                      <w:rFonts w:ascii="Cambria Math" w:hAnsi="Cambria Math"/>
                                      <w:i/>
                                      <w:noProof/>
                                      <w:sz w:val="20"/>
                                      <w:szCs w:val="20"/>
                                    </w:rPr>
                                  </m:ctrlPr>
                                </m:sSubPr>
                                <m:e>
                                  <m:r>
                                    <w:rPr>
                                      <w:rFonts w:ascii="Cambria Math" w:hAnsi="Cambria Math"/>
                                      <w:noProof/>
                                      <w:sz w:val="20"/>
                                      <w:szCs w:val="20"/>
                                    </w:rPr>
                                    <m:t>SCVA</m:t>
                                  </m:r>
                                </m:e>
                                <m:sub>
                                  <m:r>
                                    <w:rPr>
                                      <w:rFonts w:ascii="Cambria Math" w:hAnsi="Cambria Math"/>
                                      <w:noProof/>
                                      <w:sz w:val="20"/>
                                      <w:szCs w:val="20"/>
                                    </w:rPr>
                                    <m:t>c</m:t>
                                  </m:r>
                                </m:sub>
                              </m:sSub>
                              <m:r>
                                <m:rPr>
                                  <m:sty m:val="p"/>
                                </m:rPr>
                                <w:rPr>
                                  <w:rFonts w:ascii="Cambria Math" w:hAnsi="Cambria Math"/>
                                  <w:noProof/>
                                  <w:sz w:val="20"/>
                                  <w:szCs w:val="20"/>
                                </w:rPr>
                                <m:t>-</m:t>
                              </m:r>
                              <m:sSub>
                                <m:sSubPr>
                                  <m:ctrlPr>
                                    <w:rPr>
                                      <w:rFonts w:ascii="Cambria Math" w:hAnsi="Cambria Math"/>
                                      <w:i/>
                                      <w:noProof/>
                                      <w:sz w:val="20"/>
                                      <w:szCs w:val="20"/>
                                    </w:rPr>
                                  </m:ctrlPr>
                                </m:sSubPr>
                                <m:e>
                                  <m:r>
                                    <w:rPr>
                                      <w:rFonts w:ascii="Cambria Math" w:hAnsi="Cambria Math"/>
                                      <w:noProof/>
                                      <w:sz w:val="20"/>
                                      <w:szCs w:val="20"/>
                                    </w:rPr>
                                    <m:t>SNH</m:t>
                                  </m:r>
                                </m:e>
                                <m:sub>
                                  <m:r>
                                    <w:rPr>
                                      <w:rFonts w:ascii="Cambria Math" w:hAnsi="Cambria Math"/>
                                      <w:noProof/>
                                      <w:sz w:val="20"/>
                                      <w:szCs w:val="20"/>
                                    </w:rPr>
                                    <m:t>c</m:t>
                                  </m:r>
                                </m:sub>
                              </m:sSub>
                            </m:e>
                          </m:d>
                        </m:e>
                      </m:nary>
                      <m:r>
                        <m:rPr>
                          <m:sty m:val="p"/>
                        </m:rPr>
                        <w:rPr>
                          <w:rFonts w:ascii="Cambria Math" w:hAnsi="Cambria Math"/>
                          <w:noProof/>
                          <w:sz w:val="20"/>
                          <w:szCs w:val="20"/>
                        </w:rPr>
                        <m:t>-</m:t>
                      </m:r>
                      <m:r>
                        <w:rPr>
                          <w:rFonts w:ascii="Cambria Math" w:hAnsi="Cambria Math"/>
                          <w:noProof/>
                          <w:sz w:val="20"/>
                          <w:szCs w:val="20"/>
                        </w:rPr>
                        <m:t>IH</m:t>
                      </m:r>
                    </m:e>
                  </m:d>
                </m:e>
                <m:sup>
                  <m:r>
                    <m:rPr>
                      <m:sty m:val="p"/>
                    </m:rPr>
                    <w:rPr>
                      <w:rFonts w:ascii="Cambria Math" w:hAnsi="Cambria Math"/>
                      <w:noProof/>
                      <w:sz w:val="20"/>
                      <w:szCs w:val="20"/>
                    </w:rPr>
                    <m:t>2</m:t>
                  </m:r>
                </m:sup>
              </m:sSup>
              <m:r>
                <m:rPr>
                  <m:sty m:val="p"/>
                </m:rPr>
                <w:rPr>
                  <w:rFonts w:ascii="Cambria Math" w:eastAsiaTheme="minorEastAsia" w:hAnsi="Cambria Math"/>
                  <w:noProof/>
                  <w:sz w:val="20"/>
                  <w:szCs w:val="20"/>
                </w:rPr>
                <m:t>+</m:t>
              </m:r>
              <m:d>
                <m:dPr>
                  <m:ctrlPr>
                    <w:rPr>
                      <w:rFonts w:ascii="Cambria Math" w:eastAsiaTheme="minorEastAsia" w:hAnsi="Cambria Math"/>
                      <w:noProof/>
                      <w:sz w:val="20"/>
                      <w:szCs w:val="20"/>
                    </w:rPr>
                  </m:ctrlPr>
                </m:dPr>
                <m:e>
                  <m:sSup>
                    <m:sSupPr>
                      <m:ctrlPr>
                        <w:rPr>
                          <w:rFonts w:ascii="Cambria Math" w:eastAsiaTheme="minorEastAsia" w:hAnsi="Cambria Math"/>
                          <w:noProof/>
                          <w:sz w:val="20"/>
                          <w:szCs w:val="20"/>
                        </w:rPr>
                      </m:ctrlPr>
                    </m:sSupPr>
                    <m:e>
                      <m:r>
                        <m:rPr>
                          <m:sty m:val="p"/>
                        </m:rPr>
                        <w:rPr>
                          <w:rFonts w:ascii="Cambria Math" w:eastAsiaTheme="minorEastAsia" w:hAnsi="Cambria Math"/>
                          <w:noProof/>
                          <w:sz w:val="20"/>
                          <w:szCs w:val="20"/>
                        </w:rPr>
                        <m:t>1-</m:t>
                      </m:r>
                      <m:r>
                        <w:rPr>
                          <w:rFonts w:ascii="Cambria Math" w:eastAsiaTheme="minorEastAsia" w:hAnsi="Cambria Math"/>
                          <w:noProof/>
                          <w:sz w:val="20"/>
                          <w:szCs w:val="20"/>
                        </w:rPr>
                        <m:t>ρ</m:t>
                      </m:r>
                    </m:e>
                    <m:sup>
                      <m:r>
                        <m:rPr>
                          <m:sty m:val="p"/>
                        </m:rPr>
                        <w:rPr>
                          <w:rFonts w:ascii="Cambria Math" w:eastAsiaTheme="minorEastAsia" w:hAnsi="Cambria Math"/>
                          <w:noProof/>
                          <w:sz w:val="20"/>
                          <w:szCs w:val="20"/>
                        </w:rPr>
                        <m:t>2</m:t>
                      </m:r>
                    </m:sup>
                  </m:sSup>
                </m:e>
              </m:d>
              <m:r>
                <m:rPr>
                  <m:sty m:val="p"/>
                </m:rPr>
                <w:rPr>
                  <w:rFonts w:ascii="Cambria Math" w:eastAsiaTheme="minorEastAsia" w:hAnsi="Cambria Math"/>
                  <w:noProof/>
                  <w:sz w:val="20"/>
                  <w:szCs w:val="20"/>
                </w:rPr>
                <m:t>⋅</m:t>
              </m:r>
              <m:nary>
                <m:naryPr>
                  <m:chr m:val="∑"/>
                  <m:limLoc m:val="undOvr"/>
                  <m:supHide m:val="1"/>
                  <m:ctrlPr>
                    <w:rPr>
                      <w:rFonts w:ascii="Cambria Math" w:eastAsiaTheme="minorEastAsia" w:hAnsi="Cambria Math"/>
                      <w:noProof/>
                      <w:sz w:val="20"/>
                      <w:szCs w:val="20"/>
                    </w:rPr>
                  </m:ctrlPr>
                </m:naryPr>
                <m:sub>
                  <m:r>
                    <w:rPr>
                      <w:rFonts w:ascii="Cambria Math" w:eastAsiaTheme="minorEastAsia" w:hAnsi="Cambria Math"/>
                      <w:noProof/>
                      <w:sz w:val="20"/>
                      <w:szCs w:val="20"/>
                    </w:rPr>
                    <m:t>c</m:t>
                  </m:r>
                </m:sub>
                <m:sup/>
                <m:e>
                  <m:sSup>
                    <m:sSupPr>
                      <m:ctrlPr>
                        <w:rPr>
                          <w:rFonts w:ascii="Cambria Math" w:eastAsiaTheme="minorEastAsia" w:hAnsi="Cambria Math"/>
                          <w:noProof/>
                          <w:sz w:val="20"/>
                          <w:szCs w:val="20"/>
                        </w:rPr>
                      </m:ctrlPr>
                    </m:sSupPr>
                    <m:e>
                      <m:d>
                        <m:dPr>
                          <m:ctrlPr>
                            <w:rPr>
                              <w:rFonts w:ascii="Cambria Math" w:eastAsiaTheme="minorEastAsia" w:hAnsi="Cambria Math"/>
                              <w:noProof/>
                              <w:sz w:val="20"/>
                              <w:szCs w:val="20"/>
                            </w:rPr>
                          </m:ctrlPr>
                        </m:dPr>
                        <m:e>
                          <m:sSub>
                            <m:sSubPr>
                              <m:ctrlPr>
                                <w:rPr>
                                  <w:rFonts w:ascii="Cambria Math" w:hAnsi="Cambria Math"/>
                                  <w:i/>
                                  <w:noProof/>
                                  <w:sz w:val="20"/>
                                  <w:szCs w:val="20"/>
                                </w:rPr>
                              </m:ctrlPr>
                            </m:sSubPr>
                            <m:e>
                              <m:r>
                                <w:rPr>
                                  <w:rFonts w:ascii="Cambria Math" w:hAnsi="Cambria Math"/>
                                  <w:noProof/>
                                  <w:sz w:val="20"/>
                                  <w:szCs w:val="20"/>
                                </w:rPr>
                                <m:t>SCVA</m:t>
                              </m:r>
                            </m:e>
                            <m:sub>
                              <m:r>
                                <w:rPr>
                                  <w:rFonts w:ascii="Cambria Math" w:hAnsi="Cambria Math"/>
                                  <w:noProof/>
                                  <w:sz w:val="20"/>
                                  <w:szCs w:val="20"/>
                                </w:rPr>
                                <m:t>c</m:t>
                              </m:r>
                            </m:sub>
                          </m:sSub>
                          <m:r>
                            <m:rPr>
                              <m:sty m:val="p"/>
                            </m:rPr>
                            <w:rPr>
                              <w:rFonts w:ascii="Cambria Math" w:hAnsi="Cambria Math"/>
                              <w:noProof/>
                              <w:sz w:val="20"/>
                              <w:szCs w:val="20"/>
                            </w:rPr>
                            <m:t>-</m:t>
                          </m:r>
                          <m:sSub>
                            <m:sSubPr>
                              <m:ctrlPr>
                                <w:rPr>
                                  <w:rFonts w:ascii="Cambria Math" w:hAnsi="Cambria Math"/>
                                  <w:noProof/>
                                  <w:sz w:val="20"/>
                                  <w:szCs w:val="20"/>
                                </w:rPr>
                              </m:ctrlPr>
                            </m:sSubPr>
                            <m:e>
                              <m:r>
                                <w:rPr>
                                  <w:rFonts w:ascii="Cambria Math" w:hAnsi="Cambria Math"/>
                                  <w:noProof/>
                                  <w:sz w:val="20"/>
                                  <w:szCs w:val="20"/>
                                </w:rPr>
                                <m:t>SNH</m:t>
                              </m:r>
                            </m:e>
                            <m:sub>
                              <m:r>
                                <w:rPr>
                                  <w:rFonts w:ascii="Cambria Math" w:hAnsi="Cambria Math"/>
                                  <w:noProof/>
                                  <w:sz w:val="20"/>
                                  <w:szCs w:val="20"/>
                                </w:rPr>
                                <m:t>C</m:t>
                              </m:r>
                            </m:sub>
                          </m:sSub>
                        </m:e>
                      </m:d>
                    </m:e>
                    <m:sup>
                      <m:r>
                        <m:rPr>
                          <m:sty m:val="p"/>
                        </m:rPr>
                        <w:rPr>
                          <w:rFonts w:ascii="Cambria Math" w:eastAsiaTheme="minorEastAsia" w:hAnsi="Cambria Math"/>
                          <w:noProof/>
                          <w:sz w:val="20"/>
                          <w:szCs w:val="20"/>
                        </w:rPr>
                        <m:t>2</m:t>
                      </m:r>
                    </m:sup>
                  </m:sSup>
                </m:e>
              </m:nary>
              <m:r>
                <w:rPr>
                  <w:rFonts w:ascii="Cambria Math" w:eastAsiaTheme="minorEastAsia" w:hAnsi="Cambria Math"/>
                  <w:noProof/>
                  <w:sz w:val="20"/>
                  <w:szCs w:val="20"/>
                </w:rPr>
                <m:t>+</m:t>
              </m:r>
              <m:nary>
                <m:naryPr>
                  <m:chr m:val="∑"/>
                  <m:limLoc m:val="undOvr"/>
                  <m:supHide m:val="1"/>
                  <m:ctrlPr>
                    <w:rPr>
                      <w:rFonts w:ascii="Cambria Math" w:eastAsiaTheme="minorEastAsia" w:hAnsi="Cambria Math"/>
                      <w:noProof/>
                      <w:sz w:val="20"/>
                      <w:szCs w:val="20"/>
                    </w:rPr>
                  </m:ctrlPr>
                </m:naryPr>
                <m:sub>
                  <m:r>
                    <w:rPr>
                      <w:rFonts w:ascii="Cambria Math" w:eastAsiaTheme="minorEastAsia" w:hAnsi="Cambria Math"/>
                      <w:noProof/>
                      <w:sz w:val="20"/>
                      <w:szCs w:val="20"/>
                    </w:rPr>
                    <m:t>c</m:t>
                  </m:r>
                </m:sub>
                <m:sup/>
                <m:e>
                  <m:sSub>
                    <m:sSubPr>
                      <m:ctrlPr>
                        <w:rPr>
                          <w:rFonts w:ascii="Cambria Math" w:hAnsi="Cambria Math"/>
                          <w:i/>
                          <w:noProof/>
                          <w:sz w:val="20"/>
                          <w:szCs w:val="20"/>
                        </w:rPr>
                      </m:ctrlPr>
                    </m:sSubPr>
                    <m:e>
                      <m:r>
                        <w:rPr>
                          <w:rFonts w:ascii="Cambria Math" w:hAnsi="Cambria Math"/>
                          <w:noProof/>
                          <w:sz w:val="20"/>
                          <w:szCs w:val="20"/>
                        </w:rPr>
                        <m:t>HMA</m:t>
                      </m:r>
                    </m:e>
                    <m:sub>
                      <m:r>
                        <w:rPr>
                          <w:rFonts w:ascii="Cambria Math" w:hAnsi="Cambria Math"/>
                          <w:noProof/>
                          <w:sz w:val="20"/>
                          <w:szCs w:val="20"/>
                        </w:rPr>
                        <m:t>c</m:t>
                      </m:r>
                    </m:sub>
                  </m:sSub>
                </m:e>
              </m:nary>
            </m:e>
          </m:rad>
        </m:oMath>
      </m:oMathPara>
    </w:p>
    <w:p w14:paraId="578D0DD6" w14:textId="77777777" w:rsidR="004334CE" w:rsidRPr="004F01E9" w:rsidRDefault="004334CE" w:rsidP="004334CE">
      <w:pPr>
        <w:pStyle w:val="Text1"/>
        <w:rPr>
          <w:noProof/>
        </w:rPr>
      </w:pPr>
      <w:r w:rsidRPr="004F01E9">
        <w:rPr>
          <w:noProof/>
        </w:rPr>
        <w:t>kde:</w:t>
      </w:r>
    </w:p>
    <w:p w14:paraId="5958B36A" w14:textId="77777777" w:rsidR="004334CE" w:rsidRPr="004F01E9" w:rsidRDefault="00EE12EE" w:rsidP="004334CE">
      <w:pPr>
        <w:pStyle w:val="Text1"/>
        <w:rPr>
          <w:noProof/>
        </w:rPr>
      </w:pPr>
      <m:oMathPara>
        <m:oMathParaPr>
          <m:jc m:val="left"/>
        </m:oMathParaPr>
        <m:oMath>
          <m:sSub>
            <m:sSubPr>
              <m:ctrlPr>
                <w:rPr>
                  <w:rFonts w:ascii="Cambria Math" w:hAnsi="Cambria Math"/>
                  <w:noProof/>
                </w:rPr>
              </m:ctrlPr>
            </m:sSubPr>
            <m:e>
              <m:r>
                <w:rPr>
                  <w:rFonts w:ascii="Cambria Math" w:hAnsi="Cambria Math"/>
                  <w:noProof/>
                </w:rPr>
                <m:t>SCVA</m:t>
              </m:r>
            </m:e>
            <m:sub>
              <m:r>
                <w:rPr>
                  <w:rFonts w:ascii="Cambria Math" w:hAnsi="Cambria Math"/>
                  <w:noProof/>
                </w:rPr>
                <m:t>c</m:t>
              </m:r>
            </m:sub>
          </m:sSub>
          <m:r>
            <m:rPr>
              <m:sty m:val="p"/>
            </m:rPr>
            <w:rPr>
              <w:rFonts w:ascii="Cambria Math" w:eastAsiaTheme="minorEastAsia" w:hAnsi="Cambria Math"/>
              <w:noProof/>
            </w:rPr>
            <m:t xml:space="preserve">= </m:t>
          </m:r>
          <m:sSub>
            <m:sSubPr>
              <m:ctrlPr>
                <w:rPr>
                  <w:rFonts w:ascii="Cambria Math" w:hAnsi="Cambria Math"/>
                  <w:noProof/>
                </w:rPr>
              </m:ctrlPr>
            </m:sSubPr>
            <m:e>
              <m:f>
                <m:fPr>
                  <m:ctrlPr>
                    <w:rPr>
                      <w:rFonts w:ascii="Cambria Math" w:hAnsi="Cambria Math"/>
                      <w:noProof/>
                    </w:rPr>
                  </m:ctrlPr>
                </m:fPr>
                <m:num>
                  <m:r>
                    <m:rPr>
                      <m:sty m:val="p"/>
                    </m:rPr>
                    <w:rPr>
                      <w:rFonts w:ascii="Cambria Math" w:hAnsi="Cambria Math"/>
                      <w:noProof/>
                    </w:rPr>
                    <m:t>1</m:t>
                  </m:r>
                </m:num>
                <m:den>
                  <m:r>
                    <w:rPr>
                      <w:rFonts w:ascii="Cambria Math" w:hAnsi="Cambria Math"/>
                      <w:noProof/>
                    </w:rPr>
                    <m:t>a</m:t>
                  </m:r>
                </m:den>
              </m:f>
              <m:r>
                <m:rPr>
                  <m:sty m:val="p"/>
                </m:rPr>
                <w:rPr>
                  <w:rFonts w:ascii="Cambria Math" w:hAnsi="Cambria Math"/>
                  <w:noProof/>
                </w:rPr>
                <m:t>∙</m:t>
              </m:r>
              <m:r>
                <w:rPr>
                  <w:rFonts w:ascii="Cambria Math" w:hAnsi="Cambria Math"/>
                  <w:noProof/>
                </w:rPr>
                <m:t>RW</m:t>
              </m:r>
            </m:e>
            <m:sub>
              <m:r>
                <w:rPr>
                  <w:rFonts w:ascii="Cambria Math" w:hAnsi="Cambria Math"/>
                  <w:noProof/>
                </w:rPr>
                <m:t>c</m:t>
              </m:r>
            </m:sub>
          </m:sSub>
          <m:r>
            <m:rPr>
              <m:sty m:val="p"/>
            </m:rPr>
            <w:rPr>
              <w:rFonts w:ascii="Cambria Math" w:hAnsi="Cambria Math"/>
              <w:noProof/>
            </w:rPr>
            <m:t>∙</m:t>
          </m:r>
          <m:nary>
            <m:naryPr>
              <m:chr m:val="∑"/>
              <m:limLoc m:val="undOvr"/>
              <m:supHide m:val="1"/>
              <m:ctrlPr>
                <w:rPr>
                  <w:rFonts w:ascii="Cambria Math" w:hAnsi="Cambria Math"/>
                  <w:noProof/>
                </w:rPr>
              </m:ctrlPr>
            </m:naryPr>
            <m:sub>
              <m:r>
                <w:rPr>
                  <w:rFonts w:ascii="Cambria Math" w:hAnsi="Cambria Math"/>
                  <w:noProof/>
                </w:rPr>
                <m:t>NS</m:t>
              </m:r>
              <m:r>
                <m:rPr>
                  <m:sty m:val="p"/>
                </m:rPr>
                <w:rPr>
                  <w:rFonts w:ascii="Cambria Math" w:hAnsi="Cambria Math"/>
                  <w:noProof/>
                </w:rPr>
                <m:t>∈</m:t>
              </m:r>
              <m:r>
                <w:rPr>
                  <w:rFonts w:ascii="Cambria Math" w:hAnsi="Cambria Math"/>
                  <w:noProof/>
                </w:rPr>
                <m:t>c</m:t>
              </m:r>
            </m:sub>
            <m:sup/>
            <m:e>
              <m:sSubSup>
                <m:sSubSupPr>
                  <m:ctrlPr>
                    <w:rPr>
                      <w:rFonts w:ascii="Cambria Math" w:hAnsi="Cambria Math"/>
                      <w:noProof/>
                    </w:rPr>
                  </m:ctrlPr>
                </m:sSubSupPr>
                <m:e>
                  <m:r>
                    <w:rPr>
                      <w:rFonts w:ascii="Cambria Math" w:hAnsi="Cambria Math"/>
                      <w:noProof/>
                    </w:rPr>
                    <m:t>M</m:t>
                  </m:r>
                </m:e>
                <m:sub>
                  <m:r>
                    <w:rPr>
                      <w:rFonts w:ascii="Cambria Math" w:hAnsi="Cambria Math"/>
                      <w:noProof/>
                    </w:rPr>
                    <m:t>NS</m:t>
                  </m:r>
                </m:sub>
                <m:sup>
                  <m:r>
                    <w:rPr>
                      <w:rFonts w:ascii="Cambria Math" w:hAnsi="Cambria Math"/>
                      <w:noProof/>
                    </w:rPr>
                    <m:t>c</m:t>
                  </m:r>
                </m:sup>
              </m:sSubSup>
            </m:e>
          </m:nary>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EAD</m:t>
              </m:r>
            </m:e>
            <m:sub>
              <m:r>
                <w:rPr>
                  <w:rFonts w:ascii="Cambria Math" w:hAnsi="Cambria Math"/>
                  <w:noProof/>
                </w:rPr>
                <m:t>NS</m:t>
              </m:r>
            </m:sub>
            <m:sup>
              <m:r>
                <w:rPr>
                  <w:rFonts w:ascii="Cambria Math" w:hAnsi="Cambria Math"/>
                  <w:noProof/>
                </w:rPr>
                <m:t>c</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DF</m:t>
              </m:r>
            </m:e>
            <m:sub>
              <m:r>
                <w:rPr>
                  <w:rFonts w:ascii="Cambria Math" w:hAnsi="Cambria Math"/>
                  <w:noProof/>
                </w:rPr>
                <m:t>NS</m:t>
              </m:r>
            </m:sub>
            <m:sup>
              <m:r>
                <w:rPr>
                  <w:rFonts w:ascii="Cambria Math" w:hAnsi="Cambria Math"/>
                  <w:noProof/>
                </w:rPr>
                <m:t>c</m:t>
              </m:r>
            </m:sup>
          </m:sSubSup>
        </m:oMath>
      </m:oMathPara>
    </w:p>
    <w:p w14:paraId="3AE7E032" w14:textId="77777777" w:rsidR="004334CE" w:rsidRPr="004F01E9" w:rsidRDefault="00EE12EE" w:rsidP="004334CE">
      <w:pPr>
        <w:pStyle w:val="Text1"/>
        <w:rPr>
          <w:rFonts w:eastAsiaTheme="minorEastAsia"/>
          <w:noProof/>
        </w:rPr>
      </w:pPr>
      <m:oMathPara>
        <m:oMathParaPr>
          <m:jc m:val="left"/>
        </m:oMathParaPr>
        <m:oMath>
          <m:sSub>
            <m:sSubPr>
              <m:ctrlPr>
                <w:rPr>
                  <w:rFonts w:ascii="Cambria Math" w:hAnsi="Cambria Math"/>
                  <w:noProof/>
                </w:rPr>
              </m:ctrlPr>
            </m:sSubPr>
            <m:e>
              <m:r>
                <w:rPr>
                  <w:rFonts w:ascii="Cambria Math" w:hAnsi="Cambria Math"/>
                  <w:noProof/>
                </w:rPr>
                <m:t>SNH</m:t>
              </m:r>
            </m:e>
            <m:sub>
              <m:r>
                <w:rPr>
                  <w:rFonts w:ascii="Cambria Math" w:hAnsi="Cambria Math"/>
                  <w:noProof/>
                </w:rPr>
                <m:t>c</m:t>
              </m:r>
            </m:sub>
          </m:sSub>
          <m:r>
            <m:rPr>
              <m:sty m:val="p"/>
            </m:rPr>
            <w:rPr>
              <w:rFonts w:ascii="Cambria Math" w:hAnsi="Cambria Math"/>
              <w:noProof/>
            </w:rPr>
            <m:t>=</m:t>
          </m:r>
          <m:nary>
            <m:naryPr>
              <m:chr m:val="∑"/>
              <m:limLoc m:val="undOvr"/>
              <m:supHide m:val="1"/>
              <m:ctrlPr>
                <w:rPr>
                  <w:rFonts w:ascii="Cambria Math" w:hAnsi="Cambria Math"/>
                  <w:noProof/>
                </w:rPr>
              </m:ctrlPr>
            </m:naryPr>
            <m:sub>
              <m:r>
                <w:rPr>
                  <w:rFonts w:ascii="Cambria Math" w:hAnsi="Cambria Math"/>
                  <w:noProof/>
                </w:rPr>
                <m:t>h</m:t>
              </m:r>
              <m:r>
                <m:rPr>
                  <m:sty m:val="p"/>
                </m:rPr>
                <w:rPr>
                  <w:rFonts w:ascii="Cambria Math" w:hAnsi="Cambria Math"/>
                  <w:noProof/>
                </w:rPr>
                <m:t>∈</m:t>
              </m:r>
              <m:r>
                <w:rPr>
                  <w:rFonts w:ascii="Cambria Math" w:hAnsi="Cambria Math"/>
                  <w:noProof/>
                </w:rPr>
                <m:t>c</m:t>
              </m:r>
            </m:sub>
            <m:sup/>
            <m:e>
              <m:sSub>
                <m:sSubPr>
                  <m:ctrlPr>
                    <w:rPr>
                      <w:rFonts w:ascii="Cambria Math" w:hAnsi="Cambria Math"/>
                      <w:noProof/>
                    </w:rPr>
                  </m:ctrlPr>
                </m:sSubPr>
                <m:e>
                  <m:r>
                    <w:rPr>
                      <w:rFonts w:ascii="Cambria Math" w:hAnsi="Cambria Math"/>
                      <w:noProof/>
                    </w:rPr>
                    <m:t>r</m:t>
                  </m:r>
                </m:e>
                <m:sub>
                  <m:r>
                    <w:rPr>
                      <w:rFonts w:ascii="Cambria Math" w:hAnsi="Cambria Math"/>
                      <w:noProof/>
                    </w:rPr>
                    <m:t>hc</m:t>
                  </m:r>
                </m:sub>
              </m:sSub>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RW</m:t>
                  </m:r>
                </m:e>
                <m:sub>
                  <m:r>
                    <w:rPr>
                      <w:rFonts w:ascii="Cambria Math" w:hAnsi="Cambria Math"/>
                      <w:noProof/>
                    </w:rPr>
                    <m:t>h</m:t>
                  </m:r>
                </m:sub>
                <m:sup>
                  <m:r>
                    <w:rPr>
                      <w:rFonts w:ascii="Cambria Math" w:hAnsi="Cambria Math"/>
                      <w:noProof/>
                    </w:rPr>
                    <m:t>SN</m:t>
                  </m:r>
                </m:sup>
              </m:sSubSup>
              <m:sSubSup>
                <m:sSubSupPr>
                  <m:ctrlPr>
                    <w:rPr>
                      <w:rFonts w:ascii="Cambria Math" w:hAnsi="Cambria Math"/>
                      <w:noProof/>
                    </w:rPr>
                  </m:ctrlPr>
                </m:sSubSupPr>
                <m:e>
                  <m:r>
                    <m:rPr>
                      <m:sty m:val="p"/>
                    </m:rPr>
                    <w:rPr>
                      <w:rFonts w:ascii="Cambria Math" w:hAnsi="Cambria Math"/>
                      <w:noProof/>
                    </w:rPr>
                    <m:t>∙</m:t>
                  </m:r>
                  <m:r>
                    <w:rPr>
                      <w:rFonts w:ascii="Cambria Math" w:hAnsi="Cambria Math"/>
                      <w:noProof/>
                    </w:rPr>
                    <m:t>M</m:t>
                  </m:r>
                </m:e>
                <m:sub>
                  <m:r>
                    <w:rPr>
                      <w:rFonts w:ascii="Cambria Math" w:hAnsi="Cambria Math"/>
                      <w:noProof/>
                    </w:rPr>
                    <m:t>h</m:t>
                  </m:r>
                </m:sub>
                <m:sup>
                  <m:r>
                    <w:rPr>
                      <w:rFonts w:ascii="Cambria Math" w:hAnsi="Cambria Math"/>
                      <w:noProof/>
                    </w:rPr>
                    <m:t>SN</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B</m:t>
                  </m:r>
                </m:e>
                <m:sub>
                  <m:r>
                    <w:rPr>
                      <w:rFonts w:ascii="Cambria Math" w:hAnsi="Cambria Math"/>
                      <w:noProof/>
                    </w:rPr>
                    <m:t>h</m:t>
                  </m:r>
                </m:sub>
                <m:sup>
                  <m:r>
                    <w:rPr>
                      <w:rFonts w:ascii="Cambria Math" w:hAnsi="Cambria Math"/>
                      <w:noProof/>
                    </w:rPr>
                    <m:t>SN</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DF</m:t>
                  </m:r>
                </m:e>
                <m:sub>
                  <m:r>
                    <w:rPr>
                      <w:rFonts w:ascii="Cambria Math" w:hAnsi="Cambria Math"/>
                      <w:noProof/>
                    </w:rPr>
                    <m:t>h</m:t>
                  </m:r>
                </m:sub>
                <m:sup>
                  <m:r>
                    <w:rPr>
                      <w:rFonts w:ascii="Cambria Math" w:hAnsi="Cambria Math"/>
                      <w:noProof/>
                    </w:rPr>
                    <m:t>SN</m:t>
                  </m:r>
                </m:sup>
              </m:sSubSup>
            </m:e>
          </m:nary>
        </m:oMath>
      </m:oMathPara>
    </w:p>
    <w:p w14:paraId="6C90AD36" w14:textId="77777777" w:rsidR="004334CE" w:rsidRPr="004F01E9" w:rsidRDefault="004334CE" w:rsidP="004334CE">
      <w:pPr>
        <w:pStyle w:val="Text1"/>
        <w:rPr>
          <w:rFonts w:eastAsiaTheme="minorEastAsia"/>
          <w:noProof/>
        </w:rPr>
      </w:pPr>
      <m:oMathPara>
        <m:oMathParaPr>
          <m:jc m:val="left"/>
        </m:oMathParaPr>
        <m:oMath>
          <m:r>
            <w:rPr>
              <w:rFonts w:ascii="Cambria Math" w:hAnsi="Cambria Math"/>
              <w:noProof/>
              <w:color w:val="372F32"/>
            </w:rPr>
            <m:t>IH</m:t>
          </m:r>
          <m:r>
            <m:rPr>
              <m:sty m:val="p"/>
            </m:rPr>
            <w:rPr>
              <w:rFonts w:ascii="Cambria Math" w:hAnsi="Cambria Math"/>
              <w:noProof/>
              <w:color w:val="372F32"/>
            </w:rPr>
            <m:t>=</m:t>
          </m:r>
          <m:nary>
            <m:naryPr>
              <m:chr m:val="∑"/>
              <m:limLoc m:val="undOvr"/>
              <m:supHide m:val="1"/>
              <m:ctrlPr>
                <w:rPr>
                  <w:rFonts w:ascii="Cambria Math" w:hAnsi="Cambria Math"/>
                  <w:noProof/>
                </w:rPr>
              </m:ctrlPr>
            </m:naryPr>
            <m:sub>
              <m:r>
                <w:rPr>
                  <w:rFonts w:ascii="Cambria Math" w:hAnsi="Cambria Math"/>
                  <w:noProof/>
                </w:rPr>
                <m:t>i</m:t>
              </m:r>
            </m:sub>
            <m:sup/>
            <m:e>
              <m:sSubSup>
                <m:sSubSupPr>
                  <m:ctrlPr>
                    <w:rPr>
                      <w:rFonts w:ascii="Cambria Math" w:hAnsi="Cambria Math"/>
                      <w:noProof/>
                    </w:rPr>
                  </m:ctrlPr>
                </m:sSubSupPr>
                <m:e>
                  <m:r>
                    <w:rPr>
                      <w:rFonts w:ascii="Cambria Math" w:hAnsi="Cambria Math"/>
                      <w:noProof/>
                    </w:rPr>
                    <m:t>RW</m:t>
                  </m:r>
                </m:e>
                <m:sub>
                  <m:r>
                    <w:rPr>
                      <w:rFonts w:ascii="Cambria Math" w:hAnsi="Cambria Math"/>
                      <w:noProof/>
                    </w:rPr>
                    <m:t>i</m:t>
                  </m:r>
                </m:sub>
                <m:sup>
                  <m:r>
                    <w:rPr>
                      <w:rFonts w:ascii="Cambria Math" w:hAnsi="Cambria Math"/>
                      <w:noProof/>
                    </w:rPr>
                    <m:t>ind</m:t>
                  </m:r>
                </m:sup>
              </m:sSubSup>
            </m:e>
          </m:nary>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M</m:t>
              </m:r>
            </m:e>
            <m:sub>
              <m:r>
                <w:rPr>
                  <w:rFonts w:ascii="Cambria Math" w:hAnsi="Cambria Math"/>
                  <w:noProof/>
                </w:rPr>
                <m:t>i</m:t>
              </m:r>
            </m:sub>
            <m:sup>
              <m:r>
                <w:rPr>
                  <w:rFonts w:ascii="Cambria Math" w:hAnsi="Cambria Math"/>
                  <w:noProof/>
                </w:rPr>
                <m:t>ind</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B</m:t>
              </m:r>
            </m:e>
            <m:sub>
              <m:r>
                <w:rPr>
                  <w:rFonts w:ascii="Cambria Math" w:hAnsi="Cambria Math"/>
                  <w:noProof/>
                </w:rPr>
                <m:t>i</m:t>
              </m:r>
            </m:sub>
            <m:sup>
              <m:r>
                <w:rPr>
                  <w:rFonts w:ascii="Cambria Math" w:hAnsi="Cambria Math"/>
                  <w:noProof/>
                </w:rPr>
                <m:t>ind</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DF</m:t>
              </m:r>
            </m:e>
            <m:sub>
              <m:r>
                <w:rPr>
                  <w:rFonts w:ascii="Cambria Math" w:hAnsi="Cambria Math"/>
                  <w:noProof/>
                </w:rPr>
                <m:t>i</m:t>
              </m:r>
            </m:sub>
            <m:sup>
              <m:r>
                <w:rPr>
                  <w:rFonts w:ascii="Cambria Math" w:hAnsi="Cambria Math"/>
                  <w:noProof/>
                </w:rPr>
                <m:t>ind</m:t>
              </m:r>
            </m:sup>
          </m:sSubSup>
        </m:oMath>
      </m:oMathPara>
    </w:p>
    <w:p w14:paraId="0551E2A9" w14:textId="77777777" w:rsidR="004334CE" w:rsidRPr="004F01E9" w:rsidRDefault="00EE12EE" w:rsidP="004334CE">
      <w:pPr>
        <w:pStyle w:val="Text1"/>
        <w:rPr>
          <w:rFonts w:eastAsiaTheme="minorEastAsia"/>
          <w:noProof/>
        </w:rPr>
      </w:pPr>
      <m:oMathPara>
        <m:oMathParaPr>
          <m:jc m:val="left"/>
        </m:oMathParaPr>
        <m:oMath>
          <m:sSub>
            <m:sSubPr>
              <m:ctrlPr>
                <w:rPr>
                  <w:rFonts w:ascii="Cambria Math" w:hAnsi="Cambria Math"/>
                  <w:noProof/>
                </w:rPr>
              </m:ctrlPr>
            </m:sSubPr>
            <m:e>
              <m:r>
                <w:rPr>
                  <w:rFonts w:ascii="Cambria Math" w:hAnsi="Cambria Math"/>
                  <w:noProof/>
                </w:rPr>
                <m:t>HMA</m:t>
              </m:r>
            </m:e>
            <m:sub>
              <m:r>
                <w:rPr>
                  <w:rFonts w:ascii="Cambria Math" w:hAnsi="Cambria Math"/>
                  <w:noProof/>
                </w:rPr>
                <m:t>c</m:t>
              </m:r>
            </m:sub>
          </m:sSub>
          <m:r>
            <m:rPr>
              <m:sty m:val="p"/>
            </m:rPr>
            <w:rPr>
              <w:rFonts w:ascii="Cambria Math" w:hAnsi="Cambria Math"/>
              <w:noProof/>
            </w:rPr>
            <m:t>=</m:t>
          </m:r>
          <m:nary>
            <m:naryPr>
              <m:chr m:val="∑"/>
              <m:limLoc m:val="undOvr"/>
              <m:supHide m:val="1"/>
              <m:ctrlPr>
                <w:rPr>
                  <w:rFonts w:ascii="Cambria Math" w:hAnsi="Cambria Math"/>
                  <w:noProof/>
                </w:rPr>
              </m:ctrlPr>
            </m:naryPr>
            <m:sub>
              <m:r>
                <w:rPr>
                  <w:rFonts w:ascii="Cambria Math" w:hAnsi="Cambria Math"/>
                  <w:noProof/>
                </w:rPr>
                <m:t>h</m:t>
              </m:r>
            </m:sub>
            <m:sup/>
            <m:e>
              <m:d>
                <m:dPr>
                  <m:ctrlPr>
                    <w:rPr>
                      <w:rFonts w:ascii="Cambria Math" w:eastAsiaTheme="minorEastAsia" w:hAnsi="Cambria Math"/>
                      <w:noProof/>
                    </w:rPr>
                  </m:ctrlPr>
                </m:dPr>
                <m:e>
                  <m:r>
                    <m:rPr>
                      <m:sty m:val="p"/>
                    </m:rPr>
                    <w:rPr>
                      <w:rFonts w:ascii="Cambria Math" w:eastAsiaTheme="minorEastAsia" w:hAnsi="Cambria Math"/>
                      <w:noProof/>
                    </w:rPr>
                    <m:t>1-</m:t>
                  </m:r>
                  <m:sSubSup>
                    <m:sSubSupPr>
                      <m:ctrlPr>
                        <w:rPr>
                          <w:rFonts w:ascii="Cambria Math" w:eastAsiaTheme="minorEastAsia" w:hAnsi="Cambria Math"/>
                          <w:noProof/>
                        </w:rPr>
                      </m:ctrlPr>
                    </m:sSubSupPr>
                    <m:e>
                      <m:r>
                        <w:rPr>
                          <w:rFonts w:ascii="Cambria Math" w:eastAsiaTheme="minorEastAsia" w:hAnsi="Cambria Math"/>
                          <w:noProof/>
                        </w:rPr>
                        <m:t>r</m:t>
                      </m:r>
                    </m:e>
                    <m:sub>
                      <m:r>
                        <w:rPr>
                          <w:rFonts w:ascii="Cambria Math" w:eastAsiaTheme="minorEastAsia" w:hAnsi="Cambria Math"/>
                          <w:noProof/>
                        </w:rPr>
                        <m:t>hc</m:t>
                      </m:r>
                    </m:sub>
                    <m:sup>
                      <m:r>
                        <m:rPr>
                          <m:sty m:val="p"/>
                        </m:rPr>
                        <w:rPr>
                          <w:rFonts w:ascii="Cambria Math" w:eastAsiaTheme="minorEastAsia" w:hAnsi="Cambria Math"/>
                          <w:noProof/>
                        </w:rPr>
                        <m:t>2</m:t>
                      </m:r>
                    </m:sup>
                  </m:sSubSup>
                </m:e>
              </m:d>
              <m:r>
                <m:rPr>
                  <m:sty m:val="p"/>
                </m:rPr>
                <w:rPr>
                  <w:rFonts w:ascii="Cambria Math" w:hAnsi="Cambria Math"/>
                  <w:noProof/>
                </w:rPr>
                <m:t>∙</m:t>
              </m:r>
              <m:sSup>
                <m:sSupPr>
                  <m:ctrlPr>
                    <w:rPr>
                      <w:rFonts w:ascii="Cambria Math" w:hAnsi="Cambria Math"/>
                      <w:noProof/>
                    </w:rPr>
                  </m:ctrlPr>
                </m:sSupPr>
                <m:e>
                  <m:d>
                    <m:dPr>
                      <m:ctrlPr>
                        <w:rPr>
                          <w:rFonts w:ascii="Cambria Math" w:hAnsi="Cambria Math"/>
                          <w:noProof/>
                        </w:rPr>
                      </m:ctrlPr>
                    </m:dPr>
                    <m:e>
                      <m:sSub>
                        <m:sSubPr>
                          <m:ctrlPr>
                            <w:rPr>
                              <w:rFonts w:ascii="Cambria Math" w:hAnsi="Cambria Math"/>
                              <w:noProof/>
                            </w:rPr>
                          </m:ctrlPr>
                        </m:sSubPr>
                        <m:e>
                          <m:r>
                            <w:rPr>
                              <w:rFonts w:ascii="Cambria Math" w:hAnsi="Cambria Math"/>
                              <w:noProof/>
                            </w:rPr>
                            <m:t>RW</m:t>
                          </m:r>
                        </m:e>
                        <m:sub>
                          <m:r>
                            <w:rPr>
                              <w:rFonts w:ascii="Cambria Math" w:hAnsi="Cambria Math"/>
                              <w:noProof/>
                            </w:rPr>
                            <m:t>h</m:t>
                          </m:r>
                          <m:r>
                            <m:rPr>
                              <m:sty m:val="p"/>
                            </m:rPr>
                            <w:rPr>
                              <w:rFonts w:ascii="Cambria Math" w:hAnsi="Cambria Math"/>
                              <w:noProof/>
                            </w:rPr>
                            <m:t>∙</m:t>
                          </m:r>
                        </m:sub>
                      </m:sSub>
                      <m:sSubSup>
                        <m:sSubSupPr>
                          <m:ctrlPr>
                            <w:rPr>
                              <w:rFonts w:ascii="Cambria Math" w:hAnsi="Cambria Math"/>
                              <w:noProof/>
                            </w:rPr>
                          </m:ctrlPr>
                        </m:sSubSupPr>
                        <m:e>
                          <m:r>
                            <w:rPr>
                              <w:rFonts w:ascii="Cambria Math" w:hAnsi="Cambria Math"/>
                              <w:noProof/>
                            </w:rPr>
                            <m:t>M</m:t>
                          </m:r>
                        </m:e>
                        <m:sub>
                          <m:r>
                            <w:rPr>
                              <w:rFonts w:ascii="Cambria Math" w:hAnsi="Cambria Math"/>
                              <w:noProof/>
                            </w:rPr>
                            <m:t>h</m:t>
                          </m:r>
                        </m:sub>
                        <m:sup>
                          <m:r>
                            <w:rPr>
                              <w:rFonts w:ascii="Cambria Math" w:hAnsi="Cambria Math"/>
                              <w:noProof/>
                            </w:rPr>
                            <m:t>SN</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B</m:t>
                          </m:r>
                        </m:e>
                        <m:sub>
                          <m:r>
                            <w:rPr>
                              <w:rFonts w:ascii="Cambria Math" w:hAnsi="Cambria Math"/>
                              <w:noProof/>
                            </w:rPr>
                            <m:t>h</m:t>
                          </m:r>
                        </m:sub>
                        <m:sup>
                          <m:r>
                            <w:rPr>
                              <w:rFonts w:ascii="Cambria Math" w:hAnsi="Cambria Math"/>
                              <w:noProof/>
                            </w:rPr>
                            <m:t>SN</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DF</m:t>
                          </m:r>
                        </m:e>
                        <m:sub>
                          <m:r>
                            <w:rPr>
                              <w:rFonts w:ascii="Cambria Math" w:hAnsi="Cambria Math"/>
                              <w:noProof/>
                            </w:rPr>
                            <m:t>h</m:t>
                          </m:r>
                        </m:sub>
                        <m:sup>
                          <m:r>
                            <w:rPr>
                              <w:rFonts w:ascii="Cambria Math" w:hAnsi="Cambria Math"/>
                              <w:noProof/>
                            </w:rPr>
                            <m:t>SN</m:t>
                          </m:r>
                        </m:sup>
                      </m:sSubSup>
                    </m:e>
                  </m:d>
                </m:e>
                <m:sup>
                  <m:r>
                    <m:rPr>
                      <m:sty m:val="p"/>
                    </m:rPr>
                    <w:rPr>
                      <w:rFonts w:ascii="Cambria Math" w:hAnsi="Cambria Math"/>
                      <w:noProof/>
                    </w:rPr>
                    <m:t>2</m:t>
                  </m:r>
                </m:sup>
              </m:sSup>
            </m:e>
          </m:nary>
        </m:oMath>
      </m:oMathPara>
    </w:p>
    <w:p w14:paraId="3171328E" w14:textId="2F70724D" w:rsidR="004334CE" w:rsidRPr="004F01E9" w:rsidRDefault="004334CE" w:rsidP="00FB6CE6">
      <w:pPr>
        <w:pStyle w:val="Text1"/>
        <w:tabs>
          <w:tab w:val="left" w:pos="1276"/>
          <w:tab w:val="left" w:pos="1418"/>
          <w:tab w:val="left" w:pos="1701"/>
        </w:tabs>
        <w:rPr>
          <w:noProof/>
        </w:rPr>
      </w:pPr>
      <m:oMath>
        <m:r>
          <w:rPr>
            <w:rFonts w:ascii="Cambria Math" w:hAnsi="Cambria Math"/>
            <w:noProof/>
          </w:rPr>
          <m:t>a</m:t>
        </m:r>
      </m:oMath>
      <w:r w:rsidRPr="004F01E9">
        <w:rPr>
          <w:noProof/>
        </w:rPr>
        <w:tab/>
        <w:t>=</w:t>
      </w:r>
      <w:r w:rsidRPr="004F01E9">
        <w:rPr>
          <w:noProof/>
        </w:rPr>
        <w:tab/>
        <w:t>1,4;</w:t>
      </w:r>
    </w:p>
    <w:p w14:paraId="5EAD3E29" w14:textId="25064CB5" w:rsidR="004334CE" w:rsidRPr="004F01E9" w:rsidRDefault="004334CE" w:rsidP="00FB6CE6">
      <w:pPr>
        <w:pStyle w:val="Text1"/>
        <w:tabs>
          <w:tab w:val="left" w:pos="1276"/>
          <w:tab w:val="left" w:pos="1418"/>
          <w:tab w:val="left" w:pos="1701"/>
        </w:tabs>
        <w:rPr>
          <w:noProof/>
        </w:rPr>
      </w:pPr>
      <m:oMath>
        <m:r>
          <w:rPr>
            <w:rFonts w:ascii="Cambria Math" w:hAnsi="Cambria Math"/>
            <w:noProof/>
            <w:sz w:val="20"/>
            <w:szCs w:val="20"/>
          </w:rPr>
          <m:t>ρ</m:t>
        </m:r>
      </m:oMath>
      <w:r w:rsidRPr="004F01E9">
        <w:rPr>
          <w:noProof/>
        </w:rPr>
        <w:tab/>
      </w:r>
      <w:r w:rsidRPr="004F01E9">
        <w:rPr>
          <w:noProof/>
          <w:sz w:val="20"/>
          <w:szCs w:val="20"/>
        </w:rPr>
        <w:t>=</w:t>
      </w:r>
      <w:r w:rsidRPr="004F01E9">
        <w:rPr>
          <w:noProof/>
        </w:rPr>
        <w:tab/>
        <w:t>0,5;</w:t>
      </w:r>
    </w:p>
    <w:p w14:paraId="37369D29" w14:textId="3BD4A3A0" w:rsidR="004334CE" w:rsidRPr="004F01E9" w:rsidRDefault="004334CE" w:rsidP="00FB6CE6">
      <w:pPr>
        <w:pStyle w:val="Text1"/>
        <w:tabs>
          <w:tab w:val="left" w:pos="1276"/>
          <w:tab w:val="left" w:pos="1418"/>
          <w:tab w:val="left" w:pos="1701"/>
        </w:tabs>
        <w:rPr>
          <w:rFonts w:eastAsiaTheme="minorEastAsia"/>
          <w:noProof/>
        </w:rPr>
      </w:pPr>
      <w:r w:rsidRPr="004F01E9">
        <w:rPr>
          <w:i/>
          <w:noProof/>
        </w:rPr>
        <w:t>c</w:t>
      </w:r>
      <w:r w:rsidRPr="004F01E9">
        <w:rPr>
          <w:noProof/>
        </w:rPr>
        <w:tab/>
        <w:t>=</w:t>
      </w:r>
      <w:r w:rsidRPr="004F01E9">
        <w:rPr>
          <w:noProof/>
        </w:rPr>
        <w:tab/>
        <w:t>index, ktorý označuje všetky protistrany, pre ktoré inštitúcia vypočítava požiadavky na vlastné zdroje pre riziko úpravy ocenenia pohľadávok pomocou prístupu stanoveného</w:t>
      </w:r>
      <w:r w:rsidR="004F01E9">
        <w:rPr>
          <w:noProof/>
        </w:rPr>
        <w:t xml:space="preserve"> v </w:t>
      </w:r>
      <w:r w:rsidRPr="004F01E9">
        <w:rPr>
          <w:noProof/>
        </w:rPr>
        <w:t>tomto článku;</w:t>
      </w:r>
    </w:p>
    <w:p w14:paraId="453807CF" w14:textId="014F417E" w:rsidR="004334CE" w:rsidRPr="004F01E9" w:rsidRDefault="004334CE" w:rsidP="00FB6CE6">
      <w:pPr>
        <w:pStyle w:val="Text1"/>
        <w:tabs>
          <w:tab w:val="left" w:pos="1276"/>
          <w:tab w:val="left" w:pos="1701"/>
        </w:tabs>
        <w:rPr>
          <w:rFonts w:eastAsiaTheme="minorEastAsia"/>
          <w:noProof/>
        </w:rPr>
      </w:pPr>
      <w:r w:rsidRPr="004F01E9">
        <w:rPr>
          <w:i/>
          <w:noProof/>
        </w:rPr>
        <w:t>NS</w:t>
      </w:r>
      <w:r w:rsidRPr="004F01E9">
        <w:rPr>
          <w:noProof/>
        </w:rPr>
        <w:tab/>
        <w:t>=</w:t>
      </w:r>
      <w:r w:rsidRPr="004F01E9">
        <w:rPr>
          <w:noProof/>
        </w:rPr>
        <w:tab/>
        <w:t>index, ktorý označuje všetky súbory vzájomného započítavania</w:t>
      </w:r>
      <w:r w:rsidR="004F01E9">
        <w:rPr>
          <w:noProof/>
        </w:rPr>
        <w:t xml:space="preserve"> s </w:t>
      </w:r>
      <w:r w:rsidRPr="004F01E9">
        <w:rPr>
          <w:noProof/>
        </w:rPr>
        <w:t>danou protistranou, pre ktorú inštitúcia vypočítava požiadavky na vlastné zdroje pre riziko úpravy ocenenia pohľadávok pomocou prístupu stanoveného</w:t>
      </w:r>
      <w:r w:rsidR="004F01E9">
        <w:rPr>
          <w:noProof/>
        </w:rPr>
        <w:t xml:space="preserve"> v </w:t>
      </w:r>
      <w:r w:rsidRPr="004F01E9">
        <w:rPr>
          <w:noProof/>
        </w:rPr>
        <w:t>tomto článku;</w:t>
      </w:r>
    </w:p>
    <w:p w14:paraId="119068D8" w14:textId="10C2E930" w:rsidR="004334CE" w:rsidRPr="004F01E9" w:rsidRDefault="004334CE" w:rsidP="00FB6CE6">
      <w:pPr>
        <w:pStyle w:val="Text1"/>
        <w:tabs>
          <w:tab w:val="left" w:pos="1276"/>
          <w:tab w:val="left" w:pos="1701"/>
        </w:tabs>
        <w:rPr>
          <w:rFonts w:eastAsiaTheme="minorEastAsia"/>
          <w:i/>
          <w:noProof/>
        </w:rPr>
      </w:pPr>
      <w:r w:rsidRPr="004F01E9">
        <w:rPr>
          <w:i/>
          <w:noProof/>
        </w:rPr>
        <w:t>h</w:t>
      </w:r>
      <w:r w:rsidRPr="004F01E9">
        <w:rPr>
          <w:noProof/>
        </w:rPr>
        <w:tab/>
      </w:r>
      <w:r w:rsidRPr="004F01E9">
        <w:rPr>
          <w:i/>
          <w:noProof/>
        </w:rPr>
        <w:t>=</w:t>
      </w:r>
      <w:r w:rsidRPr="004F01E9">
        <w:rPr>
          <w:noProof/>
        </w:rPr>
        <w:tab/>
        <w:t>index, ktorý označuje všetky nástroje zmierňujúce kreditné riziko len jednej protistrany uznané za prípustné hedžingy</w:t>
      </w:r>
      <w:r w:rsidR="004F01E9">
        <w:rPr>
          <w:noProof/>
        </w:rPr>
        <w:t xml:space="preserve"> v </w:t>
      </w:r>
      <w:r w:rsidRPr="004F01E9">
        <w:rPr>
          <w:noProof/>
        </w:rPr>
        <w:t>súlade</w:t>
      </w:r>
      <w:r w:rsidR="004F01E9">
        <w:rPr>
          <w:noProof/>
        </w:rPr>
        <w:t xml:space="preserve"> s </w:t>
      </w:r>
      <w:r w:rsidRPr="004F01E9">
        <w:rPr>
          <w:noProof/>
        </w:rPr>
        <w:t>článkom 386 pre danú protistranu, pre ktorú inštitúcia vypočítava požiadavky na vlastné zdroje pre riziko úpravy ocenenia pohľadávok pomocou prístupu stanoveného</w:t>
      </w:r>
      <w:r w:rsidR="004F01E9">
        <w:rPr>
          <w:noProof/>
        </w:rPr>
        <w:t xml:space="preserve"> v </w:t>
      </w:r>
      <w:r w:rsidRPr="004F01E9">
        <w:rPr>
          <w:noProof/>
        </w:rPr>
        <w:t>tomto článku;</w:t>
      </w:r>
    </w:p>
    <w:p w14:paraId="6C12D55F" w14:textId="61E706E2" w:rsidR="004334CE" w:rsidRPr="004F01E9" w:rsidRDefault="004334CE" w:rsidP="00FB6CE6">
      <w:pPr>
        <w:pStyle w:val="Text1"/>
        <w:tabs>
          <w:tab w:val="left" w:pos="1276"/>
          <w:tab w:val="left" w:pos="1701"/>
        </w:tabs>
        <w:rPr>
          <w:rFonts w:eastAsiaTheme="minorEastAsia"/>
          <w:noProof/>
        </w:rPr>
      </w:pPr>
      <w:r w:rsidRPr="004F01E9">
        <w:rPr>
          <w:i/>
          <w:noProof/>
        </w:rPr>
        <w:t>i</w:t>
      </w:r>
      <w:r w:rsidRPr="004F01E9">
        <w:rPr>
          <w:noProof/>
        </w:rPr>
        <w:tab/>
        <w:t>=</w:t>
      </w:r>
      <w:r w:rsidRPr="004F01E9">
        <w:rPr>
          <w:noProof/>
        </w:rPr>
        <w:tab/>
        <w:t>index, ktorý označuje všetky indexové nástroje uznané za prípustné hedžingy</w:t>
      </w:r>
      <w:r w:rsidR="004F01E9">
        <w:rPr>
          <w:noProof/>
        </w:rPr>
        <w:t xml:space="preserve"> v </w:t>
      </w:r>
      <w:r w:rsidRPr="004F01E9">
        <w:rPr>
          <w:noProof/>
        </w:rPr>
        <w:t>súlade</w:t>
      </w:r>
      <w:r w:rsidR="004F01E9">
        <w:rPr>
          <w:noProof/>
        </w:rPr>
        <w:t xml:space="preserve"> s </w:t>
      </w:r>
      <w:r w:rsidRPr="004F01E9">
        <w:rPr>
          <w:noProof/>
        </w:rPr>
        <w:t>článkom 386 pre všetky protistrany, pre ktoré inštitúcia vypočítava požiadavky na vlastné zdroje pre riziko úpravy ocenenia pohľadávok pomocou prístupu stanoveného</w:t>
      </w:r>
      <w:r w:rsidR="004F01E9">
        <w:rPr>
          <w:noProof/>
        </w:rPr>
        <w:t xml:space="preserve"> v </w:t>
      </w:r>
      <w:r w:rsidRPr="004F01E9">
        <w:rPr>
          <w:noProof/>
        </w:rPr>
        <w:t>tomto článku;</w:t>
      </w:r>
    </w:p>
    <w:p w14:paraId="3E82040B" w14:textId="4CB1CD43" w:rsidR="00806B81" w:rsidRPr="004F01E9" w:rsidRDefault="00EE12EE" w:rsidP="00FB6CE6">
      <w:pPr>
        <w:pStyle w:val="Text1"/>
        <w:tabs>
          <w:tab w:val="left" w:pos="1276"/>
          <w:tab w:val="left" w:pos="1701"/>
        </w:tabs>
        <w:rPr>
          <w:noProof/>
        </w:rPr>
      </w:pPr>
      <m:oMath>
        <m:sSub>
          <m:sSubPr>
            <m:ctrlPr>
              <w:rPr>
                <w:rFonts w:ascii="Cambria Math" w:hAnsi="Cambria Math"/>
                <w:noProof/>
                <w:szCs w:val="24"/>
              </w:rPr>
            </m:ctrlPr>
          </m:sSubPr>
          <m:e>
            <m:r>
              <w:rPr>
                <w:rFonts w:ascii="Cambria Math" w:hAnsi="Cambria Math"/>
                <w:noProof/>
                <w:szCs w:val="24"/>
              </w:rPr>
              <m:t>RW</m:t>
            </m:r>
          </m:e>
          <m:sub>
            <m:r>
              <w:rPr>
                <w:rFonts w:ascii="Cambria Math" w:hAnsi="Cambria Math"/>
                <w:noProof/>
                <w:szCs w:val="24"/>
              </w:rPr>
              <m:t>c</m:t>
            </m:r>
          </m:sub>
        </m:sSub>
      </m:oMath>
      <w:r w:rsidR="00DE1B1D" w:rsidRPr="004F01E9">
        <w:rPr>
          <w:noProof/>
        </w:rPr>
        <w:tab/>
      </w:r>
      <w:r w:rsidR="00DE1B1D" w:rsidRPr="004F01E9">
        <w:rPr>
          <w:noProof/>
          <w:color w:val="372F32"/>
        </w:rPr>
        <w:t>=</w:t>
      </w:r>
      <w:r w:rsidR="00DE1B1D" w:rsidRPr="004F01E9">
        <w:rPr>
          <w:noProof/>
        </w:rPr>
        <w:tab/>
        <w:t>riziková váha vzťahujúca sa na protistranu „c“.</w:t>
      </w:r>
      <w:r w:rsidR="00DE1B1D" w:rsidRPr="004F01E9">
        <w:rPr>
          <w:noProof/>
          <w:color w:val="372F32"/>
        </w:rPr>
        <w:t xml:space="preserve"> </w:t>
      </w:r>
      <w:r w:rsidR="00DE1B1D" w:rsidRPr="004F01E9">
        <w:rPr>
          <w:noProof/>
        </w:rPr>
        <w:t>Protistrana „c“ sa zaraďuje do jednej</w:t>
      </w:r>
      <w:r w:rsidR="004F01E9">
        <w:rPr>
          <w:noProof/>
        </w:rPr>
        <w:t xml:space="preserve"> z </w:t>
      </w:r>
      <w:r w:rsidR="00DE1B1D" w:rsidRPr="004F01E9">
        <w:rPr>
          <w:noProof/>
        </w:rPr>
        <w:t>rizikových váh na základe kombinácie sektora</w:t>
      </w:r>
      <w:r w:rsidR="004F01E9">
        <w:rPr>
          <w:noProof/>
        </w:rPr>
        <w:t xml:space="preserve"> a </w:t>
      </w:r>
      <w:r w:rsidR="00DE1B1D" w:rsidRPr="004F01E9">
        <w:rPr>
          <w:noProof/>
        </w:rPr>
        <w:t>kreditnej kvality</w:t>
      </w:r>
      <w:r w:rsidR="004F01E9">
        <w:rPr>
          <w:noProof/>
        </w:rPr>
        <w:t xml:space="preserve"> a </w:t>
      </w:r>
      <w:r w:rsidR="00DE1B1D" w:rsidRPr="004F01E9">
        <w:rPr>
          <w:noProof/>
        </w:rPr>
        <w:t>určuje sa</w:t>
      </w:r>
      <w:r w:rsidR="004F01E9">
        <w:rPr>
          <w:noProof/>
        </w:rPr>
        <w:t xml:space="preserve"> v </w:t>
      </w:r>
      <w:r w:rsidR="00DE1B1D" w:rsidRPr="004F01E9">
        <w:rPr>
          <w:noProof/>
        </w:rPr>
        <w:t>súlade</w:t>
      </w:r>
      <w:r w:rsidR="004F01E9">
        <w:rPr>
          <w:noProof/>
        </w:rPr>
        <w:t xml:space="preserve"> s </w:t>
      </w:r>
      <w:r w:rsidR="00DE1B1D" w:rsidRPr="004F01E9">
        <w:rPr>
          <w:noProof/>
        </w:rPr>
        <w:t>tabuľkou 1.</w:t>
      </w:r>
    </w:p>
    <w:p w14:paraId="2C81EABA" w14:textId="1B20D4C9" w:rsidR="00806B81" w:rsidRPr="004F01E9" w:rsidRDefault="00EE12EE" w:rsidP="00FB6CE6">
      <w:pPr>
        <w:pStyle w:val="Text1"/>
        <w:tabs>
          <w:tab w:val="left" w:pos="1276"/>
          <w:tab w:val="left" w:pos="1701"/>
        </w:tabs>
        <w:rPr>
          <w:noProof/>
        </w:rPr>
      </w:pPr>
      <m:oMath>
        <m:sSubSup>
          <m:sSubSupPr>
            <m:ctrlPr>
              <w:rPr>
                <w:rFonts w:ascii="Cambria Math" w:hAnsi="Cambria Math"/>
                <w:noProof/>
                <w:szCs w:val="24"/>
              </w:rPr>
            </m:ctrlPr>
          </m:sSubSupPr>
          <m:e>
            <m:r>
              <w:rPr>
                <w:rFonts w:ascii="Cambria Math" w:hAnsi="Cambria Math"/>
                <w:noProof/>
                <w:szCs w:val="24"/>
              </w:rPr>
              <m:t>M</m:t>
            </m:r>
          </m:e>
          <m:sub>
            <m:r>
              <w:rPr>
                <w:rFonts w:ascii="Cambria Math" w:hAnsi="Cambria Math"/>
                <w:noProof/>
                <w:szCs w:val="24"/>
              </w:rPr>
              <m:t>NS</m:t>
            </m:r>
          </m:sub>
          <m:sup>
            <m:r>
              <w:rPr>
                <w:rFonts w:ascii="Cambria Math" w:hAnsi="Cambria Math"/>
                <w:noProof/>
                <w:szCs w:val="24"/>
              </w:rPr>
              <m:t>c</m:t>
            </m:r>
          </m:sup>
        </m:sSubSup>
      </m:oMath>
      <w:r w:rsidR="00DE1B1D" w:rsidRPr="004F01E9">
        <w:rPr>
          <w:noProof/>
        </w:rPr>
        <w:tab/>
      </w:r>
      <w:r w:rsidR="00DE1B1D" w:rsidRPr="004F01E9">
        <w:rPr>
          <w:noProof/>
          <w:color w:val="372F32"/>
        </w:rPr>
        <w:t>=</w:t>
      </w:r>
      <w:r w:rsidR="00DE1B1D" w:rsidRPr="004F01E9">
        <w:rPr>
          <w:noProof/>
        </w:rPr>
        <w:tab/>
        <w:t>efektívna splatnosť súboru vzájomného započítavania NS</w:t>
      </w:r>
      <w:r w:rsidR="004F01E9">
        <w:rPr>
          <w:noProof/>
        </w:rPr>
        <w:t xml:space="preserve"> s </w:t>
      </w:r>
      <w:r w:rsidR="00DE1B1D" w:rsidRPr="004F01E9">
        <w:rPr>
          <w:noProof/>
        </w:rPr>
        <w:t>protistranou c;</w:t>
      </w:r>
    </w:p>
    <w:p w14:paraId="5E1A50D4" w14:textId="0238DBD9" w:rsidR="004334CE" w:rsidRPr="004F01E9" w:rsidRDefault="004334CE" w:rsidP="004334CE">
      <w:pPr>
        <w:pStyle w:val="Text2"/>
        <w:rPr>
          <w:noProof/>
        </w:rPr>
      </w:pPr>
      <w:r w:rsidRPr="004F01E9">
        <w:rPr>
          <w:noProof/>
        </w:rPr>
        <w:t>V prípade inštitúcie, ktorá používa metódy stanovené</w:t>
      </w:r>
      <w:r w:rsidR="004F01E9">
        <w:rPr>
          <w:noProof/>
        </w:rPr>
        <w:t xml:space="preserve"> v </w:t>
      </w:r>
      <w:r w:rsidRPr="004F01E9">
        <w:rPr>
          <w:noProof/>
        </w:rPr>
        <w:t xml:space="preserve">hlave II kapitole 6 oddiele 6, sa </w:t>
      </w:r>
      <m:oMath>
        <m:sSubSup>
          <m:sSubSupPr>
            <m:ctrlPr>
              <w:rPr>
                <w:rFonts w:ascii="Cambria Math" w:hAnsi="Cambria Math"/>
                <w:noProof/>
                <w:szCs w:val="24"/>
              </w:rPr>
            </m:ctrlPr>
          </m:sSubSupPr>
          <m:e>
            <m:r>
              <w:rPr>
                <w:rFonts w:ascii="Cambria Math" w:hAnsi="Cambria Math"/>
                <w:noProof/>
                <w:szCs w:val="24"/>
              </w:rPr>
              <m:t>M</m:t>
            </m:r>
          </m:e>
          <m:sub>
            <m:r>
              <w:rPr>
                <w:rFonts w:ascii="Cambria Math" w:hAnsi="Cambria Math"/>
                <w:noProof/>
                <w:szCs w:val="24"/>
              </w:rPr>
              <m:t>NS</m:t>
            </m:r>
          </m:sub>
          <m:sup>
            <m:r>
              <w:rPr>
                <w:rFonts w:ascii="Cambria Math" w:hAnsi="Cambria Math"/>
                <w:noProof/>
                <w:szCs w:val="24"/>
              </w:rPr>
              <m:t>c</m:t>
            </m:r>
          </m:sup>
        </m:sSubSup>
      </m:oMath>
      <w:r w:rsidRPr="004F01E9">
        <w:rPr>
          <w:noProof/>
        </w:rPr>
        <w:t xml:space="preserve"> vypočítava podľa článku 162 ods. 2 písm. g). Na tento účel však </w:t>
      </w:r>
      <m:oMath>
        <m:sSubSup>
          <m:sSubSupPr>
            <m:ctrlPr>
              <w:rPr>
                <w:rFonts w:ascii="Cambria Math" w:hAnsi="Cambria Math"/>
                <w:noProof/>
                <w:szCs w:val="24"/>
              </w:rPr>
            </m:ctrlPr>
          </m:sSubSupPr>
          <m:e>
            <m:r>
              <w:rPr>
                <w:rFonts w:ascii="Cambria Math" w:hAnsi="Cambria Math"/>
                <w:noProof/>
                <w:szCs w:val="24"/>
              </w:rPr>
              <m:t>M</m:t>
            </m:r>
          </m:e>
          <m:sub>
            <m:r>
              <w:rPr>
                <w:rFonts w:ascii="Cambria Math" w:hAnsi="Cambria Math"/>
                <w:noProof/>
                <w:szCs w:val="24"/>
              </w:rPr>
              <m:t>NS</m:t>
            </m:r>
          </m:sub>
          <m:sup>
            <m:r>
              <w:rPr>
                <w:rFonts w:ascii="Cambria Math" w:hAnsi="Cambria Math"/>
                <w:noProof/>
                <w:szCs w:val="24"/>
              </w:rPr>
              <m:t>c</m:t>
            </m:r>
          </m:sup>
        </m:sSubSup>
      </m:oMath>
      <w:r w:rsidR="004F01E9" w:rsidRPr="004F01E9">
        <w:rPr>
          <w:noProof/>
          <w:sz w:val="17"/>
          <w:szCs w:val="17"/>
          <w:vertAlign w:val="subscript"/>
        </w:rPr>
        <w:t xml:space="preserve"> </w:t>
      </w:r>
      <w:r w:rsidRPr="004F01E9">
        <w:rPr>
          <w:noProof/>
        </w:rPr>
        <w:t>nie je ohraničená piatimi rokmi, ale najdlhšou zostávajúcou zmluvnou splatnosťou</w:t>
      </w:r>
      <w:r w:rsidR="004F01E9">
        <w:rPr>
          <w:noProof/>
        </w:rPr>
        <w:t xml:space="preserve"> v </w:t>
      </w:r>
      <w:r w:rsidRPr="004F01E9">
        <w:rPr>
          <w:noProof/>
        </w:rPr>
        <w:t>súbore vzájomného započítavania.</w:t>
      </w:r>
    </w:p>
    <w:p w14:paraId="329BB3A7" w14:textId="61480E53" w:rsidR="004334CE" w:rsidRPr="004F01E9" w:rsidRDefault="004334CE" w:rsidP="004334CE">
      <w:pPr>
        <w:pStyle w:val="Text2"/>
        <w:rPr>
          <w:noProof/>
        </w:rPr>
      </w:pPr>
      <w:r w:rsidRPr="004F01E9">
        <w:rPr>
          <w:noProof/>
        </w:rPr>
        <w:t>V prípade inštitúcie, ktorá nepoužíva metódy stanovené</w:t>
      </w:r>
      <w:r w:rsidR="004F01E9">
        <w:rPr>
          <w:noProof/>
        </w:rPr>
        <w:t xml:space="preserve"> v </w:t>
      </w:r>
      <w:r w:rsidRPr="004F01E9">
        <w:rPr>
          <w:noProof/>
        </w:rPr>
        <w:t xml:space="preserve">hlave II kapitole 6 oddiele 6, je </w:t>
      </w:r>
      <m:oMath>
        <m:sSubSup>
          <m:sSubSupPr>
            <m:ctrlPr>
              <w:rPr>
                <w:rFonts w:ascii="Cambria Math" w:hAnsi="Cambria Math"/>
                <w:noProof/>
                <w:szCs w:val="24"/>
              </w:rPr>
            </m:ctrlPr>
          </m:sSubSupPr>
          <m:e>
            <m:r>
              <w:rPr>
                <w:rFonts w:ascii="Cambria Math" w:hAnsi="Cambria Math"/>
                <w:noProof/>
                <w:szCs w:val="24"/>
              </w:rPr>
              <m:t>M</m:t>
            </m:r>
          </m:e>
          <m:sub>
            <m:r>
              <w:rPr>
                <w:rFonts w:ascii="Cambria Math" w:hAnsi="Cambria Math"/>
                <w:noProof/>
                <w:szCs w:val="24"/>
              </w:rPr>
              <m:t>NS</m:t>
            </m:r>
          </m:sub>
          <m:sup>
            <m:r>
              <w:rPr>
                <w:rFonts w:ascii="Cambria Math" w:hAnsi="Cambria Math"/>
                <w:noProof/>
                <w:szCs w:val="24"/>
              </w:rPr>
              <m:t>c</m:t>
            </m:r>
          </m:sup>
        </m:sSubSup>
      </m:oMath>
      <w:r w:rsidRPr="004F01E9">
        <w:rPr>
          <w:noProof/>
          <w:color w:val="372F32"/>
          <w:sz w:val="17"/>
          <w:szCs w:val="17"/>
          <w:vertAlign w:val="subscript"/>
        </w:rPr>
        <w:t xml:space="preserve"> </w:t>
      </w:r>
      <w:r w:rsidRPr="004F01E9">
        <w:rPr>
          <w:noProof/>
        </w:rPr>
        <w:t>priemernou pomyselnou váženou splatnosťou, ako sa uvádza</w:t>
      </w:r>
      <w:r w:rsidR="004F01E9">
        <w:rPr>
          <w:noProof/>
        </w:rPr>
        <w:t xml:space="preserve"> v </w:t>
      </w:r>
      <w:r w:rsidRPr="004F01E9">
        <w:rPr>
          <w:noProof/>
        </w:rPr>
        <w:t xml:space="preserve">článku 162 ods. 2 písm. b). Na tento účel však </w:t>
      </w:r>
      <m:oMath>
        <m:sSubSup>
          <m:sSubSupPr>
            <m:ctrlPr>
              <w:rPr>
                <w:rFonts w:ascii="Cambria Math" w:hAnsi="Cambria Math"/>
                <w:noProof/>
                <w:szCs w:val="24"/>
              </w:rPr>
            </m:ctrlPr>
          </m:sSubSupPr>
          <m:e>
            <m:r>
              <w:rPr>
                <w:rFonts w:ascii="Cambria Math" w:hAnsi="Cambria Math"/>
                <w:noProof/>
                <w:szCs w:val="24"/>
              </w:rPr>
              <m:t>M</m:t>
            </m:r>
          </m:e>
          <m:sub>
            <m:r>
              <w:rPr>
                <w:rFonts w:ascii="Cambria Math" w:hAnsi="Cambria Math"/>
                <w:noProof/>
                <w:szCs w:val="24"/>
              </w:rPr>
              <m:t>NS</m:t>
            </m:r>
          </m:sub>
          <m:sup>
            <m:r>
              <w:rPr>
                <w:rFonts w:ascii="Cambria Math" w:hAnsi="Cambria Math"/>
                <w:noProof/>
                <w:szCs w:val="24"/>
              </w:rPr>
              <m:t>c</m:t>
            </m:r>
          </m:sup>
        </m:sSubSup>
      </m:oMath>
      <w:r w:rsidRPr="004F01E9">
        <w:rPr>
          <w:noProof/>
        </w:rPr>
        <w:t xml:space="preserve"> nie je ohraničená piatimi rokmi, ale najdlhšou zostávajúcou zmluvnou splatnosťou</w:t>
      </w:r>
      <w:r w:rsidR="004F01E9">
        <w:rPr>
          <w:noProof/>
        </w:rPr>
        <w:t xml:space="preserve"> v </w:t>
      </w:r>
      <w:r w:rsidRPr="004F01E9">
        <w:rPr>
          <w:noProof/>
        </w:rPr>
        <w:t>súbore vzájomného započítavania.</w:t>
      </w:r>
    </w:p>
    <w:p w14:paraId="1A47D0F5" w14:textId="49462754" w:rsidR="004334CE" w:rsidRPr="004F01E9" w:rsidRDefault="00EE12EE" w:rsidP="00FB6CE6">
      <w:pPr>
        <w:pStyle w:val="Text1"/>
        <w:tabs>
          <w:tab w:val="left" w:pos="1276"/>
          <w:tab w:val="left" w:pos="1701"/>
        </w:tabs>
        <w:rPr>
          <w:noProof/>
        </w:rPr>
      </w:pPr>
      <m:oMath>
        <m:sSubSup>
          <m:sSubSupPr>
            <m:ctrlPr>
              <w:rPr>
                <w:rFonts w:ascii="Cambria Math" w:hAnsi="Cambria Math"/>
                <w:noProof/>
                <w:szCs w:val="24"/>
              </w:rPr>
            </m:ctrlPr>
          </m:sSubSupPr>
          <m:e>
            <m:r>
              <w:rPr>
                <w:rFonts w:ascii="Cambria Math" w:hAnsi="Cambria Math"/>
                <w:noProof/>
                <w:szCs w:val="24"/>
              </w:rPr>
              <m:t>EAD</m:t>
            </m:r>
          </m:e>
          <m:sub>
            <m:r>
              <w:rPr>
                <w:rFonts w:ascii="Cambria Math" w:hAnsi="Cambria Math"/>
                <w:noProof/>
                <w:szCs w:val="24"/>
              </w:rPr>
              <m:t>NS</m:t>
            </m:r>
          </m:sub>
          <m:sup>
            <m:r>
              <w:rPr>
                <w:rFonts w:ascii="Cambria Math" w:hAnsi="Cambria Math"/>
                <w:noProof/>
                <w:szCs w:val="24"/>
              </w:rPr>
              <m:t>c</m:t>
            </m:r>
          </m:sup>
        </m:sSubSup>
      </m:oMath>
      <w:r w:rsidR="00DE1B1D" w:rsidRPr="004F01E9">
        <w:rPr>
          <w:noProof/>
        </w:rPr>
        <w:tab/>
      </w:r>
      <w:r w:rsidR="00DE1B1D" w:rsidRPr="004F01E9">
        <w:rPr>
          <w:noProof/>
          <w:color w:val="372F32"/>
        </w:rPr>
        <w:t>=</w:t>
      </w:r>
      <w:r w:rsidR="00DE1B1D" w:rsidRPr="004F01E9">
        <w:rPr>
          <w:noProof/>
        </w:rPr>
        <w:tab/>
        <w:t>hodnota expozície voči kreditnému riziku protistrany súboru vzájomného započítavania NS so zmluvnou stranou c vrátane účinku kolaterálu</w:t>
      </w:r>
      <w:r w:rsidR="004F01E9">
        <w:rPr>
          <w:noProof/>
        </w:rPr>
        <w:t xml:space="preserve"> v </w:t>
      </w:r>
      <w:r w:rsidR="00DE1B1D" w:rsidRPr="004F01E9">
        <w:rPr>
          <w:noProof/>
        </w:rPr>
        <w:t>súlade</w:t>
      </w:r>
      <w:r w:rsidR="004F01E9">
        <w:rPr>
          <w:noProof/>
        </w:rPr>
        <w:t xml:space="preserve"> s </w:t>
      </w:r>
      <w:r w:rsidR="00DE1B1D" w:rsidRPr="004F01E9">
        <w:rPr>
          <w:noProof/>
        </w:rPr>
        <w:t>metódami stanovenými</w:t>
      </w:r>
      <w:r w:rsidR="004F01E9">
        <w:rPr>
          <w:noProof/>
        </w:rPr>
        <w:t xml:space="preserve"> v </w:t>
      </w:r>
      <w:r w:rsidR="00DE1B1D" w:rsidRPr="004F01E9">
        <w:rPr>
          <w:noProof/>
        </w:rPr>
        <w:t>hlave II kapitole 6 oddieloch 3 až 6, ktoré sa uplatňujú na výpočet požiadaviek na vlastné zdroje pre kreditné riziko protistrany uvedených</w:t>
      </w:r>
      <w:r w:rsidR="004F01E9">
        <w:rPr>
          <w:noProof/>
        </w:rPr>
        <w:t xml:space="preserve"> v </w:t>
      </w:r>
      <w:r w:rsidR="00DE1B1D" w:rsidRPr="004F01E9">
        <w:rPr>
          <w:noProof/>
        </w:rPr>
        <w:t>článku 92 ods. 4 písm. a)</w:t>
      </w:r>
      <w:r w:rsidR="004F01E9">
        <w:rPr>
          <w:noProof/>
        </w:rPr>
        <w:t xml:space="preserve"> a </w:t>
      </w:r>
      <w:r w:rsidR="00DE1B1D" w:rsidRPr="004F01E9">
        <w:rPr>
          <w:noProof/>
        </w:rPr>
        <w:t>f);</w:t>
      </w:r>
    </w:p>
    <w:p w14:paraId="5027FED3" w14:textId="79C8808F" w:rsidR="004334CE" w:rsidRPr="004F01E9" w:rsidRDefault="00EE12EE" w:rsidP="00FB6CE6">
      <w:pPr>
        <w:pStyle w:val="Text1"/>
        <w:tabs>
          <w:tab w:val="left" w:pos="1232"/>
          <w:tab w:val="left" w:pos="1701"/>
        </w:tabs>
        <w:rPr>
          <w:noProof/>
          <w:color w:val="372F32"/>
        </w:rPr>
      </w:pPr>
      <m:oMath>
        <m:sSubSup>
          <m:sSubSupPr>
            <m:ctrlPr>
              <w:rPr>
                <w:rFonts w:ascii="Cambria Math" w:hAnsi="Cambria Math"/>
                <w:noProof/>
                <w:szCs w:val="24"/>
              </w:rPr>
            </m:ctrlPr>
          </m:sSubSupPr>
          <m:e>
            <m:r>
              <w:rPr>
                <w:rFonts w:ascii="Cambria Math" w:hAnsi="Cambria Math"/>
                <w:noProof/>
                <w:szCs w:val="24"/>
              </w:rPr>
              <m:t>DF</m:t>
            </m:r>
          </m:e>
          <m:sub>
            <m:r>
              <w:rPr>
                <w:rFonts w:ascii="Cambria Math" w:hAnsi="Cambria Math"/>
                <w:noProof/>
                <w:szCs w:val="24"/>
              </w:rPr>
              <m:t>NS</m:t>
            </m:r>
          </m:sub>
          <m:sup>
            <m:r>
              <w:rPr>
                <w:rFonts w:ascii="Cambria Math" w:hAnsi="Cambria Math"/>
                <w:noProof/>
                <w:szCs w:val="24"/>
              </w:rPr>
              <m:t>c</m:t>
            </m:r>
          </m:sup>
        </m:sSubSup>
      </m:oMath>
      <w:r w:rsidR="00DE1B1D" w:rsidRPr="004F01E9">
        <w:rPr>
          <w:noProof/>
        </w:rPr>
        <w:tab/>
      </w:r>
      <w:r w:rsidR="00DE1B1D" w:rsidRPr="004F01E9">
        <w:rPr>
          <w:noProof/>
          <w:color w:val="372F32"/>
        </w:rPr>
        <w:t>=</w:t>
      </w:r>
      <w:r w:rsidR="00DE1B1D" w:rsidRPr="004F01E9">
        <w:rPr>
          <w:noProof/>
        </w:rPr>
        <w:tab/>
        <w:t>faktor diskontnej sadzby na účely dohľadu pre súbor vzájomného započítavania NS</w:t>
      </w:r>
      <w:r w:rsidR="004F01E9">
        <w:rPr>
          <w:noProof/>
        </w:rPr>
        <w:t xml:space="preserve"> s </w:t>
      </w:r>
      <w:r w:rsidR="00DE1B1D" w:rsidRPr="004F01E9">
        <w:rPr>
          <w:noProof/>
        </w:rPr>
        <w:t>protistranou c.</w:t>
      </w:r>
    </w:p>
    <w:p w14:paraId="467EB593" w14:textId="0660663A" w:rsidR="00806B81" w:rsidRPr="004F01E9" w:rsidRDefault="004334CE" w:rsidP="004334CE">
      <w:pPr>
        <w:pStyle w:val="Text2"/>
        <w:rPr>
          <w:noProof/>
        </w:rPr>
      </w:pPr>
      <w:r w:rsidRPr="004F01E9">
        <w:rPr>
          <w:noProof/>
        </w:rPr>
        <w:t>V prípade inštitúcie sa faktor diskontnej sadzby na účely dohľadu</w:t>
      </w:r>
      <w:r w:rsidR="004F01E9">
        <w:rPr>
          <w:noProof/>
        </w:rPr>
        <w:t xml:space="preserve"> s </w:t>
      </w:r>
      <w:r w:rsidRPr="004F01E9">
        <w:rPr>
          <w:noProof/>
        </w:rPr>
        <w:t>použitím metód stanovených</w:t>
      </w:r>
      <w:r w:rsidR="004F01E9">
        <w:rPr>
          <w:noProof/>
        </w:rPr>
        <w:t xml:space="preserve"> v </w:t>
      </w:r>
      <w:r w:rsidRPr="004F01E9">
        <w:rPr>
          <w:noProof/>
        </w:rPr>
        <w:t>hlave II kapitole 6 oddiele 6 stanovuje na 1. Vo všetkých ostatných prípadoch sa faktor diskontnej sadzby na účely dohľadu vypočítava takto:</w:t>
      </w:r>
    </w:p>
    <w:p w14:paraId="0DDE041C" w14:textId="2C90B50E" w:rsidR="004334CE" w:rsidRPr="004F01E9" w:rsidRDefault="00EE12EE" w:rsidP="00615061">
      <w:pPr>
        <w:pStyle w:val="Text2"/>
        <w:rPr>
          <w:rFonts w:eastAsiaTheme="minorEastAsia"/>
          <w:noProof/>
        </w:rPr>
      </w:pPr>
      <m:oMathPara>
        <m:oMathParaPr>
          <m:jc m:val="center"/>
        </m:oMathParaPr>
        <m:oMath>
          <m:f>
            <m:fPr>
              <m:ctrlPr>
                <w:rPr>
                  <w:rFonts w:ascii="Cambria Math" w:eastAsiaTheme="minorEastAsia" w:hAnsi="Cambria Math"/>
                  <w:noProof/>
                </w:rPr>
              </m:ctrlPr>
            </m:fPr>
            <m:num>
              <m:r>
                <m:rPr>
                  <m:sty m:val="p"/>
                </m:rPr>
                <w:rPr>
                  <w:rFonts w:ascii="Cambria Math" w:eastAsiaTheme="minorEastAsia" w:hAnsi="Cambria Math"/>
                  <w:noProof/>
                </w:rPr>
                <m:t>1-</m:t>
              </m:r>
              <m:sSup>
                <m:sSupPr>
                  <m:ctrlPr>
                    <w:rPr>
                      <w:rFonts w:ascii="Cambria Math" w:eastAsiaTheme="minorEastAsia" w:hAnsi="Cambria Math"/>
                      <w:noProof/>
                    </w:rPr>
                  </m:ctrlPr>
                </m:sSupPr>
                <m:e>
                  <m:r>
                    <w:rPr>
                      <w:rFonts w:ascii="Cambria Math" w:eastAsiaTheme="minorEastAsia" w:hAnsi="Cambria Math"/>
                      <w:noProof/>
                    </w:rPr>
                    <m:t>e</m:t>
                  </m:r>
                </m:e>
                <m:sup>
                  <m:r>
                    <m:rPr>
                      <m:sty m:val="p"/>
                    </m:rPr>
                    <w:rPr>
                      <w:rFonts w:ascii="Cambria Math" w:eastAsiaTheme="minorEastAsia" w:hAnsi="Cambria Math"/>
                      <w:noProof/>
                    </w:rPr>
                    <m:t>-0.05*</m:t>
                  </m:r>
                  <m:sSubSup>
                    <m:sSubSupPr>
                      <m:ctrlPr>
                        <w:rPr>
                          <w:rFonts w:ascii="Cambria Math" w:hAnsi="Cambria Math"/>
                          <w:noProof/>
                          <w:szCs w:val="24"/>
                        </w:rPr>
                      </m:ctrlPr>
                    </m:sSubSupPr>
                    <m:e>
                      <m:r>
                        <w:rPr>
                          <w:rFonts w:ascii="Cambria Math" w:hAnsi="Cambria Math"/>
                          <w:noProof/>
                          <w:szCs w:val="24"/>
                        </w:rPr>
                        <m:t>M</m:t>
                      </m:r>
                    </m:e>
                    <m:sub>
                      <m:r>
                        <w:rPr>
                          <w:rFonts w:ascii="Cambria Math" w:hAnsi="Cambria Math"/>
                          <w:noProof/>
                          <w:szCs w:val="24"/>
                        </w:rPr>
                        <m:t>NS</m:t>
                      </m:r>
                    </m:sub>
                    <m:sup>
                      <m:r>
                        <w:rPr>
                          <w:rFonts w:ascii="Cambria Math" w:hAnsi="Cambria Math"/>
                          <w:noProof/>
                          <w:szCs w:val="24"/>
                        </w:rPr>
                        <m:t>c</m:t>
                      </m:r>
                    </m:sup>
                  </m:sSubSup>
                </m:sup>
              </m:sSup>
            </m:num>
            <m:den>
              <m:r>
                <m:rPr>
                  <m:sty m:val="p"/>
                </m:rPr>
                <w:rPr>
                  <w:rFonts w:ascii="Cambria Math" w:eastAsiaTheme="minorEastAsia" w:hAnsi="Cambria Math"/>
                  <w:noProof/>
                </w:rPr>
                <m:t>0.05∙</m:t>
              </m:r>
              <m:sSubSup>
                <m:sSubSupPr>
                  <m:ctrlPr>
                    <w:rPr>
                      <w:rFonts w:ascii="Cambria Math" w:hAnsi="Cambria Math"/>
                      <w:noProof/>
                      <w:szCs w:val="24"/>
                    </w:rPr>
                  </m:ctrlPr>
                </m:sSubSupPr>
                <m:e>
                  <m:r>
                    <w:rPr>
                      <w:rFonts w:ascii="Cambria Math" w:hAnsi="Cambria Math"/>
                      <w:noProof/>
                      <w:szCs w:val="24"/>
                    </w:rPr>
                    <m:t>M</m:t>
                  </m:r>
                </m:e>
                <m:sub>
                  <m:r>
                    <w:rPr>
                      <w:rFonts w:ascii="Cambria Math" w:hAnsi="Cambria Math"/>
                      <w:noProof/>
                      <w:szCs w:val="24"/>
                    </w:rPr>
                    <m:t>NS</m:t>
                  </m:r>
                </m:sub>
                <m:sup>
                  <m:r>
                    <w:rPr>
                      <w:rFonts w:ascii="Cambria Math" w:hAnsi="Cambria Math"/>
                      <w:noProof/>
                      <w:szCs w:val="24"/>
                    </w:rPr>
                    <m:t>c</m:t>
                  </m:r>
                </m:sup>
              </m:sSubSup>
            </m:den>
          </m:f>
        </m:oMath>
      </m:oMathPara>
    </w:p>
    <w:p w14:paraId="661C104D" w14:textId="25E34337" w:rsidR="00806B81" w:rsidRPr="004F01E9" w:rsidRDefault="00EE12EE" w:rsidP="004334CE">
      <w:pPr>
        <w:pStyle w:val="Text1"/>
        <w:rPr>
          <w:noProof/>
        </w:rPr>
      </w:pPr>
      <m:oMath>
        <m:sSub>
          <m:sSubPr>
            <m:ctrlPr>
              <w:rPr>
                <w:rFonts w:ascii="Cambria Math" w:hAnsi="Cambria Math"/>
                <w:noProof/>
                <w:szCs w:val="24"/>
              </w:rPr>
            </m:ctrlPr>
          </m:sSubPr>
          <m:e>
            <m:r>
              <w:rPr>
                <w:rFonts w:ascii="Cambria Math" w:hAnsi="Cambria Math"/>
                <w:noProof/>
                <w:szCs w:val="24"/>
              </w:rPr>
              <m:t>r</m:t>
            </m:r>
          </m:e>
          <m:sub>
            <m:r>
              <w:rPr>
                <w:rFonts w:ascii="Cambria Math" w:hAnsi="Cambria Math"/>
                <w:noProof/>
                <w:szCs w:val="24"/>
              </w:rPr>
              <m:t>hc</m:t>
            </m:r>
          </m:sub>
        </m:sSub>
      </m:oMath>
      <w:r w:rsidR="00DE1B1D" w:rsidRPr="004F01E9">
        <w:rPr>
          <w:noProof/>
        </w:rPr>
        <w:tab/>
      </w:r>
      <w:r w:rsidR="00DE1B1D" w:rsidRPr="004F01E9">
        <w:rPr>
          <w:noProof/>
          <w:color w:val="372F32"/>
        </w:rPr>
        <w:t>=</w:t>
      </w:r>
      <w:r w:rsidR="00DE1B1D" w:rsidRPr="004F01E9">
        <w:rPr>
          <w:noProof/>
        </w:rPr>
        <w:t xml:space="preserve"> korelácia na účely dohľadu medzi rizikom kreditného rozpätia protistrany c</w:t>
      </w:r>
      <w:r w:rsidR="004F01E9">
        <w:rPr>
          <w:noProof/>
        </w:rPr>
        <w:t xml:space="preserve"> a </w:t>
      </w:r>
      <w:r w:rsidR="00DE1B1D" w:rsidRPr="004F01E9">
        <w:rPr>
          <w:noProof/>
        </w:rPr>
        <w:t>rizikom kreditného rozpätia nástroja zmierňujúceho kreditné riziko len jednej protistrany uznaného za prípustný hedžing h pre protistranu c, určená</w:t>
      </w:r>
      <w:r w:rsidR="004F01E9">
        <w:rPr>
          <w:noProof/>
        </w:rPr>
        <w:t xml:space="preserve"> v </w:t>
      </w:r>
      <w:r w:rsidR="00DE1B1D" w:rsidRPr="004F01E9">
        <w:rPr>
          <w:noProof/>
        </w:rPr>
        <w:t>súlade</w:t>
      </w:r>
      <w:r w:rsidR="004F01E9">
        <w:rPr>
          <w:noProof/>
        </w:rPr>
        <w:t xml:space="preserve"> s </w:t>
      </w:r>
      <w:r w:rsidR="00DE1B1D" w:rsidRPr="004F01E9">
        <w:rPr>
          <w:noProof/>
        </w:rPr>
        <w:t>tabuľkou 2;</w:t>
      </w:r>
    </w:p>
    <w:p w14:paraId="3C101585" w14:textId="02402D46" w:rsidR="004334CE" w:rsidRPr="004F01E9" w:rsidRDefault="00EE12EE" w:rsidP="004334CE">
      <w:pPr>
        <w:pStyle w:val="Text1"/>
        <w:rPr>
          <w:noProof/>
        </w:rPr>
      </w:pPr>
      <m:oMath>
        <m:sSubSup>
          <m:sSubSupPr>
            <m:ctrlPr>
              <w:rPr>
                <w:rFonts w:ascii="Cambria Math" w:eastAsiaTheme="minorEastAsia" w:hAnsi="Cambria Math"/>
                <w:noProof/>
              </w:rPr>
            </m:ctrlPr>
          </m:sSubSupPr>
          <m:e>
            <m:r>
              <w:rPr>
                <w:rFonts w:ascii="Cambria Math" w:eastAsiaTheme="minorEastAsia" w:hAnsi="Cambria Math"/>
                <w:noProof/>
              </w:rPr>
              <m:t>M</m:t>
            </m:r>
          </m:e>
          <m:sub>
            <m:r>
              <w:rPr>
                <w:rFonts w:ascii="Cambria Math" w:eastAsiaTheme="minorEastAsia" w:hAnsi="Cambria Math"/>
                <w:noProof/>
              </w:rPr>
              <m:t>h</m:t>
            </m:r>
          </m:sub>
          <m:sup>
            <m:r>
              <w:rPr>
                <w:rFonts w:ascii="Cambria Math" w:eastAsiaTheme="minorEastAsia" w:hAnsi="Cambria Math"/>
                <w:noProof/>
              </w:rPr>
              <m:t>SN</m:t>
            </m:r>
          </m:sup>
        </m:sSubSup>
      </m:oMath>
      <w:r w:rsidR="00DE1B1D" w:rsidRPr="004F01E9">
        <w:rPr>
          <w:noProof/>
        </w:rPr>
        <w:tab/>
      </w:r>
      <w:r w:rsidR="00DE1B1D" w:rsidRPr="004F01E9">
        <w:rPr>
          <w:noProof/>
          <w:color w:val="372F32"/>
        </w:rPr>
        <w:t xml:space="preserve">= </w:t>
      </w:r>
      <w:r w:rsidR="00DE1B1D" w:rsidRPr="004F01E9">
        <w:rPr>
          <w:noProof/>
        </w:rPr>
        <w:t>splatnosť nástroja zmierňujúceho kreditné riziko len jednej protistrany uznaného za prípustný hedžing;</w:t>
      </w:r>
    </w:p>
    <w:p w14:paraId="03EAA408" w14:textId="0949D4B9" w:rsidR="00806B81" w:rsidRPr="004F01E9" w:rsidRDefault="00EE12EE" w:rsidP="004334CE">
      <w:pPr>
        <w:pStyle w:val="Text1"/>
        <w:rPr>
          <w:noProof/>
        </w:rPr>
      </w:pPr>
      <m:oMath>
        <m:sSubSup>
          <m:sSubSupPr>
            <m:ctrlPr>
              <w:rPr>
                <w:rFonts w:ascii="Cambria Math" w:hAnsi="Cambria Math"/>
                <w:noProof/>
              </w:rPr>
            </m:ctrlPr>
          </m:sSubSupPr>
          <m:e>
            <m:r>
              <w:rPr>
                <w:rFonts w:ascii="Cambria Math" w:hAnsi="Cambria Math"/>
                <w:noProof/>
              </w:rPr>
              <m:t>B</m:t>
            </m:r>
          </m:e>
          <m:sub>
            <m:r>
              <w:rPr>
                <w:rFonts w:ascii="Cambria Math" w:hAnsi="Cambria Math"/>
                <w:noProof/>
              </w:rPr>
              <m:t>h</m:t>
            </m:r>
          </m:sub>
          <m:sup>
            <m:r>
              <w:rPr>
                <w:rFonts w:ascii="Cambria Math" w:hAnsi="Cambria Math"/>
                <w:noProof/>
              </w:rPr>
              <m:t>SN</m:t>
            </m:r>
          </m:sup>
        </m:sSubSup>
      </m:oMath>
      <w:r w:rsidR="00DE1B1D" w:rsidRPr="004F01E9">
        <w:rPr>
          <w:noProof/>
        </w:rPr>
        <w:tab/>
        <w:t>= pomyselná hodnota nástroja zmierňujúceho kreditné riziko len jednej protistrany uznaného za prípustný hedžing;</w:t>
      </w:r>
    </w:p>
    <w:p w14:paraId="37AAFE18" w14:textId="73F47261" w:rsidR="00806B81" w:rsidRPr="004F01E9" w:rsidRDefault="00EE12EE" w:rsidP="004334CE">
      <w:pPr>
        <w:pStyle w:val="Text1"/>
        <w:rPr>
          <w:noProof/>
        </w:rPr>
      </w:pPr>
      <m:oMath>
        <m:sSubSup>
          <m:sSubSupPr>
            <m:ctrlPr>
              <w:rPr>
                <w:rFonts w:ascii="Cambria Math" w:hAnsi="Cambria Math"/>
                <w:noProof/>
                <w:szCs w:val="24"/>
              </w:rPr>
            </m:ctrlPr>
          </m:sSubSupPr>
          <m:e>
            <m:r>
              <w:rPr>
                <w:rFonts w:ascii="Cambria Math" w:hAnsi="Cambria Math"/>
                <w:noProof/>
                <w:szCs w:val="24"/>
              </w:rPr>
              <m:t>DF</m:t>
            </m:r>
          </m:e>
          <m:sub>
            <m:r>
              <w:rPr>
                <w:rFonts w:ascii="Cambria Math" w:hAnsi="Cambria Math"/>
                <w:noProof/>
                <w:szCs w:val="24"/>
              </w:rPr>
              <m:t>h</m:t>
            </m:r>
          </m:sub>
          <m:sup>
            <m:r>
              <w:rPr>
                <w:rFonts w:ascii="Cambria Math" w:hAnsi="Cambria Math"/>
                <w:noProof/>
                <w:szCs w:val="24"/>
              </w:rPr>
              <m:t>SN</m:t>
            </m:r>
          </m:sup>
        </m:sSubSup>
      </m:oMath>
      <w:r w:rsidR="00DE1B1D" w:rsidRPr="004F01E9">
        <w:rPr>
          <w:noProof/>
        </w:rPr>
        <w:tab/>
        <w:t xml:space="preserve">= </w:t>
      </w:r>
      <w:r w:rsidR="00DE1B1D" w:rsidRPr="004F01E9">
        <w:rPr>
          <w:noProof/>
          <w:color w:val="372F32"/>
        </w:rPr>
        <w:t xml:space="preserve">faktor diskontnej sadzby na účely dohľadu </w:t>
      </w:r>
      <w:r w:rsidR="00DE1B1D" w:rsidRPr="004F01E9">
        <w:rPr>
          <w:noProof/>
        </w:rPr>
        <w:t>pre nástroj zmierňujúci kreditné riziko len jednej protistrany, uznaný za prípustný hedžing vypočítaný takto:</w:t>
      </w:r>
    </w:p>
    <w:p w14:paraId="3590DC09" w14:textId="2FBB1896" w:rsidR="004334CE" w:rsidRPr="004F01E9" w:rsidRDefault="00EE12EE" w:rsidP="004334CE">
      <w:pPr>
        <w:pStyle w:val="Text1"/>
        <w:rPr>
          <w:noProof/>
        </w:rPr>
      </w:pPr>
      <m:oMathPara>
        <m:oMathParaPr>
          <m:jc m:val="center"/>
        </m:oMathParaPr>
        <m:oMath>
          <m:f>
            <m:fPr>
              <m:ctrlPr>
                <w:rPr>
                  <w:rFonts w:ascii="Cambria Math" w:eastAsiaTheme="minorEastAsia" w:hAnsi="Cambria Math"/>
                  <w:noProof/>
                </w:rPr>
              </m:ctrlPr>
            </m:fPr>
            <m:num>
              <m:r>
                <m:rPr>
                  <m:sty m:val="p"/>
                </m:rPr>
                <w:rPr>
                  <w:rFonts w:ascii="Cambria Math" w:eastAsiaTheme="minorEastAsia" w:hAnsi="Cambria Math"/>
                  <w:noProof/>
                </w:rPr>
                <m:t>1-</m:t>
              </m:r>
              <m:sSup>
                <m:sSupPr>
                  <m:ctrlPr>
                    <w:rPr>
                      <w:rFonts w:ascii="Cambria Math" w:eastAsiaTheme="minorEastAsia" w:hAnsi="Cambria Math"/>
                      <w:noProof/>
                    </w:rPr>
                  </m:ctrlPr>
                </m:sSupPr>
                <m:e>
                  <m:r>
                    <w:rPr>
                      <w:rFonts w:ascii="Cambria Math" w:eastAsiaTheme="minorEastAsia" w:hAnsi="Cambria Math"/>
                      <w:noProof/>
                    </w:rPr>
                    <m:t>e</m:t>
                  </m:r>
                </m:e>
                <m:sup>
                  <m:r>
                    <m:rPr>
                      <m:sty m:val="p"/>
                    </m:rPr>
                    <w:rPr>
                      <w:rFonts w:ascii="Cambria Math" w:eastAsiaTheme="minorEastAsia" w:hAnsi="Cambria Math"/>
                      <w:noProof/>
                    </w:rPr>
                    <m:t>-0.05</m:t>
                  </m:r>
                  <m:sSubSup>
                    <m:sSubSupPr>
                      <m:ctrlPr>
                        <w:rPr>
                          <w:rFonts w:ascii="Cambria Math" w:eastAsiaTheme="minorEastAsia" w:hAnsi="Cambria Math"/>
                          <w:noProof/>
                        </w:rPr>
                      </m:ctrlPr>
                    </m:sSubSupPr>
                    <m:e>
                      <m:r>
                        <w:rPr>
                          <w:rFonts w:ascii="Cambria Math" w:eastAsiaTheme="minorEastAsia" w:hAnsi="Cambria Math"/>
                          <w:noProof/>
                        </w:rPr>
                        <m:t>M</m:t>
                      </m:r>
                    </m:e>
                    <m:sub>
                      <m:r>
                        <w:rPr>
                          <w:rFonts w:ascii="Cambria Math" w:eastAsiaTheme="minorEastAsia" w:hAnsi="Cambria Math"/>
                          <w:noProof/>
                        </w:rPr>
                        <m:t>h</m:t>
                      </m:r>
                    </m:sub>
                    <m:sup>
                      <m:r>
                        <w:rPr>
                          <w:rFonts w:ascii="Cambria Math" w:eastAsiaTheme="minorEastAsia" w:hAnsi="Cambria Math"/>
                          <w:noProof/>
                        </w:rPr>
                        <m:t>SN</m:t>
                      </m:r>
                    </m:sup>
                  </m:sSubSup>
                </m:sup>
              </m:sSup>
            </m:num>
            <m:den>
              <m:r>
                <m:rPr>
                  <m:sty m:val="p"/>
                </m:rPr>
                <w:rPr>
                  <w:rFonts w:ascii="Cambria Math" w:eastAsiaTheme="minorEastAsia" w:hAnsi="Cambria Math"/>
                  <w:noProof/>
                </w:rPr>
                <m:t>0.05∙</m:t>
              </m:r>
              <m:sSubSup>
                <m:sSubSupPr>
                  <m:ctrlPr>
                    <w:rPr>
                      <w:rFonts w:ascii="Cambria Math" w:eastAsiaTheme="minorEastAsia" w:hAnsi="Cambria Math"/>
                      <w:noProof/>
                    </w:rPr>
                  </m:ctrlPr>
                </m:sSubSupPr>
                <m:e>
                  <m:r>
                    <w:rPr>
                      <w:rFonts w:ascii="Cambria Math" w:eastAsiaTheme="minorEastAsia" w:hAnsi="Cambria Math"/>
                      <w:noProof/>
                    </w:rPr>
                    <m:t>M</m:t>
                  </m:r>
                </m:e>
                <m:sub>
                  <m:r>
                    <w:rPr>
                      <w:rFonts w:ascii="Cambria Math" w:eastAsiaTheme="minorEastAsia" w:hAnsi="Cambria Math"/>
                      <w:noProof/>
                    </w:rPr>
                    <m:t>h</m:t>
                  </m:r>
                </m:sub>
                <m:sup>
                  <m:r>
                    <w:rPr>
                      <w:rFonts w:ascii="Cambria Math" w:eastAsiaTheme="minorEastAsia" w:hAnsi="Cambria Math"/>
                      <w:noProof/>
                    </w:rPr>
                    <m:t>SN</m:t>
                  </m:r>
                </m:sup>
              </m:sSubSup>
            </m:den>
          </m:f>
        </m:oMath>
      </m:oMathPara>
    </w:p>
    <w:p w14:paraId="26AFBAFC" w14:textId="2768A7E1" w:rsidR="00806B81" w:rsidRPr="004F01E9" w:rsidRDefault="00EE12EE" w:rsidP="00FB6CE6">
      <w:pPr>
        <w:pStyle w:val="Text1"/>
        <w:tabs>
          <w:tab w:val="left" w:pos="1560"/>
        </w:tabs>
        <w:rPr>
          <w:noProof/>
          <w:color w:val="372F32"/>
        </w:rPr>
      </w:pPr>
      <m:oMath>
        <m:sSubSup>
          <m:sSubSupPr>
            <m:ctrlPr>
              <w:rPr>
                <w:rFonts w:ascii="Cambria Math" w:hAnsi="Cambria Math"/>
                <w:noProof/>
                <w:szCs w:val="24"/>
              </w:rPr>
            </m:ctrlPr>
          </m:sSubSupPr>
          <m:e>
            <m:r>
              <w:rPr>
                <w:rFonts w:ascii="Cambria Math" w:hAnsi="Cambria Math"/>
                <w:noProof/>
                <w:szCs w:val="24"/>
              </w:rPr>
              <m:t>RW</m:t>
            </m:r>
          </m:e>
          <m:sub>
            <m:r>
              <w:rPr>
                <w:rFonts w:ascii="Cambria Math" w:hAnsi="Cambria Math"/>
                <w:noProof/>
                <w:szCs w:val="24"/>
              </w:rPr>
              <m:t>h</m:t>
            </m:r>
          </m:sub>
          <m:sup>
            <m:r>
              <w:rPr>
                <w:rFonts w:ascii="Cambria Math" w:hAnsi="Cambria Math"/>
                <w:noProof/>
                <w:szCs w:val="24"/>
              </w:rPr>
              <m:t>SN</m:t>
            </m:r>
          </m:sup>
        </m:sSubSup>
      </m:oMath>
      <w:r w:rsidR="00DE1B1D" w:rsidRPr="004F01E9">
        <w:rPr>
          <w:noProof/>
        </w:rPr>
        <w:tab/>
      </w:r>
      <w:r w:rsidR="00DE1B1D" w:rsidRPr="004F01E9">
        <w:rPr>
          <w:noProof/>
          <w:color w:val="372F32"/>
        </w:rPr>
        <w:t>=</w:t>
      </w:r>
      <w:r w:rsidR="00DE1B1D" w:rsidRPr="004F01E9">
        <w:rPr>
          <w:noProof/>
        </w:rPr>
        <w:tab/>
        <w:t>riziková váha na účely dohľadu nástroja zmierňujúceho kreditné riziko len jednej protistrany uznaného za prípustný hedžing. Uvedené rizikové váhy vychádzajú</w:t>
      </w:r>
      <w:r w:rsidR="004F01E9">
        <w:rPr>
          <w:noProof/>
        </w:rPr>
        <w:t xml:space="preserve"> z </w:t>
      </w:r>
      <w:r w:rsidR="00DE1B1D" w:rsidRPr="004F01E9">
        <w:rPr>
          <w:noProof/>
        </w:rPr>
        <w:t>kombinácie sektora</w:t>
      </w:r>
      <w:r w:rsidR="004F01E9">
        <w:rPr>
          <w:noProof/>
        </w:rPr>
        <w:t xml:space="preserve"> a </w:t>
      </w:r>
      <w:r w:rsidR="00DE1B1D" w:rsidRPr="004F01E9">
        <w:rPr>
          <w:noProof/>
        </w:rPr>
        <w:t>kreditnej kvality referenčného kreditného rozpätia hedžingového nástroja</w:t>
      </w:r>
      <w:r w:rsidR="004F01E9">
        <w:rPr>
          <w:noProof/>
        </w:rPr>
        <w:t xml:space="preserve"> a </w:t>
      </w:r>
      <w:r w:rsidR="00DE1B1D" w:rsidRPr="004F01E9">
        <w:rPr>
          <w:noProof/>
        </w:rPr>
        <w:t>určujú sa</w:t>
      </w:r>
      <w:r w:rsidR="004F01E9">
        <w:rPr>
          <w:noProof/>
        </w:rPr>
        <w:t xml:space="preserve"> v </w:t>
      </w:r>
      <w:r w:rsidR="00DE1B1D" w:rsidRPr="004F01E9">
        <w:rPr>
          <w:noProof/>
        </w:rPr>
        <w:t>súlade</w:t>
      </w:r>
      <w:r w:rsidR="004F01E9">
        <w:rPr>
          <w:noProof/>
        </w:rPr>
        <w:t xml:space="preserve"> s </w:t>
      </w:r>
      <w:r w:rsidR="00DE1B1D" w:rsidRPr="004F01E9">
        <w:rPr>
          <w:noProof/>
        </w:rPr>
        <w:t>tabuľkou 1;</w:t>
      </w:r>
    </w:p>
    <w:p w14:paraId="30B1FE4F" w14:textId="1031C3DA" w:rsidR="004334CE" w:rsidRPr="004F01E9" w:rsidRDefault="00EE12EE" w:rsidP="00FB6CE6">
      <w:pPr>
        <w:pStyle w:val="Text1"/>
        <w:tabs>
          <w:tab w:val="left" w:pos="1560"/>
        </w:tabs>
        <w:rPr>
          <w:noProof/>
        </w:rPr>
      </w:pPr>
      <m:oMath>
        <m:sSubSup>
          <m:sSubSupPr>
            <m:ctrlPr>
              <w:rPr>
                <w:rFonts w:ascii="Cambria Math" w:hAnsi="Cambria Math"/>
                <w:noProof/>
                <w:szCs w:val="24"/>
              </w:rPr>
            </m:ctrlPr>
          </m:sSubSupPr>
          <m:e>
            <m:r>
              <w:rPr>
                <w:rFonts w:ascii="Cambria Math" w:hAnsi="Cambria Math"/>
                <w:noProof/>
                <w:szCs w:val="24"/>
              </w:rPr>
              <m:t>M</m:t>
            </m:r>
          </m:e>
          <m:sub>
            <m:r>
              <w:rPr>
                <w:rFonts w:ascii="Cambria Math" w:hAnsi="Cambria Math"/>
                <w:noProof/>
                <w:szCs w:val="24"/>
              </w:rPr>
              <m:t>i</m:t>
            </m:r>
          </m:sub>
          <m:sup>
            <m:r>
              <w:rPr>
                <w:rFonts w:ascii="Cambria Math" w:hAnsi="Cambria Math"/>
                <w:noProof/>
                <w:szCs w:val="24"/>
              </w:rPr>
              <m:t>ind</m:t>
            </m:r>
          </m:sup>
        </m:sSubSup>
      </m:oMath>
      <w:r w:rsidR="00DE1B1D" w:rsidRPr="004F01E9">
        <w:rPr>
          <w:noProof/>
        </w:rPr>
        <w:tab/>
        <w:t>=</w:t>
      </w:r>
      <w:r w:rsidR="00DE1B1D" w:rsidRPr="004F01E9">
        <w:rPr>
          <w:noProof/>
        </w:rPr>
        <w:tab/>
        <w:t>splatnosť jednej alebo viacerých pozícií</w:t>
      </w:r>
      <w:r w:rsidR="004F01E9">
        <w:rPr>
          <w:noProof/>
        </w:rPr>
        <w:t xml:space="preserve"> v </w:t>
      </w:r>
      <w:r w:rsidR="00DE1B1D" w:rsidRPr="004F01E9">
        <w:rPr>
          <w:noProof/>
        </w:rPr>
        <w:t>tom istom indexovom nástroji uznanom za prípustný hedžing.</w:t>
      </w:r>
      <w:r w:rsidR="004F01E9">
        <w:rPr>
          <w:noProof/>
        </w:rPr>
        <w:t xml:space="preserve"> V </w:t>
      </w:r>
      <w:r w:rsidR="00DE1B1D" w:rsidRPr="004F01E9">
        <w:rPr>
          <w:noProof/>
        </w:rPr>
        <w:t>prípade viac ako jednej pozície</w:t>
      </w:r>
      <w:r w:rsidR="004F01E9">
        <w:rPr>
          <w:noProof/>
        </w:rPr>
        <w:t xml:space="preserve"> v </w:t>
      </w:r>
      <w:r w:rsidR="00DE1B1D" w:rsidRPr="004F01E9">
        <w:rPr>
          <w:noProof/>
        </w:rPr>
        <w:t xml:space="preserve">tom istom indexovom nástroji je </w:t>
      </w:r>
      <m:oMath>
        <m:sSubSup>
          <m:sSubSupPr>
            <m:ctrlPr>
              <w:rPr>
                <w:rFonts w:ascii="Cambria Math" w:hAnsi="Cambria Math"/>
                <w:noProof/>
                <w:szCs w:val="24"/>
              </w:rPr>
            </m:ctrlPr>
          </m:sSubSupPr>
          <m:e>
            <m:r>
              <w:rPr>
                <w:rFonts w:ascii="Cambria Math" w:hAnsi="Cambria Math"/>
                <w:noProof/>
                <w:szCs w:val="24"/>
              </w:rPr>
              <m:t>M</m:t>
            </m:r>
          </m:e>
          <m:sub>
            <m:r>
              <w:rPr>
                <w:rFonts w:ascii="Cambria Math" w:hAnsi="Cambria Math"/>
                <w:noProof/>
                <w:szCs w:val="24"/>
              </w:rPr>
              <m:t>i</m:t>
            </m:r>
          </m:sub>
          <m:sup>
            <m:r>
              <w:rPr>
                <w:rFonts w:ascii="Cambria Math" w:hAnsi="Cambria Math"/>
                <w:noProof/>
                <w:szCs w:val="24"/>
              </w:rPr>
              <m:t>ind</m:t>
            </m:r>
          </m:sup>
        </m:sSubSup>
      </m:oMath>
      <w:r w:rsidR="00DE1B1D" w:rsidRPr="004F01E9">
        <w:rPr>
          <w:noProof/>
        </w:rPr>
        <w:t xml:space="preserve"> pomyselne vážená splatnosť všetkých uvedených pozícií;</w:t>
      </w:r>
    </w:p>
    <w:p w14:paraId="3775F2A5" w14:textId="262929F8" w:rsidR="004334CE" w:rsidRPr="004F01E9" w:rsidRDefault="00EE12EE" w:rsidP="004334CE">
      <w:pPr>
        <w:pStyle w:val="Text1"/>
        <w:rPr>
          <w:noProof/>
        </w:rPr>
      </w:pPr>
      <m:oMath>
        <m:sSubSup>
          <m:sSubSupPr>
            <m:ctrlPr>
              <w:rPr>
                <w:rFonts w:ascii="Cambria Math" w:hAnsi="Cambria Math"/>
                <w:noProof/>
                <w:szCs w:val="24"/>
              </w:rPr>
            </m:ctrlPr>
          </m:sSubSupPr>
          <m:e>
            <m:r>
              <w:rPr>
                <w:rFonts w:ascii="Cambria Math" w:hAnsi="Cambria Math"/>
                <w:noProof/>
                <w:szCs w:val="24"/>
              </w:rPr>
              <m:t>B</m:t>
            </m:r>
          </m:e>
          <m:sub>
            <m:r>
              <w:rPr>
                <w:rFonts w:ascii="Cambria Math" w:hAnsi="Cambria Math"/>
                <w:noProof/>
                <w:szCs w:val="24"/>
              </w:rPr>
              <m:t>i</m:t>
            </m:r>
          </m:sub>
          <m:sup>
            <m:r>
              <w:rPr>
                <w:rFonts w:ascii="Cambria Math" w:hAnsi="Cambria Math"/>
                <w:noProof/>
                <w:szCs w:val="24"/>
              </w:rPr>
              <m:t>ind</m:t>
            </m:r>
          </m:sup>
        </m:sSubSup>
      </m:oMath>
      <w:r w:rsidR="00DE1B1D" w:rsidRPr="004F01E9">
        <w:rPr>
          <w:noProof/>
        </w:rPr>
        <w:tab/>
        <w:t>=</w:t>
      </w:r>
      <w:r w:rsidR="00DE1B1D" w:rsidRPr="004F01E9">
        <w:rPr>
          <w:noProof/>
        </w:rPr>
        <w:tab/>
        <w:t>faktor diskontnej sadzby na účely dohľadu pre jednu alebo viacero pozícií</w:t>
      </w:r>
      <w:r w:rsidR="004F01E9">
        <w:rPr>
          <w:noProof/>
        </w:rPr>
        <w:t xml:space="preserve"> v </w:t>
      </w:r>
      <w:r w:rsidR="00DE1B1D" w:rsidRPr="004F01E9">
        <w:rPr>
          <w:noProof/>
        </w:rPr>
        <w:t>tom istom indexovom nástroji uznanom za prípustný hedžing.</w:t>
      </w:r>
      <w:r w:rsidR="004F01E9">
        <w:rPr>
          <w:noProof/>
        </w:rPr>
        <w:t xml:space="preserve"> V </w:t>
      </w:r>
      <w:r w:rsidR="00DE1B1D" w:rsidRPr="004F01E9">
        <w:rPr>
          <w:noProof/>
        </w:rPr>
        <w:t>prípade viac ako jednej pozície</w:t>
      </w:r>
      <w:r w:rsidR="004F01E9">
        <w:rPr>
          <w:noProof/>
        </w:rPr>
        <w:t xml:space="preserve"> v </w:t>
      </w:r>
      <w:r w:rsidR="00DE1B1D" w:rsidRPr="004F01E9">
        <w:rPr>
          <w:noProof/>
        </w:rPr>
        <w:t xml:space="preserve">tom istom indexovom nástroji </w:t>
      </w:r>
      <m:oMath>
        <m:sSubSup>
          <m:sSubSupPr>
            <m:ctrlPr>
              <w:rPr>
                <w:rFonts w:ascii="Cambria Math" w:hAnsi="Cambria Math"/>
                <w:noProof/>
                <w:szCs w:val="24"/>
              </w:rPr>
            </m:ctrlPr>
          </m:sSubSupPr>
          <m:e>
            <m:r>
              <w:rPr>
                <w:rFonts w:ascii="Cambria Math" w:hAnsi="Cambria Math"/>
                <w:noProof/>
                <w:szCs w:val="24"/>
              </w:rPr>
              <m:t>B</m:t>
            </m:r>
          </m:e>
          <m:sub>
            <m:r>
              <w:rPr>
                <w:rFonts w:ascii="Cambria Math" w:hAnsi="Cambria Math"/>
                <w:noProof/>
                <w:szCs w:val="24"/>
              </w:rPr>
              <m:t>i</m:t>
            </m:r>
          </m:sub>
          <m:sup>
            <m:r>
              <w:rPr>
                <w:rFonts w:ascii="Cambria Math" w:hAnsi="Cambria Math"/>
                <w:noProof/>
                <w:szCs w:val="24"/>
              </w:rPr>
              <m:t>ind</m:t>
            </m:r>
          </m:sup>
        </m:sSubSup>
      </m:oMath>
      <w:r w:rsidR="00DE1B1D" w:rsidRPr="004F01E9">
        <w:rPr>
          <w:noProof/>
        </w:rPr>
        <w:t xml:space="preserve"> je pomyselne vážená splatnosť všetkých uvedených pozícií;</w:t>
      </w:r>
    </w:p>
    <w:p w14:paraId="42EA6488" w14:textId="4338EF38" w:rsidR="004334CE" w:rsidRPr="004F01E9" w:rsidRDefault="00EE12EE" w:rsidP="004334CE">
      <w:pPr>
        <w:pStyle w:val="Text1"/>
        <w:rPr>
          <w:noProof/>
        </w:rPr>
      </w:pPr>
      <m:oMath>
        <m:sSubSup>
          <m:sSubSupPr>
            <m:ctrlPr>
              <w:rPr>
                <w:rFonts w:ascii="Cambria Math" w:hAnsi="Cambria Math"/>
                <w:noProof/>
                <w:szCs w:val="24"/>
              </w:rPr>
            </m:ctrlPr>
          </m:sSubSupPr>
          <m:e>
            <m:r>
              <w:rPr>
                <w:rFonts w:ascii="Cambria Math" w:hAnsi="Cambria Math"/>
                <w:noProof/>
                <w:szCs w:val="24"/>
              </w:rPr>
              <m:t>DF</m:t>
            </m:r>
          </m:e>
          <m:sub>
            <m:r>
              <w:rPr>
                <w:rFonts w:ascii="Cambria Math" w:hAnsi="Cambria Math"/>
                <w:noProof/>
                <w:szCs w:val="24"/>
              </w:rPr>
              <m:t>i</m:t>
            </m:r>
          </m:sub>
          <m:sup>
            <m:r>
              <w:rPr>
                <w:rFonts w:ascii="Cambria Math" w:hAnsi="Cambria Math"/>
                <w:noProof/>
                <w:szCs w:val="24"/>
              </w:rPr>
              <m:t>ind</m:t>
            </m:r>
          </m:sup>
        </m:sSubSup>
      </m:oMath>
      <w:r w:rsidR="00DE1B1D" w:rsidRPr="004F01E9">
        <w:rPr>
          <w:noProof/>
        </w:rPr>
        <w:tab/>
        <w:t xml:space="preserve">= </w:t>
      </w:r>
      <w:r w:rsidR="00DE1B1D" w:rsidRPr="004F01E9">
        <w:rPr>
          <w:noProof/>
          <w:color w:val="372F32"/>
        </w:rPr>
        <w:t xml:space="preserve">faktor diskontnej sadzby na účely dohľadu </w:t>
      </w:r>
      <w:r w:rsidR="00DE1B1D" w:rsidRPr="004F01E9">
        <w:rPr>
          <w:noProof/>
        </w:rPr>
        <w:t>pre jednu alebo viacero pozícií</w:t>
      </w:r>
      <w:r w:rsidR="004F01E9">
        <w:rPr>
          <w:noProof/>
        </w:rPr>
        <w:t xml:space="preserve"> v </w:t>
      </w:r>
      <w:r w:rsidR="00DE1B1D" w:rsidRPr="004F01E9">
        <w:rPr>
          <w:noProof/>
        </w:rPr>
        <w:t>tom istom indexovom nástroji uznanom za prípustný hedžing vypočítaný takto:</w:t>
      </w:r>
    </w:p>
    <w:p w14:paraId="351F7EE9" w14:textId="77777777" w:rsidR="004334CE" w:rsidRPr="004F01E9" w:rsidRDefault="00EE12EE" w:rsidP="004334CE">
      <w:pPr>
        <w:pStyle w:val="Text1"/>
        <w:rPr>
          <w:noProof/>
          <w:szCs w:val="24"/>
        </w:rPr>
      </w:pPr>
      <m:oMathPara>
        <m:oMath>
          <m:f>
            <m:fPr>
              <m:ctrlPr>
                <w:rPr>
                  <w:rFonts w:ascii="Cambria Math" w:eastAsiaTheme="minorEastAsia" w:hAnsi="Cambria Math"/>
                  <w:noProof/>
                </w:rPr>
              </m:ctrlPr>
            </m:fPr>
            <m:num>
              <m:r>
                <m:rPr>
                  <m:sty m:val="p"/>
                </m:rPr>
                <w:rPr>
                  <w:rFonts w:ascii="Cambria Math" w:eastAsiaTheme="minorEastAsia" w:hAnsi="Cambria Math"/>
                  <w:noProof/>
                </w:rPr>
                <m:t>1-</m:t>
              </m:r>
              <m:sSup>
                <m:sSupPr>
                  <m:ctrlPr>
                    <w:rPr>
                      <w:rFonts w:ascii="Cambria Math" w:eastAsiaTheme="minorEastAsia" w:hAnsi="Cambria Math"/>
                      <w:noProof/>
                    </w:rPr>
                  </m:ctrlPr>
                </m:sSupPr>
                <m:e>
                  <m:r>
                    <w:rPr>
                      <w:rFonts w:ascii="Cambria Math" w:eastAsiaTheme="minorEastAsia" w:hAnsi="Cambria Math"/>
                      <w:noProof/>
                    </w:rPr>
                    <m:t>e</m:t>
                  </m:r>
                </m:e>
                <m:sup>
                  <m:r>
                    <m:rPr>
                      <m:sty m:val="p"/>
                    </m:rPr>
                    <w:rPr>
                      <w:rFonts w:ascii="Cambria Math" w:eastAsiaTheme="minorEastAsia" w:hAnsi="Cambria Math"/>
                      <w:noProof/>
                    </w:rPr>
                    <m:t>-0.05</m:t>
                  </m:r>
                  <m:sSubSup>
                    <m:sSubSupPr>
                      <m:ctrlPr>
                        <w:rPr>
                          <w:rFonts w:ascii="Cambria Math" w:eastAsiaTheme="minorEastAsia" w:hAnsi="Cambria Math"/>
                          <w:noProof/>
                        </w:rPr>
                      </m:ctrlPr>
                    </m:sSubSupPr>
                    <m:e>
                      <m:r>
                        <w:rPr>
                          <w:rFonts w:ascii="Cambria Math" w:eastAsiaTheme="minorEastAsia" w:hAnsi="Cambria Math"/>
                          <w:noProof/>
                        </w:rPr>
                        <m:t>M</m:t>
                      </m:r>
                    </m:e>
                    <m:sub>
                      <m:r>
                        <w:rPr>
                          <w:rFonts w:ascii="Cambria Math" w:eastAsiaTheme="minorEastAsia" w:hAnsi="Cambria Math"/>
                          <w:noProof/>
                        </w:rPr>
                        <m:t>i</m:t>
                      </m:r>
                    </m:sub>
                    <m:sup>
                      <m:r>
                        <w:rPr>
                          <w:rFonts w:ascii="Cambria Math" w:eastAsiaTheme="minorEastAsia" w:hAnsi="Cambria Math"/>
                          <w:noProof/>
                        </w:rPr>
                        <m:t>ind</m:t>
                      </m:r>
                    </m:sup>
                  </m:sSubSup>
                </m:sup>
              </m:sSup>
            </m:num>
            <m:den>
              <m:r>
                <m:rPr>
                  <m:sty m:val="p"/>
                </m:rPr>
                <w:rPr>
                  <w:rFonts w:ascii="Cambria Math" w:eastAsiaTheme="minorEastAsia" w:hAnsi="Cambria Math"/>
                  <w:noProof/>
                </w:rPr>
                <m:t>0.05∙</m:t>
              </m:r>
              <m:sSubSup>
                <m:sSubSupPr>
                  <m:ctrlPr>
                    <w:rPr>
                      <w:rFonts w:ascii="Cambria Math" w:eastAsiaTheme="minorEastAsia" w:hAnsi="Cambria Math"/>
                      <w:noProof/>
                    </w:rPr>
                  </m:ctrlPr>
                </m:sSubSupPr>
                <m:e>
                  <m:r>
                    <w:rPr>
                      <w:rFonts w:ascii="Cambria Math" w:eastAsiaTheme="minorEastAsia" w:hAnsi="Cambria Math"/>
                      <w:noProof/>
                    </w:rPr>
                    <m:t>M</m:t>
                  </m:r>
                </m:e>
                <m:sub>
                  <m:r>
                    <w:rPr>
                      <w:rFonts w:ascii="Cambria Math" w:eastAsiaTheme="minorEastAsia" w:hAnsi="Cambria Math"/>
                      <w:noProof/>
                    </w:rPr>
                    <m:t>i</m:t>
                  </m:r>
                </m:sub>
                <m:sup>
                  <m:r>
                    <w:rPr>
                      <w:rFonts w:ascii="Cambria Math" w:eastAsiaTheme="minorEastAsia" w:hAnsi="Cambria Math"/>
                      <w:noProof/>
                    </w:rPr>
                    <m:t>ind</m:t>
                  </m:r>
                </m:sup>
              </m:sSubSup>
            </m:den>
          </m:f>
        </m:oMath>
      </m:oMathPara>
    </w:p>
    <w:p w14:paraId="429FB04B" w14:textId="2E77B491" w:rsidR="00806B81" w:rsidRPr="004F01E9" w:rsidRDefault="00EE12EE" w:rsidP="004334CE">
      <w:pPr>
        <w:pStyle w:val="Text1"/>
        <w:rPr>
          <w:noProof/>
        </w:rPr>
      </w:pPr>
      <m:oMath>
        <m:sSubSup>
          <m:sSubSupPr>
            <m:ctrlPr>
              <w:rPr>
                <w:rFonts w:ascii="Cambria Math" w:hAnsi="Cambria Math"/>
                <w:noProof/>
                <w:szCs w:val="24"/>
              </w:rPr>
            </m:ctrlPr>
          </m:sSubSupPr>
          <m:e>
            <m:r>
              <w:rPr>
                <w:rFonts w:ascii="Cambria Math" w:hAnsi="Cambria Math"/>
                <w:noProof/>
                <w:szCs w:val="24"/>
              </w:rPr>
              <m:t>RW</m:t>
            </m:r>
          </m:e>
          <m:sub>
            <m:r>
              <w:rPr>
                <w:rFonts w:ascii="Cambria Math" w:hAnsi="Cambria Math"/>
                <w:noProof/>
                <w:szCs w:val="24"/>
              </w:rPr>
              <m:t>i</m:t>
            </m:r>
          </m:sub>
          <m:sup>
            <m:r>
              <w:rPr>
                <w:rFonts w:ascii="Cambria Math" w:hAnsi="Cambria Math"/>
                <w:noProof/>
                <w:szCs w:val="24"/>
              </w:rPr>
              <m:t>ind</m:t>
            </m:r>
          </m:sup>
        </m:sSubSup>
      </m:oMath>
      <w:r w:rsidR="00DE1B1D" w:rsidRPr="004F01E9">
        <w:rPr>
          <w:noProof/>
          <w:color w:val="372F32"/>
        </w:rPr>
        <w:t>=</w:t>
      </w:r>
      <w:r w:rsidR="00DE1B1D" w:rsidRPr="004F01E9">
        <w:rPr>
          <w:noProof/>
        </w:rPr>
        <w:tab/>
      </w:r>
      <w:r w:rsidR="00DE1B1D" w:rsidRPr="004F01E9">
        <w:rPr>
          <w:noProof/>
          <w:color w:val="372F32"/>
        </w:rPr>
        <w:t>riziková váha na účely dohľadu</w:t>
      </w:r>
      <w:r w:rsidR="00DE1B1D" w:rsidRPr="004F01E9">
        <w:rPr>
          <w:noProof/>
        </w:rPr>
        <w:t xml:space="preserve"> indexového nástroja uznaného za prípustný hedžing.</w:t>
      </w:r>
      <m:oMath>
        <m:sSubSup>
          <m:sSubSupPr>
            <m:ctrlPr>
              <w:rPr>
                <w:rFonts w:ascii="Cambria Math" w:hAnsi="Cambria Math"/>
                <w:noProof/>
                <w:szCs w:val="24"/>
              </w:rPr>
            </m:ctrlPr>
          </m:sSubSupPr>
          <m:e>
            <m:r>
              <w:rPr>
                <w:rFonts w:ascii="Cambria Math" w:hAnsi="Cambria Math"/>
                <w:noProof/>
                <w:szCs w:val="24"/>
              </w:rPr>
              <m:t>RW</m:t>
            </m:r>
          </m:e>
          <m:sub>
            <m:r>
              <w:rPr>
                <w:rFonts w:ascii="Cambria Math" w:hAnsi="Cambria Math"/>
                <w:noProof/>
                <w:szCs w:val="24"/>
              </w:rPr>
              <m:t>i</m:t>
            </m:r>
          </m:sub>
          <m:sup>
            <m:r>
              <w:rPr>
                <w:rFonts w:ascii="Cambria Math" w:hAnsi="Cambria Math"/>
                <w:noProof/>
                <w:szCs w:val="24"/>
              </w:rPr>
              <m:t>ind</m:t>
            </m:r>
          </m:sup>
        </m:sSubSup>
      </m:oMath>
      <w:r w:rsidR="00DE1B1D" w:rsidRPr="004F01E9">
        <w:rPr>
          <w:noProof/>
          <w:color w:val="372F32"/>
          <w:sz w:val="17"/>
          <w:szCs w:val="17"/>
          <w:vertAlign w:val="subscript"/>
        </w:rPr>
        <w:t xml:space="preserve"> </w:t>
      </w:r>
      <w:r w:rsidR="00DE1B1D" w:rsidRPr="004F01E9">
        <w:rPr>
          <w:noProof/>
        </w:rPr>
        <w:t>vychádza</w:t>
      </w:r>
      <w:r w:rsidR="004F01E9">
        <w:rPr>
          <w:noProof/>
          <w:color w:val="372F32"/>
        </w:rPr>
        <w:t xml:space="preserve"> z </w:t>
      </w:r>
      <w:r w:rsidR="00DE1B1D" w:rsidRPr="004F01E9">
        <w:rPr>
          <w:noProof/>
        </w:rPr>
        <w:t>kombinácie sektora</w:t>
      </w:r>
      <w:r w:rsidR="004F01E9">
        <w:rPr>
          <w:noProof/>
        </w:rPr>
        <w:t xml:space="preserve"> a </w:t>
      </w:r>
      <w:r w:rsidR="00DE1B1D" w:rsidRPr="004F01E9">
        <w:rPr>
          <w:noProof/>
        </w:rPr>
        <w:t>kreditnej kvality všetkých zložiek indexu vypočítanej takto:</w:t>
      </w:r>
    </w:p>
    <w:p w14:paraId="64E04DBF" w14:textId="75DA9DC5" w:rsidR="00806B81" w:rsidRPr="004F01E9" w:rsidRDefault="004334CE" w:rsidP="004334CE">
      <w:pPr>
        <w:pStyle w:val="Point1"/>
        <w:rPr>
          <w:noProof/>
        </w:rPr>
      </w:pPr>
      <w:r w:rsidRPr="004F01E9">
        <w:rPr>
          <w:noProof/>
        </w:rPr>
        <w:t>a)</w:t>
      </w:r>
      <w:r w:rsidRPr="004F01E9">
        <w:rPr>
          <w:noProof/>
        </w:rPr>
        <w:tab/>
        <w:t>ak všetky zložky indexu patria do rovnakého sektora</w:t>
      </w:r>
      <w:r w:rsidR="004F01E9">
        <w:rPr>
          <w:noProof/>
        </w:rPr>
        <w:t xml:space="preserve"> a </w:t>
      </w:r>
      <w:r w:rsidRPr="004F01E9">
        <w:rPr>
          <w:noProof/>
        </w:rPr>
        <w:t>majú rovnakú kreditnú kvalitu, ako je určená</w:t>
      </w:r>
      <w:r w:rsidR="004F01E9">
        <w:rPr>
          <w:noProof/>
        </w:rPr>
        <w:t xml:space="preserve"> v </w:t>
      </w:r>
      <w:r w:rsidRPr="004F01E9">
        <w:rPr>
          <w:noProof/>
        </w:rPr>
        <w:t>súlade</w:t>
      </w:r>
      <w:r w:rsidR="004F01E9">
        <w:rPr>
          <w:noProof/>
        </w:rPr>
        <w:t xml:space="preserve"> s </w:t>
      </w:r>
      <w:r w:rsidRPr="004F01E9">
        <w:rPr>
          <w:noProof/>
        </w:rPr>
        <w:t xml:space="preserve">tabuľkou 1, </w:t>
      </w:r>
      <m:oMath>
        <m:sSubSup>
          <m:sSubSupPr>
            <m:ctrlPr>
              <w:rPr>
                <w:rFonts w:ascii="Cambria Math" w:hAnsi="Cambria Math"/>
                <w:noProof/>
                <w:szCs w:val="24"/>
              </w:rPr>
            </m:ctrlPr>
          </m:sSubSupPr>
          <m:e>
            <m:r>
              <w:rPr>
                <w:rFonts w:ascii="Cambria Math" w:hAnsi="Cambria Math"/>
                <w:noProof/>
                <w:szCs w:val="24"/>
              </w:rPr>
              <m:t>RW</m:t>
            </m:r>
          </m:e>
          <m:sub>
            <m:r>
              <w:rPr>
                <w:rFonts w:ascii="Cambria Math" w:hAnsi="Cambria Math"/>
                <w:noProof/>
                <w:szCs w:val="24"/>
              </w:rPr>
              <m:t>i</m:t>
            </m:r>
          </m:sub>
          <m:sup>
            <m:r>
              <w:rPr>
                <w:rFonts w:ascii="Cambria Math" w:hAnsi="Cambria Math"/>
                <w:noProof/>
                <w:szCs w:val="24"/>
              </w:rPr>
              <m:t>ind</m:t>
            </m:r>
          </m:sup>
        </m:sSubSup>
      </m:oMath>
      <w:r w:rsidRPr="004F01E9">
        <w:rPr>
          <w:noProof/>
        </w:rPr>
        <w:t xml:space="preserve"> sa vypočítava ako príslušná riziková váha tabuľky 1 pre daný sektor</w:t>
      </w:r>
      <w:r w:rsidR="004F01E9">
        <w:rPr>
          <w:noProof/>
        </w:rPr>
        <w:t xml:space="preserve"> a </w:t>
      </w:r>
      <w:r w:rsidRPr="004F01E9">
        <w:rPr>
          <w:noProof/>
        </w:rPr>
        <w:t>kreditná kvalita vynásobená koeficientom 0,7;</w:t>
      </w:r>
    </w:p>
    <w:p w14:paraId="3DA4F3A1" w14:textId="50B93D9C" w:rsidR="004334CE" w:rsidRPr="004F01E9" w:rsidRDefault="004334CE" w:rsidP="004334CE">
      <w:pPr>
        <w:pStyle w:val="Point1"/>
        <w:rPr>
          <w:noProof/>
        </w:rPr>
      </w:pPr>
      <w:r w:rsidRPr="004F01E9">
        <w:rPr>
          <w:noProof/>
        </w:rPr>
        <w:t>b)</w:t>
      </w:r>
      <w:r w:rsidRPr="004F01E9">
        <w:rPr>
          <w:noProof/>
        </w:rPr>
        <w:tab/>
        <w:t xml:space="preserve">ak všetky zložky indexu nepatria do toho istého sektora alebo nemajú rovnakú kreditnú kvalitu, </w:t>
      </w:r>
      <m:oMath>
        <m:sSubSup>
          <m:sSubSupPr>
            <m:ctrlPr>
              <w:rPr>
                <w:rFonts w:ascii="Cambria Math" w:hAnsi="Cambria Math"/>
                <w:noProof/>
                <w:szCs w:val="24"/>
              </w:rPr>
            </m:ctrlPr>
          </m:sSubSupPr>
          <m:e>
            <m:r>
              <w:rPr>
                <w:rFonts w:ascii="Cambria Math" w:hAnsi="Cambria Math"/>
                <w:noProof/>
                <w:szCs w:val="24"/>
              </w:rPr>
              <m:t>RW</m:t>
            </m:r>
          </m:e>
          <m:sub>
            <m:r>
              <w:rPr>
                <w:rFonts w:ascii="Cambria Math" w:hAnsi="Cambria Math"/>
                <w:noProof/>
                <w:szCs w:val="24"/>
              </w:rPr>
              <m:t>i</m:t>
            </m:r>
          </m:sub>
          <m:sup>
            <m:r>
              <w:rPr>
                <w:rFonts w:ascii="Cambria Math" w:hAnsi="Cambria Math"/>
                <w:noProof/>
                <w:szCs w:val="24"/>
              </w:rPr>
              <m:t>ind</m:t>
            </m:r>
          </m:sup>
        </m:sSubSup>
      </m:oMath>
      <w:r w:rsidRPr="004F01E9">
        <w:rPr>
          <w:noProof/>
        </w:rPr>
        <w:t xml:space="preserve"> sa vypočítava ako vážený priemer rizikových váh všetkých zložiek indexu určených</w:t>
      </w:r>
      <w:r w:rsidR="004F01E9">
        <w:rPr>
          <w:noProof/>
        </w:rPr>
        <w:t xml:space="preserve"> v </w:t>
      </w:r>
      <w:r w:rsidRPr="004F01E9">
        <w:rPr>
          <w:noProof/>
        </w:rPr>
        <w:t>súlade</w:t>
      </w:r>
      <w:r w:rsidR="004F01E9">
        <w:rPr>
          <w:noProof/>
        </w:rPr>
        <w:t xml:space="preserve"> s </w:t>
      </w:r>
      <w:r w:rsidRPr="004F01E9">
        <w:rPr>
          <w:noProof/>
        </w:rPr>
        <w:t>tabuľkou 1 vynásobený koeficientom 0,7;</w:t>
      </w:r>
    </w:p>
    <w:p w14:paraId="7C2333B0" w14:textId="77777777" w:rsidR="004334CE" w:rsidRPr="004F01E9" w:rsidRDefault="004334CE" w:rsidP="00FB6CE6">
      <w:pPr>
        <w:pStyle w:val="Text1"/>
        <w:jc w:val="center"/>
        <w:rPr>
          <w:noProof/>
        </w:rPr>
      </w:pPr>
      <w:r w:rsidRPr="004F01E9">
        <w:rPr>
          <w:noProof/>
        </w:rPr>
        <w:t>Tabuľka 1</w:t>
      </w:r>
    </w:p>
    <w:tbl>
      <w:tblPr>
        <w:tblW w:w="0" w:type="auto"/>
        <w:jc w:val="center"/>
        <w:tblLayout w:type="fixed"/>
        <w:tblLook w:val="0000" w:firstRow="0" w:lastRow="0" w:firstColumn="0" w:lastColumn="0" w:noHBand="0" w:noVBand="0"/>
      </w:tblPr>
      <w:tblGrid>
        <w:gridCol w:w="2482"/>
        <w:gridCol w:w="2482"/>
        <w:gridCol w:w="1657"/>
      </w:tblGrid>
      <w:tr w:rsidR="004334CE" w:rsidRPr="004F01E9" w14:paraId="17E49DF5" w14:textId="77777777" w:rsidTr="004334CE">
        <w:trPr>
          <w:trHeight w:val="65"/>
          <w:jc w:val="center"/>
        </w:trPr>
        <w:tc>
          <w:tcPr>
            <w:tcW w:w="2482" w:type="dxa"/>
            <w:vMerge w:val="restart"/>
            <w:tcBorders>
              <w:top w:val="single" w:sz="2" w:space="0" w:color="auto"/>
              <w:left w:val="single" w:sz="2" w:space="0" w:color="auto"/>
              <w:right w:val="single" w:sz="2" w:space="0" w:color="auto"/>
            </w:tcBorders>
          </w:tcPr>
          <w:p w14:paraId="6D82DCB9" w14:textId="77777777" w:rsidR="004334CE" w:rsidRPr="004F01E9" w:rsidRDefault="004334CE" w:rsidP="004334CE">
            <w:pPr>
              <w:rPr>
                <w:noProof/>
                <w:sz w:val="20"/>
                <w:szCs w:val="20"/>
              </w:rPr>
            </w:pPr>
          </w:p>
          <w:p w14:paraId="505A93BA" w14:textId="77777777" w:rsidR="004334CE" w:rsidRPr="004F01E9" w:rsidRDefault="004334CE" w:rsidP="004334CE">
            <w:pPr>
              <w:rPr>
                <w:noProof/>
                <w:sz w:val="20"/>
                <w:szCs w:val="20"/>
              </w:rPr>
            </w:pPr>
          </w:p>
          <w:p w14:paraId="3DE21D6A" w14:textId="77777777" w:rsidR="004334CE" w:rsidRPr="004F01E9" w:rsidRDefault="004334CE" w:rsidP="004334CE">
            <w:pPr>
              <w:rPr>
                <w:noProof/>
                <w:sz w:val="20"/>
                <w:szCs w:val="20"/>
              </w:rPr>
            </w:pPr>
          </w:p>
          <w:p w14:paraId="268F32FE" w14:textId="77777777" w:rsidR="004334CE" w:rsidRPr="004F01E9" w:rsidRDefault="004334CE" w:rsidP="004334CE">
            <w:pPr>
              <w:rPr>
                <w:noProof/>
                <w:sz w:val="20"/>
                <w:szCs w:val="20"/>
              </w:rPr>
            </w:pPr>
            <w:r w:rsidRPr="004F01E9">
              <w:rPr>
                <w:noProof/>
                <w:sz w:val="20"/>
                <w:szCs w:val="20"/>
              </w:rPr>
              <w:t>Sektor protistrany</w:t>
            </w:r>
          </w:p>
          <w:p w14:paraId="5EA3F8B0" w14:textId="77777777" w:rsidR="004334CE" w:rsidRPr="004F01E9" w:rsidRDefault="004334CE" w:rsidP="004334CE">
            <w:pPr>
              <w:rPr>
                <w:noProof/>
                <w:sz w:val="20"/>
                <w:szCs w:val="20"/>
              </w:rPr>
            </w:pPr>
          </w:p>
        </w:tc>
        <w:tc>
          <w:tcPr>
            <w:tcW w:w="4139" w:type="dxa"/>
            <w:gridSpan w:val="2"/>
            <w:tcBorders>
              <w:top w:val="single" w:sz="2" w:space="0" w:color="auto"/>
              <w:left w:val="single" w:sz="2" w:space="0" w:color="auto"/>
              <w:right w:val="single" w:sz="2" w:space="0" w:color="auto"/>
            </w:tcBorders>
          </w:tcPr>
          <w:p w14:paraId="53885D8A" w14:textId="77777777" w:rsidR="004334CE" w:rsidRPr="004F01E9" w:rsidRDefault="004334CE" w:rsidP="004334CE">
            <w:pPr>
              <w:rPr>
                <w:noProof/>
                <w:sz w:val="20"/>
                <w:szCs w:val="20"/>
              </w:rPr>
            </w:pPr>
          </w:p>
          <w:p w14:paraId="31795CA9" w14:textId="77777777" w:rsidR="004334CE" w:rsidRPr="004F01E9" w:rsidRDefault="004334CE" w:rsidP="004334CE">
            <w:pPr>
              <w:rPr>
                <w:noProof/>
                <w:sz w:val="20"/>
                <w:szCs w:val="20"/>
              </w:rPr>
            </w:pPr>
            <w:r w:rsidRPr="004F01E9">
              <w:rPr>
                <w:noProof/>
                <w:sz w:val="20"/>
                <w:szCs w:val="20"/>
              </w:rPr>
              <w:t>Kreditná kvalita</w:t>
            </w:r>
          </w:p>
        </w:tc>
      </w:tr>
      <w:tr w:rsidR="004334CE" w:rsidRPr="004F01E9" w14:paraId="22B18CEF" w14:textId="77777777" w:rsidTr="004334CE">
        <w:trPr>
          <w:trHeight w:val="65"/>
          <w:jc w:val="center"/>
        </w:trPr>
        <w:tc>
          <w:tcPr>
            <w:tcW w:w="2482" w:type="dxa"/>
            <w:vMerge/>
            <w:tcBorders>
              <w:left w:val="single" w:sz="2" w:space="0" w:color="auto"/>
              <w:bottom w:val="single" w:sz="2" w:space="0" w:color="auto"/>
              <w:right w:val="single" w:sz="2" w:space="0" w:color="auto"/>
            </w:tcBorders>
          </w:tcPr>
          <w:p w14:paraId="388C7C52" w14:textId="77777777" w:rsidR="004334CE" w:rsidRPr="004F01E9" w:rsidRDefault="004334CE" w:rsidP="004334CE">
            <w:pPr>
              <w:rPr>
                <w:noProof/>
                <w:sz w:val="20"/>
                <w:szCs w:val="20"/>
              </w:rPr>
            </w:pPr>
          </w:p>
        </w:tc>
        <w:tc>
          <w:tcPr>
            <w:tcW w:w="2482" w:type="dxa"/>
            <w:tcBorders>
              <w:top w:val="single" w:sz="2" w:space="0" w:color="auto"/>
              <w:left w:val="single" w:sz="2" w:space="0" w:color="auto"/>
              <w:bottom w:val="single" w:sz="2" w:space="0" w:color="auto"/>
              <w:right w:val="single" w:sz="2" w:space="0" w:color="auto"/>
            </w:tcBorders>
          </w:tcPr>
          <w:p w14:paraId="008A3819" w14:textId="77777777" w:rsidR="004334CE" w:rsidRPr="004F01E9" w:rsidRDefault="004334CE" w:rsidP="004334CE">
            <w:pPr>
              <w:rPr>
                <w:noProof/>
                <w:sz w:val="20"/>
                <w:szCs w:val="20"/>
              </w:rPr>
            </w:pPr>
            <w:r w:rsidRPr="004F01E9">
              <w:rPr>
                <w:noProof/>
                <w:sz w:val="20"/>
                <w:szCs w:val="20"/>
              </w:rPr>
              <w:t>stupeň kreditnej kvality 1 až 3</w:t>
            </w:r>
          </w:p>
        </w:tc>
        <w:tc>
          <w:tcPr>
            <w:tcW w:w="1657" w:type="dxa"/>
            <w:tcBorders>
              <w:top w:val="single" w:sz="2" w:space="0" w:color="auto"/>
              <w:left w:val="single" w:sz="2" w:space="0" w:color="auto"/>
              <w:bottom w:val="single" w:sz="2" w:space="0" w:color="auto"/>
              <w:right w:val="single" w:sz="2" w:space="0" w:color="auto"/>
            </w:tcBorders>
          </w:tcPr>
          <w:p w14:paraId="5196D68C" w14:textId="58EF0413" w:rsidR="004334CE" w:rsidRPr="004F01E9" w:rsidRDefault="004334CE" w:rsidP="004334CE">
            <w:pPr>
              <w:rPr>
                <w:noProof/>
                <w:sz w:val="20"/>
                <w:szCs w:val="20"/>
              </w:rPr>
            </w:pPr>
            <w:r w:rsidRPr="004F01E9">
              <w:rPr>
                <w:noProof/>
                <w:sz w:val="20"/>
                <w:szCs w:val="20"/>
              </w:rPr>
              <w:t>stupeň kreditnej kvality 4 až 6</w:t>
            </w:r>
            <w:r w:rsidR="004F01E9">
              <w:rPr>
                <w:noProof/>
                <w:sz w:val="20"/>
                <w:szCs w:val="20"/>
              </w:rPr>
              <w:t xml:space="preserve"> a </w:t>
            </w:r>
            <w:r w:rsidRPr="004F01E9">
              <w:rPr>
                <w:noProof/>
                <w:sz w:val="20"/>
                <w:szCs w:val="20"/>
              </w:rPr>
              <w:t>bez ratingu</w:t>
            </w:r>
          </w:p>
        </w:tc>
      </w:tr>
      <w:tr w:rsidR="004334CE" w:rsidRPr="004F01E9" w14:paraId="576E3F72" w14:textId="77777777" w:rsidTr="004334CE">
        <w:trPr>
          <w:trHeight w:val="1216"/>
          <w:jc w:val="center"/>
        </w:trPr>
        <w:tc>
          <w:tcPr>
            <w:tcW w:w="2482" w:type="dxa"/>
            <w:tcBorders>
              <w:top w:val="single" w:sz="2" w:space="0" w:color="auto"/>
              <w:left w:val="single" w:sz="2" w:space="0" w:color="auto"/>
              <w:bottom w:val="single" w:sz="2" w:space="0" w:color="auto"/>
              <w:right w:val="single" w:sz="2" w:space="0" w:color="auto"/>
            </w:tcBorders>
          </w:tcPr>
          <w:p w14:paraId="10786420" w14:textId="0A5733A8" w:rsidR="004334CE" w:rsidRPr="004F01E9" w:rsidRDefault="004334CE" w:rsidP="004334CE">
            <w:pPr>
              <w:rPr>
                <w:noProof/>
                <w:color w:val="372F32"/>
                <w:sz w:val="20"/>
                <w:szCs w:val="20"/>
              </w:rPr>
            </w:pPr>
            <w:r w:rsidRPr="004F01E9">
              <w:rPr>
                <w:noProof/>
                <w:color w:val="372F32"/>
                <w:sz w:val="20"/>
                <w:szCs w:val="20"/>
              </w:rPr>
              <w:t>Ústredná štátna správa tretej krajiny vrátane centrálnych bánk, multilaterálne rozvojové banky</w:t>
            </w:r>
            <w:r w:rsidR="004F01E9">
              <w:rPr>
                <w:noProof/>
                <w:color w:val="372F32"/>
                <w:sz w:val="20"/>
                <w:szCs w:val="20"/>
              </w:rPr>
              <w:t xml:space="preserve"> a </w:t>
            </w:r>
            <w:r w:rsidRPr="004F01E9">
              <w:rPr>
                <w:noProof/>
                <w:color w:val="372F32"/>
                <w:sz w:val="20"/>
                <w:szCs w:val="20"/>
              </w:rPr>
              <w:t>medzinárodné organizácie uvedené</w:t>
            </w:r>
            <w:r w:rsidR="004F01E9">
              <w:rPr>
                <w:noProof/>
                <w:color w:val="372F32"/>
                <w:sz w:val="20"/>
                <w:szCs w:val="20"/>
              </w:rPr>
              <w:t xml:space="preserve"> v </w:t>
            </w:r>
            <w:r w:rsidRPr="004F01E9">
              <w:rPr>
                <w:noProof/>
                <w:color w:val="372F32"/>
                <w:sz w:val="20"/>
                <w:szCs w:val="20"/>
              </w:rPr>
              <w:t>článku 117 ods. 2 alebo článku 118</w:t>
            </w:r>
          </w:p>
        </w:tc>
        <w:tc>
          <w:tcPr>
            <w:tcW w:w="2482" w:type="dxa"/>
            <w:tcBorders>
              <w:top w:val="single" w:sz="2" w:space="0" w:color="auto"/>
              <w:left w:val="single" w:sz="2" w:space="0" w:color="auto"/>
              <w:bottom w:val="single" w:sz="2" w:space="0" w:color="auto"/>
              <w:right w:val="single" w:sz="2" w:space="0" w:color="auto"/>
            </w:tcBorders>
          </w:tcPr>
          <w:p w14:paraId="75A5D50C" w14:textId="02B96534" w:rsidR="004334CE" w:rsidRPr="004F01E9" w:rsidRDefault="004334CE" w:rsidP="004334CE">
            <w:pPr>
              <w:rPr>
                <w:noProof/>
                <w:sz w:val="20"/>
                <w:szCs w:val="20"/>
              </w:rPr>
            </w:pPr>
            <w:r w:rsidRPr="004F01E9">
              <w:rPr>
                <w:noProof/>
                <w:sz w:val="20"/>
                <w:szCs w:val="20"/>
              </w:rPr>
              <w:t>0,5</w:t>
            </w:r>
            <w:r w:rsidR="004F01E9">
              <w:rPr>
                <w:noProof/>
                <w:sz w:val="20"/>
                <w:szCs w:val="20"/>
              </w:rPr>
              <w:t> %</w:t>
            </w:r>
          </w:p>
        </w:tc>
        <w:tc>
          <w:tcPr>
            <w:tcW w:w="1657" w:type="dxa"/>
            <w:tcBorders>
              <w:top w:val="single" w:sz="2" w:space="0" w:color="auto"/>
              <w:left w:val="single" w:sz="2" w:space="0" w:color="auto"/>
              <w:bottom w:val="single" w:sz="2" w:space="0" w:color="auto"/>
              <w:right w:val="single" w:sz="2" w:space="0" w:color="auto"/>
            </w:tcBorders>
          </w:tcPr>
          <w:p w14:paraId="75EB1AC0" w14:textId="5A98985D" w:rsidR="004334CE" w:rsidRPr="004F01E9" w:rsidRDefault="004334CE" w:rsidP="004334CE">
            <w:pPr>
              <w:rPr>
                <w:noProof/>
                <w:sz w:val="20"/>
                <w:szCs w:val="20"/>
              </w:rPr>
            </w:pPr>
            <w:r w:rsidRPr="004F01E9">
              <w:rPr>
                <w:noProof/>
                <w:sz w:val="20"/>
                <w:szCs w:val="20"/>
              </w:rPr>
              <w:t>3,0</w:t>
            </w:r>
            <w:r w:rsidR="004F01E9">
              <w:rPr>
                <w:noProof/>
                <w:sz w:val="20"/>
                <w:szCs w:val="20"/>
              </w:rPr>
              <w:t> %</w:t>
            </w:r>
          </w:p>
        </w:tc>
      </w:tr>
      <w:tr w:rsidR="004334CE" w:rsidRPr="004F01E9" w14:paraId="4C739A14" w14:textId="77777777" w:rsidTr="004334CE">
        <w:trPr>
          <w:trHeight w:val="252"/>
          <w:jc w:val="center"/>
        </w:trPr>
        <w:tc>
          <w:tcPr>
            <w:tcW w:w="2482" w:type="dxa"/>
            <w:tcBorders>
              <w:top w:val="single" w:sz="2" w:space="0" w:color="auto"/>
              <w:left w:val="single" w:sz="2" w:space="0" w:color="auto"/>
              <w:bottom w:val="single" w:sz="2" w:space="0" w:color="auto"/>
              <w:right w:val="single" w:sz="2" w:space="0" w:color="auto"/>
            </w:tcBorders>
          </w:tcPr>
          <w:p w14:paraId="3B84D075" w14:textId="2218A539" w:rsidR="004334CE" w:rsidRPr="004F01E9" w:rsidRDefault="004334CE" w:rsidP="004334CE">
            <w:pPr>
              <w:rPr>
                <w:noProof/>
                <w:sz w:val="20"/>
                <w:szCs w:val="20"/>
              </w:rPr>
            </w:pPr>
            <w:r w:rsidRPr="004F01E9">
              <w:rPr>
                <w:noProof/>
                <w:sz w:val="20"/>
                <w:szCs w:val="20"/>
              </w:rPr>
              <w:t>Regionálne alebo miestne orgány</w:t>
            </w:r>
            <w:r w:rsidR="004F01E9">
              <w:rPr>
                <w:noProof/>
                <w:sz w:val="20"/>
                <w:szCs w:val="20"/>
              </w:rPr>
              <w:t xml:space="preserve"> a </w:t>
            </w:r>
            <w:r w:rsidRPr="004F01E9">
              <w:rPr>
                <w:noProof/>
                <w:sz w:val="20"/>
                <w:szCs w:val="20"/>
              </w:rPr>
              <w:t>subjekty verejného sektora</w:t>
            </w:r>
          </w:p>
        </w:tc>
        <w:tc>
          <w:tcPr>
            <w:tcW w:w="2482" w:type="dxa"/>
            <w:tcBorders>
              <w:top w:val="single" w:sz="2" w:space="0" w:color="auto"/>
              <w:left w:val="single" w:sz="2" w:space="0" w:color="auto"/>
              <w:bottom w:val="single" w:sz="2" w:space="0" w:color="auto"/>
              <w:right w:val="single" w:sz="2" w:space="0" w:color="auto"/>
            </w:tcBorders>
          </w:tcPr>
          <w:p w14:paraId="713DDC63" w14:textId="22E20496" w:rsidR="004334CE" w:rsidRPr="004F01E9" w:rsidRDefault="004334CE" w:rsidP="004334CE">
            <w:pPr>
              <w:rPr>
                <w:noProof/>
                <w:sz w:val="20"/>
                <w:szCs w:val="20"/>
              </w:rPr>
            </w:pPr>
            <w:r w:rsidRPr="004F01E9">
              <w:rPr>
                <w:noProof/>
                <w:sz w:val="20"/>
                <w:szCs w:val="20"/>
              </w:rPr>
              <w:t>1,0</w:t>
            </w:r>
            <w:r w:rsidR="004F01E9">
              <w:rPr>
                <w:noProof/>
                <w:sz w:val="20"/>
                <w:szCs w:val="20"/>
              </w:rPr>
              <w:t> %</w:t>
            </w:r>
          </w:p>
        </w:tc>
        <w:tc>
          <w:tcPr>
            <w:tcW w:w="1657" w:type="dxa"/>
            <w:tcBorders>
              <w:top w:val="single" w:sz="2" w:space="0" w:color="auto"/>
              <w:left w:val="single" w:sz="2" w:space="0" w:color="auto"/>
              <w:bottom w:val="single" w:sz="2" w:space="0" w:color="auto"/>
              <w:right w:val="single" w:sz="2" w:space="0" w:color="auto"/>
            </w:tcBorders>
          </w:tcPr>
          <w:p w14:paraId="6D3CB188" w14:textId="714BFC7F" w:rsidR="004334CE" w:rsidRPr="004F01E9" w:rsidRDefault="004334CE" w:rsidP="004334CE">
            <w:pPr>
              <w:rPr>
                <w:noProof/>
                <w:sz w:val="20"/>
                <w:szCs w:val="20"/>
              </w:rPr>
            </w:pPr>
            <w:r w:rsidRPr="004F01E9">
              <w:rPr>
                <w:noProof/>
                <w:sz w:val="20"/>
                <w:szCs w:val="20"/>
              </w:rPr>
              <w:t>4,0</w:t>
            </w:r>
            <w:r w:rsidR="004F01E9">
              <w:rPr>
                <w:noProof/>
                <w:sz w:val="20"/>
                <w:szCs w:val="20"/>
              </w:rPr>
              <w:t> %</w:t>
            </w:r>
          </w:p>
        </w:tc>
      </w:tr>
      <w:tr w:rsidR="004334CE" w:rsidRPr="004F01E9" w14:paraId="42AC6D28" w14:textId="77777777" w:rsidTr="004334CE">
        <w:trPr>
          <w:trHeight w:val="1679"/>
          <w:jc w:val="center"/>
        </w:trPr>
        <w:tc>
          <w:tcPr>
            <w:tcW w:w="2482" w:type="dxa"/>
            <w:tcBorders>
              <w:top w:val="single" w:sz="2" w:space="0" w:color="auto"/>
              <w:left w:val="single" w:sz="2" w:space="0" w:color="auto"/>
              <w:bottom w:val="single" w:sz="2" w:space="0" w:color="auto"/>
              <w:right w:val="single" w:sz="2" w:space="0" w:color="auto"/>
            </w:tcBorders>
          </w:tcPr>
          <w:p w14:paraId="09EACBDC" w14:textId="2B778C41" w:rsidR="004334CE" w:rsidRPr="004F01E9" w:rsidRDefault="004334CE" w:rsidP="004334CE">
            <w:pPr>
              <w:rPr>
                <w:noProof/>
                <w:sz w:val="20"/>
                <w:szCs w:val="20"/>
              </w:rPr>
            </w:pPr>
            <w:r w:rsidRPr="004F01E9">
              <w:rPr>
                <w:noProof/>
                <w:sz w:val="20"/>
                <w:szCs w:val="20"/>
              </w:rPr>
              <w:t>Subjekty finančného sektora vrátane úverových inštitúcií zriadených alebo založených ústrednou vládou, regionálnou vládou alebo miestnym orgánom</w:t>
            </w:r>
            <w:r w:rsidR="004F01E9">
              <w:rPr>
                <w:noProof/>
                <w:sz w:val="20"/>
                <w:szCs w:val="20"/>
              </w:rPr>
              <w:t xml:space="preserve"> a </w:t>
            </w:r>
            <w:r w:rsidRPr="004F01E9">
              <w:rPr>
                <w:noProof/>
                <w:sz w:val="20"/>
                <w:szCs w:val="20"/>
              </w:rPr>
              <w:t>poskytovatelia podporných úverov</w:t>
            </w:r>
          </w:p>
        </w:tc>
        <w:tc>
          <w:tcPr>
            <w:tcW w:w="2482" w:type="dxa"/>
            <w:tcBorders>
              <w:top w:val="single" w:sz="2" w:space="0" w:color="auto"/>
              <w:left w:val="single" w:sz="2" w:space="0" w:color="auto"/>
              <w:bottom w:val="single" w:sz="2" w:space="0" w:color="auto"/>
              <w:right w:val="single" w:sz="2" w:space="0" w:color="auto"/>
            </w:tcBorders>
          </w:tcPr>
          <w:p w14:paraId="0F9B5B31" w14:textId="483A2402" w:rsidR="004334CE" w:rsidRPr="004F01E9" w:rsidRDefault="004334CE" w:rsidP="004334CE">
            <w:pPr>
              <w:rPr>
                <w:noProof/>
                <w:sz w:val="20"/>
                <w:szCs w:val="20"/>
              </w:rPr>
            </w:pPr>
            <w:r w:rsidRPr="004F01E9">
              <w:rPr>
                <w:noProof/>
                <w:sz w:val="20"/>
                <w:szCs w:val="20"/>
              </w:rPr>
              <w:t>5,0</w:t>
            </w:r>
            <w:r w:rsidR="004F01E9">
              <w:rPr>
                <w:noProof/>
                <w:sz w:val="20"/>
                <w:szCs w:val="20"/>
              </w:rPr>
              <w:t> %</w:t>
            </w:r>
          </w:p>
        </w:tc>
        <w:tc>
          <w:tcPr>
            <w:tcW w:w="1657" w:type="dxa"/>
            <w:tcBorders>
              <w:top w:val="single" w:sz="2" w:space="0" w:color="auto"/>
              <w:left w:val="single" w:sz="2" w:space="0" w:color="auto"/>
              <w:bottom w:val="single" w:sz="2" w:space="0" w:color="auto"/>
              <w:right w:val="single" w:sz="2" w:space="0" w:color="auto"/>
            </w:tcBorders>
          </w:tcPr>
          <w:p w14:paraId="560616FB" w14:textId="60FE3BE4" w:rsidR="004334CE" w:rsidRPr="004F01E9" w:rsidRDefault="004334CE" w:rsidP="004334CE">
            <w:pPr>
              <w:rPr>
                <w:noProof/>
                <w:sz w:val="20"/>
                <w:szCs w:val="20"/>
              </w:rPr>
            </w:pPr>
            <w:r w:rsidRPr="004F01E9">
              <w:rPr>
                <w:noProof/>
                <w:sz w:val="20"/>
                <w:szCs w:val="20"/>
              </w:rPr>
              <w:t>12,0</w:t>
            </w:r>
            <w:r w:rsidR="004F01E9">
              <w:rPr>
                <w:noProof/>
                <w:sz w:val="20"/>
                <w:szCs w:val="20"/>
              </w:rPr>
              <w:t> %</w:t>
            </w:r>
          </w:p>
        </w:tc>
      </w:tr>
      <w:tr w:rsidR="004334CE" w:rsidRPr="004F01E9" w14:paraId="6DFCECD9" w14:textId="77777777" w:rsidTr="004334CE">
        <w:trPr>
          <w:trHeight w:val="1457"/>
          <w:jc w:val="center"/>
        </w:trPr>
        <w:tc>
          <w:tcPr>
            <w:tcW w:w="2482" w:type="dxa"/>
            <w:tcBorders>
              <w:top w:val="single" w:sz="2" w:space="0" w:color="auto"/>
              <w:left w:val="single" w:sz="2" w:space="0" w:color="auto"/>
              <w:bottom w:val="single" w:sz="2" w:space="0" w:color="auto"/>
              <w:right w:val="single" w:sz="2" w:space="0" w:color="auto"/>
            </w:tcBorders>
          </w:tcPr>
          <w:p w14:paraId="6BE4666E" w14:textId="247754FF" w:rsidR="004334CE" w:rsidRPr="004F01E9" w:rsidRDefault="004334CE" w:rsidP="004334CE">
            <w:pPr>
              <w:rPr>
                <w:noProof/>
                <w:sz w:val="20"/>
                <w:szCs w:val="20"/>
              </w:rPr>
            </w:pPr>
            <w:r w:rsidRPr="004F01E9">
              <w:rPr>
                <w:noProof/>
                <w:color w:val="372F32"/>
                <w:sz w:val="20"/>
                <w:szCs w:val="20"/>
              </w:rPr>
              <w:t>Základné materiály, energetika, priemyselné podniky, poľnohospodárstvo, spracovateľský priemysel, ťažba</w:t>
            </w:r>
            <w:r w:rsidR="004F01E9">
              <w:rPr>
                <w:noProof/>
                <w:color w:val="372F32"/>
                <w:sz w:val="20"/>
                <w:szCs w:val="20"/>
              </w:rPr>
              <w:t xml:space="preserve"> a </w:t>
            </w:r>
            <w:r w:rsidRPr="004F01E9">
              <w:rPr>
                <w:noProof/>
                <w:color w:val="372F32"/>
                <w:sz w:val="20"/>
                <w:szCs w:val="20"/>
              </w:rPr>
              <w:t>dobývanie</w:t>
            </w:r>
          </w:p>
        </w:tc>
        <w:tc>
          <w:tcPr>
            <w:tcW w:w="2482" w:type="dxa"/>
            <w:tcBorders>
              <w:top w:val="single" w:sz="2" w:space="0" w:color="auto"/>
              <w:left w:val="single" w:sz="2" w:space="0" w:color="auto"/>
              <w:bottom w:val="single" w:sz="2" w:space="0" w:color="auto"/>
              <w:right w:val="single" w:sz="2" w:space="0" w:color="auto"/>
            </w:tcBorders>
          </w:tcPr>
          <w:p w14:paraId="343A6E11" w14:textId="53B37C28" w:rsidR="004334CE" w:rsidRPr="004F01E9" w:rsidRDefault="004334CE" w:rsidP="004334CE">
            <w:pPr>
              <w:rPr>
                <w:noProof/>
                <w:sz w:val="20"/>
                <w:szCs w:val="20"/>
              </w:rPr>
            </w:pPr>
            <w:r w:rsidRPr="004F01E9">
              <w:rPr>
                <w:noProof/>
                <w:sz w:val="20"/>
                <w:szCs w:val="20"/>
              </w:rPr>
              <w:t>3,0</w:t>
            </w:r>
            <w:r w:rsidR="004F01E9">
              <w:rPr>
                <w:noProof/>
                <w:sz w:val="20"/>
                <w:szCs w:val="20"/>
              </w:rPr>
              <w:t> %</w:t>
            </w:r>
          </w:p>
        </w:tc>
        <w:tc>
          <w:tcPr>
            <w:tcW w:w="1657" w:type="dxa"/>
            <w:tcBorders>
              <w:top w:val="single" w:sz="2" w:space="0" w:color="auto"/>
              <w:left w:val="single" w:sz="2" w:space="0" w:color="auto"/>
              <w:bottom w:val="single" w:sz="2" w:space="0" w:color="auto"/>
              <w:right w:val="single" w:sz="2" w:space="0" w:color="auto"/>
            </w:tcBorders>
          </w:tcPr>
          <w:p w14:paraId="409D4F6D" w14:textId="7A39F0AA" w:rsidR="004334CE" w:rsidRPr="004F01E9" w:rsidRDefault="004334CE" w:rsidP="004334CE">
            <w:pPr>
              <w:rPr>
                <w:noProof/>
                <w:sz w:val="20"/>
                <w:szCs w:val="20"/>
              </w:rPr>
            </w:pPr>
            <w:r w:rsidRPr="004F01E9">
              <w:rPr>
                <w:noProof/>
                <w:sz w:val="20"/>
                <w:szCs w:val="20"/>
              </w:rPr>
              <w:t>7,0</w:t>
            </w:r>
            <w:r w:rsidR="004F01E9">
              <w:rPr>
                <w:noProof/>
                <w:sz w:val="20"/>
                <w:szCs w:val="20"/>
              </w:rPr>
              <w:t> %</w:t>
            </w:r>
          </w:p>
        </w:tc>
      </w:tr>
      <w:tr w:rsidR="004334CE" w:rsidRPr="004F01E9" w14:paraId="387F9651" w14:textId="77777777" w:rsidTr="004334CE">
        <w:trPr>
          <w:trHeight w:val="1060"/>
          <w:jc w:val="center"/>
        </w:trPr>
        <w:tc>
          <w:tcPr>
            <w:tcW w:w="2482" w:type="dxa"/>
            <w:tcBorders>
              <w:top w:val="single" w:sz="2" w:space="0" w:color="auto"/>
              <w:left w:val="single" w:sz="2" w:space="0" w:color="auto"/>
              <w:bottom w:val="single" w:sz="2" w:space="0" w:color="auto"/>
              <w:right w:val="single" w:sz="2" w:space="0" w:color="auto"/>
            </w:tcBorders>
          </w:tcPr>
          <w:p w14:paraId="1B174263" w14:textId="6B97D775" w:rsidR="004334CE" w:rsidRPr="004F01E9" w:rsidRDefault="004334CE" w:rsidP="004334CE">
            <w:pPr>
              <w:rPr>
                <w:noProof/>
                <w:sz w:val="20"/>
                <w:szCs w:val="20"/>
              </w:rPr>
            </w:pPr>
            <w:r w:rsidRPr="004F01E9">
              <w:rPr>
                <w:noProof/>
                <w:color w:val="372F32"/>
                <w:sz w:val="20"/>
                <w:szCs w:val="20"/>
              </w:rPr>
              <w:t>Spotrebný tovar</w:t>
            </w:r>
            <w:r w:rsidR="004F01E9">
              <w:rPr>
                <w:noProof/>
                <w:color w:val="372F32"/>
                <w:sz w:val="20"/>
                <w:szCs w:val="20"/>
              </w:rPr>
              <w:t xml:space="preserve"> a </w:t>
            </w:r>
            <w:r w:rsidRPr="004F01E9">
              <w:rPr>
                <w:noProof/>
                <w:color w:val="372F32"/>
                <w:sz w:val="20"/>
                <w:szCs w:val="20"/>
              </w:rPr>
              <w:t>služby, doprava</w:t>
            </w:r>
            <w:r w:rsidR="004F01E9">
              <w:rPr>
                <w:noProof/>
                <w:color w:val="372F32"/>
                <w:sz w:val="20"/>
                <w:szCs w:val="20"/>
              </w:rPr>
              <w:t xml:space="preserve"> a </w:t>
            </w:r>
            <w:r w:rsidRPr="004F01E9">
              <w:rPr>
                <w:noProof/>
                <w:color w:val="372F32"/>
                <w:sz w:val="20"/>
                <w:szCs w:val="20"/>
              </w:rPr>
              <w:t>skladovanie, administratívne</w:t>
            </w:r>
            <w:r w:rsidR="004F01E9">
              <w:rPr>
                <w:noProof/>
                <w:color w:val="372F32"/>
                <w:sz w:val="20"/>
                <w:szCs w:val="20"/>
              </w:rPr>
              <w:t xml:space="preserve"> a </w:t>
            </w:r>
            <w:r w:rsidRPr="004F01E9">
              <w:rPr>
                <w:noProof/>
                <w:color w:val="372F32"/>
                <w:sz w:val="20"/>
                <w:szCs w:val="20"/>
              </w:rPr>
              <w:t>podporné činnosti</w:t>
            </w:r>
          </w:p>
        </w:tc>
        <w:tc>
          <w:tcPr>
            <w:tcW w:w="2482" w:type="dxa"/>
            <w:tcBorders>
              <w:top w:val="single" w:sz="2" w:space="0" w:color="auto"/>
              <w:left w:val="single" w:sz="2" w:space="0" w:color="auto"/>
              <w:bottom w:val="single" w:sz="2" w:space="0" w:color="auto"/>
              <w:right w:val="single" w:sz="2" w:space="0" w:color="auto"/>
            </w:tcBorders>
          </w:tcPr>
          <w:p w14:paraId="665A85B0" w14:textId="7BEBD2D1" w:rsidR="004334CE" w:rsidRPr="004F01E9" w:rsidRDefault="004334CE" w:rsidP="004334CE">
            <w:pPr>
              <w:rPr>
                <w:noProof/>
                <w:sz w:val="20"/>
                <w:szCs w:val="20"/>
              </w:rPr>
            </w:pPr>
            <w:r w:rsidRPr="004F01E9">
              <w:rPr>
                <w:noProof/>
                <w:sz w:val="20"/>
                <w:szCs w:val="20"/>
              </w:rPr>
              <w:t>3,0</w:t>
            </w:r>
            <w:r w:rsidR="004F01E9">
              <w:rPr>
                <w:noProof/>
                <w:sz w:val="20"/>
                <w:szCs w:val="20"/>
              </w:rPr>
              <w:t> %</w:t>
            </w:r>
          </w:p>
        </w:tc>
        <w:tc>
          <w:tcPr>
            <w:tcW w:w="1657" w:type="dxa"/>
            <w:tcBorders>
              <w:top w:val="single" w:sz="2" w:space="0" w:color="auto"/>
              <w:left w:val="single" w:sz="2" w:space="0" w:color="auto"/>
              <w:bottom w:val="single" w:sz="2" w:space="0" w:color="auto"/>
              <w:right w:val="single" w:sz="2" w:space="0" w:color="auto"/>
            </w:tcBorders>
          </w:tcPr>
          <w:p w14:paraId="39C793D8" w14:textId="23164953" w:rsidR="004334CE" w:rsidRPr="004F01E9" w:rsidRDefault="004334CE" w:rsidP="004334CE">
            <w:pPr>
              <w:rPr>
                <w:noProof/>
                <w:sz w:val="20"/>
                <w:szCs w:val="20"/>
              </w:rPr>
            </w:pPr>
            <w:r w:rsidRPr="004F01E9">
              <w:rPr>
                <w:noProof/>
                <w:sz w:val="20"/>
                <w:szCs w:val="20"/>
              </w:rPr>
              <w:t>8,5</w:t>
            </w:r>
            <w:r w:rsidR="004F01E9">
              <w:rPr>
                <w:noProof/>
                <w:sz w:val="20"/>
                <w:szCs w:val="20"/>
              </w:rPr>
              <w:t> %</w:t>
            </w:r>
          </w:p>
        </w:tc>
      </w:tr>
      <w:tr w:rsidR="004334CE" w:rsidRPr="004F01E9" w14:paraId="779932E9" w14:textId="77777777" w:rsidTr="004334CE">
        <w:trPr>
          <w:trHeight w:val="721"/>
          <w:jc w:val="center"/>
        </w:trPr>
        <w:tc>
          <w:tcPr>
            <w:tcW w:w="2482" w:type="dxa"/>
            <w:tcBorders>
              <w:top w:val="single" w:sz="2" w:space="0" w:color="auto"/>
              <w:left w:val="single" w:sz="2" w:space="0" w:color="auto"/>
              <w:bottom w:val="single" w:sz="2" w:space="0" w:color="auto"/>
              <w:right w:val="single" w:sz="2" w:space="0" w:color="auto"/>
            </w:tcBorders>
          </w:tcPr>
          <w:p w14:paraId="11B67AE5" w14:textId="77777777" w:rsidR="004334CE" w:rsidRPr="004F01E9" w:rsidRDefault="004334CE" w:rsidP="004334CE">
            <w:pPr>
              <w:rPr>
                <w:noProof/>
                <w:sz w:val="20"/>
                <w:szCs w:val="20"/>
              </w:rPr>
            </w:pPr>
            <w:r w:rsidRPr="004F01E9">
              <w:rPr>
                <w:noProof/>
                <w:color w:val="372F32"/>
                <w:sz w:val="20"/>
                <w:szCs w:val="20"/>
              </w:rPr>
              <w:t>Technológie, telekomunikácie</w:t>
            </w:r>
          </w:p>
        </w:tc>
        <w:tc>
          <w:tcPr>
            <w:tcW w:w="2482" w:type="dxa"/>
            <w:tcBorders>
              <w:top w:val="single" w:sz="2" w:space="0" w:color="auto"/>
              <w:left w:val="single" w:sz="2" w:space="0" w:color="auto"/>
              <w:bottom w:val="single" w:sz="2" w:space="0" w:color="auto"/>
              <w:right w:val="single" w:sz="2" w:space="0" w:color="auto"/>
            </w:tcBorders>
          </w:tcPr>
          <w:p w14:paraId="20955206" w14:textId="2A076A2F" w:rsidR="004334CE" w:rsidRPr="004F01E9" w:rsidRDefault="004334CE" w:rsidP="004334CE">
            <w:pPr>
              <w:rPr>
                <w:noProof/>
                <w:sz w:val="20"/>
                <w:szCs w:val="20"/>
              </w:rPr>
            </w:pPr>
            <w:r w:rsidRPr="004F01E9">
              <w:rPr>
                <w:noProof/>
                <w:sz w:val="20"/>
                <w:szCs w:val="20"/>
              </w:rPr>
              <w:t>2,0</w:t>
            </w:r>
            <w:r w:rsidR="004F01E9">
              <w:rPr>
                <w:noProof/>
                <w:sz w:val="20"/>
                <w:szCs w:val="20"/>
              </w:rPr>
              <w:t> %</w:t>
            </w:r>
          </w:p>
        </w:tc>
        <w:tc>
          <w:tcPr>
            <w:tcW w:w="1657" w:type="dxa"/>
            <w:tcBorders>
              <w:top w:val="single" w:sz="2" w:space="0" w:color="auto"/>
              <w:left w:val="single" w:sz="2" w:space="0" w:color="auto"/>
              <w:bottom w:val="single" w:sz="2" w:space="0" w:color="auto"/>
              <w:right w:val="single" w:sz="2" w:space="0" w:color="auto"/>
            </w:tcBorders>
          </w:tcPr>
          <w:p w14:paraId="1B7877D0" w14:textId="6F5C89F8" w:rsidR="004334CE" w:rsidRPr="004F01E9" w:rsidRDefault="004334CE" w:rsidP="004334CE">
            <w:pPr>
              <w:rPr>
                <w:noProof/>
                <w:sz w:val="20"/>
                <w:szCs w:val="20"/>
              </w:rPr>
            </w:pPr>
            <w:r w:rsidRPr="004F01E9">
              <w:rPr>
                <w:noProof/>
                <w:sz w:val="20"/>
                <w:szCs w:val="20"/>
              </w:rPr>
              <w:t>5,5</w:t>
            </w:r>
            <w:r w:rsidR="004F01E9">
              <w:rPr>
                <w:noProof/>
                <w:sz w:val="20"/>
                <w:szCs w:val="20"/>
              </w:rPr>
              <w:t> %</w:t>
            </w:r>
          </w:p>
        </w:tc>
      </w:tr>
      <w:tr w:rsidR="004334CE" w:rsidRPr="004F01E9" w14:paraId="0930B927" w14:textId="77777777" w:rsidTr="004334CE">
        <w:trPr>
          <w:trHeight w:val="719"/>
          <w:jc w:val="center"/>
        </w:trPr>
        <w:tc>
          <w:tcPr>
            <w:tcW w:w="2482" w:type="dxa"/>
            <w:tcBorders>
              <w:top w:val="single" w:sz="2" w:space="0" w:color="auto"/>
              <w:left w:val="single" w:sz="2" w:space="0" w:color="auto"/>
              <w:bottom w:val="single" w:sz="2" w:space="0" w:color="auto"/>
              <w:right w:val="single" w:sz="2" w:space="0" w:color="auto"/>
            </w:tcBorders>
          </w:tcPr>
          <w:p w14:paraId="4B43185E" w14:textId="7A9E85B5" w:rsidR="004334CE" w:rsidRPr="004F01E9" w:rsidRDefault="004334CE" w:rsidP="004334CE">
            <w:pPr>
              <w:rPr>
                <w:noProof/>
                <w:sz w:val="20"/>
                <w:szCs w:val="20"/>
              </w:rPr>
            </w:pPr>
            <w:r w:rsidRPr="004F01E9">
              <w:rPr>
                <w:noProof/>
                <w:color w:val="372F32"/>
                <w:sz w:val="20"/>
                <w:szCs w:val="20"/>
              </w:rPr>
              <w:t>Zdravotná starostlivosť, úžitkové služby, odborné</w:t>
            </w:r>
            <w:r w:rsidR="004F01E9">
              <w:rPr>
                <w:noProof/>
                <w:color w:val="372F32"/>
                <w:sz w:val="20"/>
                <w:szCs w:val="20"/>
              </w:rPr>
              <w:t xml:space="preserve"> a </w:t>
            </w:r>
            <w:r w:rsidRPr="004F01E9">
              <w:rPr>
                <w:noProof/>
                <w:color w:val="372F32"/>
                <w:sz w:val="20"/>
                <w:szCs w:val="20"/>
              </w:rPr>
              <w:t>technické činnosti</w:t>
            </w:r>
          </w:p>
        </w:tc>
        <w:tc>
          <w:tcPr>
            <w:tcW w:w="2482" w:type="dxa"/>
            <w:tcBorders>
              <w:top w:val="single" w:sz="2" w:space="0" w:color="auto"/>
              <w:left w:val="single" w:sz="2" w:space="0" w:color="auto"/>
              <w:bottom w:val="single" w:sz="2" w:space="0" w:color="auto"/>
              <w:right w:val="single" w:sz="2" w:space="0" w:color="auto"/>
            </w:tcBorders>
          </w:tcPr>
          <w:p w14:paraId="680AB493" w14:textId="63ED244A" w:rsidR="004334CE" w:rsidRPr="004F01E9" w:rsidRDefault="004334CE" w:rsidP="004334CE">
            <w:pPr>
              <w:rPr>
                <w:noProof/>
                <w:sz w:val="20"/>
                <w:szCs w:val="20"/>
              </w:rPr>
            </w:pPr>
            <w:r w:rsidRPr="004F01E9">
              <w:rPr>
                <w:noProof/>
                <w:sz w:val="20"/>
                <w:szCs w:val="20"/>
              </w:rPr>
              <w:t>1,5</w:t>
            </w:r>
            <w:r w:rsidR="004F01E9">
              <w:rPr>
                <w:noProof/>
                <w:sz w:val="20"/>
                <w:szCs w:val="20"/>
              </w:rPr>
              <w:t> %</w:t>
            </w:r>
          </w:p>
        </w:tc>
        <w:tc>
          <w:tcPr>
            <w:tcW w:w="1657" w:type="dxa"/>
            <w:tcBorders>
              <w:top w:val="single" w:sz="2" w:space="0" w:color="auto"/>
              <w:left w:val="single" w:sz="2" w:space="0" w:color="auto"/>
              <w:bottom w:val="single" w:sz="2" w:space="0" w:color="auto"/>
              <w:right w:val="single" w:sz="2" w:space="0" w:color="auto"/>
            </w:tcBorders>
          </w:tcPr>
          <w:p w14:paraId="7DBE50DA" w14:textId="6765062D" w:rsidR="004334CE" w:rsidRPr="004F01E9" w:rsidRDefault="004334CE" w:rsidP="004334CE">
            <w:pPr>
              <w:rPr>
                <w:noProof/>
                <w:sz w:val="20"/>
                <w:szCs w:val="20"/>
              </w:rPr>
            </w:pPr>
            <w:r w:rsidRPr="004F01E9">
              <w:rPr>
                <w:noProof/>
                <w:sz w:val="20"/>
                <w:szCs w:val="20"/>
              </w:rPr>
              <w:t>5,0</w:t>
            </w:r>
            <w:r w:rsidR="004F01E9">
              <w:rPr>
                <w:noProof/>
                <w:sz w:val="20"/>
                <w:szCs w:val="20"/>
              </w:rPr>
              <w:t> %</w:t>
            </w:r>
          </w:p>
        </w:tc>
      </w:tr>
      <w:tr w:rsidR="004334CE" w:rsidRPr="004F01E9" w14:paraId="28B66A1B" w14:textId="77777777" w:rsidTr="004334CE">
        <w:trPr>
          <w:trHeight w:val="525"/>
          <w:jc w:val="center"/>
        </w:trPr>
        <w:tc>
          <w:tcPr>
            <w:tcW w:w="2482" w:type="dxa"/>
            <w:tcBorders>
              <w:top w:val="single" w:sz="2" w:space="0" w:color="auto"/>
              <w:left w:val="single" w:sz="2" w:space="0" w:color="auto"/>
              <w:bottom w:val="single" w:sz="2" w:space="0" w:color="auto"/>
              <w:right w:val="single" w:sz="2" w:space="0" w:color="auto"/>
            </w:tcBorders>
          </w:tcPr>
          <w:p w14:paraId="2D3BCDAF" w14:textId="77777777" w:rsidR="004334CE" w:rsidRPr="004F01E9" w:rsidRDefault="004334CE" w:rsidP="004334CE">
            <w:pPr>
              <w:rPr>
                <w:noProof/>
                <w:sz w:val="20"/>
                <w:szCs w:val="20"/>
              </w:rPr>
            </w:pPr>
            <w:r w:rsidRPr="004F01E9">
              <w:rPr>
                <w:noProof/>
                <w:color w:val="372F32"/>
                <w:sz w:val="20"/>
                <w:szCs w:val="20"/>
              </w:rPr>
              <w:t>Iný sektor</w:t>
            </w:r>
          </w:p>
        </w:tc>
        <w:tc>
          <w:tcPr>
            <w:tcW w:w="2482" w:type="dxa"/>
            <w:tcBorders>
              <w:top w:val="single" w:sz="2" w:space="0" w:color="auto"/>
              <w:left w:val="single" w:sz="2" w:space="0" w:color="auto"/>
              <w:bottom w:val="single" w:sz="2" w:space="0" w:color="auto"/>
              <w:right w:val="single" w:sz="2" w:space="0" w:color="auto"/>
            </w:tcBorders>
          </w:tcPr>
          <w:p w14:paraId="6A4E751C" w14:textId="1A36B1F2" w:rsidR="004334CE" w:rsidRPr="004F01E9" w:rsidRDefault="004334CE" w:rsidP="004334CE">
            <w:pPr>
              <w:rPr>
                <w:noProof/>
                <w:sz w:val="20"/>
                <w:szCs w:val="20"/>
              </w:rPr>
            </w:pPr>
            <w:r w:rsidRPr="004F01E9">
              <w:rPr>
                <w:noProof/>
                <w:sz w:val="20"/>
                <w:szCs w:val="20"/>
              </w:rPr>
              <w:t>5,0</w:t>
            </w:r>
            <w:r w:rsidR="004F01E9">
              <w:rPr>
                <w:noProof/>
                <w:sz w:val="20"/>
                <w:szCs w:val="20"/>
              </w:rPr>
              <w:t> %</w:t>
            </w:r>
          </w:p>
        </w:tc>
        <w:tc>
          <w:tcPr>
            <w:tcW w:w="1657" w:type="dxa"/>
            <w:tcBorders>
              <w:top w:val="single" w:sz="2" w:space="0" w:color="auto"/>
              <w:left w:val="single" w:sz="2" w:space="0" w:color="auto"/>
              <w:bottom w:val="single" w:sz="2" w:space="0" w:color="auto"/>
              <w:right w:val="single" w:sz="2" w:space="0" w:color="auto"/>
            </w:tcBorders>
          </w:tcPr>
          <w:p w14:paraId="5EEF9866" w14:textId="45C01B68" w:rsidR="004334CE" w:rsidRPr="004F01E9" w:rsidRDefault="004334CE" w:rsidP="004334CE">
            <w:pPr>
              <w:rPr>
                <w:noProof/>
                <w:sz w:val="20"/>
                <w:szCs w:val="20"/>
              </w:rPr>
            </w:pPr>
            <w:r w:rsidRPr="004F01E9">
              <w:rPr>
                <w:noProof/>
                <w:sz w:val="20"/>
                <w:szCs w:val="20"/>
              </w:rPr>
              <w:t>12,0</w:t>
            </w:r>
            <w:r w:rsidR="004F01E9">
              <w:rPr>
                <w:noProof/>
                <w:sz w:val="20"/>
                <w:szCs w:val="20"/>
              </w:rPr>
              <w:t> %</w:t>
            </w:r>
          </w:p>
        </w:tc>
      </w:tr>
    </w:tbl>
    <w:p w14:paraId="79115A9B" w14:textId="77777777" w:rsidR="004334CE" w:rsidRPr="004F01E9" w:rsidRDefault="004334CE" w:rsidP="00577021">
      <w:pPr>
        <w:pStyle w:val="Text1"/>
        <w:jc w:val="center"/>
        <w:rPr>
          <w:noProof/>
        </w:rPr>
      </w:pPr>
      <w:r w:rsidRPr="004F01E9">
        <w:rPr>
          <w:noProof/>
        </w:rPr>
        <w:t>Tabuľka 2</w:t>
      </w:r>
    </w:p>
    <w:tbl>
      <w:tblPr>
        <w:tblW w:w="6621" w:type="dxa"/>
        <w:jc w:val="center"/>
        <w:tblLayout w:type="fixed"/>
        <w:tblLook w:val="0000" w:firstRow="0" w:lastRow="0" w:firstColumn="0" w:lastColumn="0" w:noHBand="0" w:noVBand="0"/>
      </w:tblPr>
      <w:tblGrid>
        <w:gridCol w:w="3325"/>
        <w:gridCol w:w="3296"/>
      </w:tblGrid>
      <w:tr w:rsidR="004334CE" w:rsidRPr="004F01E9" w14:paraId="44716E90" w14:textId="77777777" w:rsidTr="004334CE">
        <w:trPr>
          <w:trHeight w:val="358"/>
          <w:jc w:val="center"/>
        </w:trPr>
        <w:tc>
          <w:tcPr>
            <w:tcW w:w="6621" w:type="dxa"/>
            <w:gridSpan w:val="2"/>
            <w:tcBorders>
              <w:top w:val="single" w:sz="2" w:space="0" w:color="auto"/>
              <w:left w:val="single" w:sz="2" w:space="0" w:color="auto"/>
              <w:bottom w:val="single" w:sz="2" w:space="0" w:color="auto"/>
              <w:right w:val="single" w:sz="2" w:space="0" w:color="auto"/>
            </w:tcBorders>
          </w:tcPr>
          <w:p w14:paraId="29CDF37B" w14:textId="757C6A8A" w:rsidR="004334CE" w:rsidRPr="004F01E9" w:rsidRDefault="004334CE" w:rsidP="004334CE">
            <w:pPr>
              <w:jc w:val="center"/>
              <w:rPr>
                <w:noProof/>
              </w:rPr>
            </w:pPr>
            <w:r w:rsidRPr="004F01E9">
              <w:rPr>
                <w:noProof/>
              </w:rPr>
              <w:t>Korelácie medzi kreditným rozpätím protistrany</w:t>
            </w:r>
            <w:r w:rsidR="004F01E9">
              <w:rPr>
                <w:noProof/>
              </w:rPr>
              <w:t xml:space="preserve"> a </w:t>
            </w:r>
            <w:r w:rsidRPr="004F01E9">
              <w:rPr>
                <w:noProof/>
              </w:rPr>
              <w:t>hedžingom zmierňujúcim kreditné riziko len jednej protistrany</w:t>
            </w:r>
          </w:p>
          <w:p w14:paraId="5D02833C" w14:textId="77777777" w:rsidR="004334CE" w:rsidRPr="004F01E9" w:rsidRDefault="004334CE" w:rsidP="004334CE">
            <w:pPr>
              <w:jc w:val="center"/>
              <w:rPr>
                <w:noProof/>
              </w:rPr>
            </w:pPr>
          </w:p>
        </w:tc>
      </w:tr>
      <w:tr w:rsidR="004334CE" w:rsidRPr="004F01E9" w14:paraId="5502D300" w14:textId="77777777" w:rsidTr="004334CE">
        <w:trPr>
          <w:trHeight w:val="526"/>
          <w:jc w:val="center"/>
        </w:trPr>
        <w:tc>
          <w:tcPr>
            <w:tcW w:w="3325" w:type="dxa"/>
            <w:tcBorders>
              <w:top w:val="single" w:sz="2" w:space="0" w:color="auto"/>
              <w:left w:val="single" w:sz="2" w:space="0" w:color="auto"/>
              <w:bottom w:val="single" w:sz="2" w:space="0" w:color="auto"/>
              <w:right w:val="single" w:sz="2" w:space="0" w:color="auto"/>
            </w:tcBorders>
          </w:tcPr>
          <w:p w14:paraId="4EAB5504" w14:textId="77777777" w:rsidR="004334CE" w:rsidRPr="004F01E9" w:rsidRDefault="004334CE" w:rsidP="004334CE">
            <w:pPr>
              <w:jc w:val="center"/>
              <w:rPr>
                <w:noProof/>
              </w:rPr>
            </w:pPr>
            <w:r w:rsidRPr="004F01E9">
              <w:rPr>
                <w:noProof/>
              </w:rPr>
              <w:t>Hedžing h len jednej protistrany i</w:t>
            </w:r>
          </w:p>
          <w:p w14:paraId="1DE957F7" w14:textId="77777777" w:rsidR="004334CE" w:rsidRPr="004F01E9" w:rsidRDefault="004334CE" w:rsidP="004334CE">
            <w:pPr>
              <w:jc w:val="center"/>
              <w:rPr>
                <w:noProof/>
                <w:color w:val="372F32"/>
              </w:rPr>
            </w:pPr>
          </w:p>
        </w:tc>
        <w:tc>
          <w:tcPr>
            <w:tcW w:w="3296" w:type="dxa"/>
            <w:tcBorders>
              <w:top w:val="single" w:sz="2" w:space="0" w:color="auto"/>
              <w:left w:val="single" w:sz="2" w:space="0" w:color="auto"/>
              <w:bottom w:val="single" w:sz="2" w:space="0" w:color="auto"/>
              <w:right w:val="single" w:sz="2" w:space="0" w:color="auto"/>
            </w:tcBorders>
          </w:tcPr>
          <w:p w14:paraId="1BE06C95" w14:textId="77777777" w:rsidR="004334CE" w:rsidRPr="004F01E9" w:rsidRDefault="004334CE" w:rsidP="004334CE">
            <w:pPr>
              <w:jc w:val="center"/>
              <w:rPr>
                <w:noProof/>
              </w:rPr>
            </w:pPr>
            <w:r w:rsidRPr="004F01E9">
              <w:rPr>
                <w:noProof/>
              </w:rPr>
              <w:t xml:space="preserve">Hodnota </w:t>
            </w:r>
            <w:r w:rsidRPr="004F01E9">
              <w:rPr>
                <w:noProof/>
                <w:color w:val="372F32"/>
              </w:rPr>
              <w:t>r</w:t>
            </w:r>
            <w:r w:rsidRPr="004F01E9">
              <w:rPr>
                <w:noProof/>
                <w:color w:val="372F32"/>
                <w:vertAlign w:val="subscript"/>
              </w:rPr>
              <w:t>hc</w:t>
            </w:r>
          </w:p>
          <w:p w14:paraId="0BB25F68" w14:textId="77777777" w:rsidR="004334CE" w:rsidRPr="004F01E9" w:rsidRDefault="004334CE" w:rsidP="004334CE">
            <w:pPr>
              <w:jc w:val="center"/>
              <w:rPr>
                <w:noProof/>
              </w:rPr>
            </w:pPr>
          </w:p>
        </w:tc>
      </w:tr>
      <w:tr w:rsidR="004334CE" w:rsidRPr="004F01E9" w14:paraId="4A08FB23" w14:textId="77777777" w:rsidTr="004334CE">
        <w:trPr>
          <w:trHeight w:val="288"/>
          <w:jc w:val="center"/>
        </w:trPr>
        <w:tc>
          <w:tcPr>
            <w:tcW w:w="3325" w:type="dxa"/>
            <w:tcBorders>
              <w:top w:val="single" w:sz="2" w:space="0" w:color="auto"/>
              <w:left w:val="single" w:sz="2" w:space="0" w:color="auto"/>
              <w:bottom w:val="single" w:sz="2" w:space="0" w:color="auto"/>
              <w:right w:val="single" w:sz="2" w:space="0" w:color="auto"/>
            </w:tcBorders>
          </w:tcPr>
          <w:p w14:paraId="68658602" w14:textId="43DD8F85" w:rsidR="004334CE" w:rsidRPr="004F01E9" w:rsidRDefault="004334CE" w:rsidP="004334CE">
            <w:pPr>
              <w:jc w:val="center"/>
              <w:rPr>
                <w:noProof/>
                <w:color w:val="372F32"/>
                <w:sz w:val="20"/>
                <w:szCs w:val="20"/>
              </w:rPr>
            </w:pPr>
            <w:r w:rsidRPr="004F01E9">
              <w:rPr>
                <w:noProof/>
                <w:color w:val="372F32"/>
                <w:sz w:val="20"/>
                <w:szCs w:val="20"/>
              </w:rPr>
              <w:t>Protistrany uvedené</w:t>
            </w:r>
            <w:r w:rsidR="004F01E9">
              <w:rPr>
                <w:noProof/>
                <w:color w:val="372F32"/>
                <w:sz w:val="20"/>
                <w:szCs w:val="20"/>
              </w:rPr>
              <w:t xml:space="preserve"> v </w:t>
            </w:r>
            <w:r w:rsidRPr="004F01E9">
              <w:rPr>
                <w:noProof/>
                <w:color w:val="372F32"/>
                <w:sz w:val="20"/>
                <w:szCs w:val="20"/>
              </w:rPr>
              <w:t>článku 386 ods. 3 písm. a) bode i)</w:t>
            </w:r>
          </w:p>
        </w:tc>
        <w:tc>
          <w:tcPr>
            <w:tcW w:w="3296" w:type="dxa"/>
            <w:tcBorders>
              <w:top w:val="single" w:sz="2" w:space="0" w:color="auto"/>
              <w:left w:val="single" w:sz="2" w:space="0" w:color="auto"/>
              <w:bottom w:val="single" w:sz="2" w:space="0" w:color="auto"/>
              <w:right w:val="single" w:sz="2" w:space="0" w:color="auto"/>
            </w:tcBorders>
          </w:tcPr>
          <w:p w14:paraId="19D2E0DB" w14:textId="66E5ABE4" w:rsidR="004334CE" w:rsidRPr="004F01E9" w:rsidRDefault="004334CE" w:rsidP="004334CE">
            <w:pPr>
              <w:jc w:val="center"/>
              <w:rPr>
                <w:noProof/>
              </w:rPr>
            </w:pPr>
            <w:r w:rsidRPr="004F01E9">
              <w:rPr>
                <w:noProof/>
              </w:rPr>
              <w:t>100</w:t>
            </w:r>
            <w:r w:rsidR="004F01E9">
              <w:rPr>
                <w:noProof/>
              </w:rPr>
              <w:t> %</w:t>
            </w:r>
          </w:p>
        </w:tc>
      </w:tr>
      <w:tr w:rsidR="004334CE" w:rsidRPr="004F01E9" w14:paraId="3AA42898" w14:textId="77777777" w:rsidTr="004334CE">
        <w:trPr>
          <w:trHeight w:val="502"/>
          <w:jc w:val="center"/>
        </w:trPr>
        <w:tc>
          <w:tcPr>
            <w:tcW w:w="3325" w:type="dxa"/>
            <w:tcBorders>
              <w:top w:val="single" w:sz="2" w:space="0" w:color="auto"/>
              <w:left w:val="single" w:sz="2" w:space="0" w:color="auto"/>
              <w:bottom w:val="single" w:sz="2" w:space="0" w:color="auto"/>
              <w:right w:val="single" w:sz="2" w:space="0" w:color="auto"/>
            </w:tcBorders>
          </w:tcPr>
          <w:p w14:paraId="559755CA" w14:textId="5F33EAB6" w:rsidR="004334CE" w:rsidRPr="004F01E9" w:rsidRDefault="004334CE" w:rsidP="004334CE">
            <w:pPr>
              <w:jc w:val="center"/>
              <w:rPr>
                <w:noProof/>
              </w:rPr>
            </w:pPr>
            <w:r w:rsidRPr="004F01E9">
              <w:rPr>
                <w:noProof/>
                <w:color w:val="372F32"/>
                <w:sz w:val="20"/>
                <w:szCs w:val="20"/>
              </w:rPr>
              <w:t>Protistrany uvedené</w:t>
            </w:r>
            <w:r w:rsidR="004F01E9">
              <w:rPr>
                <w:noProof/>
                <w:color w:val="372F32"/>
                <w:sz w:val="20"/>
                <w:szCs w:val="20"/>
              </w:rPr>
              <w:t xml:space="preserve"> v </w:t>
            </w:r>
            <w:r w:rsidRPr="004F01E9">
              <w:rPr>
                <w:noProof/>
                <w:color w:val="372F32"/>
                <w:sz w:val="20"/>
                <w:szCs w:val="20"/>
              </w:rPr>
              <w:t>článku 386 ods. 3 písm. a) bode ii)</w:t>
            </w:r>
          </w:p>
        </w:tc>
        <w:tc>
          <w:tcPr>
            <w:tcW w:w="3296" w:type="dxa"/>
            <w:tcBorders>
              <w:top w:val="single" w:sz="2" w:space="0" w:color="auto"/>
              <w:left w:val="single" w:sz="2" w:space="0" w:color="auto"/>
              <w:bottom w:val="single" w:sz="2" w:space="0" w:color="auto"/>
              <w:right w:val="single" w:sz="2" w:space="0" w:color="auto"/>
            </w:tcBorders>
          </w:tcPr>
          <w:p w14:paraId="29C30BB0" w14:textId="69DFE9AE" w:rsidR="004334CE" w:rsidRPr="004F01E9" w:rsidRDefault="004334CE" w:rsidP="004334CE">
            <w:pPr>
              <w:jc w:val="center"/>
              <w:rPr>
                <w:noProof/>
              </w:rPr>
            </w:pPr>
            <w:r w:rsidRPr="004F01E9">
              <w:rPr>
                <w:noProof/>
              </w:rPr>
              <w:t>80</w:t>
            </w:r>
            <w:r w:rsidR="004F01E9">
              <w:rPr>
                <w:noProof/>
              </w:rPr>
              <w:t> %</w:t>
            </w:r>
          </w:p>
        </w:tc>
      </w:tr>
      <w:tr w:rsidR="004334CE" w:rsidRPr="004F01E9" w14:paraId="1F5F23B1" w14:textId="77777777" w:rsidTr="004334CE">
        <w:trPr>
          <w:trHeight w:val="424"/>
          <w:jc w:val="center"/>
        </w:trPr>
        <w:tc>
          <w:tcPr>
            <w:tcW w:w="3325" w:type="dxa"/>
            <w:tcBorders>
              <w:top w:val="single" w:sz="2" w:space="0" w:color="auto"/>
              <w:left w:val="single" w:sz="2" w:space="0" w:color="auto"/>
              <w:bottom w:val="single" w:sz="2" w:space="0" w:color="auto"/>
              <w:right w:val="single" w:sz="2" w:space="0" w:color="auto"/>
            </w:tcBorders>
          </w:tcPr>
          <w:p w14:paraId="46B617E6" w14:textId="1A0B4156" w:rsidR="004334CE" w:rsidRPr="004F01E9" w:rsidRDefault="004334CE" w:rsidP="004334CE">
            <w:pPr>
              <w:jc w:val="center"/>
              <w:rPr>
                <w:noProof/>
              </w:rPr>
            </w:pPr>
            <w:r w:rsidRPr="004F01E9">
              <w:rPr>
                <w:noProof/>
                <w:color w:val="372F32"/>
                <w:sz w:val="20"/>
                <w:szCs w:val="20"/>
              </w:rPr>
              <w:t>Protistrany uvedené</w:t>
            </w:r>
            <w:r w:rsidR="004F01E9">
              <w:rPr>
                <w:noProof/>
                <w:color w:val="372F32"/>
                <w:sz w:val="20"/>
                <w:szCs w:val="20"/>
              </w:rPr>
              <w:t xml:space="preserve"> v </w:t>
            </w:r>
            <w:r w:rsidRPr="004F01E9">
              <w:rPr>
                <w:noProof/>
                <w:color w:val="372F32"/>
                <w:sz w:val="20"/>
                <w:szCs w:val="20"/>
              </w:rPr>
              <w:t>článku 386 ods. 3 písm. a) bode iii)</w:t>
            </w:r>
          </w:p>
        </w:tc>
        <w:tc>
          <w:tcPr>
            <w:tcW w:w="3296" w:type="dxa"/>
            <w:tcBorders>
              <w:top w:val="single" w:sz="2" w:space="0" w:color="auto"/>
              <w:left w:val="single" w:sz="2" w:space="0" w:color="auto"/>
              <w:bottom w:val="single" w:sz="2" w:space="0" w:color="auto"/>
              <w:right w:val="single" w:sz="2" w:space="0" w:color="auto"/>
            </w:tcBorders>
          </w:tcPr>
          <w:p w14:paraId="52BFB3BC" w14:textId="097568E5" w:rsidR="004334CE" w:rsidRPr="004F01E9" w:rsidRDefault="004334CE" w:rsidP="004334CE">
            <w:pPr>
              <w:jc w:val="center"/>
              <w:rPr>
                <w:noProof/>
              </w:rPr>
            </w:pPr>
            <w:r w:rsidRPr="004F01E9">
              <w:rPr>
                <w:noProof/>
              </w:rPr>
              <w:t>50</w:t>
            </w:r>
            <w:r w:rsidR="004F01E9">
              <w:rPr>
                <w:noProof/>
              </w:rPr>
              <w:t> %</w:t>
            </w:r>
          </w:p>
        </w:tc>
      </w:tr>
    </w:tbl>
    <w:p w14:paraId="1FE90276" w14:textId="0528565E" w:rsidR="004334CE" w:rsidRPr="004F01E9" w:rsidRDefault="004334CE" w:rsidP="004334CE">
      <w:pPr>
        <w:pStyle w:val="Text1"/>
        <w:rPr>
          <w:noProof/>
        </w:rPr>
      </w:pPr>
      <w:r w:rsidRPr="004F01E9">
        <w:rPr>
          <w:noProof/>
        </w:rPr>
        <w:t>2. Inštitúcia, ktorá spĺňa podmienku uvedenú</w:t>
      </w:r>
      <w:r w:rsidR="004F01E9">
        <w:rPr>
          <w:noProof/>
        </w:rPr>
        <w:t xml:space="preserve"> v </w:t>
      </w:r>
      <w:r w:rsidRPr="004F01E9">
        <w:rPr>
          <w:noProof/>
        </w:rPr>
        <w:t>odseku 1 písm. b), vypočítava požiadavky na vlastné zdroje pre riziká úpravy ocenenia pohľadávok takto:</w:t>
      </w:r>
    </w:p>
    <w:p w14:paraId="49103572" w14:textId="77777777" w:rsidR="004334CE" w:rsidRPr="004F01E9" w:rsidRDefault="00EE12EE" w:rsidP="00615061">
      <w:pPr>
        <w:pStyle w:val="Text1"/>
        <w:rPr>
          <w:noProof/>
          <w:color w:val="372F32"/>
        </w:rPr>
      </w:pPr>
      <m:oMathPara>
        <m:oMathParaPr>
          <m:jc m:val="center"/>
        </m:oMathParaPr>
        <m:oMath>
          <m:sSup>
            <m:sSupPr>
              <m:ctrlPr>
                <w:rPr>
                  <w:rFonts w:ascii="Cambria Math" w:hAnsi="Cambria Math"/>
                  <w:i/>
                  <w:noProof/>
                </w:rPr>
              </m:ctrlPr>
            </m:sSupPr>
            <m:e>
              <m:r>
                <w:rPr>
                  <w:rFonts w:ascii="Cambria Math" w:hAnsi="Cambria Math"/>
                  <w:noProof/>
                </w:rPr>
                <m:t>BACVA</m:t>
              </m:r>
            </m:e>
            <m:sup>
              <m:r>
                <w:rPr>
                  <w:rFonts w:ascii="Cambria Math" w:hAnsi="Cambria Math"/>
                  <w:noProof/>
                </w:rPr>
                <m:t>csr-unhedged</m:t>
              </m:r>
            </m:sup>
          </m:sSup>
          <m:r>
            <w:rPr>
              <w:rFonts w:ascii="Cambria Math" w:hAnsi="Cambria Math"/>
              <w:noProof/>
            </w:rPr>
            <m:t>=</m:t>
          </m:r>
          <m:rad>
            <m:radPr>
              <m:degHide m:val="1"/>
              <m:ctrlPr>
                <w:rPr>
                  <w:rFonts w:ascii="Cambria Math" w:hAnsi="Cambria Math"/>
                  <w:noProof/>
                  <w:sz w:val="20"/>
                  <w:szCs w:val="20"/>
                </w:rPr>
              </m:ctrlPr>
            </m:radPr>
            <m:deg/>
            <m:e>
              <m:sSup>
                <m:sSupPr>
                  <m:ctrlPr>
                    <w:rPr>
                      <w:rFonts w:ascii="Cambria Math" w:hAnsi="Cambria Math"/>
                      <w:noProof/>
                      <w:sz w:val="20"/>
                      <w:szCs w:val="20"/>
                    </w:rPr>
                  </m:ctrlPr>
                </m:sSupPr>
                <m:e>
                  <m:d>
                    <m:dPr>
                      <m:ctrlPr>
                        <w:rPr>
                          <w:rFonts w:ascii="Cambria Math" w:hAnsi="Cambria Math"/>
                          <w:noProof/>
                          <w:sz w:val="20"/>
                          <w:szCs w:val="20"/>
                        </w:rPr>
                      </m:ctrlPr>
                    </m:dPr>
                    <m:e>
                      <m:r>
                        <w:rPr>
                          <w:rFonts w:ascii="Cambria Math" w:hAnsi="Cambria Math"/>
                          <w:noProof/>
                          <w:sz w:val="20"/>
                          <w:szCs w:val="20"/>
                        </w:rPr>
                        <m:t>ρ</m:t>
                      </m:r>
                      <m:r>
                        <m:rPr>
                          <m:sty m:val="p"/>
                        </m:rPr>
                        <w:rPr>
                          <w:rFonts w:ascii="Cambria Math" w:eastAsiaTheme="minorEastAsia" w:hAnsi="Cambria Math"/>
                          <w:noProof/>
                          <w:sz w:val="20"/>
                          <w:szCs w:val="20"/>
                        </w:rPr>
                        <m:t>⋅</m:t>
                      </m:r>
                      <m:nary>
                        <m:naryPr>
                          <m:chr m:val="∑"/>
                          <m:limLoc m:val="undOvr"/>
                          <m:supHide m:val="1"/>
                          <m:ctrlPr>
                            <w:rPr>
                              <w:rFonts w:ascii="Cambria Math" w:hAnsi="Cambria Math"/>
                              <w:noProof/>
                              <w:sz w:val="20"/>
                              <w:szCs w:val="20"/>
                            </w:rPr>
                          </m:ctrlPr>
                        </m:naryPr>
                        <m:sub>
                          <m:r>
                            <w:rPr>
                              <w:rFonts w:ascii="Cambria Math" w:hAnsi="Cambria Math"/>
                              <w:noProof/>
                              <w:sz w:val="20"/>
                              <w:szCs w:val="20"/>
                            </w:rPr>
                            <m:t>c</m:t>
                          </m:r>
                        </m:sub>
                        <m:sup/>
                        <m:e>
                          <m:sSub>
                            <m:sSubPr>
                              <m:ctrlPr>
                                <w:rPr>
                                  <w:rFonts w:ascii="Cambria Math" w:hAnsi="Cambria Math"/>
                                  <w:i/>
                                  <w:noProof/>
                                  <w:sz w:val="20"/>
                                  <w:szCs w:val="20"/>
                                </w:rPr>
                              </m:ctrlPr>
                            </m:sSubPr>
                            <m:e>
                              <m:r>
                                <w:rPr>
                                  <w:rFonts w:ascii="Cambria Math" w:hAnsi="Cambria Math"/>
                                  <w:noProof/>
                                  <w:sz w:val="20"/>
                                  <w:szCs w:val="20"/>
                                </w:rPr>
                                <m:t>SCVA</m:t>
                              </m:r>
                            </m:e>
                            <m:sub>
                              <m:r>
                                <w:rPr>
                                  <w:rFonts w:ascii="Cambria Math" w:hAnsi="Cambria Math"/>
                                  <w:noProof/>
                                  <w:sz w:val="20"/>
                                  <w:szCs w:val="20"/>
                                </w:rPr>
                                <m:t>c</m:t>
                              </m:r>
                            </m:sub>
                          </m:sSub>
                        </m:e>
                      </m:nary>
                    </m:e>
                  </m:d>
                </m:e>
                <m:sup>
                  <m:r>
                    <m:rPr>
                      <m:sty m:val="p"/>
                    </m:rPr>
                    <w:rPr>
                      <w:rFonts w:ascii="Cambria Math" w:hAnsi="Cambria Math"/>
                      <w:noProof/>
                      <w:sz w:val="20"/>
                      <w:szCs w:val="20"/>
                    </w:rPr>
                    <m:t>2</m:t>
                  </m:r>
                </m:sup>
              </m:sSup>
              <m:r>
                <m:rPr>
                  <m:sty m:val="p"/>
                </m:rPr>
                <w:rPr>
                  <w:rFonts w:ascii="Cambria Math" w:eastAsiaTheme="minorEastAsia" w:hAnsi="Cambria Math"/>
                  <w:noProof/>
                  <w:sz w:val="20"/>
                  <w:szCs w:val="20"/>
                </w:rPr>
                <m:t>+</m:t>
              </m:r>
              <m:d>
                <m:dPr>
                  <m:ctrlPr>
                    <w:rPr>
                      <w:rFonts w:ascii="Cambria Math" w:eastAsiaTheme="minorEastAsia" w:hAnsi="Cambria Math"/>
                      <w:noProof/>
                      <w:sz w:val="20"/>
                      <w:szCs w:val="20"/>
                    </w:rPr>
                  </m:ctrlPr>
                </m:dPr>
                <m:e>
                  <m:sSup>
                    <m:sSupPr>
                      <m:ctrlPr>
                        <w:rPr>
                          <w:rFonts w:ascii="Cambria Math" w:eastAsiaTheme="minorEastAsia" w:hAnsi="Cambria Math"/>
                          <w:noProof/>
                          <w:sz w:val="20"/>
                          <w:szCs w:val="20"/>
                        </w:rPr>
                      </m:ctrlPr>
                    </m:sSupPr>
                    <m:e>
                      <m:r>
                        <m:rPr>
                          <m:sty m:val="p"/>
                        </m:rPr>
                        <w:rPr>
                          <w:rFonts w:ascii="Cambria Math" w:eastAsiaTheme="minorEastAsia" w:hAnsi="Cambria Math"/>
                          <w:noProof/>
                          <w:sz w:val="20"/>
                          <w:szCs w:val="20"/>
                        </w:rPr>
                        <m:t>1-</m:t>
                      </m:r>
                      <m:r>
                        <w:rPr>
                          <w:rFonts w:ascii="Cambria Math" w:eastAsiaTheme="minorEastAsia" w:hAnsi="Cambria Math"/>
                          <w:noProof/>
                          <w:sz w:val="20"/>
                          <w:szCs w:val="20"/>
                        </w:rPr>
                        <m:t>ρ</m:t>
                      </m:r>
                    </m:e>
                    <m:sup>
                      <m:r>
                        <m:rPr>
                          <m:sty m:val="p"/>
                        </m:rPr>
                        <w:rPr>
                          <w:rFonts w:ascii="Cambria Math" w:eastAsiaTheme="minorEastAsia" w:hAnsi="Cambria Math"/>
                          <w:noProof/>
                          <w:sz w:val="20"/>
                          <w:szCs w:val="20"/>
                        </w:rPr>
                        <m:t>2</m:t>
                      </m:r>
                    </m:sup>
                  </m:sSup>
                </m:e>
              </m:d>
              <m:r>
                <m:rPr>
                  <m:sty m:val="p"/>
                </m:rPr>
                <w:rPr>
                  <w:rFonts w:ascii="Cambria Math" w:eastAsiaTheme="minorEastAsia" w:hAnsi="Cambria Math"/>
                  <w:noProof/>
                  <w:sz w:val="20"/>
                  <w:szCs w:val="20"/>
                </w:rPr>
                <m:t>⋅</m:t>
              </m:r>
              <m:nary>
                <m:naryPr>
                  <m:chr m:val="∑"/>
                  <m:limLoc m:val="undOvr"/>
                  <m:supHide m:val="1"/>
                  <m:ctrlPr>
                    <w:rPr>
                      <w:rFonts w:ascii="Cambria Math" w:eastAsiaTheme="minorEastAsia" w:hAnsi="Cambria Math"/>
                      <w:noProof/>
                      <w:sz w:val="20"/>
                      <w:szCs w:val="20"/>
                    </w:rPr>
                  </m:ctrlPr>
                </m:naryPr>
                <m:sub>
                  <m:r>
                    <w:rPr>
                      <w:rFonts w:ascii="Cambria Math" w:eastAsiaTheme="minorEastAsia" w:hAnsi="Cambria Math"/>
                      <w:noProof/>
                      <w:sz w:val="20"/>
                      <w:szCs w:val="20"/>
                    </w:rPr>
                    <m:t>c</m:t>
                  </m:r>
                </m:sub>
                <m:sup/>
                <m:e>
                  <m:sSubSup>
                    <m:sSubSupPr>
                      <m:ctrlPr>
                        <w:rPr>
                          <w:rFonts w:ascii="Cambria Math" w:eastAsiaTheme="minorEastAsia" w:hAnsi="Cambria Math"/>
                          <w:i/>
                          <w:noProof/>
                          <w:sz w:val="20"/>
                          <w:szCs w:val="20"/>
                        </w:rPr>
                      </m:ctrlPr>
                    </m:sSubSupPr>
                    <m:e>
                      <m:r>
                        <w:rPr>
                          <w:rFonts w:ascii="Cambria Math" w:eastAsiaTheme="minorEastAsia" w:hAnsi="Cambria Math"/>
                          <w:noProof/>
                          <w:sz w:val="20"/>
                          <w:szCs w:val="20"/>
                        </w:rPr>
                        <m:t>SCVA</m:t>
                      </m:r>
                    </m:e>
                    <m:sub>
                      <m:r>
                        <w:rPr>
                          <w:rFonts w:ascii="Cambria Math" w:eastAsiaTheme="minorEastAsia" w:hAnsi="Cambria Math"/>
                          <w:noProof/>
                          <w:sz w:val="20"/>
                          <w:szCs w:val="20"/>
                        </w:rPr>
                        <m:t>c</m:t>
                      </m:r>
                    </m:sub>
                    <m:sup>
                      <m:r>
                        <w:rPr>
                          <w:rFonts w:ascii="Cambria Math" w:eastAsiaTheme="minorEastAsia" w:hAnsi="Cambria Math"/>
                          <w:noProof/>
                          <w:sz w:val="20"/>
                          <w:szCs w:val="20"/>
                        </w:rPr>
                        <m:t>2</m:t>
                      </m:r>
                    </m:sup>
                  </m:sSubSup>
                </m:e>
              </m:nary>
            </m:e>
          </m:rad>
        </m:oMath>
      </m:oMathPara>
    </w:p>
    <w:p w14:paraId="0DDF2252" w14:textId="6AF0C187" w:rsidR="004334CE" w:rsidRPr="004F01E9" w:rsidRDefault="004334CE" w:rsidP="004334CE">
      <w:pPr>
        <w:pStyle w:val="Text1"/>
        <w:rPr>
          <w:i/>
          <w:noProof/>
        </w:rPr>
      </w:pPr>
      <w:r w:rsidRPr="004F01E9">
        <w:rPr>
          <w:noProof/>
        </w:rPr>
        <w:t>ak sú všetky podmienky stanovené</w:t>
      </w:r>
      <w:r w:rsidR="004F01E9">
        <w:rPr>
          <w:noProof/>
        </w:rPr>
        <w:t xml:space="preserve"> v </w:t>
      </w:r>
      <w:r w:rsidRPr="004F01E9">
        <w:rPr>
          <w:noProof/>
        </w:rPr>
        <w:t>odseku 2.</w:t>
      </w:r>
    </w:p>
    <w:p w14:paraId="44345757" w14:textId="05AF3FE5" w:rsidR="004334CE" w:rsidRPr="004F01E9" w:rsidRDefault="004334CE" w:rsidP="004334CE">
      <w:pPr>
        <w:pStyle w:val="Titrearticle"/>
        <w:rPr>
          <w:noProof/>
        </w:rPr>
      </w:pPr>
      <w:r w:rsidRPr="004F01E9">
        <w:rPr>
          <w:noProof/>
        </w:rPr>
        <w:t>Článok 385</w:t>
      </w:r>
      <w:r w:rsidR="004F01E9" w:rsidRPr="004F01E9">
        <w:rPr>
          <w:noProof/>
        </w:rPr>
        <w:t xml:space="preserve"> </w:t>
      </w:r>
      <w:r w:rsidRPr="004F01E9">
        <w:rPr>
          <w:noProof/>
        </w:rPr>
        <w:br/>
      </w:r>
      <w:r w:rsidRPr="004F01E9">
        <w:rPr>
          <w:b/>
          <w:i w:val="0"/>
          <w:noProof/>
        </w:rPr>
        <w:t>Zjednodušený prístup</w:t>
      </w:r>
    </w:p>
    <w:p w14:paraId="27077D3F" w14:textId="257FC08A" w:rsidR="004334CE" w:rsidRPr="004F01E9" w:rsidRDefault="004334CE" w:rsidP="004334CE">
      <w:pPr>
        <w:pStyle w:val="Text1"/>
        <w:rPr>
          <w:noProof/>
        </w:rPr>
      </w:pPr>
      <w:r w:rsidRPr="004F01E9">
        <w:rPr>
          <w:noProof/>
        </w:rPr>
        <w:t>1. Inštitúcia, ktorá spĺňa všetky podmienky stanovené</w:t>
      </w:r>
      <w:r w:rsidR="004F01E9">
        <w:rPr>
          <w:noProof/>
        </w:rPr>
        <w:t xml:space="preserve"> v </w:t>
      </w:r>
      <w:r w:rsidRPr="004F01E9">
        <w:rPr>
          <w:noProof/>
        </w:rPr>
        <w:t>článku 273a ods. 2, môže vypočítať požiadavky na vlastné zdroje pre riziko úpravy ocenenia pohľadávok ako hodnoty rizikovo vážených expozícií pre riziko protistrany pre pozície</w:t>
      </w:r>
      <w:r w:rsidR="004F01E9">
        <w:rPr>
          <w:noProof/>
        </w:rPr>
        <w:t xml:space="preserve"> v </w:t>
      </w:r>
      <w:r w:rsidRPr="004F01E9">
        <w:rPr>
          <w:noProof/>
        </w:rPr>
        <w:t>neobchodnej knihe, resp. pozície</w:t>
      </w:r>
      <w:r w:rsidR="004F01E9">
        <w:rPr>
          <w:noProof/>
        </w:rPr>
        <w:t xml:space="preserve"> v </w:t>
      </w:r>
      <w:r w:rsidRPr="004F01E9">
        <w:rPr>
          <w:noProof/>
        </w:rPr>
        <w:t>obchodnej knihe uvedené</w:t>
      </w:r>
      <w:r w:rsidR="004F01E9">
        <w:rPr>
          <w:noProof/>
        </w:rPr>
        <w:t xml:space="preserve"> v </w:t>
      </w:r>
      <w:r w:rsidRPr="004F01E9">
        <w:rPr>
          <w:noProof/>
        </w:rPr>
        <w:t>článku 92 ods. 3 písm. a)</w:t>
      </w:r>
      <w:r w:rsidR="004F01E9">
        <w:rPr>
          <w:noProof/>
        </w:rPr>
        <w:t xml:space="preserve"> a </w:t>
      </w:r>
      <w:r w:rsidRPr="004F01E9">
        <w:rPr>
          <w:noProof/>
        </w:rPr>
        <w:t>f) vydelené 12,5.</w:t>
      </w:r>
    </w:p>
    <w:p w14:paraId="655CAF27" w14:textId="62203658" w:rsidR="004334CE" w:rsidRPr="004F01E9" w:rsidRDefault="004334CE" w:rsidP="004334CE">
      <w:pPr>
        <w:pStyle w:val="Text1"/>
        <w:rPr>
          <w:noProof/>
        </w:rPr>
      </w:pPr>
      <w:r w:rsidRPr="004F01E9">
        <w:rPr>
          <w:noProof/>
        </w:rPr>
        <w:t>2. Na účely výpočtu uvedeného</w:t>
      </w:r>
      <w:r w:rsidR="004F01E9">
        <w:rPr>
          <w:noProof/>
        </w:rPr>
        <w:t xml:space="preserve"> v </w:t>
      </w:r>
      <w:r w:rsidRPr="004F01E9">
        <w:rPr>
          <w:noProof/>
        </w:rPr>
        <w:t>odseku 1 sa uplatňujú tieto požiadavky:</w:t>
      </w:r>
    </w:p>
    <w:p w14:paraId="2FB86022" w14:textId="72A5EDC0" w:rsidR="004334CE" w:rsidRPr="004F01E9" w:rsidRDefault="004334CE" w:rsidP="004334CE">
      <w:pPr>
        <w:pStyle w:val="Point1"/>
        <w:rPr>
          <w:noProof/>
        </w:rPr>
      </w:pPr>
      <w:r w:rsidRPr="004F01E9">
        <w:rPr>
          <w:noProof/>
        </w:rPr>
        <w:t>a)</w:t>
      </w:r>
      <w:r w:rsidRPr="004F01E9">
        <w:rPr>
          <w:noProof/>
        </w:rPr>
        <w:tab/>
        <w:t>tomuto výpočtu podliehajú len transakcie, na ktoré sa vzťahujú požiadavky na vlastné zdroje pre riziko úpravy ocenenia pohľadávok stanovené</w:t>
      </w:r>
      <w:r w:rsidR="004F01E9">
        <w:rPr>
          <w:noProof/>
        </w:rPr>
        <w:t xml:space="preserve"> v </w:t>
      </w:r>
      <w:r w:rsidRPr="004F01E9">
        <w:rPr>
          <w:noProof/>
        </w:rPr>
        <w:t>článku 382;</w:t>
      </w:r>
    </w:p>
    <w:p w14:paraId="4F4CC095" w14:textId="77777777" w:rsidR="004334CE" w:rsidRPr="004F01E9" w:rsidRDefault="004334CE" w:rsidP="004334CE">
      <w:pPr>
        <w:pStyle w:val="Point1"/>
        <w:rPr>
          <w:noProof/>
        </w:rPr>
      </w:pPr>
      <w:r w:rsidRPr="004F01E9">
        <w:rPr>
          <w:noProof/>
        </w:rPr>
        <w:t>b)</w:t>
      </w:r>
      <w:r w:rsidRPr="004F01E9">
        <w:rPr>
          <w:noProof/>
        </w:rPr>
        <w:tab/>
        <w:t>kreditné deriváty, ktoré sú uznané ako interné hedžingy proti expozíciám voči riziku protistrany, sa do tohto výpočtu nezahŕňajú.</w:t>
      </w:r>
    </w:p>
    <w:p w14:paraId="5F7614A7" w14:textId="155DA6F1" w:rsidR="00806B81" w:rsidRPr="004F01E9" w:rsidRDefault="004334CE" w:rsidP="004334CE">
      <w:pPr>
        <w:pStyle w:val="Text1"/>
        <w:rPr>
          <w:noProof/>
        </w:rPr>
      </w:pPr>
      <w:r w:rsidRPr="004F01E9">
        <w:rPr>
          <w:noProof/>
        </w:rPr>
        <w:t>3. Inštitúcia, ktorá už nespĺňa jednu alebo viac podmienok stanovených</w:t>
      </w:r>
      <w:r w:rsidR="004F01E9">
        <w:rPr>
          <w:noProof/>
        </w:rPr>
        <w:t xml:space="preserve"> v </w:t>
      </w:r>
      <w:r w:rsidRPr="004F01E9">
        <w:rPr>
          <w:noProof/>
        </w:rPr>
        <w:t>článku 273a ods. 2, musí spĺňať požiadavky stanovené</w:t>
      </w:r>
      <w:r w:rsidR="004F01E9">
        <w:rPr>
          <w:noProof/>
        </w:rPr>
        <w:t xml:space="preserve"> v </w:t>
      </w:r>
      <w:r w:rsidRPr="004F01E9">
        <w:rPr>
          <w:noProof/>
        </w:rPr>
        <w:t>článku 273b.</w:t>
      </w:r>
    </w:p>
    <w:p w14:paraId="5D3F8E0A" w14:textId="1B246CFE" w:rsidR="004334CE" w:rsidRPr="004F01E9" w:rsidRDefault="004334CE" w:rsidP="00615061">
      <w:pPr>
        <w:pStyle w:val="Titrearticle"/>
        <w:rPr>
          <w:noProof/>
        </w:rPr>
      </w:pPr>
      <w:r w:rsidRPr="004F01E9">
        <w:rPr>
          <w:noProof/>
        </w:rPr>
        <w:t xml:space="preserve">Článok 386 </w:t>
      </w:r>
      <w:r w:rsidRPr="004F01E9">
        <w:rPr>
          <w:noProof/>
        </w:rPr>
        <w:br/>
      </w:r>
      <w:r w:rsidRPr="004F01E9">
        <w:rPr>
          <w:b/>
          <w:i w:val="0"/>
          <w:noProof/>
        </w:rPr>
        <w:t>Prípustné hedžingy</w:t>
      </w:r>
    </w:p>
    <w:p w14:paraId="1ADB1266" w14:textId="701F2828" w:rsidR="00806B81" w:rsidRPr="004F01E9" w:rsidRDefault="004334CE" w:rsidP="004334CE">
      <w:pPr>
        <w:pStyle w:val="Text1"/>
        <w:rPr>
          <w:noProof/>
        </w:rPr>
      </w:pPr>
      <w:r w:rsidRPr="004F01E9">
        <w:rPr>
          <w:noProof/>
        </w:rPr>
        <w:t>1. Pozície</w:t>
      </w:r>
      <w:r w:rsidR="004F01E9">
        <w:rPr>
          <w:noProof/>
        </w:rPr>
        <w:t xml:space="preserve"> v </w:t>
      </w:r>
      <w:r w:rsidRPr="004F01E9">
        <w:rPr>
          <w:noProof/>
        </w:rPr>
        <w:t>hedžingových nástrojoch sa vykazujú ako „prípustné hedžingy“ na výpočet požiadaviek na vlastné zdroje pre riziko úpravy ocenenia pohľadávok</w:t>
      </w:r>
      <w:r w:rsidR="004F01E9">
        <w:rPr>
          <w:noProof/>
        </w:rPr>
        <w:t xml:space="preserve"> v </w:t>
      </w:r>
      <w:r w:rsidRPr="004F01E9">
        <w:rPr>
          <w:noProof/>
        </w:rPr>
        <w:t>súlade</w:t>
      </w:r>
      <w:r w:rsidR="004F01E9">
        <w:rPr>
          <w:noProof/>
        </w:rPr>
        <w:t xml:space="preserve"> s </w:t>
      </w:r>
      <w:r w:rsidRPr="004F01E9">
        <w:rPr>
          <w:noProof/>
        </w:rPr>
        <w:t>článkami 383</w:t>
      </w:r>
      <w:r w:rsidR="004F01E9">
        <w:rPr>
          <w:noProof/>
        </w:rPr>
        <w:t xml:space="preserve"> a </w:t>
      </w:r>
      <w:r w:rsidRPr="004F01E9">
        <w:rPr>
          <w:noProof/>
        </w:rPr>
        <w:t>384, ak tieto pozície spĺňajú všetky tieto požiadavky:</w:t>
      </w:r>
    </w:p>
    <w:p w14:paraId="2797EBFD" w14:textId="2088B116" w:rsidR="004334CE" w:rsidRPr="004F01E9" w:rsidRDefault="004334CE" w:rsidP="004334CE">
      <w:pPr>
        <w:pStyle w:val="Point1"/>
        <w:rPr>
          <w:noProof/>
        </w:rPr>
      </w:pPr>
      <w:r w:rsidRPr="004F01E9">
        <w:rPr>
          <w:noProof/>
        </w:rPr>
        <w:t>a)</w:t>
      </w:r>
      <w:r w:rsidRPr="004F01E9">
        <w:rPr>
          <w:noProof/>
        </w:rPr>
        <w:tab/>
        <w:t>tieto pozície sa používajú na účely zmiernenia rizika úpravy ocenenia pohľadávok</w:t>
      </w:r>
      <w:r w:rsidR="004F01E9">
        <w:rPr>
          <w:noProof/>
        </w:rPr>
        <w:t xml:space="preserve"> a </w:t>
      </w:r>
      <w:r w:rsidRPr="004F01E9">
        <w:rPr>
          <w:noProof/>
        </w:rPr>
        <w:t>ako také sa spravujú;</w:t>
      </w:r>
    </w:p>
    <w:p w14:paraId="0A451D5C" w14:textId="1CF73ADC" w:rsidR="004334CE" w:rsidRPr="004F01E9" w:rsidRDefault="004334CE" w:rsidP="004334CE">
      <w:pPr>
        <w:pStyle w:val="Point1"/>
        <w:rPr>
          <w:noProof/>
        </w:rPr>
      </w:pPr>
      <w:r w:rsidRPr="004F01E9">
        <w:rPr>
          <w:noProof/>
        </w:rPr>
        <w:t>b)</w:t>
      </w:r>
      <w:r w:rsidRPr="004F01E9">
        <w:rPr>
          <w:noProof/>
        </w:rPr>
        <w:tab/>
        <w:t>do týchto pozícií sa môže vstupovať</w:t>
      </w:r>
      <w:r w:rsidR="004F01E9">
        <w:rPr>
          <w:noProof/>
        </w:rPr>
        <w:t xml:space="preserve"> s </w:t>
      </w:r>
      <w:r w:rsidRPr="004F01E9">
        <w:rPr>
          <w:noProof/>
        </w:rPr>
        <w:t>tretími stranami alebo</w:t>
      </w:r>
      <w:r w:rsidR="004F01E9">
        <w:rPr>
          <w:noProof/>
        </w:rPr>
        <w:t xml:space="preserve"> s </w:t>
      </w:r>
      <w:r w:rsidRPr="004F01E9">
        <w:rPr>
          <w:noProof/>
        </w:rPr>
        <w:t>obchodnou knihou inštitúcie ako interný hedžing, pričom</w:t>
      </w:r>
      <w:r w:rsidR="004F01E9">
        <w:rPr>
          <w:noProof/>
        </w:rPr>
        <w:t xml:space="preserve"> v </w:t>
      </w:r>
      <w:r w:rsidRPr="004F01E9">
        <w:rPr>
          <w:noProof/>
        </w:rPr>
        <w:t>takom prípade musia spĺňať požiadavku stanovenú</w:t>
      </w:r>
      <w:r w:rsidR="004F01E9">
        <w:rPr>
          <w:noProof/>
        </w:rPr>
        <w:t xml:space="preserve"> v </w:t>
      </w:r>
      <w:r w:rsidRPr="004F01E9">
        <w:rPr>
          <w:noProof/>
        </w:rPr>
        <w:t>článku 106 ods. 7;</w:t>
      </w:r>
    </w:p>
    <w:p w14:paraId="3E090DC5" w14:textId="24FE0F1C" w:rsidR="00806B81" w:rsidRPr="004F01E9" w:rsidRDefault="004334CE" w:rsidP="004334CE">
      <w:pPr>
        <w:pStyle w:val="Point1"/>
        <w:rPr>
          <w:noProof/>
        </w:rPr>
      </w:pPr>
      <w:r w:rsidRPr="004F01E9">
        <w:rPr>
          <w:noProof/>
        </w:rPr>
        <w:t>c)</w:t>
      </w:r>
      <w:r w:rsidRPr="004F01E9">
        <w:rPr>
          <w:noProof/>
        </w:rPr>
        <w:tab/>
        <w:t>iba pozície</w:t>
      </w:r>
      <w:r w:rsidR="004F01E9">
        <w:rPr>
          <w:noProof/>
        </w:rPr>
        <w:t xml:space="preserve"> v </w:t>
      </w:r>
      <w:r w:rsidRPr="004F01E9">
        <w:rPr>
          <w:noProof/>
        </w:rPr>
        <w:t>hedžingových nástrojoch uvedené</w:t>
      </w:r>
      <w:r w:rsidR="004F01E9">
        <w:rPr>
          <w:noProof/>
        </w:rPr>
        <w:t xml:space="preserve"> v </w:t>
      </w:r>
      <w:r w:rsidRPr="004F01E9">
        <w:rPr>
          <w:noProof/>
        </w:rPr>
        <w:t>odsekoch 2</w:t>
      </w:r>
      <w:r w:rsidR="004F01E9">
        <w:rPr>
          <w:noProof/>
        </w:rPr>
        <w:t xml:space="preserve"> a </w:t>
      </w:r>
      <w:r w:rsidRPr="004F01E9">
        <w:rPr>
          <w:noProof/>
        </w:rPr>
        <w:t>3 sa môžu uznať za prípustné hedžingy na výpočet požiadaviek na vlastné zdroje pre riziká úpravy ocenenia pohľadávok</w:t>
      </w:r>
      <w:r w:rsidR="004F01E9">
        <w:rPr>
          <w:noProof/>
        </w:rPr>
        <w:t xml:space="preserve"> v </w:t>
      </w:r>
      <w:r w:rsidRPr="004F01E9">
        <w:rPr>
          <w:noProof/>
        </w:rPr>
        <w:t>súlade</w:t>
      </w:r>
      <w:r w:rsidR="004F01E9">
        <w:rPr>
          <w:noProof/>
        </w:rPr>
        <w:t xml:space="preserve"> s </w:t>
      </w:r>
      <w:r w:rsidRPr="004F01E9">
        <w:rPr>
          <w:noProof/>
        </w:rPr>
        <w:t>článkami 383</w:t>
      </w:r>
      <w:r w:rsidR="004F01E9">
        <w:rPr>
          <w:noProof/>
        </w:rPr>
        <w:t xml:space="preserve"> a </w:t>
      </w:r>
      <w:r w:rsidRPr="004F01E9">
        <w:rPr>
          <w:noProof/>
        </w:rPr>
        <w:t>384;</w:t>
      </w:r>
    </w:p>
    <w:p w14:paraId="1DBDB9A7" w14:textId="4046A4CE" w:rsidR="00806B81" w:rsidRPr="004F01E9" w:rsidRDefault="004334CE" w:rsidP="004334CE">
      <w:pPr>
        <w:pStyle w:val="Point1"/>
        <w:rPr>
          <w:noProof/>
        </w:rPr>
      </w:pPr>
      <w:r w:rsidRPr="004F01E9">
        <w:rPr>
          <w:noProof/>
        </w:rPr>
        <w:t>d)</w:t>
      </w:r>
      <w:r w:rsidRPr="004F01E9">
        <w:rPr>
          <w:noProof/>
        </w:rPr>
        <w:tab/>
        <w:t>daný hedžingový nástroj tvorí jedinú pozíciu</w:t>
      </w:r>
      <w:r w:rsidR="004F01E9">
        <w:rPr>
          <w:noProof/>
        </w:rPr>
        <w:t xml:space="preserve"> v </w:t>
      </w:r>
      <w:r w:rsidRPr="004F01E9">
        <w:rPr>
          <w:noProof/>
        </w:rPr>
        <w:t>prípustnom hedžingu</w:t>
      </w:r>
      <w:r w:rsidR="004F01E9">
        <w:rPr>
          <w:noProof/>
        </w:rPr>
        <w:t xml:space="preserve"> a </w:t>
      </w:r>
      <w:r w:rsidRPr="004F01E9">
        <w:rPr>
          <w:noProof/>
        </w:rPr>
        <w:t>nemožno ho rozdeliť na viac ako jednu pozíciu vo viac ako jednom prípustnom hedžingu.</w:t>
      </w:r>
    </w:p>
    <w:p w14:paraId="39110E8D" w14:textId="0AF7F593" w:rsidR="00806B81" w:rsidRPr="004F01E9" w:rsidRDefault="004334CE" w:rsidP="004334CE">
      <w:pPr>
        <w:pStyle w:val="Text1"/>
        <w:rPr>
          <w:noProof/>
        </w:rPr>
      </w:pPr>
      <w:r w:rsidRPr="004F01E9">
        <w:rPr>
          <w:noProof/>
        </w:rPr>
        <w:t>2. Na výpočet požiadaviek na vlastné zdroje pre riziko úpravy ocenenia pohľadávok</w:t>
      </w:r>
      <w:r w:rsidR="004F01E9">
        <w:rPr>
          <w:noProof/>
        </w:rPr>
        <w:t xml:space="preserve"> v </w:t>
      </w:r>
      <w:r w:rsidRPr="004F01E9">
        <w:rPr>
          <w:noProof/>
        </w:rPr>
        <w:t>súlade</w:t>
      </w:r>
      <w:r w:rsidR="004F01E9">
        <w:rPr>
          <w:noProof/>
        </w:rPr>
        <w:t xml:space="preserve"> s </w:t>
      </w:r>
      <w:r w:rsidRPr="004F01E9">
        <w:rPr>
          <w:noProof/>
        </w:rPr>
        <w:t>článkom 383 sa ako prípustné hedžingy vykazujú len pozície</w:t>
      </w:r>
      <w:r w:rsidR="004F01E9">
        <w:rPr>
          <w:noProof/>
        </w:rPr>
        <w:t xml:space="preserve"> v </w:t>
      </w:r>
      <w:r w:rsidRPr="004F01E9">
        <w:rPr>
          <w:noProof/>
        </w:rPr>
        <w:t>týchto hedžingových nástrojoch:</w:t>
      </w:r>
    </w:p>
    <w:p w14:paraId="78D13C99" w14:textId="142C8D1B" w:rsidR="00806B81" w:rsidRPr="004F01E9" w:rsidRDefault="004334CE" w:rsidP="004334CE">
      <w:pPr>
        <w:pStyle w:val="Point1"/>
        <w:rPr>
          <w:noProof/>
        </w:rPr>
      </w:pPr>
      <w:r w:rsidRPr="004F01E9">
        <w:rPr>
          <w:noProof/>
        </w:rPr>
        <w:t>a)</w:t>
      </w:r>
      <w:r w:rsidRPr="004F01E9">
        <w:rPr>
          <w:noProof/>
        </w:rPr>
        <w:tab/>
        <w:t>nástroje, ktoré zabezpečujú variabilitu kreditného rozpätia protistrany,</w:t>
      </w:r>
      <w:r w:rsidR="004F01E9">
        <w:rPr>
          <w:noProof/>
        </w:rPr>
        <w:t xml:space="preserve"> s </w:t>
      </w:r>
      <w:r w:rsidRPr="004F01E9">
        <w:rPr>
          <w:noProof/>
        </w:rPr>
        <w:t>výnimkou nástrojov uvedených</w:t>
      </w:r>
      <w:r w:rsidR="004F01E9">
        <w:rPr>
          <w:noProof/>
        </w:rPr>
        <w:t xml:space="preserve"> v </w:t>
      </w:r>
      <w:r w:rsidRPr="004F01E9">
        <w:rPr>
          <w:noProof/>
        </w:rPr>
        <w:t>článku 325 ods. 5;</w:t>
      </w:r>
    </w:p>
    <w:p w14:paraId="269F4F7E" w14:textId="5B9D8E8D" w:rsidR="004334CE" w:rsidRPr="004F01E9" w:rsidRDefault="004334CE" w:rsidP="004334CE">
      <w:pPr>
        <w:pStyle w:val="Point1"/>
        <w:rPr>
          <w:noProof/>
        </w:rPr>
      </w:pPr>
      <w:r w:rsidRPr="004F01E9">
        <w:rPr>
          <w:noProof/>
        </w:rPr>
        <w:t>b)</w:t>
      </w:r>
      <w:r w:rsidRPr="004F01E9">
        <w:rPr>
          <w:noProof/>
        </w:rPr>
        <w:tab/>
        <w:t>nástroje, ktoré zabezpečujú variabilitu zložky expozície rizika úpravy ocenenia pohľadávok,</w:t>
      </w:r>
      <w:r w:rsidR="004F01E9">
        <w:rPr>
          <w:noProof/>
        </w:rPr>
        <w:t xml:space="preserve"> s </w:t>
      </w:r>
      <w:r w:rsidRPr="004F01E9">
        <w:rPr>
          <w:noProof/>
        </w:rPr>
        <w:t>výnimkou nástrojov uvedených</w:t>
      </w:r>
      <w:r w:rsidR="004F01E9">
        <w:rPr>
          <w:noProof/>
        </w:rPr>
        <w:t xml:space="preserve"> v </w:t>
      </w:r>
      <w:r w:rsidRPr="004F01E9">
        <w:rPr>
          <w:noProof/>
        </w:rPr>
        <w:t>článku 325 ods. 5.</w:t>
      </w:r>
    </w:p>
    <w:p w14:paraId="1637A774" w14:textId="24D1F22B" w:rsidR="00806B81" w:rsidRPr="004F01E9" w:rsidRDefault="004334CE" w:rsidP="004334CE">
      <w:pPr>
        <w:pStyle w:val="Text1"/>
        <w:rPr>
          <w:noProof/>
        </w:rPr>
      </w:pPr>
      <w:r w:rsidRPr="004F01E9">
        <w:rPr>
          <w:noProof/>
        </w:rPr>
        <w:t>3. Na výpočet požiadaviek na vlastné zdroje pre riziko úpravy ocenenia pohľadávok</w:t>
      </w:r>
      <w:r w:rsidR="004F01E9">
        <w:rPr>
          <w:noProof/>
        </w:rPr>
        <w:t xml:space="preserve"> v </w:t>
      </w:r>
      <w:r w:rsidRPr="004F01E9">
        <w:rPr>
          <w:noProof/>
        </w:rPr>
        <w:t>súlade</w:t>
      </w:r>
      <w:r w:rsidR="004F01E9">
        <w:rPr>
          <w:noProof/>
        </w:rPr>
        <w:t xml:space="preserve"> s </w:t>
      </w:r>
      <w:r w:rsidRPr="004F01E9">
        <w:rPr>
          <w:noProof/>
        </w:rPr>
        <w:t>článkom 384 sa ako prípustné hedžingy vykazujú len pozície</w:t>
      </w:r>
      <w:r w:rsidR="004F01E9">
        <w:rPr>
          <w:noProof/>
        </w:rPr>
        <w:t xml:space="preserve"> v </w:t>
      </w:r>
      <w:r w:rsidRPr="004F01E9">
        <w:rPr>
          <w:noProof/>
        </w:rPr>
        <w:t>týchto hedžingových nástrojoch:</w:t>
      </w:r>
    </w:p>
    <w:p w14:paraId="7DA3A6D4" w14:textId="701D2EF3" w:rsidR="00806B81" w:rsidRPr="004F01E9" w:rsidRDefault="004334CE" w:rsidP="004334CE">
      <w:pPr>
        <w:pStyle w:val="Point1"/>
        <w:rPr>
          <w:noProof/>
        </w:rPr>
      </w:pPr>
      <w:r w:rsidRPr="004F01E9">
        <w:rPr>
          <w:noProof/>
        </w:rPr>
        <w:t>a)</w:t>
      </w:r>
      <w:r w:rsidRPr="004F01E9">
        <w:rPr>
          <w:noProof/>
        </w:rPr>
        <w:tab/>
        <w:t>swapy na kreditné zlyhanie zmierňujúce kreditné riziko len jednej protistrany</w:t>
      </w:r>
      <w:r w:rsidR="004F01E9">
        <w:rPr>
          <w:noProof/>
        </w:rPr>
        <w:t xml:space="preserve"> a </w:t>
      </w:r>
      <w:r w:rsidRPr="004F01E9">
        <w:rPr>
          <w:noProof/>
        </w:rPr>
        <w:t>podmienené swapy na kreditné zlyhanie zmierňujúce kreditné riziko len jednej protistrany,</w:t>
      </w:r>
      <w:r w:rsidR="004F01E9">
        <w:rPr>
          <w:noProof/>
        </w:rPr>
        <w:t xml:space="preserve"> s </w:t>
      </w:r>
      <w:r w:rsidRPr="004F01E9">
        <w:rPr>
          <w:noProof/>
        </w:rPr>
        <w:t>odkazom:</w:t>
      </w:r>
    </w:p>
    <w:p w14:paraId="5E7E614F" w14:textId="77777777" w:rsidR="00806B81" w:rsidRPr="004F01E9" w:rsidRDefault="004334CE" w:rsidP="004334CE">
      <w:pPr>
        <w:pStyle w:val="Point2"/>
        <w:rPr>
          <w:noProof/>
        </w:rPr>
      </w:pPr>
      <w:r w:rsidRPr="004F01E9">
        <w:rPr>
          <w:noProof/>
        </w:rPr>
        <w:t>i)</w:t>
      </w:r>
      <w:r w:rsidRPr="004F01E9">
        <w:rPr>
          <w:noProof/>
        </w:rPr>
        <w:tab/>
        <w:t>priamo na protistranu;</w:t>
      </w:r>
    </w:p>
    <w:p w14:paraId="301E556F" w14:textId="325A1BD7" w:rsidR="00806B81" w:rsidRPr="004F01E9" w:rsidRDefault="004334CE" w:rsidP="004334CE">
      <w:pPr>
        <w:pStyle w:val="Point2"/>
        <w:rPr>
          <w:noProof/>
        </w:rPr>
      </w:pPr>
      <w:r w:rsidRPr="004F01E9">
        <w:rPr>
          <w:noProof/>
        </w:rPr>
        <w:t>ii)</w:t>
      </w:r>
      <w:r w:rsidRPr="004F01E9">
        <w:rPr>
          <w:noProof/>
        </w:rPr>
        <w:tab/>
        <w:t>na subjekt právne prepojený</w:t>
      </w:r>
      <w:r w:rsidR="004F01E9">
        <w:rPr>
          <w:noProof/>
        </w:rPr>
        <w:t xml:space="preserve"> s </w:t>
      </w:r>
      <w:r w:rsidRPr="004F01E9">
        <w:rPr>
          <w:noProof/>
        </w:rPr>
        <w:t>protistranou, pričom pojem „právne prepojený“ súvisí</w:t>
      </w:r>
      <w:r w:rsidR="004F01E9">
        <w:rPr>
          <w:noProof/>
        </w:rPr>
        <w:t xml:space="preserve"> s </w:t>
      </w:r>
      <w:r w:rsidRPr="004F01E9">
        <w:rPr>
          <w:noProof/>
        </w:rPr>
        <w:t>prípadmi, keď referenčný názov</w:t>
      </w:r>
      <w:r w:rsidR="004F01E9">
        <w:rPr>
          <w:noProof/>
        </w:rPr>
        <w:t xml:space="preserve"> a </w:t>
      </w:r>
      <w:r w:rsidRPr="004F01E9">
        <w:rPr>
          <w:noProof/>
        </w:rPr>
        <w:t>protistrana sú buď materskou spoločnosťou</w:t>
      </w:r>
      <w:r w:rsidR="004F01E9">
        <w:rPr>
          <w:noProof/>
        </w:rPr>
        <w:t xml:space="preserve"> a </w:t>
      </w:r>
      <w:r w:rsidRPr="004F01E9">
        <w:rPr>
          <w:noProof/>
        </w:rPr>
        <w:t>jej dcérskou spoločnosťou alebo dvoma dcérskymi spoločnosťami spoločnej materskej spoločnosti;</w:t>
      </w:r>
    </w:p>
    <w:p w14:paraId="0E89C326" w14:textId="5BC4F81D" w:rsidR="004334CE" w:rsidRPr="004F01E9" w:rsidRDefault="004334CE" w:rsidP="004334CE">
      <w:pPr>
        <w:pStyle w:val="Point2"/>
        <w:rPr>
          <w:noProof/>
        </w:rPr>
      </w:pPr>
      <w:r w:rsidRPr="004F01E9">
        <w:rPr>
          <w:noProof/>
        </w:rPr>
        <w:t>iii)</w:t>
      </w:r>
      <w:r w:rsidRPr="004F01E9">
        <w:rPr>
          <w:noProof/>
        </w:rPr>
        <w:tab/>
        <w:t>na subjekt, ktorý patrí do toho istého sektora</w:t>
      </w:r>
      <w:r w:rsidR="004F01E9">
        <w:rPr>
          <w:noProof/>
        </w:rPr>
        <w:t xml:space="preserve"> a </w:t>
      </w:r>
      <w:r w:rsidRPr="004F01E9">
        <w:rPr>
          <w:noProof/>
        </w:rPr>
        <w:t>regiónu ako protistrana;</w:t>
      </w:r>
    </w:p>
    <w:p w14:paraId="221D9A32" w14:textId="77777777" w:rsidR="00806B81" w:rsidRPr="004F01E9" w:rsidRDefault="004334CE" w:rsidP="004334CE">
      <w:pPr>
        <w:pStyle w:val="Point1"/>
        <w:rPr>
          <w:noProof/>
        </w:rPr>
      </w:pPr>
      <w:r w:rsidRPr="004F01E9">
        <w:rPr>
          <w:noProof/>
        </w:rPr>
        <w:t>b)</w:t>
      </w:r>
      <w:r w:rsidRPr="004F01E9">
        <w:rPr>
          <w:noProof/>
        </w:rPr>
        <w:tab/>
        <w:t>na indexové swapy na kreditné zlyhanie.</w:t>
      </w:r>
    </w:p>
    <w:p w14:paraId="479AAB31" w14:textId="68D42506" w:rsidR="004334CE" w:rsidRPr="004F01E9" w:rsidRDefault="004334CE" w:rsidP="004334CE">
      <w:pPr>
        <w:pStyle w:val="Text1"/>
        <w:rPr>
          <w:noProof/>
        </w:rPr>
      </w:pPr>
      <w:r w:rsidRPr="004F01E9">
        <w:rPr>
          <w:noProof/>
        </w:rPr>
        <w:t>4. Do pozícií</w:t>
      </w:r>
      <w:r w:rsidR="004F01E9">
        <w:rPr>
          <w:noProof/>
        </w:rPr>
        <w:t xml:space="preserve"> v </w:t>
      </w:r>
      <w:r w:rsidRPr="004F01E9">
        <w:rPr>
          <w:noProof/>
        </w:rPr>
        <w:t>hedžingových nástrojoch sa vstupuje</w:t>
      </w:r>
      <w:r w:rsidR="004F01E9">
        <w:rPr>
          <w:noProof/>
        </w:rPr>
        <w:t xml:space="preserve"> s </w:t>
      </w:r>
      <w:r w:rsidRPr="004F01E9">
        <w:rPr>
          <w:noProof/>
        </w:rPr>
        <w:t>tretími stranami, ktoré sú uznané za prípustné hedžingy</w:t>
      </w:r>
      <w:r w:rsidR="004F01E9">
        <w:rPr>
          <w:noProof/>
        </w:rPr>
        <w:t xml:space="preserve"> v </w:t>
      </w:r>
      <w:r w:rsidRPr="004F01E9">
        <w:rPr>
          <w:noProof/>
        </w:rPr>
        <w:t>súlade</w:t>
      </w:r>
      <w:r w:rsidR="004F01E9">
        <w:rPr>
          <w:noProof/>
        </w:rPr>
        <w:t xml:space="preserve"> s </w:t>
      </w:r>
      <w:r w:rsidRPr="004F01E9">
        <w:rPr>
          <w:noProof/>
        </w:rPr>
        <w:t>odsekmi 1, 2</w:t>
      </w:r>
      <w:r w:rsidR="004F01E9">
        <w:rPr>
          <w:noProof/>
        </w:rPr>
        <w:t xml:space="preserve"> a </w:t>
      </w:r>
      <w:r w:rsidRPr="004F01E9">
        <w:rPr>
          <w:noProof/>
        </w:rPr>
        <w:t>3</w:t>
      </w:r>
      <w:r w:rsidR="004F01E9">
        <w:rPr>
          <w:noProof/>
        </w:rPr>
        <w:t xml:space="preserve"> a </w:t>
      </w:r>
      <w:r w:rsidRPr="004F01E9">
        <w:rPr>
          <w:noProof/>
        </w:rPr>
        <w:t>zahrnuté do výpočtu požiadaviek na vlastné zdroje pre riziko úpravy ocenenia pohľadávok, nepodliehajú požiadavkám na vlastné zdroje pre trhové riziko stanoveným</w:t>
      </w:r>
      <w:r w:rsidR="004F01E9">
        <w:rPr>
          <w:noProof/>
        </w:rPr>
        <w:t xml:space="preserve"> v </w:t>
      </w:r>
      <w:r w:rsidRPr="004F01E9">
        <w:rPr>
          <w:noProof/>
        </w:rPr>
        <w:t>hlave IV.</w:t>
      </w:r>
    </w:p>
    <w:p w14:paraId="13A64840" w14:textId="041052E1" w:rsidR="004334CE" w:rsidRPr="004F01E9" w:rsidRDefault="004334CE" w:rsidP="004334CE">
      <w:pPr>
        <w:pStyle w:val="Text1"/>
        <w:rPr>
          <w:noProof/>
        </w:rPr>
      </w:pPr>
      <w:r w:rsidRPr="004F01E9">
        <w:rPr>
          <w:noProof/>
        </w:rPr>
        <w:t>5. Pozície</w:t>
      </w:r>
      <w:r w:rsidR="004F01E9">
        <w:rPr>
          <w:noProof/>
        </w:rPr>
        <w:t xml:space="preserve"> v </w:t>
      </w:r>
      <w:r w:rsidRPr="004F01E9">
        <w:rPr>
          <w:noProof/>
        </w:rPr>
        <w:t>hedžingových nástrojoch, ktoré nie sú uznané za prípustné hedžingy</w:t>
      </w:r>
      <w:r w:rsidR="004F01E9">
        <w:rPr>
          <w:noProof/>
        </w:rPr>
        <w:t xml:space="preserve"> v </w:t>
      </w:r>
      <w:r w:rsidRPr="004F01E9">
        <w:rPr>
          <w:noProof/>
        </w:rPr>
        <w:t>súlade</w:t>
      </w:r>
      <w:r w:rsidR="004F01E9">
        <w:rPr>
          <w:noProof/>
        </w:rPr>
        <w:t xml:space="preserve"> s </w:t>
      </w:r>
      <w:r w:rsidRPr="004F01E9">
        <w:rPr>
          <w:noProof/>
        </w:rPr>
        <w:t>týmto článkom, podliehajú požiadavkám na vlastné zdroje pre trhové riziko stanoveným</w:t>
      </w:r>
      <w:r w:rsidR="004F01E9">
        <w:rPr>
          <w:noProof/>
        </w:rPr>
        <w:t xml:space="preserve"> v </w:t>
      </w:r>
      <w:r w:rsidRPr="004F01E9">
        <w:rPr>
          <w:noProof/>
        </w:rPr>
        <w:t>hlave IV.“</w:t>
      </w:r>
    </w:p>
    <w:p w14:paraId="6D2E83BB" w14:textId="0481A983" w:rsidR="004334CE" w:rsidRPr="004F01E9" w:rsidRDefault="00B16452" w:rsidP="00B16452">
      <w:pPr>
        <w:pStyle w:val="Point0"/>
        <w:rPr>
          <w:noProof/>
        </w:rPr>
      </w:pPr>
      <w:r w:rsidRPr="00B16452">
        <w:rPr>
          <w:noProof/>
        </w:rPr>
        <w:t>171</w:t>
      </w:r>
      <w:r>
        <w:rPr>
          <w:noProof/>
        </w:rPr>
        <w:t>.</w:t>
      </w:r>
      <w:r w:rsidRPr="00B16452">
        <w:rPr>
          <w:noProof/>
        </w:rPr>
        <w:tab/>
      </w:r>
      <w:r w:rsidR="004334CE" w:rsidRPr="004F01E9">
        <w:rPr>
          <w:noProof/>
        </w:rPr>
        <w:t>Článok 402 sa mení takto:</w:t>
      </w:r>
    </w:p>
    <w:p w14:paraId="2C809DE3" w14:textId="0D5B66ED" w:rsidR="004334CE" w:rsidRPr="004F01E9" w:rsidRDefault="001D17F3" w:rsidP="001D17F3">
      <w:pPr>
        <w:pStyle w:val="Point1"/>
        <w:rPr>
          <w:noProof/>
        </w:rPr>
      </w:pPr>
      <w:r w:rsidRPr="004F01E9">
        <w:rPr>
          <w:noProof/>
        </w:rPr>
        <w:t>a)</w:t>
      </w:r>
      <w:r w:rsidRPr="004F01E9">
        <w:rPr>
          <w:noProof/>
        </w:rPr>
        <w:tab/>
        <w:t>Odsek 1 sa mení takto:</w:t>
      </w:r>
    </w:p>
    <w:p w14:paraId="5D35D82B" w14:textId="77777777" w:rsidR="004334CE" w:rsidRPr="004F01E9" w:rsidRDefault="004334CE" w:rsidP="004334CE">
      <w:pPr>
        <w:pStyle w:val="Point2"/>
        <w:rPr>
          <w:noProof/>
        </w:rPr>
      </w:pPr>
      <w:r w:rsidRPr="004F01E9">
        <w:rPr>
          <w:noProof/>
        </w:rPr>
        <w:t>i)</w:t>
      </w:r>
      <w:r w:rsidRPr="004F01E9">
        <w:rPr>
          <w:noProof/>
        </w:rPr>
        <w:tab/>
        <w:t>Prvý pododsek sa nahrádza takto:</w:t>
      </w:r>
    </w:p>
    <w:p w14:paraId="75B2C721" w14:textId="27D818A8" w:rsidR="004334CE" w:rsidRPr="004F01E9" w:rsidRDefault="004334CE" w:rsidP="004334CE">
      <w:pPr>
        <w:pStyle w:val="Text3"/>
        <w:rPr>
          <w:noProof/>
        </w:rPr>
      </w:pPr>
      <w:r w:rsidRPr="004F01E9">
        <w:rPr>
          <w:noProof/>
        </w:rPr>
        <w:t>„Na výpočet hodnoty expozícií na účely článku 395 môže inštitúcia</w:t>
      </w:r>
      <w:r w:rsidR="004F01E9">
        <w:rPr>
          <w:noProof/>
        </w:rPr>
        <w:t xml:space="preserve"> s </w:t>
      </w:r>
      <w:r w:rsidRPr="004F01E9">
        <w:rPr>
          <w:noProof/>
        </w:rPr>
        <w:t>výnimkou prípadov, keď to zakazuje uplatniteľné vnútroštátne právo, znížiť hodnotu expozície alebo akejkoľvek časti expozície, ktorá je zabezpečená nehnuteľným majetkom určeným na bývanie</w:t>
      </w:r>
      <w:r w:rsidR="004F01E9">
        <w:rPr>
          <w:noProof/>
        </w:rPr>
        <w:t xml:space="preserve"> v </w:t>
      </w:r>
      <w:r w:rsidRPr="004F01E9">
        <w:rPr>
          <w:noProof/>
        </w:rPr>
        <w:t>súlade</w:t>
      </w:r>
      <w:r w:rsidR="004F01E9">
        <w:rPr>
          <w:noProof/>
        </w:rPr>
        <w:t xml:space="preserve"> s </w:t>
      </w:r>
      <w:r w:rsidRPr="004F01E9">
        <w:rPr>
          <w:noProof/>
        </w:rPr>
        <w:t>článkom 125 ods. 1</w:t>
      </w:r>
      <w:r w:rsidR="004F01E9">
        <w:rPr>
          <w:noProof/>
        </w:rPr>
        <w:t xml:space="preserve"> o </w:t>
      </w:r>
      <w:r w:rsidRPr="004F01E9">
        <w:rPr>
          <w:noProof/>
        </w:rPr>
        <w:t>založenú hodnotu majetku, avšak nie</w:t>
      </w:r>
      <w:r w:rsidR="004F01E9">
        <w:rPr>
          <w:noProof/>
        </w:rPr>
        <w:t xml:space="preserve"> o </w:t>
      </w:r>
      <w:r w:rsidRPr="004F01E9">
        <w:rPr>
          <w:noProof/>
        </w:rPr>
        <w:t>viac ako</w:t>
      </w:r>
      <w:r w:rsidR="004F01E9">
        <w:rPr>
          <w:noProof/>
        </w:rPr>
        <w:t xml:space="preserve"> o </w:t>
      </w:r>
      <w:r w:rsidRPr="004F01E9">
        <w:rPr>
          <w:noProof/>
        </w:rPr>
        <w:t>55</w:t>
      </w:r>
      <w:r w:rsidR="004F01E9">
        <w:rPr>
          <w:noProof/>
        </w:rPr>
        <w:t> %</w:t>
      </w:r>
      <w:r w:rsidRPr="004F01E9">
        <w:rPr>
          <w:noProof/>
        </w:rPr>
        <w:t xml:space="preserve"> hodnoty majetku, za predpokladu, že sú splnené všetky tieto podmienky:“;</w:t>
      </w:r>
    </w:p>
    <w:p w14:paraId="668E3133" w14:textId="77777777" w:rsidR="004334CE" w:rsidRPr="004F01E9" w:rsidRDefault="004334CE" w:rsidP="004334CE">
      <w:pPr>
        <w:pStyle w:val="Point2"/>
        <w:rPr>
          <w:noProof/>
        </w:rPr>
      </w:pPr>
      <w:r w:rsidRPr="004F01E9">
        <w:rPr>
          <w:noProof/>
        </w:rPr>
        <w:t>ii)</w:t>
      </w:r>
      <w:r w:rsidRPr="004F01E9">
        <w:rPr>
          <w:noProof/>
        </w:rPr>
        <w:tab/>
        <w:t>Písmeno a) sa nahrádza takto:</w:t>
      </w:r>
    </w:p>
    <w:p w14:paraId="7802673D" w14:textId="575C41A6" w:rsidR="004334CE" w:rsidRPr="004F01E9" w:rsidRDefault="004334CE" w:rsidP="004334CE">
      <w:pPr>
        <w:pStyle w:val="Text3"/>
        <w:rPr>
          <w:noProof/>
        </w:rPr>
      </w:pPr>
      <w:r w:rsidRPr="004F01E9">
        <w:rPr>
          <w:noProof/>
        </w:rPr>
        <w:t>„a) príslušné orgány členského štátu nestanovili pre expozície alebo časti expozícií zabezpečené nehnuteľným majetkom určeným na bývanie rizikovú váhu vyššiu ako 20</w:t>
      </w:r>
      <w:r w:rsidR="004F01E9">
        <w:rPr>
          <w:noProof/>
        </w:rPr>
        <w:t> % v </w:t>
      </w:r>
      <w:r w:rsidRPr="004F01E9">
        <w:rPr>
          <w:noProof/>
        </w:rPr>
        <w:t>súlade</w:t>
      </w:r>
      <w:r w:rsidR="004F01E9">
        <w:rPr>
          <w:noProof/>
        </w:rPr>
        <w:t xml:space="preserve"> s </w:t>
      </w:r>
      <w:r w:rsidRPr="004F01E9">
        <w:rPr>
          <w:noProof/>
        </w:rPr>
        <w:t>článkom 124 ods. 7;“;</w:t>
      </w:r>
    </w:p>
    <w:p w14:paraId="0F3F76B7" w14:textId="26C6223C" w:rsidR="004334CE" w:rsidRPr="004F01E9" w:rsidRDefault="001D17F3" w:rsidP="001D17F3">
      <w:pPr>
        <w:pStyle w:val="Point1"/>
        <w:rPr>
          <w:noProof/>
        </w:rPr>
      </w:pPr>
      <w:r w:rsidRPr="004F01E9">
        <w:rPr>
          <w:noProof/>
        </w:rPr>
        <w:t>b)</w:t>
      </w:r>
      <w:r w:rsidRPr="004F01E9">
        <w:rPr>
          <w:noProof/>
        </w:rPr>
        <w:tab/>
        <w:t>Odsek 2 sa mení takto:</w:t>
      </w:r>
    </w:p>
    <w:p w14:paraId="10B9FF29" w14:textId="77777777" w:rsidR="004334CE" w:rsidRPr="004F01E9" w:rsidRDefault="004334CE" w:rsidP="004334CE">
      <w:pPr>
        <w:pStyle w:val="Point2"/>
        <w:rPr>
          <w:noProof/>
        </w:rPr>
      </w:pPr>
      <w:r w:rsidRPr="004F01E9">
        <w:rPr>
          <w:noProof/>
        </w:rPr>
        <w:t>i)</w:t>
      </w:r>
      <w:r w:rsidRPr="004F01E9">
        <w:rPr>
          <w:noProof/>
        </w:rPr>
        <w:tab/>
        <w:t>Prvý pododsek sa nahrádza takto:</w:t>
      </w:r>
    </w:p>
    <w:p w14:paraId="4A7E6F9B" w14:textId="448CAF94" w:rsidR="004334CE" w:rsidRPr="004F01E9" w:rsidRDefault="004334CE" w:rsidP="004334CE">
      <w:pPr>
        <w:pStyle w:val="Text3"/>
        <w:rPr>
          <w:noProof/>
        </w:rPr>
      </w:pPr>
      <w:r w:rsidRPr="004F01E9">
        <w:rPr>
          <w:noProof/>
        </w:rPr>
        <w:t>„Na výpočet hodnôt expozícií na účely článku 395 môže inštitúcia</w:t>
      </w:r>
      <w:r w:rsidR="004F01E9">
        <w:rPr>
          <w:noProof/>
        </w:rPr>
        <w:t xml:space="preserve"> s </w:t>
      </w:r>
      <w:r w:rsidRPr="004F01E9">
        <w:rPr>
          <w:noProof/>
        </w:rPr>
        <w:t>výnimkou prípadov, keď to zakazuje uplatniteľné vnútroštátne právo, znížiť hodnotu expozície alebo akejkoľvek časti expozície, ktorá je zabezpečená nehnuteľným majetkom určeným na podnikanie</w:t>
      </w:r>
      <w:r w:rsidR="004F01E9">
        <w:rPr>
          <w:noProof/>
        </w:rPr>
        <w:t xml:space="preserve"> v </w:t>
      </w:r>
      <w:r w:rsidRPr="004F01E9">
        <w:rPr>
          <w:noProof/>
        </w:rPr>
        <w:t>súlade</w:t>
      </w:r>
      <w:r w:rsidR="004F01E9">
        <w:rPr>
          <w:noProof/>
        </w:rPr>
        <w:t xml:space="preserve"> s </w:t>
      </w:r>
      <w:r w:rsidRPr="004F01E9">
        <w:rPr>
          <w:noProof/>
        </w:rPr>
        <w:t>článkom 126 ods. 1</w:t>
      </w:r>
      <w:r w:rsidR="004F01E9">
        <w:rPr>
          <w:noProof/>
        </w:rPr>
        <w:t xml:space="preserve"> o </w:t>
      </w:r>
      <w:r w:rsidRPr="004F01E9">
        <w:rPr>
          <w:noProof/>
        </w:rPr>
        <w:t>založenú hodnotu majetku, avšak nie viac ako</w:t>
      </w:r>
      <w:r w:rsidR="004F01E9">
        <w:rPr>
          <w:noProof/>
        </w:rPr>
        <w:t xml:space="preserve"> o </w:t>
      </w:r>
      <w:r w:rsidRPr="004F01E9">
        <w:rPr>
          <w:noProof/>
        </w:rPr>
        <w:t>55</w:t>
      </w:r>
      <w:r w:rsidR="004F01E9">
        <w:rPr>
          <w:noProof/>
        </w:rPr>
        <w:t> %</w:t>
      </w:r>
      <w:r w:rsidRPr="004F01E9">
        <w:rPr>
          <w:noProof/>
        </w:rPr>
        <w:t xml:space="preserve"> hodnoty majetku, za predpokladu, že sú splnené všetky tieto podmienky:“;</w:t>
      </w:r>
    </w:p>
    <w:p w14:paraId="6F8C717C" w14:textId="77777777" w:rsidR="004334CE" w:rsidRPr="004F01E9" w:rsidRDefault="004334CE" w:rsidP="004334CE">
      <w:pPr>
        <w:pStyle w:val="Point2"/>
        <w:rPr>
          <w:noProof/>
        </w:rPr>
      </w:pPr>
      <w:r w:rsidRPr="004F01E9">
        <w:rPr>
          <w:noProof/>
        </w:rPr>
        <w:t>ii)</w:t>
      </w:r>
      <w:r w:rsidRPr="004F01E9">
        <w:rPr>
          <w:noProof/>
        </w:rPr>
        <w:tab/>
        <w:t>Písmeno a) sa nahrádza takto:</w:t>
      </w:r>
    </w:p>
    <w:p w14:paraId="79EA9CA0" w14:textId="69FA84B4" w:rsidR="004334CE" w:rsidRPr="004F01E9" w:rsidRDefault="004334CE" w:rsidP="004334CE">
      <w:pPr>
        <w:pStyle w:val="Text3"/>
        <w:rPr>
          <w:noProof/>
        </w:rPr>
      </w:pPr>
      <w:r w:rsidRPr="004F01E9">
        <w:rPr>
          <w:noProof/>
        </w:rPr>
        <w:t>„a) príslušné orgány členského štátu nestanovili pre expozície alebo časti expozícií zabezpečené nehnuteľným majetkom určeným na bývanie rizikovú váhu vyššiu ako 60</w:t>
      </w:r>
      <w:r w:rsidR="004F01E9">
        <w:rPr>
          <w:noProof/>
        </w:rPr>
        <w:t> % v </w:t>
      </w:r>
      <w:r w:rsidRPr="004F01E9">
        <w:rPr>
          <w:noProof/>
        </w:rPr>
        <w:t>súlade</w:t>
      </w:r>
      <w:r w:rsidR="004F01E9">
        <w:rPr>
          <w:noProof/>
        </w:rPr>
        <w:t xml:space="preserve"> s </w:t>
      </w:r>
      <w:r w:rsidRPr="004F01E9">
        <w:rPr>
          <w:noProof/>
        </w:rPr>
        <w:t>článkom 124 ods. 7;“;</w:t>
      </w:r>
    </w:p>
    <w:p w14:paraId="3887AC9F" w14:textId="521835E0" w:rsidR="004334CE" w:rsidRPr="004F01E9" w:rsidRDefault="00B16452" w:rsidP="00B16452">
      <w:pPr>
        <w:pStyle w:val="Point0"/>
        <w:rPr>
          <w:noProof/>
        </w:rPr>
      </w:pPr>
      <w:r w:rsidRPr="00B16452">
        <w:rPr>
          <w:noProof/>
        </w:rPr>
        <w:t>172</w:t>
      </w:r>
      <w:r>
        <w:rPr>
          <w:noProof/>
        </w:rPr>
        <w:t>.</w:t>
      </w:r>
      <w:r w:rsidRPr="00B16452">
        <w:rPr>
          <w:noProof/>
        </w:rPr>
        <w:tab/>
      </w:r>
      <w:r w:rsidR="004334CE" w:rsidRPr="004F01E9">
        <w:rPr>
          <w:noProof/>
        </w:rPr>
        <w:t>V článku 429 sa odsek 6 nahrádza takto:</w:t>
      </w:r>
    </w:p>
    <w:p w14:paraId="47F62B66" w14:textId="06B86D17" w:rsidR="004334CE" w:rsidRPr="004F01E9" w:rsidRDefault="004334CE" w:rsidP="004334CE">
      <w:pPr>
        <w:pStyle w:val="Text1"/>
        <w:rPr>
          <w:noProof/>
        </w:rPr>
      </w:pPr>
      <w:r w:rsidRPr="004F01E9">
        <w:rPr>
          <w:noProof/>
        </w:rPr>
        <w:t>„6.</w:t>
      </w:r>
      <w:r w:rsidRPr="004F01E9">
        <w:rPr>
          <w:noProof/>
        </w:rPr>
        <w:tab/>
        <w:t>Na účely odseku 4 písm. e) tohto článku</w:t>
      </w:r>
      <w:r w:rsidR="004F01E9">
        <w:rPr>
          <w:noProof/>
        </w:rPr>
        <w:t xml:space="preserve"> a </w:t>
      </w:r>
      <w:r w:rsidRPr="004F01E9">
        <w:rPr>
          <w:noProof/>
        </w:rPr>
        <w:t>článku 429g je „bežný nákup alebo predaj“ nákup alebo predaj finančného aktíva podľa zmlúv, ktorých podmienky si vyžadujú dodanie finančného aktíva</w:t>
      </w:r>
      <w:r w:rsidR="004F01E9">
        <w:rPr>
          <w:noProof/>
        </w:rPr>
        <w:t xml:space="preserve"> v </w:t>
      </w:r>
      <w:r w:rsidRPr="004F01E9">
        <w:rPr>
          <w:noProof/>
        </w:rPr>
        <w:t>lehote stanovenej spravidla zákonom alebo konvenciami dotknutého trhu.“</w:t>
      </w:r>
    </w:p>
    <w:p w14:paraId="49EBC783" w14:textId="634BBEDC" w:rsidR="004334CE" w:rsidRPr="004F01E9" w:rsidRDefault="00B16452" w:rsidP="00B16452">
      <w:pPr>
        <w:pStyle w:val="Point0"/>
        <w:rPr>
          <w:noProof/>
        </w:rPr>
      </w:pPr>
      <w:r w:rsidRPr="00B16452">
        <w:rPr>
          <w:noProof/>
        </w:rPr>
        <w:t>173</w:t>
      </w:r>
      <w:r>
        <w:rPr>
          <w:noProof/>
        </w:rPr>
        <w:t>.</w:t>
      </w:r>
      <w:r w:rsidRPr="00B16452">
        <w:rPr>
          <w:noProof/>
        </w:rPr>
        <w:tab/>
      </w:r>
      <w:r w:rsidR="004334CE" w:rsidRPr="004F01E9">
        <w:rPr>
          <w:noProof/>
        </w:rPr>
        <w:t>Článok 429c sa mení takto:</w:t>
      </w:r>
    </w:p>
    <w:p w14:paraId="7551D629" w14:textId="494D0684" w:rsidR="004334CE" w:rsidRPr="004F01E9" w:rsidRDefault="00B16452" w:rsidP="00B16452">
      <w:pPr>
        <w:pStyle w:val="Point1"/>
        <w:rPr>
          <w:noProof/>
        </w:rPr>
      </w:pPr>
      <w:r w:rsidRPr="00B16452">
        <w:rPr>
          <w:noProof/>
        </w:rPr>
        <w:t>a)</w:t>
      </w:r>
      <w:r w:rsidRPr="00B16452">
        <w:rPr>
          <w:noProof/>
        </w:rPr>
        <w:tab/>
      </w:r>
      <w:r w:rsidR="004334CE" w:rsidRPr="004F01E9">
        <w:rPr>
          <w:noProof/>
        </w:rPr>
        <w:t>V odseku 3 sa písm. a) nahrádza takto:</w:t>
      </w:r>
    </w:p>
    <w:p w14:paraId="5F91E079" w14:textId="26B547D9" w:rsidR="004334CE" w:rsidRPr="004F01E9" w:rsidRDefault="004334CE" w:rsidP="004334CE">
      <w:pPr>
        <w:pStyle w:val="Text2"/>
        <w:rPr>
          <w:noProof/>
          <w:szCs w:val="24"/>
        </w:rPr>
      </w:pPr>
      <w:r w:rsidRPr="004F01E9">
        <w:rPr>
          <w:noProof/>
        </w:rPr>
        <w:t>„a)</w:t>
      </w:r>
      <w:r w:rsidR="004F01E9">
        <w:rPr>
          <w:noProof/>
        </w:rPr>
        <w:t xml:space="preserve"> v </w:t>
      </w:r>
      <w:r w:rsidRPr="004F01E9">
        <w:rPr>
          <w:noProof/>
        </w:rPr>
        <w:t>prípade obchodov nezúčtovaných prostredníctvom QCCP sa hotovosť prijatá prijímajúcou protistranou neoddeľuje od aktív inštitúcie;“;</w:t>
      </w:r>
    </w:p>
    <w:p w14:paraId="7A5D6C47" w14:textId="0E01271E" w:rsidR="004334CE" w:rsidRPr="004F01E9" w:rsidRDefault="00B16452" w:rsidP="00B16452">
      <w:pPr>
        <w:pStyle w:val="Point1"/>
        <w:rPr>
          <w:noProof/>
        </w:rPr>
      </w:pPr>
      <w:r w:rsidRPr="00B16452">
        <w:rPr>
          <w:noProof/>
        </w:rPr>
        <w:t>b)</w:t>
      </w:r>
      <w:r w:rsidRPr="00B16452">
        <w:rPr>
          <w:noProof/>
        </w:rPr>
        <w:tab/>
      </w:r>
      <w:r w:rsidR="004334CE" w:rsidRPr="004F01E9">
        <w:rPr>
          <w:noProof/>
        </w:rPr>
        <w:t>Odsek 4 sa nahrádza takto:</w:t>
      </w:r>
    </w:p>
    <w:p w14:paraId="6D0FD654" w14:textId="3903CABA" w:rsidR="004334CE" w:rsidRPr="004F01E9" w:rsidRDefault="004334CE" w:rsidP="00635B24">
      <w:pPr>
        <w:pStyle w:val="Text2"/>
        <w:rPr>
          <w:noProof/>
          <w:szCs w:val="24"/>
        </w:rPr>
      </w:pPr>
      <w:r w:rsidRPr="004F01E9">
        <w:rPr>
          <w:noProof/>
        </w:rPr>
        <w:t>„4. Na účely odseku 1 tohto článku inštitúcie nezahŕňajú prijatý kolaterál do výpočtu NICA</w:t>
      </w:r>
      <w:r w:rsidR="004F01E9">
        <w:rPr>
          <w:noProof/>
        </w:rPr>
        <w:t xml:space="preserve"> v </w:t>
      </w:r>
      <w:r w:rsidRPr="004F01E9">
        <w:rPr>
          <w:noProof/>
        </w:rPr>
        <w:t>zmysle vymedzenia</w:t>
      </w:r>
      <w:r w:rsidR="004F01E9">
        <w:rPr>
          <w:noProof/>
        </w:rPr>
        <w:t xml:space="preserve"> v </w:t>
      </w:r>
      <w:r w:rsidRPr="004F01E9">
        <w:rPr>
          <w:noProof/>
        </w:rPr>
        <w:t>článku 272 bodu 12a.“;</w:t>
      </w:r>
    </w:p>
    <w:p w14:paraId="139E3C25" w14:textId="019F0662" w:rsidR="004334CE" w:rsidRPr="004F01E9" w:rsidRDefault="00B16452" w:rsidP="00B16452">
      <w:pPr>
        <w:pStyle w:val="Point1"/>
        <w:rPr>
          <w:noProof/>
        </w:rPr>
      </w:pPr>
      <w:r w:rsidRPr="00B16452">
        <w:rPr>
          <w:noProof/>
        </w:rPr>
        <w:t>c)</w:t>
      </w:r>
      <w:r w:rsidRPr="00B16452">
        <w:rPr>
          <w:noProof/>
        </w:rPr>
        <w:tab/>
      </w:r>
      <w:r w:rsidR="004334CE" w:rsidRPr="004F01E9">
        <w:rPr>
          <w:noProof/>
        </w:rPr>
        <w:t>Vkladá sa tento odsek 4a:</w:t>
      </w:r>
    </w:p>
    <w:p w14:paraId="38761303" w14:textId="1789C628" w:rsidR="004334CE" w:rsidRPr="004F01E9" w:rsidRDefault="004334CE" w:rsidP="00635B24">
      <w:pPr>
        <w:pStyle w:val="Text2"/>
        <w:rPr>
          <w:noProof/>
        </w:rPr>
      </w:pPr>
      <w:r w:rsidRPr="004F01E9">
        <w:rPr>
          <w:noProof/>
        </w:rPr>
        <w:t>„4a. Odchylne od odsekov 3</w:t>
      </w:r>
      <w:r w:rsidR="004F01E9">
        <w:rPr>
          <w:noProof/>
        </w:rPr>
        <w:t xml:space="preserve"> a </w:t>
      </w:r>
      <w:r w:rsidRPr="004F01E9">
        <w:rPr>
          <w:noProof/>
        </w:rPr>
        <w:t>4 môže inštitúcia uznať akýkoľvek kolaterál prijatý</w:t>
      </w:r>
      <w:r w:rsidR="004F01E9">
        <w:rPr>
          <w:noProof/>
        </w:rPr>
        <w:t xml:space="preserve"> v </w:t>
      </w:r>
      <w:r w:rsidRPr="004F01E9">
        <w:rPr>
          <w:noProof/>
        </w:rPr>
        <w:t>súlade</w:t>
      </w:r>
      <w:r w:rsidR="004F01E9">
        <w:rPr>
          <w:noProof/>
        </w:rPr>
        <w:t xml:space="preserve"> s </w:t>
      </w:r>
      <w:r w:rsidRPr="004F01E9">
        <w:rPr>
          <w:noProof/>
        </w:rPr>
        <w:t>treťou časťou hlavou II kapitolou 6 oddielom 3, ak sú splnené všetky tieto podmienky:</w:t>
      </w:r>
    </w:p>
    <w:p w14:paraId="24C41D14" w14:textId="3D0A2C28" w:rsidR="004334CE" w:rsidRPr="004F01E9" w:rsidRDefault="004334CE" w:rsidP="004334CE">
      <w:pPr>
        <w:pStyle w:val="Point2"/>
        <w:rPr>
          <w:noProof/>
          <w:szCs w:val="24"/>
        </w:rPr>
      </w:pPr>
      <w:r w:rsidRPr="004F01E9">
        <w:rPr>
          <w:noProof/>
        </w:rPr>
        <w:t>a)</w:t>
      </w:r>
      <w:r w:rsidRPr="004F01E9">
        <w:rPr>
          <w:noProof/>
        </w:rPr>
        <w:tab/>
        <w:t>kolaterál sa prijíma od klienta</w:t>
      </w:r>
      <w:r w:rsidR="004F01E9">
        <w:rPr>
          <w:noProof/>
        </w:rPr>
        <w:t xml:space="preserve"> v </w:t>
      </w:r>
      <w:r w:rsidRPr="004F01E9">
        <w:rPr>
          <w:noProof/>
        </w:rPr>
        <w:t>súvislosti so zmluvou</w:t>
      </w:r>
      <w:r w:rsidR="004F01E9">
        <w:rPr>
          <w:noProof/>
        </w:rPr>
        <w:t xml:space="preserve"> o </w:t>
      </w:r>
      <w:r w:rsidRPr="004F01E9">
        <w:rPr>
          <w:noProof/>
        </w:rPr>
        <w:t>derivátoch, ktorá bola zúčtovaná inštitúciou</w:t>
      </w:r>
      <w:r w:rsidR="004F01E9">
        <w:rPr>
          <w:noProof/>
        </w:rPr>
        <w:t xml:space="preserve"> v </w:t>
      </w:r>
      <w:r w:rsidRPr="004F01E9">
        <w:rPr>
          <w:noProof/>
        </w:rPr>
        <w:t>mene tohto klienta;</w:t>
      </w:r>
    </w:p>
    <w:p w14:paraId="129C4A95" w14:textId="012E4A2B" w:rsidR="004334CE" w:rsidRPr="004F01E9" w:rsidRDefault="004334CE" w:rsidP="004334CE">
      <w:pPr>
        <w:pStyle w:val="Point2"/>
        <w:rPr>
          <w:noProof/>
          <w:szCs w:val="24"/>
        </w:rPr>
      </w:pPr>
      <w:r w:rsidRPr="004F01E9">
        <w:rPr>
          <w:noProof/>
        </w:rPr>
        <w:t>b)</w:t>
      </w:r>
      <w:r w:rsidRPr="004F01E9">
        <w:rPr>
          <w:noProof/>
        </w:rPr>
        <w:tab/>
        <w:t>zmluva uvedená</w:t>
      </w:r>
      <w:r w:rsidR="004F01E9">
        <w:rPr>
          <w:noProof/>
        </w:rPr>
        <w:t xml:space="preserve"> v </w:t>
      </w:r>
      <w:r w:rsidRPr="004F01E9">
        <w:rPr>
          <w:noProof/>
        </w:rPr>
        <w:t>písmene a) sa zúčtováva prostredníctvom QCCP;</w:t>
      </w:r>
    </w:p>
    <w:p w14:paraId="10E5E018" w14:textId="77777777" w:rsidR="004334CE" w:rsidRPr="004F01E9" w:rsidRDefault="004334CE" w:rsidP="004334CE">
      <w:pPr>
        <w:pStyle w:val="Point2"/>
        <w:rPr>
          <w:noProof/>
        </w:rPr>
      </w:pPr>
      <w:r w:rsidRPr="004F01E9">
        <w:rPr>
          <w:noProof/>
        </w:rPr>
        <w:t>c)</w:t>
      </w:r>
      <w:r w:rsidRPr="004F01E9">
        <w:rPr>
          <w:noProof/>
        </w:rPr>
        <w:tab/>
        <w:t>ak bol kolaterál prijatý vo forme počiatočnej marže, tento kolaterál je oddelený od aktív inštitúcie.“;</w:t>
      </w:r>
    </w:p>
    <w:p w14:paraId="5DD2A167" w14:textId="04DB4FB5" w:rsidR="004334CE" w:rsidRPr="004F01E9" w:rsidRDefault="00B16452" w:rsidP="00B16452">
      <w:pPr>
        <w:pStyle w:val="Point1"/>
        <w:rPr>
          <w:noProof/>
        </w:rPr>
      </w:pPr>
      <w:r w:rsidRPr="00B16452">
        <w:rPr>
          <w:noProof/>
        </w:rPr>
        <w:t>d)</w:t>
      </w:r>
      <w:r w:rsidRPr="00B16452">
        <w:rPr>
          <w:noProof/>
        </w:rPr>
        <w:tab/>
      </w:r>
      <w:r w:rsidR="004334CE" w:rsidRPr="004F01E9">
        <w:rPr>
          <w:noProof/>
        </w:rPr>
        <w:t>V odseku 6 sa prvý pododsek nahrádza takto:</w:t>
      </w:r>
    </w:p>
    <w:p w14:paraId="7486DE75" w14:textId="717266D8" w:rsidR="004334CE" w:rsidRPr="006A7A28" w:rsidRDefault="004334CE" w:rsidP="004334CE">
      <w:pPr>
        <w:pStyle w:val="Text2"/>
        <w:rPr>
          <w:noProof/>
          <w:spacing w:val="-4"/>
          <w:szCs w:val="24"/>
        </w:rPr>
      </w:pPr>
      <w:r w:rsidRPr="006A7A28">
        <w:rPr>
          <w:noProof/>
          <w:spacing w:val="-4"/>
        </w:rPr>
        <w:t>„Odchylne od odseku 1 tohto článku môžu inštitúcie metódu stanovenú</w:t>
      </w:r>
      <w:r w:rsidR="004F01E9" w:rsidRPr="006A7A28">
        <w:rPr>
          <w:noProof/>
          <w:spacing w:val="-4"/>
        </w:rPr>
        <w:t xml:space="preserve"> v </w:t>
      </w:r>
      <w:r w:rsidRPr="006A7A28">
        <w:rPr>
          <w:noProof/>
          <w:spacing w:val="-4"/>
        </w:rPr>
        <w:t>tretej časti hlave II kapitole 6 oddiele 4 alebo 5 používať na určenie hodnoty expozície zmlúv</w:t>
      </w:r>
      <w:r w:rsidR="004F01E9" w:rsidRPr="006A7A28">
        <w:rPr>
          <w:noProof/>
          <w:spacing w:val="-4"/>
        </w:rPr>
        <w:t xml:space="preserve"> o </w:t>
      </w:r>
      <w:r w:rsidRPr="006A7A28">
        <w:rPr>
          <w:noProof/>
          <w:spacing w:val="-4"/>
        </w:rPr>
        <w:t>derivátoch uvedených</w:t>
      </w:r>
      <w:r w:rsidR="004F01E9" w:rsidRPr="006A7A28">
        <w:rPr>
          <w:noProof/>
          <w:spacing w:val="-4"/>
        </w:rPr>
        <w:t xml:space="preserve"> v </w:t>
      </w:r>
      <w:r w:rsidRPr="006A7A28">
        <w:rPr>
          <w:noProof/>
          <w:spacing w:val="-4"/>
        </w:rPr>
        <w:t>bodoch 1</w:t>
      </w:r>
      <w:r w:rsidR="004F01E9" w:rsidRPr="006A7A28">
        <w:rPr>
          <w:noProof/>
          <w:spacing w:val="-4"/>
        </w:rPr>
        <w:t xml:space="preserve"> a </w:t>
      </w:r>
      <w:r w:rsidRPr="006A7A28">
        <w:rPr>
          <w:noProof/>
          <w:spacing w:val="-4"/>
        </w:rPr>
        <w:t>2 prílohy II, ale len ak túto metódu používajú aj na určenie hodnoty expozície týchto zmlúv na účely splnenia požiadaviek na vlastné zdroje stanovených</w:t>
      </w:r>
      <w:r w:rsidR="004F01E9" w:rsidRPr="006A7A28">
        <w:rPr>
          <w:noProof/>
          <w:spacing w:val="-4"/>
        </w:rPr>
        <w:t xml:space="preserve"> v </w:t>
      </w:r>
      <w:r w:rsidRPr="006A7A28">
        <w:rPr>
          <w:noProof/>
          <w:spacing w:val="-4"/>
        </w:rPr>
        <w:t>článku 92 ods. 1 písm. a), b)</w:t>
      </w:r>
      <w:r w:rsidR="004F01E9" w:rsidRPr="006A7A28">
        <w:rPr>
          <w:noProof/>
          <w:spacing w:val="-4"/>
        </w:rPr>
        <w:t xml:space="preserve"> a </w:t>
      </w:r>
      <w:r w:rsidRPr="006A7A28">
        <w:rPr>
          <w:noProof/>
          <w:spacing w:val="-4"/>
        </w:rPr>
        <w:t>c).“</w:t>
      </w:r>
    </w:p>
    <w:p w14:paraId="751119E0" w14:textId="25337BDE" w:rsidR="004334CE" w:rsidRPr="004F01E9" w:rsidRDefault="00B16452" w:rsidP="00B16452">
      <w:pPr>
        <w:pStyle w:val="Point0"/>
        <w:rPr>
          <w:noProof/>
        </w:rPr>
      </w:pPr>
      <w:r w:rsidRPr="00B16452">
        <w:rPr>
          <w:noProof/>
        </w:rPr>
        <w:t>174</w:t>
      </w:r>
      <w:r>
        <w:rPr>
          <w:noProof/>
        </w:rPr>
        <w:t>.</w:t>
      </w:r>
      <w:r w:rsidRPr="00B16452">
        <w:rPr>
          <w:noProof/>
        </w:rPr>
        <w:tab/>
      </w:r>
      <w:r w:rsidR="004334CE" w:rsidRPr="004F01E9">
        <w:rPr>
          <w:noProof/>
        </w:rPr>
        <w:t>Článok 429f sa mení takto:</w:t>
      </w:r>
    </w:p>
    <w:p w14:paraId="2C1A8B74" w14:textId="0432FF65" w:rsidR="004334CE" w:rsidRPr="004F01E9" w:rsidRDefault="00FE0F77" w:rsidP="00FE0F77">
      <w:pPr>
        <w:pStyle w:val="Point1"/>
        <w:rPr>
          <w:noProof/>
        </w:rPr>
      </w:pPr>
      <w:r w:rsidRPr="004F01E9">
        <w:rPr>
          <w:noProof/>
        </w:rPr>
        <w:t>a)</w:t>
      </w:r>
      <w:r w:rsidRPr="004F01E9">
        <w:rPr>
          <w:noProof/>
        </w:rPr>
        <w:tab/>
        <w:t>Odsek 1 sa nahrádza takto:</w:t>
      </w:r>
    </w:p>
    <w:p w14:paraId="1164BC55" w14:textId="57B8DF9C" w:rsidR="004334CE" w:rsidRPr="004F01E9" w:rsidRDefault="004334CE" w:rsidP="004334CE">
      <w:pPr>
        <w:pStyle w:val="Text2"/>
        <w:rPr>
          <w:noProof/>
        </w:rPr>
      </w:pPr>
      <w:r w:rsidRPr="004F01E9">
        <w:rPr>
          <w:noProof/>
        </w:rPr>
        <w:t>„1.</w:t>
      </w:r>
      <w:r w:rsidR="004F01E9">
        <w:rPr>
          <w:noProof/>
        </w:rPr>
        <w:t xml:space="preserve"> V </w:t>
      </w:r>
      <w:r w:rsidRPr="004F01E9">
        <w:rPr>
          <w:noProof/>
        </w:rPr>
        <w:t>súlade</w:t>
      </w:r>
      <w:r w:rsidR="004F01E9">
        <w:rPr>
          <w:noProof/>
        </w:rPr>
        <w:t xml:space="preserve"> s </w:t>
      </w:r>
      <w:r w:rsidRPr="004F01E9">
        <w:rPr>
          <w:noProof/>
        </w:rPr>
        <w:t>článkom 111 ods. 2 inštitúcie vypočítavajú hodnotu expozície podsúvahových položiek</w:t>
      </w:r>
      <w:r w:rsidR="004F01E9">
        <w:rPr>
          <w:noProof/>
        </w:rPr>
        <w:t xml:space="preserve"> s </w:t>
      </w:r>
      <w:r w:rsidRPr="004F01E9">
        <w:rPr>
          <w:noProof/>
        </w:rPr>
        <w:t>výnimkou zmlúv</w:t>
      </w:r>
      <w:r w:rsidR="004F01E9">
        <w:rPr>
          <w:noProof/>
        </w:rPr>
        <w:t xml:space="preserve"> o </w:t>
      </w:r>
      <w:r w:rsidRPr="004F01E9">
        <w:rPr>
          <w:noProof/>
        </w:rPr>
        <w:t>derivátoch uvedených</w:t>
      </w:r>
      <w:r w:rsidR="004F01E9">
        <w:rPr>
          <w:noProof/>
        </w:rPr>
        <w:t xml:space="preserve"> v </w:t>
      </w:r>
      <w:r w:rsidRPr="004F01E9">
        <w:rPr>
          <w:noProof/>
        </w:rPr>
        <w:t>prílohe II, kreditných derivátov, transakcií financovania prostredníctvom cenných papierov</w:t>
      </w:r>
      <w:r w:rsidR="004F01E9">
        <w:rPr>
          <w:noProof/>
        </w:rPr>
        <w:t xml:space="preserve"> a </w:t>
      </w:r>
      <w:r w:rsidRPr="004F01E9">
        <w:rPr>
          <w:noProof/>
        </w:rPr>
        <w:t>pozícií uvedených</w:t>
      </w:r>
      <w:r w:rsidR="004F01E9">
        <w:rPr>
          <w:noProof/>
        </w:rPr>
        <w:t xml:space="preserve"> v </w:t>
      </w:r>
      <w:r w:rsidRPr="004F01E9">
        <w:rPr>
          <w:noProof/>
        </w:rPr>
        <w:t>článku 429d.</w:t>
      </w:r>
    </w:p>
    <w:p w14:paraId="6099BE87" w14:textId="77777777" w:rsidR="004334CE" w:rsidRPr="006A7A28" w:rsidRDefault="004334CE" w:rsidP="004334CE">
      <w:pPr>
        <w:pStyle w:val="Text2"/>
        <w:rPr>
          <w:noProof/>
          <w:spacing w:val="-8"/>
        </w:rPr>
      </w:pPr>
      <w:r w:rsidRPr="006A7A28">
        <w:rPr>
          <w:noProof/>
          <w:spacing w:val="-8"/>
        </w:rPr>
        <w:t>Ak sa prísľub vzťahuje na predĺženie iného prísľubu, uplatňuje sa článok 166 ods. 9.“;</w:t>
      </w:r>
    </w:p>
    <w:p w14:paraId="5C535601" w14:textId="76D71A00" w:rsidR="00806B81" w:rsidRPr="004F01E9" w:rsidRDefault="00FE0F77" w:rsidP="00FE0F77">
      <w:pPr>
        <w:pStyle w:val="Point1"/>
        <w:rPr>
          <w:noProof/>
        </w:rPr>
      </w:pPr>
      <w:r w:rsidRPr="004F01E9">
        <w:rPr>
          <w:noProof/>
        </w:rPr>
        <w:t>b)</w:t>
      </w:r>
      <w:r w:rsidRPr="004F01E9">
        <w:rPr>
          <w:noProof/>
        </w:rPr>
        <w:tab/>
        <w:t>Odsek 3 sa vypúšťa.</w:t>
      </w:r>
    </w:p>
    <w:p w14:paraId="681A8B68" w14:textId="25C6DBA4" w:rsidR="00806B81" w:rsidRPr="004F01E9" w:rsidRDefault="00B16452" w:rsidP="00B16452">
      <w:pPr>
        <w:pStyle w:val="Point0"/>
        <w:rPr>
          <w:noProof/>
        </w:rPr>
      </w:pPr>
      <w:r w:rsidRPr="00B16452">
        <w:rPr>
          <w:noProof/>
        </w:rPr>
        <w:t>175</w:t>
      </w:r>
      <w:r>
        <w:rPr>
          <w:noProof/>
        </w:rPr>
        <w:t>.</w:t>
      </w:r>
      <w:r w:rsidRPr="00B16452">
        <w:rPr>
          <w:noProof/>
        </w:rPr>
        <w:tab/>
      </w:r>
      <w:r w:rsidR="004334CE" w:rsidRPr="004F01E9">
        <w:rPr>
          <w:noProof/>
        </w:rPr>
        <w:t>V článku 429g sa odsek 1 nahrádza takto:</w:t>
      </w:r>
    </w:p>
    <w:p w14:paraId="36FB1742" w14:textId="19449302" w:rsidR="004334CE" w:rsidRPr="004F01E9" w:rsidRDefault="004334CE" w:rsidP="004334CE">
      <w:pPr>
        <w:pStyle w:val="Text1"/>
        <w:rPr>
          <w:noProof/>
          <w:szCs w:val="24"/>
        </w:rPr>
      </w:pPr>
      <w:r w:rsidRPr="004F01E9">
        <w:rPr>
          <w:noProof/>
        </w:rPr>
        <w:t>„1. Inštitúcie zaobchádzajú</w:t>
      </w:r>
      <w:r w:rsidR="004F01E9">
        <w:rPr>
          <w:noProof/>
        </w:rPr>
        <w:t xml:space="preserve"> s </w:t>
      </w:r>
      <w:r w:rsidRPr="004F01E9">
        <w:rPr>
          <w:noProof/>
        </w:rPr>
        <w:t>hotovosťou súvisiacou</w:t>
      </w:r>
      <w:r w:rsidR="004F01E9">
        <w:rPr>
          <w:noProof/>
        </w:rPr>
        <w:t xml:space="preserve"> s </w:t>
      </w:r>
      <w:r w:rsidRPr="004F01E9">
        <w:rPr>
          <w:noProof/>
        </w:rPr>
        <w:t>bežnými nákupmi</w:t>
      </w:r>
      <w:r w:rsidR="004F01E9">
        <w:rPr>
          <w:noProof/>
        </w:rPr>
        <w:t xml:space="preserve"> a s </w:t>
      </w:r>
      <w:r w:rsidRPr="004F01E9">
        <w:rPr>
          <w:noProof/>
        </w:rPr>
        <w:t>finančnými aktívami súvisiacimi</w:t>
      </w:r>
      <w:r w:rsidR="004F01E9">
        <w:rPr>
          <w:noProof/>
        </w:rPr>
        <w:t xml:space="preserve"> s </w:t>
      </w:r>
      <w:r w:rsidRPr="004F01E9">
        <w:rPr>
          <w:noProof/>
        </w:rPr>
        <w:t>bežnými predajmi, ktoré zostávajú</w:t>
      </w:r>
      <w:r w:rsidR="004F01E9">
        <w:rPr>
          <w:noProof/>
        </w:rPr>
        <w:t xml:space="preserve"> v </w:t>
      </w:r>
      <w:r w:rsidRPr="004F01E9">
        <w:rPr>
          <w:noProof/>
        </w:rPr>
        <w:t>súvahe do dátumu vyrovnania, ako</w:t>
      </w:r>
      <w:r w:rsidR="004F01E9">
        <w:rPr>
          <w:noProof/>
        </w:rPr>
        <w:t xml:space="preserve"> s </w:t>
      </w:r>
      <w:r w:rsidRPr="004F01E9">
        <w:rPr>
          <w:noProof/>
        </w:rPr>
        <w:t>aktívami</w:t>
      </w:r>
      <w:r w:rsidR="004F01E9">
        <w:rPr>
          <w:noProof/>
        </w:rPr>
        <w:t xml:space="preserve"> v </w:t>
      </w:r>
      <w:r w:rsidRPr="004F01E9">
        <w:rPr>
          <w:noProof/>
        </w:rPr>
        <w:t>súlade</w:t>
      </w:r>
      <w:r w:rsidR="004F01E9">
        <w:rPr>
          <w:noProof/>
        </w:rPr>
        <w:t xml:space="preserve"> s </w:t>
      </w:r>
      <w:r w:rsidRPr="004F01E9">
        <w:rPr>
          <w:noProof/>
        </w:rPr>
        <w:t>článkom 429 ods. 4 písm. a).“</w:t>
      </w:r>
    </w:p>
    <w:p w14:paraId="59B817C4" w14:textId="462AFB71" w:rsidR="004334CE" w:rsidRPr="004F01E9" w:rsidRDefault="00B16452" w:rsidP="00B16452">
      <w:pPr>
        <w:pStyle w:val="Point0"/>
        <w:rPr>
          <w:noProof/>
        </w:rPr>
      </w:pPr>
      <w:r w:rsidRPr="00B16452">
        <w:rPr>
          <w:noProof/>
        </w:rPr>
        <w:t>176</w:t>
      </w:r>
      <w:r>
        <w:rPr>
          <w:noProof/>
        </w:rPr>
        <w:t>.</w:t>
      </w:r>
      <w:r w:rsidRPr="00B16452">
        <w:rPr>
          <w:noProof/>
        </w:rPr>
        <w:tab/>
      </w:r>
      <w:r w:rsidR="004334CE" w:rsidRPr="004F01E9">
        <w:rPr>
          <w:noProof/>
        </w:rPr>
        <w:t>V článku 430 ods. 1 sa dopĺňa toto písmeno h):</w:t>
      </w:r>
    </w:p>
    <w:p w14:paraId="06749D69" w14:textId="59A58CB2" w:rsidR="004334CE" w:rsidRPr="004F01E9" w:rsidRDefault="00FE0F77" w:rsidP="004334CE">
      <w:pPr>
        <w:pStyle w:val="Text1"/>
        <w:rPr>
          <w:noProof/>
          <w:szCs w:val="24"/>
        </w:rPr>
      </w:pPr>
      <w:r w:rsidRPr="004F01E9">
        <w:rPr>
          <w:noProof/>
        </w:rPr>
        <w:t>„h)</w:t>
      </w:r>
      <w:r w:rsidRPr="004F01E9">
        <w:rPr>
          <w:noProof/>
        </w:rPr>
        <w:tab/>
        <w:t>o svojich expozíciách voči rizikám ESG.“</w:t>
      </w:r>
    </w:p>
    <w:p w14:paraId="42C78B81" w14:textId="31DCAFD9" w:rsidR="004334CE" w:rsidRPr="004F01E9" w:rsidRDefault="00B16452" w:rsidP="00B16452">
      <w:pPr>
        <w:pStyle w:val="Point0"/>
        <w:rPr>
          <w:noProof/>
        </w:rPr>
      </w:pPr>
      <w:r w:rsidRPr="00B16452">
        <w:rPr>
          <w:noProof/>
        </w:rPr>
        <w:t>177</w:t>
      </w:r>
      <w:r>
        <w:rPr>
          <w:noProof/>
        </w:rPr>
        <w:t>.</w:t>
      </w:r>
      <w:r w:rsidRPr="00B16452">
        <w:rPr>
          <w:noProof/>
        </w:rPr>
        <w:tab/>
      </w:r>
      <w:r w:rsidR="004334CE" w:rsidRPr="004F01E9">
        <w:rPr>
          <w:noProof/>
        </w:rPr>
        <w:t>V článku 430a sa odsek 1 nahrádza takto:</w:t>
      </w:r>
    </w:p>
    <w:p w14:paraId="7C3F9CD7" w14:textId="20A336EF" w:rsidR="004334CE" w:rsidRPr="004F01E9" w:rsidRDefault="004334CE" w:rsidP="004334CE">
      <w:pPr>
        <w:pStyle w:val="Text1"/>
        <w:rPr>
          <w:noProof/>
        </w:rPr>
      </w:pPr>
      <w:r w:rsidRPr="004F01E9">
        <w:rPr>
          <w:noProof/>
        </w:rPr>
        <w:t>„1. Inštitúcie svojim príslušným orgánom každoročne oznamujú tieto súhrnné údaje za každý národný trh</w:t>
      </w:r>
      <w:r w:rsidR="004F01E9">
        <w:rPr>
          <w:noProof/>
        </w:rPr>
        <w:t xml:space="preserve"> s </w:t>
      </w:r>
      <w:r w:rsidRPr="004F01E9">
        <w:rPr>
          <w:noProof/>
        </w:rPr>
        <w:t>nehnuteľným majetkom, ktorému sú vystavené:</w:t>
      </w:r>
    </w:p>
    <w:p w14:paraId="2F70E12A" w14:textId="0A520E16" w:rsidR="004334CE" w:rsidRPr="004F01E9" w:rsidRDefault="004334CE" w:rsidP="004334CE">
      <w:pPr>
        <w:pStyle w:val="Point1"/>
        <w:rPr>
          <w:noProof/>
        </w:rPr>
      </w:pPr>
      <w:r w:rsidRPr="004F01E9">
        <w:rPr>
          <w:noProof/>
        </w:rPr>
        <w:t>a)</w:t>
      </w:r>
      <w:r w:rsidRPr="004F01E9">
        <w:rPr>
          <w:noProof/>
        </w:rPr>
        <w:tab/>
        <w:t>straty pochádzajúce</w:t>
      </w:r>
      <w:r w:rsidR="004F01E9">
        <w:rPr>
          <w:noProof/>
        </w:rPr>
        <w:t xml:space="preserve"> z </w:t>
      </w:r>
      <w:r w:rsidRPr="004F01E9">
        <w:rPr>
          <w:noProof/>
        </w:rPr>
        <w:t>expozícií, pri ktorých inštitúcia uznala nehnuteľný majetok určený na bývanie za kolaterál,</w:t>
      </w:r>
      <w:r w:rsidR="004F01E9">
        <w:rPr>
          <w:noProof/>
        </w:rPr>
        <w:t xml:space="preserve"> a </w:t>
      </w:r>
      <w:r w:rsidRPr="004F01E9">
        <w:rPr>
          <w:noProof/>
        </w:rPr>
        <w:t>to do výšky, ktorá nepresahuje založenú hodnotu</w:t>
      </w:r>
      <w:r w:rsidR="004F01E9">
        <w:rPr>
          <w:noProof/>
        </w:rPr>
        <w:t xml:space="preserve"> a </w:t>
      </w:r>
      <w:r w:rsidRPr="004F01E9">
        <w:rPr>
          <w:noProof/>
        </w:rPr>
        <w:t>55</w:t>
      </w:r>
      <w:r w:rsidR="004F01E9">
        <w:rPr>
          <w:noProof/>
        </w:rPr>
        <w:t> %</w:t>
      </w:r>
      <w:r w:rsidRPr="004F01E9">
        <w:rPr>
          <w:noProof/>
        </w:rPr>
        <w:t xml:space="preserve"> hodnoty majetku, pokiaľ nebolo rozhodnuté inak podľa článku 124 ods. 7;</w:t>
      </w:r>
    </w:p>
    <w:p w14:paraId="187AC1E1" w14:textId="5B73E3B0" w:rsidR="004334CE" w:rsidRPr="004F01E9" w:rsidRDefault="004334CE" w:rsidP="004334CE">
      <w:pPr>
        <w:pStyle w:val="Point1"/>
        <w:rPr>
          <w:noProof/>
        </w:rPr>
      </w:pPr>
      <w:r w:rsidRPr="004F01E9">
        <w:rPr>
          <w:noProof/>
        </w:rPr>
        <w:t>b)</w:t>
      </w:r>
      <w:r w:rsidRPr="004F01E9">
        <w:rPr>
          <w:noProof/>
        </w:rPr>
        <w:tab/>
        <w:t>celkové straty pochádzajúce</w:t>
      </w:r>
      <w:r w:rsidR="004F01E9">
        <w:rPr>
          <w:noProof/>
        </w:rPr>
        <w:t xml:space="preserve"> z </w:t>
      </w:r>
      <w:r w:rsidRPr="004F01E9">
        <w:rPr>
          <w:noProof/>
        </w:rPr>
        <w:t>expozícií, pri ktorých inštitúcia uznala nehnuteľný majetok určený na bývanie za kolaterál do výšky časti expozície, ktorá je zabezpečená nehnuteľným majetkom určeným na bývanie</w:t>
      </w:r>
      <w:r w:rsidR="004F01E9">
        <w:rPr>
          <w:noProof/>
        </w:rPr>
        <w:t xml:space="preserve"> v </w:t>
      </w:r>
      <w:r w:rsidRPr="004F01E9">
        <w:rPr>
          <w:noProof/>
        </w:rPr>
        <w:t>súlade</w:t>
      </w:r>
      <w:r w:rsidR="004F01E9">
        <w:rPr>
          <w:noProof/>
        </w:rPr>
        <w:t xml:space="preserve"> s </w:t>
      </w:r>
      <w:r w:rsidRPr="004F01E9">
        <w:rPr>
          <w:noProof/>
        </w:rPr>
        <w:t>článkom 124 ods. 2 písm. a);</w:t>
      </w:r>
    </w:p>
    <w:p w14:paraId="386CA25D" w14:textId="0F1E1CF3" w:rsidR="004334CE" w:rsidRPr="004F01E9" w:rsidRDefault="004334CE" w:rsidP="004334CE">
      <w:pPr>
        <w:pStyle w:val="Point1"/>
        <w:rPr>
          <w:noProof/>
        </w:rPr>
      </w:pPr>
      <w:r w:rsidRPr="004F01E9">
        <w:rPr>
          <w:noProof/>
        </w:rPr>
        <w:t>c)</w:t>
      </w:r>
      <w:r w:rsidRPr="004F01E9">
        <w:rPr>
          <w:noProof/>
        </w:rPr>
        <w:tab/>
        <w:t>hodnotu expozície všetkých zostávajúcich expozícií, pri ktorých inštitúcia uznala nehnuteľný majetok určený na bývanie za kolaterál obmedzený na časť, ktorá je zabezpečená nehnuteľným majetkom určeným na bývanie</w:t>
      </w:r>
      <w:r w:rsidR="004F01E9">
        <w:rPr>
          <w:noProof/>
        </w:rPr>
        <w:t xml:space="preserve"> v </w:t>
      </w:r>
      <w:r w:rsidRPr="004F01E9">
        <w:rPr>
          <w:noProof/>
        </w:rPr>
        <w:t>súlade</w:t>
      </w:r>
      <w:r w:rsidR="004F01E9">
        <w:rPr>
          <w:noProof/>
        </w:rPr>
        <w:t xml:space="preserve"> s </w:t>
      </w:r>
      <w:r w:rsidRPr="004F01E9">
        <w:rPr>
          <w:noProof/>
        </w:rPr>
        <w:t>článkom 124 ods. 2 písm. a);</w:t>
      </w:r>
    </w:p>
    <w:p w14:paraId="3A9DAA85" w14:textId="72E1535D" w:rsidR="004334CE" w:rsidRPr="004F01E9" w:rsidRDefault="004334CE" w:rsidP="004334CE">
      <w:pPr>
        <w:pStyle w:val="Point1"/>
        <w:rPr>
          <w:noProof/>
        </w:rPr>
      </w:pPr>
      <w:r w:rsidRPr="004F01E9">
        <w:rPr>
          <w:noProof/>
        </w:rPr>
        <w:t>d)</w:t>
      </w:r>
      <w:r w:rsidRPr="004F01E9">
        <w:rPr>
          <w:noProof/>
        </w:rPr>
        <w:tab/>
        <w:t>straty pochádzajúce</w:t>
      </w:r>
      <w:r w:rsidR="004F01E9">
        <w:rPr>
          <w:noProof/>
        </w:rPr>
        <w:t xml:space="preserve"> z </w:t>
      </w:r>
      <w:r w:rsidRPr="004F01E9">
        <w:rPr>
          <w:noProof/>
        </w:rPr>
        <w:t>expozícií, pri ktorých inštitúcia uznala nehnuteľný majetok určený na podnikanie za kolaterál,</w:t>
      </w:r>
      <w:r w:rsidR="004F01E9">
        <w:rPr>
          <w:noProof/>
        </w:rPr>
        <w:t xml:space="preserve"> a </w:t>
      </w:r>
      <w:r w:rsidRPr="004F01E9">
        <w:rPr>
          <w:noProof/>
        </w:rPr>
        <w:t>to do výšky, ktorá nepresahuje založenú hodnotu</w:t>
      </w:r>
      <w:r w:rsidR="004F01E9">
        <w:rPr>
          <w:noProof/>
        </w:rPr>
        <w:t xml:space="preserve"> a </w:t>
      </w:r>
      <w:r w:rsidRPr="004F01E9">
        <w:rPr>
          <w:noProof/>
        </w:rPr>
        <w:t>55</w:t>
      </w:r>
      <w:r w:rsidR="004F01E9">
        <w:rPr>
          <w:noProof/>
        </w:rPr>
        <w:t> %</w:t>
      </w:r>
      <w:r w:rsidRPr="004F01E9">
        <w:rPr>
          <w:noProof/>
        </w:rPr>
        <w:t xml:space="preserve"> hodnoty majetku, pokiaľ nebolo rozhodnuté inak podľa článku 124 ods. 7;</w:t>
      </w:r>
    </w:p>
    <w:p w14:paraId="4DA376E6" w14:textId="2F1D1006" w:rsidR="004334CE" w:rsidRPr="004F01E9" w:rsidRDefault="004334CE" w:rsidP="004334CE">
      <w:pPr>
        <w:pStyle w:val="Point1"/>
        <w:rPr>
          <w:noProof/>
        </w:rPr>
      </w:pPr>
      <w:r w:rsidRPr="004F01E9">
        <w:rPr>
          <w:noProof/>
        </w:rPr>
        <w:t>e)</w:t>
      </w:r>
      <w:r w:rsidRPr="004F01E9">
        <w:rPr>
          <w:noProof/>
        </w:rPr>
        <w:tab/>
        <w:t>celkové straty pochádzajúce</w:t>
      </w:r>
      <w:r w:rsidR="004F01E9">
        <w:rPr>
          <w:noProof/>
        </w:rPr>
        <w:t xml:space="preserve"> z </w:t>
      </w:r>
      <w:r w:rsidRPr="004F01E9">
        <w:rPr>
          <w:noProof/>
        </w:rPr>
        <w:t>expozícií, pri ktorých inštitúcia uznala nehnuteľný majetok určený na podnikanie za kolaterál do výšky časti expozície, ktorá je zabezpečená nehnuteľným majetkom určeným na podnikanie</w:t>
      </w:r>
      <w:r w:rsidR="004F01E9">
        <w:rPr>
          <w:noProof/>
        </w:rPr>
        <w:t xml:space="preserve"> v </w:t>
      </w:r>
      <w:r w:rsidRPr="004F01E9">
        <w:rPr>
          <w:noProof/>
        </w:rPr>
        <w:t>súlade</w:t>
      </w:r>
      <w:r w:rsidR="004F01E9">
        <w:rPr>
          <w:noProof/>
        </w:rPr>
        <w:t xml:space="preserve"> s </w:t>
      </w:r>
      <w:r w:rsidRPr="004F01E9">
        <w:rPr>
          <w:noProof/>
        </w:rPr>
        <w:t>článkom 124 ods. 2 písm. c);</w:t>
      </w:r>
    </w:p>
    <w:p w14:paraId="13153371" w14:textId="1C8E7947" w:rsidR="004334CE" w:rsidRPr="004F01E9" w:rsidRDefault="004334CE" w:rsidP="004334CE">
      <w:pPr>
        <w:pStyle w:val="Point1"/>
        <w:rPr>
          <w:noProof/>
        </w:rPr>
      </w:pPr>
      <w:r w:rsidRPr="004F01E9">
        <w:rPr>
          <w:noProof/>
        </w:rPr>
        <w:t>f)</w:t>
      </w:r>
      <w:r w:rsidRPr="004F01E9">
        <w:rPr>
          <w:noProof/>
        </w:rPr>
        <w:tab/>
        <w:t>hodnotu expozície všetkých zostávajúcich expozícií, pri ktorých inštitúcia uznala nehnuteľný majetok určený na podnikanie za kolaterál obmedzený na časť, ktorá je zabezpečená nehnuteľným majetkom určeným na podnikanie</w:t>
      </w:r>
      <w:r w:rsidR="004F01E9">
        <w:rPr>
          <w:noProof/>
        </w:rPr>
        <w:t xml:space="preserve"> v </w:t>
      </w:r>
      <w:r w:rsidRPr="004F01E9">
        <w:rPr>
          <w:noProof/>
        </w:rPr>
        <w:t>súlade</w:t>
      </w:r>
      <w:r w:rsidR="004F01E9">
        <w:rPr>
          <w:noProof/>
        </w:rPr>
        <w:t xml:space="preserve"> s </w:t>
      </w:r>
      <w:r w:rsidRPr="004F01E9">
        <w:rPr>
          <w:noProof/>
        </w:rPr>
        <w:t>článkom 124 ods. 2 písm. c).“</w:t>
      </w:r>
    </w:p>
    <w:p w14:paraId="0D05D312" w14:textId="120E27FD" w:rsidR="00806B81" w:rsidRPr="004F01E9" w:rsidRDefault="00B16452" w:rsidP="00B16452">
      <w:pPr>
        <w:pStyle w:val="Point0"/>
        <w:rPr>
          <w:noProof/>
        </w:rPr>
      </w:pPr>
      <w:r w:rsidRPr="00B16452">
        <w:rPr>
          <w:noProof/>
        </w:rPr>
        <w:t>178</w:t>
      </w:r>
      <w:r>
        <w:rPr>
          <w:noProof/>
        </w:rPr>
        <w:t>.</w:t>
      </w:r>
      <w:r w:rsidRPr="00B16452">
        <w:rPr>
          <w:noProof/>
        </w:rPr>
        <w:tab/>
      </w:r>
      <w:r w:rsidR="004334CE" w:rsidRPr="004F01E9">
        <w:rPr>
          <w:noProof/>
        </w:rPr>
        <w:t>Článok 433 sa nahrádza takto:</w:t>
      </w:r>
    </w:p>
    <w:p w14:paraId="0DA9AA46" w14:textId="16FDD8CA" w:rsidR="004334CE" w:rsidRPr="004F01E9" w:rsidRDefault="004334CE" w:rsidP="004334CE">
      <w:pPr>
        <w:pStyle w:val="Titrearticle"/>
        <w:rPr>
          <w:noProof/>
        </w:rPr>
      </w:pPr>
      <w:r w:rsidRPr="004F01E9">
        <w:rPr>
          <w:noProof/>
        </w:rPr>
        <w:t xml:space="preserve">„Článok 433 </w:t>
      </w:r>
      <w:r w:rsidRPr="004F01E9">
        <w:rPr>
          <w:noProof/>
        </w:rPr>
        <w:br/>
      </w:r>
      <w:r w:rsidRPr="004F01E9">
        <w:rPr>
          <w:b/>
          <w:i w:val="0"/>
          <w:noProof/>
        </w:rPr>
        <w:t>Frekvencia</w:t>
      </w:r>
      <w:r w:rsidR="004F01E9">
        <w:rPr>
          <w:b/>
          <w:i w:val="0"/>
          <w:noProof/>
        </w:rPr>
        <w:t xml:space="preserve"> a </w:t>
      </w:r>
      <w:r w:rsidRPr="004F01E9">
        <w:rPr>
          <w:b/>
          <w:i w:val="0"/>
          <w:noProof/>
        </w:rPr>
        <w:t>rozsah zverejňovania informácií</w:t>
      </w:r>
    </w:p>
    <w:p w14:paraId="40F5FB86" w14:textId="2AB0AE01" w:rsidR="004334CE" w:rsidRPr="004F01E9" w:rsidRDefault="004334CE" w:rsidP="004334CE">
      <w:pPr>
        <w:pStyle w:val="Text1"/>
        <w:rPr>
          <w:noProof/>
        </w:rPr>
      </w:pPr>
      <w:r w:rsidRPr="004F01E9">
        <w:rPr>
          <w:noProof/>
        </w:rPr>
        <w:t>Inštitúcie zverejňujú informácie požadované podľa hláv II</w:t>
      </w:r>
      <w:r w:rsidR="004F01E9">
        <w:rPr>
          <w:noProof/>
        </w:rPr>
        <w:t xml:space="preserve"> a </w:t>
      </w:r>
      <w:r w:rsidRPr="004F01E9">
        <w:rPr>
          <w:noProof/>
        </w:rPr>
        <w:t>III spôsobom stanoveným</w:t>
      </w:r>
      <w:r w:rsidR="004F01E9">
        <w:rPr>
          <w:noProof/>
        </w:rPr>
        <w:t xml:space="preserve"> v </w:t>
      </w:r>
      <w:r w:rsidRPr="004F01E9">
        <w:rPr>
          <w:noProof/>
        </w:rPr>
        <w:t>tomto článku</w:t>
      </w:r>
      <w:r w:rsidR="004F01E9">
        <w:rPr>
          <w:noProof/>
        </w:rPr>
        <w:t xml:space="preserve"> a </w:t>
      </w:r>
      <w:r w:rsidRPr="004F01E9">
        <w:rPr>
          <w:noProof/>
        </w:rPr>
        <w:t>článkoch 433a, 433b, 433c</w:t>
      </w:r>
      <w:r w:rsidR="004F01E9">
        <w:rPr>
          <w:noProof/>
        </w:rPr>
        <w:t xml:space="preserve"> a </w:t>
      </w:r>
      <w:r w:rsidRPr="004F01E9">
        <w:rPr>
          <w:noProof/>
        </w:rPr>
        <w:t>434.</w:t>
      </w:r>
    </w:p>
    <w:p w14:paraId="37BF1115" w14:textId="58A40244" w:rsidR="004334CE" w:rsidRPr="004F01E9" w:rsidRDefault="004334CE" w:rsidP="004334CE">
      <w:pPr>
        <w:pStyle w:val="Text1"/>
        <w:rPr>
          <w:noProof/>
        </w:rPr>
      </w:pPr>
      <w:r w:rsidRPr="004F01E9">
        <w:rPr>
          <w:noProof/>
        </w:rPr>
        <w:t>EBA uverejňuje ročne zverejňované informácie na svojom webovom sídle</w:t>
      </w:r>
      <w:r w:rsidR="004F01E9">
        <w:rPr>
          <w:noProof/>
        </w:rPr>
        <w:t xml:space="preserve"> k </w:t>
      </w:r>
      <w:r w:rsidRPr="004F01E9">
        <w:rPr>
          <w:noProof/>
        </w:rPr>
        <w:t>rovnakému dátumu, ako je dátum uverejnenia účtovnej závierky inštitúcií, alebo čo najskôr po uvedenom dátume.</w:t>
      </w:r>
    </w:p>
    <w:p w14:paraId="37FF1E75" w14:textId="1F421103" w:rsidR="004334CE" w:rsidRPr="006A7A28" w:rsidRDefault="004334CE" w:rsidP="004334CE">
      <w:pPr>
        <w:pStyle w:val="Text1"/>
        <w:rPr>
          <w:noProof/>
          <w:spacing w:val="-4"/>
        </w:rPr>
      </w:pPr>
      <w:r w:rsidRPr="006A7A28">
        <w:rPr>
          <w:noProof/>
          <w:spacing w:val="-4"/>
        </w:rPr>
        <w:t>EBA uverejňuje polročné</w:t>
      </w:r>
      <w:r w:rsidR="004F01E9" w:rsidRPr="006A7A28">
        <w:rPr>
          <w:noProof/>
          <w:spacing w:val="-4"/>
        </w:rPr>
        <w:t xml:space="preserve"> a </w:t>
      </w:r>
      <w:r w:rsidRPr="006A7A28">
        <w:rPr>
          <w:noProof/>
          <w:spacing w:val="-4"/>
        </w:rPr>
        <w:t>štvrťročné zverejňované informácie na svojom webovom sídle</w:t>
      </w:r>
      <w:r w:rsidR="004F01E9" w:rsidRPr="006A7A28">
        <w:rPr>
          <w:noProof/>
          <w:spacing w:val="-4"/>
        </w:rPr>
        <w:t xml:space="preserve"> k </w:t>
      </w:r>
      <w:r w:rsidRPr="006A7A28">
        <w:rPr>
          <w:noProof/>
          <w:spacing w:val="-4"/>
        </w:rPr>
        <w:t>rovnakému dátumu, ako je dátum uverejnenia finančných správ inštitúcií za zodpovedajúce obdobie, ak to je uplatniteľné, alebo čo najskôr po uvedenom dátume.</w:t>
      </w:r>
    </w:p>
    <w:p w14:paraId="51404173" w14:textId="5A584B88" w:rsidR="004334CE" w:rsidRPr="004F01E9" w:rsidRDefault="004334CE" w:rsidP="004334CE">
      <w:pPr>
        <w:pStyle w:val="Text1"/>
        <w:rPr>
          <w:noProof/>
        </w:rPr>
      </w:pPr>
      <w:r w:rsidRPr="004F01E9">
        <w:rPr>
          <w:noProof/>
        </w:rPr>
        <w:t>Každé oneskorenie medzi dátumom uverejnenia zverejňovaných informácií požadovaných podľa tejto časti</w:t>
      </w:r>
      <w:r w:rsidR="004F01E9">
        <w:rPr>
          <w:noProof/>
        </w:rPr>
        <w:t xml:space="preserve"> a </w:t>
      </w:r>
      <w:r w:rsidRPr="004F01E9">
        <w:rPr>
          <w:noProof/>
        </w:rPr>
        <w:t>dátumom uverejnenia príslušnej účtovnej závierky musí byť primerané</w:t>
      </w:r>
      <w:r w:rsidR="004F01E9">
        <w:rPr>
          <w:noProof/>
        </w:rPr>
        <w:t xml:space="preserve"> a v </w:t>
      </w:r>
      <w:r w:rsidRPr="004F01E9">
        <w:rPr>
          <w:noProof/>
        </w:rPr>
        <w:t>žiadnom prípade nesmie presiahnuť lehotu stanovenú príslušnými orgánmi podľa článku 106 smernice 2013/36/EÚ.“</w:t>
      </w:r>
    </w:p>
    <w:p w14:paraId="291BB58A" w14:textId="1EDB57DE" w:rsidR="004334CE" w:rsidRPr="004F01E9" w:rsidRDefault="00B16452" w:rsidP="00B16452">
      <w:pPr>
        <w:pStyle w:val="Point0"/>
        <w:rPr>
          <w:noProof/>
        </w:rPr>
      </w:pPr>
      <w:r w:rsidRPr="00B16452">
        <w:rPr>
          <w:noProof/>
        </w:rPr>
        <w:t>179</w:t>
      </w:r>
      <w:r>
        <w:rPr>
          <w:noProof/>
        </w:rPr>
        <w:t>.</w:t>
      </w:r>
      <w:r w:rsidRPr="00B16452">
        <w:rPr>
          <w:noProof/>
        </w:rPr>
        <w:tab/>
      </w:r>
      <w:r w:rsidR="004334CE" w:rsidRPr="004F01E9">
        <w:rPr>
          <w:noProof/>
        </w:rPr>
        <w:t>V článku 433a ods. 1 písm. c) sa bod i) nahrádza takto:</w:t>
      </w:r>
    </w:p>
    <w:p w14:paraId="0F7035C5" w14:textId="7C374B0B" w:rsidR="00806B81" w:rsidRPr="004F01E9" w:rsidRDefault="004334CE" w:rsidP="004334CE">
      <w:pPr>
        <w:pStyle w:val="Text1"/>
        <w:rPr>
          <w:noProof/>
        </w:rPr>
      </w:pPr>
      <w:r w:rsidRPr="004F01E9">
        <w:rPr>
          <w:noProof/>
        </w:rPr>
        <w:t>„i) článok 438 písm. d), da)</w:t>
      </w:r>
      <w:r w:rsidR="004F01E9">
        <w:rPr>
          <w:noProof/>
        </w:rPr>
        <w:t xml:space="preserve"> a </w:t>
      </w:r>
      <w:r w:rsidRPr="004F01E9">
        <w:rPr>
          <w:noProof/>
        </w:rPr>
        <w:t>h);“.</w:t>
      </w:r>
    </w:p>
    <w:p w14:paraId="4C75266C" w14:textId="19CE50D1" w:rsidR="00806B81" w:rsidRPr="004F01E9" w:rsidRDefault="00B16452" w:rsidP="00B16452">
      <w:pPr>
        <w:pStyle w:val="Point0"/>
        <w:rPr>
          <w:noProof/>
        </w:rPr>
      </w:pPr>
      <w:r w:rsidRPr="00B16452">
        <w:rPr>
          <w:noProof/>
        </w:rPr>
        <w:t>180</w:t>
      </w:r>
      <w:r>
        <w:rPr>
          <w:noProof/>
        </w:rPr>
        <w:t>.</w:t>
      </w:r>
      <w:r w:rsidRPr="00B16452">
        <w:rPr>
          <w:noProof/>
        </w:rPr>
        <w:tab/>
      </w:r>
      <w:r w:rsidR="004334CE" w:rsidRPr="004F01E9">
        <w:rPr>
          <w:noProof/>
        </w:rPr>
        <w:t>V článku 433b ods. 1 sa písmeno a) mení takto:</w:t>
      </w:r>
    </w:p>
    <w:p w14:paraId="681D6098" w14:textId="08B0586A" w:rsidR="004334CE" w:rsidRPr="004F01E9" w:rsidRDefault="00FE0F77" w:rsidP="00FE0F77">
      <w:pPr>
        <w:pStyle w:val="Point1"/>
        <w:rPr>
          <w:noProof/>
        </w:rPr>
      </w:pPr>
      <w:r w:rsidRPr="004F01E9">
        <w:rPr>
          <w:noProof/>
        </w:rPr>
        <w:t>a)</w:t>
      </w:r>
      <w:r w:rsidRPr="004F01E9">
        <w:rPr>
          <w:noProof/>
        </w:rPr>
        <w:tab/>
        <w:t>Bod ii) sa nahrádza takto:</w:t>
      </w:r>
    </w:p>
    <w:p w14:paraId="4A0F8315" w14:textId="67FC6811" w:rsidR="004334CE" w:rsidRPr="004F01E9" w:rsidRDefault="004334CE" w:rsidP="004334CE">
      <w:pPr>
        <w:pStyle w:val="Text2"/>
        <w:rPr>
          <w:noProof/>
        </w:rPr>
      </w:pPr>
      <w:r w:rsidRPr="004F01E9">
        <w:rPr>
          <w:noProof/>
        </w:rPr>
        <w:t>„ii) článok 438 písm. c), d)</w:t>
      </w:r>
      <w:r w:rsidR="004F01E9">
        <w:rPr>
          <w:noProof/>
        </w:rPr>
        <w:t xml:space="preserve"> a </w:t>
      </w:r>
      <w:r w:rsidRPr="004F01E9">
        <w:rPr>
          <w:noProof/>
        </w:rPr>
        <w:t>da);“;</w:t>
      </w:r>
    </w:p>
    <w:p w14:paraId="50248AA1" w14:textId="0C93B677" w:rsidR="004334CE" w:rsidRPr="004F01E9" w:rsidRDefault="00FE0F77" w:rsidP="00FE0F77">
      <w:pPr>
        <w:pStyle w:val="Point1"/>
        <w:rPr>
          <w:noProof/>
        </w:rPr>
      </w:pPr>
      <w:r w:rsidRPr="004F01E9">
        <w:rPr>
          <w:noProof/>
        </w:rPr>
        <w:t>b)</w:t>
      </w:r>
      <w:r w:rsidRPr="004F01E9">
        <w:rPr>
          <w:noProof/>
        </w:rPr>
        <w:tab/>
        <w:t>Dopĺňa sa tento bod iv):</w:t>
      </w:r>
    </w:p>
    <w:p w14:paraId="24E71FB3" w14:textId="51CCFDF3" w:rsidR="004334CE" w:rsidRPr="004F01E9" w:rsidRDefault="004334CE" w:rsidP="004334CE">
      <w:pPr>
        <w:pStyle w:val="Text2"/>
        <w:rPr>
          <w:noProof/>
        </w:rPr>
      </w:pPr>
      <w:r w:rsidRPr="004F01E9">
        <w:rPr>
          <w:noProof/>
        </w:rPr>
        <w:t>„iv) článok 442 písm. c)</w:t>
      </w:r>
      <w:r w:rsidR="004F01E9">
        <w:rPr>
          <w:noProof/>
        </w:rPr>
        <w:t xml:space="preserve"> a </w:t>
      </w:r>
      <w:r w:rsidRPr="004F01E9">
        <w:rPr>
          <w:noProof/>
        </w:rPr>
        <w:t>d);“.</w:t>
      </w:r>
    </w:p>
    <w:p w14:paraId="14F99C15" w14:textId="300B8172" w:rsidR="00806B81" w:rsidRPr="004F01E9" w:rsidRDefault="00B16452" w:rsidP="00B16452">
      <w:pPr>
        <w:pStyle w:val="Point0"/>
        <w:rPr>
          <w:noProof/>
        </w:rPr>
      </w:pPr>
      <w:r w:rsidRPr="00B16452">
        <w:rPr>
          <w:noProof/>
        </w:rPr>
        <w:t>181</w:t>
      </w:r>
      <w:r>
        <w:rPr>
          <w:noProof/>
        </w:rPr>
        <w:t>.</w:t>
      </w:r>
      <w:r w:rsidRPr="00B16452">
        <w:rPr>
          <w:noProof/>
        </w:rPr>
        <w:tab/>
      </w:r>
      <w:r w:rsidR="004334CE" w:rsidRPr="004F01E9">
        <w:rPr>
          <w:noProof/>
        </w:rPr>
        <w:t>V článku 433c sa odsek 2 mení takto:</w:t>
      </w:r>
    </w:p>
    <w:p w14:paraId="18406BE9" w14:textId="182E5D98" w:rsidR="004334CE" w:rsidRPr="004F01E9" w:rsidRDefault="00FE0F77" w:rsidP="00FE0F77">
      <w:pPr>
        <w:pStyle w:val="Point1"/>
        <w:rPr>
          <w:noProof/>
        </w:rPr>
      </w:pPr>
      <w:r w:rsidRPr="004F01E9">
        <w:rPr>
          <w:noProof/>
        </w:rPr>
        <w:t>a)</w:t>
      </w:r>
      <w:r w:rsidRPr="004F01E9">
        <w:rPr>
          <w:noProof/>
        </w:rPr>
        <w:tab/>
        <w:t>Písmeno d) sa nahrádza takto:</w:t>
      </w:r>
    </w:p>
    <w:p w14:paraId="7A78825D" w14:textId="1E7778D5" w:rsidR="004334CE" w:rsidRPr="004F01E9" w:rsidRDefault="004334CE" w:rsidP="004334CE">
      <w:pPr>
        <w:pStyle w:val="Text2"/>
        <w:rPr>
          <w:noProof/>
        </w:rPr>
      </w:pPr>
      <w:r w:rsidRPr="004F01E9">
        <w:rPr>
          <w:noProof/>
        </w:rPr>
        <w:t>„d) článok 438 písm. c), d)</w:t>
      </w:r>
      <w:r w:rsidR="004F01E9">
        <w:rPr>
          <w:noProof/>
        </w:rPr>
        <w:t xml:space="preserve"> a </w:t>
      </w:r>
      <w:r w:rsidRPr="004F01E9">
        <w:rPr>
          <w:noProof/>
        </w:rPr>
        <w:t>da);“;</w:t>
      </w:r>
    </w:p>
    <w:p w14:paraId="7C2E16E1" w14:textId="7733ABF4" w:rsidR="004334CE" w:rsidRPr="004F01E9" w:rsidRDefault="00FE0F77" w:rsidP="00FE0F77">
      <w:pPr>
        <w:pStyle w:val="Point1"/>
        <w:rPr>
          <w:noProof/>
        </w:rPr>
      </w:pPr>
      <w:r w:rsidRPr="004F01E9">
        <w:rPr>
          <w:noProof/>
        </w:rPr>
        <w:t>b)</w:t>
      </w:r>
      <w:r w:rsidRPr="004F01E9">
        <w:rPr>
          <w:noProof/>
        </w:rPr>
        <w:tab/>
        <w:t>Dopĺňa sa toto písmeno g):</w:t>
      </w:r>
    </w:p>
    <w:p w14:paraId="0F30A190" w14:textId="450D9542" w:rsidR="004334CE" w:rsidRPr="004F01E9" w:rsidRDefault="004334CE" w:rsidP="004334CE">
      <w:pPr>
        <w:pStyle w:val="Text2"/>
        <w:rPr>
          <w:noProof/>
        </w:rPr>
      </w:pPr>
      <w:r w:rsidRPr="004F01E9">
        <w:rPr>
          <w:noProof/>
        </w:rPr>
        <w:t>„g) článok 442 písm. c)</w:t>
      </w:r>
      <w:r w:rsidR="004F01E9">
        <w:rPr>
          <w:noProof/>
        </w:rPr>
        <w:t xml:space="preserve"> a </w:t>
      </w:r>
      <w:r w:rsidRPr="004F01E9">
        <w:rPr>
          <w:noProof/>
        </w:rPr>
        <w:t>d).“</w:t>
      </w:r>
    </w:p>
    <w:p w14:paraId="69904BE4" w14:textId="0BB23A85" w:rsidR="00806B81" w:rsidRPr="004F01E9" w:rsidRDefault="00B16452" w:rsidP="00B16452">
      <w:pPr>
        <w:pStyle w:val="Point0"/>
        <w:rPr>
          <w:noProof/>
        </w:rPr>
      </w:pPr>
      <w:r w:rsidRPr="00B16452">
        <w:rPr>
          <w:noProof/>
        </w:rPr>
        <w:t>182</w:t>
      </w:r>
      <w:r>
        <w:rPr>
          <w:noProof/>
        </w:rPr>
        <w:t>.</w:t>
      </w:r>
      <w:r w:rsidRPr="00B16452">
        <w:rPr>
          <w:noProof/>
        </w:rPr>
        <w:tab/>
      </w:r>
      <w:r w:rsidR="004334CE" w:rsidRPr="004F01E9">
        <w:rPr>
          <w:noProof/>
        </w:rPr>
        <w:t>Článok 434 sa nahrádza takto:</w:t>
      </w:r>
    </w:p>
    <w:p w14:paraId="0267B1B6" w14:textId="2C12D55E" w:rsidR="004334CE" w:rsidRPr="004F01E9" w:rsidRDefault="004334CE" w:rsidP="004334CE">
      <w:pPr>
        <w:pStyle w:val="Titrearticle"/>
        <w:rPr>
          <w:noProof/>
        </w:rPr>
      </w:pPr>
      <w:r w:rsidRPr="004F01E9">
        <w:rPr>
          <w:noProof/>
        </w:rPr>
        <w:t xml:space="preserve">„Článok 434 </w:t>
      </w:r>
      <w:r w:rsidRPr="004F01E9">
        <w:rPr>
          <w:noProof/>
        </w:rPr>
        <w:br/>
      </w:r>
      <w:r w:rsidRPr="004F01E9">
        <w:rPr>
          <w:b/>
          <w:i w:val="0"/>
          <w:noProof/>
        </w:rPr>
        <w:t>Prostriedky zverejňovania informácií</w:t>
      </w:r>
    </w:p>
    <w:p w14:paraId="5F19440B" w14:textId="69296DF0" w:rsidR="004334CE" w:rsidRPr="004F01E9" w:rsidRDefault="004334CE" w:rsidP="004334CE">
      <w:pPr>
        <w:pStyle w:val="Text1"/>
        <w:rPr>
          <w:noProof/>
        </w:rPr>
      </w:pPr>
      <w:r w:rsidRPr="004F01E9">
        <w:rPr>
          <w:noProof/>
        </w:rPr>
        <w:t>1. Inštitúcie iné ako malé</w:t>
      </w:r>
      <w:r w:rsidR="004F01E9">
        <w:rPr>
          <w:noProof/>
        </w:rPr>
        <w:t xml:space="preserve"> a </w:t>
      </w:r>
      <w:r w:rsidRPr="004F01E9">
        <w:rPr>
          <w:noProof/>
        </w:rPr>
        <w:t>menej zložité inštitúcie predkladajú EBA všetky informácie požadované podľa hláv II</w:t>
      </w:r>
      <w:r w:rsidR="004F01E9">
        <w:rPr>
          <w:noProof/>
        </w:rPr>
        <w:t xml:space="preserve"> a </w:t>
      </w:r>
      <w:r w:rsidRPr="004F01E9">
        <w:rPr>
          <w:noProof/>
        </w:rPr>
        <w:t>III</w:t>
      </w:r>
      <w:r w:rsidR="004F01E9">
        <w:rPr>
          <w:noProof/>
        </w:rPr>
        <w:t xml:space="preserve"> v </w:t>
      </w:r>
      <w:r w:rsidRPr="004F01E9">
        <w:rPr>
          <w:noProof/>
        </w:rPr>
        <w:t>elektronickom formáte najneskôr</w:t>
      </w:r>
      <w:r w:rsidR="004F01E9">
        <w:rPr>
          <w:noProof/>
        </w:rPr>
        <w:t xml:space="preserve"> k </w:t>
      </w:r>
      <w:r w:rsidRPr="004F01E9">
        <w:rPr>
          <w:noProof/>
        </w:rPr>
        <w:t>dátumu, keď inštitúcie uverejňujú svoju účtovnú závierku alebo finančné správy za zodpovedajúce obdobie, ak to je uplatniteľné, alebo čo najskôr po uvedenom dátume. EBA uverejní aj dátum predloženia týchto informácií.</w:t>
      </w:r>
    </w:p>
    <w:p w14:paraId="67544B4A" w14:textId="4DB6304D" w:rsidR="004334CE" w:rsidRPr="006A7A28" w:rsidRDefault="004334CE" w:rsidP="004334CE">
      <w:pPr>
        <w:pStyle w:val="Text1"/>
        <w:rPr>
          <w:noProof/>
          <w:spacing w:val="-4"/>
        </w:rPr>
      </w:pPr>
      <w:r w:rsidRPr="006A7A28">
        <w:rPr>
          <w:noProof/>
          <w:spacing w:val="-4"/>
        </w:rPr>
        <w:t>EBA zabezpečuje, aby informácie zverejňované na webovom sídle EBA obsahovali informácie totožné</w:t>
      </w:r>
      <w:r w:rsidR="004F01E9" w:rsidRPr="006A7A28">
        <w:rPr>
          <w:noProof/>
          <w:spacing w:val="-4"/>
        </w:rPr>
        <w:t xml:space="preserve"> s </w:t>
      </w:r>
      <w:r w:rsidRPr="006A7A28">
        <w:rPr>
          <w:noProof/>
          <w:spacing w:val="-4"/>
        </w:rPr>
        <w:t>informáciami, ktoré inštitúcie predložili EBA. Inštitúcie majú právo opätovne predložiť EBA informácie</w:t>
      </w:r>
      <w:r w:rsidR="004F01E9" w:rsidRPr="006A7A28">
        <w:rPr>
          <w:noProof/>
          <w:spacing w:val="-4"/>
        </w:rPr>
        <w:t xml:space="preserve"> v </w:t>
      </w:r>
      <w:r w:rsidRPr="006A7A28">
        <w:rPr>
          <w:noProof/>
          <w:spacing w:val="-4"/>
        </w:rPr>
        <w:t>súlade</w:t>
      </w:r>
      <w:r w:rsidR="004F01E9" w:rsidRPr="006A7A28">
        <w:rPr>
          <w:noProof/>
          <w:spacing w:val="-4"/>
        </w:rPr>
        <w:t xml:space="preserve"> s </w:t>
      </w:r>
      <w:r w:rsidRPr="006A7A28">
        <w:rPr>
          <w:noProof/>
          <w:spacing w:val="-4"/>
        </w:rPr>
        <w:t>technickými predpismi uvedenými</w:t>
      </w:r>
      <w:r w:rsidR="004F01E9" w:rsidRPr="006A7A28">
        <w:rPr>
          <w:noProof/>
          <w:spacing w:val="-4"/>
        </w:rPr>
        <w:t xml:space="preserve"> v </w:t>
      </w:r>
      <w:r w:rsidRPr="006A7A28">
        <w:rPr>
          <w:noProof/>
          <w:spacing w:val="-4"/>
        </w:rPr>
        <w:t>článku 434a. EBA na svojom webovom sídle sprístupní dátum opätovného predloženia.</w:t>
      </w:r>
    </w:p>
    <w:p w14:paraId="73230327" w14:textId="7C0151F2" w:rsidR="00806B81" w:rsidRPr="006A7A28" w:rsidRDefault="004334CE" w:rsidP="004334CE">
      <w:pPr>
        <w:pStyle w:val="Text1"/>
        <w:rPr>
          <w:noProof/>
          <w:spacing w:val="-4"/>
        </w:rPr>
      </w:pPr>
      <w:r w:rsidRPr="006A7A28">
        <w:rPr>
          <w:noProof/>
          <w:spacing w:val="-4"/>
        </w:rPr>
        <w:t>EBA vypracúva</w:t>
      </w:r>
      <w:r w:rsidR="004F01E9" w:rsidRPr="006A7A28">
        <w:rPr>
          <w:noProof/>
          <w:spacing w:val="-4"/>
        </w:rPr>
        <w:t xml:space="preserve"> a </w:t>
      </w:r>
      <w:r w:rsidRPr="006A7A28">
        <w:rPr>
          <w:noProof/>
          <w:spacing w:val="-4"/>
        </w:rPr>
        <w:t>aktualizuje nástroj,</w:t>
      </w:r>
      <w:r w:rsidR="004F01E9" w:rsidRPr="006A7A28">
        <w:rPr>
          <w:noProof/>
          <w:spacing w:val="-4"/>
        </w:rPr>
        <w:t xml:space="preserve"> v </w:t>
      </w:r>
      <w:r w:rsidRPr="006A7A28">
        <w:rPr>
          <w:noProof/>
          <w:spacing w:val="-4"/>
        </w:rPr>
        <w:t>ktorom sa špecifikuje priraďovanie vzorov</w:t>
      </w:r>
      <w:r w:rsidR="004F01E9" w:rsidRPr="006A7A28">
        <w:rPr>
          <w:noProof/>
          <w:spacing w:val="-4"/>
        </w:rPr>
        <w:t xml:space="preserve"> a </w:t>
      </w:r>
      <w:r w:rsidRPr="006A7A28">
        <w:rPr>
          <w:noProof/>
          <w:spacing w:val="-4"/>
        </w:rPr>
        <w:t>tabuliek na zverejňovanie informácií</w:t>
      </w:r>
      <w:r w:rsidR="004F01E9" w:rsidRPr="006A7A28">
        <w:rPr>
          <w:noProof/>
          <w:spacing w:val="-4"/>
        </w:rPr>
        <w:t xml:space="preserve"> k </w:t>
      </w:r>
      <w:r w:rsidRPr="006A7A28">
        <w:rPr>
          <w:noProof/>
          <w:spacing w:val="-4"/>
        </w:rPr>
        <w:t>tým vzorom</w:t>
      </w:r>
      <w:r w:rsidR="004F01E9" w:rsidRPr="006A7A28">
        <w:rPr>
          <w:noProof/>
          <w:spacing w:val="-4"/>
        </w:rPr>
        <w:t xml:space="preserve"> a </w:t>
      </w:r>
      <w:r w:rsidRPr="006A7A28">
        <w:rPr>
          <w:noProof/>
          <w:spacing w:val="-4"/>
        </w:rPr>
        <w:t>tabuľkám, ktoré sa týkajú vykazovania na účely dohľadu. Nástroj na priraďovanie je prístupný verejnosti na webovom sídle EBA.</w:t>
      </w:r>
    </w:p>
    <w:p w14:paraId="536A2DF9" w14:textId="10DBFDF6" w:rsidR="004334CE" w:rsidRPr="004F01E9" w:rsidRDefault="004334CE" w:rsidP="004334CE">
      <w:pPr>
        <w:pStyle w:val="Text1"/>
        <w:rPr>
          <w:noProof/>
        </w:rPr>
      </w:pPr>
      <w:r w:rsidRPr="004F01E9">
        <w:rPr>
          <w:noProof/>
        </w:rPr>
        <w:t>Inštitúcie môžu naďalej uverejňovať samostatný dokument, ktorý predstavuje ľahko prístupný zdroj prudenciálnych informácií pre používateľov týchto informácií, alebo jasne odlíšenú časť zahrnutú do účtovných závierok alebo finančných správ inštitúcií alebo</w:t>
      </w:r>
      <w:r w:rsidR="004F01E9">
        <w:rPr>
          <w:noProof/>
        </w:rPr>
        <w:t xml:space="preserve"> k </w:t>
      </w:r>
      <w:r w:rsidRPr="004F01E9">
        <w:rPr>
          <w:noProof/>
        </w:rPr>
        <w:t>nim pripojenú, ktorá obsahuje požadované zverejňované informácie</w:t>
      </w:r>
      <w:r w:rsidR="004F01E9">
        <w:rPr>
          <w:noProof/>
        </w:rPr>
        <w:t xml:space="preserve"> a </w:t>
      </w:r>
      <w:r w:rsidRPr="004F01E9">
        <w:rPr>
          <w:noProof/>
        </w:rPr>
        <w:t>je pre týchto používateľov ľahko identifikovateľná. Inštitúcie môžu na svojom webovom sídle uviesť odkaz na webové sídlo EBA, kde sú prudenciálne informácie uverejňované centralizovaným spôsobom.</w:t>
      </w:r>
    </w:p>
    <w:p w14:paraId="2B727AAE" w14:textId="06FCF01A" w:rsidR="004334CE" w:rsidRPr="006A7A28" w:rsidRDefault="004334CE" w:rsidP="004334CE">
      <w:pPr>
        <w:pStyle w:val="Text1"/>
        <w:rPr>
          <w:noProof/>
          <w:spacing w:val="-4"/>
        </w:rPr>
      </w:pPr>
      <w:r w:rsidRPr="006A7A28">
        <w:rPr>
          <w:noProof/>
          <w:spacing w:val="-4"/>
        </w:rPr>
        <w:t>2. Veľké inštitúcie</w:t>
      </w:r>
      <w:r w:rsidR="004F01E9" w:rsidRPr="006A7A28">
        <w:rPr>
          <w:noProof/>
          <w:spacing w:val="-4"/>
        </w:rPr>
        <w:t xml:space="preserve"> a </w:t>
      </w:r>
      <w:r w:rsidRPr="006A7A28">
        <w:rPr>
          <w:noProof/>
          <w:spacing w:val="-4"/>
        </w:rPr>
        <w:t>iné inštitúcie, ktoré nie sú veľkými inštitúciami, alebo malé</w:t>
      </w:r>
      <w:r w:rsidR="004F01E9" w:rsidRPr="006A7A28">
        <w:rPr>
          <w:noProof/>
          <w:spacing w:val="-4"/>
        </w:rPr>
        <w:t xml:space="preserve"> a </w:t>
      </w:r>
      <w:r w:rsidRPr="006A7A28">
        <w:rPr>
          <w:noProof/>
          <w:spacing w:val="-4"/>
        </w:rPr>
        <w:t>menej zložité inštitúcie predkladajú EBA zverejňované informácie uvedené</w:t>
      </w:r>
      <w:r w:rsidR="004F01E9" w:rsidRPr="006A7A28">
        <w:rPr>
          <w:noProof/>
          <w:spacing w:val="-4"/>
        </w:rPr>
        <w:t xml:space="preserve"> v </w:t>
      </w:r>
      <w:r w:rsidRPr="006A7A28">
        <w:rPr>
          <w:noProof/>
          <w:spacing w:val="-4"/>
        </w:rPr>
        <w:t>článku 433a</w:t>
      </w:r>
      <w:r w:rsidR="004F01E9" w:rsidRPr="006A7A28">
        <w:rPr>
          <w:noProof/>
          <w:spacing w:val="-4"/>
        </w:rPr>
        <w:t xml:space="preserve"> a </w:t>
      </w:r>
      <w:r w:rsidRPr="006A7A28">
        <w:rPr>
          <w:noProof/>
          <w:spacing w:val="-4"/>
        </w:rPr>
        <w:t>článku 433c, najneskôr však</w:t>
      </w:r>
      <w:r w:rsidR="004F01E9" w:rsidRPr="006A7A28">
        <w:rPr>
          <w:noProof/>
          <w:spacing w:val="-4"/>
        </w:rPr>
        <w:t xml:space="preserve"> k </w:t>
      </w:r>
      <w:r w:rsidRPr="006A7A28">
        <w:rPr>
          <w:noProof/>
          <w:spacing w:val="-4"/>
        </w:rPr>
        <w:t>dátumu uverejnenia účtovnej závierky alebo finančných správ za zodpovedajúce obdobie alebo čo najskôr po uvedenom dátume. Ak sa vyžaduje zverejnenie informácií za obdobie, keď inštitúcia nevypracuje žiadnu finančnú správu, inštitúcia čo najskôr predloží EBA informácie</w:t>
      </w:r>
      <w:r w:rsidR="004F01E9" w:rsidRPr="006A7A28">
        <w:rPr>
          <w:noProof/>
          <w:spacing w:val="-4"/>
        </w:rPr>
        <w:t xml:space="preserve"> o </w:t>
      </w:r>
      <w:r w:rsidRPr="006A7A28">
        <w:rPr>
          <w:noProof/>
          <w:spacing w:val="-4"/>
        </w:rPr>
        <w:t>zverejnení.</w:t>
      </w:r>
    </w:p>
    <w:p w14:paraId="61D93B27" w14:textId="30423AE6" w:rsidR="004334CE" w:rsidRPr="004F01E9" w:rsidRDefault="004334CE" w:rsidP="004334CE">
      <w:pPr>
        <w:pStyle w:val="Text1"/>
        <w:rPr>
          <w:noProof/>
        </w:rPr>
      </w:pPr>
      <w:r w:rsidRPr="004F01E9">
        <w:rPr>
          <w:noProof/>
        </w:rPr>
        <w:t>3. EBA uverejňuje na svojom webovom sídle zverejňovanie informácií</w:t>
      </w:r>
      <w:r w:rsidR="004F01E9">
        <w:rPr>
          <w:noProof/>
        </w:rPr>
        <w:t xml:space="preserve"> o </w:t>
      </w:r>
      <w:r w:rsidRPr="004F01E9">
        <w:rPr>
          <w:noProof/>
        </w:rPr>
        <w:t>malých</w:t>
      </w:r>
      <w:r w:rsidR="004F01E9">
        <w:rPr>
          <w:noProof/>
        </w:rPr>
        <w:t xml:space="preserve"> a </w:t>
      </w:r>
      <w:r w:rsidRPr="004F01E9">
        <w:rPr>
          <w:noProof/>
        </w:rPr>
        <w:t>menej zložitých inštitúciách na základe informácií, ktoré tieto inštitúcie oznamujú príslušným orgánom</w:t>
      </w:r>
      <w:r w:rsidR="004F01E9">
        <w:rPr>
          <w:noProof/>
        </w:rPr>
        <w:t xml:space="preserve"> v </w:t>
      </w:r>
      <w:r w:rsidRPr="004F01E9">
        <w:rPr>
          <w:noProof/>
        </w:rPr>
        <w:t>súlade</w:t>
      </w:r>
      <w:r w:rsidR="004F01E9">
        <w:rPr>
          <w:noProof/>
        </w:rPr>
        <w:t xml:space="preserve"> s </w:t>
      </w:r>
      <w:r w:rsidRPr="004F01E9">
        <w:rPr>
          <w:noProof/>
        </w:rPr>
        <w:t>článkom 430.</w:t>
      </w:r>
    </w:p>
    <w:p w14:paraId="65BF2E1E" w14:textId="0F8012BD" w:rsidR="004334CE" w:rsidRPr="006A7A28" w:rsidRDefault="004334CE" w:rsidP="004334CE">
      <w:pPr>
        <w:pStyle w:val="Text1"/>
        <w:rPr>
          <w:noProof/>
          <w:spacing w:val="-4"/>
        </w:rPr>
      </w:pPr>
      <w:r w:rsidRPr="006A7A28">
        <w:rPr>
          <w:noProof/>
          <w:spacing w:val="-4"/>
        </w:rPr>
        <w:t>4. Zatiaľ čo vlastníctvo údajov</w:t>
      </w:r>
      <w:r w:rsidR="004F01E9" w:rsidRPr="006A7A28">
        <w:rPr>
          <w:noProof/>
          <w:spacing w:val="-4"/>
        </w:rPr>
        <w:t xml:space="preserve"> a </w:t>
      </w:r>
      <w:r w:rsidRPr="006A7A28">
        <w:rPr>
          <w:noProof/>
          <w:spacing w:val="-4"/>
        </w:rPr>
        <w:t>zodpovednosť za ich presnosť aj naďalej nesú inštitúcie, ktoré ich vytvárajú, EBA sprístupňuje na svojom webovom sídle informácie, ktoré sa majú zverejniť</w:t>
      </w:r>
      <w:r w:rsidR="004F01E9" w:rsidRPr="006A7A28">
        <w:rPr>
          <w:noProof/>
          <w:spacing w:val="-4"/>
        </w:rPr>
        <w:t xml:space="preserve"> v </w:t>
      </w:r>
      <w:r w:rsidRPr="006A7A28">
        <w:rPr>
          <w:noProof/>
          <w:spacing w:val="-4"/>
        </w:rPr>
        <w:t>súlade</w:t>
      </w:r>
      <w:r w:rsidR="004F01E9" w:rsidRPr="006A7A28">
        <w:rPr>
          <w:noProof/>
          <w:spacing w:val="-4"/>
        </w:rPr>
        <w:t xml:space="preserve"> s </w:t>
      </w:r>
      <w:r w:rsidRPr="006A7A28">
        <w:rPr>
          <w:noProof/>
          <w:spacing w:val="-4"/>
        </w:rPr>
        <w:t>touto časťou. Tento archív musí zostať prístupný počas obdobia, ktoré nie je kratšie ako obdobie uchovávania stanovené vnútroštátnym právom vzťahujúcim sa na informácie zahrnuté vo finančných správach inštitúcií.</w:t>
      </w:r>
    </w:p>
    <w:p w14:paraId="725924C3" w14:textId="375C18E3" w:rsidR="004334CE" w:rsidRPr="006A7A28" w:rsidRDefault="004334CE" w:rsidP="004334CE">
      <w:pPr>
        <w:pStyle w:val="Text1"/>
        <w:rPr>
          <w:noProof/>
          <w:spacing w:val="-12"/>
        </w:rPr>
      </w:pPr>
      <w:r w:rsidRPr="006A7A28">
        <w:rPr>
          <w:noProof/>
          <w:spacing w:val="-12"/>
        </w:rPr>
        <w:t>5. EBA monitoruje počet návštev svojho jednotného prístupového bodu</w:t>
      </w:r>
      <w:r w:rsidR="004F01E9" w:rsidRPr="006A7A28">
        <w:rPr>
          <w:noProof/>
          <w:spacing w:val="-12"/>
        </w:rPr>
        <w:t xml:space="preserve"> v </w:t>
      </w:r>
      <w:r w:rsidRPr="006A7A28">
        <w:rPr>
          <w:noProof/>
          <w:spacing w:val="-12"/>
        </w:rPr>
        <w:t>súvislosti so zverejňovaním informácií inštitúciami</w:t>
      </w:r>
      <w:r w:rsidR="004F01E9" w:rsidRPr="006A7A28">
        <w:rPr>
          <w:noProof/>
          <w:spacing w:val="-12"/>
        </w:rPr>
        <w:t xml:space="preserve"> a </w:t>
      </w:r>
      <w:r w:rsidRPr="006A7A28">
        <w:rPr>
          <w:noProof/>
          <w:spacing w:val="-12"/>
        </w:rPr>
        <w:t>súvisiace štatistiky zahrnie do svojich výročných správ.“</w:t>
      </w:r>
    </w:p>
    <w:p w14:paraId="60E4544F" w14:textId="1722D5D2" w:rsidR="004334CE" w:rsidRPr="004F01E9" w:rsidRDefault="00B16452" w:rsidP="00B16452">
      <w:pPr>
        <w:pStyle w:val="Point0"/>
        <w:rPr>
          <w:noProof/>
        </w:rPr>
      </w:pPr>
      <w:r w:rsidRPr="00B16452">
        <w:rPr>
          <w:noProof/>
        </w:rPr>
        <w:t>183</w:t>
      </w:r>
      <w:r>
        <w:rPr>
          <w:noProof/>
        </w:rPr>
        <w:t>.</w:t>
      </w:r>
      <w:r w:rsidRPr="00B16452">
        <w:rPr>
          <w:noProof/>
        </w:rPr>
        <w:tab/>
      </w:r>
      <w:r w:rsidR="004334CE" w:rsidRPr="004F01E9">
        <w:rPr>
          <w:noProof/>
        </w:rPr>
        <w:t>Článok 434a sa mení takto:</w:t>
      </w:r>
    </w:p>
    <w:p w14:paraId="32834420" w14:textId="70F6AA39" w:rsidR="004334CE" w:rsidRPr="004F01E9" w:rsidRDefault="00E24DAC" w:rsidP="00E24DAC">
      <w:pPr>
        <w:pStyle w:val="Point1"/>
        <w:rPr>
          <w:noProof/>
        </w:rPr>
      </w:pPr>
      <w:r w:rsidRPr="004F01E9">
        <w:rPr>
          <w:noProof/>
        </w:rPr>
        <w:t>a)</w:t>
      </w:r>
      <w:r w:rsidRPr="004F01E9">
        <w:rPr>
          <w:noProof/>
        </w:rPr>
        <w:tab/>
        <w:t>V prvom odseku sa prvá veta nahrádza takto:</w:t>
      </w:r>
    </w:p>
    <w:p w14:paraId="70D948E7" w14:textId="04EF41FC" w:rsidR="004334CE" w:rsidRPr="004F01E9" w:rsidRDefault="004334CE" w:rsidP="004334CE">
      <w:pPr>
        <w:pStyle w:val="Text2"/>
        <w:rPr>
          <w:noProof/>
        </w:rPr>
      </w:pPr>
      <w:r w:rsidRPr="004F01E9">
        <w:rPr>
          <w:noProof/>
        </w:rPr>
        <w:t>„EBA vypracuje návrh vykonávacích technických predpisov,</w:t>
      </w:r>
      <w:r w:rsidR="004F01E9">
        <w:rPr>
          <w:noProof/>
        </w:rPr>
        <w:t xml:space="preserve"> v </w:t>
      </w:r>
      <w:r w:rsidRPr="004F01E9">
        <w:rPr>
          <w:noProof/>
        </w:rPr>
        <w:t>ktorom stanoví jednotné formáty zverejňovania informácií, súvisiace pokyny, informácie</w:t>
      </w:r>
      <w:r w:rsidR="004F01E9">
        <w:rPr>
          <w:noProof/>
        </w:rPr>
        <w:t xml:space="preserve"> o </w:t>
      </w:r>
      <w:r w:rsidRPr="004F01E9">
        <w:rPr>
          <w:noProof/>
        </w:rPr>
        <w:t>politike opätovného predkladania</w:t>
      </w:r>
      <w:r w:rsidR="004F01E9">
        <w:rPr>
          <w:noProof/>
        </w:rPr>
        <w:t xml:space="preserve"> a </w:t>
      </w:r>
      <w:r w:rsidRPr="004F01E9">
        <w:rPr>
          <w:noProof/>
        </w:rPr>
        <w:t>riešenia IT pre zverejňovanie informácií požadované podľa hláv II</w:t>
      </w:r>
      <w:r w:rsidR="004F01E9">
        <w:rPr>
          <w:noProof/>
        </w:rPr>
        <w:t xml:space="preserve"> a </w:t>
      </w:r>
      <w:r w:rsidRPr="004F01E9">
        <w:rPr>
          <w:noProof/>
        </w:rPr>
        <w:t>III.“;</w:t>
      </w:r>
    </w:p>
    <w:p w14:paraId="44F7F511" w14:textId="08548750" w:rsidR="00806B81" w:rsidRPr="004F01E9" w:rsidRDefault="00E24DAC" w:rsidP="00E24DAC">
      <w:pPr>
        <w:pStyle w:val="Point1"/>
        <w:rPr>
          <w:noProof/>
        </w:rPr>
      </w:pPr>
      <w:r w:rsidRPr="004F01E9">
        <w:rPr>
          <w:noProof/>
        </w:rPr>
        <w:t>b)</w:t>
      </w:r>
      <w:r w:rsidRPr="004F01E9">
        <w:rPr>
          <w:noProof/>
        </w:rPr>
        <w:tab/>
        <w:t>V prvom odseku sa štvrtá veta nahrádza takto:</w:t>
      </w:r>
    </w:p>
    <w:p w14:paraId="47883C8C" w14:textId="1F20B622" w:rsidR="004334CE" w:rsidRPr="004F01E9" w:rsidRDefault="004334CE" w:rsidP="004334CE">
      <w:pPr>
        <w:pStyle w:val="Text2"/>
        <w:rPr>
          <w:noProof/>
        </w:rPr>
      </w:pPr>
      <w:r w:rsidRPr="004F01E9">
        <w:rPr>
          <w:noProof/>
        </w:rPr>
        <w:t>„EBA predloží uvedený návrh regulačných technických predpisov Komisii do [Úrad pre publikácie, vložte dátum = 1 rok po nadobudnutí účinnosti tohto nariadenia].“</w:t>
      </w:r>
    </w:p>
    <w:p w14:paraId="508795FC" w14:textId="4214F919" w:rsidR="004334CE" w:rsidRPr="004F01E9" w:rsidRDefault="00B16452" w:rsidP="00B16452">
      <w:pPr>
        <w:pStyle w:val="Point0"/>
        <w:rPr>
          <w:noProof/>
        </w:rPr>
      </w:pPr>
      <w:r w:rsidRPr="00B16452">
        <w:rPr>
          <w:noProof/>
        </w:rPr>
        <w:t>184</w:t>
      </w:r>
      <w:r>
        <w:rPr>
          <w:noProof/>
        </w:rPr>
        <w:t>.</w:t>
      </w:r>
      <w:r w:rsidRPr="00B16452">
        <w:rPr>
          <w:noProof/>
        </w:rPr>
        <w:tab/>
      </w:r>
      <w:r w:rsidR="004334CE" w:rsidRPr="004F01E9">
        <w:rPr>
          <w:noProof/>
        </w:rPr>
        <w:t>Článok 438 sa mení takto:</w:t>
      </w:r>
    </w:p>
    <w:p w14:paraId="148F9200" w14:textId="758CB6FE" w:rsidR="00806B81" w:rsidRPr="004F01E9" w:rsidRDefault="003678D6" w:rsidP="003678D6">
      <w:pPr>
        <w:pStyle w:val="Point1"/>
        <w:rPr>
          <w:noProof/>
        </w:rPr>
      </w:pPr>
      <w:r w:rsidRPr="004F01E9">
        <w:rPr>
          <w:noProof/>
        </w:rPr>
        <w:t>a)</w:t>
      </w:r>
      <w:r w:rsidRPr="004F01E9">
        <w:rPr>
          <w:noProof/>
        </w:rPr>
        <w:tab/>
        <w:t>Písmeno b) sa nahrádza takto:</w:t>
      </w:r>
    </w:p>
    <w:p w14:paraId="7D2DBA0C" w14:textId="7BFAFAD0" w:rsidR="004334CE" w:rsidRPr="004F01E9" w:rsidRDefault="004334CE" w:rsidP="004334CE">
      <w:pPr>
        <w:pStyle w:val="Text2"/>
        <w:rPr>
          <w:noProof/>
        </w:rPr>
      </w:pPr>
      <w:r w:rsidRPr="004F01E9">
        <w:rPr>
          <w:noProof/>
        </w:rPr>
        <w:t>„b) hodnotu dodatočných požiadaviek na vlastné zdroje na základe postupu preskúmania orgánmi dohľadu podľa článku 104 ods. 1 písm. a) smernice 2013/36/EÚ</w:t>
      </w:r>
      <w:r w:rsidR="004F01E9">
        <w:rPr>
          <w:noProof/>
        </w:rPr>
        <w:t xml:space="preserve"> s </w:t>
      </w:r>
      <w:r w:rsidRPr="004F01E9">
        <w:rPr>
          <w:noProof/>
        </w:rPr>
        <w:t>cieľom riešiť iné riziká, ako je riziko nadmerného využívania finančnej páky,</w:t>
      </w:r>
      <w:r w:rsidR="004F01E9">
        <w:rPr>
          <w:noProof/>
        </w:rPr>
        <w:t xml:space="preserve"> a </w:t>
      </w:r>
      <w:r w:rsidRPr="004F01E9">
        <w:rPr>
          <w:noProof/>
        </w:rPr>
        <w:t>jej zloženie;“;</w:t>
      </w:r>
    </w:p>
    <w:p w14:paraId="07613BBE" w14:textId="69EAD52E" w:rsidR="00806B81" w:rsidRPr="004F01E9" w:rsidRDefault="003678D6" w:rsidP="006A7A28">
      <w:pPr>
        <w:pStyle w:val="Point1"/>
        <w:keepNext/>
        <w:keepLines/>
        <w:ind w:left="1418"/>
        <w:rPr>
          <w:noProof/>
        </w:rPr>
      </w:pPr>
      <w:r w:rsidRPr="004F01E9">
        <w:rPr>
          <w:noProof/>
        </w:rPr>
        <w:t>a)</w:t>
      </w:r>
      <w:r w:rsidRPr="004F01E9">
        <w:rPr>
          <w:noProof/>
        </w:rPr>
        <w:tab/>
        <w:t>Písmeno d) sa nahrádza takto:</w:t>
      </w:r>
    </w:p>
    <w:p w14:paraId="66DD8FA4" w14:textId="615E3AB4" w:rsidR="00806B81" w:rsidRPr="004F01E9" w:rsidRDefault="004334CE" w:rsidP="006A7A28">
      <w:pPr>
        <w:pStyle w:val="Text2"/>
        <w:keepNext/>
        <w:keepLines/>
        <w:ind w:left="1418"/>
        <w:rPr>
          <w:noProof/>
        </w:rPr>
      </w:pPr>
      <w:r w:rsidRPr="004F01E9">
        <w:rPr>
          <w:noProof/>
        </w:rPr>
        <w:t>„d) celkové hodnoty rizikových expozícií vypočítané</w:t>
      </w:r>
      <w:r w:rsidR="004F01E9">
        <w:rPr>
          <w:noProof/>
        </w:rPr>
        <w:t xml:space="preserve"> v </w:t>
      </w:r>
      <w:r w:rsidRPr="004F01E9">
        <w:rPr>
          <w:noProof/>
        </w:rPr>
        <w:t>súlade</w:t>
      </w:r>
      <w:r w:rsidR="004F01E9">
        <w:rPr>
          <w:noProof/>
        </w:rPr>
        <w:t xml:space="preserve"> s </w:t>
      </w:r>
      <w:r w:rsidRPr="004F01E9">
        <w:rPr>
          <w:noProof/>
        </w:rPr>
        <w:t>článkom 92 ods. 3</w:t>
      </w:r>
      <w:r w:rsidR="004F01E9">
        <w:rPr>
          <w:noProof/>
        </w:rPr>
        <w:t xml:space="preserve"> a </w:t>
      </w:r>
      <w:r w:rsidRPr="004F01E9">
        <w:rPr>
          <w:noProof/>
        </w:rPr>
        <w:t>zodpovedajúce požiadavky na vlastné zdroje určené</w:t>
      </w:r>
      <w:r w:rsidR="004F01E9">
        <w:rPr>
          <w:noProof/>
        </w:rPr>
        <w:t xml:space="preserve"> v </w:t>
      </w:r>
      <w:r w:rsidRPr="004F01E9">
        <w:rPr>
          <w:noProof/>
        </w:rPr>
        <w:t>súlade</w:t>
      </w:r>
      <w:r w:rsidR="004F01E9">
        <w:rPr>
          <w:noProof/>
        </w:rPr>
        <w:t xml:space="preserve"> s </w:t>
      </w:r>
      <w:r w:rsidRPr="004F01E9">
        <w:rPr>
          <w:noProof/>
        </w:rPr>
        <w:t>článkom 92 ods. 2,</w:t>
      </w:r>
      <w:r w:rsidR="004F01E9">
        <w:rPr>
          <w:noProof/>
        </w:rPr>
        <w:t xml:space="preserve"> v </w:t>
      </w:r>
      <w:r w:rsidRPr="004F01E9">
        <w:rPr>
          <w:noProof/>
        </w:rPr>
        <w:t>členení podľa rôznych kategórií</w:t>
      </w:r>
      <w:r w:rsidR="004F01E9">
        <w:rPr>
          <w:noProof/>
        </w:rPr>
        <w:t xml:space="preserve"> a </w:t>
      </w:r>
      <w:r w:rsidRPr="004F01E9">
        <w:rPr>
          <w:noProof/>
        </w:rPr>
        <w:t>podkategórií rizík alebo expozícií stanovených</w:t>
      </w:r>
      <w:r w:rsidR="004F01E9">
        <w:rPr>
          <w:noProof/>
        </w:rPr>
        <w:t xml:space="preserve"> v </w:t>
      </w:r>
      <w:r w:rsidRPr="004F01E9">
        <w:rPr>
          <w:noProof/>
        </w:rPr>
        <w:t>tretej časti,</w:t>
      </w:r>
      <w:r w:rsidR="004F01E9">
        <w:rPr>
          <w:noProof/>
        </w:rPr>
        <w:t xml:space="preserve"> a </w:t>
      </w:r>
      <w:r w:rsidRPr="004F01E9">
        <w:rPr>
          <w:noProof/>
        </w:rPr>
        <w:t>prípadne vysvetlenie účinku na výpočet vlastných zdrojov</w:t>
      </w:r>
      <w:r w:rsidR="004F01E9">
        <w:rPr>
          <w:noProof/>
        </w:rPr>
        <w:t xml:space="preserve"> a </w:t>
      </w:r>
      <w:r w:rsidRPr="004F01E9">
        <w:rPr>
          <w:noProof/>
        </w:rPr>
        <w:t>hodnôt rizikovo vážených expozícií, ktoré vyplývajú</w:t>
      </w:r>
      <w:r w:rsidR="004F01E9">
        <w:rPr>
          <w:noProof/>
        </w:rPr>
        <w:t xml:space="preserve"> z </w:t>
      </w:r>
      <w:r w:rsidRPr="004F01E9">
        <w:rPr>
          <w:noProof/>
        </w:rPr>
        <w:t>uplatňovania minimálnych hodnôt kapitálu</w:t>
      </w:r>
      <w:r w:rsidR="004F01E9">
        <w:rPr>
          <w:noProof/>
        </w:rPr>
        <w:t xml:space="preserve"> a </w:t>
      </w:r>
      <w:r w:rsidRPr="004F01E9">
        <w:rPr>
          <w:noProof/>
        </w:rPr>
        <w:t>neodpočítania položiek od vlastných zdrojov;“;</w:t>
      </w:r>
    </w:p>
    <w:p w14:paraId="79298EE7" w14:textId="4E065E0D" w:rsidR="00806B81" w:rsidRPr="004F01E9" w:rsidRDefault="003678D6" w:rsidP="003678D6">
      <w:pPr>
        <w:pStyle w:val="Point1"/>
        <w:rPr>
          <w:noProof/>
        </w:rPr>
      </w:pPr>
      <w:r w:rsidRPr="004F01E9">
        <w:rPr>
          <w:noProof/>
        </w:rPr>
        <w:t>c)</w:t>
      </w:r>
      <w:r w:rsidRPr="004F01E9">
        <w:rPr>
          <w:noProof/>
        </w:rPr>
        <w:tab/>
        <w:t>Dopĺňa sa toto písmeno da):</w:t>
      </w:r>
    </w:p>
    <w:p w14:paraId="10E9DE17" w14:textId="0A5A91BE" w:rsidR="004334CE" w:rsidRPr="004F01E9" w:rsidRDefault="004334CE" w:rsidP="004334CE">
      <w:pPr>
        <w:pStyle w:val="Text2"/>
        <w:rPr>
          <w:noProof/>
        </w:rPr>
      </w:pPr>
      <w:r w:rsidRPr="004F01E9">
        <w:rPr>
          <w:noProof/>
        </w:rPr>
        <w:t>„da) ak sa to vyžaduje na výpočet nasledujúcich hodnôt, celkovú hodnotu rizikovej expozície bez spodnej hranice vypočítaná</w:t>
      </w:r>
      <w:r w:rsidR="004F01E9">
        <w:rPr>
          <w:noProof/>
        </w:rPr>
        <w:t xml:space="preserve"> v </w:t>
      </w:r>
      <w:r w:rsidRPr="004F01E9">
        <w:rPr>
          <w:noProof/>
        </w:rPr>
        <w:t>súlade</w:t>
      </w:r>
      <w:r w:rsidR="004F01E9">
        <w:rPr>
          <w:noProof/>
        </w:rPr>
        <w:t xml:space="preserve"> s </w:t>
      </w:r>
      <w:r w:rsidRPr="004F01E9">
        <w:rPr>
          <w:noProof/>
        </w:rPr>
        <w:t>článkom 92 ods. 4</w:t>
      </w:r>
      <w:r w:rsidR="004F01E9">
        <w:rPr>
          <w:noProof/>
        </w:rPr>
        <w:t xml:space="preserve"> a </w:t>
      </w:r>
      <w:r w:rsidRPr="004F01E9">
        <w:rPr>
          <w:noProof/>
        </w:rPr>
        <w:t>štandardizovanú celkovú hodnotu rizikovej expozície vypočítanú</w:t>
      </w:r>
      <w:r w:rsidR="004F01E9">
        <w:rPr>
          <w:noProof/>
        </w:rPr>
        <w:t xml:space="preserve"> v </w:t>
      </w:r>
      <w:r w:rsidRPr="004F01E9">
        <w:rPr>
          <w:noProof/>
        </w:rPr>
        <w:t>súlade</w:t>
      </w:r>
      <w:r w:rsidR="004F01E9">
        <w:rPr>
          <w:noProof/>
        </w:rPr>
        <w:t xml:space="preserve"> s </w:t>
      </w:r>
      <w:r w:rsidRPr="004F01E9">
        <w:rPr>
          <w:noProof/>
        </w:rPr>
        <w:t>článkom 92 ods. 5,</w:t>
      </w:r>
      <w:r w:rsidR="004F01E9">
        <w:rPr>
          <w:noProof/>
        </w:rPr>
        <w:t xml:space="preserve"> v </w:t>
      </w:r>
      <w:r w:rsidRPr="004F01E9">
        <w:rPr>
          <w:noProof/>
        </w:rPr>
        <w:t>členení podľa rôznych kategórií</w:t>
      </w:r>
      <w:r w:rsidR="004F01E9">
        <w:rPr>
          <w:noProof/>
        </w:rPr>
        <w:t xml:space="preserve"> a </w:t>
      </w:r>
      <w:r w:rsidRPr="004F01E9">
        <w:rPr>
          <w:noProof/>
        </w:rPr>
        <w:t>podkategórií rizík stanovených</w:t>
      </w:r>
      <w:r w:rsidR="004F01E9">
        <w:rPr>
          <w:noProof/>
        </w:rPr>
        <w:t xml:space="preserve"> v </w:t>
      </w:r>
      <w:r w:rsidRPr="004F01E9">
        <w:rPr>
          <w:noProof/>
        </w:rPr>
        <w:t>tretej časti,</w:t>
      </w:r>
      <w:r w:rsidR="004F01E9">
        <w:rPr>
          <w:noProof/>
        </w:rPr>
        <w:t xml:space="preserve"> a </w:t>
      </w:r>
      <w:r w:rsidRPr="004F01E9">
        <w:rPr>
          <w:noProof/>
        </w:rPr>
        <w:t>prípadne vysvetlenie účinku na výpočet vlastných zdrojov, ktoré vyplývajú</w:t>
      </w:r>
      <w:r w:rsidR="004F01E9">
        <w:rPr>
          <w:noProof/>
        </w:rPr>
        <w:t xml:space="preserve"> z </w:t>
      </w:r>
      <w:r w:rsidRPr="004F01E9">
        <w:rPr>
          <w:noProof/>
        </w:rPr>
        <w:t>uplatňovania minimálnych hodnôt kapitálu</w:t>
      </w:r>
      <w:r w:rsidR="004F01E9">
        <w:rPr>
          <w:noProof/>
        </w:rPr>
        <w:t xml:space="preserve"> a </w:t>
      </w:r>
      <w:r w:rsidRPr="004F01E9">
        <w:rPr>
          <w:noProof/>
        </w:rPr>
        <w:t>neodpočítania položiek od vlastných zdrojov;“.</w:t>
      </w:r>
    </w:p>
    <w:p w14:paraId="13A74DC9" w14:textId="32857A4D" w:rsidR="00806B81" w:rsidRPr="004F01E9" w:rsidRDefault="00B16452" w:rsidP="00B16452">
      <w:pPr>
        <w:pStyle w:val="Point0"/>
        <w:rPr>
          <w:noProof/>
        </w:rPr>
      </w:pPr>
      <w:r w:rsidRPr="00B16452">
        <w:rPr>
          <w:noProof/>
        </w:rPr>
        <w:t>185</w:t>
      </w:r>
      <w:r>
        <w:rPr>
          <w:noProof/>
        </w:rPr>
        <w:t>.</w:t>
      </w:r>
      <w:r w:rsidRPr="00B16452">
        <w:rPr>
          <w:noProof/>
        </w:rPr>
        <w:tab/>
      </w:r>
      <w:r w:rsidR="004334CE" w:rsidRPr="004F01E9">
        <w:rPr>
          <w:noProof/>
        </w:rPr>
        <w:t>Článok 445 sa nahrádza takto:</w:t>
      </w:r>
    </w:p>
    <w:p w14:paraId="663EB0DF" w14:textId="7F071FBE" w:rsidR="004334CE" w:rsidRPr="004F01E9" w:rsidRDefault="004334CE" w:rsidP="004334CE">
      <w:pPr>
        <w:pStyle w:val="Titrearticle"/>
        <w:rPr>
          <w:noProof/>
        </w:rPr>
      </w:pPr>
      <w:r w:rsidRPr="004F01E9">
        <w:rPr>
          <w:noProof/>
        </w:rPr>
        <w:t xml:space="preserve">„Článok 445 </w:t>
      </w:r>
      <w:r w:rsidRPr="004F01E9">
        <w:rPr>
          <w:noProof/>
        </w:rPr>
        <w:br/>
      </w:r>
      <w:r w:rsidRPr="004F01E9">
        <w:rPr>
          <w:b/>
          <w:i w:val="0"/>
          <w:noProof/>
        </w:rPr>
        <w:t>Zverejňovanie informácií</w:t>
      </w:r>
      <w:r w:rsidR="004F01E9">
        <w:rPr>
          <w:b/>
          <w:i w:val="0"/>
          <w:noProof/>
        </w:rPr>
        <w:t xml:space="preserve"> o </w:t>
      </w:r>
      <w:r w:rsidRPr="004F01E9">
        <w:rPr>
          <w:b/>
          <w:i w:val="0"/>
          <w:noProof/>
        </w:rPr>
        <w:t>expozíciách voči trhovému riziku podľa štandardizovaného prístupu</w:t>
      </w:r>
    </w:p>
    <w:p w14:paraId="0E143FCB" w14:textId="44A2FFB4" w:rsidR="004334CE" w:rsidRPr="004F01E9" w:rsidRDefault="004334CE" w:rsidP="004334CE">
      <w:pPr>
        <w:pStyle w:val="Text1"/>
        <w:rPr>
          <w:noProof/>
        </w:rPr>
      </w:pPr>
      <w:r w:rsidRPr="004F01E9">
        <w:rPr>
          <w:noProof/>
        </w:rPr>
        <w:t>1. Inštitúcie, ktorým príslušné orgány neudelili povolenie používať prístup alternatívneho modelu pre trhové riziko, ako sa stanovuje</w:t>
      </w:r>
      <w:r w:rsidR="004F01E9">
        <w:rPr>
          <w:noProof/>
        </w:rPr>
        <w:t xml:space="preserve"> v </w:t>
      </w:r>
      <w:r w:rsidRPr="004F01E9">
        <w:rPr>
          <w:noProof/>
        </w:rPr>
        <w:t>článku 325az,</w:t>
      </w:r>
      <w:r w:rsidR="004F01E9">
        <w:rPr>
          <w:noProof/>
        </w:rPr>
        <w:t xml:space="preserve"> a </w:t>
      </w:r>
      <w:r w:rsidRPr="004F01E9">
        <w:rPr>
          <w:noProof/>
        </w:rPr>
        <w:t>ktoré používajú zjednodušený štandardizovaný prístup</w:t>
      </w:r>
      <w:r w:rsidR="004F01E9">
        <w:rPr>
          <w:noProof/>
        </w:rPr>
        <w:t xml:space="preserve"> v </w:t>
      </w:r>
      <w:r w:rsidRPr="004F01E9">
        <w:rPr>
          <w:noProof/>
        </w:rPr>
        <w:t>súlade</w:t>
      </w:r>
      <w:r w:rsidR="004F01E9">
        <w:rPr>
          <w:noProof/>
        </w:rPr>
        <w:t xml:space="preserve"> s </w:t>
      </w:r>
      <w:r w:rsidRPr="004F01E9">
        <w:rPr>
          <w:noProof/>
        </w:rPr>
        <w:t>článkom 325a alebo treťou časťou hlavou IV kapitolou 1a, zverejňujú všeobecný prehľad svojich pozícií</w:t>
      </w:r>
      <w:r w:rsidR="004F01E9">
        <w:rPr>
          <w:noProof/>
        </w:rPr>
        <w:t xml:space="preserve"> v </w:t>
      </w:r>
      <w:r w:rsidRPr="004F01E9">
        <w:rPr>
          <w:noProof/>
        </w:rPr>
        <w:t>obchodnej knihe.</w:t>
      </w:r>
    </w:p>
    <w:p w14:paraId="39E00DFC" w14:textId="5E1FB2F9" w:rsidR="004334CE" w:rsidRPr="004F01E9" w:rsidRDefault="004334CE" w:rsidP="004334CE">
      <w:pPr>
        <w:pStyle w:val="Text1"/>
        <w:rPr>
          <w:noProof/>
        </w:rPr>
      </w:pPr>
      <w:r w:rsidRPr="004F01E9">
        <w:rPr>
          <w:noProof/>
        </w:rPr>
        <w:t>2. Inštitúcie, ktoré vypočítavajú svoje požiadavky na vlastné zdroje</w:t>
      </w:r>
      <w:r w:rsidR="004F01E9">
        <w:rPr>
          <w:noProof/>
        </w:rPr>
        <w:t xml:space="preserve"> v </w:t>
      </w:r>
      <w:r w:rsidRPr="004F01E9">
        <w:rPr>
          <w:noProof/>
        </w:rPr>
        <w:t>súlade</w:t>
      </w:r>
      <w:r w:rsidR="004F01E9">
        <w:rPr>
          <w:noProof/>
        </w:rPr>
        <w:t xml:space="preserve"> s </w:t>
      </w:r>
      <w:r w:rsidRPr="004F01E9">
        <w:rPr>
          <w:noProof/>
        </w:rPr>
        <w:t>treťou časťou hlavou IV kapitolou 1a, zverejňujú svoje celkové požiadavky na vlastné zdroje, požiadavky na vlastné zdroje pre metódy založené na citlivostiach, požiadavky na krytie rizika zlyhania</w:t>
      </w:r>
      <w:r w:rsidR="004F01E9">
        <w:rPr>
          <w:noProof/>
        </w:rPr>
        <w:t xml:space="preserve"> a </w:t>
      </w:r>
      <w:r w:rsidRPr="004F01E9">
        <w:rPr>
          <w:noProof/>
        </w:rPr>
        <w:t>požiadavky na vlastné zdroje pre reziduálne riziká. Zverejňovanie požiadaviek na vlastné zdroje na meranie metód založených na citlivostiach</w:t>
      </w:r>
      <w:r w:rsidR="004F01E9">
        <w:rPr>
          <w:noProof/>
        </w:rPr>
        <w:t xml:space="preserve"> a </w:t>
      </w:r>
      <w:r w:rsidRPr="004F01E9">
        <w:rPr>
          <w:noProof/>
        </w:rPr>
        <w:t>na riziko zlyhania sa rozčleňuje podľa týchto nástrojov:</w:t>
      </w:r>
    </w:p>
    <w:p w14:paraId="63856213" w14:textId="0B83A625" w:rsidR="004334CE" w:rsidRPr="004F01E9" w:rsidRDefault="004334CE" w:rsidP="004334CE">
      <w:pPr>
        <w:pStyle w:val="Point1"/>
        <w:rPr>
          <w:noProof/>
        </w:rPr>
      </w:pPr>
      <w:r w:rsidRPr="004F01E9">
        <w:rPr>
          <w:noProof/>
        </w:rPr>
        <w:t>a)</w:t>
      </w:r>
      <w:r w:rsidRPr="004F01E9">
        <w:rPr>
          <w:noProof/>
        </w:rPr>
        <w:tab/>
        <w:t>finančných nástrojov iných než sekuritizačné nástroje držané</w:t>
      </w:r>
      <w:r w:rsidR="004F01E9">
        <w:rPr>
          <w:noProof/>
        </w:rPr>
        <w:t xml:space="preserve"> v </w:t>
      </w:r>
      <w:r w:rsidRPr="004F01E9">
        <w:rPr>
          <w:noProof/>
        </w:rPr>
        <w:t>obchodnej knihe,</w:t>
      </w:r>
      <w:r w:rsidR="004F01E9">
        <w:rPr>
          <w:noProof/>
        </w:rPr>
        <w:t xml:space="preserve"> v </w:t>
      </w:r>
      <w:r w:rsidRPr="004F01E9">
        <w:rPr>
          <w:noProof/>
        </w:rPr>
        <w:t>členení podľa triedy rizika,</w:t>
      </w:r>
      <w:r w:rsidR="004F01E9">
        <w:rPr>
          <w:noProof/>
        </w:rPr>
        <w:t xml:space="preserve"> a </w:t>
      </w:r>
      <w:r w:rsidRPr="004F01E9">
        <w:rPr>
          <w:noProof/>
        </w:rPr>
        <w:t>so samostatnou identifikáciou požiadaviek na vlastné zdroje pre riziko zlyhania;</w:t>
      </w:r>
    </w:p>
    <w:p w14:paraId="0F105177" w14:textId="3C742A99" w:rsidR="004334CE" w:rsidRPr="004F01E9" w:rsidRDefault="004334CE" w:rsidP="004334CE">
      <w:pPr>
        <w:pStyle w:val="Point1"/>
        <w:rPr>
          <w:noProof/>
        </w:rPr>
      </w:pPr>
      <w:r w:rsidRPr="004F01E9">
        <w:rPr>
          <w:noProof/>
        </w:rPr>
        <w:t>b)</w:t>
      </w:r>
      <w:r w:rsidRPr="004F01E9">
        <w:rPr>
          <w:noProof/>
        </w:rPr>
        <w:tab/>
        <w:t>sekuritizačných nástrojov, ktoré nie sú držané</w:t>
      </w:r>
      <w:r w:rsidR="004F01E9">
        <w:rPr>
          <w:noProof/>
        </w:rPr>
        <w:t xml:space="preserve"> v </w:t>
      </w:r>
      <w:r w:rsidRPr="004F01E9">
        <w:rPr>
          <w:noProof/>
        </w:rPr>
        <w:t>ACTP, so samostatnou identifikáciou požiadaviek na vlastné zdroje pre riziko kreditného rozpätia</w:t>
      </w:r>
      <w:r w:rsidR="004F01E9">
        <w:rPr>
          <w:noProof/>
        </w:rPr>
        <w:t xml:space="preserve"> a </w:t>
      </w:r>
      <w:r w:rsidRPr="004F01E9">
        <w:rPr>
          <w:noProof/>
        </w:rPr>
        <w:t>požiadaviek na vlastné zdroje pre riziko zlyhania;</w:t>
      </w:r>
    </w:p>
    <w:p w14:paraId="0011FE8D" w14:textId="53930BCC" w:rsidR="004334CE" w:rsidRPr="004F01E9" w:rsidRDefault="004334CE" w:rsidP="004334CE">
      <w:pPr>
        <w:pStyle w:val="Point1"/>
        <w:rPr>
          <w:noProof/>
        </w:rPr>
      </w:pPr>
      <w:r w:rsidRPr="004F01E9">
        <w:rPr>
          <w:noProof/>
        </w:rPr>
        <w:t>c)</w:t>
      </w:r>
      <w:r w:rsidRPr="004F01E9">
        <w:rPr>
          <w:noProof/>
        </w:rPr>
        <w:tab/>
        <w:t>sekuritizačných nástrojov držaných</w:t>
      </w:r>
      <w:r w:rsidR="004F01E9">
        <w:rPr>
          <w:noProof/>
        </w:rPr>
        <w:t xml:space="preserve"> v </w:t>
      </w:r>
      <w:r w:rsidRPr="004F01E9">
        <w:rPr>
          <w:noProof/>
        </w:rPr>
        <w:t>ACTP so samostatnou identifikáciou požiadaviek na vlastné zdroje pre riziko kreditného rozpätia</w:t>
      </w:r>
      <w:r w:rsidR="004F01E9">
        <w:rPr>
          <w:noProof/>
        </w:rPr>
        <w:t xml:space="preserve"> a </w:t>
      </w:r>
      <w:r w:rsidRPr="004F01E9">
        <w:rPr>
          <w:noProof/>
        </w:rPr>
        <w:t>požiadaviek na vlastné zdroje pre riziko zlyhania.“</w:t>
      </w:r>
    </w:p>
    <w:p w14:paraId="4D5F232A" w14:textId="36D2C8D8" w:rsidR="0045677E" w:rsidRPr="004F01E9" w:rsidRDefault="00B16452" w:rsidP="00B16452">
      <w:pPr>
        <w:pStyle w:val="Point0"/>
        <w:rPr>
          <w:noProof/>
          <w:szCs w:val="24"/>
        </w:rPr>
      </w:pPr>
      <w:r w:rsidRPr="00B16452">
        <w:rPr>
          <w:noProof/>
        </w:rPr>
        <w:t>186</w:t>
      </w:r>
      <w:r>
        <w:rPr>
          <w:noProof/>
        </w:rPr>
        <w:t>.</w:t>
      </w:r>
      <w:r w:rsidRPr="00B16452">
        <w:rPr>
          <w:noProof/>
        </w:rPr>
        <w:tab/>
      </w:r>
      <w:r w:rsidR="0045677E" w:rsidRPr="004F01E9">
        <w:rPr>
          <w:noProof/>
        </w:rPr>
        <w:t>Vkladá sa tento článok 445a:</w:t>
      </w:r>
    </w:p>
    <w:p w14:paraId="63D875B2" w14:textId="40D04C3B" w:rsidR="0045677E" w:rsidRPr="004F01E9" w:rsidRDefault="0045677E" w:rsidP="0045677E">
      <w:pPr>
        <w:pStyle w:val="Titrearticle"/>
        <w:spacing w:before="120"/>
        <w:rPr>
          <w:noProof/>
          <w:szCs w:val="24"/>
        </w:rPr>
      </w:pPr>
      <w:r w:rsidRPr="004F01E9">
        <w:rPr>
          <w:noProof/>
        </w:rPr>
        <w:t xml:space="preserve">„Článok 445a </w:t>
      </w:r>
      <w:r w:rsidRPr="004F01E9">
        <w:rPr>
          <w:noProof/>
        </w:rPr>
        <w:br/>
      </w:r>
      <w:r w:rsidRPr="004F01E9">
        <w:rPr>
          <w:b/>
          <w:i w:val="0"/>
          <w:noProof/>
          <w:szCs w:val="24"/>
        </w:rPr>
        <w:t>Zverejňovanie informácií</w:t>
      </w:r>
      <w:r w:rsidR="004F01E9">
        <w:rPr>
          <w:b/>
          <w:i w:val="0"/>
          <w:noProof/>
          <w:szCs w:val="24"/>
        </w:rPr>
        <w:t xml:space="preserve"> o </w:t>
      </w:r>
      <w:r w:rsidRPr="004F01E9">
        <w:rPr>
          <w:b/>
          <w:i w:val="0"/>
          <w:noProof/>
          <w:szCs w:val="24"/>
        </w:rPr>
        <w:t>riziku úpravy ocenenia pohľadávky</w:t>
      </w:r>
    </w:p>
    <w:p w14:paraId="36DA673E" w14:textId="77777777" w:rsidR="00806B81" w:rsidRPr="004F01E9" w:rsidRDefault="0045677E" w:rsidP="00615061">
      <w:pPr>
        <w:pStyle w:val="Text1"/>
        <w:rPr>
          <w:noProof/>
          <w:szCs w:val="24"/>
        </w:rPr>
      </w:pPr>
      <w:r w:rsidRPr="004F01E9">
        <w:rPr>
          <w:noProof/>
        </w:rPr>
        <w:t>1. Inštitúcie, na ktoré sa vzťahujú požiadavky na vlastné zdroje pre riziko úpravy ocenenia pohľadávok, zverejňujú tieto informácie:</w:t>
      </w:r>
    </w:p>
    <w:p w14:paraId="59A578A1" w14:textId="5114FF4C" w:rsidR="0045677E" w:rsidRPr="004F01E9" w:rsidRDefault="00A50A07" w:rsidP="00A50A07">
      <w:pPr>
        <w:pStyle w:val="Point1"/>
        <w:rPr>
          <w:noProof/>
        </w:rPr>
      </w:pPr>
      <w:r w:rsidRPr="004F01E9">
        <w:rPr>
          <w:noProof/>
          <w:shd w:val="clear" w:color="auto" w:fill="FFFFFF"/>
        </w:rPr>
        <w:t>a)</w:t>
      </w:r>
      <w:r w:rsidRPr="004F01E9">
        <w:rPr>
          <w:noProof/>
        </w:rPr>
        <w:tab/>
      </w:r>
      <w:r w:rsidRPr="004F01E9">
        <w:rPr>
          <w:noProof/>
          <w:shd w:val="clear" w:color="auto" w:fill="FFFFFF"/>
        </w:rPr>
        <w:t>všeobecný prehľad ich postupov na identifikáciu, oceňovanie, hedžing</w:t>
      </w:r>
      <w:r w:rsidR="004F01E9">
        <w:rPr>
          <w:noProof/>
          <w:shd w:val="clear" w:color="auto" w:fill="FFFFFF"/>
        </w:rPr>
        <w:t xml:space="preserve"> a </w:t>
      </w:r>
      <w:r w:rsidRPr="004F01E9">
        <w:rPr>
          <w:noProof/>
          <w:shd w:val="clear" w:color="auto" w:fill="FFFFFF"/>
        </w:rPr>
        <w:t>monitorovanie ich rizika úpravy ocenenia pohľadávok;</w:t>
      </w:r>
    </w:p>
    <w:p w14:paraId="3C11AE0E" w14:textId="592ED3E3" w:rsidR="0045677E" w:rsidRPr="004F01E9" w:rsidRDefault="00A50A07" w:rsidP="00A50A07">
      <w:pPr>
        <w:pStyle w:val="Point1"/>
        <w:rPr>
          <w:noProof/>
        </w:rPr>
      </w:pPr>
      <w:r w:rsidRPr="004F01E9">
        <w:rPr>
          <w:noProof/>
          <w:shd w:val="clear" w:color="auto" w:fill="FFFFFF"/>
        </w:rPr>
        <w:t>b)</w:t>
      </w:r>
      <w:r w:rsidRPr="004F01E9">
        <w:rPr>
          <w:noProof/>
        </w:rPr>
        <w:tab/>
      </w:r>
      <w:r w:rsidRPr="004F01E9">
        <w:rPr>
          <w:noProof/>
          <w:shd w:val="clear" w:color="auto" w:fill="FFFFFF"/>
        </w:rPr>
        <w:t>či inštitúcie spĺňajú všetky podmienky stanovené</w:t>
      </w:r>
      <w:r w:rsidR="004F01E9">
        <w:rPr>
          <w:noProof/>
          <w:shd w:val="clear" w:color="auto" w:fill="FFFFFF"/>
        </w:rPr>
        <w:t xml:space="preserve"> v </w:t>
      </w:r>
      <w:r w:rsidRPr="004F01E9">
        <w:rPr>
          <w:noProof/>
          <w:shd w:val="clear" w:color="auto" w:fill="FFFFFF"/>
        </w:rPr>
        <w:t>článku 273a ods. 2; ak sú tieto podmienky splnené, či sa inštitúcie rozhodli vypočítavať požiadavky na vlastné zdroje pre riziko úpravy ocenenia pohľadávok pomocou zjednodušeného prístupu stanoveného</w:t>
      </w:r>
      <w:r w:rsidR="004F01E9">
        <w:rPr>
          <w:noProof/>
          <w:shd w:val="clear" w:color="auto" w:fill="FFFFFF"/>
        </w:rPr>
        <w:t xml:space="preserve"> v </w:t>
      </w:r>
      <w:r w:rsidRPr="004F01E9">
        <w:rPr>
          <w:noProof/>
          <w:shd w:val="clear" w:color="auto" w:fill="FFFFFF"/>
        </w:rPr>
        <w:t>článku 385; ak sa inštitúcie rozhodli vypočítavať požiadavky na vlastné zdroje pre riziko úpravy ocenenia pohľadávok pomocou zjednodušeného prístupu, požiadavky na vlastné zdroje pre riziko úpravy ocenenia pohľadávok</w:t>
      </w:r>
      <w:r w:rsidR="004F01E9">
        <w:rPr>
          <w:noProof/>
          <w:shd w:val="clear" w:color="auto" w:fill="FFFFFF"/>
        </w:rPr>
        <w:t xml:space="preserve"> v </w:t>
      </w:r>
      <w:r w:rsidRPr="004F01E9">
        <w:rPr>
          <w:noProof/>
          <w:shd w:val="clear" w:color="auto" w:fill="FFFFFF"/>
        </w:rPr>
        <w:t>súlade</w:t>
      </w:r>
      <w:r w:rsidR="004F01E9">
        <w:rPr>
          <w:noProof/>
          <w:shd w:val="clear" w:color="auto" w:fill="FFFFFF"/>
        </w:rPr>
        <w:t xml:space="preserve"> s </w:t>
      </w:r>
      <w:r w:rsidRPr="004F01E9">
        <w:rPr>
          <w:noProof/>
          <w:shd w:val="clear" w:color="auto" w:fill="FFFFFF"/>
        </w:rPr>
        <w:t>týmto prístupom;</w:t>
      </w:r>
    </w:p>
    <w:p w14:paraId="0D4F1958" w14:textId="79215F04" w:rsidR="0045677E" w:rsidRPr="004F01E9" w:rsidRDefault="00A50A07" w:rsidP="00A50A07">
      <w:pPr>
        <w:pStyle w:val="Point1"/>
        <w:rPr>
          <w:noProof/>
        </w:rPr>
      </w:pPr>
      <w:r w:rsidRPr="004F01E9">
        <w:rPr>
          <w:noProof/>
        </w:rPr>
        <w:t>c)</w:t>
      </w:r>
      <w:r w:rsidRPr="004F01E9">
        <w:rPr>
          <w:noProof/>
        </w:rPr>
        <w:tab/>
        <w:t>celkový počet protistrán, pre ktoré sa používa štandardizovaný prístup,</w:t>
      </w:r>
      <w:r w:rsidR="004F01E9">
        <w:rPr>
          <w:noProof/>
        </w:rPr>
        <w:t xml:space="preserve"> v </w:t>
      </w:r>
      <w:r w:rsidRPr="004F01E9">
        <w:rPr>
          <w:noProof/>
        </w:rPr>
        <w:t>členení podľa druhov protistrán.</w:t>
      </w:r>
    </w:p>
    <w:p w14:paraId="5C5BCE17" w14:textId="58E3207F" w:rsidR="00806B81" w:rsidRPr="004F01E9" w:rsidRDefault="0045677E" w:rsidP="00615061">
      <w:pPr>
        <w:pStyle w:val="Text1"/>
        <w:rPr>
          <w:noProof/>
          <w:szCs w:val="24"/>
        </w:rPr>
      </w:pPr>
      <w:r w:rsidRPr="004F01E9">
        <w:rPr>
          <w:noProof/>
        </w:rPr>
        <w:t>2. Inštitúcie, ktoré používajú štandardizovaný prístup vymedzený</w:t>
      </w:r>
      <w:r w:rsidR="004F01E9">
        <w:rPr>
          <w:noProof/>
        </w:rPr>
        <w:t xml:space="preserve"> v </w:t>
      </w:r>
      <w:r w:rsidRPr="004F01E9">
        <w:rPr>
          <w:noProof/>
        </w:rPr>
        <w:t>článku 383 na výpočet požiadaviek na vlastné zdroje pre riziko úpravy ocenenia pohľadávok, zverejňujú okrem informácií uvedených</w:t>
      </w:r>
      <w:r w:rsidR="004F01E9">
        <w:rPr>
          <w:noProof/>
        </w:rPr>
        <w:t xml:space="preserve"> v </w:t>
      </w:r>
      <w:r w:rsidRPr="004F01E9">
        <w:rPr>
          <w:noProof/>
        </w:rPr>
        <w:t>odseku 1 tieto informácie:</w:t>
      </w:r>
    </w:p>
    <w:p w14:paraId="4ACF9EB3" w14:textId="5097E6FC" w:rsidR="0045677E" w:rsidRPr="004F01E9" w:rsidRDefault="00A50A07" w:rsidP="00A50A07">
      <w:pPr>
        <w:pStyle w:val="Point1"/>
        <w:rPr>
          <w:noProof/>
        </w:rPr>
      </w:pPr>
      <w:r w:rsidRPr="004F01E9">
        <w:rPr>
          <w:noProof/>
        </w:rPr>
        <w:t>a)</w:t>
      </w:r>
      <w:r w:rsidRPr="004F01E9">
        <w:rPr>
          <w:noProof/>
        </w:rPr>
        <w:tab/>
        <w:t>štruktúru</w:t>
      </w:r>
      <w:r w:rsidR="004F01E9">
        <w:rPr>
          <w:noProof/>
        </w:rPr>
        <w:t xml:space="preserve"> a </w:t>
      </w:r>
      <w:r w:rsidRPr="004F01E9">
        <w:rPr>
          <w:noProof/>
        </w:rPr>
        <w:t>organizáciu ich vnútornej funkcie riadenia rizika úpravy ocenenia pohľadávok</w:t>
      </w:r>
      <w:r w:rsidR="004F01E9">
        <w:rPr>
          <w:noProof/>
        </w:rPr>
        <w:t xml:space="preserve"> a </w:t>
      </w:r>
      <w:r w:rsidRPr="004F01E9">
        <w:rPr>
          <w:noProof/>
        </w:rPr>
        <w:t>správy</w:t>
      </w:r>
      <w:r w:rsidR="004F01E9">
        <w:rPr>
          <w:noProof/>
        </w:rPr>
        <w:t xml:space="preserve"> a </w:t>
      </w:r>
      <w:r w:rsidRPr="004F01E9">
        <w:rPr>
          <w:noProof/>
        </w:rPr>
        <w:t>riadenia;</w:t>
      </w:r>
    </w:p>
    <w:p w14:paraId="1A08060E" w14:textId="091B9144" w:rsidR="0045677E" w:rsidRPr="004F01E9" w:rsidRDefault="00A50A07" w:rsidP="00A50A07">
      <w:pPr>
        <w:pStyle w:val="Point1"/>
        <w:rPr>
          <w:noProof/>
        </w:rPr>
      </w:pPr>
      <w:r w:rsidRPr="004F01E9">
        <w:rPr>
          <w:noProof/>
        </w:rPr>
        <w:t>b)</w:t>
      </w:r>
      <w:r w:rsidRPr="004F01E9">
        <w:rPr>
          <w:noProof/>
        </w:rPr>
        <w:tab/>
        <w:t>svoje celkové požiadavky na vlastné zdroje pre riziko úpravy ocenenia pohľadávok podľa štandardizovaného prístupu</w:t>
      </w:r>
      <w:r w:rsidR="004F01E9">
        <w:rPr>
          <w:noProof/>
        </w:rPr>
        <w:t xml:space="preserve"> v </w:t>
      </w:r>
      <w:r w:rsidRPr="004F01E9">
        <w:rPr>
          <w:noProof/>
        </w:rPr>
        <w:t>členení podľa triedy rizika;</w:t>
      </w:r>
    </w:p>
    <w:p w14:paraId="40DD166F" w14:textId="04E38279" w:rsidR="0045677E" w:rsidRPr="004F01E9" w:rsidRDefault="00A50A07" w:rsidP="00A50A07">
      <w:pPr>
        <w:pStyle w:val="Point1"/>
        <w:rPr>
          <w:noProof/>
        </w:rPr>
      </w:pPr>
      <w:r w:rsidRPr="004F01E9">
        <w:rPr>
          <w:noProof/>
        </w:rPr>
        <w:t>c)</w:t>
      </w:r>
      <w:r w:rsidRPr="004F01E9">
        <w:rPr>
          <w:noProof/>
        </w:rPr>
        <w:tab/>
        <w:t>prehľad prípustných hedžingov použitých</w:t>
      </w:r>
      <w:r w:rsidR="004F01E9">
        <w:rPr>
          <w:noProof/>
        </w:rPr>
        <w:t xml:space="preserve"> v </w:t>
      </w:r>
      <w:r w:rsidRPr="004F01E9">
        <w:rPr>
          <w:noProof/>
        </w:rPr>
        <w:t>uvedenom výpočte</w:t>
      </w:r>
      <w:r w:rsidR="004F01E9">
        <w:rPr>
          <w:noProof/>
        </w:rPr>
        <w:t xml:space="preserve"> v </w:t>
      </w:r>
      <w:r w:rsidRPr="004F01E9">
        <w:rPr>
          <w:noProof/>
        </w:rPr>
        <w:t>členení podľa druhov vymedzených</w:t>
      </w:r>
      <w:r w:rsidR="004F01E9">
        <w:rPr>
          <w:noProof/>
        </w:rPr>
        <w:t xml:space="preserve"> v </w:t>
      </w:r>
      <w:r w:rsidRPr="004F01E9">
        <w:rPr>
          <w:noProof/>
        </w:rPr>
        <w:t>článku 386 ods. 2.</w:t>
      </w:r>
    </w:p>
    <w:p w14:paraId="5F3FADC4" w14:textId="097B136D" w:rsidR="00806B81" w:rsidRPr="004F01E9" w:rsidRDefault="0045677E" w:rsidP="00615061">
      <w:pPr>
        <w:pStyle w:val="Text1"/>
        <w:rPr>
          <w:noProof/>
          <w:szCs w:val="24"/>
        </w:rPr>
      </w:pPr>
      <w:r w:rsidRPr="004F01E9">
        <w:rPr>
          <w:noProof/>
        </w:rPr>
        <w:t>3. Inštitúcie, ktoré používajú základný prístup vymedzený</w:t>
      </w:r>
      <w:r w:rsidR="004F01E9">
        <w:rPr>
          <w:noProof/>
        </w:rPr>
        <w:t xml:space="preserve"> v </w:t>
      </w:r>
      <w:r w:rsidRPr="004F01E9">
        <w:rPr>
          <w:noProof/>
        </w:rPr>
        <w:t>článku 384 na výpočet požiadaviek na vlastné zdroje pre riziko úpravy ocenenia pohľadávok, zverejňujú okrem informácií uvedených</w:t>
      </w:r>
      <w:r w:rsidR="004F01E9">
        <w:rPr>
          <w:noProof/>
        </w:rPr>
        <w:t xml:space="preserve"> v </w:t>
      </w:r>
      <w:r w:rsidRPr="004F01E9">
        <w:rPr>
          <w:noProof/>
        </w:rPr>
        <w:t>odseku 1 tieto informácie:</w:t>
      </w:r>
    </w:p>
    <w:p w14:paraId="68137743" w14:textId="36D2C8E0" w:rsidR="0045677E" w:rsidRPr="004F01E9" w:rsidRDefault="00180A5F" w:rsidP="00180A5F">
      <w:pPr>
        <w:pStyle w:val="Point1"/>
        <w:rPr>
          <w:noProof/>
        </w:rPr>
      </w:pPr>
      <w:r w:rsidRPr="004F01E9">
        <w:rPr>
          <w:noProof/>
        </w:rPr>
        <w:t>a)</w:t>
      </w:r>
      <w:r w:rsidRPr="004F01E9">
        <w:rPr>
          <w:noProof/>
        </w:rPr>
        <w:tab/>
        <w:t>svoje celkové požiadavky na vlastné zdroje pre riziko úpravy ocenenia pohľadávok podľa základného prístupu</w:t>
      </w:r>
      <w:r w:rsidR="004F01E9">
        <w:rPr>
          <w:noProof/>
        </w:rPr>
        <w:t xml:space="preserve"> a </w:t>
      </w:r>
      <w:r w:rsidRPr="004F01E9">
        <w:rPr>
          <w:noProof/>
        </w:rPr>
        <w:t xml:space="preserve">zložky </w:t>
      </w:r>
      <m:oMath>
        <m:sSup>
          <m:sSupPr>
            <m:ctrlPr>
              <w:rPr>
                <w:rFonts w:ascii="Cambria Math" w:hAnsi="Cambria Math"/>
                <w:i/>
                <w:noProof/>
              </w:rPr>
            </m:ctrlPr>
          </m:sSupPr>
          <m:e>
            <m:r>
              <w:rPr>
                <w:rFonts w:ascii="Cambria Math" w:hAnsi="Cambria Math"/>
                <w:noProof/>
              </w:rPr>
              <m:t>BACVA</m:t>
            </m:r>
          </m:e>
          <m:sup>
            <m:r>
              <w:rPr>
                <w:rFonts w:ascii="Cambria Math" w:hAnsi="Cambria Math"/>
                <w:noProof/>
              </w:rPr>
              <m:t>total</m:t>
            </m:r>
          </m:sup>
        </m:sSup>
        <m:r>
          <m:rPr>
            <m:sty m:val="p"/>
          </m:rPr>
          <w:rPr>
            <w:rFonts w:ascii="Cambria Math" w:hAnsi="Cambria Math"/>
            <w:noProof/>
          </w:rPr>
          <m:t xml:space="preserve"> a </m:t>
        </m:r>
        <m:sSup>
          <m:sSupPr>
            <m:ctrlPr>
              <w:rPr>
                <w:rFonts w:ascii="Cambria Math" w:hAnsi="Cambria Math"/>
                <w:i/>
                <w:noProof/>
              </w:rPr>
            </m:ctrlPr>
          </m:sSupPr>
          <m:e>
            <m:r>
              <w:rPr>
                <w:rFonts w:ascii="Cambria Math" w:hAnsi="Cambria Math"/>
                <w:noProof/>
              </w:rPr>
              <m:t>BACVA</m:t>
            </m:r>
          </m:e>
          <m:sup>
            <m:r>
              <w:rPr>
                <w:rFonts w:ascii="Cambria Math" w:hAnsi="Cambria Math"/>
                <w:noProof/>
                <w:sz w:val="20"/>
                <w:szCs w:val="20"/>
              </w:rPr>
              <m:t>csr-hedged</m:t>
            </m:r>
          </m:sup>
        </m:sSup>
        <m:r>
          <w:rPr>
            <w:rFonts w:ascii="Cambria Math" w:hAnsi="Cambria Math"/>
            <w:noProof/>
          </w:rPr>
          <m:t>;</m:t>
        </m:r>
      </m:oMath>
      <w:r w:rsidRPr="004F01E9">
        <w:rPr>
          <w:noProof/>
        </w:rPr>
        <w:t>;</w:t>
      </w:r>
    </w:p>
    <w:p w14:paraId="4DD32BEB" w14:textId="399F419D" w:rsidR="0045677E" w:rsidRPr="004F01E9" w:rsidRDefault="00180A5F" w:rsidP="00180A5F">
      <w:pPr>
        <w:pStyle w:val="Point1"/>
        <w:rPr>
          <w:noProof/>
        </w:rPr>
      </w:pPr>
      <w:r w:rsidRPr="004F01E9">
        <w:rPr>
          <w:noProof/>
        </w:rPr>
        <w:t>b)</w:t>
      </w:r>
      <w:r w:rsidRPr="004F01E9">
        <w:rPr>
          <w:noProof/>
        </w:rPr>
        <w:tab/>
        <w:t>prehľad prípustných hedžingov použitých</w:t>
      </w:r>
      <w:r w:rsidR="004F01E9">
        <w:rPr>
          <w:noProof/>
        </w:rPr>
        <w:t xml:space="preserve"> v </w:t>
      </w:r>
      <w:r w:rsidRPr="004F01E9">
        <w:rPr>
          <w:noProof/>
        </w:rPr>
        <w:t>uvedenom výpočte</w:t>
      </w:r>
      <w:r w:rsidR="004F01E9">
        <w:rPr>
          <w:noProof/>
        </w:rPr>
        <w:t xml:space="preserve"> v </w:t>
      </w:r>
      <w:r w:rsidRPr="004F01E9">
        <w:rPr>
          <w:noProof/>
        </w:rPr>
        <w:t>členení podľa druhov vymedzených</w:t>
      </w:r>
      <w:r w:rsidR="004F01E9">
        <w:rPr>
          <w:noProof/>
        </w:rPr>
        <w:t xml:space="preserve"> v </w:t>
      </w:r>
      <w:r w:rsidRPr="004F01E9">
        <w:rPr>
          <w:noProof/>
        </w:rPr>
        <w:t>článku 386 ods. 3.“</w:t>
      </w:r>
    </w:p>
    <w:p w14:paraId="3948A366" w14:textId="66692C65" w:rsidR="0045677E" w:rsidRPr="004F01E9" w:rsidRDefault="00B16452" w:rsidP="00B16452">
      <w:pPr>
        <w:pStyle w:val="Point0"/>
        <w:rPr>
          <w:noProof/>
        </w:rPr>
      </w:pPr>
      <w:r w:rsidRPr="00B16452">
        <w:rPr>
          <w:noProof/>
        </w:rPr>
        <w:t>187</w:t>
      </w:r>
      <w:r>
        <w:rPr>
          <w:noProof/>
        </w:rPr>
        <w:t>.</w:t>
      </w:r>
      <w:r w:rsidRPr="00B16452">
        <w:rPr>
          <w:noProof/>
        </w:rPr>
        <w:tab/>
      </w:r>
      <w:r w:rsidR="0045677E" w:rsidRPr="004F01E9">
        <w:rPr>
          <w:noProof/>
        </w:rPr>
        <w:t>Článok 446 sa nahrádza takto:</w:t>
      </w:r>
    </w:p>
    <w:p w14:paraId="32B14F68" w14:textId="0A05E6AF" w:rsidR="0045677E" w:rsidRPr="004F01E9" w:rsidRDefault="0045677E" w:rsidP="0045677E">
      <w:pPr>
        <w:pStyle w:val="Titrearticle"/>
        <w:spacing w:before="120"/>
        <w:rPr>
          <w:noProof/>
        </w:rPr>
      </w:pPr>
      <w:r w:rsidRPr="004F01E9">
        <w:rPr>
          <w:noProof/>
        </w:rPr>
        <w:t xml:space="preserve">„Článok 446 </w:t>
      </w:r>
      <w:r w:rsidRPr="004F01E9">
        <w:rPr>
          <w:noProof/>
        </w:rPr>
        <w:br/>
      </w:r>
      <w:r w:rsidRPr="004F01E9">
        <w:rPr>
          <w:b/>
          <w:i w:val="0"/>
          <w:noProof/>
        </w:rPr>
        <w:t>Zverejňovanie informácií</w:t>
      </w:r>
      <w:r w:rsidR="004F01E9">
        <w:rPr>
          <w:b/>
          <w:i w:val="0"/>
          <w:noProof/>
        </w:rPr>
        <w:t xml:space="preserve"> o </w:t>
      </w:r>
      <w:r w:rsidRPr="004F01E9">
        <w:rPr>
          <w:b/>
          <w:i w:val="0"/>
          <w:noProof/>
        </w:rPr>
        <w:t>operačnom riziku</w:t>
      </w:r>
    </w:p>
    <w:p w14:paraId="574009F8" w14:textId="77777777" w:rsidR="0045677E" w:rsidRPr="004F01E9" w:rsidRDefault="0045677E" w:rsidP="0045677E">
      <w:pPr>
        <w:pStyle w:val="Text1"/>
        <w:rPr>
          <w:noProof/>
        </w:rPr>
      </w:pPr>
      <w:r w:rsidRPr="004F01E9">
        <w:rPr>
          <w:noProof/>
        </w:rPr>
        <w:t>1. Inštitúcie zverejňujú tieto informácie:</w:t>
      </w:r>
    </w:p>
    <w:p w14:paraId="4ECB49FB" w14:textId="4017B55C" w:rsidR="0045677E" w:rsidRPr="004F01E9" w:rsidRDefault="0045677E" w:rsidP="0045677E">
      <w:pPr>
        <w:pStyle w:val="Point1"/>
        <w:rPr>
          <w:noProof/>
        </w:rPr>
      </w:pPr>
      <w:r w:rsidRPr="004F01E9">
        <w:rPr>
          <w:noProof/>
        </w:rPr>
        <w:t>a)</w:t>
      </w:r>
      <w:r w:rsidRPr="004F01E9">
        <w:rPr>
          <w:noProof/>
        </w:rPr>
        <w:tab/>
        <w:t>hlavné charakteristiky</w:t>
      </w:r>
      <w:r w:rsidR="004F01E9">
        <w:rPr>
          <w:noProof/>
        </w:rPr>
        <w:t xml:space="preserve"> a </w:t>
      </w:r>
      <w:r w:rsidRPr="004F01E9">
        <w:rPr>
          <w:noProof/>
        </w:rPr>
        <w:t>prvky svojho rámca riadenia operačného rizika;</w:t>
      </w:r>
    </w:p>
    <w:p w14:paraId="67E208AF" w14:textId="77777777" w:rsidR="0045677E" w:rsidRPr="004F01E9" w:rsidRDefault="0045677E" w:rsidP="0045677E">
      <w:pPr>
        <w:pStyle w:val="Point1"/>
        <w:rPr>
          <w:noProof/>
        </w:rPr>
      </w:pPr>
      <w:r w:rsidRPr="004F01E9">
        <w:rPr>
          <w:noProof/>
        </w:rPr>
        <w:t>b)</w:t>
      </w:r>
      <w:r w:rsidRPr="004F01E9">
        <w:rPr>
          <w:noProof/>
        </w:rPr>
        <w:tab/>
        <w:t>požiadavky na vlastné zdroje pre operačné riziko;</w:t>
      </w:r>
    </w:p>
    <w:p w14:paraId="65740DFE" w14:textId="2CF45453" w:rsidR="0045677E" w:rsidRPr="004F01E9" w:rsidRDefault="0045677E" w:rsidP="0045677E">
      <w:pPr>
        <w:pStyle w:val="Point1"/>
        <w:rPr>
          <w:noProof/>
        </w:rPr>
      </w:pPr>
      <w:r w:rsidRPr="004F01E9">
        <w:rPr>
          <w:noProof/>
        </w:rPr>
        <w:t>c)</w:t>
      </w:r>
      <w:r w:rsidRPr="004F01E9">
        <w:rPr>
          <w:noProof/>
        </w:rPr>
        <w:tab/>
        <w:t>zložka ukazovateľa obchodovania vypočítaná</w:t>
      </w:r>
      <w:r w:rsidR="004F01E9">
        <w:rPr>
          <w:noProof/>
        </w:rPr>
        <w:t xml:space="preserve"> v </w:t>
      </w:r>
      <w:r w:rsidRPr="004F01E9">
        <w:rPr>
          <w:noProof/>
        </w:rPr>
        <w:t>súlade</w:t>
      </w:r>
      <w:r w:rsidR="004F01E9">
        <w:rPr>
          <w:noProof/>
        </w:rPr>
        <w:t xml:space="preserve"> s </w:t>
      </w:r>
      <w:r w:rsidRPr="004F01E9">
        <w:rPr>
          <w:noProof/>
        </w:rPr>
        <w:t>článkom 313;</w:t>
      </w:r>
    </w:p>
    <w:p w14:paraId="3049C31C" w14:textId="45B5B5B4" w:rsidR="0045677E" w:rsidRPr="004F01E9" w:rsidRDefault="0045677E" w:rsidP="0045677E">
      <w:pPr>
        <w:pStyle w:val="Point1"/>
        <w:rPr>
          <w:noProof/>
        </w:rPr>
      </w:pPr>
      <w:r w:rsidRPr="004F01E9">
        <w:rPr>
          <w:noProof/>
        </w:rPr>
        <w:t>d)</w:t>
      </w:r>
      <w:r w:rsidRPr="004F01E9">
        <w:rPr>
          <w:noProof/>
        </w:rPr>
        <w:tab/>
        <w:t>ukazovateľ obchodovania vypočítaný</w:t>
      </w:r>
      <w:r w:rsidR="004F01E9">
        <w:rPr>
          <w:noProof/>
        </w:rPr>
        <w:t xml:space="preserve"> v </w:t>
      </w:r>
      <w:r w:rsidRPr="004F01E9">
        <w:rPr>
          <w:noProof/>
        </w:rPr>
        <w:t>súlade</w:t>
      </w:r>
      <w:r w:rsidR="004F01E9">
        <w:rPr>
          <w:noProof/>
        </w:rPr>
        <w:t xml:space="preserve"> s </w:t>
      </w:r>
      <w:r w:rsidRPr="004F01E9">
        <w:rPr>
          <w:noProof/>
        </w:rPr>
        <w:t>článkom 314 ods. 1</w:t>
      </w:r>
      <w:r w:rsidR="004F01E9">
        <w:rPr>
          <w:noProof/>
        </w:rPr>
        <w:t xml:space="preserve"> a </w:t>
      </w:r>
      <w:r w:rsidRPr="004F01E9">
        <w:rPr>
          <w:noProof/>
        </w:rPr>
        <w:t>sumy každej podpoložky ukazovateľa podnikania za každý</w:t>
      </w:r>
      <w:r w:rsidR="004F01E9">
        <w:rPr>
          <w:noProof/>
        </w:rPr>
        <w:t xml:space="preserve"> z </w:t>
      </w:r>
      <w:r w:rsidRPr="004F01E9">
        <w:rPr>
          <w:noProof/>
        </w:rPr>
        <w:t>troch rokov relevantných pre výpočet ukazovateľa obchodovania;</w:t>
      </w:r>
    </w:p>
    <w:p w14:paraId="18CEC9FD" w14:textId="4D87BFFD" w:rsidR="0045677E" w:rsidRPr="004F01E9" w:rsidRDefault="0045677E" w:rsidP="0045677E">
      <w:pPr>
        <w:pStyle w:val="Point1"/>
        <w:rPr>
          <w:noProof/>
        </w:rPr>
      </w:pPr>
      <w:r w:rsidRPr="004F01E9">
        <w:rPr>
          <w:noProof/>
        </w:rPr>
        <w:t>e)</w:t>
      </w:r>
      <w:r w:rsidRPr="004F01E9">
        <w:rPr>
          <w:noProof/>
        </w:rPr>
        <w:tab/>
        <w:t>počet</w:t>
      </w:r>
      <w:r w:rsidR="004F01E9">
        <w:rPr>
          <w:noProof/>
        </w:rPr>
        <w:t xml:space="preserve"> a </w:t>
      </w:r>
      <w:r w:rsidRPr="004F01E9">
        <w:rPr>
          <w:noProof/>
        </w:rPr>
        <w:t>sumy položiek ukazovateľov obchodovania, ktoré boli vylúčené</w:t>
      </w:r>
      <w:r w:rsidR="004F01E9">
        <w:rPr>
          <w:noProof/>
        </w:rPr>
        <w:t xml:space="preserve"> z </w:t>
      </w:r>
      <w:r w:rsidRPr="004F01E9">
        <w:rPr>
          <w:noProof/>
        </w:rPr>
        <w:t>výpočtu ukazovateľa obchodovania</w:t>
      </w:r>
      <w:r w:rsidR="004F01E9">
        <w:rPr>
          <w:noProof/>
        </w:rPr>
        <w:t xml:space="preserve"> v </w:t>
      </w:r>
      <w:r w:rsidRPr="004F01E9">
        <w:rPr>
          <w:noProof/>
        </w:rPr>
        <w:t>súlade</w:t>
      </w:r>
      <w:r w:rsidR="004F01E9">
        <w:rPr>
          <w:noProof/>
        </w:rPr>
        <w:t xml:space="preserve"> s </w:t>
      </w:r>
      <w:r w:rsidRPr="004F01E9">
        <w:rPr>
          <w:noProof/>
        </w:rPr>
        <w:t>článkom 315 ods. 2, ako aj zodpovedajúce odôvodnenia vylúčenia.</w:t>
      </w:r>
    </w:p>
    <w:p w14:paraId="5027A6F5" w14:textId="4E478798" w:rsidR="0045677E" w:rsidRPr="004F01E9" w:rsidRDefault="0045677E" w:rsidP="0045677E">
      <w:pPr>
        <w:pStyle w:val="Text1"/>
        <w:rPr>
          <w:noProof/>
        </w:rPr>
      </w:pPr>
      <w:r w:rsidRPr="004F01E9">
        <w:rPr>
          <w:noProof/>
        </w:rPr>
        <w:t>2. Inštitúcie, ktoré vypočítavajú svoje ročné straty</w:t>
      </w:r>
      <w:r w:rsidR="004F01E9">
        <w:rPr>
          <w:noProof/>
        </w:rPr>
        <w:t xml:space="preserve"> z </w:t>
      </w:r>
      <w:r w:rsidRPr="004F01E9">
        <w:rPr>
          <w:noProof/>
        </w:rPr>
        <w:t>operačného rizika</w:t>
      </w:r>
      <w:r w:rsidR="004F01E9">
        <w:rPr>
          <w:noProof/>
        </w:rPr>
        <w:t xml:space="preserve"> v </w:t>
      </w:r>
      <w:r w:rsidRPr="004F01E9">
        <w:rPr>
          <w:noProof/>
        </w:rPr>
        <w:t>súlade</w:t>
      </w:r>
      <w:r w:rsidR="004F01E9">
        <w:rPr>
          <w:noProof/>
        </w:rPr>
        <w:t xml:space="preserve"> s </w:t>
      </w:r>
      <w:r w:rsidRPr="004F01E9">
        <w:rPr>
          <w:noProof/>
        </w:rPr>
        <w:t>článkom 316 ods. 1, zverejňujú okrem informácií uvedených</w:t>
      </w:r>
      <w:r w:rsidR="004F01E9">
        <w:rPr>
          <w:noProof/>
        </w:rPr>
        <w:t xml:space="preserve"> v </w:t>
      </w:r>
      <w:r w:rsidRPr="004F01E9">
        <w:rPr>
          <w:noProof/>
        </w:rPr>
        <w:t>odseku 1 tieto informácie:</w:t>
      </w:r>
    </w:p>
    <w:p w14:paraId="1C3CD9C0" w14:textId="09655DA1" w:rsidR="0045677E" w:rsidRPr="004F01E9" w:rsidRDefault="0045677E" w:rsidP="0045677E">
      <w:pPr>
        <w:pStyle w:val="Point1"/>
        <w:rPr>
          <w:noProof/>
        </w:rPr>
      </w:pPr>
      <w:r w:rsidRPr="004F01E9">
        <w:rPr>
          <w:noProof/>
        </w:rPr>
        <w:t>a)</w:t>
      </w:r>
      <w:r w:rsidRPr="004F01E9">
        <w:rPr>
          <w:noProof/>
        </w:rPr>
        <w:tab/>
        <w:t>svoje ročné straty</w:t>
      </w:r>
      <w:r w:rsidR="004F01E9">
        <w:rPr>
          <w:noProof/>
        </w:rPr>
        <w:t xml:space="preserve"> z </w:t>
      </w:r>
      <w:r w:rsidRPr="004F01E9">
        <w:rPr>
          <w:noProof/>
        </w:rPr>
        <w:t>operačného rizika za každý</w:t>
      </w:r>
      <w:r w:rsidR="004F01E9">
        <w:rPr>
          <w:noProof/>
        </w:rPr>
        <w:t xml:space="preserve"> z </w:t>
      </w:r>
      <w:r w:rsidRPr="004F01E9">
        <w:rPr>
          <w:noProof/>
        </w:rPr>
        <w:t>posledných desiatich rokov vypočítané</w:t>
      </w:r>
      <w:r w:rsidR="004F01E9">
        <w:rPr>
          <w:noProof/>
        </w:rPr>
        <w:t xml:space="preserve"> v </w:t>
      </w:r>
      <w:r w:rsidRPr="004F01E9">
        <w:rPr>
          <w:noProof/>
        </w:rPr>
        <w:t>súlade</w:t>
      </w:r>
      <w:r w:rsidR="004F01E9">
        <w:rPr>
          <w:noProof/>
        </w:rPr>
        <w:t xml:space="preserve"> s </w:t>
      </w:r>
      <w:r w:rsidRPr="004F01E9">
        <w:rPr>
          <w:noProof/>
        </w:rPr>
        <w:t>článkom 316 ods. 1;</w:t>
      </w:r>
    </w:p>
    <w:p w14:paraId="657A5EEF" w14:textId="1C417B27" w:rsidR="0045677E" w:rsidRPr="004F01E9" w:rsidRDefault="0045677E" w:rsidP="0045677E">
      <w:pPr>
        <w:pStyle w:val="Point1"/>
        <w:rPr>
          <w:noProof/>
        </w:rPr>
      </w:pPr>
      <w:r w:rsidRPr="004F01E9">
        <w:rPr>
          <w:noProof/>
        </w:rPr>
        <w:t>b)</w:t>
      </w:r>
      <w:r w:rsidRPr="004F01E9">
        <w:rPr>
          <w:noProof/>
        </w:rPr>
        <w:tab/>
        <w:t>počet</w:t>
      </w:r>
      <w:r w:rsidR="004F01E9">
        <w:rPr>
          <w:noProof/>
        </w:rPr>
        <w:t xml:space="preserve"> a </w:t>
      </w:r>
      <w:r w:rsidRPr="004F01E9">
        <w:rPr>
          <w:noProof/>
        </w:rPr>
        <w:t>sumy strát</w:t>
      </w:r>
      <w:r w:rsidR="004F01E9">
        <w:rPr>
          <w:noProof/>
        </w:rPr>
        <w:t xml:space="preserve"> z </w:t>
      </w:r>
      <w:r w:rsidRPr="004F01E9">
        <w:rPr>
          <w:noProof/>
        </w:rPr>
        <w:t>operačného rizika, ktoré boli vylúčené</w:t>
      </w:r>
      <w:r w:rsidR="004F01E9">
        <w:rPr>
          <w:noProof/>
        </w:rPr>
        <w:t xml:space="preserve"> z </w:t>
      </w:r>
      <w:r w:rsidRPr="004F01E9">
        <w:rPr>
          <w:noProof/>
        </w:rPr>
        <w:t>výpočtu ukazovateľa ročných strát</w:t>
      </w:r>
      <w:r w:rsidR="004F01E9">
        <w:rPr>
          <w:noProof/>
        </w:rPr>
        <w:t xml:space="preserve"> z </w:t>
      </w:r>
      <w:r w:rsidRPr="004F01E9">
        <w:rPr>
          <w:noProof/>
        </w:rPr>
        <w:t>operačného rizika</w:t>
      </w:r>
      <w:r w:rsidR="004F01E9">
        <w:rPr>
          <w:noProof/>
        </w:rPr>
        <w:t xml:space="preserve"> v </w:t>
      </w:r>
      <w:r w:rsidRPr="004F01E9">
        <w:rPr>
          <w:noProof/>
        </w:rPr>
        <w:t>súlade</w:t>
      </w:r>
      <w:r w:rsidR="004F01E9">
        <w:rPr>
          <w:noProof/>
        </w:rPr>
        <w:t xml:space="preserve"> s </w:t>
      </w:r>
      <w:r w:rsidRPr="004F01E9">
        <w:rPr>
          <w:noProof/>
        </w:rPr>
        <w:t>článkom 320 ods. 1, ako aj zodpovedajúce odôvodnenia tohto vylúčenia.“</w:t>
      </w:r>
    </w:p>
    <w:p w14:paraId="2298DBE8" w14:textId="1B246166" w:rsidR="0045677E" w:rsidRPr="004F01E9" w:rsidRDefault="00B16452" w:rsidP="00B16452">
      <w:pPr>
        <w:pStyle w:val="Point0"/>
        <w:rPr>
          <w:noProof/>
        </w:rPr>
      </w:pPr>
      <w:r w:rsidRPr="00B16452">
        <w:rPr>
          <w:noProof/>
        </w:rPr>
        <w:t>188</w:t>
      </w:r>
      <w:r>
        <w:rPr>
          <w:noProof/>
        </w:rPr>
        <w:t>.</w:t>
      </w:r>
      <w:r w:rsidRPr="00B16452">
        <w:rPr>
          <w:noProof/>
        </w:rPr>
        <w:tab/>
      </w:r>
      <w:r w:rsidR="0045677E" w:rsidRPr="004F01E9">
        <w:rPr>
          <w:noProof/>
        </w:rPr>
        <w:t>Článok 447 sa mení takto:</w:t>
      </w:r>
    </w:p>
    <w:p w14:paraId="79437ED8" w14:textId="3C3D6D65" w:rsidR="00806B81" w:rsidRPr="004F01E9" w:rsidRDefault="00B7542F" w:rsidP="00B7542F">
      <w:pPr>
        <w:pStyle w:val="Point1"/>
        <w:rPr>
          <w:noProof/>
        </w:rPr>
      </w:pPr>
      <w:r w:rsidRPr="004F01E9">
        <w:rPr>
          <w:noProof/>
        </w:rPr>
        <w:t>a)</w:t>
      </w:r>
      <w:r w:rsidRPr="004F01E9">
        <w:rPr>
          <w:noProof/>
        </w:rPr>
        <w:tab/>
        <w:t>Písmeno a) sa nahrádza takto:</w:t>
      </w:r>
    </w:p>
    <w:p w14:paraId="6FF5EFF2" w14:textId="7DF61B06" w:rsidR="0045677E" w:rsidRPr="004F01E9" w:rsidRDefault="0045677E" w:rsidP="00615061">
      <w:pPr>
        <w:pStyle w:val="Text2"/>
        <w:rPr>
          <w:noProof/>
        </w:rPr>
      </w:pPr>
      <w:r w:rsidRPr="004F01E9">
        <w:rPr>
          <w:noProof/>
        </w:rPr>
        <w:t>„a)</w:t>
      </w:r>
      <w:r w:rsidRPr="004F01E9">
        <w:rPr>
          <w:noProof/>
        </w:rPr>
        <w:tab/>
        <w:t>zloženie svojich vlastných zdrojov</w:t>
      </w:r>
      <w:r w:rsidR="004F01E9">
        <w:rPr>
          <w:noProof/>
        </w:rPr>
        <w:t xml:space="preserve"> a </w:t>
      </w:r>
      <w:r w:rsidRPr="004F01E9">
        <w:rPr>
          <w:noProof/>
        </w:rPr>
        <w:t>svoje podiely rizikového kapitálu vypočítané</w:t>
      </w:r>
      <w:r w:rsidR="004F01E9">
        <w:rPr>
          <w:noProof/>
        </w:rPr>
        <w:t xml:space="preserve"> v </w:t>
      </w:r>
      <w:r w:rsidRPr="004F01E9">
        <w:rPr>
          <w:noProof/>
        </w:rPr>
        <w:t>súlade</w:t>
      </w:r>
      <w:r w:rsidR="004F01E9">
        <w:rPr>
          <w:noProof/>
        </w:rPr>
        <w:t xml:space="preserve"> s </w:t>
      </w:r>
      <w:r w:rsidRPr="004F01E9">
        <w:rPr>
          <w:noProof/>
        </w:rPr>
        <w:t>článkom 92 ods. 2;“;</w:t>
      </w:r>
    </w:p>
    <w:p w14:paraId="49031D56" w14:textId="173C0719" w:rsidR="0045677E" w:rsidRPr="004F01E9" w:rsidRDefault="00B7542F" w:rsidP="00B7542F">
      <w:pPr>
        <w:pStyle w:val="Point1"/>
        <w:rPr>
          <w:noProof/>
        </w:rPr>
      </w:pPr>
      <w:r w:rsidRPr="004F01E9">
        <w:rPr>
          <w:noProof/>
        </w:rPr>
        <w:t>b)</w:t>
      </w:r>
      <w:r w:rsidRPr="004F01E9">
        <w:rPr>
          <w:noProof/>
        </w:rPr>
        <w:tab/>
        <w:t>Dopĺňa sa toto písmeno aa):</w:t>
      </w:r>
    </w:p>
    <w:p w14:paraId="178940FD" w14:textId="354402CF" w:rsidR="0045677E" w:rsidRPr="004F01E9" w:rsidRDefault="0045677E" w:rsidP="00615061">
      <w:pPr>
        <w:pStyle w:val="Text2"/>
        <w:rPr>
          <w:noProof/>
        </w:rPr>
      </w:pPr>
      <w:r w:rsidRPr="004F01E9">
        <w:rPr>
          <w:noProof/>
        </w:rPr>
        <w:t>„aa)</w:t>
      </w:r>
      <w:r w:rsidR="004F01E9">
        <w:rPr>
          <w:noProof/>
        </w:rPr>
        <w:t xml:space="preserve"> v </w:t>
      </w:r>
      <w:r w:rsidRPr="004F01E9">
        <w:rPr>
          <w:noProof/>
        </w:rPr>
        <w:t>prípade potreby podiely rizikového kapitálu vypočítané</w:t>
      </w:r>
      <w:r w:rsidR="004F01E9">
        <w:rPr>
          <w:noProof/>
        </w:rPr>
        <w:t xml:space="preserve"> v </w:t>
      </w:r>
      <w:r w:rsidRPr="004F01E9">
        <w:rPr>
          <w:noProof/>
        </w:rPr>
        <w:t>súlade</w:t>
      </w:r>
      <w:r w:rsidR="004F01E9">
        <w:rPr>
          <w:noProof/>
        </w:rPr>
        <w:t xml:space="preserve"> s </w:t>
      </w:r>
      <w:r w:rsidRPr="004F01E9">
        <w:rPr>
          <w:noProof/>
        </w:rPr>
        <w:t>článkom 92 ods. 2</w:t>
      </w:r>
      <w:r w:rsidR="004F01E9">
        <w:rPr>
          <w:noProof/>
        </w:rPr>
        <w:t xml:space="preserve"> s </w:t>
      </w:r>
      <w:r w:rsidRPr="004F01E9">
        <w:rPr>
          <w:noProof/>
        </w:rPr>
        <w:t>použitím celkových hodnôt rizikových expozícií bez spodnej hranice namiesto celkových hodnôt rizikových expozícií;“;</w:t>
      </w:r>
    </w:p>
    <w:p w14:paraId="39F034BD" w14:textId="4112637C" w:rsidR="00806B81" w:rsidRPr="004F01E9" w:rsidRDefault="00B7542F" w:rsidP="00B7542F">
      <w:pPr>
        <w:pStyle w:val="Point1"/>
        <w:rPr>
          <w:noProof/>
        </w:rPr>
      </w:pPr>
      <w:r w:rsidRPr="004F01E9">
        <w:rPr>
          <w:noProof/>
        </w:rPr>
        <w:t>c)</w:t>
      </w:r>
      <w:r w:rsidRPr="004F01E9">
        <w:rPr>
          <w:noProof/>
        </w:rPr>
        <w:tab/>
        <w:t>Písmeno b) sa nahrádza takto:</w:t>
      </w:r>
    </w:p>
    <w:p w14:paraId="1150F3CD" w14:textId="3B8A8CF4" w:rsidR="0045677E" w:rsidRPr="004F01E9" w:rsidRDefault="0045677E" w:rsidP="00615061">
      <w:pPr>
        <w:pStyle w:val="Text2"/>
        <w:rPr>
          <w:noProof/>
        </w:rPr>
      </w:pPr>
      <w:r w:rsidRPr="004F01E9">
        <w:rPr>
          <w:noProof/>
        </w:rPr>
        <w:t>„b)</w:t>
      </w:r>
      <w:r w:rsidRPr="004F01E9">
        <w:rPr>
          <w:noProof/>
        </w:rPr>
        <w:tab/>
        <w:t>celkové hodnoty rizikových expozícií vypočítané</w:t>
      </w:r>
      <w:r w:rsidR="004F01E9">
        <w:rPr>
          <w:noProof/>
        </w:rPr>
        <w:t xml:space="preserve"> v </w:t>
      </w:r>
      <w:r w:rsidRPr="004F01E9">
        <w:rPr>
          <w:noProof/>
        </w:rPr>
        <w:t>súlade</w:t>
      </w:r>
      <w:r w:rsidR="004F01E9">
        <w:rPr>
          <w:noProof/>
        </w:rPr>
        <w:t xml:space="preserve"> s </w:t>
      </w:r>
      <w:r w:rsidRPr="004F01E9">
        <w:rPr>
          <w:noProof/>
        </w:rPr>
        <w:t>článkom 92 ods. 3</w:t>
      </w:r>
      <w:r w:rsidR="004F01E9">
        <w:rPr>
          <w:noProof/>
        </w:rPr>
        <w:t xml:space="preserve"> a </w:t>
      </w:r>
      <w:r w:rsidRPr="004F01E9">
        <w:rPr>
          <w:noProof/>
        </w:rPr>
        <w:t>prípadne celkové hodnoty rizikových expozícií bez spodnej hranice vypočítané</w:t>
      </w:r>
      <w:r w:rsidR="004F01E9">
        <w:rPr>
          <w:noProof/>
        </w:rPr>
        <w:t xml:space="preserve"> v </w:t>
      </w:r>
      <w:r w:rsidRPr="004F01E9">
        <w:rPr>
          <w:noProof/>
        </w:rPr>
        <w:t>súlade</w:t>
      </w:r>
      <w:r w:rsidR="004F01E9">
        <w:rPr>
          <w:noProof/>
        </w:rPr>
        <w:t xml:space="preserve"> s </w:t>
      </w:r>
      <w:r w:rsidRPr="004F01E9">
        <w:rPr>
          <w:noProof/>
        </w:rPr>
        <w:t>článkom 92 ods. 4;“;</w:t>
      </w:r>
    </w:p>
    <w:p w14:paraId="3B43FEBF" w14:textId="7D13AD5C" w:rsidR="00806B81" w:rsidRPr="004F01E9" w:rsidRDefault="00B7542F" w:rsidP="00B7542F">
      <w:pPr>
        <w:pStyle w:val="Point1"/>
        <w:rPr>
          <w:noProof/>
        </w:rPr>
      </w:pPr>
      <w:r w:rsidRPr="004F01E9">
        <w:rPr>
          <w:noProof/>
        </w:rPr>
        <w:t>d)</w:t>
      </w:r>
      <w:r w:rsidRPr="004F01E9">
        <w:rPr>
          <w:noProof/>
        </w:rPr>
        <w:tab/>
        <w:t>Písmeno d) sa nahrádza takto:</w:t>
      </w:r>
    </w:p>
    <w:p w14:paraId="14FFC3C1" w14:textId="5BB44335" w:rsidR="0045677E" w:rsidRPr="004F01E9" w:rsidRDefault="0045677E" w:rsidP="00615061">
      <w:pPr>
        <w:pStyle w:val="Text2"/>
        <w:rPr>
          <w:noProof/>
        </w:rPr>
      </w:pPr>
      <w:r w:rsidRPr="004F01E9">
        <w:rPr>
          <w:noProof/>
        </w:rPr>
        <w:t>„d)</w:t>
      </w:r>
      <w:r w:rsidRPr="004F01E9">
        <w:rPr>
          <w:noProof/>
        </w:rPr>
        <w:tab/>
        <w:t>požiadavku na kombinovaný vankúš, ktorý sú inštitúcie povinné držať</w:t>
      </w:r>
      <w:r w:rsidR="004F01E9">
        <w:rPr>
          <w:noProof/>
        </w:rPr>
        <w:t xml:space="preserve"> v </w:t>
      </w:r>
      <w:r w:rsidRPr="004F01E9">
        <w:rPr>
          <w:noProof/>
        </w:rPr>
        <w:t>súlade</w:t>
      </w:r>
      <w:r w:rsidR="004F01E9">
        <w:rPr>
          <w:noProof/>
        </w:rPr>
        <w:t xml:space="preserve"> s </w:t>
      </w:r>
      <w:r w:rsidRPr="004F01E9">
        <w:rPr>
          <w:noProof/>
        </w:rPr>
        <w:t>hlavou VII kapitolou 4 smernice 2013/36/EÚ;“.</w:t>
      </w:r>
    </w:p>
    <w:p w14:paraId="6DD8C886" w14:textId="3D0B4147" w:rsidR="00806B81" w:rsidRPr="004F01E9" w:rsidRDefault="00B16452" w:rsidP="00B16452">
      <w:pPr>
        <w:pStyle w:val="Point0"/>
        <w:rPr>
          <w:noProof/>
        </w:rPr>
      </w:pPr>
      <w:r w:rsidRPr="00B16452">
        <w:rPr>
          <w:noProof/>
        </w:rPr>
        <w:t>189</w:t>
      </w:r>
      <w:r>
        <w:rPr>
          <w:noProof/>
        </w:rPr>
        <w:t>.</w:t>
      </w:r>
      <w:r w:rsidRPr="00B16452">
        <w:rPr>
          <w:noProof/>
        </w:rPr>
        <w:tab/>
      </w:r>
      <w:r w:rsidR="0045677E" w:rsidRPr="004F01E9">
        <w:rPr>
          <w:noProof/>
        </w:rPr>
        <w:t>Článok 449a sa nahrádza takto:</w:t>
      </w:r>
    </w:p>
    <w:p w14:paraId="7491E5CA" w14:textId="70CAA8E7" w:rsidR="0045677E" w:rsidRPr="004F01E9" w:rsidRDefault="0045677E" w:rsidP="0045677E">
      <w:pPr>
        <w:pStyle w:val="Titrearticle"/>
        <w:rPr>
          <w:noProof/>
          <w:szCs w:val="24"/>
        </w:rPr>
      </w:pPr>
      <w:r w:rsidRPr="004F01E9">
        <w:rPr>
          <w:i w:val="0"/>
          <w:noProof/>
        </w:rPr>
        <w:t>„</w:t>
      </w:r>
      <w:r w:rsidRPr="004F01E9">
        <w:rPr>
          <w:noProof/>
        </w:rPr>
        <w:t>Článok</w:t>
      </w:r>
      <w:r w:rsidR="004F01E9" w:rsidRPr="004F01E9">
        <w:rPr>
          <w:noProof/>
        </w:rPr>
        <w:t xml:space="preserve"> </w:t>
      </w:r>
      <w:r w:rsidRPr="004F01E9">
        <w:rPr>
          <w:noProof/>
        </w:rPr>
        <w:t xml:space="preserve">449a </w:t>
      </w:r>
      <w:r w:rsidRPr="004F01E9">
        <w:rPr>
          <w:noProof/>
        </w:rPr>
        <w:br/>
      </w:r>
      <w:r w:rsidRPr="004F01E9">
        <w:rPr>
          <w:b/>
          <w:i w:val="0"/>
          <w:noProof/>
        </w:rPr>
        <w:t>Zverejňovanie informácií</w:t>
      </w:r>
      <w:r w:rsidR="004F01E9">
        <w:rPr>
          <w:b/>
          <w:i w:val="0"/>
          <w:noProof/>
        </w:rPr>
        <w:t xml:space="preserve"> o </w:t>
      </w:r>
      <w:r w:rsidRPr="004F01E9">
        <w:rPr>
          <w:b/>
          <w:i w:val="0"/>
          <w:noProof/>
        </w:rPr>
        <w:t>environmentálnych</w:t>
      </w:r>
      <w:r w:rsidR="004F01E9">
        <w:rPr>
          <w:b/>
          <w:i w:val="0"/>
          <w:noProof/>
        </w:rPr>
        <w:t xml:space="preserve"> a </w:t>
      </w:r>
      <w:r w:rsidRPr="004F01E9">
        <w:rPr>
          <w:b/>
          <w:i w:val="0"/>
          <w:noProof/>
        </w:rPr>
        <w:t>sociálne rizikách</w:t>
      </w:r>
      <w:r w:rsidR="004F01E9">
        <w:rPr>
          <w:b/>
          <w:i w:val="0"/>
          <w:noProof/>
        </w:rPr>
        <w:t xml:space="preserve"> a </w:t>
      </w:r>
      <w:r w:rsidRPr="004F01E9">
        <w:rPr>
          <w:b/>
          <w:i w:val="0"/>
          <w:noProof/>
        </w:rPr>
        <w:t>rizikách</w:t>
      </w:r>
      <w:r w:rsidR="004F01E9">
        <w:rPr>
          <w:b/>
          <w:i w:val="0"/>
          <w:noProof/>
        </w:rPr>
        <w:t xml:space="preserve"> v </w:t>
      </w:r>
      <w:r w:rsidRPr="004F01E9">
        <w:rPr>
          <w:b/>
          <w:i w:val="0"/>
          <w:noProof/>
        </w:rPr>
        <w:t>oblasti správy</w:t>
      </w:r>
      <w:r w:rsidR="004F01E9">
        <w:rPr>
          <w:b/>
          <w:i w:val="0"/>
          <w:noProof/>
        </w:rPr>
        <w:t xml:space="preserve"> a </w:t>
      </w:r>
      <w:r w:rsidRPr="004F01E9">
        <w:rPr>
          <w:b/>
          <w:i w:val="0"/>
          <w:noProof/>
        </w:rPr>
        <w:t>riadenia (riziká ESG)</w:t>
      </w:r>
    </w:p>
    <w:p w14:paraId="1C29795C" w14:textId="0FEF7C7F" w:rsidR="0045677E" w:rsidRPr="00AC280B" w:rsidRDefault="0045677E" w:rsidP="0045677E">
      <w:pPr>
        <w:pStyle w:val="Text1"/>
        <w:rPr>
          <w:noProof/>
          <w:spacing w:val="-4"/>
          <w:szCs w:val="24"/>
        </w:rPr>
      </w:pPr>
      <w:r w:rsidRPr="00AC280B">
        <w:rPr>
          <w:noProof/>
          <w:spacing w:val="-4"/>
        </w:rPr>
        <w:t>Inštitúcie zverejňujú informácie</w:t>
      </w:r>
      <w:r w:rsidR="004F01E9" w:rsidRPr="00AC280B">
        <w:rPr>
          <w:noProof/>
          <w:spacing w:val="-4"/>
        </w:rPr>
        <w:t xml:space="preserve"> o </w:t>
      </w:r>
      <w:r w:rsidRPr="00AC280B">
        <w:rPr>
          <w:noProof/>
          <w:spacing w:val="-4"/>
        </w:rPr>
        <w:t>rizikách ESG vrátane fyzických rizík</w:t>
      </w:r>
      <w:r w:rsidR="004F01E9" w:rsidRPr="00AC280B">
        <w:rPr>
          <w:noProof/>
          <w:spacing w:val="-4"/>
        </w:rPr>
        <w:t xml:space="preserve"> a </w:t>
      </w:r>
      <w:r w:rsidRPr="00AC280B">
        <w:rPr>
          <w:noProof/>
          <w:spacing w:val="-4"/>
        </w:rPr>
        <w:t>rizík prechodu.</w:t>
      </w:r>
    </w:p>
    <w:p w14:paraId="7E218560" w14:textId="29E3C453" w:rsidR="0045677E" w:rsidRPr="004F01E9" w:rsidRDefault="0045677E" w:rsidP="0045677E">
      <w:pPr>
        <w:pStyle w:val="Text1"/>
        <w:rPr>
          <w:noProof/>
          <w:szCs w:val="24"/>
        </w:rPr>
      </w:pPr>
      <w:r w:rsidRPr="004F01E9">
        <w:rPr>
          <w:noProof/>
        </w:rPr>
        <w:t>Informácie uvedené</w:t>
      </w:r>
      <w:r w:rsidR="004F01E9">
        <w:rPr>
          <w:noProof/>
        </w:rPr>
        <w:t xml:space="preserve"> v </w:t>
      </w:r>
      <w:r w:rsidRPr="004F01E9">
        <w:rPr>
          <w:noProof/>
        </w:rPr>
        <w:t>prvom odseku zverejňujú malé</w:t>
      </w:r>
      <w:r w:rsidR="004F01E9">
        <w:rPr>
          <w:noProof/>
        </w:rPr>
        <w:t xml:space="preserve"> a </w:t>
      </w:r>
      <w:r w:rsidRPr="004F01E9">
        <w:rPr>
          <w:noProof/>
        </w:rPr>
        <w:t>menej zložité inštitúcie na ročnom základe</w:t>
      </w:r>
      <w:r w:rsidR="004F01E9">
        <w:rPr>
          <w:noProof/>
        </w:rPr>
        <w:t xml:space="preserve"> a </w:t>
      </w:r>
      <w:r w:rsidRPr="004F01E9">
        <w:rPr>
          <w:noProof/>
        </w:rPr>
        <w:t>ostatné inštitúcie na polročnom základe.</w:t>
      </w:r>
    </w:p>
    <w:p w14:paraId="6706B49A" w14:textId="0D127DEA" w:rsidR="0045677E" w:rsidRPr="004F01E9" w:rsidRDefault="0045677E" w:rsidP="0045677E">
      <w:pPr>
        <w:pStyle w:val="Text1"/>
        <w:rPr>
          <w:noProof/>
          <w:szCs w:val="24"/>
        </w:rPr>
      </w:pPr>
      <w:r w:rsidRPr="004F01E9">
        <w:rPr>
          <w:noProof/>
        </w:rPr>
        <w:t>EBA vypracuje návrh vykonávacích technických predpisov,</w:t>
      </w:r>
      <w:r w:rsidR="004F01E9">
        <w:rPr>
          <w:noProof/>
        </w:rPr>
        <w:t xml:space="preserve"> v </w:t>
      </w:r>
      <w:r w:rsidRPr="004F01E9">
        <w:rPr>
          <w:noProof/>
        </w:rPr>
        <w:t>ktorom stanoví jednotné formáty zverejňovania informácií</w:t>
      </w:r>
      <w:r w:rsidR="004F01E9">
        <w:rPr>
          <w:noProof/>
        </w:rPr>
        <w:t xml:space="preserve"> o </w:t>
      </w:r>
      <w:r w:rsidRPr="004F01E9">
        <w:rPr>
          <w:noProof/>
        </w:rPr>
        <w:t>rizikách ESG, ako sa uvádza</w:t>
      </w:r>
      <w:r w:rsidR="004F01E9">
        <w:rPr>
          <w:noProof/>
        </w:rPr>
        <w:t xml:space="preserve"> v </w:t>
      </w:r>
      <w:r w:rsidRPr="004F01E9">
        <w:rPr>
          <w:noProof/>
        </w:rPr>
        <w:t>článku 434a, pričom sa zabezpečí, aby boli</w:t>
      </w:r>
      <w:r w:rsidR="004F01E9">
        <w:rPr>
          <w:noProof/>
        </w:rPr>
        <w:t xml:space="preserve"> v </w:t>
      </w:r>
      <w:r w:rsidRPr="004F01E9">
        <w:rPr>
          <w:noProof/>
        </w:rPr>
        <w:t>súlade so zásadou proporcionality</w:t>
      </w:r>
      <w:r w:rsidR="004F01E9">
        <w:rPr>
          <w:noProof/>
        </w:rPr>
        <w:t xml:space="preserve"> a </w:t>
      </w:r>
      <w:r w:rsidRPr="004F01E9">
        <w:rPr>
          <w:noProof/>
        </w:rPr>
        <w:t>aby ju dodržiavali.“</w:t>
      </w:r>
      <w:r w:rsidR="004F01E9">
        <w:rPr>
          <w:noProof/>
        </w:rPr>
        <w:t xml:space="preserve"> V </w:t>
      </w:r>
      <w:r w:rsidRPr="004F01E9">
        <w:rPr>
          <w:noProof/>
        </w:rPr>
        <w:t>prípade malých</w:t>
      </w:r>
      <w:r w:rsidR="004F01E9">
        <w:rPr>
          <w:noProof/>
        </w:rPr>
        <w:t xml:space="preserve"> a </w:t>
      </w:r>
      <w:r w:rsidRPr="004F01E9">
        <w:rPr>
          <w:noProof/>
        </w:rPr>
        <w:t>menej zložitých inštitúcií formáty nevyžadujú zverejňovanie nad rámec informácií, ktoré sa majú vykazovať príslušným orgánom</w:t>
      </w:r>
      <w:r w:rsidR="004F01E9">
        <w:rPr>
          <w:noProof/>
        </w:rPr>
        <w:t xml:space="preserve"> v </w:t>
      </w:r>
      <w:r w:rsidRPr="004F01E9">
        <w:rPr>
          <w:noProof/>
        </w:rPr>
        <w:t>súlade</w:t>
      </w:r>
      <w:r w:rsidR="004F01E9">
        <w:rPr>
          <w:noProof/>
        </w:rPr>
        <w:t xml:space="preserve"> s </w:t>
      </w:r>
      <w:r w:rsidRPr="004F01E9">
        <w:rPr>
          <w:noProof/>
        </w:rPr>
        <w:t>článkom 430 ods. 1 písm. h).“</w:t>
      </w:r>
    </w:p>
    <w:p w14:paraId="3C3B19EE" w14:textId="1C9CBC4D" w:rsidR="00806B81" w:rsidRPr="004F01E9" w:rsidRDefault="00B16452" w:rsidP="00B16452">
      <w:pPr>
        <w:pStyle w:val="Point0"/>
        <w:rPr>
          <w:noProof/>
        </w:rPr>
      </w:pPr>
      <w:r w:rsidRPr="00B16452">
        <w:rPr>
          <w:noProof/>
        </w:rPr>
        <w:t>190</w:t>
      </w:r>
      <w:r>
        <w:rPr>
          <w:noProof/>
        </w:rPr>
        <w:t>.</w:t>
      </w:r>
      <w:r w:rsidRPr="00B16452">
        <w:rPr>
          <w:noProof/>
        </w:rPr>
        <w:tab/>
      </w:r>
      <w:r w:rsidR="0045677E" w:rsidRPr="004F01E9">
        <w:rPr>
          <w:noProof/>
        </w:rPr>
        <w:t>V článku 451 ods. 1 sa dopĺňa toto písmeno f):</w:t>
      </w:r>
    </w:p>
    <w:p w14:paraId="6FE9598D" w14:textId="4219404B" w:rsidR="0045677E" w:rsidRPr="00AC280B" w:rsidRDefault="0045677E" w:rsidP="00B46CE3">
      <w:pPr>
        <w:pStyle w:val="Text1"/>
        <w:rPr>
          <w:noProof/>
          <w:spacing w:val="-4"/>
        </w:rPr>
      </w:pPr>
      <w:r w:rsidRPr="00AC280B">
        <w:rPr>
          <w:noProof/>
          <w:spacing w:val="-4"/>
        </w:rPr>
        <w:t>„f)</w:t>
      </w:r>
      <w:r w:rsidRPr="00AC280B">
        <w:rPr>
          <w:noProof/>
          <w:spacing w:val="-4"/>
        </w:rPr>
        <w:tab/>
        <w:t>hodnotu dodatočných požiadaviek na vlastné zdroje na základe postupu preskúmania orgánmi dohľadu podľa článku 104 ods. 1 písm. a) smernice 2013/36/EÚ</w:t>
      </w:r>
      <w:r w:rsidR="004F01E9" w:rsidRPr="00AC280B">
        <w:rPr>
          <w:noProof/>
          <w:spacing w:val="-4"/>
        </w:rPr>
        <w:t xml:space="preserve"> s </w:t>
      </w:r>
      <w:r w:rsidRPr="00AC280B">
        <w:rPr>
          <w:noProof/>
          <w:spacing w:val="-4"/>
        </w:rPr>
        <w:t>cieľom riešiť riziko nadmerného využívania finančnej páky</w:t>
      </w:r>
      <w:r w:rsidR="004F01E9" w:rsidRPr="00AC280B">
        <w:rPr>
          <w:noProof/>
          <w:spacing w:val="-4"/>
        </w:rPr>
        <w:t xml:space="preserve"> a </w:t>
      </w:r>
      <w:r w:rsidRPr="00AC280B">
        <w:rPr>
          <w:noProof/>
          <w:spacing w:val="-4"/>
        </w:rPr>
        <w:t>jeho zloženie.“</w:t>
      </w:r>
    </w:p>
    <w:p w14:paraId="6E23DB35" w14:textId="51838193" w:rsidR="00806B81" w:rsidRPr="004F01E9" w:rsidRDefault="00B16452" w:rsidP="00B16452">
      <w:pPr>
        <w:pStyle w:val="Point0"/>
        <w:rPr>
          <w:noProof/>
        </w:rPr>
      </w:pPr>
      <w:r w:rsidRPr="00B16452">
        <w:rPr>
          <w:noProof/>
        </w:rPr>
        <w:t>191</w:t>
      </w:r>
      <w:r>
        <w:rPr>
          <w:noProof/>
        </w:rPr>
        <w:t>.</w:t>
      </w:r>
      <w:r w:rsidRPr="00B16452">
        <w:rPr>
          <w:noProof/>
        </w:rPr>
        <w:tab/>
      </w:r>
      <w:r w:rsidR="0045677E" w:rsidRPr="004F01E9">
        <w:rPr>
          <w:noProof/>
        </w:rPr>
        <w:t>Článok 455 sa nahrádza takto:</w:t>
      </w:r>
    </w:p>
    <w:p w14:paraId="10BFE318" w14:textId="66B6F47E" w:rsidR="0045677E" w:rsidRPr="004F01E9" w:rsidRDefault="0045677E" w:rsidP="0045677E">
      <w:pPr>
        <w:pStyle w:val="Titrearticle"/>
        <w:spacing w:before="120"/>
        <w:rPr>
          <w:i w:val="0"/>
          <w:noProof/>
        </w:rPr>
      </w:pPr>
      <w:r w:rsidRPr="004F01E9">
        <w:rPr>
          <w:i w:val="0"/>
          <w:noProof/>
        </w:rPr>
        <w:t>„</w:t>
      </w:r>
      <w:r w:rsidRPr="004F01E9">
        <w:rPr>
          <w:noProof/>
        </w:rPr>
        <w:t>Článok 455</w:t>
      </w:r>
      <w:r w:rsidR="004F01E9" w:rsidRPr="004F01E9">
        <w:rPr>
          <w:noProof/>
        </w:rPr>
        <w:t xml:space="preserve"> </w:t>
      </w:r>
      <w:r w:rsidRPr="004F01E9">
        <w:rPr>
          <w:noProof/>
        </w:rPr>
        <w:br/>
      </w:r>
      <w:r w:rsidRPr="004F01E9">
        <w:rPr>
          <w:b/>
          <w:i w:val="0"/>
          <w:noProof/>
        </w:rPr>
        <w:t>Použitie interných modelov pre trhové riziko</w:t>
      </w:r>
    </w:p>
    <w:p w14:paraId="7ECEB20A" w14:textId="017BA57A" w:rsidR="00806B81" w:rsidRPr="004F01E9" w:rsidRDefault="0045677E" w:rsidP="0045677E">
      <w:pPr>
        <w:pStyle w:val="Text1"/>
        <w:rPr>
          <w:noProof/>
        </w:rPr>
      </w:pPr>
      <w:r w:rsidRPr="004F01E9">
        <w:rPr>
          <w:noProof/>
        </w:rPr>
        <w:t>1. Inštitúcia, ktorá na výpočet požiadaviek na vlastné zdroje pre trhové riziko používa interné modely uvedené</w:t>
      </w:r>
      <w:r w:rsidR="004F01E9">
        <w:rPr>
          <w:noProof/>
        </w:rPr>
        <w:t xml:space="preserve"> v </w:t>
      </w:r>
      <w:r w:rsidRPr="004F01E9">
        <w:rPr>
          <w:noProof/>
        </w:rPr>
        <w:t>článku 325az, zverejňuje:</w:t>
      </w:r>
    </w:p>
    <w:p w14:paraId="08D30EFD" w14:textId="1B97A312" w:rsidR="0045677E" w:rsidRPr="004F01E9" w:rsidRDefault="0045677E" w:rsidP="0045677E">
      <w:pPr>
        <w:pStyle w:val="Point1"/>
        <w:rPr>
          <w:noProof/>
        </w:rPr>
      </w:pPr>
      <w:r w:rsidRPr="004F01E9">
        <w:rPr>
          <w:noProof/>
        </w:rPr>
        <w:t>a)</w:t>
      </w:r>
      <w:r w:rsidRPr="004F01E9">
        <w:rPr>
          <w:noProof/>
        </w:rPr>
        <w:tab/>
        <w:t>ciele inštitúcie pri vykonávaní obchodných činností</w:t>
      </w:r>
      <w:r w:rsidR="004F01E9">
        <w:rPr>
          <w:noProof/>
        </w:rPr>
        <w:t xml:space="preserve"> a </w:t>
      </w:r>
      <w:r w:rsidRPr="004F01E9">
        <w:rPr>
          <w:noProof/>
        </w:rPr>
        <w:t>postupy zavedené na identifikáciu, meranie, monitorovanie</w:t>
      </w:r>
      <w:r w:rsidR="004F01E9">
        <w:rPr>
          <w:noProof/>
        </w:rPr>
        <w:t xml:space="preserve"> a </w:t>
      </w:r>
      <w:r w:rsidRPr="004F01E9">
        <w:rPr>
          <w:noProof/>
        </w:rPr>
        <w:t>kontrolu trhových rizík inštitúcie;</w:t>
      </w:r>
    </w:p>
    <w:p w14:paraId="23F2AA06" w14:textId="1ECD462E" w:rsidR="0045677E" w:rsidRPr="004F01E9" w:rsidRDefault="0045677E" w:rsidP="0045677E">
      <w:pPr>
        <w:pStyle w:val="Point1"/>
        <w:rPr>
          <w:noProof/>
        </w:rPr>
      </w:pPr>
      <w:r w:rsidRPr="004F01E9">
        <w:rPr>
          <w:noProof/>
        </w:rPr>
        <w:t>b)</w:t>
      </w:r>
      <w:r w:rsidRPr="004F01E9">
        <w:rPr>
          <w:noProof/>
        </w:rPr>
        <w:tab/>
        <w:t>politiky uvedené</w:t>
      </w:r>
      <w:r w:rsidR="004F01E9">
        <w:rPr>
          <w:noProof/>
        </w:rPr>
        <w:t xml:space="preserve"> v </w:t>
      </w:r>
      <w:r w:rsidRPr="004F01E9">
        <w:rPr>
          <w:noProof/>
        </w:rPr>
        <w:t>článku 104 ods. 1 na určovanie pozície, ktorú možno zahrnúť do obchodnej knihy;</w:t>
      </w:r>
    </w:p>
    <w:p w14:paraId="2F715ECE" w14:textId="737750E4" w:rsidR="0045677E" w:rsidRPr="00AC280B" w:rsidRDefault="0045677E" w:rsidP="0045677E">
      <w:pPr>
        <w:pStyle w:val="Point1"/>
        <w:rPr>
          <w:noProof/>
          <w:spacing w:val="-10"/>
        </w:rPr>
      </w:pPr>
      <w:r w:rsidRPr="004F01E9">
        <w:rPr>
          <w:noProof/>
        </w:rPr>
        <w:t>c)</w:t>
      </w:r>
      <w:r w:rsidRPr="004F01E9">
        <w:rPr>
          <w:noProof/>
        </w:rPr>
        <w:tab/>
      </w:r>
      <w:r w:rsidRPr="00AC280B">
        <w:rPr>
          <w:noProof/>
          <w:spacing w:val="-10"/>
        </w:rPr>
        <w:t>všeobecný opis štruktúry trading deskov, na ktoré sa vzťahujú interné modely uvedené</w:t>
      </w:r>
      <w:r w:rsidR="004F01E9" w:rsidRPr="00AC280B">
        <w:rPr>
          <w:noProof/>
          <w:spacing w:val="-10"/>
        </w:rPr>
        <w:t xml:space="preserve"> v </w:t>
      </w:r>
      <w:r w:rsidRPr="00AC280B">
        <w:rPr>
          <w:noProof/>
          <w:spacing w:val="-10"/>
        </w:rPr>
        <w:t>článku 325az, vrátane rozšíreného opisu obchodnej stratégie trading desku, nástrojov, ktoré sú</w:t>
      </w:r>
      <w:r w:rsidR="004F01E9" w:rsidRPr="00AC280B">
        <w:rPr>
          <w:noProof/>
          <w:spacing w:val="-10"/>
        </w:rPr>
        <w:t xml:space="preserve"> v </w:t>
      </w:r>
      <w:r w:rsidRPr="00AC280B">
        <w:rPr>
          <w:noProof/>
          <w:spacing w:val="-10"/>
        </w:rPr>
        <w:t>nej povolené,</w:t>
      </w:r>
      <w:r w:rsidR="004F01E9" w:rsidRPr="00AC280B">
        <w:rPr>
          <w:noProof/>
          <w:spacing w:val="-10"/>
        </w:rPr>
        <w:t xml:space="preserve"> a </w:t>
      </w:r>
      <w:r w:rsidRPr="00AC280B">
        <w:rPr>
          <w:noProof/>
          <w:spacing w:val="-10"/>
        </w:rPr>
        <w:t>hlavných druhov rizika</w:t>
      </w:r>
      <w:r w:rsidR="004F01E9" w:rsidRPr="00AC280B">
        <w:rPr>
          <w:noProof/>
          <w:spacing w:val="-10"/>
        </w:rPr>
        <w:t xml:space="preserve"> v </w:t>
      </w:r>
      <w:r w:rsidRPr="00AC280B">
        <w:rPr>
          <w:noProof/>
          <w:spacing w:val="-10"/>
        </w:rPr>
        <w:t>súvislosti</w:t>
      </w:r>
      <w:r w:rsidR="004F01E9" w:rsidRPr="00AC280B">
        <w:rPr>
          <w:noProof/>
          <w:spacing w:val="-10"/>
        </w:rPr>
        <w:t xml:space="preserve"> s </w:t>
      </w:r>
      <w:r w:rsidRPr="00AC280B">
        <w:rPr>
          <w:noProof/>
          <w:spacing w:val="-10"/>
        </w:rPr>
        <w:t>týmto deskom;</w:t>
      </w:r>
    </w:p>
    <w:p w14:paraId="2B4EC846" w14:textId="664E41E5" w:rsidR="0045677E" w:rsidRPr="00AC280B" w:rsidRDefault="0045677E" w:rsidP="0045677E">
      <w:pPr>
        <w:pStyle w:val="Point1"/>
        <w:rPr>
          <w:noProof/>
          <w:spacing w:val="-8"/>
        </w:rPr>
      </w:pPr>
      <w:r w:rsidRPr="00AC280B">
        <w:rPr>
          <w:noProof/>
          <w:spacing w:val="-8"/>
        </w:rPr>
        <w:t>d)</w:t>
      </w:r>
      <w:r w:rsidRPr="00AC280B">
        <w:rPr>
          <w:noProof/>
          <w:spacing w:val="-8"/>
        </w:rPr>
        <w:tab/>
        <w:t>všeobecný prehľad pozícií</w:t>
      </w:r>
      <w:r w:rsidR="004F01E9" w:rsidRPr="00AC280B">
        <w:rPr>
          <w:noProof/>
          <w:spacing w:val="-8"/>
        </w:rPr>
        <w:t xml:space="preserve"> v </w:t>
      </w:r>
      <w:r w:rsidRPr="00AC280B">
        <w:rPr>
          <w:noProof/>
          <w:spacing w:val="-8"/>
        </w:rPr>
        <w:t>obchodnej knihe, na ktoré sa nevzťahujú interné modely uvedené</w:t>
      </w:r>
      <w:r w:rsidR="004F01E9" w:rsidRPr="00AC280B">
        <w:rPr>
          <w:noProof/>
          <w:spacing w:val="-8"/>
        </w:rPr>
        <w:t xml:space="preserve"> v </w:t>
      </w:r>
      <w:r w:rsidRPr="00AC280B">
        <w:rPr>
          <w:noProof/>
          <w:spacing w:val="-8"/>
        </w:rPr>
        <w:t>článku 325az, vrátane všeobecného opisu štruktúry trading desku</w:t>
      </w:r>
      <w:r w:rsidR="004F01E9" w:rsidRPr="00AC280B">
        <w:rPr>
          <w:noProof/>
          <w:spacing w:val="-8"/>
        </w:rPr>
        <w:t xml:space="preserve"> a </w:t>
      </w:r>
      <w:r w:rsidRPr="00AC280B">
        <w:rPr>
          <w:noProof/>
          <w:spacing w:val="-8"/>
        </w:rPr>
        <w:t>typu nástrojov zahrnutých do deskov alebo kategórií deskov</w:t>
      </w:r>
      <w:r w:rsidR="004F01E9" w:rsidRPr="00AC280B">
        <w:rPr>
          <w:noProof/>
          <w:spacing w:val="-8"/>
        </w:rPr>
        <w:t xml:space="preserve"> v </w:t>
      </w:r>
      <w:r w:rsidRPr="00AC280B">
        <w:rPr>
          <w:noProof/>
          <w:spacing w:val="-8"/>
        </w:rPr>
        <w:t>súlade</w:t>
      </w:r>
      <w:r w:rsidR="004F01E9" w:rsidRPr="00AC280B">
        <w:rPr>
          <w:noProof/>
          <w:spacing w:val="-8"/>
        </w:rPr>
        <w:t xml:space="preserve"> s </w:t>
      </w:r>
      <w:r w:rsidRPr="00AC280B">
        <w:rPr>
          <w:noProof/>
          <w:spacing w:val="-8"/>
        </w:rPr>
        <w:t>článkom 104b;</w:t>
      </w:r>
    </w:p>
    <w:p w14:paraId="0865EB31" w14:textId="515DDC8C" w:rsidR="0045677E" w:rsidRPr="004F01E9" w:rsidRDefault="0045677E" w:rsidP="0045677E">
      <w:pPr>
        <w:pStyle w:val="Point1"/>
        <w:rPr>
          <w:noProof/>
        </w:rPr>
      </w:pPr>
      <w:r w:rsidRPr="004F01E9">
        <w:rPr>
          <w:noProof/>
        </w:rPr>
        <w:t>e)</w:t>
      </w:r>
      <w:r w:rsidRPr="004F01E9">
        <w:rPr>
          <w:noProof/>
        </w:rPr>
        <w:tab/>
        <w:t>štruktúru</w:t>
      </w:r>
      <w:r w:rsidR="004F01E9">
        <w:rPr>
          <w:noProof/>
        </w:rPr>
        <w:t xml:space="preserve"> a </w:t>
      </w:r>
      <w:r w:rsidRPr="004F01E9">
        <w:rPr>
          <w:noProof/>
        </w:rPr>
        <w:t>organizáciu funkcie riadenia trhového rizika</w:t>
      </w:r>
      <w:r w:rsidR="004F01E9">
        <w:rPr>
          <w:noProof/>
        </w:rPr>
        <w:t xml:space="preserve"> a </w:t>
      </w:r>
      <w:r w:rsidRPr="004F01E9">
        <w:rPr>
          <w:noProof/>
        </w:rPr>
        <w:t>správy;</w:t>
      </w:r>
    </w:p>
    <w:p w14:paraId="48FC6E66" w14:textId="29208D75" w:rsidR="0045677E" w:rsidRPr="004F01E9" w:rsidRDefault="0045677E" w:rsidP="0045677E">
      <w:pPr>
        <w:pStyle w:val="Point1"/>
        <w:rPr>
          <w:noProof/>
        </w:rPr>
      </w:pPr>
      <w:r w:rsidRPr="004F01E9">
        <w:rPr>
          <w:noProof/>
        </w:rPr>
        <w:t>f)</w:t>
      </w:r>
      <w:r w:rsidRPr="004F01E9">
        <w:rPr>
          <w:noProof/>
        </w:rPr>
        <w:tab/>
        <w:t>rozsah, hlavné charakteristiky</w:t>
      </w:r>
      <w:r w:rsidR="004F01E9">
        <w:rPr>
          <w:noProof/>
        </w:rPr>
        <w:t xml:space="preserve"> a </w:t>
      </w:r>
      <w:r w:rsidRPr="004F01E9">
        <w:rPr>
          <w:noProof/>
        </w:rPr>
        <w:t>kľúčové zvolené možnosti modelovania rôznych interných modelov uvedených</w:t>
      </w:r>
      <w:r w:rsidR="004F01E9">
        <w:rPr>
          <w:noProof/>
        </w:rPr>
        <w:t xml:space="preserve"> v </w:t>
      </w:r>
      <w:r w:rsidRPr="004F01E9">
        <w:rPr>
          <w:noProof/>
        </w:rPr>
        <w:t>článku 325az, ktoré sa používajú na výpočet hodnôt rizikových expozícií pre hlavné modely používané na konsolidovanej úrovni,</w:t>
      </w:r>
      <w:r w:rsidR="004F01E9">
        <w:rPr>
          <w:noProof/>
        </w:rPr>
        <w:t xml:space="preserve"> a </w:t>
      </w:r>
      <w:r w:rsidRPr="004F01E9">
        <w:rPr>
          <w:noProof/>
        </w:rPr>
        <w:t>opis toho, do akej miery tieto interné modely zastupujú všetky modely používané na konsolidovanej úrovni, prípadne aj:</w:t>
      </w:r>
    </w:p>
    <w:p w14:paraId="1724105B" w14:textId="6F9C3EC3" w:rsidR="0045677E" w:rsidRPr="004F01E9" w:rsidRDefault="0045677E" w:rsidP="0045677E">
      <w:pPr>
        <w:pStyle w:val="Point2"/>
        <w:rPr>
          <w:noProof/>
        </w:rPr>
      </w:pPr>
      <w:r w:rsidRPr="004F01E9">
        <w:rPr>
          <w:noProof/>
        </w:rPr>
        <w:t>i)</w:t>
      </w:r>
      <w:r w:rsidRPr="004F01E9">
        <w:rPr>
          <w:noProof/>
        </w:rPr>
        <w:tab/>
        <w:t>rozšírený opis prístupu modelovania použitého na výpočet predpokladaného schodku uvedeného</w:t>
      </w:r>
      <w:r w:rsidR="004F01E9">
        <w:rPr>
          <w:noProof/>
        </w:rPr>
        <w:t xml:space="preserve"> v </w:t>
      </w:r>
      <w:r w:rsidRPr="004F01E9">
        <w:rPr>
          <w:noProof/>
        </w:rPr>
        <w:t>článku 325ba ods. 1 písm. a) vrátane frekvencie aktualizácie údajov;</w:t>
      </w:r>
    </w:p>
    <w:p w14:paraId="5D94299B" w14:textId="424471E0" w:rsidR="0045677E" w:rsidRPr="004F01E9" w:rsidRDefault="0045677E" w:rsidP="0045677E">
      <w:pPr>
        <w:pStyle w:val="Point2"/>
        <w:rPr>
          <w:noProof/>
        </w:rPr>
      </w:pPr>
      <w:r w:rsidRPr="004F01E9">
        <w:rPr>
          <w:noProof/>
        </w:rPr>
        <w:t>ii)</w:t>
      </w:r>
      <w:r w:rsidRPr="004F01E9">
        <w:rPr>
          <w:noProof/>
        </w:rPr>
        <w:tab/>
        <w:t>rozšírený opis metodiky použitej na výpočet miery rizika</w:t>
      </w:r>
      <w:r w:rsidR="004F01E9">
        <w:rPr>
          <w:noProof/>
        </w:rPr>
        <w:t xml:space="preserve"> v </w:t>
      </w:r>
      <w:r w:rsidRPr="004F01E9">
        <w:rPr>
          <w:noProof/>
        </w:rPr>
        <w:t>rámci stresového scenára uvedenej</w:t>
      </w:r>
      <w:r w:rsidR="004F01E9">
        <w:rPr>
          <w:noProof/>
        </w:rPr>
        <w:t xml:space="preserve"> v </w:t>
      </w:r>
      <w:r w:rsidRPr="004F01E9">
        <w:rPr>
          <w:noProof/>
        </w:rPr>
        <w:t>článku 325ba ods. 1 písm. b) okrem špecifikácií stanovených</w:t>
      </w:r>
      <w:r w:rsidR="004F01E9">
        <w:rPr>
          <w:noProof/>
        </w:rPr>
        <w:t xml:space="preserve"> v </w:t>
      </w:r>
      <w:r w:rsidRPr="004F01E9">
        <w:rPr>
          <w:noProof/>
        </w:rPr>
        <w:t>článku 325bk ods. 3;</w:t>
      </w:r>
    </w:p>
    <w:p w14:paraId="180D0224" w14:textId="77777777" w:rsidR="0045677E" w:rsidRPr="004F01E9" w:rsidRDefault="0045677E" w:rsidP="0045677E">
      <w:pPr>
        <w:pStyle w:val="Point2"/>
        <w:rPr>
          <w:noProof/>
        </w:rPr>
      </w:pPr>
      <w:r w:rsidRPr="004F01E9">
        <w:rPr>
          <w:noProof/>
        </w:rPr>
        <w:t>iii)</w:t>
      </w:r>
      <w:r w:rsidRPr="004F01E9">
        <w:rPr>
          <w:noProof/>
        </w:rPr>
        <w:tab/>
        <w:t>rozšírený opis prístupu modelovania použitého na krytie rizika zlyhania podľa článku 325ba ods. 2 vrátane frekvencie aktualizácie údajov.</w:t>
      </w:r>
    </w:p>
    <w:p w14:paraId="4617E8F5" w14:textId="3A432714" w:rsidR="0045677E" w:rsidRPr="004F01E9" w:rsidRDefault="0045677E" w:rsidP="0045677E">
      <w:pPr>
        <w:pStyle w:val="Text1"/>
        <w:rPr>
          <w:noProof/>
        </w:rPr>
      </w:pPr>
      <w:r w:rsidRPr="004F01E9">
        <w:rPr>
          <w:noProof/>
        </w:rPr>
        <w:t>2. Inštitúcie zverejňujú na súhrnnom základe za všetky trading desky, na ktoré sa vzťahujú interné modely uvedené</w:t>
      </w:r>
      <w:r w:rsidR="004F01E9">
        <w:rPr>
          <w:noProof/>
        </w:rPr>
        <w:t xml:space="preserve"> v </w:t>
      </w:r>
      <w:r w:rsidRPr="004F01E9">
        <w:rPr>
          <w:noProof/>
        </w:rPr>
        <w:t>článku 325az, podľa potreby tieto zložky:</w:t>
      </w:r>
    </w:p>
    <w:p w14:paraId="1E50DC97" w14:textId="7C127F40" w:rsidR="0045677E" w:rsidRPr="004F01E9" w:rsidRDefault="0045677E" w:rsidP="0045677E">
      <w:pPr>
        <w:pStyle w:val="Point1"/>
        <w:rPr>
          <w:noProof/>
        </w:rPr>
      </w:pPr>
      <w:r w:rsidRPr="004F01E9">
        <w:rPr>
          <w:noProof/>
        </w:rPr>
        <w:t>a)</w:t>
      </w:r>
      <w:r w:rsidRPr="004F01E9">
        <w:rPr>
          <w:noProof/>
        </w:rPr>
        <w:tab/>
        <w:t>najnovšiu hodnotu, ako aj najvyššiu, najnižšiu</w:t>
      </w:r>
      <w:r w:rsidR="004F01E9">
        <w:rPr>
          <w:noProof/>
        </w:rPr>
        <w:t xml:space="preserve"> a </w:t>
      </w:r>
      <w:r w:rsidRPr="004F01E9">
        <w:rPr>
          <w:noProof/>
        </w:rPr>
        <w:t>strednú hodnotu za predchádzajúcich 60 pracovných dní:</w:t>
      </w:r>
    </w:p>
    <w:p w14:paraId="1F2B61AD" w14:textId="36146B67" w:rsidR="0045677E" w:rsidRPr="004F01E9" w:rsidRDefault="0045677E" w:rsidP="0045677E">
      <w:pPr>
        <w:pStyle w:val="Point2"/>
        <w:rPr>
          <w:noProof/>
        </w:rPr>
      </w:pPr>
      <w:r w:rsidRPr="004F01E9">
        <w:rPr>
          <w:noProof/>
        </w:rPr>
        <w:t>i)</w:t>
      </w:r>
      <w:r w:rsidRPr="004F01E9">
        <w:rPr>
          <w:noProof/>
        </w:rPr>
        <w:tab/>
        <w:t>mieru neobmedzeného predpokladaného schodku vymedzenú</w:t>
      </w:r>
      <w:r w:rsidR="004F01E9">
        <w:rPr>
          <w:noProof/>
        </w:rPr>
        <w:t xml:space="preserve"> v </w:t>
      </w:r>
      <w:r w:rsidRPr="004F01E9">
        <w:rPr>
          <w:noProof/>
        </w:rPr>
        <w:t>článku 325bb ods. 1;</w:t>
      </w:r>
    </w:p>
    <w:p w14:paraId="5E4EF500" w14:textId="04E121A9" w:rsidR="0045677E" w:rsidRPr="004F01E9" w:rsidRDefault="0045677E" w:rsidP="0045677E">
      <w:pPr>
        <w:pStyle w:val="Point2"/>
        <w:rPr>
          <w:noProof/>
        </w:rPr>
      </w:pPr>
      <w:r w:rsidRPr="004F01E9">
        <w:rPr>
          <w:noProof/>
        </w:rPr>
        <w:t>ii)</w:t>
      </w:r>
      <w:r w:rsidRPr="004F01E9">
        <w:rPr>
          <w:noProof/>
        </w:rPr>
        <w:tab/>
        <w:t>mieru neobmedzeného predpokladaného schodku vymedzenú</w:t>
      </w:r>
      <w:r w:rsidR="004F01E9">
        <w:rPr>
          <w:noProof/>
        </w:rPr>
        <w:t xml:space="preserve"> v </w:t>
      </w:r>
      <w:r w:rsidRPr="004F01E9">
        <w:rPr>
          <w:noProof/>
        </w:rPr>
        <w:t>článku 325bb ods. 1 pre každú regulatórnu kategóriu hlavného faktora rizika;</w:t>
      </w:r>
    </w:p>
    <w:p w14:paraId="1619E1F6" w14:textId="77777777" w:rsidR="0045677E" w:rsidRPr="00AC280B" w:rsidRDefault="0045677E" w:rsidP="0045677E">
      <w:pPr>
        <w:pStyle w:val="Point1"/>
        <w:rPr>
          <w:noProof/>
          <w:spacing w:val="-12"/>
        </w:rPr>
      </w:pPr>
      <w:r w:rsidRPr="004F01E9">
        <w:rPr>
          <w:noProof/>
        </w:rPr>
        <w:t>b)</w:t>
      </w:r>
      <w:r w:rsidRPr="004F01E9">
        <w:rPr>
          <w:noProof/>
        </w:rPr>
        <w:tab/>
      </w:r>
      <w:r w:rsidRPr="00AC280B">
        <w:rPr>
          <w:noProof/>
          <w:spacing w:val="-12"/>
        </w:rPr>
        <w:t>najnovšiu hodnotu, ako aj strednú hodnotu za predchádzajúcich 60 pracovných dní:</w:t>
      </w:r>
    </w:p>
    <w:p w14:paraId="79FE4F7D" w14:textId="47D6DE9A" w:rsidR="0045677E" w:rsidRPr="00AC280B" w:rsidRDefault="0045677E" w:rsidP="0045677E">
      <w:pPr>
        <w:pStyle w:val="Point2"/>
        <w:rPr>
          <w:noProof/>
          <w:spacing w:val="-12"/>
        </w:rPr>
      </w:pPr>
      <w:r w:rsidRPr="00AC280B">
        <w:rPr>
          <w:noProof/>
          <w:spacing w:val="-12"/>
        </w:rPr>
        <w:t>i)</w:t>
      </w:r>
      <w:r w:rsidRPr="00AC280B">
        <w:rPr>
          <w:noProof/>
          <w:spacing w:val="-12"/>
        </w:rPr>
        <w:tab/>
        <w:t>mieru rizika predpokladaného schodku vymedzenú</w:t>
      </w:r>
      <w:r w:rsidR="004F01E9" w:rsidRPr="00AC280B">
        <w:rPr>
          <w:noProof/>
          <w:spacing w:val="-12"/>
        </w:rPr>
        <w:t xml:space="preserve"> v </w:t>
      </w:r>
      <w:r w:rsidRPr="00AC280B">
        <w:rPr>
          <w:noProof/>
          <w:spacing w:val="-12"/>
        </w:rPr>
        <w:t>článku 325bb ods. 1;</w:t>
      </w:r>
    </w:p>
    <w:p w14:paraId="2C3C664C" w14:textId="5A16E85A" w:rsidR="0045677E" w:rsidRPr="00AC280B" w:rsidRDefault="0045677E" w:rsidP="0045677E">
      <w:pPr>
        <w:pStyle w:val="Point2"/>
        <w:rPr>
          <w:noProof/>
          <w:spacing w:val="-12"/>
        </w:rPr>
      </w:pPr>
      <w:r w:rsidRPr="00AC280B">
        <w:rPr>
          <w:noProof/>
          <w:spacing w:val="-12"/>
        </w:rPr>
        <w:t>ii)</w:t>
      </w:r>
      <w:r w:rsidRPr="00AC280B">
        <w:rPr>
          <w:noProof/>
          <w:spacing w:val="-12"/>
        </w:rPr>
        <w:tab/>
        <w:t>mieru rizika</w:t>
      </w:r>
      <w:r w:rsidR="004F01E9" w:rsidRPr="00AC280B">
        <w:rPr>
          <w:noProof/>
          <w:spacing w:val="-12"/>
        </w:rPr>
        <w:t xml:space="preserve"> v </w:t>
      </w:r>
      <w:r w:rsidRPr="00AC280B">
        <w:rPr>
          <w:noProof/>
          <w:spacing w:val="-12"/>
        </w:rPr>
        <w:t>rámci stresového scenára vymedzenú</w:t>
      </w:r>
      <w:r w:rsidR="004F01E9" w:rsidRPr="00AC280B">
        <w:rPr>
          <w:noProof/>
          <w:spacing w:val="-12"/>
        </w:rPr>
        <w:t xml:space="preserve"> v </w:t>
      </w:r>
      <w:r w:rsidRPr="00AC280B">
        <w:rPr>
          <w:noProof/>
          <w:spacing w:val="-12"/>
        </w:rPr>
        <w:t>článku 325ba ods. 1 písm. b);</w:t>
      </w:r>
    </w:p>
    <w:p w14:paraId="242D3D10" w14:textId="1CA33DF3" w:rsidR="0045677E" w:rsidRPr="00AC280B" w:rsidRDefault="0045677E" w:rsidP="0045677E">
      <w:pPr>
        <w:pStyle w:val="Point2"/>
        <w:rPr>
          <w:noProof/>
          <w:spacing w:val="-12"/>
        </w:rPr>
      </w:pPr>
      <w:r w:rsidRPr="00AC280B">
        <w:rPr>
          <w:noProof/>
          <w:spacing w:val="-12"/>
        </w:rPr>
        <w:t>iii)</w:t>
      </w:r>
      <w:r w:rsidRPr="00AC280B">
        <w:rPr>
          <w:noProof/>
          <w:spacing w:val="-12"/>
        </w:rPr>
        <w:tab/>
        <w:t>požiadavku na vlastné zdroje pre riziko zlyhania vymedzenú</w:t>
      </w:r>
      <w:r w:rsidR="004F01E9" w:rsidRPr="00AC280B">
        <w:rPr>
          <w:noProof/>
          <w:spacing w:val="-12"/>
        </w:rPr>
        <w:t xml:space="preserve"> v </w:t>
      </w:r>
      <w:r w:rsidRPr="00AC280B">
        <w:rPr>
          <w:noProof/>
          <w:spacing w:val="-12"/>
        </w:rPr>
        <w:t>článku 325ba ods. 2;</w:t>
      </w:r>
    </w:p>
    <w:p w14:paraId="768C6547" w14:textId="20C09D69" w:rsidR="0045677E" w:rsidRPr="00AC280B" w:rsidRDefault="0045677E" w:rsidP="0045677E">
      <w:pPr>
        <w:pStyle w:val="Point2"/>
        <w:rPr>
          <w:noProof/>
          <w:spacing w:val="-12"/>
        </w:rPr>
      </w:pPr>
      <w:r w:rsidRPr="00AC280B">
        <w:rPr>
          <w:noProof/>
          <w:spacing w:val="-12"/>
        </w:rPr>
        <w:t>iv)</w:t>
      </w:r>
      <w:r w:rsidRPr="00AC280B">
        <w:rPr>
          <w:noProof/>
          <w:spacing w:val="-12"/>
        </w:rPr>
        <w:tab/>
        <w:t>súčet požiadaviek na vlastné zdroje podľa vymedzenia</w:t>
      </w:r>
      <w:r w:rsidR="004F01E9" w:rsidRPr="00AC280B">
        <w:rPr>
          <w:noProof/>
          <w:spacing w:val="-12"/>
        </w:rPr>
        <w:t xml:space="preserve"> v </w:t>
      </w:r>
      <w:r w:rsidRPr="00AC280B">
        <w:rPr>
          <w:noProof/>
          <w:spacing w:val="-12"/>
        </w:rPr>
        <w:t>článku 325ba ods. 1</w:t>
      </w:r>
      <w:r w:rsidR="004F01E9" w:rsidRPr="00AC280B">
        <w:rPr>
          <w:noProof/>
          <w:spacing w:val="-12"/>
        </w:rPr>
        <w:t xml:space="preserve"> a </w:t>
      </w:r>
      <w:r w:rsidRPr="00AC280B">
        <w:rPr>
          <w:noProof/>
          <w:spacing w:val="-12"/>
        </w:rPr>
        <w:t>článku 325ba ods. 2 vrátane uplatniteľného multiplikačného faktora;</w:t>
      </w:r>
    </w:p>
    <w:p w14:paraId="0316462A" w14:textId="3B22BCEB" w:rsidR="0045677E" w:rsidRPr="004F01E9" w:rsidRDefault="0045677E" w:rsidP="0045677E">
      <w:pPr>
        <w:pStyle w:val="Point1"/>
        <w:rPr>
          <w:noProof/>
        </w:rPr>
      </w:pPr>
      <w:r w:rsidRPr="004F01E9">
        <w:rPr>
          <w:noProof/>
        </w:rPr>
        <w:t>c)</w:t>
      </w:r>
      <w:r w:rsidRPr="004F01E9">
        <w:rPr>
          <w:noProof/>
        </w:rPr>
        <w:tab/>
        <w:t>počet prekročení spätného testovania za posledných 250 pracovných dní na 99. percentile, ako sa uvádza</w:t>
      </w:r>
      <w:r w:rsidR="004F01E9">
        <w:rPr>
          <w:noProof/>
        </w:rPr>
        <w:t xml:space="preserve"> v </w:t>
      </w:r>
      <w:r w:rsidRPr="004F01E9">
        <w:rPr>
          <w:noProof/>
        </w:rPr>
        <w:t>článku 325bf ods. 1 písm. a)</w:t>
      </w:r>
      <w:r w:rsidR="004F01E9">
        <w:rPr>
          <w:noProof/>
        </w:rPr>
        <w:t xml:space="preserve"> a </w:t>
      </w:r>
      <w:r w:rsidRPr="004F01E9">
        <w:rPr>
          <w:noProof/>
        </w:rPr>
        <w:t>b), oddelene.</w:t>
      </w:r>
    </w:p>
    <w:p w14:paraId="088E65FE" w14:textId="7E5168B9" w:rsidR="0045677E" w:rsidRPr="004F01E9" w:rsidRDefault="0045677E" w:rsidP="0045677E">
      <w:pPr>
        <w:pStyle w:val="Text1"/>
        <w:rPr>
          <w:noProof/>
        </w:rPr>
      </w:pPr>
      <w:r w:rsidRPr="004F01E9">
        <w:rPr>
          <w:noProof/>
        </w:rPr>
        <w:t>4. Inštitúcie zverejňujú na súhrnnom základe za všetky trading desky požiadavky na vlastné zdroje pre trhové riziká, ktoré by sa vypočítavali</w:t>
      </w:r>
      <w:r w:rsidR="004F01E9">
        <w:rPr>
          <w:noProof/>
        </w:rPr>
        <w:t xml:space="preserve"> v </w:t>
      </w:r>
      <w:r w:rsidRPr="004F01E9">
        <w:rPr>
          <w:noProof/>
        </w:rPr>
        <w:t>súlade</w:t>
      </w:r>
      <w:r w:rsidR="004F01E9">
        <w:rPr>
          <w:noProof/>
        </w:rPr>
        <w:t xml:space="preserve"> s </w:t>
      </w:r>
      <w:r w:rsidRPr="004F01E9">
        <w:rPr>
          <w:noProof/>
        </w:rPr>
        <w:t>touto hlavou kapitolou 1a, ak by inštitúciám nebolo udelené žiadne povolenie používať ich interné modely pre uvedené trading desky.“</w:t>
      </w:r>
    </w:p>
    <w:p w14:paraId="0BD0A02F" w14:textId="56AC34E0" w:rsidR="00806B81" w:rsidRPr="004F01E9" w:rsidRDefault="00B16452" w:rsidP="00B16452">
      <w:pPr>
        <w:pStyle w:val="Point0"/>
        <w:rPr>
          <w:noProof/>
        </w:rPr>
      </w:pPr>
      <w:r w:rsidRPr="00B16452">
        <w:rPr>
          <w:noProof/>
        </w:rPr>
        <w:t>192</w:t>
      </w:r>
      <w:r>
        <w:rPr>
          <w:noProof/>
        </w:rPr>
        <w:t>.</w:t>
      </w:r>
      <w:r w:rsidRPr="00B16452">
        <w:rPr>
          <w:noProof/>
        </w:rPr>
        <w:tab/>
      </w:r>
      <w:r w:rsidR="0045677E" w:rsidRPr="004F01E9">
        <w:rPr>
          <w:noProof/>
        </w:rPr>
        <w:t>Článok 458 sa mení takto:</w:t>
      </w:r>
    </w:p>
    <w:p w14:paraId="3B719551" w14:textId="0210635B" w:rsidR="0045677E" w:rsidRPr="004F01E9" w:rsidRDefault="00B46CE3" w:rsidP="00B46CE3">
      <w:pPr>
        <w:pStyle w:val="Point1"/>
        <w:rPr>
          <w:noProof/>
        </w:rPr>
      </w:pPr>
      <w:r w:rsidRPr="004F01E9">
        <w:rPr>
          <w:noProof/>
        </w:rPr>
        <w:t>a)</w:t>
      </w:r>
      <w:r w:rsidRPr="004F01E9">
        <w:rPr>
          <w:noProof/>
        </w:rPr>
        <w:tab/>
        <w:t>Odsek 6 sa nahrádza takto:</w:t>
      </w:r>
    </w:p>
    <w:p w14:paraId="0F7A2550" w14:textId="72990F84" w:rsidR="0045677E" w:rsidRPr="00AC280B" w:rsidRDefault="0045677E" w:rsidP="0045677E">
      <w:pPr>
        <w:pStyle w:val="Text2"/>
        <w:rPr>
          <w:noProof/>
          <w:spacing w:val="-4"/>
        </w:rPr>
      </w:pPr>
      <w:r w:rsidRPr="00AC280B">
        <w:rPr>
          <w:noProof/>
          <w:spacing w:val="-4"/>
        </w:rPr>
        <w:t>„6. Ak členské štáty uznajú opatrenia stanovené</w:t>
      </w:r>
      <w:r w:rsidR="004F01E9" w:rsidRPr="00AC280B">
        <w:rPr>
          <w:noProof/>
          <w:spacing w:val="-4"/>
        </w:rPr>
        <w:t xml:space="preserve"> v </w:t>
      </w:r>
      <w:r w:rsidRPr="00AC280B">
        <w:rPr>
          <w:noProof/>
          <w:spacing w:val="-4"/>
        </w:rPr>
        <w:t>súlade</w:t>
      </w:r>
      <w:r w:rsidR="004F01E9" w:rsidRPr="00AC280B">
        <w:rPr>
          <w:noProof/>
          <w:spacing w:val="-4"/>
        </w:rPr>
        <w:t xml:space="preserve"> s </w:t>
      </w:r>
      <w:r w:rsidRPr="00AC280B">
        <w:rPr>
          <w:noProof/>
          <w:spacing w:val="-4"/>
        </w:rPr>
        <w:t>týmto článkom, oznámia to ESRB. ESRB takéto oznámenia bezodkladne postúpi Rade, Komisii, EBA, ESRB</w:t>
      </w:r>
      <w:r w:rsidR="004F01E9" w:rsidRPr="00AC280B">
        <w:rPr>
          <w:noProof/>
          <w:spacing w:val="-4"/>
        </w:rPr>
        <w:t xml:space="preserve"> a </w:t>
      </w:r>
      <w:r w:rsidRPr="00AC280B">
        <w:rPr>
          <w:noProof/>
          <w:spacing w:val="-4"/>
        </w:rPr>
        <w:t>členskému štátu oprávnenému uplatňovať tieto opatrenia.“;</w:t>
      </w:r>
    </w:p>
    <w:p w14:paraId="5BF61C38" w14:textId="047D19A5" w:rsidR="0045677E" w:rsidRPr="004F01E9" w:rsidRDefault="00B46CE3" w:rsidP="00B46CE3">
      <w:pPr>
        <w:pStyle w:val="Point1"/>
        <w:rPr>
          <w:noProof/>
        </w:rPr>
      </w:pPr>
      <w:r w:rsidRPr="004F01E9">
        <w:rPr>
          <w:noProof/>
        </w:rPr>
        <w:t>b)</w:t>
      </w:r>
      <w:r w:rsidRPr="004F01E9">
        <w:rPr>
          <w:noProof/>
        </w:rPr>
        <w:tab/>
        <w:t>Odsek 9 sa nahrádza takto:</w:t>
      </w:r>
    </w:p>
    <w:p w14:paraId="0BA565FE" w14:textId="02F212D1" w:rsidR="0045677E" w:rsidRPr="004F01E9" w:rsidRDefault="0045677E" w:rsidP="0045677E">
      <w:pPr>
        <w:pStyle w:val="Text2"/>
        <w:rPr>
          <w:noProof/>
        </w:rPr>
      </w:pPr>
      <w:r w:rsidRPr="004F01E9">
        <w:rPr>
          <w:noProof/>
        </w:rPr>
        <w:t>„9. Dotknutý členský štát pred uplynutím platnosti oprávnenia vydaného</w:t>
      </w:r>
      <w:r w:rsidR="004F01E9">
        <w:rPr>
          <w:noProof/>
        </w:rPr>
        <w:t xml:space="preserve"> v </w:t>
      </w:r>
      <w:r w:rsidRPr="004F01E9">
        <w:rPr>
          <w:noProof/>
        </w:rPr>
        <w:t>súlade</w:t>
      </w:r>
      <w:r w:rsidR="004F01E9">
        <w:rPr>
          <w:noProof/>
        </w:rPr>
        <w:t xml:space="preserve"> s </w:t>
      </w:r>
      <w:r w:rsidRPr="004F01E9">
        <w:rPr>
          <w:noProof/>
        </w:rPr>
        <w:t>odsekmi</w:t>
      </w:r>
      <w:r w:rsidR="004F01E9">
        <w:rPr>
          <w:noProof/>
        </w:rPr>
        <w:t xml:space="preserve"> a </w:t>
      </w:r>
      <w:r w:rsidRPr="004F01E9">
        <w:rPr>
          <w:noProof/>
        </w:rPr>
        <w:t>4 preskúma po porade</w:t>
      </w:r>
      <w:r w:rsidR="004F01E9">
        <w:rPr>
          <w:noProof/>
        </w:rPr>
        <w:t xml:space="preserve"> s </w:t>
      </w:r>
      <w:r w:rsidRPr="004F01E9">
        <w:rPr>
          <w:noProof/>
        </w:rPr>
        <w:t>ESRB, EBA</w:t>
      </w:r>
      <w:r w:rsidR="004F01E9">
        <w:rPr>
          <w:noProof/>
        </w:rPr>
        <w:t xml:space="preserve"> a </w:t>
      </w:r>
      <w:r w:rsidRPr="004F01E9">
        <w:rPr>
          <w:noProof/>
        </w:rPr>
        <w:t>Komisiou situáciu</w:t>
      </w:r>
      <w:r w:rsidR="004F01E9">
        <w:rPr>
          <w:noProof/>
        </w:rPr>
        <w:t xml:space="preserve"> a v </w:t>
      </w:r>
      <w:r w:rsidRPr="004F01E9">
        <w:rPr>
          <w:noProof/>
        </w:rPr>
        <w:t>súlade</w:t>
      </w:r>
      <w:r w:rsidR="004F01E9">
        <w:rPr>
          <w:noProof/>
        </w:rPr>
        <w:t xml:space="preserve"> s </w:t>
      </w:r>
      <w:r w:rsidRPr="004F01E9">
        <w:rPr>
          <w:noProof/>
        </w:rPr>
        <w:t>postupom uvedeným</w:t>
      </w:r>
      <w:r w:rsidR="004F01E9">
        <w:rPr>
          <w:noProof/>
        </w:rPr>
        <w:t xml:space="preserve"> v </w:t>
      </w:r>
      <w:r w:rsidRPr="004F01E9">
        <w:rPr>
          <w:noProof/>
        </w:rPr>
        <w:t>odsekoch 2</w:t>
      </w:r>
      <w:r w:rsidR="004F01E9">
        <w:rPr>
          <w:noProof/>
        </w:rPr>
        <w:t xml:space="preserve"> a </w:t>
      </w:r>
      <w:r w:rsidRPr="004F01E9">
        <w:rPr>
          <w:noProof/>
        </w:rPr>
        <w:t>4 môže prijať nové rozhodnutie</w:t>
      </w:r>
      <w:r w:rsidR="004F01E9">
        <w:rPr>
          <w:noProof/>
        </w:rPr>
        <w:t xml:space="preserve"> o </w:t>
      </w:r>
      <w:r w:rsidRPr="004F01E9">
        <w:rPr>
          <w:noProof/>
        </w:rPr>
        <w:t>predĺžení obdobia uplatňovania vnútroštátnych opatrení zakaždým</w:t>
      </w:r>
      <w:r w:rsidR="004F01E9">
        <w:rPr>
          <w:noProof/>
        </w:rPr>
        <w:t xml:space="preserve"> o </w:t>
      </w:r>
      <w:r w:rsidRPr="004F01E9">
        <w:rPr>
          <w:noProof/>
        </w:rPr>
        <w:t>najviac dva ďalšie roky.“</w:t>
      </w:r>
    </w:p>
    <w:p w14:paraId="5DE0C893" w14:textId="3B7E5B7C" w:rsidR="00806B81" w:rsidRPr="004F01E9" w:rsidRDefault="00B16452" w:rsidP="00B16452">
      <w:pPr>
        <w:pStyle w:val="Point0"/>
        <w:rPr>
          <w:noProof/>
        </w:rPr>
      </w:pPr>
      <w:r w:rsidRPr="00B16452">
        <w:rPr>
          <w:noProof/>
        </w:rPr>
        <w:t>193</w:t>
      </w:r>
      <w:r>
        <w:rPr>
          <w:noProof/>
        </w:rPr>
        <w:t>.</w:t>
      </w:r>
      <w:r w:rsidRPr="00B16452">
        <w:rPr>
          <w:noProof/>
        </w:rPr>
        <w:tab/>
      </w:r>
      <w:r w:rsidR="0045677E" w:rsidRPr="004F01E9">
        <w:rPr>
          <w:noProof/>
        </w:rPr>
        <w:t>Článok 461a sa nahrádza takto:</w:t>
      </w:r>
    </w:p>
    <w:p w14:paraId="1EC374E7" w14:textId="1514C4BD" w:rsidR="0045677E" w:rsidRPr="004F01E9" w:rsidRDefault="0045677E" w:rsidP="0045677E">
      <w:pPr>
        <w:pStyle w:val="Titrearticle"/>
        <w:rPr>
          <w:i w:val="0"/>
          <w:noProof/>
        </w:rPr>
      </w:pPr>
      <w:r w:rsidRPr="004F01E9">
        <w:rPr>
          <w:noProof/>
        </w:rPr>
        <w:t>„Článok 461a</w:t>
      </w:r>
      <w:r w:rsidR="004F01E9" w:rsidRPr="004F01E9">
        <w:rPr>
          <w:noProof/>
        </w:rPr>
        <w:t xml:space="preserve"> </w:t>
      </w:r>
      <w:r w:rsidRPr="004F01E9">
        <w:rPr>
          <w:noProof/>
        </w:rPr>
        <w:br/>
      </w:r>
      <w:r w:rsidRPr="004F01E9">
        <w:rPr>
          <w:b/>
          <w:i w:val="0"/>
          <w:noProof/>
        </w:rPr>
        <w:t>Požiadavka na vlastné zdroje pre trhové riziko</w:t>
      </w:r>
    </w:p>
    <w:p w14:paraId="7929D476" w14:textId="484B4C4D" w:rsidR="004C7055" w:rsidRPr="00AC280B" w:rsidRDefault="006B495C" w:rsidP="006B495C">
      <w:pPr>
        <w:pStyle w:val="Text1"/>
        <w:rPr>
          <w:noProof/>
          <w:spacing w:val="-4"/>
        </w:rPr>
      </w:pPr>
      <w:r w:rsidRPr="00AC280B">
        <w:rPr>
          <w:noProof/>
          <w:spacing w:val="-4"/>
        </w:rPr>
        <w:t>„Komisia monitoruje vykonávanie medzinárodných noriem týkajúcich sa požiadaviek na vlastné zdroje pre trhové riziko</w:t>
      </w:r>
      <w:r w:rsidR="004F01E9" w:rsidRPr="00AC280B">
        <w:rPr>
          <w:noProof/>
          <w:spacing w:val="-4"/>
        </w:rPr>
        <w:t xml:space="preserve"> v </w:t>
      </w:r>
      <w:r w:rsidRPr="00AC280B">
        <w:rPr>
          <w:noProof/>
          <w:spacing w:val="-4"/>
        </w:rPr>
        <w:t>tretích krajinách. Ak sa zistia významné rozdiely medzi uplatňovaním uvedených medzinárodných noriem</w:t>
      </w:r>
      <w:r w:rsidR="004F01E9" w:rsidRPr="00AC280B">
        <w:rPr>
          <w:noProof/>
          <w:spacing w:val="-4"/>
        </w:rPr>
        <w:t xml:space="preserve"> v </w:t>
      </w:r>
      <w:r w:rsidRPr="00AC280B">
        <w:rPr>
          <w:noProof/>
          <w:spacing w:val="-4"/>
        </w:rPr>
        <w:t>rámci Únie</w:t>
      </w:r>
      <w:r w:rsidR="004F01E9" w:rsidRPr="00AC280B">
        <w:rPr>
          <w:noProof/>
          <w:spacing w:val="-4"/>
        </w:rPr>
        <w:t xml:space="preserve"> a v </w:t>
      </w:r>
      <w:r w:rsidRPr="00AC280B">
        <w:rPr>
          <w:noProof/>
          <w:spacing w:val="-4"/>
        </w:rPr>
        <w:t>tretích krajinách,</w:t>
      </w:r>
      <w:r w:rsidR="004F01E9" w:rsidRPr="00AC280B">
        <w:rPr>
          <w:noProof/>
          <w:spacing w:val="-4"/>
        </w:rPr>
        <w:t xml:space="preserve"> a </w:t>
      </w:r>
      <w:r w:rsidRPr="00AC280B">
        <w:rPr>
          <w:noProof/>
          <w:spacing w:val="-4"/>
        </w:rPr>
        <w:t>to aj pokiaľ ide</w:t>
      </w:r>
      <w:r w:rsidR="004F01E9" w:rsidRPr="00AC280B">
        <w:rPr>
          <w:noProof/>
          <w:spacing w:val="-4"/>
        </w:rPr>
        <w:t xml:space="preserve"> o </w:t>
      </w:r>
      <w:r w:rsidRPr="00AC280B">
        <w:rPr>
          <w:noProof/>
          <w:spacing w:val="-4"/>
        </w:rPr>
        <w:t>vplyv pravidiel</w:t>
      </w:r>
      <w:r w:rsidR="004F01E9" w:rsidRPr="00AC280B">
        <w:rPr>
          <w:noProof/>
          <w:spacing w:val="-4"/>
        </w:rPr>
        <w:t xml:space="preserve"> z </w:t>
      </w:r>
      <w:r w:rsidRPr="00AC280B">
        <w:rPr>
          <w:noProof/>
          <w:spacing w:val="-4"/>
        </w:rPr>
        <w:t>hľadiska požiadaviek na vlastné zdroje</w:t>
      </w:r>
      <w:r w:rsidR="004F01E9" w:rsidRPr="00AC280B">
        <w:rPr>
          <w:noProof/>
          <w:spacing w:val="-4"/>
        </w:rPr>
        <w:t xml:space="preserve"> a </w:t>
      </w:r>
      <w:r w:rsidRPr="00AC280B">
        <w:rPr>
          <w:noProof/>
          <w:spacing w:val="-4"/>
        </w:rPr>
        <w:t>pokiaľ ide</w:t>
      </w:r>
      <w:r w:rsidR="004F01E9" w:rsidRPr="00AC280B">
        <w:rPr>
          <w:noProof/>
          <w:spacing w:val="-4"/>
        </w:rPr>
        <w:t xml:space="preserve"> o </w:t>
      </w:r>
      <w:r w:rsidRPr="00AC280B">
        <w:rPr>
          <w:noProof/>
          <w:spacing w:val="-4"/>
        </w:rPr>
        <w:t>začatie ich uplatňovania, Komisia je splnomocnená prijať delegovaný akt</w:t>
      </w:r>
      <w:r w:rsidR="004F01E9" w:rsidRPr="00AC280B">
        <w:rPr>
          <w:noProof/>
          <w:spacing w:val="-4"/>
        </w:rPr>
        <w:t xml:space="preserve"> v </w:t>
      </w:r>
      <w:r w:rsidRPr="00AC280B">
        <w:rPr>
          <w:noProof/>
          <w:spacing w:val="-4"/>
        </w:rPr>
        <w:t>súlade</w:t>
      </w:r>
      <w:r w:rsidR="004F01E9" w:rsidRPr="00AC280B">
        <w:rPr>
          <w:noProof/>
          <w:spacing w:val="-4"/>
        </w:rPr>
        <w:t xml:space="preserve"> s </w:t>
      </w:r>
      <w:r w:rsidRPr="00AC280B">
        <w:rPr>
          <w:noProof/>
          <w:spacing w:val="-4"/>
        </w:rPr>
        <w:t>článkom 462</w:t>
      </w:r>
      <w:r w:rsidR="004F01E9" w:rsidRPr="00AC280B">
        <w:rPr>
          <w:noProof/>
          <w:spacing w:val="-4"/>
        </w:rPr>
        <w:t xml:space="preserve"> s </w:t>
      </w:r>
      <w:r w:rsidRPr="00AC280B">
        <w:rPr>
          <w:noProof/>
          <w:spacing w:val="-4"/>
        </w:rPr>
        <w:t>cieľom zmeniť toto nariadenie tak, že:</w:t>
      </w:r>
    </w:p>
    <w:p w14:paraId="189E24F1" w14:textId="070F70A7" w:rsidR="004C7055" w:rsidRPr="00AC280B" w:rsidRDefault="004C7055" w:rsidP="001B604C">
      <w:pPr>
        <w:pStyle w:val="Point1"/>
        <w:rPr>
          <w:noProof/>
          <w:spacing w:val="-4"/>
        </w:rPr>
      </w:pPr>
      <w:r w:rsidRPr="00AC280B">
        <w:rPr>
          <w:noProof/>
          <w:spacing w:val="-4"/>
        </w:rPr>
        <w:t>a)</w:t>
      </w:r>
      <w:r w:rsidRPr="00AC280B">
        <w:rPr>
          <w:noProof/>
          <w:spacing w:val="-4"/>
        </w:rPr>
        <w:tab/>
        <w:t>tam, kde treba vytvoriť rovnaké podmienky, uplatní na požiadavky inštitúcií na vlastné zdroje pre trhové riziko multiplikátor, ktorý sa rovná alebo je vyšší ako 0</w:t>
      </w:r>
      <w:r w:rsidR="004F01E9" w:rsidRPr="00AC280B">
        <w:rPr>
          <w:noProof/>
          <w:spacing w:val="-4"/>
        </w:rPr>
        <w:t xml:space="preserve"> a </w:t>
      </w:r>
      <w:r w:rsidRPr="00AC280B">
        <w:rPr>
          <w:noProof/>
          <w:spacing w:val="-4"/>
        </w:rPr>
        <w:t>nižší ako 1, vypočítaný pre špecifické triedy rizika</w:t>
      </w:r>
      <w:r w:rsidR="004F01E9" w:rsidRPr="00AC280B">
        <w:rPr>
          <w:noProof/>
          <w:spacing w:val="-4"/>
        </w:rPr>
        <w:t xml:space="preserve"> a </w:t>
      </w:r>
      <w:r w:rsidRPr="00AC280B">
        <w:rPr>
          <w:noProof/>
          <w:spacing w:val="-4"/>
        </w:rPr>
        <w:t>špecifické faktory rizika pomocou jedného</w:t>
      </w:r>
      <w:r w:rsidR="004F01E9" w:rsidRPr="00AC280B">
        <w:rPr>
          <w:noProof/>
          <w:spacing w:val="-4"/>
        </w:rPr>
        <w:t xml:space="preserve"> z </w:t>
      </w:r>
      <w:r w:rsidRPr="00AC280B">
        <w:rPr>
          <w:noProof/>
          <w:spacing w:val="-4"/>
        </w:rPr>
        <w:t>prístupov uvedených</w:t>
      </w:r>
      <w:r w:rsidR="004F01E9" w:rsidRPr="00AC280B">
        <w:rPr>
          <w:noProof/>
          <w:spacing w:val="-4"/>
        </w:rPr>
        <w:t xml:space="preserve"> v </w:t>
      </w:r>
      <w:r w:rsidRPr="00AC280B">
        <w:rPr>
          <w:noProof/>
          <w:spacing w:val="-4"/>
        </w:rPr>
        <w:t>článku 325 ods. 1</w:t>
      </w:r>
      <w:r w:rsidR="004F01E9" w:rsidRPr="00AC280B">
        <w:rPr>
          <w:noProof/>
          <w:spacing w:val="-4"/>
        </w:rPr>
        <w:t xml:space="preserve"> a </w:t>
      </w:r>
      <w:r w:rsidRPr="00AC280B">
        <w:rPr>
          <w:noProof/>
          <w:spacing w:val="-4"/>
        </w:rPr>
        <w:t>stanovených v:</w:t>
      </w:r>
    </w:p>
    <w:p w14:paraId="05FC015A" w14:textId="1D083359" w:rsidR="004C7055" w:rsidRPr="004F01E9" w:rsidRDefault="004C7055" w:rsidP="001B604C">
      <w:pPr>
        <w:pStyle w:val="Point2"/>
        <w:rPr>
          <w:noProof/>
        </w:rPr>
      </w:pPr>
      <w:r w:rsidRPr="004F01E9">
        <w:rPr>
          <w:noProof/>
        </w:rPr>
        <w:t>i)</w:t>
      </w:r>
      <w:r w:rsidRPr="004F01E9">
        <w:rPr>
          <w:noProof/>
        </w:rPr>
        <w:tab/>
        <w:t>článkoch 325c až 325ay,</w:t>
      </w:r>
      <w:r w:rsidR="004F01E9">
        <w:rPr>
          <w:noProof/>
        </w:rPr>
        <w:t xml:space="preserve"> v </w:t>
      </w:r>
      <w:r w:rsidRPr="004F01E9">
        <w:rPr>
          <w:noProof/>
        </w:rPr>
        <w:t>ktorých sa stanovuje alternatívny štandardizovaný prístup;</w:t>
      </w:r>
    </w:p>
    <w:p w14:paraId="2FCC9E55" w14:textId="3BF36E7C" w:rsidR="004C7055" w:rsidRPr="004F01E9" w:rsidRDefault="004C7055" w:rsidP="001B604C">
      <w:pPr>
        <w:pStyle w:val="Point2"/>
        <w:rPr>
          <w:noProof/>
        </w:rPr>
      </w:pPr>
      <w:r w:rsidRPr="004F01E9">
        <w:rPr>
          <w:noProof/>
        </w:rPr>
        <w:t>ii)</w:t>
      </w:r>
      <w:r w:rsidRPr="004F01E9">
        <w:rPr>
          <w:noProof/>
        </w:rPr>
        <w:tab/>
        <w:t>článkoch 325az až 325bp,</w:t>
      </w:r>
      <w:r w:rsidR="004F01E9">
        <w:rPr>
          <w:noProof/>
        </w:rPr>
        <w:t xml:space="preserve"> v </w:t>
      </w:r>
      <w:r w:rsidRPr="004F01E9">
        <w:rPr>
          <w:noProof/>
        </w:rPr>
        <w:t>ktorých sa stanovuje alternatívny prístup interného modelu;</w:t>
      </w:r>
    </w:p>
    <w:p w14:paraId="57E2E50A" w14:textId="12C198A6" w:rsidR="004C7055" w:rsidRPr="004F01E9" w:rsidRDefault="004C7055" w:rsidP="001B604C">
      <w:pPr>
        <w:pStyle w:val="Point2"/>
        <w:rPr>
          <w:noProof/>
        </w:rPr>
      </w:pPr>
      <w:r w:rsidRPr="004F01E9">
        <w:rPr>
          <w:noProof/>
        </w:rPr>
        <w:t>iii)</w:t>
      </w:r>
      <w:r w:rsidRPr="004F01E9">
        <w:rPr>
          <w:noProof/>
        </w:rPr>
        <w:tab/>
        <w:t>článkoch 326 až 361,</w:t>
      </w:r>
      <w:r w:rsidR="004F01E9">
        <w:rPr>
          <w:noProof/>
        </w:rPr>
        <w:t xml:space="preserve"> v </w:t>
      </w:r>
      <w:r w:rsidRPr="004F01E9">
        <w:rPr>
          <w:noProof/>
        </w:rPr>
        <w:t>ktorých sa stanovuje zjednodušený štandardizovaný prístup na kompenzáciu rozdielov pozorovaných medzi pravidlami tretích krajín</w:t>
      </w:r>
      <w:r w:rsidR="004F01E9">
        <w:rPr>
          <w:noProof/>
        </w:rPr>
        <w:t xml:space="preserve"> a </w:t>
      </w:r>
      <w:r w:rsidRPr="004F01E9">
        <w:rPr>
          <w:noProof/>
        </w:rPr>
        <w:t>právom Únie;</w:t>
      </w:r>
    </w:p>
    <w:p w14:paraId="36799962" w14:textId="75B27B27" w:rsidR="004C7055" w:rsidRPr="004F01E9" w:rsidRDefault="004C7055" w:rsidP="001B604C">
      <w:pPr>
        <w:pStyle w:val="Point1"/>
        <w:rPr>
          <w:noProof/>
        </w:rPr>
      </w:pPr>
      <w:r w:rsidRPr="004F01E9">
        <w:rPr>
          <w:noProof/>
        </w:rPr>
        <w:t>b)</w:t>
      </w:r>
      <w:r w:rsidRPr="004F01E9">
        <w:rPr>
          <w:noProof/>
        </w:rPr>
        <w:tab/>
        <w:t>odloží dátum, od ktorého inštitúcie uplatňujú požiadavky na vlastné zdroje pre trhové riziko stanovené</w:t>
      </w:r>
      <w:r w:rsidR="004F01E9">
        <w:rPr>
          <w:noProof/>
        </w:rPr>
        <w:t xml:space="preserve"> v </w:t>
      </w:r>
      <w:r w:rsidRPr="004F01E9">
        <w:rPr>
          <w:noProof/>
        </w:rPr>
        <w:t>tretej časti hlave IV, alebo ktoréhokoľvek</w:t>
      </w:r>
      <w:r w:rsidR="004F01E9">
        <w:rPr>
          <w:noProof/>
        </w:rPr>
        <w:t xml:space="preserve"> z </w:t>
      </w:r>
      <w:r w:rsidRPr="004F01E9">
        <w:rPr>
          <w:noProof/>
        </w:rPr>
        <w:t>prístupov na výpočet požiadaviek na vlastné zdroje pre trhové riziko uvedených</w:t>
      </w:r>
      <w:r w:rsidR="004F01E9">
        <w:rPr>
          <w:noProof/>
        </w:rPr>
        <w:t xml:space="preserve"> v </w:t>
      </w:r>
      <w:r w:rsidRPr="004F01E9">
        <w:rPr>
          <w:noProof/>
        </w:rPr>
        <w:t>článku 325 ods. 1,</w:t>
      </w:r>
      <w:r w:rsidR="004F01E9">
        <w:rPr>
          <w:noProof/>
        </w:rPr>
        <w:t xml:space="preserve"> o </w:t>
      </w:r>
      <w:r w:rsidRPr="004F01E9">
        <w:rPr>
          <w:noProof/>
        </w:rPr>
        <w:t>dva roky.“</w:t>
      </w:r>
    </w:p>
    <w:p w14:paraId="0249CB69" w14:textId="6563AC33" w:rsidR="0045677E" w:rsidRPr="004F01E9" w:rsidRDefault="00B16452" w:rsidP="00B16452">
      <w:pPr>
        <w:pStyle w:val="Point0"/>
        <w:rPr>
          <w:noProof/>
        </w:rPr>
      </w:pPr>
      <w:r w:rsidRPr="00B16452">
        <w:rPr>
          <w:noProof/>
        </w:rPr>
        <w:t>194</w:t>
      </w:r>
      <w:r>
        <w:rPr>
          <w:noProof/>
        </w:rPr>
        <w:t>.</w:t>
      </w:r>
      <w:r w:rsidRPr="00B16452">
        <w:rPr>
          <w:noProof/>
        </w:rPr>
        <w:tab/>
      </w:r>
      <w:r w:rsidR="0045677E" w:rsidRPr="004F01E9">
        <w:rPr>
          <w:noProof/>
        </w:rPr>
        <w:t>Vkladá sa tento článok 461b:</w:t>
      </w:r>
    </w:p>
    <w:p w14:paraId="67218E30" w14:textId="50332B3B" w:rsidR="0045677E" w:rsidRPr="004F01E9" w:rsidRDefault="0045677E" w:rsidP="0045677E">
      <w:pPr>
        <w:pStyle w:val="Titrearticle"/>
        <w:spacing w:before="120"/>
        <w:rPr>
          <w:noProof/>
        </w:rPr>
      </w:pPr>
      <w:r w:rsidRPr="004F01E9">
        <w:rPr>
          <w:noProof/>
        </w:rPr>
        <w:t xml:space="preserve">„Článok 461b </w:t>
      </w:r>
      <w:r w:rsidRPr="004F01E9">
        <w:rPr>
          <w:noProof/>
        </w:rPr>
        <w:br/>
      </w:r>
      <w:r w:rsidRPr="004F01E9">
        <w:rPr>
          <w:b/>
          <w:i w:val="0"/>
          <w:noProof/>
        </w:rPr>
        <w:t>Prudenciálne zaobchádzanie</w:t>
      </w:r>
      <w:r w:rsidR="004F01E9">
        <w:rPr>
          <w:b/>
          <w:i w:val="0"/>
          <w:noProof/>
        </w:rPr>
        <w:t xml:space="preserve"> s </w:t>
      </w:r>
      <w:r w:rsidRPr="004F01E9">
        <w:rPr>
          <w:b/>
          <w:i w:val="0"/>
          <w:noProof/>
        </w:rPr>
        <w:t>kryptoaktívami</w:t>
      </w:r>
    </w:p>
    <w:p w14:paraId="62A3D14A" w14:textId="689F3D93" w:rsidR="004F01E9" w:rsidRDefault="00D31DA2" w:rsidP="0045677E">
      <w:pPr>
        <w:pStyle w:val="Text1"/>
        <w:rPr>
          <w:noProof/>
        </w:rPr>
      </w:pPr>
      <w:r w:rsidRPr="004F01E9">
        <w:rPr>
          <w:noProof/>
        </w:rPr>
        <w:t>Komisia do 31</w:t>
      </w:r>
      <w:r w:rsidR="004F01E9">
        <w:rPr>
          <w:noProof/>
        </w:rPr>
        <w:t>. decembra</w:t>
      </w:r>
      <w:r w:rsidRPr="004F01E9">
        <w:rPr>
          <w:noProof/>
        </w:rPr>
        <w:t xml:space="preserve"> 2025 preskúma, či by sa malo vypracovať osobitné prudenciálne zaobchádzanie pre expozície voči kryptoaktívam,</w:t>
      </w:r>
      <w:r w:rsidR="004F01E9">
        <w:rPr>
          <w:noProof/>
        </w:rPr>
        <w:t xml:space="preserve"> a </w:t>
      </w:r>
      <w:r w:rsidRPr="004F01E9">
        <w:rPr>
          <w:noProof/>
        </w:rPr>
        <w:t>po konzultácii</w:t>
      </w:r>
      <w:r w:rsidR="004F01E9">
        <w:rPr>
          <w:noProof/>
        </w:rPr>
        <w:t xml:space="preserve"> s </w:t>
      </w:r>
      <w:r w:rsidRPr="004F01E9">
        <w:rPr>
          <w:noProof/>
        </w:rPr>
        <w:t>EBA</w:t>
      </w:r>
      <w:r w:rsidR="004F01E9">
        <w:rPr>
          <w:noProof/>
        </w:rPr>
        <w:t xml:space="preserve"> a s </w:t>
      </w:r>
      <w:r w:rsidRPr="004F01E9">
        <w:rPr>
          <w:noProof/>
        </w:rPr>
        <w:t>prihliadnutím na medzinárodný</w:t>
      </w:r>
    </w:p>
    <w:p w14:paraId="2D772B05" w14:textId="1A20E5B6" w:rsidR="0045677E" w:rsidRPr="004F01E9" w:rsidRDefault="00B16452" w:rsidP="00B16452">
      <w:pPr>
        <w:pStyle w:val="Point0"/>
        <w:rPr>
          <w:noProof/>
        </w:rPr>
      </w:pPr>
      <w:r w:rsidRPr="00B16452">
        <w:rPr>
          <w:noProof/>
        </w:rPr>
        <w:t>195</w:t>
      </w:r>
      <w:r>
        <w:rPr>
          <w:noProof/>
        </w:rPr>
        <w:t>.</w:t>
      </w:r>
      <w:r w:rsidRPr="00B16452">
        <w:rPr>
          <w:noProof/>
        </w:rPr>
        <w:tab/>
      </w:r>
      <w:r w:rsidR="00D31DA2" w:rsidRPr="004F01E9">
        <w:rPr>
          <w:noProof/>
        </w:rPr>
        <w:t>vývoj</w:t>
      </w:r>
      <w:r w:rsidR="004F01E9">
        <w:rPr>
          <w:noProof/>
        </w:rPr>
        <w:t xml:space="preserve"> v </w:t>
      </w:r>
      <w:r w:rsidR="00D31DA2" w:rsidRPr="004F01E9">
        <w:rPr>
          <w:noProof/>
        </w:rPr>
        <w:t>prípade potreby predloží Európskemu parlamentu</w:t>
      </w:r>
      <w:r w:rsidR="004F01E9">
        <w:rPr>
          <w:noProof/>
        </w:rPr>
        <w:t xml:space="preserve"> a </w:t>
      </w:r>
      <w:r w:rsidR="00D31DA2" w:rsidRPr="004F01E9">
        <w:rPr>
          <w:noProof/>
        </w:rPr>
        <w:t>Rade správu spolu</w:t>
      </w:r>
      <w:r w:rsidR="004F01E9">
        <w:rPr>
          <w:noProof/>
        </w:rPr>
        <w:t xml:space="preserve"> s </w:t>
      </w:r>
      <w:r w:rsidR="00D31DA2" w:rsidRPr="004F01E9">
        <w:rPr>
          <w:noProof/>
        </w:rPr>
        <w:t>legislatívnym návrhom.“ Článok 462 sa mení takto:</w:t>
      </w:r>
    </w:p>
    <w:p w14:paraId="4FBA35A8" w14:textId="3BFA1083" w:rsidR="0045677E" w:rsidRPr="004F01E9" w:rsidRDefault="0029564B" w:rsidP="0029564B">
      <w:pPr>
        <w:pStyle w:val="Point1"/>
        <w:rPr>
          <w:noProof/>
        </w:rPr>
      </w:pPr>
      <w:r w:rsidRPr="004F01E9">
        <w:rPr>
          <w:noProof/>
        </w:rPr>
        <w:t>a)</w:t>
      </w:r>
      <w:r w:rsidRPr="004F01E9">
        <w:rPr>
          <w:noProof/>
        </w:rPr>
        <w:tab/>
        <w:t>Odseky 2</w:t>
      </w:r>
      <w:r w:rsidR="004F01E9">
        <w:rPr>
          <w:noProof/>
        </w:rPr>
        <w:t xml:space="preserve"> a </w:t>
      </w:r>
      <w:r w:rsidRPr="004F01E9">
        <w:rPr>
          <w:noProof/>
        </w:rPr>
        <w:t>3 sa nahrádzajú takto:</w:t>
      </w:r>
    </w:p>
    <w:p w14:paraId="35A95BE1" w14:textId="32DCB94F" w:rsidR="0045677E" w:rsidRPr="004F01E9" w:rsidRDefault="0045677E" w:rsidP="0045677E">
      <w:pPr>
        <w:pStyle w:val="Text2"/>
        <w:rPr>
          <w:noProof/>
        </w:rPr>
      </w:pPr>
      <w:r w:rsidRPr="004F01E9">
        <w:rPr>
          <w:noProof/>
        </w:rPr>
        <w:t>„2. Právomoc prijímať delegované akty uvedené</w:t>
      </w:r>
      <w:r w:rsidR="004F01E9">
        <w:rPr>
          <w:noProof/>
        </w:rPr>
        <w:t xml:space="preserve"> v </w:t>
      </w:r>
      <w:r w:rsidRPr="004F01E9">
        <w:rPr>
          <w:noProof/>
        </w:rPr>
        <w:t>článku 244 ods. 6</w:t>
      </w:r>
      <w:r w:rsidR="004F01E9">
        <w:rPr>
          <w:noProof/>
        </w:rPr>
        <w:t xml:space="preserve"> a </w:t>
      </w:r>
      <w:r w:rsidRPr="004F01E9">
        <w:rPr>
          <w:noProof/>
        </w:rPr>
        <w:t>článku 245 ods. 6,</w:t>
      </w:r>
      <w:r w:rsidR="004F01E9">
        <w:rPr>
          <w:noProof/>
        </w:rPr>
        <w:t xml:space="preserve"> v </w:t>
      </w:r>
      <w:r w:rsidRPr="004F01E9">
        <w:rPr>
          <w:noProof/>
        </w:rPr>
        <w:t>článkoch 456 až 460</w:t>
      </w:r>
      <w:r w:rsidR="004F01E9">
        <w:rPr>
          <w:noProof/>
        </w:rPr>
        <w:t xml:space="preserve"> a v </w:t>
      </w:r>
      <w:r w:rsidRPr="004F01E9">
        <w:rPr>
          <w:noProof/>
        </w:rPr>
        <w:t>článkoch 461a</w:t>
      </w:r>
      <w:r w:rsidR="004F01E9">
        <w:rPr>
          <w:noProof/>
        </w:rPr>
        <w:t xml:space="preserve"> a </w:t>
      </w:r>
      <w:r w:rsidRPr="004F01E9">
        <w:rPr>
          <w:noProof/>
        </w:rPr>
        <w:t>461b sa Komisii udeľuje na dobu neurčitú od 28</w:t>
      </w:r>
      <w:r w:rsidR="004F01E9">
        <w:rPr>
          <w:noProof/>
        </w:rPr>
        <w:t>. júna</w:t>
      </w:r>
      <w:r w:rsidRPr="004F01E9">
        <w:rPr>
          <w:noProof/>
        </w:rPr>
        <w:t xml:space="preserve"> 2013.</w:t>
      </w:r>
    </w:p>
    <w:p w14:paraId="3D368527" w14:textId="05296F05" w:rsidR="0045677E" w:rsidRPr="004F01E9" w:rsidRDefault="0045677E" w:rsidP="0045677E">
      <w:pPr>
        <w:pStyle w:val="Text2"/>
        <w:rPr>
          <w:noProof/>
        </w:rPr>
      </w:pPr>
      <w:r w:rsidRPr="004F01E9">
        <w:rPr>
          <w:noProof/>
        </w:rPr>
        <w:t>3. Delegovanie právomoci uvedené</w:t>
      </w:r>
      <w:r w:rsidR="004F01E9">
        <w:rPr>
          <w:noProof/>
        </w:rPr>
        <w:t xml:space="preserve"> v </w:t>
      </w:r>
      <w:r w:rsidRPr="004F01E9">
        <w:rPr>
          <w:noProof/>
        </w:rPr>
        <w:t>článku 244 ods. 6</w:t>
      </w:r>
      <w:r w:rsidR="004F01E9">
        <w:rPr>
          <w:noProof/>
        </w:rPr>
        <w:t xml:space="preserve"> a </w:t>
      </w:r>
      <w:r w:rsidRPr="004F01E9">
        <w:rPr>
          <w:noProof/>
        </w:rPr>
        <w:t>článku 245 ods. 6,</w:t>
      </w:r>
      <w:r w:rsidR="004F01E9">
        <w:rPr>
          <w:noProof/>
        </w:rPr>
        <w:t xml:space="preserve"> v </w:t>
      </w:r>
      <w:r w:rsidRPr="004F01E9">
        <w:rPr>
          <w:noProof/>
        </w:rPr>
        <w:t>článkoch 456 až 460</w:t>
      </w:r>
      <w:r w:rsidR="004F01E9">
        <w:rPr>
          <w:noProof/>
        </w:rPr>
        <w:t xml:space="preserve"> a v </w:t>
      </w:r>
      <w:r w:rsidRPr="004F01E9">
        <w:rPr>
          <w:noProof/>
        </w:rPr>
        <w:t>článkoch 461a</w:t>
      </w:r>
      <w:r w:rsidR="004F01E9">
        <w:rPr>
          <w:noProof/>
        </w:rPr>
        <w:t xml:space="preserve"> a </w:t>
      </w:r>
      <w:r w:rsidRPr="004F01E9">
        <w:rPr>
          <w:noProof/>
        </w:rPr>
        <w:t>461b môže Európsky parlament alebo Rada kedykoľvek odvolať. Rozhodnutím</w:t>
      </w:r>
      <w:r w:rsidR="004F01E9">
        <w:rPr>
          <w:noProof/>
        </w:rPr>
        <w:t xml:space="preserve"> o </w:t>
      </w:r>
      <w:r w:rsidRPr="004F01E9">
        <w:rPr>
          <w:noProof/>
        </w:rPr>
        <w:t>odvolaní sa ukončuje delegovanie právomoci, ktoré sa</w:t>
      </w:r>
      <w:r w:rsidR="004F01E9">
        <w:rPr>
          <w:noProof/>
        </w:rPr>
        <w:t xml:space="preserve"> v </w:t>
      </w:r>
      <w:r w:rsidRPr="004F01E9">
        <w:rPr>
          <w:noProof/>
        </w:rPr>
        <w:t>ňom uvádza. Rozhodnutie nadobúda účinnosť dňom nasledujúcim po jeho uverejnení</w:t>
      </w:r>
      <w:r w:rsidR="004F01E9">
        <w:rPr>
          <w:noProof/>
        </w:rPr>
        <w:t xml:space="preserve"> v </w:t>
      </w:r>
      <w:r w:rsidRPr="004F01E9">
        <w:rPr>
          <w:i/>
          <w:noProof/>
        </w:rPr>
        <w:t>Úradnom vestníku Európskej únie</w:t>
      </w:r>
      <w:r w:rsidRPr="004F01E9">
        <w:rPr>
          <w:noProof/>
        </w:rPr>
        <w:t xml:space="preserve"> alebo</w:t>
      </w:r>
      <w:r w:rsidR="004F01E9">
        <w:rPr>
          <w:noProof/>
        </w:rPr>
        <w:t xml:space="preserve"> k </w:t>
      </w:r>
      <w:r w:rsidRPr="004F01E9">
        <w:rPr>
          <w:noProof/>
        </w:rPr>
        <w:t>neskoršiemu dátumu, ktorý je</w:t>
      </w:r>
      <w:r w:rsidR="004F01E9">
        <w:rPr>
          <w:noProof/>
        </w:rPr>
        <w:t xml:space="preserve"> v </w:t>
      </w:r>
      <w:r w:rsidRPr="004F01E9">
        <w:rPr>
          <w:noProof/>
        </w:rPr>
        <w:t>ňom určený. Nie je ním dotknutá platnosť delegovaných aktov, ktoré už nadobudli účinnosť.“;</w:t>
      </w:r>
    </w:p>
    <w:p w14:paraId="6F9F0EC5" w14:textId="6EE08ACB" w:rsidR="0045677E" w:rsidRPr="004F01E9" w:rsidRDefault="0029564B" w:rsidP="0029564B">
      <w:pPr>
        <w:pStyle w:val="Point1"/>
        <w:rPr>
          <w:noProof/>
        </w:rPr>
      </w:pPr>
      <w:r w:rsidRPr="004F01E9">
        <w:rPr>
          <w:noProof/>
        </w:rPr>
        <w:t>b)</w:t>
      </w:r>
      <w:r w:rsidRPr="004F01E9">
        <w:rPr>
          <w:noProof/>
        </w:rPr>
        <w:tab/>
        <w:t>Odsek 6 sa nahrádza takto:</w:t>
      </w:r>
    </w:p>
    <w:p w14:paraId="44068118" w14:textId="157A49CD" w:rsidR="0045677E" w:rsidRPr="004F01E9" w:rsidRDefault="0045677E" w:rsidP="0045677E">
      <w:pPr>
        <w:pStyle w:val="Text2"/>
        <w:rPr>
          <w:noProof/>
        </w:rPr>
      </w:pPr>
      <w:r w:rsidRPr="004F01E9">
        <w:rPr>
          <w:noProof/>
        </w:rPr>
        <w:t>„6. Delegovaný akt prijatý podľa článku 244 ods. 6</w:t>
      </w:r>
      <w:r w:rsidR="004F01E9">
        <w:rPr>
          <w:noProof/>
        </w:rPr>
        <w:t xml:space="preserve"> a </w:t>
      </w:r>
      <w:r w:rsidRPr="004F01E9">
        <w:rPr>
          <w:noProof/>
        </w:rPr>
        <w:t>článku 245 ods. 6, článkov 456 až 460</w:t>
      </w:r>
      <w:r w:rsidR="004F01E9">
        <w:rPr>
          <w:noProof/>
        </w:rPr>
        <w:t xml:space="preserve"> a </w:t>
      </w:r>
      <w:r w:rsidRPr="004F01E9">
        <w:rPr>
          <w:noProof/>
        </w:rPr>
        <w:t>článkov 461a</w:t>
      </w:r>
      <w:r w:rsidR="004F01E9">
        <w:rPr>
          <w:noProof/>
        </w:rPr>
        <w:t xml:space="preserve"> a </w:t>
      </w:r>
      <w:r w:rsidRPr="004F01E9">
        <w:rPr>
          <w:noProof/>
        </w:rPr>
        <w:t>461b nadobudne účinnosť, len ak Európsky parlament alebo Rada voči nemu nevzniesli námietku</w:t>
      </w:r>
      <w:r w:rsidR="004F01E9">
        <w:rPr>
          <w:noProof/>
        </w:rPr>
        <w:t xml:space="preserve"> v </w:t>
      </w:r>
      <w:r w:rsidRPr="004F01E9">
        <w:rPr>
          <w:noProof/>
        </w:rPr>
        <w:t>lehote troch mesiacov odo dňa oznámenia uvedeného aktu Európskemu parlamentu</w:t>
      </w:r>
      <w:r w:rsidR="004F01E9">
        <w:rPr>
          <w:noProof/>
        </w:rPr>
        <w:t xml:space="preserve"> a </w:t>
      </w:r>
      <w:r w:rsidRPr="004F01E9">
        <w:rPr>
          <w:noProof/>
        </w:rPr>
        <w:t>Rade alebo ak pred uplynutím uvedenej lehoty Európsky parlament</w:t>
      </w:r>
      <w:r w:rsidR="004F01E9">
        <w:rPr>
          <w:noProof/>
        </w:rPr>
        <w:t xml:space="preserve"> a </w:t>
      </w:r>
      <w:r w:rsidRPr="004F01E9">
        <w:rPr>
          <w:noProof/>
        </w:rPr>
        <w:t>Rada informovali Komisiu</w:t>
      </w:r>
      <w:r w:rsidR="004F01E9">
        <w:rPr>
          <w:noProof/>
        </w:rPr>
        <w:t xml:space="preserve"> o </w:t>
      </w:r>
      <w:r w:rsidRPr="004F01E9">
        <w:rPr>
          <w:noProof/>
        </w:rPr>
        <w:t>svojom rozhodnutí nevzniesť námietku. Na podnet Európskeho parlamentu alebo Rady sa táto lehota predĺži</w:t>
      </w:r>
      <w:r w:rsidR="004F01E9">
        <w:rPr>
          <w:noProof/>
        </w:rPr>
        <w:t xml:space="preserve"> o </w:t>
      </w:r>
      <w:r w:rsidRPr="004F01E9">
        <w:rPr>
          <w:noProof/>
        </w:rPr>
        <w:t>tri mesiace.“</w:t>
      </w:r>
    </w:p>
    <w:p w14:paraId="30409023" w14:textId="6B078575" w:rsidR="00806B81" w:rsidRPr="004F01E9" w:rsidRDefault="00B16452" w:rsidP="00B16452">
      <w:pPr>
        <w:pStyle w:val="Point0"/>
        <w:rPr>
          <w:noProof/>
        </w:rPr>
      </w:pPr>
      <w:r w:rsidRPr="00B16452">
        <w:rPr>
          <w:noProof/>
        </w:rPr>
        <w:t>196</w:t>
      </w:r>
      <w:r>
        <w:rPr>
          <w:noProof/>
        </w:rPr>
        <w:t>.</w:t>
      </w:r>
      <w:r w:rsidRPr="00B16452">
        <w:rPr>
          <w:noProof/>
        </w:rPr>
        <w:tab/>
      </w:r>
      <w:r w:rsidR="0045677E" w:rsidRPr="004F01E9">
        <w:rPr>
          <w:noProof/>
        </w:rPr>
        <w:t>Článok 465 sa nahrádza takto:</w:t>
      </w:r>
    </w:p>
    <w:p w14:paraId="5717EA58" w14:textId="5B6441E3" w:rsidR="0045677E" w:rsidRPr="004F01E9" w:rsidRDefault="0045677E" w:rsidP="0045677E">
      <w:pPr>
        <w:pStyle w:val="Titrearticle"/>
        <w:spacing w:before="120"/>
        <w:rPr>
          <w:noProof/>
        </w:rPr>
      </w:pPr>
      <w:r w:rsidRPr="004F01E9">
        <w:rPr>
          <w:noProof/>
        </w:rPr>
        <w:t xml:space="preserve">„Článok 465 </w:t>
      </w:r>
      <w:r w:rsidRPr="004F01E9">
        <w:rPr>
          <w:noProof/>
        </w:rPr>
        <w:br/>
      </w:r>
      <w:r w:rsidRPr="004F01E9">
        <w:rPr>
          <w:b/>
          <w:i w:val="0"/>
          <w:noProof/>
        </w:rPr>
        <w:t>Prechodné opatrenia pre spodnú hranicu pre výstupné hodnoty</w:t>
      </w:r>
    </w:p>
    <w:p w14:paraId="4B861027" w14:textId="09EF12DD" w:rsidR="0045677E" w:rsidRPr="004F01E9" w:rsidRDefault="0045677E" w:rsidP="0045677E">
      <w:pPr>
        <w:pStyle w:val="Text1"/>
        <w:rPr>
          <w:noProof/>
        </w:rPr>
      </w:pPr>
      <w:r w:rsidRPr="004F01E9">
        <w:rPr>
          <w:noProof/>
        </w:rPr>
        <w:t>1. Odchylne od článku 92 ods. 3</w:t>
      </w:r>
      <w:r w:rsidR="004F01E9">
        <w:rPr>
          <w:noProof/>
        </w:rPr>
        <w:t xml:space="preserve"> a </w:t>
      </w:r>
      <w:r w:rsidRPr="004F01E9">
        <w:rPr>
          <w:noProof/>
        </w:rPr>
        <w:t>6 materské inštitúcie, materské finančné holdingové spoločnosti, materské zmiešané finančné holdingové spoločnosti, samostatné inštitúcie</w:t>
      </w:r>
      <w:r w:rsidR="004F01E9">
        <w:rPr>
          <w:noProof/>
        </w:rPr>
        <w:t xml:space="preserve"> v </w:t>
      </w:r>
      <w:r w:rsidRPr="004F01E9">
        <w:rPr>
          <w:noProof/>
        </w:rPr>
        <w:t>EÚ alebo samostatné dcérske inštitúcie</w:t>
      </w:r>
      <w:r w:rsidR="004F01E9">
        <w:rPr>
          <w:noProof/>
        </w:rPr>
        <w:t xml:space="preserve"> v </w:t>
      </w:r>
      <w:r w:rsidRPr="004F01E9">
        <w:rPr>
          <w:noProof/>
        </w:rPr>
        <w:t>členských štátoch môžu pri výpočte TREA uplatniť tento faktor „x“:</w:t>
      </w:r>
    </w:p>
    <w:p w14:paraId="71268E5E" w14:textId="6B9B9131" w:rsidR="0045677E" w:rsidRPr="004F01E9" w:rsidRDefault="0045677E" w:rsidP="0045677E">
      <w:pPr>
        <w:pStyle w:val="Point1"/>
        <w:rPr>
          <w:noProof/>
        </w:rPr>
      </w:pPr>
      <w:r w:rsidRPr="004F01E9">
        <w:rPr>
          <w:noProof/>
        </w:rPr>
        <w:t>a)</w:t>
      </w:r>
      <w:r w:rsidRPr="004F01E9">
        <w:rPr>
          <w:noProof/>
        </w:rPr>
        <w:tab/>
        <w:t>50</w:t>
      </w:r>
      <w:r w:rsidR="004F01E9">
        <w:rPr>
          <w:noProof/>
        </w:rPr>
        <w:t> % v </w:t>
      </w:r>
      <w:r w:rsidRPr="004F01E9">
        <w:rPr>
          <w:noProof/>
        </w:rPr>
        <w:t>období od 1</w:t>
      </w:r>
      <w:r w:rsidR="004F01E9">
        <w:rPr>
          <w:noProof/>
        </w:rPr>
        <w:t>. januára</w:t>
      </w:r>
      <w:r w:rsidRPr="004F01E9">
        <w:rPr>
          <w:noProof/>
        </w:rPr>
        <w:t xml:space="preserve"> 2025 do 31</w:t>
      </w:r>
      <w:r w:rsidR="004F01E9">
        <w:rPr>
          <w:noProof/>
        </w:rPr>
        <w:t>. decembra</w:t>
      </w:r>
      <w:r w:rsidRPr="004F01E9">
        <w:rPr>
          <w:noProof/>
        </w:rPr>
        <w:t xml:space="preserve"> 2025;</w:t>
      </w:r>
    </w:p>
    <w:p w14:paraId="6F30A30F" w14:textId="7B17BB87" w:rsidR="0045677E" w:rsidRPr="004F01E9" w:rsidRDefault="0045677E" w:rsidP="0045677E">
      <w:pPr>
        <w:pStyle w:val="Point1"/>
        <w:rPr>
          <w:noProof/>
        </w:rPr>
      </w:pPr>
      <w:r w:rsidRPr="004F01E9">
        <w:rPr>
          <w:noProof/>
        </w:rPr>
        <w:t>b)</w:t>
      </w:r>
      <w:r w:rsidRPr="004F01E9">
        <w:rPr>
          <w:noProof/>
        </w:rPr>
        <w:tab/>
        <w:t>55</w:t>
      </w:r>
      <w:r w:rsidR="004F01E9">
        <w:rPr>
          <w:noProof/>
        </w:rPr>
        <w:t> % v </w:t>
      </w:r>
      <w:r w:rsidRPr="004F01E9">
        <w:rPr>
          <w:noProof/>
        </w:rPr>
        <w:t>období od 1</w:t>
      </w:r>
      <w:r w:rsidR="004F01E9">
        <w:rPr>
          <w:noProof/>
        </w:rPr>
        <w:t>. januára</w:t>
      </w:r>
      <w:r w:rsidRPr="004F01E9">
        <w:rPr>
          <w:noProof/>
        </w:rPr>
        <w:t xml:space="preserve"> 2026 do 31</w:t>
      </w:r>
      <w:r w:rsidR="004F01E9">
        <w:rPr>
          <w:noProof/>
        </w:rPr>
        <w:t>. decembra</w:t>
      </w:r>
      <w:r w:rsidRPr="004F01E9">
        <w:rPr>
          <w:noProof/>
        </w:rPr>
        <w:t xml:space="preserve"> 2026;</w:t>
      </w:r>
    </w:p>
    <w:p w14:paraId="37EC5A7B" w14:textId="10DE4FC7" w:rsidR="0045677E" w:rsidRPr="004F01E9" w:rsidRDefault="0045677E" w:rsidP="0045677E">
      <w:pPr>
        <w:pStyle w:val="Point1"/>
        <w:rPr>
          <w:noProof/>
        </w:rPr>
      </w:pPr>
      <w:r w:rsidRPr="004F01E9">
        <w:rPr>
          <w:noProof/>
        </w:rPr>
        <w:t>c)</w:t>
      </w:r>
      <w:r w:rsidRPr="004F01E9">
        <w:rPr>
          <w:noProof/>
        </w:rPr>
        <w:tab/>
        <w:t>60</w:t>
      </w:r>
      <w:r w:rsidR="004F01E9">
        <w:rPr>
          <w:noProof/>
        </w:rPr>
        <w:t> % v </w:t>
      </w:r>
      <w:r w:rsidRPr="004F01E9">
        <w:rPr>
          <w:noProof/>
        </w:rPr>
        <w:t>období od 1</w:t>
      </w:r>
      <w:r w:rsidR="004F01E9">
        <w:rPr>
          <w:noProof/>
        </w:rPr>
        <w:t>. januára</w:t>
      </w:r>
      <w:r w:rsidRPr="004F01E9">
        <w:rPr>
          <w:noProof/>
        </w:rPr>
        <w:t xml:space="preserve"> 2027 do 31</w:t>
      </w:r>
      <w:r w:rsidR="004F01E9">
        <w:rPr>
          <w:noProof/>
        </w:rPr>
        <w:t>. decembra</w:t>
      </w:r>
      <w:r w:rsidRPr="004F01E9">
        <w:rPr>
          <w:noProof/>
        </w:rPr>
        <w:t xml:space="preserve"> 2027;</w:t>
      </w:r>
    </w:p>
    <w:p w14:paraId="0157E70C" w14:textId="19EEC718" w:rsidR="0045677E" w:rsidRPr="004F01E9" w:rsidRDefault="0045677E" w:rsidP="0045677E">
      <w:pPr>
        <w:pStyle w:val="Point1"/>
        <w:rPr>
          <w:noProof/>
        </w:rPr>
      </w:pPr>
      <w:r w:rsidRPr="004F01E9">
        <w:rPr>
          <w:noProof/>
        </w:rPr>
        <w:t>d)</w:t>
      </w:r>
      <w:r w:rsidRPr="004F01E9">
        <w:rPr>
          <w:noProof/>
        </w:rPr>
        <w:tab/>
        <w:t>65</w:t>
      </w:r>
      <w:r w:rsidR="004F01E9">
        <w:rPr>
          <w:noProof/>
        </w:rPr>
        <w:t> % v </w:t>
      </w:r>
      <w:r w:rsidRPr="004F01E9">
        <w:rPr>
          <w:noProof/>
        </w:rPr>
        <w:t>období od 1</w:t>
      </w:r>
      <w:r w:rsidR="004F01E9">
        <w:rPr>
          <w:noProof/>
        </w:rPr>
        <w:t>. januára</w:t>
      </w:r>
      <w:r w:rsidRPr="004F01E9">
        <w:rPr>
          <w:noProof/>
        </w:rPr>
        <w:t xml:space="preserve"> 2028 do 31</w:t>
      </w:r>
      <w:r w:rsidR="004F01E9">
        <w:rPr>
          <w:noProof/>
        </w:rPr>
        <w:t>. decembra</w:t>
      </w:r>
      <w:r w:rsidRPr="004F01E9">
        <w:rPr>
          <w:noProof/>
        </w:rPr>
        <w:t xml:space="preserve"> 2028;</w:t>
      </w:r>
    </w:p>
    <w:p w14:paraId="244759FA" w14:textId="7AF1FC38" w:rsidR="0045677E" w:rsidRPr="004F01E9" w:rsidRDefault="0045677E" w:rsidP="0045677E">
      <w:pPr>
        <w:pStyle w:val="Point1"/>
        <w:rPr>
          <w:noProof/>
        </w:rPr>
      </w:pPr>
      <w:r w:rsidRPr="004F01E9">
        <w:rPr>
          <w:noProof/>
        </w:rPr>
        <w:t>e)</w:t>
      </w:r>
      <w:r w:rsidRPr="004F01E9">
        <w:rPr>
          <w:noProof/>
        </w:rPr>
        <w:tab/>
        <w:t>70</w:t>
      </w:r>
      <w:r w:rsidR="004F01E9">
        <w:rPr>
          <w:noProof/>
        </w:rPr>
        <w:t> % v </w:t>
      </w:r>
      <w:r w:rsidRPr="004F01E9">
        <w:rPr>
          <w:noProof/>
        </w:rPr>
        <w:t>období od 1</w:t>
      </w:r>
      <w:r w:rsidR="004F01E9">
        <w:rPr>
          <w:noProof/>
        </w:rPr>
        <w:t>. januára</w:t>
      </w:r>
      <w:r w:rsidRPr="004F01E9">
        <w:rPr>
          <w:noProof/>
        </w:rPr>
        <w:t xml:space="preserve"> 2029 do 31</w:t>
      </w:r>
      <w:r w:rsidR="004F01E9">
        <w:rPr>
          <w:noProof/>
        </w:rPr>
        <w:t>. decembra</w:t>
      </w:r>
      <w:r w:rsidRPr="004F01E9">
        <w:rPr>
          <w:noProof/>
        </w:rPr>
        <w:t xml:space="preserve"> 2029.</w:t>
      </w:r>
    </w:p>
    <w:p w14:paraId="6053A283" w14:textId="6A8902E1" w:rsidR="0045677E" w:rsidRPr="004F01E9" w:rsidRDefault="0045677E" w:rsidP="0045677E">
      <w:pPr>
        <w:pStyle w:val="Text1"/>
        <w:rPr>
          <w:noProof/>
        </w:rPr>
      </w:pPr>
      <w:r w:rsidRPr="004F01E9">
        <w:rPr>
          <w:noProof/>
        </w:rPr>
        <w:t>2. Odchylne od článku 92 ods. 3 písm. a) materské inštitúcie</w:t>
      </w:r>
      <w:r w:rsidR="004F01E9">
        <w:rPr>
          <w:noProof/>
        </w:rPr>
        <w:t xml:space="preserve"> v </w:t>
      </w:r>
      <w:r w:rsidRPr="004F01E9">
        <w:rPr>
          <w:noProof/>
        </w:rPr>
        <w:t>EÚ, materské finančné holdingové spoločnosti</w:t>
      </w:r>
      <w:r w:rsidR="004F01E9">
        <w:rPr>
          <w:noProof/>
        </w:rPr>
        <w:t xml:space="preserve"> v </w:t>
      </w:r>
      <w:r w:rsidRPr="004F01E9">
        <w:rPr>
          <w:noProof/>
        </w:rPr>
        <w:t>EÚ, materské zmiešané finančné holdingové spoločnosti</w:t>
      </w:r>
      <w:r w:rsidR="004F01E9">
        <w:rPr>
          <w:noProof/>
        </w:rPr>
        <w:t xml:space="preserve"> v </w:t>
      </w:r>
      <w:r w:rsidRPr="004F01E9">
        <w:rPr>
          <w:noProof/>
        </w:rPr>
        <w:t>EÚ, samostatné inštitúcie</w:t>
      </w:r>
      <w:r w:rsidR="004F01E9">
        <w:rPr>
          <w:noProof/>
        </w:rPr>
        <w:t xml:space="preserve"> v </w:t>
      </w:r>
      <w:r w:rsidRPr="004F01E9">
        <w:rPr>
          <w:noProof/>
        </w:rPr>
        <w:t>EÚ alebo samostatné dcérske inštitúcie</w:t>
      </w:r>
      <w:r w:rsidR="004F01E9">
        <w:rPr>
          <w:noProof/>
        </w:rPr>
        <w:t xml:space="preserve"> v </w:t>
      </w:r>
      <w:r w:rsidRPr="004F01E9">
        <w:rPr>
          <w:noProof/>
        </w:rPr>
        <w:t>členských štátoch môžu do 31</w:t>
      </w:r>
      <w:r w:rsidR="004F01E9">
        <w:rPr>
          <w:noProof/>
        </w:rPr>
        <w:t>. decembra</w:t>
      </w:r>
      <w:r w:rsidRPr="004F01E9">
        <w:rPr>
          <w:noProof/>
        </w:rPr>
        <w:t xml:space="preserve"> 2029 pri výpočte TREA uplatniť tento vzorec:</w:t>
      </w:r>
    </w:p>
    <w:p w14:paraId="038E6701" w14:textId="12470601" w:rsidR="0045677E" w:rsidRPr="004F01E9" w:rsidRDefault="0045677E" w:rsidP="0045677E">
      <w:pPr>
        <w:pStyle w:val="Text1"/>
        <w:rPr>
          <w:rFonts w:eastAsiaTheme="minorEastAsia"/>
          <w:noProof/>
        </w:rPr>
      </w:pPr>
      <m:oMathPara>
        <m:oMath>
          <m:r>
            <m:rPr>
              <m:nor/>
            </m:rPr>
            <w:rPr>
              <w:noProof/>
            </w:rPr>
            <m:t>TREA</m:t>
          </m:r>
          <m:r>
            <m:rPr>
              <m:sty m:val="p"/>
            </m:rPr>
            <w:rPr>
              <w:rFonts w:ascii="Cambria Math" w:hAnsi="Cambria Math"/>
              <w:noProof/>
            </w:rPr>
            <m:t>=min</m:t>
          </m:r>
          <m:d>
            <m:dPr>
              <m:begChr m:val="{"/>
              <m:endChr m:val="}"/>
              <m:ctrlPr>
                <w:rPr>
                  <w:rFonts w:ascii="Cambria Math" w:hAnsi="Cambria Math"/>
                  <w:noProof/>
                </w:rPr>
              </m:ctrlPr>
            </m:dPr>
            <m:e>
              <m:r>
                <m:rPr>
                  <m:sty m:val="p"/>
                </m:rPr>
                <w:rPr>
                  <w:rFonts w:ascii="Cambria Math" w:hAnsi="Cambria Math"/>
                  <w:noProof/>
                </w:rPr>
                <m:t xml:space="preserve">max </m:t>
              </m:r>
              <m:d>
                <m:dPr>
                  <m:begChr m:val="{"/>
                  <m:endChr m:val="}"/>
                  <m:ctrlPr>
                    <w:rPr>
                      <w:rFonts w:ascii="Cambria Math" w:hAnsi="Cambria Math"/>
                      <w:noProof/>
                    </w:rPr>
                  </m:ctrlPr>
                </m:dPr>
                <m:e>
                  <m:r>
                    <m:rPr>
                      <m:nor/>
                    </m:rPr>
                    <w:rPr>
                      <w:noProof/>
                    </w:rPr>
                    <m:t>U-TREA</m:t>
                  </m:r>
                  <m:r>
                    <m:rPr>
                      <m:sty m:val="p"/>
                    </m:rPr>
                    <w:rPr>
                      <w:rFonts w:ascii="Cambria Math" w:hAnsi="Cambria Math"/>
                      <w:noProof/>
                    </w:rPr>
                    <m:t>;x∙</m:t>
                  </m:r>
                  <m:r>
                    <m:rPr>
                      <m:nor/>
                    </m:rPr>
                    <w:rPr>
                      <w:noProof/>
                    </w:rPr>
                    <m:t>S-TREA</m:t>
                  </m:r>
                </m:e>
              </m:d>
              <m:r>
                <m:rPr>
                  <m:sty m:val="p"/>
                </m:rPr>
                <w:rPr>
                  <w:rFonts w:ascii="Cambria Math" w:hAnsi="Cambria Math"/>
                  <w:noProof/>
                </w:rPr>
                <m:t>;125 %∙</m:t>
              </m:r>
              <m:r>
                <m:rPr>
                  <m:nor/>
                </m:rPr>
                <w:rPr>
                  <w:noProof/>
                </w:rPr>
                <m:t>U-TREA</m:t>
              </m:r>
            </m:e>
          </m:d>
        </m:oMath>
      </m:oMathPara>
    </w:p>
    <w:p w14:paraId="09124046" w14:textId="1727CDFB" w:rsidR="0045677E" w:rsidRPr="004F01E9" w:rsidRDefault="0045677E" w:rsidP="0045677E">
      <w:pPr>
        <w:pStyle w:val="Text1"/>
        <w:rPr>
          <w:noProof/>
        </w:rPr>
      </w:pPr>
      <w:r w:rsidRPr="004F01E9">
        <w:rPr>
          <w:noProof/>
        </w:rPr>
        <w:t>Na účely tohto výpočtu materské inštitúcie</w:t>
      </w:r>
      <w:r w:rsidR="004F01E9">
        <w:rPr>
          <w:noProof/>
        </w:rPr>
        <w:t xml:space="preserve"> v </w:t>
      </w:r>
      <w:r w:rsidRPr="004F01E9">
        <w:rPr>
          <w:noProof/>
        </w:rPr>
        <w:t>EÚ, materské finančné holdingové spoločnosti</w:t>
      </w:r>
      <w:r w:rsidR="004F01E9">
        <w:rPr>
          <w:noProof/>
        </w:rPr>
        <w:t xml:space="preserve"> v </w:t>
      </w:r>
      <w:r w:rsidRPr="004F01E9">
        <w:rPr>
          <w:noProof/>
        </w:rPr>
        <w:t>EÚ alebo materské zmiešané finančné holdingové spoločnosti</w:t>
      </w:r>
      <w:r w:rsidR="004F01E9">
        <w:rPr>
          <w:noProof/>
        </w:rPr>
        <w:t xml:space="preserve"> v </w:t>
      </w:r>
      <w:r w:rsidRPr="004F01E9">
        <w:rPr>
          <w:noProof/>
        </w:rPr>
        <w:t>EÚ zohľadňujú relevantné faktory „x“ uvedené</w:t>
      </w:r>
      <w:r w:rsidR="004F01E9">
        <w:rPr>
          <w:noProof/>
        </w:rPr>
        <w:t xml:space="preserve"> v </w:t>
      </w:r>
      <w:r w:rsidRPr="004F01E9">
        <w:rPr>
          <w:noProof/>
        </w:rPr>
        <w:t>odseku 1.</w:t>
      </w:r>
    </w:p>
    <w:p w14:paraId="1C3865AB" w14:textId="331AE8D1" w:rsidR="0045677E" w:rsidRPr="004F01E9" w:rsidRDefault="0045677E" w:rsidP="0045677E">
      <w:pPr>
        <w:pStyle w:val="Text1"/>
        <w:rPr>
          <w:noProof/>
        </w:rPr>
      </w:pPr>
      <w:r w:rsidRPr="004F01E9">
        <w:rPr>
          <w:noProof/>
        </w:rPr>
        <w:t>3. Odchylne od článku 92 ods. 5 písm. a) bodu i) materské inštitúcie, materské finančné holdingové spoločnosti alebo materské zmiešané finančné holdingové spoločnosti, samostatné inštitúcie</w:t>
      </w:r>
      <w:r w:rsidR="004F01E9">
        <w:rPr>
          <w:noProof/>
        </w:rPr>
        <w:t xml:space="preserve"> v </w:t>
      </w:r>
      <w:r w:rsidRPr="004F01E9">
        <w:rPr>
          <w:noProof/>
        </w:rPr>
        <w:t>EÚ alebo samostatné dcérske inštitúcie</w:t>
      </w:r>
      <w:r w:rsidR="004F01E9">
        <w:rPr>
          <w:noProof/>
        </w:rPr>
        <w:t xml:space="preserve"> v </w:t>
      </w:r>
      <w:r w:rsidRPr="004F01E9">
        <w:rPr>
          <w:noProof/>
        </w:rPr>
        <w:t>členských štátoch môžu do 31</w:t>
      </w:r>
      <w:r w:rsidR="004F01E9">
        <w:rPr>
          <w:noProof/>
        </w:rPr>
        <w:t>. decembra</w:t>
      </w:r>
      <w:r w:rsidRPr="004F01E9">
        <w:rPr>
          <w:noProof/>
        </w:rPr>
        <w:t xml:space="preserve"> 2032 priradiť expozíciám voči podnikateľským subjektom, pre ktoré nie je</w:t>
      </w:r>
      <w:r w:rsidR="004F01E9">
        <w:rPr>
          <w:noProof/>
        </w:rPr>
        <w:t xml:space="preserve"> k </w:t>
      </w:r>
      <w:r w:rsidRPr="004F01E9">
        <w:rPr>
          <w:noProof/>
        </w:rPr>
        <w:t>dispozícii žiadne ratingové hodnotenie nominovanej ECAI, rizikovú váhu 65</w:t>
      </w:r>
      <w:r w:rsidR="004F01E9">
        <w:rPr>
          <w:noProof/>
        </w:rPr>
        <w:t> %</w:t>
      </w:r>
      <w:r w:rsidRPr="004F01E9">
        <w:rPr>
          <w:noProof/>
        </w:rPr>
        <w:t xml:space="preserve"> za predpokladu, že tento subjekt odhaduje, že PD týchto expozícií, vypočítaná</w:t>
      </w:r>
      <w:r w:rsidR="004F01E9">
        <w:rPr>
          <w:noProof/>
        </w:rPr>
        <w:t xml:space="preserve"> v </w:t>
      </w:r>
      <w:r w:rsidRPr="004F01E9">
        <w:rPr>
          <w:noProof/>
        </w:rPr>
        <w:t>súlade</w:t>
      </w:r>
      <w:r w:rsidR="004F01E9">
        <w:rPr>
          <w:noProof/>
        </w:rPr>
        <w:t xml:space="preserve"> s </w:t>
      </w:r>
      <w:r w:rsidRPr="004F01E9">
        <w:rPr>
          <w:noProof/>
        </w:rPr>
        <w:t>treťou časťou hlavou II kapitolou 3, nie je vyššia ako 0,5</w:t>
      </w:r>
      <w:r w:rsidR="004F01E9">
        <w:rPr>
          <w:noProof/>
        </w:rPr>
        <w:t> %</w:t>
      </w:r>
      <w:r w:rsidRPr="004F01E9">
        <w:rPr>
          <w:noProof/>
        </w:rPr>
        <w:t>.</w:t>
      </w:r>
    </w:p>
    <w:p w14:paraId="1BF4E92C" w14:textId="12B0ED12" w:rsidR="004F01E9" w:rsidRDefault="0045677E" w:rsidP="0045677E">
      <w:pPr>
        <w:pStyle w:val="Text1"/>
        <w:rPr>
          <w:noProof/>
        </w:rPr>
      </w:pPr>
      <w:r w:rsidRPr="004F01E9">
        <w:rPr>
          <w:noProof/>
        </w:rPr>
        <w:t>EBA monitoruje používanie prechodného zaobchádzania stanoveného</w:t>
      </w:r>
      <w:r w:rsidR="004F01E9">
        <w:rPr>
          <w:noProof/>
        </w:rPr>
        <w:t xml:space="preserve"> v </w:t>
      </w:r>
      <w:r w:rsidRPr="004F01E9">
        <w:rPr>
          <w:noProof/>
        </w:rPr>
        <w:t>prvom pododseku</w:t>
      </w:r>
      <w:r w:rsidR="004F01E9">
        <w:rPr>
          <w:noProof/>
        </w:rPr>
        <w:t xml:space="preserve"> a </w:t>
      </w:r>
      <w:r w:rsidRPr="004F01E9">
        <w:rPr>
          <w:noProof/>
        </w:rPr>
        <w:t>dostupnosť ratingových hodnotení nominovaných ECAI pre expozície voči podnikateľským subjektom. EBA podá Komisii správu</w:t>
      </w:r>
      <w:r w:rsidR="004F01E9">
        <w:rPr>
          <w:noProof/>
        </w:rPr>
        <w:t xml:space="preserve"> o </w:t>
      </w:r>
      <w:r w:rsidRPr="004F01E9">
        <w:rPr>
          <w:noProof/>
        </w:rPr>
        <w:t>svojich zisteniach do 31</w:t>
      </w:r>
      <w:r w:rsidR="004F01E9">
        <w:rPr>
          <w:noProof/>
        </w:rPr>
        <w:t>. decembra</w:t>
      </w:r>
      <w:r w:rsidRPr="004F01E9">
        <w:rPr>
          <w:noProof/>
        </w:rPr>
        <w:t xml:space="preserve"> 2028</w:t>
      </w:r>
      <w:r w:rsidR="004F01E9">
        <w:rPr>
          <w:noProof/>
        </w:rPr>
        <w:t>.</w:t>
      </w:r>
    </w:p>
    <w:p w14:paraId="09A65048" w14:textId="58FCDEFE" w:rsidR="002F1D43" w:rsidRPr="004F01E9" w:rsidRDefault="002F1D43" w:rsidP="0045677E">
      <w:pPr>
        <w:pStyle w:val="Text1"/>
        <w:rPr>
          <w:noProof/>
        </w:rPr>
      </w:pPr>
      <w:r w:rsidRPr="004F01E9">
        <w:rPr>
          <w:noProof/>
        </w:rPr>
        <w:t>Komisia na základe tejto správy</w:t>
      </w:r>
      <w:r w:rsidR="004F01E9">
        <w:rPr>
          <w:noProof/>
        </w:rPr>
        <w:t xml:space="preserve"> a </w:t>
      </w:r>
      <w:r w:rsidRPr="004F01E9">
        <w:rPr>
          <w:noProof/>
        </w:rPr>
        <w:t>po náležitom zohľadnení súvisiacich medzinárodne dohodnutých noriem vypracovaných BCBS</w:t>
      </w:r>
      <w:r w:rsidR="004F01E9">
        <w:rPr>
          <w:noProof/>
        </w:rPr>
        <w:t xml:space="preserve"> v </w:t>
      </w:r>
      <w:r w:rsidRPr="004F01E9">
        <w:rPr>
          <w:noProof/>
        </w:rPr>
        <w:t>prípade potreby predloží Európskemu parlamentu</w:t>
      </w:r>
      <w:r w:rsidR="004F01E9">
        <w:rPr>
          <w:noProof/>
        </w:rPr>
        <w:t xml:space="preserve"> a </w:t>
      </w:r>
      <w:r w:rsidRPr="004F01E9">
        <w:rPr>
          <w:noProof/>
        </w:rPr>
        <w:t>Rade legislatívny návrh do 31</w:t>
      </w:r>
      <w:r w:rsidR="004F01E9">
        <w:rPr>
          <w:noProof/>
        </w:rPr>
        <w:t>. decembra</w:t>
      </w:r>
      <w:r w:rsidRPr="004F01E9">
        <w:rPr>
          <w:noProof/>
        </w:rPr>
        <w:t xml:space="preserve"> 2031.</w:t>
      </w:r>
    </w:p>
    <w:p w14:paraId="51566F6E" w14:textId="3E267E67" w:rsidR="0045677E" w:rsidRPr="004F01E9" w:rsidRDefault="0045677E" w:rsidP="0045677E">
      <w:pPr>
        <w:pStyle w:val="Text1"/>
        <w:rPr>
          <w:noProof/>
        </w:rPr>
      </w:pPr>
      <w:r w:rsidRPr="004F01E9">
        <w:rPr>
          <w:noProof/>
        </w:rPr>
        <w:t>4. Odchylne od článku 92 ods. 5 písm. a) bodu iv) materské inštitúcie, materské finančné holdingové spoločnosti alebo materské zmiešané finančné holdingové spoločnosti, samostatné inštitúcie</w:t>
      </w:r>
      <w:r w:rsidR="004F01E9">
        <w:rPr>
          <w:noProof/>
        </w:rPr>
        <w:t xml:space="preserve"> v </w:t>
      </w:r>
      <w:r w:rsidRPr="004F01E9">
        <w:rPr>
          <w:noProof/>
        </w:rPr>
        <w:t>EÚ alebo samostatné dcérske inštitúcie</w:t>
      </w:r>
      <w:r w:rsidR="004F01E9">
        <w:rPr>
          <w:noProof/>
        </w:rPr>
        <w:t xml:space="preserve"> v </w:t>
      </w:r>
      <w:r w:rsidRPr="004F01E9">
        <w:rPr>
          <w:noProof/>
        </w:rPr>
        <w:t>členských štátoch do 31</w:t>
      </w:r>
      <w:r w:rsidR="004F01E9">
        <w:rPr>
          <w:noProof/>
        </w:rPr>
        <w:t>. decembra</w:t>
      </w:r>
      <w:r w:rsidRPr="004F01E9">
        <w:rPr>
          <w:noProof/>
        </w:rPr>
        <w:t xml:space="preserve"> 2029 nahradia alfa číslom 1 pri výpočte hodnoty expozície pre zmluvy uvedené</w:t>
      </w:r>
      <w:r w:rsidR="004F01E9">
        <w:rPr>
          <w:noProof/>
        </w:rPr>
        <w:t xml:space="preserve"> v </w:t>
      </w:r>
      <w:r w:rsidRPr="004F01E9">
        <w:rPr>
          <w:noProof/>
        </w:rPr>
        <w:t>prílohe II</w:t>
      </w:r>
      <w:r w:rsidR="004F01E9">
        <w:rPr>
          <w:noProof/>
        </w:rPr>
        <w:t xml:space="preserve"> v </w:t>
      </w:r>
      <w:r w:rsidRPr="004F01E9">
        <w:rPr>
          <w:noProof/>
        </w:rPr>
        <w:t>súlade</w:t>
      </w:r>
      <w:r w:rsidR="004F01E9">
        <w:rPr>
          <w:noProof/>
        </w:rPr>
        <w:t xml:space="preserve"> s </w:t>
      </w:r>
      <w:r w:rsidRPr="004F01E9">
        <w:rPr>
          <w:noProof/>
        </w:rPr>
        <w:t>prístupmi stanovenými</w:t>
      </w:r>
      <w:r w:rsidR="004F01E9">
        <w:rPr>
          <w:noProof/>
        </w:rPr>
        <w:t xml:space="preserve"> v </w:t>
      </w:r>
      <w:r w:rsidRPr="004F01E9">
        <w:rPr>
          <w:noProof/>
        </w:rPr>
        <w:t>tretej časti hlave II kapitole 6 oddieloch 3</w:t>
      </w:r>
      <w:r w:rsidR="004F01E9">
        <w:rPr>
          <w:noProof/>
        </w:rPr>
        <w:t xml:space="preserve"> a </w:t>
      </w:r>
      <w:r w:rsidRPr="004F01E9">
        <w:rPr>
          <w:noProof/>
        </w:rPr>
        <w:t>4, ak sa tie isté hodnoty expozícií vypočítavajú</w:t>
      </w:r>
      <w:r w:rsidR="004F01E9">
        <w:rPr>
          <w:noProof/>
        </w:rPr>
        <w:t xml:space="preserve"> v </w:t>
      </w:r>
      <w:r w:rsidRPr="004F01E9">
        <w:rPr>
          <w:noProof/>
        </w:rPr>
        <w:t>súlade</w:t>
      </w:r>
      <w:r w:rsidR="004F01E9">
        <w:rPr>
          <w:noProof/>
        </w:rPr>
        <w:t xml:space="preserve"> s </w:t>
      </w:r>
      <w:r w:rsidRPr="004F01E9">
        <w:rPr>
          <w:noProof/>
        </w:rPr>
        <w:t>prístupom stanoveným</w:t>
      </w:r>
      <w:r w:rsidR="004F01E9">
        <w:rPr>
          <w:noProof/>
        </w:rPr>
        <w:t xml:space="preserve"> v </w:t>
      </w:r>
      <w:r w:rsidRPr="004F01E9">
        <w:rPr>
          <w:noProof/>
        </w:rPr>
        <w:t>tretej časti hlave II kapitole 3 oddiele 6 na účely hodnoty celkových rizikových expozícií bez spodnej hranice.</w:t>
      </w:r>
    </w:p>
    <w:p w14:paraId="7BFDB1B7" w14:textId="44AC8824" w:rsidR="0045677E" w:rsidRPr="004F01E9" w:rsidRDefault="0045677E" w:rsidP="0045677E">
      <w:pPr>
        <w:pStyle w:val="Text1"/>
        <w:rPr>
          <w:noProof/>
        </w:rPr>
      </w:pPr>
      <w:r w:rsidRPr="004F01E9">
        <w:rPr>
          <w:noProof/>
        </w:rPr>
        <w:t>Komisia môže po zohľadnení správy EBA uvedenej</w:t>
      </w:r>
      <w:r w:rsidR="004F01E9">
        <w:rPr>
          <w:noProof/>
        </w:rPr>
        <w:t xml:space="preserve"> v </w:t>
      </w:r>
      <w:r w:rsidRPr="004F01E9">
        <w:rPr>
          <w:noProof/>
        </w:rPr>
        <w:t>článku 514 prijať delegovaný akt</w:t>
      </w:r>
      <w:r w:rsidR="004F01E9">
        <w:rPr>
          <w:noProof/>
        </w:rPr>
        <w:t xml:space="preserve"> v </w:t>
      </w:r>
      <w:r w:rsidRPr="004F01E9">
        <w:rPr>
          <w:noProof/>
        </w:rPr>
        <w:t>súlade</w:t>
      </w:r>
      <w:r w:rsidR="004F01E9">
        <w:rPr>
          <w:noProof/>
        </w:rPr>
        <w:t xml:space="preserve"> s </w:t>
      </w:r>
      <w:r w:rsidRPr="004F01E9">
        <w:rPr>
          <w:noProof/>
        </w:rPr>
        <w:t>článkom 462</w:t>
      </w:r>
      <w:r w:rsidR="004F01E9">
        <w:rPr>
          <w:noProof/>
        </w:rPr>
        <w:t xml:space="preserve"> s </w:t>
      </w:r>
      <w:r w:rsidRPr="004F01E9">
        <w:rPr>
          <w:noProof/>
        </w:rPr>
        <w:t>cieľom</w:t>
      </w:r>
      <w:r w:rsidR="004F01E9">
        <w:rPr>
          <w:noProof/>
        </w:rPr>
        <w:t xml:space="preserve"> v </w:t>
      </w:r>
      <w:r w:rsidRPr="004F01E9">
        <w:rPr>
          <w:noProof/>
        </w:rPr>
        <w:t>prípade potreby trvale zmeniť hodnotu alfa.</w:t>
      </w:r>
    </w:p>
    <w:p w14:paraId="6B4C057A" w14:textId="6A6110CB" w:rsidR="00564CF9" w:rsidRPr="004F01E9" w:rsidRDefault="0045677E" w:rsidP="00564CF9">
      <w:pPr>
        <w:pStyle w:val="Text1"/>
        <w:rPr>
          <w:noProof/>
          <w:szCs w:val="24"/>
        </w:rPr>
      </w:pPr>
      <w:r w:rsidRPr="004F01E9">
        <w:rPr>
          <w:noProof/>
        </w:rPr>
        <w:t>5. Odchylne od článku 92 ods. 5 písm. a) bodu i) môžu členské štáty povoliť materským inštitúciám, materským finančným holdingovým spoločnostiam alebo materským zmiešaným finančným holdingovým spoločnostiam, samostatným inštitúciám</w:t>
      </w:r>
      <w:r w:rsidR="004F01E9">
        <w:rPr>
          <w:noProof/>
        </w:rPr>
        <w:t xml:space="preserve"> v </w:t>
      </w:r>
      <w:r w:rsidRPr="004F01E9">
        <w:rPr>
          <w:noProof/>
        </w:rPr>
        <w:t>EÚ alebo samostatným dcérskym inštitúciám</w:t>
      </w:r>
      <w:r w:rsidR="004F01E9">
        <w:rPr>
          <w:noProof/>
        </w:rPr>
        <w:t xml:space="preserve"> v </w:t>
      </w:r>
      <w:r w:rsidRPr="004F01E9">
        <w:rPr>
          <w:noProof/>
        </w:rPr>
        <w:t>členských štátoch priradiť nasledujúce rizikové váhy za predpokladu, že sú splnené všetky podmienky uvedené</w:t>
      </w:r>
      <w:r w:rsidR="004F01E9">
        <w:rPr>
          <w:noProof/>
        </w:rPr>
        <w:t xml:space="preserve"> v </w:t>
      </w:r>
      <w:r w:rsidRPr="004F01E9">
        <w:rPr>
          <w:noProof/>
        </w:rPr>
        <w:t>druhom pododseku.</w:t>
      </w:r>
    </w:p>
    <w:p w14:paraId="46EE5AF6" w14:textId="2BF586E4" w:rsidR="004F01E9" w:rsidRDefault="00DD2ECE" w:rsidP="001B604C">
      <w:pPr>
        <w:pStyle w:val="Point1"/>
        <w:rPr>
          <w:noProof/>
        </w:rPr>
      </w:pPr>
      <w:r w:rsidRPr="004F01E9">
        <w:rPr>
          <w:noProof/>
        </w:rPr>
        <w:t>a)</w:t>
      </w:r>
      <w:r w:rsidRPr="004F01E9">
        <w:rPr>
          <w:noProof/>
        </w:rPr>
        <w:tab/>
        <w:t>do 31</w:t>
      </w:r>
      <w:r w:rsidR="004F01E9">
        <w:rPr>
          <w:noProof/>
        </w:rPr>
        <w:t>. decembra</w:t>
      </w:r>
      <w:r w:rsidRPr="004F01E9">
        <w:rPr>
          <w:noProof/>
        </w:rPr>
        <w:t xml:space="preserve"> 2032 rizikovú váhu 10</w:t>
      </w:r>
      <w:r w:rsidR="004F01E9">
        <w:rPr>
          <w:noProof/>
        </w:rPr>
        <w:t> %</w:t>
      </w:r>
      <w:r w:rsidRPr="004F01E9">
        <w:rPr>
          <w:noProof/>
        </w:rPr>
        <w:t xml:space="preserve"> na časť expozícií zabezpečených hypotékami na nehnuteľný majetok určený na bývanie do výšky 55</w:t>
      </w:r>
      <w:r w:rsidR="004F01E9">
        <w:rPr>
          <w:noProof/>
        </w:rPr>
        <w:t> %</w:t>
      </w:r>
      <w:r w:rsidRPr="004F01E9">
        <w:rPr>
          <w:noProof/>
        </w:rPr>
        <w:t xml:space="preserve"> hodnoty majetku zostávajúcej po odpočítaní akýchkoľvek prednostných záložných práv alebo záložných práv</w:t>
      </w:r>
      <w:r w:rsidR="004F01E9">
        <w:rPr>
          <w:noProof/>
        </w:rPr>
        <w:t xml:space="preserve"> s </w:t>
      </w:r>
      <w:r w:rsidRPr="004F01E9">
        <w:rPr>
          <w:noProof/>
        </w:rPr>
        <w:t>rovnocenným postavením, ktoré inštitúcia nedrží</w:t>
      </w:r>
      <w:r w:rsidR="004F01E9">
        <w:rPr>
          <w:noProof/>
        </w:rPr>
        <w:t>;</w:t>
      </w:r>
    </w:p>
    <w:p w14:paraId="633E21CB" w14:textId="039BDB7D" w:rsidR="00564CF9" w:rsidRPr="004F01E9" w:rsidRDefault="00564CF9" w:rsidP="001B604C">
      <w:pPr>
        <w:pStyle w:val="Point1"/>
        <w:rPr>
          <w:noProof/>
        </w:rPr>
      </w:pPr>
      <w:r w:rsidRPr="004F01E9">
        <w:rPr>
          <w:noProof/>
        </w:rPr>
        <w:t>b)</w:t>
      </w:r>
      <w:r w:rsidRPr="004F01E9">
        <w:rPr>
          <w:noProof/>
        </w:rPr>
        <w:tab/>
        <w:t>do 31</w:t>
      </w:r>
      <w:r w:rsidR="004F01E9">
        <w:rPr>
          <w:noProof/>
        </w:rPr>
        <w:t>. decembra</w:t>
      </w:r>
      <w:r w:rsidRPr="004F01E9">
        <w:rPr>
          <w:noProof/>
        </w:rPr>
        <w:t xml:space="preserve"> 2029 rizikovú váhu 45</w:t>
      </w:r>
      <w:r w:rsidR="004F01E9">
        <w:rPr>
          <w:noProof/>
        </w:rPr>
        <w:t> %</w:t>
      </w:r>
      <w:r w:rsidRPr="004F01E9">
        <w:rPr>
          <w:noProof/>
        </w:rPr>
        <w:t xml:space="preserve"> na ktorúkoľvek zostávajúcu časť expozícií zabezpečených hypotékami na nehnuteľný majetok určený na bývanie do výšky 80</w:t>
      </w:r>
      <w:r w:rsidR="004F01E9">
        <w:rPr>
          <w:noProof/>
        </w:rPr>
        <w:t> %</w:t>
      </w:r>
      <w:r w:rsidRPr="004F01E9">
        <w:rPr>
          <w:noProof/>
        </w:rPr>
        <w:t xml:space="preserve"> hodnoty majetku zostávajúcej po odpočítaní prednostných záložných práv alebo záložných práv</w:t>
      </w:r>
      <w:r w:rsidR="004F01E9">
        <w:rPr>
          <w:noProof/>
        </w:rPr>
        <w:t xml:space="preserve"> s </w:t>
      </w:r>
      <w:r w:rsidRPr="004F01E9">
        <w:rPr>
          <w:noProof/>
        </w:rPr>
        <w:t>rovnocenným postavením, ktoré inštitúcia nedrží, za predpokladu, že sa neuplatní úprava požiadaviek na vlastné zdroje na účely kreditného rizika uvedená</w:t>
      </w:r>
      <w:r w:rsidR="004F01E9">
        <w:rPr>
          <w:noProof/>
        </w:rPr>
        <w:t xml:space="preserve"> v </w:t>
      </w:r>
      <w:r w:rsidRPr="004F01E9">
        <w:rPr>
          <w:noProof/>
        </w:rPr>
        <w:t>článku 501.</w:t>
      </w:r>
    </w:p>
    <w:p w14:paraId="4992E002" w14:textId="4F091396" w:rsidR="00564CF9" w:rsidRPr="004F01E9" w:rsidRDefault="00564CF9" w:rsidP="001B604C">
      <w:pPr>
        <w:pStyle w:val="Text1"/>
        <w:rPr>
          <w:noProof/>
          <w:shd w:val="clear" w:color="auto" w:fill="FFFFFF"/>
        </w:rPr>
      </w:pPr>
      <w:r w:rsidRPr="004F01E9">
        <w:rPr>
          <w:noProof/>
          <w:shd w:val="clear" w:color="auto" w:fill="FFFFFF"/>
        </w:rPr>
        <w:t>Na účely</w:t>
      </w:r>
      <w:r w:rsidRPr="004F01E9">
        <w:rPr>
          <w:noProof/>
        </w:rPr>
        <w:t xml:space="preserve"> priradenia </w:t>
      </w:r>
      <w:r w:rsidRPr="004F01E9">
        <w:rPr>
          <w:noProof/>
          <w:shd w:val="clear" w:color="auto" w:fill="FFFFFF"/>
        </w:rPr>
        <w:t>rizikových váh</w:t>
      </w:r>
      <w:r w:rsidR="004F01E9">
        <w:rPr>
          <w:noProof/>
          <w:shd w:val="clear" w:color="auto" w:fill="FFFFFF"/>
        </w:rPr>
        <w:t xml:space="preserve"> v </w:t>
      </w:r>
      <w:r w:rsidRPr="004F01E9">
        <w:rPr>
          <w:noProof/>
          <w:shd w:val="clear" w:color="auto" w:fill="FFFFFF"/>
        </w:rPr>
        <w:t>súlade</w:t>
      </w:r>
      <w:r w:rsidR="004F01E9">
        <w:rPr>
          <w:noProof/>
          <w:shd w:val="clear" w:color="auto" w:fill="FFFFFF"/>
        </w:rPr>
        <w:t xml:space="preserve"> s </w:t>
      </w:r>
      <w:r w:rsidRPr="004F01E9">
        <w:rPr>
          <w:noProof/>
          <w:shd w:val="clear" w:color="auto" w:fill="FFFFFF"/>
        </w:rPr>
        <w:t>prvým pododsekom musia byť splnené všetky tieto podmienky:</w:t>
      </w:r>
    </w:p>
    <w:p w14:paraId="2A4BA7E5" w14:textId="234EC066" w:rsidR="0045677E" w:rsidRPr="004F01E9" w:rsidRDefault="0045677E" w:rsidP="001B604C">
      <w:pPr>
        <w:pStyle w:val="Point1"/>
        <w:rPr>
          <w:noProof/>
        </w:rPr>
      </w:pPr>
      <w:r w:rsidRPr="004F01E9">
        <w:rPr>
          <w:noProof/>
        </w:rPr>
        <w:t>a)</w:t>
      </w:r>
      <w:r w:rsidRPr="004F01E9">
        <w:rPr>
          <w:noProof/>
        </w:rPr>
        <w:tab/>
        <w:t>kvalifikované expozície sa nachádzajú</w:t>
      </w:r>
      <w:r w:rsidR="004F01E9">
        <w:rPr>
          <w:noProof/>
        </w:rPr>
        <w:t xml:space="preserve"> v </w:t>
      </w:r>
      <w:r w:rsidRPr="004F01E9">
        <w:rPr>
          <w:noProof/>
        </w:rPr>
        <w:t>členskom štáte, ktorý využil túto možnosť;</w:t>
      </w:r>
    </w:p>
    <w:p w14:paraId="3374D79B" w14:textId="7023479D" w:rsidR="0045677E" w:rsidRPr="004F01E9" w:rsidRDefault="0045677E" w:rsidP="001B604C">
      <w:pPr>
        <w:pStyle w:val="Point1"/>
        <w:rPr>
          <w:noProof/>
        </w:rPr>
      </w:pPr>
      <w:r w:rsidRPr="004F01E9">
        <w:rPr>
          <w:noProof/>
        </w:rPr>
        <w:t>b)</w:t>
      </w:r>
      <w:r w:rsidRPr="004F01E9">
        <w:rPr>
          <w:noProof/>
        </w:rPr>
        <w:tab/>
        <w:t>za posledných šesť rokov straty inštitúcie</w:t>
      </w:r>
      <w:r w:rsidR="004F01E9">
        <w:rPr>
          <w:noProof/>
        </w:rPr>
        <w:t xml:space="preserve"> z </w:t>
      </w:r>
      <w:r w:rsidRPr="004F01E9">
        <w:rPr>
          <w:noProof/>
        </w:rPr>
        <w:t>časti takýchto expozícií do výšky 55</w:t>
      </w:r>
      <w:r w:rsidR="004F01E9">
        <w:rPr>
          <w:noProof/>
        </w:rPr>
        <w:t> %</w:t>
      </w:r>
      <w:r w:rsidRPr="004F01E9">
        <w:rPr>
          <w:noProof/>
        </w:rPr>
        <w:t xml:space="preserve"> hodnoty majetku nepresahujú 0,25</w:t>
      </w:r>
      <w:r w:rsidR="004F01E9">
        <w:rPr>
          <w:noProof/>
        </w:rPr>
        <w:t> %</w:t>
      </w:r>
      <w:r w:rsidRPr="004F01E9">
        <w:rPr>
          <w:noProof/>
        </w:rPr>
        <w:t xml:space="preserve"> celkovej sumy (v rámci všetkých uvedených expozícií) kreditných záväzkov nesplatených</w:t>
      </w:r>
      <w:r w:rsidR="004F01E9">
        <w:rPr>
          <w:noProof/>
        </w:rPr>
        <w:t xml:space="preserve"> v </w:t>
      </w:r>
      <w:r w:rsidRPr="004F01E9">
        <w:rPr>
          <w:noProof/>
        </w:rPr>
        <w:t>danom roku;</w:t>
      </w:r>
    </w:p>
    <w:p w14:paraId="24801FDD" w14:textId="134E8EC2" w:rsidR="0045677E" w:rsidRPr="004F01E9" w:rsidRDefault="0045677E" w:rsidP="001B604C">
      <w:pPr>
        <w:pStyle w:val="Point1"/>
        <w:rPr>
          <w:noProof/>
        </w:rPr>
      </w:pPr>
      <w:r w:rsidRPr="004F01E9">
        <w:rPr>
          <w:noProof/>
        </w:rPr>
        <w:t>c)</w:t>
      </w:r>
      <w:r w:rsidRPr="004F01E9">
        <w:rPr>
          <w:noProof/>
        </w:rPr>
        <w:tab/>
        <w:t>v prípade kvalifikovaných expozícií má inštitúcia</w:t>
      </w:r>
      <w:r w:rsidR="004F01E9">
        <w:rPr>
          <w:noProof/>
        </w:rPr>
        <w:t xml:space="preserve"> v </w:t>
      </w:r>
      <w:r w:rsidRPr="004F01E9">
        <w:rPr>
          <w:noProof/>
        </w:rPr>
        <w:t>prípade zlyhania alebo nezaplatenia dlžníka oba tieto nároky:</w:t>
      </w:r>
    </w:p>
    <w:p w14:paraId="625330DB" w14:textId="77777777" w:rsidR="0045677E" w:rsidRPr="004F01E9" w:rsidRDefault="0045677E" w:rsidP="001B604C">
      <w:pPr>
        <w:pStyle w:val="Point2"/>
        <w:rPr>
          <w:noProof/>
        </w:rPr>
      </w:pPr>
      <w:r w:rsidRPr="004F01E9">
        <w:rPr>
          <w:noProof/>
        </w:rPr>
        <w:t>i)</w:t>
      </w:r>
      <w:r w:rsidRPr="004F01E9">
        <w:rPr>
          <w:noProof/>
        </w:rPr>
        <w:tab/>
        <w:t>nárok na nehnuteľný majetok určený na bývanie, ktorým sa zabezpečuje expozícia;</w:t>
      </w:r>
    </w:p>
    <w:p w14:paraId="2C863E04" w14:textId="3F0F9F06" w:rsidR="0045677E" w:rsidRPr="004F01E9" w:rsidRDefault="0045677E" w:rsidP="001B604C">
      <w:pPr>
        <w:pStyle w:val="Point2"/>
        <w:rPr>
          <w:noProof/>
        </w:rPr>
      </w:pPr>
      <w:r w:rsidRPr="004F01E9">
        <w:rPr>
          <w:noProof/>
        </w:rPr>
        <w:t>ii)</w:t>
      </w:r>
      <w:r w:rsidRPr="004F01E9">
        <w:rPr>
          <w:noProof/>
        </w:rPr>
        <w:tab/>
        <w:t>nárok na ostatné aktíva</w:t>
      </w:r>
      <w:r w:rsidR="004F01E9">
        <w:rPr>
          <w:noProof/>
        </w:rPr>
        <w:t xml:space="preserve"> a </w:t>
      </w:r>
      <w:r w:rsidRPr="004F01E9">
        <w:rPr>
          <w:noProof/>
        </w:rPr>
        <w:t>príjmy dlžníka;</w:t>
      </w:r>
    </w:p>
    <w:p w14:paraId="3505EDFB" w14:textId="23D783A6" w:rsidR="0045677E" w:rsidRPr="004F01E9" w:rsidRDefault="0045677E" w:rsidP="001B604C">
      <w:pPr>
        <w:pStyle w:val="Point1"/>
        <w:rPr>
          <w:noProof/>
        </w:rPr>
      </w:pPr>
      <w:r w:rsidRPr="004F01E9">
        <w:rPr>
          <w:noProof/>
        </w:rPr>
        <w:t>d)</w:t>
      </w:r>
      <w:r w:rsidRPr="004F01E9">
        <w:rPr>
          <w:noProof/>
        </w:rPr>
        <w:tab/>
        <w:t>príslušný orgán overil, že podmienky uvedené</w:t>
      </w:r>
      <w:r w:rsidR="004F01E9">
        <w:rPr>
          <w:noProof/>
        </w:rPr>
        <w:t xml:space="preserve"> v </w:t>
      </w:r>
      <w:r w:rsidRPr="004F01E9">
        <w:rPr>
          <w:noProof/>
        </w:rPr>
        <w:t>písmenách a), b)</w:t>
      </w:r>
      <w:r w:rsidR="004F01E9">
        <w:rPr>
          <w:noProof/>
        </w:rPr>
        <w:t xml:space="preserve"> a </w:t>
      </w:r>
      <w:r w:rsidRPr="004F01E9">
        <w:rPr>
          <w:noProof/>
        </w:rPr>
        <w:t>c) sú splnené.</w:t>
      </w:r>
    </w:p>
    <w:p w14:paraId="6CC4284C" w14:textId="51C47028" w:rsidR="00DE235F" w:rsidRPr="004F01E9" w:rsidRDefault="00DE235F" w:rsidP="001B604C">
      <w:pPr>
        <w:pStyle w:val="Text1"/>
        <w:rPr>
          <w:noProof/>
        </w:rPr>
      </w:pPr>
      <w:r w:rsidRPr="004F01E9">
        <w:rPr>
          <w:noProof/>
        </w:rPr>
        <w:t>Ak sa uplatnila možnosť uvedená</w:t>
      </w:r>
      <w:r w:rsidR="004F01E9">
        <w:rPr>
          <w:noProof/>
        </w:rPr>
        <w:t xml:space="preserve"> v </w:t>
      </w:r>
      <w:r w:rsidRPr="004F01E9">
        <w:rPr>
          <w:noProof/>
        </w:rPr>
        <w:t>prvom pododseku</w:t>
      </w:r>
      <w:r w:rsidR="004F01E9">
        <w:rPr>
          <w:noProof/>
        </w:rPr>
        <w:t xml:space="preserve"> a </w:t>
      </w:r>
      <w:r w:rsidRPr="004F01E9">
        <w:rPr>
          <w:noProof/>
        </w:rPr>
        <w:t>sú splnené všetky súvisiace podmienky uvedené</w:t>
      </w:r>
      <w:r w:rsidR="004F01E9">
        <w:rPr>
          <w:noProof/>
        </w:rPr>
        <w:t xml:space="preserve"> v </w:t>
      </w:r>
      <w:r w:rsidRPr="004F01E9">
        <w:rPr>
          <w:noProof/>
        </w:rPr>
        <w:t>druhom pododseku, inštitúcie môžu zostávajúcej časti expozícií uvedených</w:t>
      </w:r>
      <w:r w:rsidR="004F01E9">
        <w:rPr>
          <w:noProof/>
        </w:rPr>
        <w:t xml:space="preserve"> v </w:t>
      </w:r>
      <w:r w:rsidRPr="004F01E9">
        <w:rPr>
          <w:noProof/>
        </w:rPr>
        <w:t>druhom pododseku písm. b) priradiť do 31</w:t>
      </w:r>
      <w:r w:rsidR="004F01E9">
        <w:rPr>
          <w:noProof/>
        </w:rPr>
        <w:t>. decembra</w:t>
      </w:r>
      <w:r w:rsidRPr="004F01E9">
        <w:rPr>
          <w:noProof/>
        </w:rPr>
        <w:t xml:space="preserve"> 2032 tieto rizikové váhy:</w:t>
      </w:r>
    </w:p>
    <w:p w14:paraId="3C4AE884" w14:textId="73604175" w:rsidR="00DE235F" w:rsidRPr="004F01E9" w:rsidRDefault="00DE235F" w:rsidP="001B604C">
      <w:pPr>
        <w:pStyle w:val="Point1"/>
        <w:rPr>
          <w:noProof/>
        </w:rPr>
      </w:pPr>
      <w:r w:rsidRPr="004F01E9">
        <w:rPr>
          <w:noProof/>
        </w:rPr>
        <w:t>a)</w:t>
      </w:r>
      <w:r w:rsidRPr="004F01E9">
        <w:rPr>
          <w:noProof/>
        </w:rPr>
        <w:tab/>
        <w:t>52,5</w:t>
      </w:r>
      <w:r w:rsidR="004F01E9">
        <w:rPr>
          <w:noProof/>
        </w:rPr>
        <w:t> % v </w:t>
      </w:r>
      <w:r w:rsidRPr="004F01E9">
        <w:rPr>
          <w:noProof/>
        </w:rPr>
        <w:t>období od 1</w:t>
      </w:r>
      <w:r w:rsidR="004F01E9">
        <w:rPr>
          <w:noProof/>
        </w:rPr>
        <w:t>. januára</w:t>
      </w:r>
      <w:r w:rsidRPr="004F01E9">
        <w:rPr>
          <w:noProof/>
        </w:rPr>
        <w:t xml:space="preserve"> 2030 do 31</w:t>
      </w:r>
      <w:r w:rsidR="004F01E9">
        <w:rPr>
          <w:noProof/>
        </w:rPr>
        <w:t>. decembra</w:t>
      </w:r>
      <w:r w:rsidRPr="004F01E9">
        <w:rPr>
          <w:noProof/>
        </w:rPr>
        <w:t xml:space="preserve"> 2030;</w:t>
      </w:r>
    </w:p>
    <w:p w14:paraId="20C6E200" w14:textId="1FE32667" w:rsidR="00DE235F" w:rsidRPr="004F01E9" w:rsidRDefault="00DE235F" w:rsidP="001B604C">
      <w:pPr>
        <w:pStyle w:val="Point1"/>
        <w:rPr>
          <w:noProof/>
        </w:rPr>
      </w:pPr>
      <w:r w:rsidRPr="004F01E9">
        <w:rPr>
          <w:noProof/>
        </w:rPr>
        <w:t>b)</w:t>
      </w:r>
      <w:r w:rsidRPr="004F01E9">
        <w:rPr>
          <w:noProof/>
        </w:rPr>
        <w:tab/>
        <w:t>60</w:t>
      </w:r>
      <w:r w:rsidR="004F01E9">
        <w:rPr>
          <w:noProof/>
        </w:rPr>
        <w:t> % v </w:t>
      </w:r>
      <w:r w:rsidRPr="004F01E9">
        <w:rPr>
          <w:noProof/>
        </w:rPr>
        <w:t>období od 1</w:t>
      </w:r>
      <w:r w:rsidR="004F01E9">
        <w:rPr>
          <w:noProof/>
        </w:rPr>
        <w:t>. januára</w:t>
      </w:r>
      <w:r w:rsidRPr="004F01E9">
        <w:rPr>
          <w:noProof/>
        </w:rPr>
        <w:t xml:space="preserve"> 2031 do 31</w:t>
      </w:r>
      <w:r w:rsidR="004F01E9">
        <w:rPr>
          <w:noProof/>
        </w:rPr>
        <w:t>. decembra</w:t>
      </w:r>
      <w:r w:rsidRPr="004F01E9">
        <w:rPr>
          <w:noProof/>
        </w:rPr>
        <w:t xml:space="preserve"> 2031;</w:t>
      </w:r>
    </w:p>
    <w:p w14:paraId="75034DE7" w14:textId="38786BC0" w:rsidR="00DE235F" w:rsidRPr="004F01E9" w:rsidRDefault="00DE235F" w:rsidP="001B604C">
      <w:pPr>
        <w:pStyle w:val="Point1"/>
        <w:rPr>
          <w:noProof/>
        </w:rPr>
      </w:pPr>
      <w:r w:rsidRPr="004F01E9">
        <w:rPr>
          <w:noProof/>
        </w:rPr>
        <w:t>c)</w:t>
      </w:r>
      <w:r w:rsidRPr="004F01E9">
        <w:rPr>
          <w:noProof/>
        </w:rPr>
        <w:tab/>
        <w:t>67,5</w:t>
      </w:r>
      <w:r w:rsidR="004F01E9">
        <w:rPr>
          <w:noProof/>
        </w:rPr>
        <w:t> % v </w:t>
      </w:r>
      <w:r w:rsidRPr="004F01E9">
        <w:rPr>
          <w:noProof/>
        </w:rPr>
        <w:t>období od 1</w:t>
      </w:r>
      <w:r w:rsidR="004F01E9">
        <w:rPr>
          <w:noProof/>
        </w:rPr>
        <w:t>. januára</w:t>
      </w:r>
      <w:r w:rsidRPr="004F01E9">
        <w:rPr>
          <w:noProof/>
        </w:rPr>
        <w:t xml:space="preserve"> 2032 do 31</w:t>
      </w:r>
      <w:r w:rsidR="004F01E9">
        <w:rPr>
          <w:noProof/>
        </w:rPr>
        <w:t>. decembra</w:t>
      </w:r>
      <w:r w:rsidRPr="004F01E9">
        <w:rPr>
          <w:noProof/>
        </w:rPr>
        <w:t xml:space="preserve"> 2032.</w:t>
      </w:r>
    </w:p>
    <w:p w14:paraId="09FF3BF6" w14:textId="5B540A48" w:rsidR="00806B81" w:rsidRPr="004F01E9" w:rsidRDefault="0045677E" w:rsidP="001B604C">
      <w:pPr>
        <w:pStyle w:val="Text1"/>
        <w:rPr>
          <w:rFonts w:asciiTheme="minorHAnsi" w:hAnsiTheme="minorHAnsi" w:cstheme="minorBidi"/>
          <w:noProof/>
          <w:sz w:val="22"/>
        </w:rPr>
      </w:pPr>
      <w:r w:rsidRPr="004F01E9">
        <w:rPr>
          <w:noProof/>
        </w:rPr>
        <w:t>Keď členské štáty uplatnia uvedenú možnosť, oznámia to EBA</w:t>
      </w:r>
      <w:r w:rsidR="004F01E9">
        <w:rPr>
          <w:noProof/>
        </w:rPr>
        <w:t xml:space="preserve"> a </w:t>
      </w:r>
      <w:r w:rsidRPr="004F01E9">
        <w:rPr>
          <w:noProof/>
        </w:rPr>
        <w:t>zdôvodnia svoje rozhodnutie.</w:t>
      </w:r>
      <w:r w:rsidRPr="004F01E9">
        <w:rPr>
          <w:rFonts w:asciiTheme="minorHAnsi" w:hAnsiTheme="minorHAnsi"/>
          <w:noProof/>
          <w:sz w:val="22"/>
        </w:rPr>
        <w:t xml:space="preserve"> </w:t>
      </w:r>
      <w:r w:rsidRPr="004F01E9">
        <w:rPr>
          <w:noProof/>
        </w:rPr>
        <w:t>Príslušné orgány oznámia EBA podrobnosti</w:t>
      </w:r>
      <w:r w:rsidR="004F01E9">
        <w:rPr>
          <w:noProof/>
        </w:rPr>
        <w:t xml:space="preserve"> o </w:t>
      </w:r>
      <w:r w:rsidRPr="004F01E9">
        <w:rPr>
          <w:noProof/>
        </w:rPr>
        <w:t>všetkých overovaniach uvedených</w:t>
      </w:r>
      <w:r w:rsidR="004F01E9">
        <w:rPr>
          <w:noProof/>
        </w:rPr>
        <w:t xml:space="preserve"> v </w:t>
      </w:r>
      <w:r w:rsidRPr="004F01E9">
        <w:rPr>
          <w:noProof/>
        </w:rPr>
        <w:t>prvom pododseku písm. c).</w:t>
      </w:r>
    </w:p>
    <w:p w14:paraId="4AFE3245" w14:textId="0EBD568F" w:rsidR="0045677E" w:rsidRPr="004F01E9" w:rsidRDefault="0045677E" w:rsidP="001B604C">
      <w:pPr>
        <w:pStyle w:val="Text1"/>
        <w:rPr>
          <w:noProof/>
        </w:rPr>
      </w:pPr>
      <w:r w:rsidRPr="004F01E9">
        <w:rPr>
          <w:noProof/>
        </w:rPr>
        <w:t>EBA monitoruje používanie prechodného zaobchádzania</w:t>
      </w:r>
      <w:r w:rsidR="004F01E9">
        <w:rPr>
          <w:noProof/>
        </w:rPr>
        <w:t xml:space="preserve"> v </w:t>
      </w:r>
      <w:r w:rsidRPr="004F01E9">
        <w:rPr>
          <w:noProof/>
        </w:rPr>
        <w:t>prvom pododseku</w:t>
      </w:r>
      <w:r w:rsidR="004F01E9">
        <w:rPr>
          <w:noProof/>
        </w:rPr>
        <w:t xml:space="preserve"> a </w:t>
      </w:r>
      <w:r w:rsidRPr="004F01E9">
        <w:rPr>
          <w:noProof/>
        </w:rPr>
        <w:t>do 31</w:t>
      </w:r>
      <w:r w:rsidR="004F01E9">
        <w:rPr>
          <w:noProof/>
        </w:rPr>
        <w:t>. decembra</w:t>
      </w:r>
      <w:r w:rsidRPr="004F01E9">
        <w:rPr>
          <w:noProof/>
        </w:rPr>
        <w:t xml:space="preserve"> 2028 podá Komisii správu</w:t>
      </w:r>
      <w:r w:rsidR="004F01E9">
        <w:rPr>
          <w:noProof/>
        </w:rPr>
        <w:t xml:space="preserve"> o </w:t>
      </w:r>
      <w:r w:rsidRPr="004F01E9">
        <w:rPr>
          <w:noProof/>
        </w:rPr>
        <w:t>vhodnosti súvisiacich rizikových váh.</w:t>
      </w:r>
    </w:p>
    <w:p w14:paraId="14DB6373" w14:textId="0DCEBBEB" w:rsidR="0045677E" w:rsidRPr="004F01E9" w:rsidRDefault="0045677E" w:rsidP="00615061">
      <w:pPr>
        <w:pStyle w:val="Text1"/>
        <w:rPr>
          <w:noProof/>
          <w:szCs w:val="24"/>
        </w:rPr>
      </w:pPr>
      <w:r w:rsidRPr="004F01E9">
        <w:rPr>
          <w:noProof/>
        </w:rPr>
        <w:t>Komisia na základe tejto správy</w:t>
      </w:r>
      <w:r w:rsidR="004F01E9">
        <w:rPr>
          <w:noProof/>
        </w:rPr>
        <w:t xml:space="preserve"> a </w:t>
      </w:r>
      <w:r w:rsidRPr="004F01E9">
        <w:rPr>
          <w:noProof/>
        </w:rPr>
        <w:t>po náležitom zohľadnení súvisiacich medzinárodne dohodnutých noriem vypracovaných BCBS</w:t>
      </w:r>
      <w:r w:rsidR="004F01E9">
        <w:rPr>
          <w:noProof/>
        </w:rPr>
        <w:t xml:space="preserve"> v </w:t>
      </w:r>
      <w:r w:rsidRPr="004F01E9">
        <w:rPr>
          <w:noProof/>
        </w:rPr>
        <w:t>prípade potreby predloží Európskemu parlamentu</w:t>
      </w:r>
      <w:r w:rsidR="004F01E9">
        <w:rPr>
          <w:noProof/>
        </w:rPr>
        <w:t xml:space="preserve"> a </w:t>
      </w:r>
      <w:r w:rsidRPr="004F01E9">
        <w:rPr>
          <w:noProof/>
        </w:rPr>
        <w:t>Rade do 31</w:t>
      </w:r>
      <w:r w:rsidR="004F01E9">
        <w:rPr>
          <w:noProof/>
        </w:rPr>
        <w:t>. decembra</w:t>
      </w:r>
      <w:r w:rsidRPr="004F01E9">
        <w:rPr>
          <w:noProof/>
        </w:rPr>
        <w:t xml:space="preserve"> 2031 legislatívny návrh.“</w:t>
      </w:r>
    </w:p>
    <w:p w14:paraId="3F82F936" w14:textId="711B127D" w:rsidR="0045677E" w:rsidRPr="004F01E9" w:rsidRDefault="00B16452" w:rsidP="00B16452">
      <w:pPr>
        <w:pStyle w:val="Point0"/>
        <w:rPr>
          <w:noProof/>
        </w:rPr>
      </w:pPr>
      <w:r w:rsidRPr="00B16452">
        <w:rPr>
          <w:noProof/>
        </w:rPr>
        <w:t>197</w:t>
      </w:r>
      <w:r>
        <w:rPr>
          <w:noProof/>
        </w:rPr>
        <w:t>.</w:t>
      </w:r>
      <w:r w:rsidRPr="00B16452">
        <w:rPr>
          <w:noProof/>
        </w:rPr>
        <w:tab/>
      </w:r>
      <w:r w:rsidR="0045677E" w:rsidRPr="004F01E9">
        <w:rPr>
          <w:noProof/>
        </w:rPr>
        <w:t>Vkladá sa tento článok 494d:</w:t>
      </w:r>
    </w:p>
    <w:p w14:paraId="73A1AC46" w14:textId="77777777" w:rsidR="00806B81" w:rsidRPr="004F01E9" w:rsidRDefault="0045677E" w:rsidP="0045677E">
      <w:pPr>
        <w:pStyle w:val="Titrearticle"/>
        <w:spacing w:before="120"/>
        <w:rPr>
          <w:noProof/>
        </w:rPr>
      </w:pPr>
      <w:r w:rsidRPr="004F01E9">
        <w:rPr>
          <w:noProof/>
        </w:rPr>
        <w:t xml:space="preserve">„Článok 494d </w:t>
      </w:r>
      <w:r w:rsidRPr="004F01E9">
        <w:rPr>
          <w:noProof/>
        </w:rPr>
        <w:br/>
      </w:r>
      <w:r w:rsidRPr="004F01E9">
        <w:rPr>
          <w:b/>
          <w:i w:val="0"/>
          <w:noProof/>
        </w:rPr>
        <w:t>Zmena prístupu IRB na štandardizovaný prístup</w:t>
      </w:r>
    </w:p>
    <w:p w14:paraId="62AEF93F" w14:textId="1510073D" w:rsidR="0045677E" w:rsidRPr="009550B0" w:rsidRDefault="0045677E" w:rsidP="0045677E">
      <w:pPr>
        <w:pStyle w:val="Text1"/>
        <w:rPr>
          <w:noProof/>
          <w:spacing w:val="-4"/>
        </w:rPr>
      </w:pPr>
      <w:r w:rsidRPr="009550B0">
        <w:rPr>
          <w:noProof/>
          <w:spacing w:val="-4"/>
        </w:rPr>
        <w:t>Odchylne od článku 149 ods. 1, 2</w:t>
      </w:r>
      <w:r w:rsidR="004F01E9" w:rsidRPr="009550B0">
        <w:rPr>
          <w:noProof/>
          <w:spacing w:val="-4"/>
        </w:rPr>
        <w:t xml:space="preserve"> a </w:t>
      </w:r>
      <w:r w:rsidRPr="009550B0">
        <w:rPr>
          <w:noProof/>
          <w:spacing w:val="-4"/>
        </w:rPr>
        <w:t>3 sa inštitúcia môže od 1</w:t>
      </w:r>
      <w:r w:rsidR="004F01E9" w:rsidRPr="009550B0">
        <w:rPr>
          <w:noProof/>
          <w:spacing w:val="-4"/>
        </w:rPr>
        <w:t>. januára</w:t>
      </w:r>
      <w:r w:rsidRPr="009550B0">
        <w:rPr>
          <w:noProof/>
          <w:spacing w:val="-4"/>
        </w:rPr>
        <w:t xml:space="preserve"> 2025 do 31</w:t>
      </w:r>
      <w:r w:rsidR="004F01E9" w:rsidRPr="009550B0">
        <w:rPr>
          <w:noProof/>
          <w:spacing w:val="-4"/>
        </w:rPr>
        <w:t>. decembra</w:t>
      </w:r>
      <w:r w:rsidRPr="009550B0">
        <w:rPr>
          <w:noProof/>
          <w:spacing w:val="-4"/>
        </w:rPr>
        <w:t xml:space="preserve"> 2027 vrátiť</w:t>
      </w:r>
      <w:r w:rsidR="004F01E9" w:rsidRPr="009550B0">
        <w:rPr>
          <w:noProof/>
          <w:spacing w:val="-4"/>
        </w:rPr>
        <w:t xml:space="preserve"> k </w:t>
      </w:r>
      <w:r w:rsidRPr="009550B0">
        <w:rPr>
          <w:noProof/>
          <w:spacing w:val="-4"/>
        </w:rPr>
        <w:t>štandardizovanému prístupu</w:t>
      </w:r>
      <w:r w:rsidR="004F01E9" w:rsidRPr="009550B0">
        <w:rPr>
          <w:noProof/>
          <w:spacing w:val="-4"/>
        </w:rPr>
        <w:t xml:space="preserve"> v </w:t>
      </w:r>
      <w:r w:rsidRPr="009550B0">
        <w:rPr>
          <w:noProof/>
          <w:spacing w:val="-4"/>
        </w:rPr>
        <w:t>prípade jednej alebo viacerých tried expozícií stanovených</w:t>
      </w:r>
      <w:r w:rsidR="004F01E9" w:rsidRPr="009550B0">
        <w:rPr>
          <w:noProof/>
          <w:spacing w:val="-4"/>
        </w:rPr>
        <w:t xml:space="preserve"> v </w:t>
      </w:r>
      <w:r w:rsidRPr="009550B0">
        <w:rPr>
          <w:noProof/>
          <w:spacing w:val="-4"/>
        </w:rPr>
        <w:t>článku 147 ods. 2, ak sú splnené všetky tieto podmienky:</w:t>
      </w:r>
    </w:p>
    <w:p w14:paraId="6D9CC62B" w14:textId="644B2925" w:rsidR="0045677E" w:rsidRPr="009550B0" w:rsidRDefault="0045677E" w:rsidP="0045677E">
      <w:pPr>
        <w:pStyle w:val="Point1"/>
        <w:rPr>
          <w:noProof/>
          <w:spacing w:val="-4"/>
        </w:rPr>
      </w:pPr>
      <w:r w:rsidRPr="009550B0">
        <w:rPr>
          <w:noProof/>
          <w:spacing w:val="-4"/>
        </w:rPr>
        <w:t>a)</w:t>
      </w:r>
      <w:r w:rsidRPr="009550B0">
        <w:rPr>
          <w:noProof/>
          <w:spacing w:val="-4"/>
        </w:rPr>
        <w:tab/>
        <w:t>inštitúcia už [OP vložte dátum = jeden deň pred dátumom nadobudnutia účinnosti tohto pozmeňujúceho nariadenia] existovala</w:t>
      </w:r>
      <w:r w:rsidR="004F01E9" w:rsidRPr="009550B0">
        <w:rPr>
          <w:noProof/>
          <w:spacing w:val="-4"/>
        </w:rPr>
        <w:t xml:space="preserve"> a </w:t>
      </w:r>
      <w:r w:rsidRPr="009550B0">
        <w:rPr>
          <w:noProof/>
          <w:spacing w:val="-4"/>
        </w:rPr>
        <w:t>jej príslušný orgán jej udelil povolenie na zaobchádzanie</w:t>
      </w:r>
      <w:r w:rsidR="004F01E9" w:rsidRPr="009550B0">
        <w:rPr>
          <w:noProof/>
          <w:spacing w:val="-4"/>
        </w:rPr>
        <w:t xml:space="preserve"> s </w:t>
      </w:r>
      <w:r w:rsidRPr="009550B0">
        <w:rPr>
          <w:noProof/>
          <w:spacing w:val="-4"/>
        </w:rPr>
        <w:t>týmito triedami expozícií podľa prístupu IRB;</w:t>
      </w:r>
    </w:p>
    <w:p w14:paraId="326B491F" w14:textId="321C8CD6" w:rsidR="0045677E" w:rsidRPr="004F01E9" w:rsidRDefault="0045677E" w:rsidP="0045677E">
      <w:pPr>
        <w:pStyle w:val="Point1"/>
        <w:rPr>
          <w:noProof/>
        </w:rPr>
      </w:pPr>
      <w:r w:rsidRPr="004F01E9">
        <w:rPr>
          <w:noProof/>
        </w:rPr>
        <w:t>b)</w:t>
      </w:r>
      <w:r w:rsidRPr="004F01E9">
        <w:rPr>
          <w:noProof/>
        </w:rPr>
        <w:tab/>
        <w:t>inštitúcia žiada</w:t>
      </w:r>
      <w:r w:rsidR="004F01E9">
        <w:rPr>
          <w:noProof/>
        </w:rPr>
        <w:t xml:space="preserve"> o </w:t>
      </w:r>
      <w:r w:rsidRPr="004F01E9">
        <w:rPr>
          <w:noProof/>
        </w:rPr>
        <w:t>zmenu štandardizovaného prístupu len raz počas uvedeného trojročného obdobia;</w:t>
      </w:r>
    </w:p>
    <w:p w14:paraId="58E0FA82" w14:textId="0562F940" w:rsidR="0045677E" w:rsidRPr="004F01E9" w:rsidRDefault="0045677E" w:rsidP="0045677E">
      <w:pPr>
        <w:pStyle w:val="Point1"/>
        <w:rPr>
          <w:noProof/>
        </w:rPr>
      </w:pPr>
      <w:r w:rsidRPr="004F01E9">
        <w:rPr>
          <w:noProof/>
        </w:rPr>
        <w:t>c)</w:t>
      </w:r>
      <w:r w:rsidRPr="004F01E9">
        <w:rPr>
          <w:noProof/>
        </w:rPr>
        <w:tab/>
        <w:t>žiadosť</w:t>
      </w:r>
      <w:r w:rsidR="004F01E9">
        <w:rPr>
          <w:noProof/>
        </w:rPr>
        <w:t xml:space="preserve"> o </w:t>
      </w:r>
      <w:r w:rsidRPr="004F01E9">
        <w:rPr>
          <w:noProof/>
        </w:rPr>
        <w:t>návrat</w:t>
      </w:r>
      <w:r w:rsidR="004F01E9">
        <w:rPr>
          <w:noProof/>
        </w:rPr>
        <w:t xml:space="preserve"> k </w:t>
      </w:r>
      <w:r w:rsidRPr="004F01E9">
        <w:rPr>
          <w:noProof/>
        </w:rPr>
        <w:t>štandardizovanému prístupu nebola predložená</w:t>
      </w:r>
      <w:r w:rsidR="004F01E9">
        <w:rPr>
          <w:noProof/>
        </w:rPr>
        <w:t xml:space="preserve"> s </w:t>
      </w:r>
      <w:r w:rsidRPr="004F01E9">
        <w:rPr>
          <w:noProof/>
        </w:rPr>
        <w:t>cieľom zapojiť sa do regulatórnej arbitráže;</w:t>
      </w:r>
    </w:p>
    <w:p w14:paraId="49F73BAC" w14:textId="45D3E013" w:rsidR="0045677E" w:rsidRPr="004F01E9" w:rsidRDefault="0045677E" w:rsidP="0045677E">
      <w:pPr>
        <w:pStyle w:val="Point1"/>
        <w:rPr>
          <w:noProof/>
        </w:rPr>
      </w:pPr>
      <w:r w:rsidRPr="004F01E9">
        <w:rPr>
          <w:noProof/>
        </w:rPr>
        <w:t>d)</w:t>
      </w:r>
      <w:r w:rsidRPr="004F01E9">
        <w:rPr>
          <w:noProof/>
        </w:rPr>
        <w:tab/>
        <w:t>inštitúcia formálne oznámila príslušnému orgánu, že si želá vrátiť sa</w:t>
      </w:r>
      <w:r w:rsidR="004F01E9">
        <w:rPr>
          <w:noProof/>
        </w:rPr>
        <w:t xml:space="preserve"> k </w:t>
      </w:r>
      <w:r w:rsidRPr="004F01E9">
        <w:rPr>
          <w:noProof/>
        </w:rPr>
        <w:t>štandardizovanému prístupu pre tieto triedy expozícií aspoň šesť mesiacov predtým, ako sa</w:t>
      </w:r>
      <w:r w:rsidR="004F01E9">
        <w:rPr>
          <w:noProof/>
        </w:rPr>
        <w:t xml:space="preserve"> k </w:t>
      </w:r>
      <w:r w:rsidRPr="004F01E9">
        <w:rPr>
          <w:noProof/>
        </w:rPr>
        <w:t>tomuto prístupu skutočne vráti;</w:t>
      </w:r>
    </w:p>
    <w:p w14:paraId="2CB90549" w14:textId="28FC9377" w:rsidR="0045677E" w:rsidRPr="004F01E9" w:rsidRDefault="0045677E" w:rsidP="0045677E">
      <w:pPr>
        <w:pStyle w:val="Point1"/>
        <w:rPr>
          <w:noProof/>
        </w:rPr>
      </w:pPr>
      <w:r w:rsidRPr="004F01E9">
        <w:rPr>
          <w:noProof/>
        </w:rPr>
        <w:t>e)</w:t>
      </w:r>
      <w:r w:rsidRPr="004F01E9">
        <w:rPr>
          <w:noProof/>
        </w:rPr>
        <w:tab/>
        <w:t>príslušný orgán nevzniesol námietky voči žiadosti inštitúcie</w:t>
      </w:r>
      <w:r w:rsidR="004F01E9">
        <w:rPr>
          <w:noProof/>
        </w:rPr>
        <w:t xml:space="preserve"> o </w:t>
      </w:r>
      <w:r w:rsidRPr="004F01E9">
        <w:rPr>
          <w:noProof/>
        </w:rPr>
        <w:t>takúto zmenu do troch mesiacov od prijatia oznámenia uvedeného</w:t>
      </w:r>
      <w:r w:rsidR="004F01E9">
        <w:rPr>
          <w:noProof/>
        </w:rPr>
        <w:t xml:space="preserve"> v </w:t>
      </w:r>
      <w:r w:rsidRPr="004F01E9">
        <w:rPr>
          <w:noProof/>
        </w:rPr>
        <w:t>písmene d).“</w:t>
      </w:r>
    </w:p>
    <w:p w14:paraId="6C1A466F" w14:textId="08D5D35E" w:rsidR="00806B81" w:rsidRPr="004F01E9" w:rsidRDefault="00B16452" w:rsidP="00B16452">
      <w:pPr>
        <w:pStyle w:val="Point0"/>
        <w:rPr>
          <w:noProof/>
        </w:rPr>
      </w:pPr>
      <w:r w:rsidRPr="00B16452">
        <w:rPr>
          <w:noProof/>
        </w:rPr>
        <w:t>198</w:t>
      </w:r>
      <w:r>
        <w:rPr>
          <w:noProof/>
        </w:rPr>
        <w:t>.</w:t>
      </w:r>
      <w:r w:rsidRPr="00B16452">
        <w:rPr>
          <w:noProof/>
        </w:rPr>
        <w:tab/>
      </w:r>
      <w:r w:rsidR="0045677E" w:rsidRPr="004F01E9">
        <w:rPr>
          <w:noProof/>
        </w:rPr>
        <w:t>Článok 495 sa nahrádza takto:</w:t>
      </w:r>
    </w:p>
    <w:p w14:paraId="153A650E" w14:textId="53148F9A" w:rsidR="0045677E" w:rsidRPr="004F01E9" w:rsidRDefault="0045677E" w:rsidP="0056712B">
      <w:pPr>
        <w:pStyle w:val="Titrearticle"/>
        <w:rPr>
          <w:b/>
          <w:noProof/>
        </w:rPr>
      </w:pPr>
      <w:r w:rsidRPr="004F01E9">
        <w:rPr>
          <w:noProof/>
        </w:rPr>
        <w:t xml:space="preserve">„Článok 495 </w:t>
      </w:r>
      <w:r w:rsidRPr="004F01E9">
        <w:rPr>
          <w:noProof/>
        </w:rPr>
        <w:br/>
      </w:r>
      <w:r w:rsidRPr="004F01E9">
        <w:rPr>
          <w:b/>
          <w:noProof/>
        </w:rPr>
        <w:t>Zaobchádzanie</w:t>
      </w:r>
      <w:r w:rsidR="004F01E9">
        <w:rPr>
          <w:b/>
          <w:noProof/>
        </w:rPr>
        <w:t xml:space="preserve"> s </w:t>
      </w:r>
      <w:r w:rsidRPr="004F01E9">
        <w:rPr>
          <w:b/>
          <w:noProof/>
        </w:rPr>
        <w:t>kapitálovými expozíciami</w:t>
      </w:r>
      <w:r w:rsidR="004F01E9">
        <w:rPr>
          <w:b/>
          <w:noProof/>
        </w:rPr>
        <w:t xml:space="preserve"> v </w:t>
      </w:r>
      <w:r w:rsidRPr="004F01E9">
        <w:rPr>
          <w:b/>
          <w:noProof/>
        </w:rPr>
        <w:t>rámci prístupu IRB</w:t>
      </w:r>
    </w:p>
    <w:p w14:paraId="7C437B03" w14:textId="4A4B5B88" w:rsidR="0045677E" w:rsidRPr="004F01E9" w:rsidRDefault="0045677E" w:rsidP="0045677E">
      <w:pPr>
        <w:pStyle w:val="Text1"/>
        <w:rPr>
          <w:noProof/>
        </w:rPr>
      </w:pPr>
      <w:r w:rsidRPr="004F01E9">
        <w:rPr>
          <w:noProof/>
        </w:rPr>
        <w:t>1. Odchylne od článku 107 ods. 1 druhého pododseku inštitúcie, ktorým bolo udelené povolenie uplatňovať prístup interných ratingov na výpočet hodnoty rizikovo vážených expozícií pre kapitálové expozície, vypočítavajú do 31</w:t>
      </w:r>
      <w:r w:rsidR="004F01E9">
        <w:rPr>
          <w:noProof/>
        </w:rPr>
        <w:t>. decembra</w:t>
      </w:r>
      <w:r w:rsidRPr="004F01E9">
        <w:rPr>
          <w:noProof/>
        </w:rPr>
        <w:t xml:space="preserve"> 2029 hodnotu rizikovo váženej expozície pre každú kapitálovú expozíciu, pre ktorú dostali povolenie uplatňovať prístup interných ratingov, ako vyššiu</w:t>
      </w:r>
      <w:r w:rsidR="004F01E9">
        <w:rPr>
          <w:noProof/>
        </w:rPr>
        <w:t xml:space="preserve"> z </w:t>
      </w:r>
      <w:r w:rsidRPr="004F01E9">
        <w:rPr>
          <w:noProof/>
        </w:rPr>
        <w:t>týchto hodnôt:</w:t>
      </w:r>
    </w:p>
    <w:p w14:paraId="43D31362" w14:textId="03A9E8AE" w:rsidR="0045677E" w:rsidRPr="009550B0" w:rsidRDefault="0045677E" w:rsidP="0045677E">
      <w:pPr>
        <w:pStyle w:val="Point1"/>
        <w:rPr>
          <w:noProof/>
          <w:spacing w:val="-6"/>
        </w:rPr>
      </w:pPr>
      <w:r w:rsidRPr="004F01E9">
        <w:rPr>
          <w:noProof/>
        </w:rPr>
        <w:t>a)</w:t>
      </w:r>
      <w:r w:rsidRPr="004F01E9">
        <w:rPr>
          <w:noProof/>
        </w:rPr>
        <w:tab/>
      </w:r>
      <w:r w:rsidRPr="009550B0">
        <w:rPr>
          <w:noProof/>
          <w:spacing w:val="-6"/>
        </w:rPr>
        <w:t>hodnota rizikovo váženej expozície vypočítaná</w:t>
      </w:r>
      <w:r w:rsidR="004F01E9" w:rsidRPr="009550B0">
        <w:rPr>
          <w:noProof/>
          <w:spacing w:val="-6"/>
        </w:rPr>
        <w:t xml:space="preserve"> v </w:t>
      </w:r>
      <w:r w:rsidRPr="009550B0">
        <w:rPr>
          <w:noProof/>
          <w:spacing w:val="-6"/>
        </w:rPr>
        <w:t>súlade</w:t>
      </w:r>
      <w:r w:rsidR="004F01E9" w:rsidRPr="009550B0">
        <w:rPr>
          <w:noProof/>
          <w:spacing w:val="-6"/>
        </w:rPr>
        <w:t xml:space="preserve"> s </w:t>
      </w:r>
      <w:r w:rsidRPr="009550B0">
        <w:rPr>
          <w:noProof/>
          <w:spacing w:val="-6"/>
        </w:rPr>
        <w:t>článkom 495a ods. 1</w:t>
      </w:r>
      <w:r w:rsidR="004F01E9" w:rsidRPr="009550B0">
        <w:rPr>
          <w:noProof/>
          <w:spacing w:val="-6"/>
        </w:rPr>
        <w:t xml:space="preserve"> a </w:t>
      </w:r>
      <w:r w:rsidRPr="009550B0">
        <w:rPr>
          <w:noProof/>
          <w:spacing w:val="-6"/>
        </w:rPr>
        <w:t>2;</w:t>
      </w:r>
    </w:p>
    <w:p w14:paraId="139B62A8" w14:textId="5243B5C7" w:rsidR="0045677E" w:rsidRPr="004F01E9" w:rsidRDefault="0045677E" w:rsidP="0045677E">
      <w:pPr>
        <w:pStyle w:val="Point1"/>
        <w:rPr>
          <w:noProof/>
        </w:rPr>
      </w:pPr>
      <w:r w:rsidRPr="004F01E9">
        <w:rPr>
          <w:noProof/>
        </w:rPr>
        <w:t>b)</w:t>
      </w:r>
      <w:r w:rsidRPr="004F01E9">
        <w:rPr>
          <w:noProof/>
        </w:rPr>
        <w:tab/>
        <w:t>hodnota rizikovo váženej expozície vypočítaná podľa tohto nariadenia</w:t>
      </w:r>
      <w:r w:rsidR="004F01E9">
        <w:rPr>
          <w:noProof/>
        </w:rPr>
        <w:t xml:space="preserve"> v </w:t>
      </w:r>
      <w:r w:rsidRPr="004F01E9">
        <w:rPr>
          <w:noProof/>
        </w:rPr>
        <w:t>podobe,</w:t>
      </w:r>
      <w:r w:rsidR="004F01E9">
        <w:rPr>
          <w:noProof/>
        </w:rPr>
        <w:t xml:space="preserve"> v </w:t>
      </w:r>
      <w:r w:rsidRPr="004F01E9">
        <w:rPr>
          <w:noProof/>
        </w:rPr>
        <w:t>akej existovalo pred [OP vložte dátum = dátum nadobudnutia účinnosti tohto pozmeňujúceho nariadenia].</w:t>
      </w:r>
    </w:p>
    <w:p w14:paraId="4B248885" w14:textId="3EFC9ED0" w:rsidR="0045677E" w:rsidRPr="004F01E9" w:rsidRDefault="0045677E" w:rsidP="0045677E">
      <w:pPr>
        <w:pStyle w:val="Text1"/>
        <w:rPr>
          <w:noProof/>
        </w:rPr>
      </w:pPr>
      <w:r w:rsidRPr="004F01E9">
        <w:rPr>
          <w:noProof/>
        </w:rPr>
        <w:t>2. Namiesto uplatnenia zaobchádzania stanoveného</w:t>
      </w:r>
      <w:r w:rsidR="004F01E9">
        <w:rPr>
          <w:noProof/>
        </w:rPr>
        <w:t xml:space="preserve"> v </w:t>
      </w:r>
      <w:r w:rsidRPr="004F01E9">
        <w:rPr>
          <w:noProof/>
        </w:rPr>
        <w:t>odseku 1 sa inštitúcie, ktorým bolo udelené povolenie uplatňovať prístup interných ratingov na výpočet hodnoty rizikovo vážených expozícií pre kapitálové expozície, môžu rozhodnúť, že uplatnia zaobchádzanie stanovené</w:t>
      </w:r>
      <w:r w:rsidR="004F01E9">
        <w:rPr>
          <w:noProof/>
        </w:rPr>
        <w:t xml:space="preserve"> v </w:t>
      </w:r>
      <w:r w:rsidRPr="004F01E9">
        <w:rPr>
          <w:noProof/>
        </w:rPr>
        <w:t>článku 133</w:t>
      </w:r>
      <w:r w:rsidR="004F01E9">
        <w:rPr>
          <w:noProof/>
        </w:rPr>
        <w:t xml:space="preserve"> a </w:t>
      </w:r>
      <w:r w:rsidRPr="004F01E9">
        <w:rPr>
          <w:noProof/>
        </w:rPr>
        <w:t>prechodné opatrenia</w:t>
      </w:r>
      <w:r w:rsidR="004F01E9">
        <w:rPr>
          <w:noProof/>
        </w:rPr>
        <w:t xml:space="preserve"> v </w:t>
      </w:r>
      <w:r w:rsidRPr="004F01E9">
        <w:rPr>
          <w:noProof/>
        </w:rPr>
        <w:t>článku 495a na všetky svoje kapitálové expozície kedykoľvek do 31</w:t>
      </w:r>
      <w:r w:rsidR="004F01E9">
        <w:rPr>
          <w:noProof/>
        </w:rPr>
        <w:t>. decembra</w:t>
      </w:r>
      <w:r w:rsidRPr="004F01E9">
        <w:rPr>
          <w:noProof/>
        </w:rPr>
        <w:t xml:space="preserve"> 2029.</w:t>
      </w:r>
    </w:p>
    <w:p w14:paraId="6654FEEB" w14:textId="77CB2E0B" w:rsidR="00806B81" w:rsidRPr="004F01E9" w:rsidRDefault="0045677E" w:rsidP="0045677E">
      <w:pPr>
        <w:pStyle w:val="Text1"/>
        <w:rPr>
          <w:noProof/>
        </w:rPr>
      </w:pPr>
      <w:r w:rsidRPr="004F01E9">
        <w:rPr>
          <w:noProof/>
        </w:rPr>
        <w:t>Na účely tohto odseku sa podmienky návratu</w:t>
      </w:r>
      <w:r w:rsidR="004F01E9">
        <w:rPr>
          <w:noProof/>
        </w:rPr>
        <w:t xml:space="preserve"> k </w:t>
      </w:r>
      <w:r w:rsidRPr="004F01E9">
        <w:rPr>
          <w:noProof/>
        </w:rPr>
        <w:t>používaniu menej sofistikovaných prístupov stanovených</w:t>
      </w:r>
      <w:r w:rsidR="004F01E9">
        <w:rPr>
          <w:noProof/>
        </w:rPr>
        <w:t xml:space="preserve"> v </w:t>
      </w:r>
      <w:r w:rsidRPr="004F01E9">
        <w:rPr>
          <w:noProof/>
        </w:rPr>
        <w:t>článku 149 neuplatňujú.</w:t>
      </w:r>
    </w:p>
    <w:p w14:paraId="688CF0CC" w14:textId="258D7ACE" w:rsidR="004F01E9" w:rsidRDefault="0045677E" w:rsidP="0045677E">
      <w:pPr>
        <w:pStyle w:val="Text1"/>
        <w:rPr>
          <w:noProof/>
        </w:rPr>
      </w:pPr>
      <w:r w:rsidRPr="004F01E9">
        <w:rPr>
          <w:noProof/>
        </w:rPr>
        <w:t>3. Inštitúcie, ktoré uplatňujú zaobchádzanie stanovené</w:t>
      </w:r>
      <w:r w:rsidR="004F01E9">
        <w:rPr>
          <w:noProof/>
        </w:rPr>
        <w:t xml:space="preserve"> v </w:t>
      </w:r>
      <w:r w:rsidRPr="004F01E9">
        <w:rPr>
          <w:noProof/>
        </w:rPr>
        <w:t>odseku 1, vypočítavajú EL</w:t>
      </w:r>
      <w:r w:rsidR="004F01E9">
        <w:rPr>
          <w:noProof/>
        </w:rPr>
        <w:t xml:space="preserve"> v </w:t>
      </w:r>
      <w:r w:rsidRPr="004F01E9">
        <w:rPr>
          <w:noProof/>
        </w:rPr>
        <w:t>súlade</w:t>
      </w:r>
      <w:r w:rsidR="004F01E9">
        <w:rPr>
          <w:noProof/>
        </w:rPr>
        <w:t xml:space="preserve"> s </w:t>
      </w:r>
      <w:r w:rsidRPr="004F01E9">
        <w:rPr>
          <w:noProof/>
        </w:rPr>
        <w:t>článkom 158 ods. 7, 8 alebo 9 podľa potreby</w:t>
      </w:r>
      <w:r w:rsidR="004F01E9">
        <w:rPr>
          <w:noProof/>
        </w:rPr>
        <w:t xml:space="preserve"> v </w:t>
      </w:r>
      <w:r w:rsidRPr="004F01E9">
        <w:rPr>
          <w:noProof/>
        </w:rPr>
        <w:t>podobe,</w:t>
      </w:r>
      <w:r w:rsidR="004F01E9">
        <w:rPr>
          <w:noProof/>
        </w:rPr>
        <w:t xml:space="preserve"> v </w:t>
      </w:r>
      <w:r w:rsidRPr="004F01E9">
        <w:rPr>
          <w:noProof/>
        </w:rPr>
        <w:t>akej tieto odseky existovali</w:t>
      </w:r>
      <w:r w:rsidR="004F01E9">
        <w:rPr>
          <w:noProof/>
        </w:rPr>
        <w:t xml:space="preserve"> k </w:t>
      </w:r>
      <w:r w:rsidRPr="004F01E9">
        <w:rPr>
          <w:noProof/>
        </w:rPr>
        <w:t>1. januáru 2021</w:t>
      </w:r>
      <w:r w:rsidR="004F01E9">
        <w:rPr>
          <w:noProof/>
        </w:rPr>
        <w:t>.</w:t>
      </w:r>
    </w:p>
    <w:p w14:paraId="477DC60E" w14:textId="70905D39" w:rsidR="0045677E" w:rsidRPr="004F01E9" w:rsidRDefault="0045677E" w:rsidP="0045677E">
      <w:pPr>
        <w:pStyle w:val="Text1"/>
        <w:rPr>
          <w:noProof/>
        </w:rPr>
      </w:pPr>
      <w:r w:rsidRPr="004F01E9">
        <w:rPr>
          <w:noProof/>
        </w:rPr>
        <w:t>4. Ak inštitúcie požiadajú</w:t>
      </w:r>
      <w:r w:rsidR="004F01E9">
        <w:rPr>
          <w:noProof/>
        </w:rPr>
        <w:t xml:space="preserve"> o </w:t>
      </w:r>
      <w:r w:rsidRPr="004F01E9">
        <w:rPr>
          <w:noProof/>
        </w:rPr>
        <w:t>povolenie uplatňovať prístup IRB na výpočet hodnoty rizikovo vážených expozícií pre kapitálové expozície, príslušné orgány neudelia takéto povolenie po [OP vložte dátum = dátum uplatňovania tohto nariadenia].“</w:t>
      </w:r>
    </w:p>
    <w:p w14:paraId="3F23F2D5" w14:textId="0ECE82F5" w:rsidR="0045677E" w:rsidRPr="004F01E9" w:rsidRDefault="00B16452" w:rsidP="00B16452">
      <w:pPr>
        <w:pStyle w:val="Point0"/>
        <w:rPr>
          <w:noProof/>
        </w:rPr>
      </w:pPr>
      <w:r w:rsidRPr="00B16452">
        <w:rPr>
          <w:noProof/>
        </w:rPr>
        <w:t>199</w:t>
      </w:r>
      <w:r>
        <w:rPr>
          <w:noProof/>
        </w:rPr>
        <w:t>.</w:t>
      </w:r>
      <w:r w:rsidRPr="00B16452">
        <w:rPr>
          <w:noProof/>
        </w:rPr>
        <w:tab/>
      </w:r>
      <w:r w:rsidR="0045677E" w:rsidRPr="004F01E9">
        <w:rPr>
          <w:noProof/>
        </w:rPr>
        <w:t>Vkladajú sa tieto články 495a, 495b</w:t>
      </w:r>
      <w:r w:rsidR="004F01E9">
        <w:rPr>
          <w:noProof/>
        </w:rPr>
        <w:t xml:space="preserve"> a </w:t>
      </w:r>
      <w:r w:rsidR="0045677E" w:rsidRPr="004F01E9">
        <w:rPr>
          <w:noProof/>
        </w:rPr>
        <w:t>495d:</w:t>
      </w:r>
    </w:p>
    <w:p w14:paraId="6127B6DC" w14:textId="77777777" w:rsidR="0045677E" w:rsidRPr="004F01E9" w:rsidRDefault="0045677E" w:rsidP="0045677E">
      <w:pPr>
        <w:pStyle w:val="Titrearticle"/>
        <w:spacing w:before="120"/>
        <w:rPr>
          <w:noProof/>
        </w:rPr>
      </w:pPr>
      <w:r w:rsidRPr="004F01E9">
        <w:rPr>
          <w:noProof/>
        </w:rPr>
        <w:t xml:space="preserve">„Článok 495a </w:t>
      </w:r>
      <w:r w:rsidRPr="004F01E9">
        <w:rPr>
          <w:noProof/>
        </w:rPr>
        <w:br/>
      </w:r>
      <w:r w:rsidRPr="004F01E9">
        <w:rPr>
          <w:b/>
          <w:i w:val="0"/>
          <w:noProof/>
        </w:rPr>
        <w:t>Prechodné opatrenia pre kapitálové expozície</w:t>
      </w:r>
    </w:p>
    <w:p w14:paraId="4B9EFBD3" w14:textId="6B4EAE3A" w:rsidR="0045677E" w:rsidRPr="004F01E9" w:rsidRDefault="0045677E" w:rsidP="0045677E">
      <w:pPr>
        <w:pStyle w:val="Text1"/>
        <w:rPr>
          <w:noProof/>
        </w:rPr>
      </w:pPr>
      <w:r w:rsidRPr="004F01E9">
        <w:rPr>
          <w:noProof/>
        </w:rPr>
        <w:t>1. Odchylne od zaobchádzania stanoveného</w:t>
      </w:r>
      <w:r w:rsidR="004F01E9">
        <w:rPr>
          <w:noProof/>
        </w:rPr>
        <w:t xml:space="preserve"> v </w:t>
      </w:r>
      <w:r w:rsidRPr="004F01E9">
        <w:rPr>
          <w:noProof/>
        </w:rPr>
        <w:t>článku 133 ods. 3 sa kapitálovým expozíciám priradia tieto rizikové váhy:</w:t>
      </w:r>
    </w:p>
    <w:p w14:paraId="2D2FA8B1" w14:textId="39DD133A" w:rsidR="0045677E" w:rsidRPr="004F01E9" w:rsidRDefault="0045677E" w:rsidP="0045677E">
      <w:pPr>
        <w:pStyle w:val="Point1"/>
        <w:rPr>
          <w:noProof/>
        </w:rPr>
      </w:pPr>
      <w:r w:rsidRPr="004F01E9">
        <w:rPr>
          <w:noProof/>
        </w:rPr>
        <w:t>a)</w:t>
      </w:r>
      <w:r w:rsidRPr="004F01E9">
        <w:rPr>
          <w:noProof/>
        </w:rPr>
        <w:tab/>
        <w:t>100</w:t>
      </w:r>
      <w:r w:rsidR="004F01E9">
        <w:rPr>
          <w:noProof/>
        </w:rPr>
        <w:t> % v </w:t>
      </w:r>
      <w:r w:rsidRPr="004F01E9">
        <w:rPr>
          <w:noProof/>
        </w:rPr>
        <w:t>období od 1</w:t>
      </w:r>
      <w:r w:rsidR="004F01E9">
        <w:rPr>
          <w:noProof/>
        </w:rPr>
        <w:t>. januára</w:t>
      </w:r>
      <w:r w:rsidRPr="004F01E9">
        <w:rPr>
          <w:noProof/>
        </w:rPr>
        <w:t xml:space="preserve"> 2025 do 31</w:t>
      </w:r>
      <w:r w:rsidR="004F01E9">
        <w:rPr>
          <w:noProof/>
        </w:rPr>
        <w:t>. decembra</w:t>
      </w:r>
      <w:r w:rsidRPr="004F01E9">
        <w:rPr>
          <w:noProof/>
        </w:rPr>
        <w:t xml:space="preserve"> 2025;</w:t>
      </w:r>
    </w:p>
    <w:p w14:paraId="18675C61" w14:textId="74B864BB" w:rsidR="0045677E" w:rsidRPr="004F01E9" w:rsidRDefault="0045677E" w:rsidP="0045677E">
      <w:pPr>
        <w:pStyle w:val="Point1"/>
        <w:rPr>
          <w:noProof/>
        </w:rPr>
      </w:pPr>
      <w:r w:rsidRPr="004F01E9">
        <w:rPr>
          <w:noProof/>
        </w:rPr>
        <w:t>b)</w:t>
      </w:r>
      <w:r w:rsidRPr="004F01E9">
        <w:rPr>
          <w:noProof/>
        </w:rPr>
        <w:tab/>
        <w:t>130</w:t>
      </w:r>
      <w:r w:rsidR="004F01E9">
        <w:rPr>
          <w:noProof/>
        </w:rPr>
        <w:t> % v </w:t>
      </w:r>
      <w:r w:rsidRPr="004F01E9">
        <w:rPr>
          <w:noProof/>
        </w:rPr>
        <w:t>období od 1</w:t>
      </w:r>
      <w:r w:rsidR="004F01E9">
        <w:rPr>
          <w:noProof/>
        </w:rPr>
        <w:t>. januára</w:t>
      </w:r>
      <w:r w:rsidRPr="004F01E9">
        <w:rPr>
          <w:noProof/>
        </w:rPr>
        <w:t xml:space="preserve"> 2026 do 31</w:t>
      </w:r>
      <w:r w:rsidR="004F01E9">
        <w:rPr>
          <w:noProof/>
        </w:rPr>
        <w:t>. decembra</w:t>
      </w:r>
      <w:r w:rsidRPr="004F01E9">
        <w:rPr>
          <w:noProof/>
        </w:rPr>
        <w:t xml:space="preserve"> 2026;</w:t>
      </w:r>
    </w:p>
    <w:p w14:paraId="504FB30E" w14:textId="711ED1FA" w:rsidR="0045677E" w:rsidRPr="004F01E9" w:rsidRDefault="0045677E" w:rsidP="0045677E">
      <w:pPr>
        <w:pStyle w:val="Point1"/>
        <w:rPr>
          <w:noProof/>
        </w:rPr>
      </w:pPr>
      <w:r w:rsidRPr="004F01E9">
        <w:rPr>
          <w:noProof/>
        </w:rPr>
        <w:t>c)</w:t>
      </w:r>
      <w:r w:rsidRPr="004F01E9">
        <w:rPr>
          <w:noProof/>
        </w:rPr>
        <w:tab/>
        <w:t>160</w:t>
      </w:r>
      <w:r w:rsidR="004F01E9">
        <w:rPr>
          <w:noProof/>
        </w:rPr>
        <w:t> % v </w:t>
      </w:r>
      <w:r w:rsidRPr="004F01E9">
        <w:rPr>
          <w:noProof/>
        </w:rPr>
        <w:t>období od 1</w:t>
      </w:r>
      <w:r w:rsidR="004F01E9">
        <w:rPr>
          <w:noProof/>
        </w:rPr>
        <w:t>. januára</w:t>
      </w:r>
      <w:r w:rsidRPr="004F01E9">
        <w:rPr>
          <w:noProof/>
        </w:rPr>
        <w:t xml:space="preserve"> 2027 do 31</w:t>
      </w:r>
      <w:r w:rsidR="004F01E9">
        <w:rPr>
          <w:noProof/>
        </w:rPr>
        <w:t>. decembra</w:t>
      </w:r>
      <w:r w:rsidRPr="004F01E9">
        <w:rPr>
          <w:noProof/>
        </w:rPr>
        <w:t xml:space="preserve"> 2027;</w:t>
      </w:r>
    </w:p>
    <w:p w14:paraId="1C94F44F" w14:textId="7AE527FD" w:rsidR="0045677E" w:rsidRPr="004F01E9" w:rsidRDefault="0045677E" w:rsidP="0045677E">
      <w:pPr>
        <w:pStyle w:val="Point1"/>
        <w:rPr>
          <w:noProof/>
        </w:rPr>
      </w:pPr>
      <w:r w:rsidRPr="004F01E9">
        <w:rPr>
          <w:noProof/>
        </w:rPr>
        <w:t>d)</w:t>
      </w:r>
      <w:r w:rsidRPr="004F01E9">
        <w:rPr>
          <w:noProof/>
        </w:rPr>
        <w:tab/>
        <w:t>190</w:t>
      </w:r>
      <w:r w:rsidR="004F01E9">
        <w:rPr>
          <w:noProof/>
        </w:rPr>
        <w:t> % v </w:t>
      </w:r>
      <w:r w:rsidRPr="004F01E9">
        <w:rPr>
          <w:noProof/>
        </w:rPr>
        <w:t>období od 1</w:t>
      </w:r>
      <w:r w:rsidR="004F01E9">
        <w:rPr>
          <w:noProof/>
        </w:rPr>
        <w:t>. januára</w:t>
      </w:r>
      <w:r w:rsidRPr="004F01E9">
        <w:rPr>
          <w:noProof/>
        </w:rPr>
        <w:t xml:space="preserve"> 2028 do 31</w:t>
      </w:r>
      <w:r w:rsidR="004F01E9">
        <w:rPr>
          <w:noProof/>
        </w:rPr>
        <w:t>. decembra</w:t>
      </w:r>
      <w:r w:rsidRPr="004F01E9">
        <w:rPr>
          <w:noProof/>
        </w:rPr>
        <w:t xml:space="preserve"> 2028;</w:t>
      </w:r>
    </w:p>
    <w:p w14:paraId="196D3479" w14:textId="502269EF" w:rsidR="0045677E" w:rsidRPr="004F01E9" w:rsidRDefault="0045677E" w:rsidP="0045677E">
      <w:pPr>
        <w:pStyle w:val="Point1"/>
        <w:rPr>
          <w:noProof/>
        </w:rPr>
      </w:pPr>
      <w:r w:rsidRPr="004F01E9">
        <w:rPr>
          <w:noProof/>
        </w:rPr>
        <w:t>e)</w:t>
      </w:r>
      <w:r w:rsidRPr="004F01E9">
        <w:rPr>
          <w:noProof/>
        </w:rPr>
        <w:tab/>
        <w:t>220</w:t>
      </w:r>
      <w:r w:rsidR="004F01E9">
        <w:rPr>
          <w:noProof/>
        </w:rPr>
        <w:t> % v </w:t>
      </w:r>
      <w:r w:rsidRPr="004F01E9">
        <w:rPr>
          <w:noProof/>
        </w:rPr>
        <w:t>období od 1</w:t>
      </w:r>
      <w:r w:rsidR="004F01E9">
        <w:rPr>
          <w:noProof/>
        </w:rPr>
        <w:t>. januára</w:t>
      </w:r>
      <w:r w:rsidRPr="004F01E9">
        <w:rPr>
          <w:noProof/>
        </w:rPr>
        <w:t xml:space="preserve"> 2029 do 31</w:t>
      </w:r>
      <w:r w:rsidR="004F01E9">
        <w:rPr>
          <w:noProof/>
        </w:rPr>
        <w:t>. decembra</w:t>
      </w:r>
      <w:r w:rsidRPr="004F01E9">
        <w:rPr>
          <w:noProof/>
        </w:rPr>
        <w:t xml:space="preserve"> 2029.</w:t>
      </w:r>
    </w:p>
    <w:p w14:paraId="0D82BB29" w14:textId="7678E038" w:rsidR="0045677E" w:rsidRPr="004F01E9" w:rsidRDefault="0045677E" w:rsidP="0045677E">
      <w:pPr>
        <w:pStyle w:val="Text1"/>
        <w:rPr>
          <w:noProof/>
        </w:rPr>
      </w:pPr>
      <w:r w:rsidRPr="004F01E9">
        <w:rPr>
          <w:noProof/>
        </w:rPr>
        <w:t>2. Odchylne od zaobchádzania stanoveného</w:t>
      </w:r>
      <w:r w:rsidR="004F01E9">
        <w:rPr>
          <w:noProof/>
        </w:rPr>
        <w:t xml:space="preserve"> v </w:t>
      </w:r>
      <w:r w:rsidRPr="004F01E9">
        <w:rPr>
          <w:noProof/>
        </w:rPr>
        <w:t>článku 133 ods. 4 sa kapitálovým expozíciám priradia tieto rizikové váhy:</w:t>
      </w:r>
    </w:p>
    <w:p w14:paraId="6B52C605" w14:textId="5F93932D" w:rsidR="0045677E" w:rsidRPr="004F01E9" w:rsidRDefault="0045677E" w:rsidP="0045677E">
      <w:pPr>
        <w:pStyle w:val="Point1"/>
        <w:rPr>
          <w:noProof/>
        </w:rPr>
      </w:pPr>
      <w:r w:rsidRPr="004F01E9">
        <w:rPr>
          <w:noProof/>
        </w:rPr>
        <w:t>a)</w:t>
      </w:r>
      <w:r w:rsidRPr="004F01E9">
        <w:rPr>
          <w:noProof/>
        </w:rPr>
        <w:tab/>
        <w:t>100</w:t>
      </w:r>
      <w:r w:rsidR="004F01E9">
        <w:rPr>
          <w:noProof/>
        </w:rPr>
        <w:t> % v </w:t>
      </w:r>
      <w:r w:rsidRPr="004F01E9">
        <w:rPr>
          <w:noProof/>
        </w:rPr>
        <w:t>období od 1</w:t>
      </w:r>
      <w:r w:rsidR="004F01E9">
        <w:rPr>
          <w:noProof/>
        </w:rPr>
        <w:t>. januára</w:t>
      </w:r>
      <w:r w:rsidRPr="004F01E9">
        <w:rPr>
          <w:noProof/>
        </w:rPr>
        <w:t xml:space="preserve"> 2025 do 31</w:t>
      </w:r>
      <w:r w:rsidR="004F01E9">
        <w:rPr>
          <w:noProof/>
        </w:rPr>
        <w:t>. decembra</w:t>
      </w:r>
      <w:r w:rsidRPr="004F01E9">
        <w:rPr>
          <w:noProof/>
        </w:rPr>
        <w:t xml:space="preserve"> 2025;</w:t>
      </w:r>
    </w:p>
    <w:p w14:paraId="61839B82" w14:textId="08D95B91" w:rsidR="0045677E" w:rsidRPr="004F01E9" w:rsidRDefault="0045677E" w:rsidP="0045677E">
      <w:pPr>
        <w:pStyle w:val="Point1"/>
        <w:rPr>
          <w:noProof/>
        </w:rPr>
      </w:pPr>
      <w:r w:rsidRPr="004F01E9">
        <w:rPr>
          <w:noProof/>
        </w:rPr>
        <w:t>b)</w:t>
      </w:r>
      <w:r w:rsidRPr="004F01E9">
        <w:rPr>
          <w:noProof/>
        </w:rPr>
        <w:tab/>
        <w:t>160</w:t>
      </w:r>
      <w:r w:rsidR="004F01E9">
        <w:rPr>
          <w:noProof/>
        </w:rPr>
        <w:t> % v </w:t>
      </w:r>
      <w:r w:rsidRPr="004F01E9">
        <w:rPr>
          <w:noProof/>
        </w:rPr>
        <w:t>období od 1</w:t>
      </w:r>
      <w:r w:rsidR="004F01E9">
        <w:rPr>
          <w:noProof/>
        </w:rPr>
        <w:t>. januára</w:t>
      </w:r>
      <w:r w:rsidRPr="004F01E9">
        <w:rPr>
          <w:noProof/>
        </w:rPr>
        <w:t xml:space="preserve"> 2026 do 31</w:t>
      </w:r>
      <w:r w:rsidR="004F01E9">
        <w:rPr>
          <w:noProof/>
        </w:rPr>
        <w:t>. decembra</w:t>
      </w:r>
      <w:r w:rsidRPr="004F01E9">
        <w:rPr>
          <w:noProof/>
        </w:rPr>
        <w:t xml:space="preserve"> 2026;</w:t>
      </w:r>
    </w:p>
    <w:p w14:paraId="10F1C76F" w14:textId="60B7CA3F" w:rsidR="0045677E" w:rsidRPr="004F01E9" w:rsidRDefault="0045677E" w:rsidP="0045677E">
      <w:pPr>
        <w:pStyle w:val="Point1"/>
        <w:rPr>
          <w:noProof/>
        </w:rPr>
      </w:pPr>
      <w:r w:rsidRPr="004F01E9">
        <w:rPr>
          <w:noProof/>
        </w:rPr>
        <w:t>c)</w:t>
      </w:r>
      <w:r w:rsidRPr="004F01E9">
        <w:rPr>
          <w:noProof/>
        </w:rPr>
        <w:tab/>
        <w:t>220</w:t>
      </w:r>
      <w:r w:rsidR="004F01E9">
        <w:rPr>
          <w:noProof/>
        </w:rPr>
        <w:t> % v </w:t>
      </w:r>
      <w:r w:rsidRPr="004F01E9">
        <w:rPr>
          <w:noProof/>
        </w:rPr>
        <w:t>období od 1</w:t>
      </w:r>
      <w:r w:rsidR="004F01E9">
        <w:rPr>
          <w:noProof/>
        </w:rPr>
        <w:t>. januára</w:t>
      </w:r>
      <w:r w:rsidRPr="004F01E9">
        <w:rPr>
          <w:noProof/>
        </w:rPr>
        <w:t xml:space="preserve"> 2027 do 31</w:t>
      </w:r>
      <w:r w:rsidR="004F01E9">
        <w:rPr>
          <w:noProof/>
        </w:rPr>
        <w:t>. decembra</w:t>
      </w:r>
      <w:r w:rsidRPr="004F01E9">
        <w:rPr>
          <w:noProof/>
        </w:rPr>
        <w:t xml:space="preserve"> 2027;</w:t>
      </w:r>
    </w:p>
    <w:p w14:paraId="267CB4CF" w14:textId="1A2870AA" w:rsidR="0045677E" w:rsidRPr="004F01E9" w:rsidRDefault="0045677E" w:rsidP="0045677E">
      <w:pPr>
        <w:pStyle w:val="Point1"/>
        <w:rPr>
          <w:noProof/>
        </w:rPr>
      </w:pPr>
      <w:r w:rsidRPr="004F01E9">
        <w:rPr>
          <w:noProof/>
        </w:rPr>
        <w:t>d)</w:t>
      </w:r>
      <w:r w:rsidRPr="004F01E9">
        <w:rPr>
          <w:noProof/>
        </w:rPr>
        <w:tab/>
        <w:t>280</w:t>
      </w:r>
      <w:r w:rsidR="004F01E9">
        <w:rPr>
          <w:noProof/>
        </w:rPr>
        <w:t> % v </w:t>
      </w:r>
      <w:r w:rsidRPr="004F01E9">
        <w:rPr>
          <w:noProof/>
        </w:rPr>
        <w:t>období od 1</w:t>
      </w:r>
      <w:r w:rsidR="004F01E9">
        <w:rPr>
          <w:noProof/>
        </w:rPr>
        <w:t>. januára</w:t>
      </w:r>
      <w:r w:rsidRPr="004F01E9">
        <w:rPr>
          <w:noProof/>
        </w:rPr>
        <w:t xml:space="preserve"> 2028 do 31</w:t>
      </w:r>
      <w:r w:rsidR="004F01E9">
        <w:rPr>
          <w:noProof/>
        </w:rPr>
        <w:t>. decembra</w:t>
      </w:r>
      <w:r w:rsidRPr="004F01E9">
        <w:rPr>
          <w:noProof/>
        </w:rPr>
        <w:t xml:space="preserve"> 2028;</w:t>
      </w:r>
    </w:p>
    <w:p w14:paraId="1931279E" w14:textId="187F280C" w:rsidR="0045677E" w:rsidRPr="004F01E9" w:rsidRDefault="0045677E" w:rsidP="0045677E">
      <w:pPr>
        <w:pStyle w:val="Point1"/>
        <w:rPr>
          <w:noProof/>
        </w:rPr>
      </w:pPr>
      <w:r w:rsidRPr="004F01E9">
        <w:rPr>
          <w:noProof/>
        </w:rPr>
        <w:t>e)</w:t>
      </w:r>
      <w:r w:rsidRPr="004F01E9">
        <w:rPr>
          <w:noProof/>
        </w:rPr>
        <w:tab/>
        <w:t>340</w:t>
      </w:r>
      <w:r w:rsidR="004F01E9">
        <w:rPr>
          <w:noProof/>
        </w:rPr>
        <w:t> % v </w:t>
      </w:r>
      <w:r w:rsidRPr="004F01E9">
        <w:rPr>
          <w:noProof/>
        </w:rPr>
        <w:t>období od 1</w:t>
      </w:r>
      <w:r w:rsidR="004F01E9">
        <w:rPr>
          <w:noProof/>
        </w:rPr>
        <w:t>. januára</w:t>
      </w:r>
      <w:r w:rsidRPr="004F01E9">
        <w:rPr>
          <w:noProof/>
        </w:rPr>
        <w:t xml:space="preserve"> 2029 do 31</w:t>
      </w:r>
      <w:r w:rsidR="004F01E9">
        <w:rPr>
          <w:noProof/>
        </w:rPr>
        <w:t>. decembra</w:t>
      </w:r>
      <w:r w:rsidRPr="004F01E9">
        <w:rPr>
          <w:noProof/>
        </w:rPr>
        <w:t xml:space="preserve"> 2029.</w:t>
      </w:r>
    </w:p>
    <w:p w14:paraId="0DC997A4" w14:textId="266406F5" w:rsidR="0045677E" w:rsidRPr="004F01E9" w:rsidRDefault="0045677E" w:rsidP="00334160">
      <w:pPr>
        <w:pStyle w:val="Text1"/>
        <w:rPr>
          <w:noProof/>
        </w:rPr>
      </w:pPr>
      <w:r w:rsidRPr="004F01E9">
        <w:rPr>
          <w:noProof/>
        </w:rPr>
        <w:t>3. Odchylne od článku 133 môžu inštitúcie naďalej priraďovať rovnakú rizikovú váhu, ktorá sa uplatňovala od [OP vložte dátum = jeden deň pred dátumom nadobudnutia účinnosti tohto pozmeňujúceho nariadenia] kapitálovým expozíciám voči subjektom, ktorých boli akcionárom</w:t>
      </w:r>
      <w:r w:rsidR="004F01E9">
        <w:rPr>
          <w:noProof/>
        </w:rPr>
        <w:t xml:space="preserve"> k </w:t>
      </w:r>
      <w:r w:rsidRPr="004F01E9">
        <w:rPr>
          <w:noProof/>
        </w:rPr>
        <w:t>[dátumu prijatia] počas šiestich po sebe nasledujúcich rokov</w:t>
      </w:r>
      <w:r w:rsidR="004F01E9">
        <w:rPr>
          <w:noProof/>
        </w:rPr>
        <w:t xml:space="preserve"> a </w:t>
      </w:r>
      <w:r w:rsidRPr="004F01E9">
        <w:rPr>
          <w:noProof/>
        </w:rPr>
        <w:t>na ktoré majú podstatný vplyv</w:t>
      </w:r>
      <w:r w:rsidR="004F01E9">
        <w:rPr>
          <w:noProof/>
        </w:rPr>
        <w:t xml:space="preserve"> v </w:t>
      </w:r>
      <w:r w:rsidRPr="004F01E9">
        <w:rPr>
          <w:noProof/>
        </w:rPr>
        <w:t xml:space="preserve">zmysle smernice 2013/34/EÚ alebo účtovných štandardov, ktorým inštitúcia podlieha podľa nariadenia (ES) </w:t>
      </w:r>
      <w:r w:rsidR="004F01E9">
        <w:rPr>
          <w:noProof/>
        </w:rPr>
        <w:t>č. </w:t>
      </w:r>
      <w:r w:rsidRPr="004F01E9">
        <w:rPr>
          <w:noProof/>
        </w:rPr>
        <w:t>1606/2002, alebo podobnému vzťahu medzi akoukoľvek fyzickou alebo právnickou osobou</w:t>
      </w:r>
      <w:r w:rsidR="004F01E9">
        <w:rPr>
          <w:noProof/>
        </w:rPr>
        <w:t xml:space="preserve"> a </w:t>
      </w:r>
      <w:r w:rsidRPr="004F01E9">
        <w:rPr>
          <w:noProof/>
        </w:rPr>
        <w:t>podnikom.</w:t>
      </w:r>
    </w:p>
    <w:p w14:paraId="09CB2DBF" w14:textId="77777777" w:rsidR="0045677E" w:rsidRPr="004F01E9" w:rsidRDefault="0045677E" w:rsidP="0045677E">
      <w:pPr>
        <w:pStyle w:val="Titrearticle"/>
        <w:spacing w:before="120"/>
        <w:rPr>
          <w:noProof/>
        </w:rPr>
      </w:pPr>
      <w:r w:rsidRPr="004F01E9">
        <w:rPr>
          <w:noProof/>
        </w:rPr>
        <w:t xml:space="preserve">Článok 495b </w:t>
      </w:r>
      <w:r w:rsidRPr="004F01E9">
        <w:rPr>
          <w:noProof/>
        </w:rPr>
        <w:br/>
      </w:r>
      <w:r w:rsidRPr="004F01E9">
        <w:rPr>
          <w:b/>
          <w:i w:val="0"/>
          <w:noProof/>
        </w:rPr>
        <w:t>Prechodné opatrenia pre expozície vo forme špecializovaného financovania</w:t>
      </w:r>
    </w:p>
    <w:p w14:paraId="52A6B095" w14:textId="6A918D74" w:rsidR="0045677E" w:rsidRPr="004F01E9" w:rsidRDefault="0045677E" w:rsidP="0045677E">
      <w:pPr>
        <w:pStyle w:val="Text1"/>
        <w:rPr>
          <w:noProof/>
        </w:rPr>
      </w:pPr>
      <w:r w:rsidRPr="004F01E9">
        <w:rPr>
          <w:noProof/>
        </w:rPr>
        <w:t>1.</w:t>
      </w:r>
      <w:r w:rsidRPr="004F01E9">
        <w:rPr>
          <w:noProof/>
        </w:rPr>
        <w:tab/>
        <w:t>Odchylne od článku 161 ods. 4 sú spodnými hranicami pre vstupné hodnoty LGD uplatniteľnými na expozície vo forme špecializovaného financovania,</w:t>
      </w:r>
      <w:r w:rsidR="004F01E9">
        <w:rPr>
          <w:noProof/>
        </w:rPr>
        <w:t xml:space="preserve"> s </w:t>
      </w:r>
      <w:r w:rsidRPr="004F01E9">
        <w:rPr>
          <w:noProof/>
        </w:rPr>
        <w:t>ktorými sa zaobchádza podľa prístupu IRB, keď sa používajú vlastné odhady LGD, uplatniteľné spodné hranice pre vstupné hodnoty LGD stanovené</w:t>
      </w:r>
      <w:r w:rsidR="004F01E9">
        <w:rPr>
          <w:noProof/>
        </w:rPr>
        <w:t xml:space="preserve"> v </w:t>
      </w:r>
      <w:r w:rsidRPr="004F01E9">
        <w:rPr>
          <w:noProof/>
        </w:rPr>
        <w:t>článku 161 ods. 4 vynásobené týmito koeficientmi:</w:t>
      </w:r>
    </w:p>
    <w:p w14:paraId="5FD126CF" w14:textId="0CA63787" w:rsidR="0045677E" w:rsidRPr="004F01E9" w:rsidRDefault="0045677E" w:rsidP="0045677E">
      <w:pPr>
        <w:pStyle w:val="Point1"/>
        <w:rPr>
          <w:noProof/>
        </w:rPr>
      </w:pPr>
      <w:r w:rsidRPr="004F01E9">
        <w:rPr>
          <w:noProof/>
        </w:rPr>
        <w:t>a)</w:t>
      </w:r>
      <w:r w:rsidRPr="004F01E9">
        <w:rPr>
          <w:noProof/>
        </w:rPr>
        <w:tab/>
        <w:t>50</w:t>
      </w:r>
      <w:r w:rsidR="004F01E9">
        <w:rPr>
          <w:noProof/>
        </w:rPr>
        <w:t> % v </w:t>
      </w:r>
      <w:r w:rsidRPr="004F01E9">
        <w:rPr>
          <w:noProof/>
        </w:rPr>
        <w:t>období od 1</w:t>
      </w:r>
      <w:r w:rsidR="004F01E9">
        <w:rPr>
          <w:noProof/>
        </w:rPr>
        <w:t>. januára</w:t>
      </w:r>
      <w:r w:rsidRPr="004F01E9">
        <w:rPr>
          <w:noProof/>
        </w:rPr>
        <w:t xml:space="preserve"> 2025 do 31</w:t>
      </w:r>
      <w:r w:rsidR="004F01E9">
        <w:rPr>
          <w:noProof/>
        </w:rPr>
        <w:t>. decembra</w:t>
      </w:r>
      <w:r w:rsidRPr="004F01E9">
        <w:rPr>
          <w:noProof/>
        </w:rPr>
        <w:t xml:space="preserve"> 2027;</w:t>
      </w:r>
    </w:p>
    <w:p w14:paraId="75CAB581" w14:textId="076206AC" w:rsidR="0045677E" w:rsidRPr="004F01E9" w:rsidRDefault="0045677E" w:rsidP="0045677E">
      <w:pPr>
        <w:pStyle w:val="Point1"/>
        <w:rPr>
          <w:noProof/>
        </w:rPr>
      </w:pPr>
      <w:r w:rsidRPr="004F01E9">
        <w:rPr>
          <w:noProof/>
        </w:rPr>
        <w:t>b)</w:t>
      </w:r>
      <w:r w:rsidRPr="004F01E9">
        <w:rPr>
          <w:noProof/>
        </w:rPr>
        <w:tab/>
        <w:t>80</w:t>
      </w:r>
      <w:r w:rsidR="004F01E9">
        <w:rPr>
          <w:noProof/>
        </w:rPr>
        <w:t> % v </w:t>
      </w:r>
      <w:r w:rsidRPr="004F01E9">
        <w:rPr>
          <w:noProof/>
        </w:rPr>
        <w:t>období od 1</w:t>
      </w:r>
      <w:r w:rsidR="004F01E9">
        <w:rPr>
          <w:noProof/>
        </w:rPr>
        <w:t>. januára</w:t>
      </w:r>
      <w:r w:rsidRPr="004F01E9">
        <w:rPr>
          <w:noProof/>
        </w:rPr>
        <w:t xml:space="preserve"> 2028 do 31</w:t>
      </w:r>
      <w:r w:rsidR="004F01E9">
        <w:rPr>
          <w:noProof/>
        </w:rPr>
        <w:t>. decembra</w:t>
      </w:r>
      <w:r w:rsidRPr="004F01E9">
        <w:rPr>
          <w:noProof/>
        </w:rPr>
        <w:t xml:space="preserve"> 2028;</w:t>
      </w:r>
    </w:p>
    <w:p w14:paraId="7CA1FBB0" w14:textId="54BCA090" w:rsidR="0045677E" w:rsidRPr="004F01E9" w:rsidRDefault="0045677E" w:rsidP="0045677E">
      <w:pPr>
        <w:pStyle w:val="Point1"/>
        <w:rPr>
          <w:noProof/>
        </w:rPr>
      </w:pPr>
      <w:r w:rsidRPr="004F01E9">
        <w:rPr>
          <w:noProof/>
        </w:rPr>
        <w:t>c)</w:t>
      </w:r>
      <w:r w:rsidRPr="004F01E9">
        <w:rPr>
          <w:noProof/>
        </w:rPr>
        <w:tab/>
        <w:t>100</w:t>
      </w:r>
      <w:r w:rsidR="004F01E9">
        <w:rPr>
          <w:noProof/>
        </w:rPr>
        <w:t> % v </w:t>
      </w:r>
      <w:r w:rsidRPr="004F01E9">
        <w:rPr>
          <w:noProof/>
        </w:rPr>
        <w:t>období od 1</w:t>
      </w:r>
      <w:r w:rsidR="004F01E9">
        <w:rPr>
          <w:noProof/>
        </w:rPr>
        <w:t>. januára</w:t>
      </w:r>
      <w:r w:rsidRPr="004F01E9">
        <w:rPr>
          <w:noProof/>
        </w:rPr>
        <w:t xml:space="preserve"> 2029 do 31</w:t>
      </w:r>
      <w:r w:rsidR="004F01E9">
        <w:rPr>
          <w:noProof/>
        </w:rPr>
        <w:t>. decembra</w:t>
      </w:r>
      <w:r w:rsidRPr="004F01E9">
        <w:rPr>
          <w:noProof/>
        </w:rPr>
        <w:t xml:space="preserve"> 2029.</w:t>
      </w:r>
    </w:p>
    <w:p w14:paraId="6D418971" w14:textId="673673E5" w:rsidR="0045677E" w:rsidRPr="004F01E9" w:rsidRDefault="0045677E" w:rsidP="0045677E">
      <w:pPr>
        <w:pStyle w:val="Text1"/>
        <w:rPr>
          <w:noProof/>
        </w:rPr>
      </w:pPr>
      <w:r w:rsidRPr="004F01E9">
        <w:rPr>
          <w:noProof/>
        </w:rPr>
        <w:t>2. EBA vypracuje správu</w:t>
      </w:r>
      <w:r w:rsidR="004F01E9">
        <w:rPr>
          <w:noProof/>
        </w:rPr>
        <w:t xml:space="preserve"> o </w:t>
      </w:r>
      <w:r w:rsidRPr="004F01E9">
        <w:rPr>
          <w:noProof/>
        </w:rPr>
        <w:t>primeranej kalibrácii rizikových parametrov uplatniteľných na expozície vo forme špecializovaného financovania podľa prístupu IRB,</w:t>
      </w:r>
      <w:r w:rsidR="004F01E9">
        <w:rPr>
          <w:noProof/>
        </w:rPr>
        <w:t xml:space="preserve"> a </w:t>
      </w:r>
      <w:r w:rsidRPr="004F01E9">
        <w:rPr>
          <w:noProof/>
        </w:rPr>
        <w:t>najmä</w:t>
      </w:r>
      <w:r w:rsidR="004F01E9">
        <w:rPr>
          <w:noProof/>
        </w:rPr>
        <w:t xml:space="preserve"> o </w:t>
      </w:r>
      <w:r w:rsidRPr="004F01E9">
        <w:rPr>
          <w:noProof/>
        </w:rPr>
        <w:t>vlastných odhadoch LGD</w:t>
      </w:r>
      <w:r w:rsidR="004F01E9">
        <w:rPr>
          <w:noProof/>
        </w:rPr>
        <w:t xml:space="preserve"> a </w:t>
      </w:r>
      <w:r w:rsidRPr="004F01E9">
        <w:rPr>
          <w:noProof/>
        </w:rPr>
        <w:t>spodných hraniciach pre vstupné hodnoty LGD. EBA zahrnie do svojej správy najmä údaje</w:t>
      </w:r>
      <w:r w:rsidR="004F01E9">
        <w:rPr>
          <w:noProof/>
        </w:rPr>
        <w:t xml:space="preserve"> o </w:t>
      </w:r>
      <w:r w:rsidRPr="004F01E9">
        <w:rPr>
          <w:noProof/>
        </w:rPr>
        <w:t>priemernom počte zlyhaní</w:t>
      </w:r>
      <w:r w:rsidR="004F01E9">
        <w:rPr>
          <w:noProof/>
        </w:rPr>
        <w:t xml:space="preserve"> a </w:t>
      </w:r>
      <w:r w:rsidRPr="004F01E9">
        <w:rPr>
          <w:noProof/>
        </w:rPr>
        <w:t>realizovaných strát zaznamenaných</w:t>
      </w:r>
      <w:r w:rsidR="004F01E9">
        <w:rPr>
          <w:noProof/>
        </w:rPr>
        <w:t xml:space="preserve"> v </w:t>
      </w:r>
      <w:r w:rsidRPr="004F01E9">
        <w:rPr>
          <w:noProof/>
        </w:rPr>
        <w:t>Únii</w:t>
      </w:r>
      <w:r w:rsidR="004F01E9">
        <w:rPr>
          <w:noProof/>
        </w:rPr>
        <w:t xml:space="preserve"> v </w:t>
      </w:r>
      <w:r w:rsidRPr="004F01E9">
        <w:rPr>
          <w:noProof/>
        </w:rPr>
        <w:t>prípade rôznych vzoriek inštitúcií</w:t>
      </w:r>
      <w:r w:rsidR="004F01E9">
        <w:rPr>
          <w:noProof/>
        </w:rPr>
        <w:t xml:space="preserve"> s </w:t>
      </w:r>
      <w:r w:rsidRPr="004F01E9">
        <w:rPr>
          <w:noProof/>
        </w:rPr>
        <w:t>rôznymi obchodnými</w:t>
      </w:r>
      <w:r w:rsidR="004F01E9">
        <w:rPr>
          <w:noProof/>
        </w:rPr>
        <w:t xml:space="preserve"> a </w:t>
      </w:r>
      <w:r w:rsidRPr="004F01E9">
        <w:rPr>
          <w:noProof/>
        </w:rPr>
        <w:t>rizikovými profilmi.</w:t>
      </w:r>
    </w:p>
    <w:p w14:paraId="0642B3A8" w14:textId="4BAD510E" w:rsidR="0045677E" w:rsidRPr="004F01E9" w:rsidRDefault="0045677E" w:rsidP="0045677E">
      <w:pPr>
        <w:pStyle w:val="Text1"/>
        <w:rPr>
          <w:noProof/>
        </w:rPr>
      </w:pPr>
      <w:r w:rsidRPr="004F01E9">
        <w:rPr>
          <w:noProof/>
        </w:rPr>
        <w:t>EBA podá do 31</w:t>
      </w:r>
      <w:r w:rsidR="004F01E9">
        <w:rPr>
          <w:noProof/>
        </w:rPr>
        <w:t>. decembra</w:t>
      </w:r>
      <w:r w:rsidRPr="004F01E9">
        <w:rPr>
          <w:noProof/>
        </w:rPr>
        <w:t xml:space="preserve"> 2025 Európskemu parlamentu, Rade</w:t>
      </w:r>
      <w:r w:rsidR="004F01E9">
        <w:rPr>
          <w:noProof/>
        </w:rPr>
        <w:t xml:space="preserve"> a </w:t>
      </w:r>
      <w:r w:rsidRPr="004F01E9">
        <w:rPr>
          <w:noProof/>
        </w:rPr>
        <w:t>Komisii správu</w:t>
      </w:r>
      <w:r w:rsidR="004F01E9">
        <w:rPr>
          <w:noProof/>
        </w:rPr>
        <w:t xml:space="preserve"> o </w:t>
      </w:r>
      <w:r w:rsidRPr="004F01E9">
        <w:rPr>
          <w:noProof/>
        </w:rPr>
        <w:t>zisteniach.</w:t>
      </w:r>
    </w:p>
    <w:p w14:paraId="47F2F465" w14:textId="3801AFF7" w:rsidR="0045677E" w:rsidRPr="004F01E9" w:rsidRDefault="0045677E" w:rsidP="0045677E">
      <w:pPr>
        <w:pStyle w:val="Text1"/>
        <w:rPr>
          <w:noProof/>
        </w:rPr>
      </w:pPr>
      <w:r w:rsidRPr="004F01E9">
        <w:rPr>
          <w:noProof/>
        </w:rPr>
        <w:t>Na základe tejto správy je Komisia splnomocnená zmeniť toto nariadenie prijatím delegovaného aktu</w:t>
      </w:r>
      <w:r w:rsidR="004F01E9">
        <w:rPr>
          <w:noProof/>
        </w:rPr>
        <w:t xml:space="preserve"> v </w:t>
      </w:r>
      <w:r w:rsidRPr="004F01E9">
        <w:rPr>
          <w:noProof/>
        </w:rPr>
        <w:t>prípade potreby</w:t>
      </w:r>
      <w:r w:rsidR="004F01E9">
        <w:rPr>
          <w:noProof/>
        </w:rPr>
        <w:t xml:space="preserve"> v </w:t>
      </w:r>
      <w:r w:rsidRPr="004F01E9">
        <w:rPr>
          <w:noProof/>
        </w:rPr>
        <w:t>súlade</w:t>
      </w:r>
      <w:r w:rsidR="004F01E9">
        <w:rPr>
          <w:noProof/>
        </w:rPr>
        <w:t xml:space="preserve"> s </w:t>
      </w:r>
      <w:r w:rsidRPr="004F01E9">
        <w:rPr>
          <w:noProof/>
        </w:rPr>
        <w:t>článkom 462</w:t>
      </w:r>
      <w:r w:rsidR="004F01E9">
        <w:rPr>
          <w:noProof/>
        </w:rPr>
        <w:t xml:space="preserve"> s </w:t>
      </w:r>
      <w:r w:rsidRPr="004F01E9">
        <w:rPr>
          <w:noProof/>
        </w:rPr>
        <w:t>cieľom zmeniť zaobchádzanie uplatniteľné na expozície vo forme špecializovaného financovania podľa tretej časti hlavy II.</w:t>
      </w:r>
    </w:p>
    <w:p w14:paraId="4E96A1A7" w14:textId="77777777" w:rsidR="0045677E" w:rsidRPr="004F01E9" w:rsidRDefault="0045677E" w:rsidP="0045677E">
      <w:pPr>
        <w:pStyle w:val="Titrearticle"/>
        <w:spacing w:before="120"/>
        <w:rPr>
          <w:noProof/>
        </w:rPr>
      </w:pPr>
      <w:r w:rsidRPr="004F01E9">
        <w:rPr>
          <w:noProof/>
        </w:rPr>
        <w:t xml:space="preserve">Článok 495c </w:t>
      </w:r>
      <w:r w:rsidRPr="004F01E9">
        <w:rPr>
          <w:noProof/>
        </w:rPr>
        <w:br/>
      </w:r>
      <w:r w:rsidRPr="004F01E9">
        <w:rPr>
          <w:b/>
          <w:i w:val="0"/>
          <w:noProof/>
        </w:rPr>
        <w:t>Prechodné opatrenia pre lízingové expozície ako postup zmierňovania kreditného rizika</w:t>
      </w:r>
    </w:p>
    <w:p w14:paraId="03C47124" w14:textId="54ECA3A6" w:rsidR="0045677E" w:rsidRPr="004F01E9" w:rsidRDefault="0045677E" w:rsidP="0045677E">
      <w:pPr>
        <w:pStyle w:val="Text1"/>
        <w:rPr>
          <w:noProof/>
        </w:rPr>
      </w:pPr>
      <w:r w:rsidRPr="004F01E9">
        <w:rPr>
          <w:noProof/>
        </w:rPr>
        <w:t xml:space="preserve">1. Odchylne od článku 230 je uplatniteľnou hodnotou </w:t>
      </w:r>
      <w:r w:rsidRPr="004F01E9">
        <w:rPr>
          <w:i/>
          <w:noProof/>
        </w:rPr>
        <w:t>H</w:t>
      </w:r>
      <w:r w:rsidRPr="004F01E9">
        <w:rPr>
          <w:i/>
          <w:noProof/>
          <w:vertAlign w:val="subscript"/>
        </w:rPr>
        <w:t>c</w:t>
      </w:r>
      <w:r w:rsidRPr="004F01E9">
        <w:rPr>
          <w:i/>
          <w:noProof/>
        </w:rPr>
        <w:t xml:space="preserve"> </w:t>
      </w:r>
      <w:r w:rsidRPr="004F01E9">
        <w:rPr>
          <w:noProof/>
        </w:rPr>
        <w:t>zodpovedajúcou „inému nefinančnému kolaterálu“ pre expozície uvedené</w:t>
      </w:r>
      <w:r w:rsidR="004F01E9">
        <w:rPr>
          <w:noProof/>
        </w:rPr>
        <w:t xml:space="preserve"> v </w:t>
      </w:r>
      <w:r w:rsidRPr="004F01E9">
        <w:rPr>
          <w:noProof/>
        </w:rPr>
        <w:t xml:space="preserve">článku 199 ods. 7, ak prenajatý majetok zodpovedá typu „iného nefinančného kolaterálu“ financovaného kreditného zabezpečenia, hodnota </w:t>
      </w:r>
      <w:r w:rsidRPr="004F01E9">
        <w:rPr>
          <w:i/>
          <w:noProof/>
        </w:rPr>
        <w:t>H</w:t>
      </w:r>
      <w:r w:rsidRPr="004F01E9">
        <w:rPr>
          <w:i/>
          <w:noProof/>
          <w:vertAlign w:val="subscript"/>
        </w:rPr>
        <w:t>c</w:t>
      </w:r>
      <w:r w:rsidRPr="004F01E9">
        <w:rPr>
          <w:i/>
          <w:noProof/>
        </w:rPr>
        <w:t xml:space="preserve"> </w:t>
      </w:r>
      <w:r w:rsidRPr="004F01E9">
        <w:rPr>
          <w:noProof/>
        </w:rPr>
        <w:t>pre „iný nefinančný kolaterál“ stanovená</w:t>
      </w:r>
      <w:r w:rsidR="004F01E9">
        <w:rPr>
          <w:noProof/>
        </w:rPr>
        <w:t xml:space="preserve"> v </w:t>
      </w:r>
      <w:r w:rsidRPr="004F01E9">
        <w:rPr>
          <w:noProof/>
        </w:rPr>
        <w:t>článku 230 ods. 2 tabuľke 1 vynásobená týmito koeficientmi:</w:t>
      </w:r>
    </w:p>
    <w:p w14:paraId="22353404" w14:textId="3C226B5A" w:rsidR="0045677E" w:rsidRPr="004F01E9" w:rsidRDefault="0045677E" w:rsidP="0045677E">
      <w:pPr>
        <w:pStyle w:val="Point1"/>
        <w:rPr>
          <w:noProof/>
        </w:rPr>
      </w:pPr>
      <w:r w:rsidRPr="004F01E9">
        <w:rPr>
          <w:noProof/>
        </w:rPr>
        <w:t>a)</w:t>
      </w:r>
      <w:r w:rsidRPr="004F01E9">
        <w:rPr>
          <w:noProof/>
        </w:rPr>
        <w:tab/>
        <w:t>50</w:t>
      </w:r>
      <w:r w:rsidR="004F01E9">
        <w:rPr>
          <w:noProof/>
        </w:rPr>
        <w:t> % v </w:t>
      </w:r>
      <w:r w:rsidRPr="004F01E9">
        <w:rPr>
          <w:noProof/>
        </w:rPr>
        <w:t>období od 1</w:t>
      </w:r>
      <w:r w:rsidR="004F01E9">
        <w:rPr>
          <w:noProof/>
        </w:rPr>
        <w:t>. januára</w:t>
      </w:r>
      <w:r w:rsidRPr="004F01E9">
        <w:rPr>
          <w:noProof/>
        </w:rPr>
        <w:t xml:space="preserve"> 2025 do 31</w:t>
      </w:r>
      <w:r w:rsidR="004F01E9">
        <w:rPr>
          <w:noProof/>
        </w:rPr>
        <w:t>. decembra</w:t>
      </w:r>
      <w:r w:rsidRPr="004F01E9">
        <w:rPr>
          <w:noProof/>
        </w:rPr>
        <w:t xml:space="preserve"> 2027;</w:t>
      </w:r>
    </w:p>
    <w:p w14:paraId="6E19514C" w14:textId="4EE39851" w:rsidR="0045677E" w:rsidRPr="004F01E9" w:rsidRDefault="0045677E" w:rsidP="0045677E">
      <w:pPr>
        <w:pStyle w:val="Point1"/>
        <w:rPr>
          <w:noProof/>
        </w:rPr>
      </w:pPr>
      <w:r w:rsidRPr="004F01E9">
        <w:rPr>
          <w:noProof/>
        </w:rPr>
        <w:t>b)</w:t>
      </w:r>
      <w:r w:rsidRPr="004F01E9">
        <w:rPr>
          <w:noProof/>
        </w:rPr>
        <w:tab/>
        <w:t>80</w:t>
      </w:r>
      <w:r w:rsidR="004F01E9">
        <w:rPr>
          <w:noProof/>
        </w:rPr>
        <w:t> % v </w:t>
      </w:r>
      <w:r w:rsidRPr="004F01E9">
        <w:rPr>
          <w:noProof/>
        </w:rPr>
        <w:t>období od 1</w:t>
      </w:r>
      <w:r w:rsidR="004F01E9">
        <w:rPr>
          <w:noProof/>
        </w:rPr>
        <w:t>. januára</w:t>
      </w:r>
      <w:r w:rsidRPr="004F01E9">
        <w:rPr>
          <w:noProof/>
        </w:rPr>
        <w:t xml:space="preserve"> 2028 do 31</w:t>
      </w:r>
      <w:r w:rsidR="004F01E9">
        <w:rPr>
          <w:noProof/>
        </w:rPr>
        <w:t>. decembra</w:t>
      </w:r>
      <w:r w:rsidRPr="004F01E9">
        <w:rPr>
          <w:noProof/>
        </w:rPr>
        <w:t xml:space="preserve"> 2028;</w:t>
      </w:r>
    </w:p>
    <w:p w14:paraId="5C50B443" w14:textId="0780F071" w:rsidR="0045677E" w:rsidRPr="004F01E9" w:rsidRDefault="0045677E" w:rsidP="0045677E">
      <w:pPr>
        <w:pStyle w:val="Point1"/>
        <w:rPr>
          <w:noProof/>
        </w:rPr>
      </w:pPr>
      <w:r w:rsidRPr="004F01E9">
        <w:rPr>
          <w:noProof/>
        </w:rPr>
        <w:t>c)</w:t>
      </w:r>
      <w:r w:rsidRPr="004F01E9">
        <w:rPr>
          <w:noProof/>
        </w:rPr>
        <w:tab/>
        <w:t>100</w:t>
      </w:r>
      <w:r w:rsidR="004F01E9">
        <w:rPr>
          <w:noProof/>
        </w:rPr>
        <w:t> % v </w:t>
      </w:r>
      <w:r w:rsidRPr="004F01E9">
        <w:rPr>
          <w:noProof/>
        </w:rPr>
        <w:t>období od 1</w:t>
      </w:r>
      <w:r w:rsidR="004F01E9">
        <w:rPr>
          <w:noProof/>
        </w:rPr>
        <w:t>. januára</w:t>
      </w:r>
      <w:r w:rsidRPr="004F01E9">
        <w:rPr>
          <w:noProof/>
        </w:rPr>
        <w:t xml:space="preserve"> 2029 do 31</w:t>
      </w:r>
      <w:r w:rsidR="004F01E9">
        <w:rPr>
          <w:noProof/>
        </w:rPr>
        <w:t>. decembra</w:t>
      </w:r>
      <w:r w:rsidRPr="004F01E9">
        <w:rPr>
          <w:noProof/>
        </w:rPr>
        <w:t xml:space="preserve"> 2029.</w:t>
      </w:r>
    </w:p>
    <w:p w14:paraId="1F205EA9" w14:textId="560BFDD5" w:rsidR="0045677E" w:rsidRPr="004F01E9" w:rsidRDefault="0045677E" w:rsidP="0045677E">
      <w:pPr>
        <w:pStyle w:val="Text1"/>
        <w:rPr>
          <w:noProof/>
        </w:rPr>
      </w:pPr>
      <w:r w:rsidRPr="004F01E9">
        <w:rPr>
          <w:noProof/>
        </w:rPr>
        <w:t>2. EBA vypracuje správu</w:t>
      </w:r>
      <w:r w:rsidR="004F01E9">
        <w:rPr>
          <w:noProof/>
        </w:rPr>
        <w:t xml:space="preserve"> o </w:t>
      </w:r>
      <w:r w:rsidRPr="004F01E9">
        <w:rPr>
          <w:noProof/>
        </w:rPr>
        <w:t>primeranej kalibrácii rizikových parametrov súvisiacich</w:t>
      </w:r>
      <w:r w:rsidR="004F01E9">
        <w:rPr>
          <w:noProof/>
        </w:rPr>
        <w:t xml:space="preserve"> s </w:t>
      </w:r>
      <w:r w:rsidRPr="004F01E9">
        <w:rPr>
          <w:noProof/>
        </w:rPr>
        <w:t>expozíciami vo forme špecializovaného financovania podľa prístupu IRB,</w:t>
      </w:r>
      <w:r w:rsidR="004F01E9">
        <w:rPr>
          <w:noProof/>
        </w:rPr>
        <w:t xml:space="preserve"> a </w:t>
      </w:r>
      <w:r w:rsidRPr="004F01E9">
        <w:rPr>
          <w:noProof/>
        </w:rPr>
        <w:t>najmä</w:t>
      </w:r>
      <w:r w:rsidR="004F01E9">
        <w:rPr>
          <w:noProof/>
        </w:rPr>
        <w:t xml:space="preserve"> o </w:t>
      </w:r>
      <w:r w:rsidRPr="004F01E9">
        <w:rPr>
          <w:i/>
          <w:noProof/>
        </w:rPr>
        <w:t>LGD</w:t>
      </w:r>
      <w:r w:rsidRPr="004F01E9">
        <w:rPr>
          <w:i/>
          <w:noProof/>
          <w:vertAlign w:val="subscript"/>
        </w:rPr>
        <w:t>s</w:t>
      </w:r>
      <w:r w:rsidR="004F01E9">
        <w:rPr>
          <w:i/>
          <w:noProof/>
        </w:rPr>
        <w:t xml:space="preserve"> a </w:t>
      </w:r>
      <w:r w:rsidRPr="004F01E9">
        <w:rPr>
          <w:noProof/>
        </w:rPr>
        <w:t xml:space="preserve">hodnote </w:t>
      </w:r>
      <w:r w:rsidRPr="004F01E9">
        <w:rPr>
          <w:i/>
          <w:noProof/>
        </w:rPr>
        <w:t>H</w:t>
      </w:r>
      <w:r w:rsidRPr="004F01E9">
        <w:rPr>
          <w:i/>
          <w:noProof/>
          <w:vertAlign w:val="subscript"/>
        </w:rPr>
        <w:t>c</w:t>
      </w:r>
      <w:r w:rsidRPr="004F01E9">
        <w:rPr>
          <w:noProof/>
          <w:vertAlign w:val="subscript"/>
        </w:rPr>
        <w:t xml:space="preserve"> </w:t>
      </w:r>
      <w:r w:rsidRPr="004F01E9">
        <w:rPr>
          <w:noProof/>
        </w:rPr>
        <w:t>stanovenej</w:t>
      </w:r>
      <w:r w:rsidR="004F01E9">
        <w:rPr>
          <w:noProof/>
        </w:rPr>
        <w:t xml:space="preserve"> v </w:t>
      </w:r>
      <w:r w:rsidRPr="004F01E9">
        <w:rPr>
          <w:noProof/>
        </w:rPr>
        <w:t>článku 230. EBA zahrnie do svojej správy najmä údaje</w:t>
      </w:r>
      <w:r w:rsidR="004F01E9">
        <w:rPr>
          <w:noProof/>
        </w:rPr>
        <w:t xml:space="preserve"> o </w:t>
      </w:r>
      <w:r w:rsidRPr="004F01E9">
        <w:rPr>
          <w:noProof/>
        </w:rPr>
        <w:t>priemerných počtoch zlyhaní</w:t>
      </w:r>
      <w:r w:rsidR="004F01E9">
        <w:rPr>
          <w:noProof/>
        </w:rPr>
        <w:t xml:space="preserve"> a </w:t>
      </w:r>
      <w:r w:rsidRPr="004F01E9">
        <w:rPr>
          <w:noProof/>
        </w:rPr>
        <w:t>realizovaných strát zaznamenaných</w:t>
      </w:r>
      <w:r w:rsidR="004F01E9">
        <w:rPr>
          <w:noProof/>
        </w:rPr>
        <w:t xml:space="preserve"> v </w:t>
      </w:r>
      <w:r w:rsidRPr="004F01E9">
        <w:rPr>
          <w:noProof/>
        </w:rPr>
        <w:t>Únii</w:t>
      </w:r>
      <w:r w:rsidR="004F01E9">
        <w:rPr>
          <w:noProof/>
        </w:rPr>
        <w:t xml:space="preserve"> v </w:t>
      </w:r>
      <w:r w:rsidRPr="004F01E9">
        <w:rPr>
          <w:noProof/>
        </w:rPr>
        <w:t>prípade expozícií súvisiacich</w:t>
      </w:r>
      <w:r w:rsidR="004F01E9">
        <w:rPr>
          <w:noProof/>
        </w:rPr>
        <w:t xml:space="preserve"> s </w:t>
      </w:r>
      <w:r w:rsidRPr="004F01E9">
        <w:rPr>
          <w:noProof/>
        </w:rPr>
        <w:t>rôznymi druhmi prenajatého majetku</w:t>
      </w:r>
      <w:r w:rsidR="004F01E9">
        <w:rPr>
          <w:noProof/>
        </w:rPr>
        <w:t xml:space="preserve"> a </w:t>
      </w:r>
      <w:r w:rsidRPr="004F01E9">
        <w:rPr>
          <w:noProof/>
        </w:rPr>
        <w:t>rôznymi druhmi inštitúcií, ktoré vykonávajú lízingové činnosti.</w:t>
      </w:r>
    </w:p>
    <w:p w14:paraId="37DC3796" w14:textId="086F2410" w:rsidR="0045677E" w:rsidRPr="004F01E9" w:rsidRDefault="0045677E" w:rsidP="0045677E">
      <w:pPr>
        <w:pStyle w:val="Text1"/>
        <w:rPr>
          <w:noProof/>
        </w:rPr>
      </w:pPr>
      <w:r w:rsidRPr="004F01E9">
        <w:rPr>
          <w:noProof/>
        </w:rPr>
        <w:t>EBA podá do 30</w:t>
      </w:r>
      <w:r w:rsidR="004F01E9">
        <w:rPr>
          <w:noProof/>
        </w:rPr>
        <w:t>. júna</w:t>
      </w:r>
      <w:r w:rsidRPr="004F01E9">
        <w:rPr>
          <w:noProof/>
        </w:rPr>
        <w:t xml:space="preserve"> 2026 Európskemu parlamentu, Rade</w:t>
      </w:r>
      <w:r w:rsidR="004F01E9">
        <w:rPr>
          <w:noProof/>
        </w:rPr>
        <w:t xml:space="preserve"> a </w:t>
      </w:r>
      <w:r w:rsidRPr="004F01E9">
        <w:rPr>
          <w:noProof/>
        </w:rPr>
        <w:t>Komisii správu</w:t>
      </w:r>
      <w:r w:rsidR="004F01E9">
        <w:rPr>
          <w:noProof/>
        </w:rPr>
        <w:t xml:space="preserve"> o </w:t>
      </w:r>
      <w:r w:rsidRPr="004F01E9">
        <w:rPr>
          <w:noProof/>
        </w:rPr>
        <w:t>zisteniach.</w:t>
      </w:r>
    </w:p>
    <w:p w14:paraId="164D4631" w14:textId="2C9ADB4E" w:rsidR="0045677E" w:rsidRPr="0074420B" w:rsidRDefault="0045677E" w:rsidP="0045677E">
      <w:pPr>
        <w:pStyle w:val="Text1"/>
        <w:rPr>
          <w:noProof/>
          <w:spacing w:val="-4"/>
        </w:rPr>
      </w:pPr>
      <w:r w:rsidRPr="0074420B">
        <w:rPr>
          <w:noProof/>
          <w:spacing w:val="-4"/>
        </w:rPr>
        <w:t>Na základe tejto správy je Komisia splnomocnená zmeniť toto nariadenie prijatím delegovaného aktu</w:t>
      </w:r>
      <w:r w:rsidR="004F01E9" w:rsidRPr="0074420B">
        <w:rPr>
          <w:noProof/>
          <w:spacing w:val="-4"/>
        </w:rPr>
        <w:t xml:space="preserve"> v </w:t>
      </w:r>
      <w:r w:rsidRPr="0074420B">
        <w:rPr>
          <w:noProof/>
          <w:spacing w:val="-4"/>
        </w:rPr>
        <w:t>prípade potreby</w:t>
      </w:r>
      <w:r w:rsidR="004F01E9" w:rsidRPr="0074420B">
        <w:rPr>
          <w:noProof/>
          <w:spacing w:val="-4"/>
        </w:rPr>
        <w:t xml:space="preserve"> v </w:t>
      </w:r>
      <w:r w:rsidRPr="0074420B">
        <w:rPr>
          <w:noProof/>
          <w:spacing w:val="-4"/>
        </w:rPr>
        <w:t>súlade</w:t>
      </w:r>
      <w:r w:rsidR="004F01E9" w:rsidRPr="0074420B">
        <w:rPr>
          <w:noProof/>
          <w:spacing w:val="-4"/>
        </w:rPr>
        <w:t xml:space="preserve"> s </w:t>
      </w:r>
      <w:r w:rsidRPr="0074420B">
        <w:rPr>
          <w:noProof/>
          <w:spacing w:val="-4"/>
        </w:rPr>
        <w:t>článkom 462</w:t>
      </w:r>
      <w:r w:rsidR="004F01E9" w:rsidRPr="0074420B">
        <w:rPr>
          <w:noProof/>
          <w:spacing w:val="-4"/>
        </w:rPr>
        <w:t xml:space="preserve"> s </w:t>
      </w:r>
      <w:r w:rsidRPr="0074420B">
        <w:rPr>
          <w:noProof/>
          <w:spacing w:val="-4"/>
        </w:rPr>
        <w:t>cieľom zmeniť zaobchádzanie uplatniteľné na expozície vyplývajúce</w:t>
      </w:r>
      <w:r w:rsidR="004F01E9" w:rsidRPr="0074420B">
        <w:rPr>
          <w:noProof/>
          <w:spacing w:val="-4"/>
        </w:rPr>
        <w:t xml:space="preserve"> z </w:t>
      </w:r>
      <w:r w:rsidRPr="0074420B">
        <w:rPr>
          <w:noProof/>
          <w:spacing w:val="-4"/>
        </w:rPr>
        <w:t>lízingu podľa tretej časti hlavy II.</w:t>
      </w:r>
    </w:p>
    <w:p w14:paraId="0D39A891" w14:textId="745AAA57" w:rsidR="00ED2A8D" w:rsidRPr="004F01E9" w:rsidRDefault="00ED2A8D" w:rsidP="001B604C">
      <w:pPr>
        <w:pStyle w:val="Titrearticle"/>
        <w:rPr>
          <w:noProof/>
        </w:rPr>
      </w:pPr>
      <w:r w:rsidRPr="004F01E9">
        <w:rPr>
          <w:noProof/>
        </w:rPr>
        <w:t xml:space="preserve">Článok 495d </w:t>
      </w:r>
      <w:r w:rsidRPr="004F01E9">
        <w:rPr>
          <w:noProof/>
        </w:rPr>
        <w:br/>
      </w:r>
      <w:r w:rsidRPr="004F01E9">
        <w:rPr>
          <w:b/>
          <w:i w:val="0"/>
          <w:noProof/>
        </w:rPr>
        <w:t>Prechodné opatrenia pre bezpodmienečne vypovedateľné prísľuby</w:t>
      </w:r>
    </w:p>
    <w:p w14:paraId="78048DD3" w14:textId="30EA9D49" w:rsidR="00ED2A8D" w:rsidRPr="0074420B" w:rsidRDefault="00ED2A8D" w:rsidP="00ED2A8D">
      <w:pPr>
        <w:pStyle w:val="Text1"/>
        <w:rPr>
          <w:noProof/>
          <w:spacing w:val="-4"/>
        </w:rPr>
      </w:pPr>
      <w:r w:rsidRPr="0074420B">
        <w:rPr>
          <w:noProof/>
          <w:spacing w:val="-4"/>
        </w:rPr>
        <w:t>1. Odchylne od článku 111 ods. 2 vypočítavajú inštitúcie hodnotu expozície podsúvahovej položky vo forme bezpodmienečne zrušiteľného prísľubu vynásobením percentuálnej hodnoty stanovenej</w:t>
      </w:r>
      <w:r w:rsidR="004F01E9" w:rsidRPr="0074420B">
        <w:rPr>
          <w:noProof/>
          <w:spacing w:val="-4"/>
        </w:rPr>
        <w:t xml:space="preserve"> v </w:t>
      </w:r>
      <w:r w:rsidRPr="0074420B">
        <w:rPr>
          <w:noProof/>
          <w:spacing w:val="-4"/>
        </w:rPr>
        <w:t>uvedenom článku týmito koeficientmi:</w:t>
      </w:r>
    </w:p>
    <w:p w14:paraId="61C1DEF9" w14:textId="7F6EC172" w:rsidR="00ED2A8D" w:rsidRPr="004F01E9" w:rsidRDefault="00ED2A8D" w:rsidP="004123AF">
      <w:pPr>
        <w:pStyle w:val="Point1"/>
        <w:rPr>
          <w:noProof/>
        </w:rPr>
      </w:pPr>
      <w:r w:rsidRPr="004F01E9">
        <w:rPr>
          <w:noProof/>
        </w:rPr>
        <w:t>a)</w:t>
      </w:r>
      <w:r w:rsidRPr="004F01E9">
        <w:rPr>
          <w:noProof/>
        </w:rPr>
        <w:tab/>
        <w:t>0</w:t>
      </w:r>
      <w:r w:rsidR="004F01E9">
        <w:rPr>
          <w:noProof/>
        </w:rPr>
        <w:t> % v </w:t>
      </w:r>
      <w:r w:rsidRPr="004F01E9">
        <w:rPr>
          <w:noProof/>
        </w:rPr>
        <w:t>období od 1</w:t>
      </w:r>
      <w:r w:rsidR="004F01E9">
        <w:rPr>
          <w:noProof/>
        </w:rPr>
        <w:t>. januára</w:t>
      </w:r>
      <w:r w:rsidRPr="004F01E9">
        <w:rPr>
          <w:noProof/>
        </w:rPr>
        <w:t xml:space="preserve"> 2025 do 31</w:t>
      </w:r>
      <w:r w:rsidR="004F01E9">
        <w:rPr>
          <w:noProof/>
        </w:rPr>
        <w:t>. decembra</w:t>
      </w:r>
      <w:r w:rsidRPr="004F01E9">
        <w:rPr>
          <w:noProof/>
        </w:rPr>
        <w:t xml:space="preserve"> 2029;</w:t>
      </w:r>
    </w:p>
    <w:p w14:paraId="6593D218" w14:textId="3D18AF5A" w:rsidR="00ED2A8D" w:rsidRPr="004F01E9" w:rsidRDefault="00ED2A8D" w:rsidP="004123AF">
      <w:pPr>
        <w:pStyle w:val="Point1"/>
        <w:rPr>
          <w:noProof/>
        </w:rPr>
      </w:pPr>
      <w:r w:rsidRPr="004F01E9">
        <w:rPr>
          <w:noProof/>
        </w:rPr>
        <w:t>b)</w:t>
      </w:r>
      <w:r w:rsidRPr="004F01E9">
        <w:rPr>
          <w:noProof/>
        </w:rPr>
        <w:tab/>
        <w:t>25</w:t>
      </w:r>
      <w:r w:rsidR="004F01E9">
        <w:rPr>
          <w:noProof/>
        </w:rPr>
        <w:t> % v </w:t>
      </w:r>
      <w:r w:rsidRPr="004F01E9">
        <w:rPr>
          <w:noProof/>
        </w:rPr>
        <w:t>období od 1</w:t>
      </w:r>
      <w:r w:rsidR="004F01E9">
        <w:rPr>
          <w:noProof/>
        </w:rPr>
        <w:t>. januára</w:t>
      </w:r>
      <w:r w:rsidRPr="004F01E9">
        <w:rPr>
          <w:noProof/>
        </w:rPr>
        <w:t xml:space="preserve"> 2030 do 31</w:t>
      </w:r>
      <w:r w:rsidR="004F01E9">
        <w:rPr>
          <w:noProof/>
        </w:rPr>
        <w:t>. decembra</w:t>
      </w:r>
      <w:r w:rsidRPr="004F01E9">
        <w:rPr>
          <w:noProof/>
        </w:rPr>
        <w:t xml:space="preserve"> 2030;</w:t>
      </w:r>
    </w:p>
    <w:p w14:paraId="72EFC22D" w14:textId="20EB08D9" w:rsidR="00ED2A8D" w:rsidRPr="004F01E9" w:rsidRDefault="00ED2A8D" w:rsidP="004123AF">
      <w:pPr>
        <w:pStyle w:val="Point1"/>
        <w:rPr>
          <w:noProof/>
        </w:rPr>
      </w:pPr>
      <w:r w:rsidRPr="004F01E9">
        <w:rPr>
          <w:noProof/>
        </w:rPr>
        <w:t>c)</w:t>
      </w:r>
      <w:r w:rsidRPr="004F01E9">
        <w:rPr>
          <w:noProof/>
        </w:rPr>
        <w:tab/>
        <w:t>50</w:t>
      </w:r>
      <w:r w:rsidR="004F01E9">
        <w:rPr>
          <w:noProof/>
        </w:rPr>
        <w:t> % v </w:t>
      </w:r>
      <w:r w:rsidRPr="004F01E9">
        <w:rPr>
          <w:noProof/>
        </w:rPr>
        <w:t>období od 1</w:t>
      </w:r>
      <w:r w:rsidR="004F01E9">
        <w:rPr>
          <w:noProof/>
        </w:rPr>
        <w:t>. januára</w:t>
      </w:r>
      <w:r w:rsidRPr="004F01E9">
        <w:rPr>
          <w:noProof/>
        </w:rPr>
        <w:t xml:space="preserve"> 2031 do 31</w:t>
      </w:r>
      <w:r w:rsidR="004F01E9">
        <w:rPr>
          <w:noProof/>
        </w:rPr>
        <w:t>. decembra</w:t>
      </w:r>
      <w:r w:rsidRPr="004F01E9">
        <w:rPr>
          <w:noProof/>
        </w:rPr>
        <w:t xml:space="preserve"> 2031;</w:t>
      </w:r>
    </w:p>
    <w:p w14:paraId="72F921EB" w14:textId="06920503" w:rsidR="00ED2A8D" w:rsidRPr="004F01E9" w:rsidRDefault="00ED2A8D" w:rsidP="004123AF">
      <w:pPr>
        <w:pStyle w:val="Point1"/>
        <w:rPr>
          <w:noProof/>
        </w:rPr>
      </w:pPr>
      <w:r w:rsidRPr="004F01E9">
        <w:rPr>
          <w:noProof/>
        </w:rPr>
        <w:t>d)</w:t>
      </w:r>
      <w:r w:rsidRPr="004F01E9">
        <w:rPr>
          <w:noProof/>
        </w:rPr>
        <w:tab/>
        <w:t>75</w:t>
      </w:r>
      <w:r w:rsidR="004F01E9">
        <w:rPr>
          <w:noProof/>
        </w:rPr>
        <w:t> % v </w:t>
      </w:r>
      <w:r w:rsidRPr="004F01E9">
        <w:rPr>
          <w:noProof/>
        </w:rPr>
        <w:t>období od 1</w:t>
      </w:r>
      <w:r w:rsidR="004F01E9">
        <w:rPr>
          <w:noProof/>
        </w:rPr>
        <w:t>. januára</w:t>
      </w:r>
      <w:r w:rsidRPr="004F01E9">
        <w:rPr>
          <w:noProof/>
        </w:rPr>
        <w:t xml:space="preserve"> 2032 do 31</w:t>
      </w:r>
      <w:r w:rsidR="004F01E9">
        <w:rPr>
          <w:noProof/>
        </w:rPr>
        <w:t>. decembra</w:t>
      </w:r>
      <w:r w:rsidRPr="004F01E9">
        <w:rPr>
          <w:noProof/>
        </w:rPr>
        <w:t xml:space="preserve"> 2032.</w:t>
      </w:r>
    </w:p>
    <w:p w14:paraId="59611FEE" w14:textId="03B8975D" w:rsidR="00806B81" w:rsidRPr="004F01E9" w:rsidRDefault="00ED2A8D" w:rsidP="00ED2A8D">
      <w:pPr>
        <w:pStyle w:val="Text1"/>
        <w:rPr>
          <w:noProof/>
        </w:rPr>
      </w:pPr>
      <w:r w:rsidRPr="004F01E9">
        <w:rPr>
          <w:noProof/>
        </w:rPr>
        <w:t>2. EBA vypracuje správu,</w:t>
      </w:r>
      <w:r w:rsidR="004F01E9">
        <w:rPr>
          <w:noProof/>
        </w:rPr>
        <w:t xml:space="preserve"> v </w:t>
      </w:r>
      <w:r w:rsidRPr="004F01E9">
        <w:rPr>
          <w:noProof/>
        </w:rPr>
        <w:t>ktorej posúdi, či by sa odchýlka uvedená</w:t>
      </w:r>
      <w:r w:rsidR="004F01E9">
        <w:rPr>
          <w:noProof/>
        </w:rPr>
        <w:t xml:space="preserve"> v </w:t>
      </w:r>
      <w:r w:rsidRPr="004F01E9">
        <w:rPr>
          <w:noProof/>
        </w:rPr>
        <w:t>odseku 1 písm. a) mala predĺžiť na obdobie po 31. decembri 2032,</w:t>
      </w:r>
      <w:r w:rsidR="004F01E9">
        <w:rPr>
          <w:noProof/>
        </w:rPr>
        <w:t xml:space="preserve"> a v </w:t>
      </w:r>
      <w:r w:rsidRPr="004F01E9">
        <w:rPr>
          <w:noProof/>
        </w:rPr>
        <w:t>prípade potreby aj podmienky, za ktorých by sa táto odchýlka mala zachovať.</w:t>
      </w:r>
    </w:p>
    <w:p w14:paraId="7567018B" w14:textId="50F50D4D" w:rsidR="00ED2A8D" w:rsidRPr="004F01E9" w:rsidRDefault="00ED2A8D" w:rsidP="00ED2A8D">
      <w:pPr>
        <w:pStyle w:val="Text1"/>
        <w:rPr>
          <w:noProof/>
        </w:rPr>
      </w:pPr>
      <w:r w:rsidRPr="004F01E9">
        <w:rPr>
          <w:noProof/>
        </w:rPr>
        <w:t>EBA podá do 31</w:t>
      </w:r>
      <w:r w:rsidR="004F01E9">
        <w:rPr>
          <w:noProof/>
        </w:rPr>
        <w:t>. decembra</w:t>
      </w:r>
      <w:r w:rsidRPr="004F01E9">
        <w:rPr>
          <w:noProof/>
        </w:rPr>
        <w:t xml:space="preserve"> 2028 Európskemu parlamentu, Rade</w:t>
      </w:r>
      <w:r w:rsidR="004F01E9">
        <w:rPr>
          <w:noProof/>
        </w:rPr>
        <w:t xml:space="preserve"> a </w:t>
      </w:r>
      <w:r w:rsidRPr="004F01E9">
        <w:rPr>
          <w:noProof/>
        </w:rPr>
        <w:t>Komisii správu</w:t>
      </w:r>
      <w:r w:rsidR="004F01E9">
        <w:rPr>
          <w:noProof/>
        </w:rPr>
        <w:t xml:space="preserve"> o </w:t>
      </w:r>
      <w:r w:rsidRPr="004F01E9">
        <w:rPr>
          <w:noProof/>
        </w:rPr>
        <w:t>zisteniach.</w:t>
      </w:r>
    </w:p>
    <w:p w14:paraId="61C7DFFE" w14:textId="42D94548" w:rsidR="00ED2A8D" w:rsidRPr="004F01E9" w:rsidRDefault="00ED2A8D" w:rsidP="00ED2A8D">
      <w:pPr>
        <w:pStyle w:val="Text1"/>
        <w:rPr>
          <w:noProof/>
        </w:rPr>
      </w:pPr>
      <w:r w:rsidRPr="004F01E9">
        <w:rPr>
          <w:noProof/>
        </w:rPr>
        <w:t>Komisia na základe tejto správy</w:t>
      </w:r>
      <w:r w:rsidR="004F01E9">
        <w:rPr>
          <w:noProof/>
        </w:rPr>
        <w:t xml:space="preserve"> a </w:t>
      </w:r>
      <w:r w:rsidRPr="004F01E9">
        <w:rPr>
          <w:noProof/>
        </w:rPr>
        <w:t>po náležitom zohľadnení súvisiacich medzinárodne dohodnutých noriem vypracovaných BCBS</w:t>
      </w:r>
      <w:r w:rsidR="004F01E9">
        <w:rPr>
          <w:noProof/>
        </w:rPr>
        <w:t xml:space="preserve"> v </w:t>
      </w:r>
      <w:r w:rsidRPr="004F01E9">
        <w:rPr>
          <w:noProof/>
        </w:rPr>
        <w:t>prípade potreby predloží Európskemu parlamentu</w:t>
      </w:r>
      <w:r w:rsidR="004F01E9">
        <w:rPr>
          <w:noProof/>
        </w:rPr>
        <w:t xml:space="preserve"> a </w:t>
      </w:r>
      <w:r w:rsidRPr="004F01E9">
        <w:rPr>
          <w:noProof/>
        </w:rPr>
        <w:t>Rade do 31</w:t>
      </w:r>
      <w:r w:rsidR="004F01E9">
        <w:rPr>
          <w:noProof/>
        </w:rPr>
        <w:t>. decembra</w:t>
      </w:r>
      <w:r w:rsidRPr="004F01E9">
        <w:rPr>
          <w:noProof/>
        </w:rPr>
        <w:t xml:space="preserve"> 2031 legislatívny návrh.“</w:t>
      </w:r>
    </w:p>
    <w:p w14:paraId="2D8A9154" w14:textId="3A7065C7" w:rsidR="0045677E" w:rsidRPr="004F01E9" w:rsidRDefault="00B16452" w:rsidP="00B16452">
      <w:pPr>
        <w:pStyle w:val="Point0"/>
        <w:rPr>
          <w:noProof/>
        </w:rPr>
      </w:pPr>
      <w:r w:rsidRPr="00B16452">
        <w:rPr>
          <w:noProof/>
        </w:rPr>
        <w:t>200</w:t>
      </w:r>
      <w:r>
        <w:rPr>
          <w:noProof/>
        </w:rPr>
        <w:t>.</w:t>
      </w:r>
      <w:r w:rsidRPr="00B16452">
        <w:rPr>
          <w:noProof/>
        </w:rPr>
        <w:tab/>
      </w:r>
      <w:r w:rsidR="0045677E" w:rsidRPr="004F01E9">
        <w:rPr>
          <w:noProof/>
        </w:rPr>
        <w:t>V článku 501 ods. 2 sa písmeno b) nahrádza takto:</w:t>
      </w:r>
    </w:p>
    <w:p w14:paraId="37F620F4" w14:textId="47EE8B53" w:rsidR="0045677E" w:rsidRPr="004F01E9" w:rsidRDefault="0045677E" w:rsidP="0045677E">
      <w:pPr>
        <w:pStyle w:val="Text1"/>
        <w:rPr>
          <w:noProof/>
        </w:rPr>
      </w:pPr>
      <w:r w:rsidRPr="004F01E9">
        <w:rPr>
          <w:noProof/>
        </w:rPr>
        <w:t>„b) MSP má význam vymedzený</w:t>
      </w:r>
      <w:r w:rsidR="004F01E9">
        <w:rPr>
          <w:noProof/>
        </w:rPr>
        <w:t xml:space="preserve"> v </w:t>
      </w:r>
      <w:r w:rsidRPr="004F01E9">
        <w:rPr>
          <w:noProof/>
        </w:rPr>
        <w:t>článku 5 ods. 8;“.</w:t>
      </w:r>
    </w:p>
    <w:p w14:paraId="785AF785" w14:textId="4B1EADE9" w:rsidR="0045677E" w:rsidRPr="004F01E9" w:rsidRDefault="00B16452" w:rsidP="00B16452">
      <w:pPr>
        <w:pStyle w:val="Point0"/>
        <w:rPr>
          <w:noProof/>
        </w:rPr>
      </w:pPr>
      <w:r w:rsidRPr="00B16452">
        <w:rPr>
          <w:noProof/>
        </w:rPr>
        <w:t>201</w:t>
      </w:r>
      <w:r>
        <w:rPr>
          <w:noProof/>
        </w:rPr>
        <w:t>.</w:t>
      </w:r>
      <w:r w:rsidRPr="00B16452">
        <w:rPr>
          <w:noProof/>
        </w:rPr>
        <w:tab/>
      </w:r>
      <w:r w:rsidR="0045677E" w:rsidRPr="004F01E9">
        <w:rPr>
          <w:noProof/>
        </w:rPr>
        <w:t>Článok 501a ods. 1 sa mení takto:</w:t>
      </w:r>
    </w:p>
    <w:p w14:paraId="54D6A313" w14:textId="492924BE" w:rsidR="0045677E" w:rsidRPr="004F01E9" w:rsidRDefault="00163334" w:rsidP="00163334">
      <w:pPr>
        <w:pStyle w:val="Point1"/>
        <w:rPr>
          <w:noProof/>
        </w:rPr>
      </w:pPr>
      <w:r w:rsidRPr="004F01E9">
        <w:rPr>
          <w:noProof/>
        </w:rPr>
        <w:t>a)</w:t>
      </w:r>
      <w:r w:rsidRPr="004F01E9">
        <w:rPr>
          <w:noProof/>
        </w:rPr>
        <w:tab/>
        <w:t>Písmeno a) sa nahrádza takto:</w:t>
      </w:r>
    </w:p>
    <w:p w14:paraId="493AF02F" w14:textId="5506E7A4" w:rsidR="0045677E" w:rsidRPr="004F01E9" w:rsidRDefault="0045677E" w:rsidP="00615061">
      <w:pPr>
        <w:pStyle w:val="Text2"/>
        <w:rPr>
          <w:noProof/>
        </w:rPr>
      </w:pPr>
      <w:r w:rsidRPr="004F01E9">
        <w:rPr>
          <w:noProof/>
        </w:rPr>
        <w:t>„a) expozícia je zaradená do triedy expozícií voči podnikateľským subjektom uvedenej buď</w:t>
      </w:r>
      <w:r w:rsidR="004F01E9">
        <w:rPr>
          <w:noProof/>
        </w:rPr>
        <w:t xml:space="preserve"> v </w:t>
      </w:r>
      <w:r w:rsidRPr="004F01E9">
        <w:rPr>
          <w:noProof/>
        </w:rPr>
        <w:t>článku 112 písm. g) alebo</w:t>
      </w:r>
      <w:r w:rsidR="004F01E9">
        <w:rPr>
          <w:noProof/>
        </w:rPr>
        <w:t xml:space="preserve"> v </w:t>
      </w:r>
      <w:r w:rsidRPr="004F01E9">
        <w:rPr>
          <w:noProof/>
        </w:rPr>
        <w:t>článku 147 ods. 2 písm. c), pričom expozície</w:t>
      </w:r>
      <w:r w:rsidR="004F01E9">
        <w:rPr>
          <w:noProof/>
        </w:rPr>
        <w:t xml:space="preserve"> v </w:t>
      </w:r>
      <w:r w:rsidRPr="004F01E9">
        <w:rPr>
          <w:noProof/>
        </w:rPr>
        <w:t>stave zlyhania sa vylúčia;“;</w:t>
      </w:r>
    </w:p>
    <w:p w14:paraId="0B724AD6" w14:textId="6FE36B46" w:rsidR="00806B81" w:rsidRPr="004F01E9" w:rsidRDefault="00163334" w:rsidP="00163334">
      <w:pPr>
        <w:pStyle w:val="Point1"/>
        <w:rPr>
          <w:noProof/>
        </w:rPr>
      </w:pPr>
      <w:r w:rsidRPr="004F01E9">
        <w:rPr>
          <w:noProof/>
        </w:rPr>
        <w:t>b)</w:t>
      </w:r>
      <w:r w:rsidRPr="004F01E9">
        <w:rPr>
          <w:noProof/>
        </w:rPr>
        <w:tab/>
        <w:t>Písmeno f) nahrádza takto:</w:t>
      </w:r>
    </w:p>
    <w:p w14:paraId="7A10EBA6" w14:textId="20D5CE8F" w:rsidR="0045677E" w:rsidRPr="004F01E9" w:rsidRDefault="0045677E" w:rsidP="00615061">
      <w:pPr>
        <w:pStyle w:val="Text2"/>
        <w:rPr>
          <w:noProof/>
        </w:rPr>
      </w:pPr>
      <w:r w:rsidRPr="004F01E9">
        <w:rPr>
          <w:noProof/>
        </w:rPr>
        <w:t>„f) riziko refinancovania expozície dlžníkom je nízke alebo primerane zmiernené</w:t>
      </w:r>
      <w:r w:rsidR="004F01E9">
        <w:rPr>
          <w:noProof/>
        </w:rPr>
        <w:t xml:space="preserve"> s </w:t>
      </w:r>
      <w:r w:rsidRPr="004F01E9">
        <w:rPr>
          <w:noProof/>
        </w:rPr>
        <w:t>ohľadom na všetky dotácie, granty alebo finančné prostriedky, ktoré poskytuje jeden alebo viacero subjektov uvedených</w:t>
      </w:r>
      <w:r w:rsidR="004F01E9">
        <w:rPr>
          <w:noProof/>
        </w:rPr>
        <w:t xml:space="preserve"> v </w:t>
      </w:r>
      <w:r w:rsidRPr="004F01E9">
        <w:rPr>
          <w:noProof/>
        </w:rPr>
        <w:t>odseku 2 písm. b) bodoch i)</w:t>
      </w:r>
      <w:r w:rsidR="004F01E9">
        <w:rPr>
          <w:noProof/>
        </w:rPr>
        <w:t xml:space="preserve"> a </w:t>
      </w:r>
      <w:r w:rsidRPr="004F01E9">
        <w:rPr>
          <w:noProof/>
        </w:rPr>
        <w:t>ii);“.</w:t>
      </w:r>
    </w:p>
    <w:p w14:paraId="762D2DD2" w14:textId="520B3CEA" w:rsidR="0045677E" w:rsidRPr="004F01E9" w:rsidRDefault="00B16452" w:rsidP="00B16452">
      <w:pPr>
        <w:pStyle w:val="Point0"/>
        <w:rPr>
          <w:noProof/>
        </w:rPr>
      </w:pPr>
      <w:r w:rsidRPr="00B16452">
        <w:rPr>
          <w:noProof/>
        </w:rPr>
        <w:t>202</w:t>
      </w:r>
      <w:r>
        <w:rPr>
          <w:noProof/>
        </w:rPr>
        <w:t>.</w:t>
      </w:r>
      <w:r w:rsidRPr="00B16452">
        <w:rPr>
          <w:noProof/>
        </w:rPr>
        <w:tab/>
      </w:r>
      <w:r w:rsidR="0045677E" w:rsidRPr="004F01E9">
        <w:rPr>
          <w:noProof/>
        </w:rPr>
        <w:t>Článok 501c sa nahrádza takto:</w:t>
      </w:r>
    </w:p>
    <w:p w14:paraId="7E6A0318" w14:textId="75CC7B8A" w:rsidR="00760852" w:rsidRPr="004F01E9" w:rsidRDefault="00760852" w:rsidP="001B604C">
      <w:pPr>
        <w:pStyle w:val="Titrearticle"/>
        <w:rPr>
          <w:noProof/>
        </w:rPr>
      </w:pPr>
      <w:r w:rsidRPr="004F01E9">
        <w:rPr>
          <w:noProof/>
        </w:rPr>
        <w:t xml:space="preserve">„Článok 501c </w:t>
      </w:r>
      <w:r w:rsidRPr="004F01E9">
        <w:rPr>
          <w:noProof/>
        </w:rPr>
        <w:br/>
      </w:r>
      <w:r w:rsidRPr="004F01E9">
        <w:rPr>
          <w:b/>
          <w:i w:val="0"/>
          <w:noProof/>
        </w:rPr>
        <w:t>Prudenciálne zaobchádzanie</w:t>
      </w:r>
      <w:r w:rsidR="004F01E9">
        <w:rPr>
          <w:b/>
          <w:i w:val="0"/>
          <w:noProof/>
        </w:rPr>
        <w:t xml:space="preserve"> s </w:t>
      </w:r>
      <w:r w:rsidRPr="004F01E9">
        <w:rPr>
          <w:b/>
          <w:i w:val="0"/>
          <w:noProof/>
        </w:rPr>
        <w:t>expozíciami, ktoré súvisia</w:t>
      </w:r>
      <w:r w:rsidR="004F01E9">
        <w:rPr>
          <w:b/>
          <w:i w:val="0"/>
          <w:noProof/>
        </w:rPr>
        <w:t xml:space="preserve"> s </w:t>
      </w:r>
      <w:r w:rsidRPr="004F01E9">
        <w:rPr>
          <w:b/>
          <w:i w:val="0"/>
          <w:noProof/>
        </w:rPr>
        <w:t>environmentálnymi a/alebo so sociálnymi faktormi</w:t>
      </w:r>
    </w:p>
    <w:p w14:paraId="4405AA3A" w14:textId="5B5DB6C2" w:rsidR="00760852" w:rsidRPr="004F01E9" w:rsidRDefault="00760852" w:rsidP="001B604C">
      <w:pPr>
        <w:pStyle w:val="Text1"/>
        <w:rPr>
          <w:noProof/>
        </w:rPr>
      </w:pPr>
      <w:r w:rsidRPr="004F01E9">
        <w:rPr>
          <w:noProof/>
        </w:rPr>
        <w:t>EBA po konzultácii</w:t>
      </w:r>
      <w:r w:rsidR="004F01E9">
        <w:rPr>
          <w:noProof/>
        </w:rPr>
        <w:t xml:space="preserve"> s </w:t>
      </w:r>
      <w:r w:rsidRPr="004F01E9">
        <w:rPr>
          <w:noProof/>
        </w:rPr>
        <w:t>ESRB na základe dostupných údajov</w:t>
      </w:r>
      <w:r w:rsidR="004F01E9">
        <w:rPr>
          <w:noProof/>
        </w:rPr>
        <w:t xml:space="preserve"> a </w:t>
      </w:r>
      <w:r w:rsidRPr="004F01E9">
        <w:rPr>
          <w:noProof/>
        </w:rPr>
        <w:t>zistení expertnej skupiny Komisie na vysokej úrovni pre udržateľné financovanie posúdi, či by bolo odôvodnené osobitné prudenciálne zaobchádzanie</w:t>
      </w:r>
      <w:r w:rsidR="004F01E9">
        <w:rPr>
          <w:noProof/>
        </w:rPr>
        <w:t xml:space="preserve"> s </w:t>
      </w:r>
      <w:r w:rsidRPr="004F01E9">
        <w:rPr>
          <w:noProof/>
        </w:rPr>
        <w:t>expozíciami, ktoré sa týkajú aktív vrátane sekuritizácií alebo činností, ktoré podliehajú vplyvom environmentálnych a/alebo sociálnych faktorov. EBA posúdi najmä:</w:t>
      </w:r>
    </w:p>
    <w:p w14:paraId="28604C50" w14:textId="6AC31AC6" w:rsidR="00760852" w:rsidRPr="004F01E9" w:rsidRDefault="00760852" w:rsidP="001B604C">
      <w:pPr>
        <w:pStyle w:val="Point1"/>
        <w:rPr>
          <w:noProof/>
        </w:rPr>
      </w:pPr>
      <w:r w:rsidRPr="004F01E9">
        <w:rPr>
          <w:noProof/>
        </w:rPr>
        <w:t>a)</w:t>
      </w:r>
      <w:r w:rsidRPr="004F01E9">
        <w:rPr>
          <w:noProof/>
        </w:rPr>
        <w:tab/>
        <w:t>metodiky na posúdenie efektívnej rizikovosti expozícií týkajúcich sa aktív</w:t>
      </w:r>
      <w:r w:rsidR="004F01E9">
        <w:rPr>
          <w:noProof/>
        </w:rPr>
        <w:t xml:space="preserve"> a </w:t>
      </w:r>
      <w:r w:rsidRPr="004F01E9">
        <w:rPr>
          <w:noProof/>
        </w:rPr>
        <w:t>činností, ktoré</w:t>
      </w:r>
      <w:r w:rsidR="004F01E9">
        <w:rPr>
          <w:noProof/>
        </w:rPr>
        <w:t xml:space="preserve"> v </w:t>
      </w:r>
      <w:r w:rsidRPr="004F01E9">
        <w:rPr>
          <w:noProof/>
        </w:rPr>
        <w:t>značnej miere podliehajú vplyvom environmentálnych a/alebo sociálnych faktorov,</w:t>
      </w:r>
      <w:r w:rsidR="004F01E9">
        <w:rPr>
          <w:noProof/>
        </w:rPr>
        <w:t xml:space="preserve"> v </w:t>
      </w:r>
      <w:r w:rsidRPr="004F01E9">
        <w:rPr>
          <w:noProof/>
        </w:rPr>
        <w:t>porovnaní</w:t>
      </w:r>
      <w:r w:rsidR="004F01E9">
        <w:rPr>
          <w:noProof/>
        </w:rPr>
        <w:t xml:space="preserve"> s </w:t>
      </w:r>
      <w:r w:rsidRPr="004F01E9">
        <w:rPr>
          <w:noProof/>
        </w:rPr>
        <w:t>rizikovosťou iných expozícií;</w:t>
      </w:r>
    </w:p>
    <w:p w14:paraId="115C595B" w14:textId="0F655397" w:rsidR="00760852" w:rsidRPr="004F01E9" w:rsidRDefault="00760852" w:rsidP="001B604C">
      <w:pPr>
        <w:pStyle w:val="Point1"/>
        <w:rPr>
          <w:noProof/>
        </w:rPr>
      </w:pPr>
      <w:r w:rsidRPr="004F01E9">
        <w:rPr>
          <w:noProof/>
        </w:rPr>
        <w:t>b)</w:t>
      </w:r>
      <w:r w:rsidRPr="004F01E9">
        <w:rPr>
          <w:noProof/>
        </w:rPr>
        <w:tab/>
        <w:t>vývoj vhodných kritérií na posúdenie fyzických rizík</w:t>
      </w:r>
      <w:r w:rsidR="004F01E9">
        <w:rPr>
          <w:noProof/>
        </w:rPr>
        <w:t xml:space="preserve"> a </w:t>
      </w:r>
      <w:r w:rsidRPr="004F01E9">
        <w:rPr>
          <w:noProof/>
        </w:rPr>
        <w:t>rizík prechodu vrátane rizík súvisiacich</w:t>
      </w:r>
      <w:r w:rsidR="004F01E9">
        <w:rPr>
          <w:noProof/>
        </w:rPr>
        <w:t xml:space="preserve"> s </w:t>
      </w:r>
      <w:r w:rsidRPr="004F01E9">
        <w:rPr>
          <w:noProof/>
        </w:rPr>
        <w:t>depreciáciou aktív</w:t>
      </w:r>
      <w:r w:rsidR="004F01E9">
        <w:rPr>
          <w:noProof/>
        </w:rPr>
        <w:t xml:space="preserve"> z </w:t>
      </w:r>
      <w:r w:rsidRPr="004F01E9">
        <w:rPr>
          <w:noProof/>
        </w:rPr>
        <w:t>dôvodu regulačných zmien;</w:t>
      </w:r>
    </w:p>
    <w:p w14:paraId="1EDCA5B1" w14:textId="6D5B6257" w:rsidR="00760852" w:rsidRPr="004F01E9" w:rsidRDefault="00760852" w:rsidP="001B604C">
      <w:pPr>
        <w:pStyle w:val="Point1"/>
        <w:rPr>
          <w:noProof/>
        </w:rPr>
      </w:pPr>
      <w:r w:rsidRPr="004F01E9">
        <w:rPr>
          <w:noProof/>
        </w:rPr>
        <w:t>c)</w:t>
      </w:r>
      <w:r w:rsidRPr="004F01E9">
        <w:rPr>
          <w:noProof/>
        </w:rPr>
        <w:tab/>
        <w:t>potenciálne krátkodobé, strednodobé</w:t>
      </w:r>
      <w:r w:rsidR="004F01E9">
        <w:rPr>
          <w:noProof/>
        </w:rPr>
        <w:t xml:space="preserve"> a </w:t>
      </w:r>
      <w:r w:rsidRPr="004F01E9">
        <w:rPr>
          <w:noProof/>
        </w:rPr>
        <w:t>dlhodobé účinky osobitného prudenciálneho zaobchádzania</w:t>
      </w:r>
      <w:r w:rsidR="004F01E9">
        <w:rPr>
          <w:noProof/>
        </w:rPr>
        <w:t xml:space="preserve"> s </w:t>
      </w:r>
      <w:r w:rsidRPr="004F01E9">
        <w:rPr>
          <w:noProof/>
        </w:rPr>
        <w:t>expozíciami, ktoré sa týkajú aktív</w:t>
      </w:r>
      <w:r w:rsidR="004F01E9">
        <w:rPr>
          <w:noProof/>
        </w:rPr>
        <w:t xml:space="preserve"> a </w:t>
      </w:r>
      <w:r w:rsidRPr="004F01E9">
        <w:rPr>
          <w:noProof/>
        </w:rPr>
        <w:t>činností podliehajúcich vplyvom environmentálnych a/alebo sociálnych faktorov na oblasť finančnej stability</w:t>
      </w:r>
      <w:r w:rsidR="004F01E9">
        <w:rPr>
          <w:noProof/>
        </w:rPr>
        <w:t xml:space="preserve"> a </w:t>
      </w:r>
      <w:r w:rsidRPr="004F01E9">
        <w:rPr>
          <w:noProof/>
        </w:rPr>
        <w:t>bankových úverov</w:t>
      </w:r>
      <w:r w:rsidR="004F01E9">
        <w:rPr>
          <w:noProof/>
        </w:rPr>
        <w:t xml:space="preserve"> v </w:t>
      </w:r>
      <w:r w:rsidRPr="004F01E9">
        <w:rPr>
          <w:noProof/>
        </w:rPr>
        <w:t>Únii.</w:t>
      </w:r>
    </w:p>
    <w:p w14:paraId="11CD4288" w14:textId="340A999C" w:rsidR="00760852" w:rsidRPr="004F01E9" w:rsidRDefault="00760852" w:rsidP="001B604C">
      <w:pPr>
        <w:pStyle w:val="Text1"/>
        <w:rPr>
          <w:noProof/>
        </w:rPr>
      </w:pPr>
      <w:r w:rsidRPr="004F01E9">
        <w:rPr>
          <w:noProof/>
        </w:rPr>
        <w:t>EBA podá do 28</w:t>
      </w:r>
      <w:r w:rsidR="004F01E9">
        <w:rPr>
          <w:noProof/>
        </w:rPr>
        <w:t>. júna</w:t>
      </w:r>
      <w:r w:rsidRPr="004F01E9">
        <w:rPr>
          <w:noProof/>
        </w:rPr>
        <w:t xml:space="preserve"> 2023 Európskemu parlamentu, Rade</w:t>
      </w:r>
      <w:r w:rsidR="004F01E9">
        <w:rPr>
          <w:noProof/>
        </w:rPr>
        <w:t xml:space="preserve"> a </w:t>
      </w:r>
      <w:r w:rsidRPr="004F01E9">
        <w:rPr>
          <w:noProof/>
        </w:rPr>
        <w:t>Komisii správu</w:t>
      </w:r>
      <w:r w:rsidR="004F01E9">
        <w:rPr>
          <w:noProof/>
        </w:rPr>
        <w:t xml:space="preserve"> o </w:t>
      </w:r>
      <w:r w:rsidRPr="004F01E9">
        <w:rPr>
          <w:noProof/>
        </w:rPr>
        <w:t>zisteniach.“</w:t>
      </w:r>
    </w:p>
    <w:p w14:paraId="4742B2BC" w14:textId="676DFF84" w:rsidR="00760852" w:rsidRPr="004F01E9" w:rsidRDefault="00B16452" w:rsidP="00B16452">
      <w:pPr>
        <w:pStyle w:val="Point0"/>
        <w:rPr>
          <w:noProof/>
        </w:rPr>
      </w:pPr>
      <w:r w:rsidRPr="00B16452">
        <w:rPr>
          <w:noProof/>
        </w:rPr>
        <w:t>203</w:t>
      </w:r>
      <w:r>
        <w:rPr>
          <w:noProof/>
        </w:rPr>
        <w:t>.</w:t>
      </w:r>
      <w:r w:rsidRPr="00B16452">
        <w:rPr>
          <w:noProof/>
        </w:rPr>
        <w:tab/>
      </w:r>
      <w:r w:rsidR="00760852" w:rsidRPr="004F01E9">
        <w:rPr>
          <w:noProof/>
        </w:rPr>
        <w:t>Články 505</w:t>
      </w:r>
      <w:r w:rsidR="004F01E9">
        <w:rPr>
          <w:noProof/>
        </w:rPr>
        <w:t xml:space="preserve"> a </w:t>
      </w:r>
      <w:r w:rsidR="00760852" w:rsidRPr="004F01E9">
        <w:rPr>
          <w:noProof/>
        </w:rPr>
        <w:t>506 sa nahrádzajú takto:</w:t>
      </w:r>
    </w:p>
    <w:p w14:paraId="52B15483" w14:textId="77777777" w:rsidR="00095E91" w:rsidRPr="004F01E9" w:rsidRDefault="0045677E" w:rsidP="00095E91">
      <w:pPr>
        <w:pStyle w:val="Titrearticle"/>
        <w:spacing w:before="120"/>
        <w:rPr>
          <w:noProof/>
        </w:rPr>
      </w:pPr>
      <w:r w:rsidRPr="004F01E9">
        <w:rPr>
          <w:noProof/>
        </w:rPr>
        <w:t xml:space="preserve">„Článok 505 </w:t>
      </w:r>
      <w:r w:rsidRPr="004F01E9">
        <w:rPr>
          <w:noProof/>
        </w:rPr>
        <w:br/>
      </w:r>
      <w:r w:rsidRPr="004F01E9">
        <w:rPr>
          <w:b/>
          <w:i w:val="0"/>
          <w:noProof/>
        </w:rPr>
        <w:t>Preskúmanie financovania poľnohospodárstva</w:t>
      </w:r>
    </w:p>
    <w:p w14:paraId="7803F490" w14:textId="553B6408" w:rsidR="00095E91" w:rsidRPr="004F01E9" w:rsidRDefault="00095E91" w:rsidP="00095E91">
      <w:pPr>
        <w:pStyle w:val="Text1"/>
        <w:rPr>
          <w:noProof/>
        </w:rPr>
      </w:pPr>
      <w:r w:rsidRPr="004F01E9">
        <w:rPr>
          <w:noProof/>
        </w:rPr>
        <w:t>EBA do 31</w:t>
      </w:r>
      <w:r w:rsidR="004F01E9">
        <w:rPr>
          <w:noProof/>
        </w:rPr>
        <w:t>. decembra</w:t>
      </w:r>
      <w:r w:rsidRPr="004F01E9">
        <w:rPr>
          <w:noProof/>
        </w:rPr>
        <w:t xml:space="preserve"> 2030 podá Komisii </w:t>
      </w:r>
      <w:r w:rsidRPr="004F01E9">
        <w:rPr>
          <w:noProof/>
          <w:color w:val="000000"/>
          <w:shd w:val="clear" w:color="auto" w:fill="FFFFFF"/>
        </w:rPr>
        <w:t>správu</w:t>
      </w:r>
      <w:r w:rsidR="004F01E9">
        <w:rPr>
          <w:noProof/>
          <w:color w:val="000000"/>
          <w:shd w:val="clear" w:color="auto" w:fill="FFFFFF"/>
        </w:rPr>
        <w:t xml:space="preserve"> o </w:t>
      </w:r>
      <w:r w:rsidRPr="004F01E9">
        <w:rPr>
          <w:noProof/>
          <w:color w:val="000000"/>
          <w:shd w:val="clear" w:color="auto" w:fill="FFFFFF"/>
        </w:rPr>
        <w:t>vplyve požiadaviek tohto nariadenia na financovanie poľnohospodárstva.</w:t>
      </w:r>
    </w:p>
    <w:p w14:paraId="52C2630C" w14:textId="77777777" w:rsidR="0045677E" w:rsidRPr="004F01E9" w:rsidRDefault="0045677E" w:rsidP="0045677E">
      <w:pPr>
        <w:pStyle w:val="Titrearticle"/>
        <w:spacing w:before="120"/>
        <w:rPr>
          <w:noProof/>
        </w:rPr>
      </w:pPr>
      <w:r w:rsidRPr="004F01E9">
        <w:rPr>
          <w:noProof/>
        </w:rPr>
        <w:t xml:space="preserve">Článok 506 </w:t>
      </w:r>
      <w:r w:rsidRPr="004F01E9">
        <w:rPr>
          <w:noProof/>
        </w:rPr>
        <w:br/>
      </w:r>
      <w:r w:rsidRPr="004F01E9">
        <w:rPr>
          <w:b/>
          <w:i w:val="0"/>
          <w:noProof/>
        </w:rPr>
        <w:t>Kreditné riziko – poistenie úverov</w:t>
      </w:r>
    </w:p>
    <w:p w14:paraId="065EA4D8" w14:textId="6628098E" w:rsidR="0045677E" w:rsidRPr="004F01E9" w:rsidRDefault="0045677E" w:rsidP="0045677E">
      <w:pPr>
        <w:pStyle w:val="Text1"/>
        <w:rPr>
          <w:noProof/>
        </w:rPr>
      </w:pPr>
      <w:r w:rsidRPr="004F01E9">
        <w:rPr>
          <w:noProof/>
        </w:rPr>
        <w:t>EBA do 31</w:t>
      </w:r>
      <w:r w:rsidR="004F01E9">
        <w:rPr>
          <w:noProof/>
        </w:rPr>
        <w:t>. decembra</w:t>
      </w:r>
      <w:r w:rsidRPr="004F01E9">
        <w:rPr>
          <w:noProof/>
        </w:rPr>
        <w:t xml:space="preserve"> 2026 podá Komisii správu</w:t>
      </w:r>
      <w:r w:rsidR="004F01E9">
        <w:rPr>
          <w:noProof/>
        </w:rPr>
        <w:t xml:space="preserve"> o </w:t>
      </w:r>
      <w:r w:rsidRPr="004F01E9">
        <w:rPr>
          <w:noProof/>
        </w:rPr>
        <w:t>oprávnenosti</w:t>
      </w:r>
      <w:r w:rsidR="004F01E9">
        <w:rPr>
          <w:noProof/>
        </w:rPr>
        <w:t xml:space="preserve"> a </w:t>
      </w:r>
      <w:r w:rsidRPr="004F01E9">
        <w:rPr>
          <w:noProof/>
        </w:rPr>
        <w:t>používaní poistenia ako postupov zmierňovania kreditného rizika</w:t>
      </w:r>
      <w:r w:rsidR="004F01E9">
        <w:rPr>
          <w:noProof/>
        </w:rPr>
        <w:t xml:space="preserve"> a o </w:t>
      </w:r>
      <w:r w:rsidRPr="004F01E9">
        <w:rPr>
          <w:noProof/>
        </w:rPr>
        <w:t>vhodnosti súvisiacich parametrov rizika uvedených</w:t>
      </w:r>
      <w:r w:rsidR="004F01E9">
        <w:rPr>
          <w:noProof/>
        </w:rPr>
        <w:t xml:space="preserve"> v </w:t>
      </w:r>
      <w:r w:rsidRPr="004F01E9">
        <w:rPr>
          <w:noProof/>
        </w:rPr>
        <w:t>tretej časti hlave II kapitolách 3</w:t>
      </w:r>
      <w:r w:rsidR="004F01E9">
        <w:rPr>
          <w:noProof/>
        </w:rPr>
        <w:t xml:space="preserve"> a </w:t>
      </w:r>
      <w:r w:rsidRPr="004F01E9">
        <w:rPr>
          <w:noProof/>
        </w:rPr>
        <w:t>4.</w:t>
      </w:r>
    </w:p>
    <w:p w14:paraId="77E6B201" w14:textId="03DCD475" w:rsidR="0045677E" w:rsidRPr="004F01E9" w:rsidRDefault="0045677E" w:rsidP="0045677E">
      <w:pPr>
        <w:pStyle w:val="Text1"/>
        <w:rPr>
          <w:noProof/>
        </w:rPr>
      </w:pPr>
      <w:r w:rsidRPr="004F01E9">
        <w:rPr>
          <w:noProof/>
        </w:rPr>
        <w:t>Na základe správy EBA je Komisia splnomocnená zmeniť toto nariadenie prijatím delegovaného aktu</w:t>
      </w:r>
      <w:r w:rsidR="004F01E9">
        <w:rPr>
          <w:noProof/>
        </w:rPr>
        <w:t xml:space="preserve"> v </w:t>
      </w:r>
      <w:r w:rsidRPr="004F01E9">
        <w:rPr>
          <w:noProof/>
        </w:rPr>
        <w:t>prípade potreby</w:t>
      </w:r>
      <w:r w:rsidR="004F01E9">
        <w:rPr>
          <w:noProof/>
        </w:rPr>
        <w:t xml:space="preserve"> v </w:t>
      </w:r>
      <w:r w:rsidRPr="004F01E9">
        <w:rPr>
          <w:noProof/>
        </w:rPr>
        <w:t>súlade</w:t>
      </w:r>
      <w:r w:rsidR="004F01E9">
        <w:rPr>
          <w:noProof/>
        </w:rPr>
        <w:t xml:space="preserve"> s </w:t>
      </w:r>
      <w:r w:rsidRPr="004F01E9">
        <w:rPr>
          <w:noProof/>
        </w:rPr>
        <w:t>článkom 462</w:t>
      </w:r>
      <w:r w:rsidR="004F01E9">
        <w:rPr>
          <w:noProof/>
        </w:rPr>
        <w:t xml:space="preserve"> s </w:t>
      </w:r>
      <w:r w:rsidRPr="004F01E9">
        <w:rPr>
          <w:noProof/>
        </w:rPr>
        <w:t>cieľom zmeniť zaobchádzanie uplatniteľné na poistenie úverov uvedené</w:t>
      </w:r>
      <w:r w:rsidR="004F01E9">
        <w:rPr>
          <w:noProof/>
        </w:rPr>
        <w:t xml:space="preserve"> v </w:t>
      </w:r>
      <w:r w:rsidRPr="004F01E9">
        <w:rPr>
          <w:noProof/>
        </w:rPr>
        <w:t>tretej časti hlave II.“</w:t>
      </w:r>
    </w:p>
    <w:p w14:paraId="6847D1C3" w14:textId="6D587B2F" w:rsidR="0045677E" w:rsidRPr="004F01E9" w:rsidRDefault="00B16452" w:rsidP="00B16452">
      <w:pPr>
        <w:pStyle w:val="Point0"/>
        <w:rPr>
          <w:noProof/>
        </w:rPr>
      </w:pPr>
      <w:r w:rsidRPr="00B16452">
        <w:rPr>
          <w:noProof/>
        </w:rPr>
        <w:t>204</w:t>
      </w:r>
      <w:r>
        <w:rPr>
          <w:noProof/>
        </w:rPr>
        <w:t>.</w:t>
      </w:r>
      <w:r w:rsidRPr="00B16452">
        <w:rPr>
          <w:noProof/>
        </w:rPr>
        <w:tab/>
      </w:r>
      <w:r w:rsidR="0045677E" w:rsidRPr="004F01E9">
        <w:rPr>
          <w:noProof/>
        </w:rPr>
        <w:t>Vkladá sa tento článok 506c:</w:t>
      </w:r>
    </w:p>
    <w:p w14:paraId="26471A5B" w14:textId="6820809B" w:rsidR="0045677E" w:rsidRPr="004F01E9" w:rsidRDefault="0045677E" w:rsidP="0045677E">
      <w:pPr>
        <w:pStyle w:val="Titrearticle"/>
        <w:spacing w:before="120"/>
        <w:rPr>
          <w:noProof/>
        </w:rPr>
      </w:pPr>
      <w:r w:rsidRPr="004F01E9">
        <w:rPr>
          <w:noProof/>
        </w:rPr>
        <w:t xml:space="preserve">„Článok 506c </w:t>
      </w:r>
      <w:r w:rsidRPr="004F01E9">
        <w:rPr>
          <w:noProof/>
        </w:rPr>
        <w:br/>
      </w:r>
      <w:r w:rsidRPr="004F01E9">
        <w:rPr>
          <w:b/>
          <w:i w:val="0"/>
          <w:noProof/>
        </w:rPr>
        <w:t>Kreditné riziko – interakcia medzi odpočtami</w:t>
      </w:r>
      <w:r w:rsidR="004F01E9">
        <w:rPr>
          <w:b/>
          <w:i w:val="0"/>
          <w:noProof/>
        </w:rPr>
        <w:t xml:space="preserve"> z </w:t>
      </w:r>
      <w:r w:rsidRPr="004F01E9">
        <w:rPr>
          <w:b/>
          <w:i w:val="0"/>
          <w:noProof/>
        </w:rPr>
        <w:t>vlastného kapitálu Tier 1</w:t>
      </w:r>
      <w:r w:rsidR="004F01E9">
        <w:rPr>
          <w:b/>
          <w:i w:val="0"/>
          <w:noProof/>
        </w:rPr>
        <w:t xml:space="preserve"> a </w:t>
      </w:r>
      <w:r w:rsidRPr="004F01E9">
        <w:rPr>
          <w:b/>
          <w:i w:val="0"/>
          <w:noProof/>
        </w:rPr>
        <w:t>parametrami kreditného rizika</w:t>
      </w:r>
    </w:p>
    <w:p w14:paraId="10CAD9D9" w14:textId="06D88318" w:rsidR="0045677E" w:rsidRPr="0074420B" w:rsidRDefault="0045677E" w:rsidP="0045677E">
      <w:pPr>
        <w:pStyle w:val="Text1"/>
        <w:rPr>
          <w:noProof/>
          <w:spacing w:val="-4"/>
        </w:rPr>
      </w:pPr>
      <w:r w:rsidRPr="0074420B">
        <w:rPr>
          <w:noProof/>
          <w:spacing w:val="-4"/>
        </w:rPr>
        <w:t>EBA do 31</w:t>
      </w:r>
      <w:r w:rsidR="004F01E9" w:rsidRPr="0074420B">
        <w:rPr>
          <w:noProof/>
          <w:spacing w:val="-4"/>
        </w:rPr>
        <w:t>. decembra</w:t>
      </w:r>
      <w:r w:rsidRPr="0074420B">
        <w:rPr>
          <w:noProof/>
          <w:spacing w:val="-4"/>
        </w:rPr>
        <w:t xml:space="preserve"> 2026 podá Komisii správu</w:t>
      </w:r>
      <w:r w:rsidR="004F01E9" w:rsidRPr="0074420B">
        <w:rPr>
          <w:noProof/>
          <w:spacing w:val="-4"/>
        </w:rPr>
        <w:t xml:space="preserve"> o </w:t>
      </w:r>
      <w:r w:rsidRPr="0074420B">
        <w:rPr>
          <w:noProof/>
          <w:spacing w:val="-4"/>
        </w:rPr>
        <w:t>súlade medzi súčasným meraním kreditného rizika</w:t>
      </w:r>
      <w:r w:rsidR="004F01E9" w:rsidRPr="0074420B">
        <w:rPr>
          <w:noProof/>
          <w:spacing w:val="-4"/>
        </w:rPr>
        <w:t xml:space="preserve"> a </w:t>
      </w:r>
      <w:r w:rsidRPr="0074420B">
        <w:rPr>
          <w:noProof/>
          <w:spacing w:val="-4"/>
        </w:rPr>
        <w:t>jednotlivými parametrami kreditného rizika</w:t>
      </w:r>
      <w:r w:rsidR="004F01E9" w:rsidRPr="0074420B">
        <w:rPr>
          <w:noProof/>
          <w:spacing w:val="-4"/>
        </w:rPr>
        <w:t xml:space="preserve"> a o </w:t>
      </w:r>
      <w:r w:rsidRPr="0074420B">
        <w:rPr>
          <w:noProof/>
          <w:spacing w:val="-4"/>
        </w:rPr>
        <w:t>zaobchádzaní</w:t>
      </w:r>
      <w:r w:rsidR="004F01E9" w:rsidRPr="0074420B">
        <w:rPr>
          <w:noProof/>
          <w:spacing w:val="-4"/>
        </w:rPr>
        <w:t xml:space="preserve"> s </w:t>
      </w:r>
      <w:r w:rsidRPr="0074420B">
        <w:rPr>
          <w:noProof/>
          <w:spacing w:val="-4"/>
        </w:rPr>
        <w:t>akýmikoľvek úpravami na účely výpočtu schodku alebo prebytku IRB, ako sa uvádza</w:t>
      </w:r>
      <w:r w:rsidR="004F01E9" w:rsidRPr="0074420B">
        <w:rPr>
          <w:noProof/>
          <w:spacing w:val="-4"/>
        </w:rPr>
        <w:t xml:space="preserve"> v </w:t>
      </w:r>
      <w:r w:rsidRPr="0074420B">
        <w:rPr>
          <w:noProof/>
          <w:spacing w:val="-4"/>
        </w:rPr>
        <w:t>článku 159,</w:t>
      </w:r>
      <w:r w:rsidR="004F01E9" w:rsidRPr="0074420B">
        <w:rPr>
          <w:noProof/>
          <w:spacing w:val="-4"/>
        </w:rPr>
        <w:t xml:space="preserve"> a o </w:t>
      </w:r>
      <w:r w:rsidRPr="0074420B">
        <w:rPr>
          <w:noProof/>
          <w:spacing w:val="-4"/>
        </w:rPr>
        <w:t>jeho súlade</w:t>
      </w:r>
      <w:r w:rsidR="004F01E9" w:rsidRPr="0074420B">
        <w:rPr>
          <w:noProof/>
          <w:spacing w:val="-4"/>
        </w:rPr>
        <w:t xml:space="preserve"> s </w:t>
      </w:r>
      <w:r w:rsidRPr="0074420B">
        <w:rPr>
          <w:noProof/>
          <w:spacing w:val="-4"/>
        </w:rPr>
        <w:t>určením hodnoty expozície</w:t>
      </w:r>
      <w:r w:rsidR="004F01E9" w:rsidRPr="0074420B">
        <w:rPr>
          <w:noProof/>
          <w:spacing w:val="-4"/>
        </w:rPr>
        <w:t xml:space="preserve"> v </w:t>
      </w:r>
      <w:r w:rsidRPr="0074420B">
        <w:rPr>
          <w:noProof/>
          <w:spacing w:val="-4"/>
        </w:rPr>
        <w:t>súlade</w:t>
      </w:r>
      <w:r w:rsidR="004F01E9" w:rsidRPr="0074420B">
        <w:rPr>
          <w:noProof/>
          <w:spacing w:val="-4"/>
        </w:rPr>
        <w:t xml:space="preserve"> s </w:t>
      </w:r>
      <w:r w:rsidRPr="0074420B">
        <w:rPr>
          <w:noProof/>
          <w:spacing w:val="-4"/>
        </w:rPr>
        <w:t>článkom 166 tohto nariadenia</w:t>
      </w:r>
      <w:r w:rsidR="004F01E9" w:rsidRPr="0074420B">
        <w:rPr>
          <w:noProof/>
          <w:spacing w:val="-4"/>
        </w:rPr>
        <w:t xml:space="preserve"> a s </w:t>
      </w:r>
      <w:r w:rsidRPr="0074420B">
        <w:rPr>
          <w:noProof/>
          <w:spacing w:val="-4"/>
        </w:rPr>
        <w:t>odhadom LGD.</w:t>
      </w:r>
      <w:r w:rsidR="004F01E9" w:rsidRPr="0074420B">
        <w:rPr>
          <w:noProof/>
          <w:spacing w:val="-4"/>
        </w:rPr>
        <w:t xml:space="preserve"> V </w:t>
      </w:r>
      <w:r w:rsidRPr="0074420B">
        <w:rPr>
          <w:noProof/>
          <w:spacing w:val="-4"/>
        </w:rPr>
        <w:t>správe sa posúdi maximálna možná hospodárska strata vyplývajúca zo zlyhania spolu</w:t>
      </w:r>
      <w:r w:rsidR="004F01E9" w:rsidRPr="0074420B">
        <w:rPr>
          <w:noProof/>
          <w:spacing w:val="-4"/>
        </w:rPr>
        <w:t xml:space="preserve"> s </w:t>
      </w:r>
      <w:r w:rsidRPr="0074420B">
        <w:rPr>
          <w:noProof/>
          <w:spacing w:val="-4"/>
        </w:rPr>
        <w:t>jej dosiahnutým krytím, pokiaľ ide</w:t>
      </w:r>
      <w:r w:rsidR="004F01E9" w:rsidRPr="0074420B">
        <w:rPr>
          <w:noProof/>
          <w:spacing w:val="-4"/>
        </w:rPr>
        <w:t xml:space="preserve"> o </w:t>
      </w:r>
      <w:r w:rsidRPr="0074420B">
        <w:rPr>
          <w:noProof/>
          <w:spacing w:val="-4"/>
        </w:rPr>
        <w:t>odpočty</w:t>
      </w:r>
      <w:r w:rsidR="004F01E9" w:rsidRPr="0074420B">
        <w:rPr>
          <w:noProof/>
          <w:spacing w:val="-4"/>
        </w:rPr>
        <w:t xml:space="preserve"> z </w:t>
      </w:r>
      <w:r w:rsidRPr="0074420B">
        <w:rPr>
          <w:noProof/>
          <w:spacing w:val="-4"/>
        </w:rPr>
        <w:t>vlastného kapitálu Tier 1, pričom sa zohľadnia všetky odpočty</w:t>
      </w:r>
      <w:r w:rsidR="004F01E9" w:rsidRPr="0074420B">
        <w:rPr>
          <w:noProof/>
          <w:spacing w:val="-4"/>
        </w:rPr>
        <w:t xml:space="preserve"> z </w:t>
      </w:r>
      <w:r w:rsidRPr="0074420B">
        <w:rPr>
          <w:noProof/>
          <w:spacing w:val="-4"/>
        </w:rPr>
        <w:t>vlastného kapitálu Tier 1 založené na účtovníctve vrátane očakávaných úverových strát alebo úprav reálnej hodnoty</w:t>
      </w:r>
      <w:r w:rsidR="004F01E9" w:rsidRPr="0074420B">
        <w:rPr>
          <w:noProof/>
          <w:spacing w:val="-4"/>
        </w:rPr>
        <w:t xml:space="preserve"> a </w:t>
      </w:r>
      <w:r w:rsidRPr="0074420B">
        <w:rPr>
          <w:noProof/>
          <w:spacing w:val="-4"/>
        </w:rPr>
        <w:t>akékoľvek zníženia prijatých expozícií</w:t>
      </w:r>
      <w:r w:rsidR="004F01E9" w:rsidRPr="0074420B">
        <w:rPr>
          <w:noProof/>
          <w:spacing w:val="-4"/>
        </w:rPr>
        <w:t xml:space="preserve"> a </w:t>
      </w:r>
      <w:r w:rsidRPr="0074420B">
        <w:rPr>
          <w:noProof/>
          <w:spacing w:val="-4"/>
        </w:rPr>
        <w:t>ich vplyv na regulačné odpočty.“</w:t>
      </w:r>
    </w:p>
    <w:p w14:paraId="51140391" w14:textId="468E8E04" w:rsidR="0045677E" w:rsidRPr="004F01E9" w:rsidRDefault="00B16452" w:rsidP="00B16452">
      <w:pPr>
        <w:pStyle w:val="Point0"/>
        <w:rPr>
          <w:noProof/>
        </w:rPr>
      </w:pPr>
      <w:r w:rsidRPr="00B16452">
        <w:rPr>
          <w:noProof/>
        </w:rPr>
        <w:t>205</w:t>
      </w:r>
      <w:r>
        <w:rPr>
          <w:noProof/>
        </w:rPr>
        <w:t>.</w:t>
      </w:r>
      <w:r w:rsidRPr="00B16452">
        <w:rPr>
          <w:noProof/>
        </w:rPr>
        <w:tab/>
      </w:r>
      <w:r w:rsidR="0045677E" w:rsidRPr="004F01E9">
        <w:rPr>
          <w:noProof/>
        </w:rPr>
        <w:t>Vkladajú sa tieto články 519c</w:t>
      </w:r>
      <w:r w:rsidR="004F01E9">
        <w:rPr>
          <w:noProof/>
        </w:rPr>
        <w:t xml:space="preserve"> a </w:t>
      </w:r>
      <w:r w:rsidR="0045677E" w:rsidRPr="004F01E9">
        <w:rPr>
          <w:noProof/>
        </w:rPr>
        <w:t>519d:</w:t>
      </w:r>
    </w:p>
    <w:p w14:paraId="07D9B230" w14:textId="33AE6FF2" w:rsidR="0045677E" w:rsidRPr="004F01E9" w:rsidRDefault="0045677E" w:rsidP="0045677E">
      <w:pPr>
        <w:pStyle w:val="Titrearticle"/>
        <w:rPr>
          <w:noProof/>
        </w:rPr>
      </w:pPr>
      <w:r w:rsidRPr="004F01E9">
        <w:rPr>
          <w:i w:val="0"/>
          <w:noProof/>
        </w:rPr>
        <w:t>„</w:t>
      </w:r>
      <w:r w:rsidRPr="004F01E9">
        <w:rPr>
          <w:noProof/>
        </w:rPr>
        <w:t>Článok 519c</w:t>
      </w:r>
      <w:r w:rsidR="004F01E9" w:rsidRPr="004F01E9">
        <w:rPr>
          <w:noProof/>
        </w:rPr>
        <w:t xml:space="preserve"> </w:t>
      </w:r>
      <w:r w:rsidRPr="004F01E9">
        <w:rPr>
          <w:noProof/>
        </w:rPr>
        <w:br/>
      </w:r>
      <w:r w:rsidRPr="004F01E9">
        <w:rPr>
          <w:b/>
          <w:i w:val="0"/>
          <w:noProof/>
        </w:rPr>
        <w:t>Rámec minimálnych spodných hraníc haircutov uplatniteľných na SFT</w:t>
      </w:r>
    </w:p>
    <w:p w14:paraId="0C2BFEE3" w14:textId="4C1A2D88" w:rsidR="00806B81" w:rsidRPr="004F01E9" w:rsidRDefault="0045677E" w:rsidP="0045677E">
      <w:pPr>
        <w:pStyle w:val="Text1"/>
        <w:rPr>
          <w:noProof/>
        </w:rPr>
      </w:pPr>
      <w:r w:rsidRPr="004F01E9">
        <w:rPr>
          <w:noProof/>
        </w:rPr>
        <w:t>EBA</w:t>
      </w:r>
      <w:r w:rsidR="004F01E9">
        <w:rPr>
          <w:noProof/>
        </w:rPr>
        <w:t xml:space="preserve"> v </w:t>
      </w:r>
      <w:r w:rsidRPr="004F01E9">
        <w:rPr>
          <w:noProof/>
        </w:rPr>
        <w:t>úzkej spolupráci</w:t>
      </w:r>
      <w:r w:rsidR="004F01E9">
        <w:rPr>
          <w:noProof/>
        </w:rPr>
        <w:t xml:space="preserve"> s </w:t>
      </w:r>
      <w:r w:rsidRPr="004F01E9">
        <w:rPr>
          <w:noProof/>
        </w:rPr>
        <w:t>ESMA do [OP vložte dátum = 12 mesiacov po nadobudnutí účinnosti tohto nariadenia] oznámi Komisii, či je vhodné zaviesť do práva Únie rámec minimálnych spodných hraníc haircutov uplatniteľných na SFT</w:t>
      </w:r>
      <w:r w:rsidR="004F01E9">
        <w:rPr>
          <w:noProof/>
        </w:rPr>
        <w:t xml:space="preserve"> s </w:t>
      </w:r>
      <w:r w:rsidRPr="004F01E9">
        <w:rPr>
          <w:noProof/>
        </w:rPr>
        <w:t>cieľom riešiť potenciálny nárast finančnej páky mimo bankového sektora.</w:t>
      </w:r>
    </w:p>
    <w:p w14:paraId="15537BC9" w14:textId="0D437475" w:rsidR="0045677E" w:rsidRPr="004F01E9" w:rsidRDefault="0045677E" w:rsidP="0045677E">
      <w:pPr>
        <w:pStyle w:val="Text1"/>
        <w:rPr>
          <w:noProof/>
        </w:rPr>
      </w:pPr>
      <w:r w:rsidRPr="004F01E9">
        <w:rPr>
          <w:noProof/>
        </w:rPr>
        <w:t>V správe uvedenej</w:t>
      </w:r>
      <w:r w:rsidR="004F01E9">
        <w:rPr>
          <w:noProof/>
        </w:rPr>
        <w:t xml:space="preserve"> v </w:t>
      </w:r>
      <w:r w:rsidRPr="004F01E9">
        <w:rPr>
          <w:noProof/>
        </w:rPr>
        <w:t>prvom pododseku sa zohľadnia všetky tieto skutočnosti:</w:t>
      </w:r>
    </w:p>
    <w:p w14:paraId="3EC0973A" w14:textId="1B16A8AD" w:rsidR="0045677E" w:rsidRPr="004F01E9" w:rsidRDefault="0045677E" w:rsidP="0045677E">
      <w:pPr>
        <w:pStyle w:val="Point1"/>
        <w:rPr>
          <w:noProof/>
        </w:rPr>
      </w:pPr>
      <w:r w:rsidRPr="004F01E9">
        <w:rPr>
          <w:noProof/>
        </w:rPr>
        <w:t>a)</w:t>
      </w:r>
      <w:r w:rsidRPr="004F01E9">
        <w:rPr>
          <w:noProof/>
        </w:rPr>
        <w:tab/>
        <w:t>miera finančnej páky mimo bankového systému</w:t>
      </w:r>
      <w:r w:rsidR="004F01E9">
        <w:rPr>
          <w:noProof/>
        </w:rPr>
        <w:t xml:space="preserve"> v </w:t>
      </w:r>
      <w:r w:rsidRPr="004F01E9">
        <w:rPr>
          <w:noProof/>
        </w:rPr>
        <w:t>Únii</w:t>
      </w:r>
      <w:r w:rsidR="004F01E9">
        <w:rPr>
          <w:noProof/>
        </w:rPr>
        <w:t xml:space="preserve"> a </w:t>
      </w:r>
      <w:r w:rsidRPr="004F01E9">
        <w:rPr>
          <w:noProof/>
        </w:rPr>
        <w:t>do akej miery by rámec minimálnych spodných hraníc haircutov mohol takúto finančnú páku znížiť, ak by sa vyskytlo nadmerné využívanie takejto finančnej páky;</w:t>
      </w:r>
    </w:p>
    <w:p w14:paraId="7D76514D" w14:textId="2F79188D" w:rsidR="0045677E" w:rsidRPr="004F01E9" w:rsidRDefault="0045677E" w:rsidP="0045677E">
      <w:pPr>
        <w:pStyle w:val="Point1"/>
        <w:rPr>
          <w:noProof/>
        </w:rPr>
      </w:pPr>
      <w:r w:rsidRPr="004F01E9">
        <w:rPr>
          <w:noProof/>
        </w:rPr>
        <w:t>b)</w:t>
      </w:r>
      <w:r w:rsidRPr="004F01E9">
        <w:rPr>
          <w:noProof/>
        </w:rPr>
        <w:tab/>
        <w:t>významnosť SFT</w:t>
      </w:r>
      <w:r w:rsidR="004F01E9">
        <w:rPr>
          <w:noProof/>
        </w:rPr>
        <w:t xml:space="preserve"> v </w:t>
      </w:r>
      <w:r w:rsidRPr="004F01E9">
        <w:rPr>
          <w:noProof/>
        </w:rPr>
        <w:t>držbe inštitúcií EÚ, na ktoré sa vzťahuje rámec minimálnych spodných hraníc haircutov, vrátane členenia tých SFT, ktoré nie sú</w:t>
      </w:r>
      <w:r w:rsidR="004F01E9">
        <w:rPr>
          <w:noProof/>
        </w:rPr>
        <w:t xml:space="preserve"> v </w:t>
      </w:r>
      <w:r w:rsidRPr="004F01E9">
        <w:rPr>
          <w:noProof/>
        </w:rPr>
        <w:t>súlade</w:t>
      </w:r>
      <w:r w:rsidR="004F01E9">
        <w:rPr>
          <w:noProof/>
        </w:rPr>
        <w:t xml:space="preserve"> s </w:t>
      </w:r>
      <w:r w:rsidRPr="004F01E9">
        <w:rPr>
          <w:noProof/>
        </w:rPr>
        <w:t>minimálnymi spodnými hranicami haircutov;</w:t>
      </w:r>
    </w:p>
    <w:p w14:paraId="288A7962" w14:textId="0EA15C90" w:rsidR="00806B81" w:rsidRPr="0074420B" w:rsidRDefault="0045677E" w:rsidP="0045677E">
      <w:pPr>
        <w:pStyle w:val="Point1"/>
        <w:rPr>
          <w:noProof/>
          <w:spacing w:val="-6"/>
        </w:rPr>
      </w:pPr>
      <w:r w:rsidRPr="004F01E9">
        <w:rPr>
          <w:noProof/>
        </w:rPr>
        <w:t>c)</w:t>
      </w:r>
      <w:r w:rsidRPr="004F01E9">
        <w:rPr>
          <w:noProof/>
        </w:rPr>
        <w:tab/>
      </w:r>
      <w:r w:rsidRPr="0074420B">
        <w:rPr>
          <w:noProof/>
          <w:spacing w:val="-6"/>
        </w:rPr>
        <w:t>odhadovaný vplyv rámca minimálnych spodných hraníc haircutov pre inštitúcie EÚ</w:t>
      </w:r>
      <w:r w:rsidR="004F01E9" w:rsidRPr="0074420B">
        <w:rPr>
          <w:noProof/>
          <w:spacing w:val="-6"/>
        </w:rPr>
        <w:t xml:space="preserve"> v </w:t>
      </w:r>
      <w:r w:rsidRPr="0074420B">
        <w:rPr>
          <w:noProof/>
          <w:spacing w:val="-6"/>
        </w:rPr>
        <w:t>rámci dvoch prístupov</w:t>
      </w:r>
      <w:r w:rsidR="004F01E9" w:rsidRPr="0074420B">
        <w:rPr>
          <w:noProof/>
          <w:spacing w:val="-6"/>
        </w:rPr>
        <w:t xml:space="preserve"> k </w:t>
      </w:r>
      <w:r w:rsidRPr="0074420B">
        <w:rPr>
          <w:noProof/>
          <w:spacing w:val="-6"/>
        </w:rPr>
        <w:t>vykonávaniu odporúčaných Radou pre finančnú stabilitu, t. j. trhovej regulácie alebo represívnejšej požiadavky na vlastné zdroje podľa tohto nariadenia, na základe scenára, podľa ktorého by inštitúcie EÚ neupravovali haircuty svojich SFT tak, aby boli</w:t>
      </w:r>
      <w:r w:rsidR="004F01E9" w:rsidRPr="0074420B">
        <w:rPr>
          <w:noProof/>
          <w:spacing w:val="-6"/>
        </w:rPr>
        <w:t xml:space="preserve"> v </w:t>
      </w:r>
      <w:r w:rsidRPr="0074420B">
        <w:rPr>
          <w:noProof/>
          <w:spacing w:val="-6"/>
        </w:rPr>
        <w:t>súlade</w:t>
      </w:r>
      <w:r w:rsidR="004F01E9" w:rsidRPr="0074420B">
        <w:rPr>
          <w:noProof/>
          <w:spacing w:val="-6"/>
        </w:rPr>
        <w:t xml:space="preserve"> s </w:t>
      </w:r>
      <w:r w:rsidRPr="0074420B">
        <w:rPr>
          <w:noProof/>
          <w:spacing w:val="-6"/>
        </w:rPr>
        <w:t>minimálnymi spodnými hranicami haircutov,</w:t>
      </w:r>
      <w:r w:rsidR="004F01E9" w:rsidRPr="0074420B">
        <w:rPr>
          <w:noProof/>
          <w:spacing w:val="-6"/>
        </w:rPr>
        <w:t xml:space="preserve"> a </w:t>
      </w:r>
      <w:r w:rsidRPr="0074420B">
        <w:rPr>
          <w:noProof/>
          <w:spacing w:val="-6"/>
        </w:rPr>
        <w:t>na základe alternatívneho scenára, podľa ktorého by sa tieto haircuty upravili tak, aby boli</w:t>
      </w:r>
      <w:r w:rsidR="004F01E9" w:rsidRPr="0074420B">
        <w:rPr>
          <w:noProof/>
          <w:spacing w:val="-6"/>
        </w:rPr>
        <w:t xml:space="preserve"> v </w:t>
      </w:r>
      <w:r w:rsidRPr="0074420B">
        <w:rPr>
          <w:noProof/>
          <w:spacing w:val="-6"/>
        </w:rPr>
        <w:t>súlade</w:t>
      </w:r>
      <w:r w:rsidR="004F01E9" w:rsidRPr="0074420B">
        <w:rPr>
          <w:noProof/>
          <w:spacing w:val="-6"/>
        </w:rPr>
        <w:t xml:space="preserve"> s </w:t>
      </w:r>
      <w:r w:rsidRPr="0074420B">
        <w:rPr>
          <w:noProof/>
          <w:spacing w:val="-6"/>
        </w:rPr>
        <w:t>minimálnymi spodnými hranicami haircutov;</w:t>
      </w:r>
    </w:p>
    <w:p w14:paraId="613AD5F5" w14:textId="5694EF05" w:rsidR="0045677E" w:rsidRPr="004F01E9" w:rsidRDefault="0045677E" w:rsidP="0045677E">
      <w:pPr>
        <w:pStyle w:val="Point1"/>
        <w:rPr>
          <w:noProof/>
        </w:rPr>
      </w:pPr>
      <w:r w:rsidRPr="004F01E9">
        <w:rPr>
          <w:noProof/>
        </w:rPr>
        <w:t>d)</w:t>
      </w:r>
      <w:r w:rsidRPr="004F01E9">
        <w:rPr>
          <w:noProof/>
        </w:rPr>
        <w:tab/>
        <w:t>hlavné hnacie sily týchto odhadovaných vplyvov, ako aj potenciálne neúmyselné dôsledky zavedenia rámca minimálnych spodných hraníc haircutov na fungovanie trhov EÚ</w:t>
      </w:r>
      <w:r w:rsidR="004F01E9">
        <w:rPr>
          <w:noProof/>
        </w:rPr>
        <w:t xml:space="preserve"> s </w:t>
      </w:r>
      <w:r w:rsidRPr="004F01E9">
        <w:rPr>
          <w:noProof/>
        </w:rPr>
        <w:t>SFT;</w:t>
      </w:r>
    </w:p>
    <w:p w14:paraId="292EF943" w14:textId="51050430" w:rsidR="0045677E" w:rsidRPr="004F01E9" w:rsidRDefault="0045677E" w:rsidP="0045677E">
      <w:pPr>
        <w:pStyle w:val="Point1"/>
        <w:rPr>
          <w:noProof/>
        </w:rPr>
      </w:pPr>
      <w:r w:rsidRPr="004F01E9">
        <w:rPr>
          <w:noProof/>
        </w:rPr>
        <w:t>e)</w:t>
      </w:r>
      <w:r w:rsidRPr="004F01E9">
        <w:rPr>
          <w:noProof/>
        </w:rPr>
        <w:tab/>
        <w:t>prístup</w:t>
      </w:r>
      <w:r w:rsidR="004F01E9">
        <w:rPr>
          <w:noProof/>
        </w:rPr>
        <w:t xml:space="preserve"> k </w:t>
      </w:r>
      <w:r w:rsidRPr="004F01E9">
        <w:rPr>
          <w:noProof/>
        </w:rPr>
        <w:t>vykonávaniu, ktorý by bol najúčinnejší na splnenie regulačných cieľov rámca pre minimálne spodné hranice haircutov, vzhľadom na úvahy uvedené</w:t>
      </w:r>
      <w:r w:rsidR="004F01E9">
        <w:rPr>
          <w:noProof/>
        </w:rPr>
        <w:t xml:space="preserve"> v </w:t>
      </w:r>
      <w:r w:rsidRPr="004F01E9">
        <w:rPr>
          <w:noProof/>
        </w:rPr>
        <w:t>písmenách a) až d)</w:t>
      </w:r>
      <w:r w:rsidR="004F01E9">
        <w:rPr>
          <w:noProof/>
        </w:rPr>
        <w:t xml:space="preserve"> a s </w:t>
      </w:r>
      <w:r w:rsidRPr="004F01E9">
        <w:rPr>
          <w:noProof/>
        </w:rPr>
        <w:t>prihliadnutím na rovnaké podmienky</w:t>
      </w:r>
      <w:r w:rsidR="004F01E9">
        <w:rPr>
          <w:noProof/>
        </w:rPr>
        <w:t xml:space="preserve"> v </w:t>
      </w:r>
      <w:r w:rsidRPr="004F01E9">
        <w:rPr>
          <w:noProof/>
        </w:rPr>
        <w:t>celom finančnom sektore</w:t>
      </w:r>
      <w:r w:rsidR="004F01E9">
        <w:rPr>
          <w:noProof/>
        </w:rPr>
        <w:t xml:space="preserve"> v </w:t>
      </w:r>
      <w:r w:rsidRPr="004F01E9">
        <w:rPr>
          <w:noProof/>
        </w:rPr>
        <w:t>Únii.</w:t>
      </w:r>
    </w:p>
    <w:p w14:paraId="0A1D5057" w14:textId="2283044D" w:rsidR="0045677E" w:rsidRPr="0074420B" w:rsidRDefault="0045677E" w:rsidP="0045677E">
      <w:pPr>
        <w:pStyle w:val="Text1"/>
        <w:rPr>
          <w:noProof/>
          <w:spacing w:val="-4"/>
        </w:rPr>
      </w:pPr>
      <w:r w:rsidRPr="0074420B">
        <w:rPr>
          <w:noProof/>
          <w:spacing w:val="-4"/>
        </w:rPr>
        <w:t>Na základe uvedenej správy</w:t>
      </w:r>
      <w:r w:rsidR="004F01E9" w:rsidRPr="0074420B">
        <w:rPr>
          <w:noProof/>
          <w:spacing w:val="-4"/>
        </w:rPr>
        <w:t xml:space="preserve"> a </w:t>
      </w:r>
      <w:r w:rsidRPr="0074420B">
        <w:rPr>
          <w:noProof/>
          <w:spacing w:val="-4"/>
        </w:rPr>
        <w:t>po náležitom zohľadnení odporúčania FSB týkajúceho sa vykonávania rámca minimálnych spodných hraníc haircutov uplatniteľné na SFT, ako aj súvisiacich medzinárodne dohodnutých noriem vypracovaných BCBS predloží Komisia</w:t>
      </w:r>
      <w:r w:rsidR="004F01E9" w:rsidRPr="0074420B">
        <w:rPr>
          <w:noProof/>
          <w:spacing w:val="-4"/>
        </w:rPr>
        <w:t xml:space="preserve"> v </w:t>
      </w:r>
      <w:r w:rsidRPr="0074420B">
        <w:rPr>
          <w:noProof/>
          <w:spacing w:val="-4"/>
        </w:rPr>
        <w:t>prípade potreby do [OP vložte dátum = 24 mesiacov po nadobudnutí účinnosti tohto nariadenia] Európskemu parlamentu</w:t>
      </w:r>
      <w:r w:rsidR="004F01E9" w:rsidRPr="0074420B">
        <w:rPr>
          <w:noProof/>
          <w:spacing w:val="-4"/>
        </w:rPr>
        <w:t xml:space="preserve"> a </w:t>
      </w:r>
      <w:r w:rsidRPr="0074420B">
        <w:rPr>
          <w:noProof/>
          <w:spacing w:val="-4"/>
        </w:rPr>
        <w:t>Rade legislatívny návrh.</w:t>
      </w:r>
    </w:p>
    <w:p w14:paraId="219FDAA5" w14:textId="77777777" w:rsidR="0045677E" w:rsidRPr="004F01E9" w:rsidRDefault="0045677E" w:rsidP="0045677E">
      <w:pPr>
        <w:pStyle w:val="Titrearticle"/>
        <w:rPr>
          <w:noProof/>
        </w:rPr>
      </w:pPr>
      <w:r w:rsidRPr="004F01E9">
        <w:rPr>
          <w:noProof/>
        </w:rPr>
        <w:t xml:space="preserve">Článok 519d </w:t>
      </w:r>
      <w:r w:rsidRPr="004F01E9">
        <w:rPr>
          <w:noProof/>
        </w:rPr>
        <w:br/>
      </w:r>
      <w:r w:rsidRPr="004F01E9">
        <w:rPr>
          <w:b/>
          <w:i w:val="0"/>
          <w:noProof/>
        </w:rPr>
        <w:t>Operačné riziko</w:t>
      </w:r>
    </w:p>
    <w:p w14:paraId="0C93B8E5" w14:textId="4037222E" w:rsidR="0045677E" w:rsidRPr="004F01E9" w:rsidRDefault="0045677E" w:rsidP="0045677E">
      <w:pPr>
        <w:pStyle w:val="Text1"/>
        <w:rPr>
          <w:noProof/>
        </w:rPr>
      </w:pPr>
      <w:r w:rsidRPr="004F01E9">
        <w:rPr>
          <w:noProof/>
        </w:rPr>
        <w:t>EBA do [OP vložte dátum = 60 mesiacov od dátumu začatia uplatňovania tretej časti hlavy III] podá Komisii správu</w:t>
      </w:r>
      <w:r w:rsidR="004F01E9">
        <w:rPr>
          <w:noProof/>
        </w:rPr>
        <w:t xml:space="preserve"> o </w:t>
      </w:r>
      <w:r w:rsidRPr="004F01E9">
        <w:rPr>
          <w:noProof/>
        </w:rPr>
        <w:t>všetkých týchto skutočnostiach:</w:t>
      </w:r>
    </w:p>
    <w:p w14:paraId="1A28F193" w14:textId="24E2A41E" w:rsidR="0045677E" w:rsidRPr="004F01E9" w:rsidRDefault="0045677E" w:rsidP="0045677E">
      <w:pPr>
        <w:pStyle w:val="Point1"/>
        <w:rPr>
          <w:noProof/>
        </w:rPr>
      </w:pPr>
      <w:r w:rsidRPr="004F01E9">
        <w:rPr>
          <w:noProof/>
        </w:rPr>
        <w:t>a)</w:t>
      </w:r>
      <w:r w:rsidRPr="004F01E9">
        <w:rPr>
          <w:noProof/>
        </w:rPr>
        <w:tab/>
        <w:t>používanie poistenia</w:t>
      </w:r>
      <w:r w:rsidR="004F01E9">
        <w:rPr>
          <w:noProof/>
        </w:rPr>
        <w:t xml:space="preserve"> v </w:t>
      </w:r>
      <w:r w:rsidRPr="004F01E9">
        <w:rPr>
          <w:noProof/>
        </w:rPr>
        <w:t>súvislosti</w:t>
      </w:r>
      <w:r w:rsidR="004F01E9">
        <w:rPr>
          <w:noProof/>
        </w:rPr>
        <w:t xml:space="preserve"> s </w:t>
      </w:r>
      <w:r w:rsidRPr="004F01E9">
        <w:rPr>
          <w:noProof/>
        </w:rPr>
        <w:t>výpočtom požiadaviek na vlastné zdroje pre operačné riziko;</w:t>
      </w:r>
    </w:p>
    <w:p w14:paraId="2FC859B6" w14:textId="0EC7A70D" w:rsidR="0045677E" w:rsidRPr="004F01E9" w:rsidRDefault="0045677E" w:rsidP="0045677E">
      <w:pPr>
        <w:pStyle w:val="Point1"/>
        <w:rPr>
          <w:noProof/>
        </w:rPr>
      </w:pPr>
      <w:r w:rsidRPr="004F01E9">
        <w:rPr>
          <w:noProof/>
        </w:rPr>
        <w:t>b)</w:t>
      </w:r>
      <w:r w:rsidRPr="004F01E9">
        <w:rPr>
          <w:noProof/>
        </w:rPr>
        <w:tab/>
        <w:t>či uznanie poistných náhrad môže umožniť regulatórnu arbitráž znížením ročnej straty</w:t>
      </w:r>
      <w:r w:rsidR="004F01E9">
        <w:rPr>
          <w:noProof/>
        </w:rPr>
        <w:t xml:space="preserve"> z </w:t>
      </w:r>
      <w:r w:rsidRPr="004F01E9">
        <w:rPr>
          <w:noProof/>
        </w:rPr>
        <w:t>operačného rizika bez primeraného zníženia skutočnej expozície voči prevádzkovej strate;</w:t>
      </w:r>
    </w:p>
    <w:p w14:paraId="342675A2" w14:textId="60415B98" w:rsidR="0045677E" w:rsidRPr="004F01E9" w:rsidRDefault="0045677E" w:rsidP="0045677E">
      <w:pPr>
        <w:pStyle w:val="Point1"/>
        <w:rPr>
          <w:noProof/>
        </w:rPr>
      </w:pPr>
      <w:r w:rsidRPr="004F01E9">
        <w:rPr>
          <w:noProof/>
        </w:rPr>
        <w:t>c)</w:t>
      </w:r>
      <w:r w:rsidRPr="004F01E9">
        <w:rPr>
          <w:noProof/>
        </w:rPr>
        <w:tab/>
        <w:t>či má uznanie poistných náhrad rozdielny vplyv na primerané krytie opakujúcich sa strát</w:t>
      </w:r>
      <w:r w:rsidR="004F01E9">
        <w:rPr>
          <w:noProof/>
        </w:rPr>
        <w:t xml:space="preserve"> a </w:t>
      </w:r>
      <w:r w:rsidRPr="004F01E9">
        <w:rPr>
          <w:noProof/>
        </w:rPr>
        <w:t>potenciálnych zvyškových strát.</w:t>
      </w:r>
    </w:p>
    <w:p w14:paraId="2F1154D4" w14:textId="7DE3CD63" w:rsidR="00344CBF" w:rsidRPr="004F01E9" w:rsidRDefault="0045677E" w:rsidP="001B604C">
      <w:pPr>
        <w:pStyle w:val="Text1"/>
        <w:rPr>
          <w:noProof/>
        </w:rPr>
      </w:pPr>
      <w:r w:rsidRPr="004F01E9">
        <w:rPr>
          <w:noProof/>
        </w:rPr>
        <w:t>Na základe uvedenej správy Komisia</w:t>
      </w:r>
      <w:r w:rsidR="004F01E9">
        <w:rPr>
          <w:noProof/>
        </w:rPr>
        <w:t xml:space="preserve"> v </w:t>
      </w:r>
      <w:r w:rsidRPr="004F01E9">
        <w:rPr>
          <w:noProof/>
        </w:rPr>
        <w:t>prípade potreby do [OP vložte dátum = 72 mesiacov od dátumu začatia uplatňovania tretej časti hlavy III] predloží Európskemu parlamentu</w:t>
      </w:r>
      <w:r w:rsidR="004F01E9">
        <w:rPr>
          <w:noProof/>
        </w:rPr>
        <w:t xml:space="preserve"> a </w:t>
      </w:r>
      <w:r w:rsidRPr="004F01E9">
        <w:rPr>
          <w:noProof/>
        </w:rPr>
        <w:t>Rade legislatívny návrh.“</w:t>
      </w:r>
    </w:p>
    <w:p w14:paraId="18A3FB41" w14:textId="79B22280" w:rsidR="007D0BB2" w:rsidRPr="004F01E9" w:rsidRDefault="00B16452" w:rsidP="00B16452">
      <w:pPr>
        <w:pStyle w:val="Point0"/>
        <w:rPr>
          <w:noProof/>
        </w:rPr>
      </w:pPr>
      <w:r w:rsidRPr="00B16452">
        <w:rPr>
          <w:noProof/>
        </w:rPr>
        <w:t>206</w:t>
      </w:r>
      <w:r>
        <w:rPr>
          <w:noProof/>
        </w:rPr>
        <w:t>.</w:t>
      </w:r>
      <w:r w:rsidRPr="00B16452">
        <w:rPr>
          <w:noProof/>
        </w:rPr>
        <w:tab/>
      </w:r>
      <w:r w:rsidR="0045677E" w:rsidRPr="004F01E9">
        <w:rPr>
          <w:noProof/>
        </w:rPr>
        <w:t>Príloha I sa nahrádza prílohou</w:t>
      </w:r>
      <w:r w:rsidR="004F01E9">
        <w:rPr>
          <w:noProof/>
        </w:rPr>
        <w:t xml:space="preserve"> k </w:t>
      </w:r>
      <w:r w:rsidR="0045677E" w:rsidRPr="004F01E9">
        <w:rPr>
          <w:noProof/>
        </w:rPr>
        <w:t>tomuto nariadeniu.</w:t>
      </w:r>
    </w:p>
    <w:p w14:paraId="65EABE35" w14:textId="77777777" w:rsidR="00E92665" w:rsidRPr="004F01E9" w:rsidRDefault="00E92665" w:rsidP="00E92665">
      <w:pPr>
        <w:pStyle w:val="Titrearticle"/>
        <w:spacing w:before="120"/>
        <w:rPr>
          <w:noProof/>
        </w:rPr>
      </w:pPr>
      <w:r w:rsidRPr="004F01E9">
        <w:rPr>
          <w:noProof/>
        </w:rPr>
        <w:t>Článok 2</w:t>
      </w:r>
    </w:p>
    <w:p w14:paraId="798FF009" w14:textId="0F45B514" w:rsidR="00E92665" w:rsidRPr="004F01E9" w:rsidRDefault="00E92665" w:rsidP="00E92665">
      <w:pPr>
        <w:pStyle w:val="Titrearticle"/>
        <w:spacing w:before="120"/>
        <w:rPr>
          <w:noProof/>
        </w:rPr>
      </w:pPr>
      <w:r w:rsidRPr="004F01E9">
        <w:rPr>
          <w:noProof/>
        </w:rPr>
        <w:t>Nadobudnutie účinnosti</w:t>
      </w:r>
      <w:r w:rsidR="004F01E9">
        <w:rPr>
          <w:noProof/>
        </w:rPr>
        <w:t xml:space="preserve"> a </w:t>
      </w:r>
      <w:r w:rsidRPr="004F01E9">
        <w:rPr>
          <w:noProof/>
        </w:rPr>
        <w:t>dátum uplatňovania</w:t>
      </w:r>
    </w:p>
    <w:p w14:paraId="21F881FB" w14:textId="330C1060" w:rsidR="00E92665" w:rsidRPr="004F01E9" w:rsidRDefault="007130D9" w:rsidP="007130D9">
      <w:pPr>
        <w:pStyle w:val="ManualNumPar1"/>
        <w:rPr>
          <w:noProof/>
        </w:rPr>
      </w:pPr>
      <w:r w:rsidRPr="007130D9">
        <w:t>1.</w:t>
      </w:r>
      <w:r w:rsidRPr="007130D9">
        <w:tab/>
      </w:r>
      <w:r w:rsidR="00E92665" w:rsidRPr="004F01E9">
        <w:rPr>
          <w:noProof/>
        </w:rPr>
        <w:t>Toto nariadenie nadobúda účinnosť dvadsiatym dňom po jeho uverejnení</w:t>
      </w:r>
      <w:r w:rsidR="004F01E9">
        <w:rPr>
          <w:noProof/>
        </w:rPr>
        <w:t xml:space="preserve"> v </w:t>
      </w:r>
      <w:r w:rsidR="00E92665" w:rsidRPr="004F01E9">
        <w:rPr>
          <w:i/>
          <w:noProof/>
        </w:rPr>
        <w:t>Úradnom vestníku Európskej únie</w:t>
      </w:r>
      <w:r w:rsidR="00E92665" w:rsidRPr="004F01E9">
        <w:rPr>
          <w:noProof/>
        </w:rPr>
        <w:t>.</w:t>
      </w:r>
    </w:p>
    <w:p w14:paraId="559F45A3" w14:textId="4301B1BA" w:rsidR="00E92665" w:rsidRPr="004F01E9" w:rsidRDefault="007130D9" w:rsidP="007130D9">
      <w:pPr>
        <w:pStyle w:val="ManualNumPar1"/>
        <w:rPr>
          <w:noProof/>
        </w:rPr>
      </w:pPr>
      <w:r w:rsidRPr="007130D9">
        <w:t>2.</w:t>
      </w:r>
      <w:r w:rsidRPr="007130D9">
        <w:tab/>
      </w:r>
      <w:r w:rsidR="00E92665" w:rsidRPr="004F01E9">
        <w:rPr>
          <w:noProof/>
        </w:rPr>
        <w:t>Toto nariadenie sa uplatňuje od 1</w:t>
      </w:r>
      <w:r w:rsidR="004F01E9">
        <w:rPr>
          <w:noProof/>
        </w:rPr>
        <w:t>. januára</w:t>
      </w:r>
      <w:r w:rsidR="00E92665" w:rsidRPr="004F01E9">
        <w:rPr>
          <w:noProof/>
        </w:rPr>
        <w:t xml:space="preserve"> 2025</w:t>
      </w:r>
      <w:r w:rsidR="004F01E9">
        <w:rPr>
          <w:noProof/>
        </w:rPr>
        <w:t xml:space="preserve"> s </w:t>
      </w:r>
      <w:r w:rsidR="00E92665" w:rsidRPr="004F01E9">
        <w:rPr>
          <w:noProof/>
        </w:rPr>
        <w:t>týmito výnimkami:</w:t>
      </w:r>
    </w:p>
    <w:p w14:paraId="5A3F54AE" w14:textId="549BE966" w:rsidR="00E92665" w:rsidRPr="004F01E9" w:rsidRDefault="00E92665" w:rsidP="00E92665">
      <w:pPr>
        <w:pStyle w:val="Point1"/>
        <w:rPr>
          <w:noProof/>
        </w:rPr>
      </w:pPr>
      <w:r w:rsidRPr="004F01E9">
        <w:rPr>
          <w:noProof/>
        </w:rPr>
        <w:t>a)</w:t>
      </w:r>
      <w:r w:rsidRPr="004F01E9">
        <w:rPr>
          <w:noProof/>
        </w:rPr>
        <w:tab/>
        <w:t>ustanovenia</w:t>
      </w:r>
      <w:r w:rsidR="004F01E9">
        <w:rPr>
          <w:noProof/>
        </w:rPr>
        <w:t xml:space="preserve"> v </w:t>
      </w:r>
      <w:r w:rsidRPr="004F01E9">
        <w:rPr>
          <w:noProof/>
        </w:rPr>
        <w:t>bode 1 písm. a), b)</w:t>
      </w:r>
      <w:r w:rsidR="004F01E9">
        <w:rPr>
          <w:noProof/>
        </w:rPr>
        <w:t xml:space="preserve"> a </w:t>
      </w:r>
      <w:r w:rsidRPr="004F01E9">
        <w:rPr>
          <w:noProof/>
        </w:rPr>
        <w:t>c), písm. e) až h)</w:t>
      </w:r>
      <w:r w:rsidR="004F01E9">
        <w:rPr>
          <w:noProof/>
        </w:rPr>
        <w:t xml:space="preserve"> a </w:t>
      </w:r>
      <w:r w:rsidRPr="004F01E9">
        <w:rPr>
          <w:noProof/>
        </w:rPr>
        <w:t>písm. j), u), v)</w:t>
      </w:r>
      <w:r w:rsidR="004F01E9">
        <w:rPr>
          <w:noProof/>
        </w:rPr>
        <w:t xml:space="preserve"> a </w:t>
      </w:r>
      <w:r w:rsidRPr="004F01E9">
        <w:rPr>
          <w:noProof/>
        </w:rPr>
        <w:t>x), ktoré sa týkajú vymedzenia určitých pojmov, ustanovenia</w:t>
      </w:r>
      <w:r w:rsidR="004F01E9">
        <w:rPr>
          <w:noProof/>
        </w:rPr>
        <w:t xml:space="preserve"> v </w:t>
      </w:r>
      <w:r w:rsidRPr="004F01E9">
        <w:rPr>
          <w:noProof/>
        </w:rPr>
        <w:t>bode 6 týkajúce sa rozsahu pôsobnosti prudenciálnej konsolidácie, ako aj ustanovenia</w:t>
      </w:r>
      <w:r w:rsidR="004F01E9">
        <w:rPr>
          <w:noProof/>
        </w:rPr>
        <w:t xml:space="preserve"> v </w:t>
      </w:r>
      <w:r w:rsidRPr="004F01E9">
        <w:rPr>
          <w:noProof/>
        </w:rPr>
        <w:t>bode 8, bodoch 10 až 12</w:t>
      </w:r>
      <w:r w:rsidR="004F01E9">
        <w:rPr>
          <w:noProof/>
        </w:rPr>
        <w:t xml:space="preserve"> a </w:t>
      </w:r>
      <w:r w:rsidRPr="004F01E9">
        <w:rPr>
          <w:noProof/>
        </w:rPr>
        <w:t>bodoch 14 až 23 týkajúce sa vlastných zdrojov</w:t>
      </w:r>
      <w:r w:rsidR="004F01E9">
        <w:rPr>
          <w:noProof/>
        </w:rPr>
        <w:t xml:space="preserve"> a </w:t>
      </w:r>
      <w:r w:rsidRPr="004F01E9">
        <w:rPr>
          <w:noProof/>
        </w:rPr>
        <w:t>oprávnených záväzkov, ktoré sa uplatňujú od [OP vložte dátum = 6 mesiacov od dátumu nadobudnutia účinnosti tohto nariadenia];</w:t>
      </w:r>
    </w:p>
    <w:p w14:paraId="4AA08894" w14:textId="180F875A" w:rsidR="00E92665" w:rsidRPr="004F01E9" w:rsidRDefault="00E92665" w:rsidP="00E92665">
      <w:pPr>
        <w:pStyle w:val="Point1"/>
        <w:rPr>
          <w:noProof/>
        </w:rPr>
      </w:pPr>
      <w:r w:rsidRPr="004F01E9">
        <w:rPr>
          <w:noProof/>
        </w:rPr>
        <w:t>b)</w:t>
      </w:r>
      <w:r w:rsidRPr="004F01E9">
        <w:rPr>
          <w:noProof/>
        </w:rPr>
        <w:tab/>
        <w:t>ustanovenia</w:t>
      </w:r>
      <w:r w:rsidR="004F01E9">
        <w:rPr>
          <w:noProof/>
        </w:rPr>
        <w:t xml:space="preserve"> v </w:t>
      </w:r>
      <w:r w:rsidRPr="004F01E9">
        <w:rPr>
          <w:noProof/>
        </w:rPr>
        <w:t>bode 1 písm. d)</w:t>
      </w:r>
      <w:r w:rsidR="004F01E9">
        <w:rPr>
          <w:noProof/>
        </w:rPr>
        <w:t xml:space="preserve"> a </w:t>
      </w:r>
      <w:r w:rsidRPr="004F01E9">
        <w:rPr>
          <w:noProof/>
        </w:rPr>
        <w:t>bode 4 týkajúce sa zmien</w:t>
      </w:r>
      <w:r w:rsidR="004F01E9">
        <w:rPr>
          <w:noProof/>
        </w:rPr>
        <w:t xml:space="preserve"> v </w:t>
      </w:r>
      <w:r w:rsidRPr="004F01E9">
        <w:rPr>
          <w:noProof/>
        </w:rPr>
        <w:t>súlade</w:t>
      </w:r>
      <w:r w:rsidR="004F01E9">
        <w:rPr>
          <w:noProof/>
        </w:rPr>
        <w:t xml:space="preserve"> s </w:t>
      </w:r>
      <w:r w:rsidRPr="004F01E9">
        <w:rPr>
          <w:noProof/>
        </w:rPr>
        <w:t>nariadením (EÚ) 2019/2033</w:t>
      </w:r>
      <w:r w:rsidR="004F01E9">
        <w:rPr>
          <w:noProof/>
        </w:rPr>
        <w:t xml:space="preserve"> a </w:t>
      </w:r>
      <w:r w:rsidRPr="004F01E9">
        <w:rPr>
          <w:noProof/>
        </w:rPr>
        <w:t>ustanovenia</w:t>
      </w:r>
      <w:r w:rsidR="004F01E9">
        <w:rPr>
          <w:noProof/>
        </w:rPr>
        <w:t xml:space="preserve"> v </w:t>
      </w:r>
      <w:r w:rsidRPr="004F01E9">
        <w:rPr>
          <w:noProof/>
        </w:rPr>
        <w:t>bode 47 týkajúce sa zaobchádzania</w:t>
      </w:r>
      <w:r w:rsidR="004F01E9">
        <w:rPr>
          <w:noProof/>
        </w:rPr>
        <w:t xml:space="preserve"> s </w:t>
      </w:r>
      <w:r w:rsidRPr="004F01E9">
        <w:rPr>
          <w:noProof/>
        </w:rPr>
        <w:t>expozíciami</w:t>
      </w:r>
      <w:r w:rsidR="004F01E9">
        <w:rPr>
          <w:noProof/>
        </w:rPr>
        <w:t xml:space="preserve"> v </w:t>
      </w:r>
      <w:r w:rsidRPr="004F01E9">
        <w:rPr>
          <w:noProof/>
        </w:rPr>
        <w:t>stave zlyhania, ktoré sa uplatňujú od dátumu nadobudnutia účinnosti tohto nariadenia;</w:t>
      </w:r>
    </w:p>
    <w:p w14:paraId="2BA4388C" w14:textId="13047294" w:rsidR="00806B81" w:rsidRPr="004F01E9" w:rsidRDefault="00E92665" w:rsidP="00E92665">
      <w:pPr>
        <w:pStyle w:val="Point1"/>
        <w:rPr>
          <w:noProof/>
        </w:rPr>
      </w:pPr>
      <w:r w:rsidRPr="004F01E9">
        <w:rPr>
          <w:noProof/>
        </w:rPr>
        <w:t>c)</w:t>
      </w:r>
      <w:r w:rsidRPr="004F01E9">
        <w:rPr>
          <w:noProof/>
        </w:rPr>
        <w:tab/>
        <w:t>ustanovenia</w:t>
      </w:r>
      <w:r w:rsidR="004F01E9">
        <w:rPr>
          <w:noProof/>
        </w:rPr>
        <w:t xml:space="preserve"> v </w:t>
      </w:r>
      <w:r w:rsidRPr="004F01E9">
        <w:rPr>
          <w:noProof/>
        </w:rPr>
        <w:t>bode 9, bode 26 písm. a), bode 27, bode 28 písm. a), bodoch 29, 34, 41, 42, 44, 47, 54, bode 59 písm. c), bode 60 písm. c), bode 61 písm. g)</w:t>
      </w:r>
      <w:r w:rsidR="004F01E9">
        <w:rPr>
          <w:noProof/>
        </w:rPr>
        <w:t xml:space="preserve"> a </w:t>
      </w:r>
      <w:r w:rsidRPr="004F01E9">
        <w:rPr>
          <w:noProof/>
        </w:rPr>
        <w:t>h), bode 64 písm. c), bode 66 písm. d), bodoch 69</w:t>
      </w:r>
      <w:r w:rsidR="004F01E9">
        <w:rPr>
          <w:noProof/>
        </w:rPr>
        <w:t xml:space="preserve"> a </w:t>
      </w:r>
      <w:r w:rsidRPr="004F01E9">
        <w:rPr>
          <w:noProof/>
        </w:rPr>
        <w:t>81, bode 85 písm. b), bode 90 písm. c), bode 91 písm. c), bode 92 písm. c), bode 131, bode 132 písm. b), bode 136 písm. d), bode 153, bode 154 písm. d), bode 155 písm. c), bode 156 písm. b), bode 166 písm. c), bodoch 169, 178, 182, 183, 189, 192, 194, 196</w:t>
      </w:r>
      <w:r w:rsidR="004F01E9">
        <w:rPr>
          <w:noProof/>
        </w:rPr>
        <w:t xml:space="preserve"> a </w:t>
      </w:r>
      <w:r w:rsidRPr="004F01E9">
        <w:rPr>
          <w:noProof/>
        </w:rPr>
        <w:t>199</w:t>
      </w:r>
      <w:r w:rsidR="004F01E9">
        <w:rPr>
          <w:noProof/>
        </w:rPr>
        <w:t xml:space="preserve"> a </w:t>
      </w:r>
      <w:r w:rsidRPr="004F01E9">
        <w:rPr>
          <w:noProof/>
        </w:rPr>
        <w:t>bodoch 201 až 205,</w:t>
      </w:r>
      <w:r w:rsidR="004F01E9">
        <w:rPr>
          <w:noProof/>
        </w:rPr>
        <w:t xml:space="preserve"> v </w:t>
      </w:r>
      <w:r w:rsidRPr="004F01E9">
        <w:rPr>
          <w:noProof/>
        </w:rPr>
        <w:t>ktorých sa vyžaduje, aby orgány dohľadu alebo ESRB predložili Komisii návrh regulačných alebo vykonávacích technických predpisov</w:t>
      </w:r>
      <w:r w:rsidR="004F01E9">
        <w:rPr>
          <w:noProof/>
        </w:rPr>
        <w:t xml:space="preserve"> a </w:t>
      </w:r>
      <w:r w:rsidRPr="004F01E9">
        <w:rPr>
          <w:noProof/>
        </w:rPr>
        <w:t>správ, ustanovenia,</w:t>
      </w:r>
      <w:r w:rsidR="004F01E9">
        <w:rPr>
          <w:noProof/>
        </w:rPr>
        <w:t xml:space="preserve"> v </w:t>
      </w:r>
      <w:r w:rsidRPr="004F01E9">
        <w:rPr>
          <w:noProof/>
        </w:rPr>
        <w:t>ktorých sa požaduje, aby Komisia vypracúvala správy, ustanovenia, ktorými sa Komisia splnomocňuje prijímať delegované akty alebo vykonávacie akty, ustanovenia</w:t>
      </w:r>
      <w:r w:rsidR="004F01E9">
        <w:rPr>
          <w:noProof/>
        </w:rPr>
        <w:t xml:space="preserve"> o </w:t>
      </w:r>
      <w:r w:rsidRPr="004F01E9">
        <w:rPr>
          <w:noProof/>
        </w:rPr>
        <w:t>preskúmaní</w:t>
      </w:r>
      <w:r w:rsidR="004F01E9">
        <w:rPr>
          <w:noProof/>
        </w:rPr>
        <w:t xml:space="preserve"> a </w:t>
      </w:r>
      <w:r w:rsidRPr="004F01E9">
        <w:rPr>
          <w:noProof/>
        </w:rPr>
        <w:t>ustanovenia,</w:t>
      </w:r>
      <w:r w:rsidR="004F01E9">
        <w:rPr>
          <w:noProof/>
        </w:rPr>
        <w:t xml:space="preserve"> v </w:t>
      </w:r>
      <w:r w:rsidRPr="004F01E9">
        <w:rPr>
          <w:noProof/>
        </w:rPr>
        <w:t>ktorých sa požaduje, aby európske orgány dohľadu vydávali usmernenia, ktoré sa uplatňujú od nadobudnutia účinnosti tohto nariadenia.</w:t>
      </w:r>
    </w:p>
    <w:p w14:paraId="3D54CAC0" w14:textId="6C9DCF5A" w:rsidR="00845AE8" w:rsidRPr="004F01E9" w:rsidRDefault="00845AE8" w:rsidP="008A4012">
      <w:pPr>
        <w:pStyle w:val="Applicationdirecte"/>
        <w:rPr>
          <w:noProof/>
        </w:rPr>
      </w:pPr>
      <w:r w:rsidRPr="004F01E9">
        <w:rPr>
          <w:noProof/>
        </w:rPr>
        <w:t>Toto nariadenie je záväzné</w:t>
      </w:r>
      <w:r w:rsidR="004F01E9">
        <w:rPr>
          <w:noProof/>
        </w:rPr>
        <w:t xml:space="preserve"> v </w:t>
      </w:r>
      <w:r w:rsidRPr="004F01E9">
        <w:rPr>
          <w:noProof/>
        </w:rPr>
        <w:t>celom rozsahu</w:t>
      </w:r>
      <w:r w:rsidR="004F01E9">
        <w:rPr>
          <w:noProof/>
        </w:rPr>
        <w:t xml:space="preserve"> a </w:t>
      </w:r>
      <w:r w:rsidRPr="004F01E9">
        <w:rPr>
          <w:noProof/>
        </w:rPr>
        <w:t>priamo uplatniteľné</w:t>
      </w:r>
      <w:r w:rsidR="004F01E9">
        <w:rPr>
          <w:noProof/>
        </w:rPr>
        <w:t xml:space="preserve"> v </w:t>
      </w:r>
      <w:r w:rsidRPr="004F01E9">
        <w:rPr>
          <w:noProof/>
        </w:rPr>
        <w:t>členských štátoch</w:t>
      </w:r>
      <w:r w:rsidR="004F01E9">
        <w:rPr>
          <w:noProof/>
        </w:rPr>
        <w:t xml:space="preserve"> v </w:t>
      </w:r>
      <w:r w:rsidRPr="004F01E9">
        <w:rPr>
          <w:noProof/>
        </w:rPr>
        <w:t>súlade so zmluvami.</w:t>
      </w:r>
    </w:p>
    <w:p w14:paraId="78F2F885" w14:textId="4E266F7B" w:rsidR="00845AE8" w:rsidRPr="004F01E9" w:rsidRDefault="00E2384D" w:rsidP="003E5C2E">
      <w:pPr>
        <w:pStyle w:val="Fait"/>
        <w:rPr>
          <w:noProof/>
        </w:rPr>
      </w:pPr>
      <w:r w:rsidRPr="00E2384D">
        <w:t>V Bruseli</w:t>
      </w:r>
    </w:p>
    <w:p w14:paraId="1C34FF2E" w14:textId="77777777" w:rsidR="00845AE8" w:rsidRPr="004F01E9" w:rsidRDefault="00845AE8" w:rsidP="003E5C2E">
      <w:pPr>
        <w:pStyle w:val="Institutionquisigne"/>
        <w:rPr>
          <w:noProof/>
        </w:rPr>
      </w:pPr>
      <w:r w:rsidRPr="004F01E9">
        <w:rPr>
          <w:noProof/>
        </w:rPr>
        <w:t>Za Európsky parlament</w:t>
      </w:r>
      <w:r w:rsidRPr="004F01E9">
        <w:rPr>
          <w:noProof/>
        </w:rPr>
        <w:tab/>
        <w:t>Za Radu</w:t>
      </w:r>
    </w:p>
    <w:p w14:paraId="382E3ABD" w14:textId="77777777" w:rsidR="00845AE8" w:rsidRPr="004F01E9" w:rsidRDefault="00845AE8" w:rsidP="00845AE8">
      <w:pPr>
        <w:pStyle w:val="Personnequisigne"/>
        <w:rPr>
          <w:noProof/>
        </w:rPr>
      </w:pPr>
      <w:r w:rsidRPr="004F01E9">
        <w:rPr>
          <w:noProof/>
        </w:rPr>
        <w:t>predseda</w:t>
      </w:r>
      <w:r w:rsidRPr="004F01E9">
        <w:rPr>
          <w:noProof/>
        </w:rPr>
        <w:tab/>
        <w:t>predseda</w:t>
      </w:r>
    </w:p>
    <w:sectPr w:rsidR="00845AE8" w:rsidRPr="004F01E9" w:rsidSect="0013229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8E5B7" w14:textId="77777777" w:rsidR="00AC280B" w:rsidRDefault="00AC280B" w:rsidP="00845AE8">
      <w:pPr>
        <w:spacing w:before="0" w:after="0"/>
      </w:pPr>
      <w:r>
        <w:separator/>
      </w:r>
    </w:p>
  </w:endnote>
  <w:endnote w:type="continuationSeparator" w:id="0">
    <w:p w14:paraId="35DAFB31" w14:textId="77777777" w:rsidR="00AC280B" w:rsidRDefault="00AC280B" w:rsidP="00845AE8">
      <w:pPr>
        <w:spacing w:before="0" w:after="0"/>
      </w:pPr>
      <w:r>
        <w:continuationSeparator/>
      </w:r>
    </w:p>
  </w:endnote>
  <w:endnote w:type="continuationNotice" w:id="1">
    <w:p w14:paraId="2719A69E" w14:textId="77777777" w:rsidR="00AC280B" w:rsidRDefault="00AC280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U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6098C" w14:textId="7DE39A66" w:rsidR="0074420B" w:rsidRPr="00132299" w:rsidRDefault="00132299" w:rsidP="00132299">
    <w:pPr>
      <w:pStyle w:val="Footer"/>
      <w:rPr>
        <w:rFonts w:ascii="Arial" w:hAnsi="Arial" w:cs="Arial"/>
        <w:b/>
        <w:sz w:val="48"/>
      </w:rPr>
    </w:pPr>
    <w:r w:rsidRPr="00132299">
      <w:rPr>
        <w:rFonts w:ascii="Arial" w:hAnsi="Arial" w:cs="Arial"/>
        <w:b/>
        <w:sz w:val="48"/>
      </w:rPr>
      <w:t>SK</w:t>
    </w:r>
    <w:r w:rsidRPr="00132299">
      <w:rPr>
        <w:rFonts w:ascii="Arial" w:hAnsi="Arial" w:cs="Arial"/>
        <w:b/>
        <w:sz w:val="48"/>
      </w:rPr>
      <w:tab/>
    </w:r>
    <w:r w:rsidRPr="00132299">
      <w:rPr>
        <w:rFonts w:ascii="Arial" w:hAnsi="Arial" w:cs="Arial"/>
        <w:b/>
        <w:sz w:val="48"/>
      </w:rPr>
      <w:tab/>
    </w:r>
    <w:r w:rsidRPr="00132299">
      <w:tab/>
    </w:r>
    <w:r w:rsidRPr="00132299">
      <w:rPr>
        <w:rFonts w:ascii="Arial" w:hAnsi="Arial" w:cs="Arial"/>
        <w:b/>
        <w:sz w:val="48"/>
      </w:rPr>
      <w:t>SK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7CF2C" w14:textId="32848284" w:rsidR="00132299" w:rsidRPr="00132299" w:rsidRDefault="00132299" w:rsidP="00132299">
    <w:pPr>
      <w:pStyle w:val="Footer"/>
      <w:rPr>
        <w:rFonts w:ascii="Arial" w:hAnsi="Arial" w:cs="Arial"/>
        <w:b/>
        <w:sz w:val="48"/>
      </w:rPr>
    </w:pPr>
    <w:r w:rsidRPr="00132299">
      <w:rPr>
        <w:rFonts w:ascii="Arial" w:hAnsi="Arial" w:cs="Arial"/>
        <w:b/>
        <w:sz w:val="48"/>
      </w:rPr>
      <w:t>SK</w:t>
    </w:r>
    <w:r w:rsidRPr="00132299">
      <w:rPr>
        <w:rFonts w:ascii="Arial" w:hAnsi="Arial" w:cs="Arial"/>
        <w:b/>
        <w:sz w:val="48"/>
      </w:rPr>
      <w:tab/>
    </w:r>
    <w:r>
      <w:fldChar w:fldCharType="begin"/>
    </w:r>
    <w:r>
      <w:instrText xml:space="preserve"> PAGE  \* MERGEFORMAT </w:instrText>
    </w:r>
    <w:r>
      <w:fldChar w:fldCharType="separate"/>
    </w:r>
    <w:r w:rsidR="003E5C2E">
      <w:rPr>
        <w:noProof/>
      </w:rPr>
      <w:t>213</w:t>
    </w:r>
    <w:r>
      <w:fldChar w:fldCharType="end"/>
    </w:r>
    <w:r>
      <w:tab/>
    </w:r>
    <w:r w:rsidRPr="00132299">
      <w:tab/>
    </w:r>
    <w:r w:rsidRPr="00132299">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BDDC9" w14:textId="77777777" w:rsidR="00132299" w:rsidRPr="00132299" w:rsidRDefault="00132299" w:rsidP="00132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538DE" w14:textId="77777777" w:rsidR="00AC280B" w:rsidRDefault="00AC280B" w:rsidP="00845AE8">
      <w:pPr>
        <w:spacing w:before="0" w:after="0"/>
      </w:pPr>
      <w:r>
        <w:separator/>
      </w:r>
    </w:p>
  </w:footnote>
  <w:footnote w:type="continuationSeparator" w:id="0">
    <w:p w14:paraId="26364424" w14:textId="77777777" w:rsidR="00AC280B" w:rsidRDefault="00AC280B" w:rsidP="00845AE8">
      <w:pPr>
        <w:spacing w:before="0" w:after="0"/>
      </w:pPr>
      <w:r>
        <w:continuationSeparator/>
      </w:r>
    </w:p>
  </w:footnote>
  <w:footnote w:type="continuationNotice" w:id="1">
    <w:p w14:paraId="6F7879B5" w14:textId="77777777" w:rsidR="00AC280B" w:rsidRDefault="00AC280B">
      <w:pPr>
        <w:spacing w:before="0" w:after="0"/>
      </w:pPr>
    </w:p>
  </w:footnote>
  <w:footnote w:id="2">
    <w:p w14:paraId="397E4A0C" w14:textId="77777777" w:rsidR="00AC280B" w:rsidRPr="004F01E9" w:rsidRDefault="00AC280B" w:rsidP="004F01E9">
      <w:pPr>
        <w:pStyle w:val="FootnoteText"/>
      </w:pPr>
      <w:r w:rsidRPr="004F01E9">
        <w:rPr>
          <w:rStyle w:val="FootnoteReference0"/>
        </w:rPr>
        <w:footnoteRef/>
      </w:r>
      <w:r w:rsidRPr="004F01E9">
        <w:tab/>
        <w:t>COM(2021) 663 final.</w:t>
      </w:r>
    </w:p>
  </w:footnote>
  <w:footnote w:id="3">
    <w:p w14:paraId="3CEB79AA" w14:textId="77777777" w:rsidR="00AC280B" w:rsidRPr="004F01E9" w:rsidRDefault="00AC280B" w:rsidP="004F01E9">
      <w:pPr>
        <w:pStyle w:val="FootnoteText"/>
      </w:pPr>
      <w:r w:rsidRPr="004F01E9">
        <w:rPr>
          <w:rStyle w:val="FootnoteReference0"/>
        </w:rPr>
        <w:footnoteRef/>
      </w:r>
      <w:r w:rsidRPr="004F01E9">
        <w:tab/>
        <w:t>Členmi BCBS sú centrálne banky a orgány bankového dohľadu z 28 jurisdikcií sveta. Spomedzi členských štátov EÚ sú členmi BCBS Belgicko, Francúzsko, Holandsko, Luxembursko, Nemecko, Španielsko a Taliansko, ako aj Európska centrálna banka. Európska komisia a Európsky orgán pre bankovníctvo (EBA) sa zúčastňujú na zasadnutiach BCBS ako pozorovatelia.</w:t>
      </w:r>
    </w:p>
  </w:footnote>
  <w:footnote w:id="4">
    <w:p w14:paraId="30A7374A" w14:textId="77777777" w:rsidR="00AC280B" w:rsidRPr="004F01E9" w:rsidRDefault="00AC280B" w:rsidP="004F01E9">
      <w:pPr>
        <w:pStyle w:val="FootnoteText"/>
      </w:pPr>
      <w:r w:rsidRPr="004F01E9">
        <w:rPr>
          <w:rStyle w:val="FootnoteReference0"/>
        </w:rPr>
        <w:footnoteRef/>
      </w:r>
      <w:r w:rsidRPr="004F01E9">
        <w:tab/>
        <w:t xml:space="preserve">Konsolidovaný rámec Bazilej III je k dispozícii na adrese </w:t>
      </w:r>
      <w:hyperlink r:id="rId1" w:history="1">
        <w:r w:rsidRPr="004F01E9">
          <w:rPr>
            <w:rStyle w:val="Hyperlink"/>
          </w:rPr>
          <w:t>https://www.bis.org/bcbs/publ/d462.htm</w:t>
        </w:r>
      </w:hyperlink>
      <w:r w:rsidRPr="004F01E9">
        <w:t xml:space="preserve">. </w:t>
      </w:r>
    </w:p>
  </w:footnote>
  <w:footnote w:id="5">
    <w:p w14:paraId="1A00E521" w14:textId="77777777" w:rsidR="00AC280B" w:rsidRPr="004F01E9" w:rsidRDefault="00AC280B" w:rsidP="004F01E9">
      <w:pPr>
        <w:pStyle w:val="FootnoteText"/>
      </w:pPr>
      <w:r w:rsidRPr="004F01E9">
        <w:rPr>
          <w:rStyle w:val="FootnoteReference0"/>
        </w:rPr>
        <w:footnoteRef/>
      </w:r>
      <w:r w:rsidRPr="004F01E9">
        <w:tab/>
        <w:t>Nariadenie Európskeho parlamentu a Rady (EÚ) č. 575/2013 z 26. júna 2013 o prudenciálnych požiadavkách na úverové inštitúcie a investičné spoločnosti a o zmene nariadenia (EÚ) č. 648/2012 (Ú. v. EÚ L 321, 26.6.2013, s. 6).</w:t>
      </w:r>
    </w:p>
  </w:footnote>
  <w:footnote w:id="6">
    <w:p w14:paraId="2F62F543" w14:textId="77777777" w:rsidR="00AC280B" w:rsidRPr="004F01E9" w:rsidRDefault="00AC280B" w:rsidP="004F01E9">
      <w:pPr>
        <w:pStyle w:val="FootnoteText"/>
        <w:rPr>
          <w:spacing w:val="-4"/>
        </w:rPr>
      </w:pPr>
      <w:r w:rsidRPr="004F01E9">
        <w:rPr>
          <w:rStyle w:val="FootnoteReference0"/>
        </w:rPr>
        <w:footnoteRef/>
      </w:r>
      <w:r w:rsidRPr="004F01E9">
        <w:tab/>
      </w:r>
      <w:r w:rsidRPr="004F01E9">
        <w:rPr>
          <w:spacing w:val="-4"/>
        </w:rPr>
        <w:t>Smernica Európskeho parlamentu a Rady 2013/36/EÚ z 26. júna 2013 o prístupe k činnosti úverových inštitúcií a prudenciálnom dohľade nad úverovými inštitúciami a investičnými spoločnosťami, o zmene smernice 2002/87/ES a o zrušení smerníc 2006/48/ES a 2006/49/ES (Ú. v. EÚ L 176, 27.6.2013, s. 338).</w:t>
      </w:r>
    </w:p>
  </w:footnote>
  <w:footnote w:id="7">
    <w:p w14:paraId="0267CFC1" w14:textId="77777777" w:rsidR="00AC280B" w:rsidRPr="004F01E9" w:rsidRDefault="00AC280B" w:rsidP="004F01E9">
      <w:pPr>
        <w:pStyle w:val="FootnoteText"/>
        <w:rPr>
          <w:spacing w:val="-6"/>
        </w:rPr>
      </w:pPr>
      <w:r w:rsidRPr="004F01E9">
        <w:rPr>
          <w:rStyle w:val="FootnoteReference0"/>
        </w:rPr>
        <w:footnoteRef/>
      </w:r>
      <w:r w:rsidRPr="004F01E9">
        <w:tab/>
      </w:r>
      <w:r w:rsidRPr="004F01E9">
        <w:rPr>
          <w:spacing w:val="-6"/>
        </w:rPr>
        <w:t xml:space="preserve">Nariadenie Európskeho parlamentu a Rady (EÚ) 2019/876 z 20. mája 2019, ktorým sa mení nariadenie (EÚ) č. 575/2013, pokiaľ ide o ukazovateľ finančnej páky, ukazovateľ čistého stabilného financovania, požiadavky na vlastné zdroje a oprávnené záväzky, kreditné riziko protistrany, trhové riziko, expozície voči centrálnym protistranám, expozície voči podnikom kolektívneho investovania, veľkú majetkovú angažovanosť, požiadavky na predkladanie správ a zverejňovanie informácií, a ktorým sa mení nariadenie (EÚ) č. 648/2012. </w:t>
      </w:r>
    </w:p>
  </w:footnote>
  <w:footnote w:id="8">
    <w:p w14:paraId="6399CC5E" w14:textId="77777777" w:rsidR="00AC280B" w:rsidRPr="004F01E9" w:rsidRDefault="00AC280B" w:rsidP="004F01E9">
      <w:pPr>
        <w:pStyle w:val="FootnoteText"/>
        <w:rPr>
          <w:spacing w:val="-6"/>
        </w:rPr>
      </w:pPr>
      <w:r w:rsidRPr="004F01E9">
        <w:rPr>
          <w:rStyle w:val="FootnoteReference0"/>
        </w:rPr>
        <w:footnoteRef/>
      </w:r>
      <w:r w:rsidRPr="004F01E9">
        <w:tab/>
      </w:r>
      <w:r w:rsidRPr="004F01E9">
        <w:rPr>
          <w:spacing w:val="-6"/>
        </w:rPr>
        <w:t>Smernica Európskeho parlamentu a Rady (EÚ) 2019/878 z 20. mája 2019, ktorou sa mení smernica 2013/36/EÚ, pokiaľ ide o oslobodené subjekty, finančné holdingové spoločnosti, zmiešané finančné holdingové spoločnosti, odmeňovanie, opatrenia a právomoci v oblasti dohľadu a opatrenia na zachovanie kapitálu.</w:t>
      </w:r>
    </w:p>
  </w:footnote>
  <w:footnote w:id="9">
    <w:p w14:paraId="1E422744" w14:textId="77777777" w:rsidR="00AC280B" w:rsidRPr="004F01E9" w:rsidRDefault="00AC280B" w:rsidP="004F01E9">
      <w:pPr>
        <w:pStyle w:val="FootnoteText"/>
        <w:rPr>
          <w:spacing w:val="-4"/>
        </w:rPr>
      </w:pPr>
      <w:r w:rsidRPr="00AF73BA">
        <w:rPr>
          <w:rStyle w:val="FootnoteReference0"/>
        </w:rPr>
        <w:footnoteRef/>
      </w:r>
      <w:r w:rsidRPr="004F01E9">
        <w:rPr>
          <w:spacing w:val="-4"/>
        </w:rPr>
        <w:tab/>
        <w:t>Pôvodne sa nariadenie CRR uplatňovalo na úverové inštitúcie (t. j. banky), ako aj na investičné spoločnosti, spoločne označované ako „inštitúcie“. So začatím uplatňovania nariadenia (EÚ) 2019/2033 sa osobný rozsah pôsobnosti nariadenia CRR– a s ním vymedzenie pojmu „inštitúcia“ – obmedzil na úverové inštitúcie a investičné spoločnosti, ktoré vykonávajú určité druhy činností a musia získať bankovú licenciu.</w:t>
      </w:r>
    </w:p>
  </w:footnote>
  <w:footnote w:id="10">
    <w:p w14:paraId="6AE92282" w14:textId="77777777" w:rsidR="00AC280B" w:rsidRPr="004F01E9" w:rsidRDefault="00AC280B" w:rsidP="004F01E9">
      <w:pPr>
        <w:pStyle w:val="FootnoteText"/>
      </w:pPr>
      <w:r w:rsidRPr="004F01E9">
        <w:rPr>
          <w:rStyle w:val="FootnoteReference0"/>
        </w:rPr>
        <w:footnoteRef/>
      </w:r>
      <w:r w:rsidRPr="004F01E9">
        <w:tab/>
        <w:t xml:space="preserve">Pozri </w:t>
      </w:r>
      <w:hyperlink r:id="rId2" w:history="1">
        <w:r w:rsidRPr="004F01E9">
          <w:rPr>
            <w:rStyle w:val="Hyperlink"/>
          </w:rPr>
          <w:t>https://www.bis.org/publ/bcbs189.htm</w:t>
        </w:r>
      </w:hyperlink>
      <w:r w:rsidRPr="004F01E9">
        <w:t>.</w:t>
      </w:r>
    </w:p>
  </w:footnote>
  <w:footnote w:id="11">
    <w:p w14:paraId="0CDDC805" w14:textId="77777777" w:rsidR="00AC280B" w:rsidRPr="004F01E9" w:rsidRDefault="00AC280B" w:rsidP="004F01E9">
      <w:pPr>
        <w:pStyle w:val="FootnoteText"/>
      </w:pPr>
      <w:r w:rsidRPr="004F01E9">
        <w:rPr>
          <w:rStyle w:val="FootnoteReference0"/>
        </w:rPr>
        <w:footnoteRef/>
      </w:r>
      <w:r w:rsidRPr="004F01E9">
        <w:tab/>
        <w:t>Úprava ocenenia pohľadávok je účtovná úprava ceny derivátu s cieľom zohľadniť kreditné riziko protistrany.</w:t>
      </w:r>
    </w:p>
  </w:footnote>
  <w:footnote w:id="12">
    <w:p w14:paraId="334F25C9" w14:textId="77777777" w:rsidR="00AC280B" w:rsidRPr="004F01E9" w:rsidRDefault="00AC280B" w:rsidP="004F01E9">
      <w:pPr>
        <w:pStyle w:val="FootnoteText"/>
      </w:pPr>
      <w:r w:rsidRPr="004F01E9">
        <w:rPr>
          <w:rStyle w:val="FootnoteReference0"/>
        </w:rPr>
        <w:footnoteRef/>
      </w:r>
      <w:r w:rsidRPr="004F01E9">
        <w:tab/>
        <w:t>Toto boli jediné významné zmeny časti štandardov, ktoré sa zaoberajú kapitálovými požiadavkami založenými na rizikách zavedenými v rámci prvej fázy reformy Bazilej III.</w:t>
      </w:r>
    </w:p>
  </w:footnote>
  <w:footnote w:id="13">
    <w:p w14:paraId="7E694BCF" w14:textId="77777777" w:rsidR="00AC280B" w:rsidRPr="004F01E9" w:rsidRDefault="00AC280B" w:rsidP="004F01E9">
      <w:pPr>
        <w:pStyle w:val="FootnoteText"/>
      </w:pPr>
      <w:r w:rsidRPr="004F01E9">
        <w:rPr>
          <w:rStyle w:val="FootnoteReference0"/>
        </w:rPr>
        <w:footnoteRef/>
      </w:r>
      <w:r w:rsidRPr="004F01E9">
        <w:tab/>
        <w:t>Minimálna požiadavka týkajúca sa limitov veľkej majetkovej angažovanosti už bola súčasťou právnych predpisov Únie, bola však novinkou v prípade bazilejských štandardov.</w:t>
      </w:r>
    </w:p>
  </w:footnote>
  <w:footnote w:id="14">
    <w:p w14:paraId="288E4275" w14:textId="77777777" w:rsidR="00AC280B" w:rsidRPr="004F01E9" w:rsidRDefault="00AC280B" w:rsidP="004F01E9">
      <w:pPr>
        <w:pStyle w:val="FootnoteText"/>
      </w:pPr>
      <w:r w:rsidRPr="004F01E9">
        <w:rPr>
          <w:rStyle w:val="FootnoteReference0"/>
        </w:rPr>
        <w:footnoteRef/>
      </w:r>
      <w:r w:rsidRPr="004F01E9">
        <w:tab/>
        <w:t>Konkrétnejšie vankúš na zachovanie kapitálu (CCB), proticyklický kapitálový vankúš (CCyB), vankúš na krytie systémového rizika (SRB) a kapitálové vankúše pre globálne a iné systémovo významné inštitúcie (G-SII a O-SII).</w:t>
      </w:r>
    </w:p>
  </w:footnote>
  <w:footnote w:id="15">
    <w:p w14:paraId="74983886" w14:textId="77777777" w:rsidR="00AC280B" w:rsidRPr="004F01E9" w:rsidRDefault="00AC280B" w:rsidP="004F01E9">
      <w:pPr>
        <w:pStyle w:val="FootnoteText"/>
        <w:rPr>
          <w:b/>
          <w:color w:val="3A3A3A"/>
        </w:rPr>
      </w:pPr>
      <w:r w:rsidRPr="004F01E9">
        <w:rPr>
          <w:rStyle w:val="FootnoteReference0"/>
        </w:rPr>
        <w:footnoteRef/>
      </w:r>
      <w:r w:rsidRPr="004F01E9">
        <w:tab/>
        <w:t>Uvedený prvý súbor reforiem bol zavedený aj vo väčšine jurisdikcií na svete, ako možno pozorovať v </w:t>
      </w:r>
      <w:r w:rsidRPr="004F01E9">
        <w:rPr>
          <w:color w:val="3A3A3A"/>
          <w:shd w:val="clear" w:color="auto" w:fill="FFFFFF"/>
        </w:rPr>
        <w:t xml:space="preserve">osemnástej správe o pokroku diskusií o prijatí regulačného rámca Bazilej uverejnenej v júli 2020 (pozri </w:t>
      </w:r>
      <w:hyperlink r:id="rId3" w:history="1">
        <w:r w:rsidRPr="004F01E9">
          <w:rPr>
            <w:rStyle w:val="Hyperlink"/>
            <w:shd w:val="clear" w:color="auto" w:fill="FFFFFF"/>
          </w:rPr>
          <w:t>https://www.bis.org/bcbs/publ/d506.htm</w:t>
        </w:r>
      </w:hyperlink>
      <w:r w:rsidRPr="004F01E9">
        <w:t>).</w:t>
      </w:r>
    </w:p>
  </w:footnote>
  <w:footnote w:id="16">
    <w:p w14:paraId="0EBD6B76" w14:textId="77777777" w:rsidR="00AC280B" w:rsidRPr="004F01E9" w:rsidRDefault="00AC280B" w:rsidP="004F01E9">
      <w:pPr>
        <w:pStyle w:val="FootnoteText"/>
      </w:pPr>
      <w:r w:rsidRPr="004F01E9">
        <w:rPr>
          <w:rStyle w:val="FootnoteReference0"/>
        </w:rPr>
        <w:footnoteRef/>
      </w:r>
      <w:r w:rsidRPr="004F01E9">
        <w:tab/>
        <w:t xml:space="preserve">Pozri </w:t>
      </w:r>
      <w:hyperlink r:id="rId4" w:history="1">
        <w:r w:rsidRPr="004F01E9">
          <w:rPr>
            <w:rStyle w:val="Hyperlink"/>
          </w:rPr>
          <w:t>https://ec.europa.eu/info/publications/200428-banking-package-communication_en</w:t>
        </w:r>
      </w:hyperlink>
      <w:r w:rsidRPr="004F01E9">
        <w:rPr>
          <w:rStyle w:val="Hyperlink"/>
        </w:rPr>
        <w:t>.</w:t>
      </w:r>
    </w:p>
  </w:footnote>
  <w:footnote w:id="17">
    <w:p w14:paraId="13D04E3C" w14:textId="77777777" w:rsidR="00AC280B" w:rsidRPr="004F01E9" w:rsidRDefault="00AC280B" w:rsidP="004F01E9">
      <w:pPr>
        <w:pStyle w:val="FootnoteText"/>
      </w:pPr>
      <w:r w:rsidRPr="004F01E9">
        <w:rPr>
          <w:rStyle w:val="FootnoteReference0"/>
        </w:rPr>
        <w:footnoteRef/>
      </w:r>
      <w:r w:rsidRPr="004F01E9">
        <w:tab/>
        <w:t xml:space="preserve">Pozri </w:t>
      </w:r>
      <w:hyperlink r:id="rId5" w:history="1">
        <w:r w:rsidRPr="004F01E9">
          <w:rPr>
            <w:rStyle w:val="Hyperlink"/>
          </w:rPr>
          <w:t>https://eur-lex.europa.eu/legal-content/SK/TXT/PDF/?uri=CELEX:32020R0873&amp;from=EN</w:t>
        </w:r>
      </w:hyperlink>
      <w:r w:rsidRPr="004F01E9">
        <w:rPr>
          <w:rStyle w:val="Hyperlink"/>
        </w:rPr>
        <w:t>.</w:t>
      </w:r>
    </w:p>
  </w:footnote>
  <w:footnote w:id="18">
    <w:p w14:paraId="39560866" w14:textId="77777777" w:rsidR="00AC280B" w:rsidRPr="004F01E9" w:rsidRDefault="00AC280B" w:rsidP="004F01E9">
      <w:pPr>
        <w:pStyle w:val="FootnoteText"/>
      </w:pPr>
      <w:r w:rsidRPr="004F01E9">
        <w:rPr>
          <w:rStyle w:val="FootnoteReference0"/>
        </w:rPr>
        <w:footnoteRef/>
      </w:r>
      <w:r w:rsidRPr="004F01E9">
        <w:tab/>
        <w:t xml:space="preserve">Komplexný zoznam týchto opatrení zostavil Európsky výbor pre systémové riziká (ESRB), pozri </w:t>
      </w:r>
      <w:hyperlink r:id="rId6" w:history="1">
        <w:r w:rsidRPr="004F01E9">
          <w:rPr>
            <w:rStyle w:val="Hyperlink"/>
          </w:rPr>
          <w:t>Politické opatrenia prijaté v reakcii na pandémiu COVID-19</w:t>
        </w:r>
      </w:hyperlink>
      <w:r w:rsidRPr="004F01E9">
        <w:t xml:space="preserve">. </w:t>
      </w:r>
    </w:p>
  </w:footnote>
  <w:footnote w:id="19">
    <w:p w14:paraId="348CF82A" w14:textId="77777777" w:rsidR="00AC280B" w:rsidRPr="004F01E9" w:rsidRDefault="00AC280B" w:rsidP="004F01E9">
      <w:pPr>
        <w:pStyle w:val="FootnoteText"/>
        <w:rPr>
          <w:spacing w:val="-6"/>
        </w:rPr>
      </w:pPr>
      <w:r w:rsidRPr="004F01E9">
        <w:rPr>
          <w:rStyle w:val="FootnoteReference0"/>
        </w:rPr>
        <w:footnoteRef/>
      </w:r>
      <w:r w:rsidRPr="004F01E9">
        <w:tab/>
      </w:r>
      <w:r w:rsidRPr="004F01E9">
        <w:rPr>
          <w:spacing w:val="-6"/>
        </w:rPr>
        <w:t xml:space="preserve">ECB vo svojej analýze zraniteľnosti voči pandémii COVID-19 uverejnenej v júli 2020 ukázala, že najväčšie banky eurozóny budú dostatočne kapitalizované, aby odolali krátkodobej hlbokej recesii, a že počet bánk s nedostatočnými kapitálovými zdrojmi bude v prípade závažnejšej recesie nízky (pozri </w:t>
      </w:r>
      <w:hyperlink r:id="rId7" w:history="1">
        <w:r w:rsidRPr="004F01E9">
          <w:rPr>
            <w:rStyle w:val="Hyperlink"/>
            <w:spacing w:val="-6"/>
          </w:rPr>
          <w:t>https://www.bankingsupervision.europa.eu/press/pr/date/2020/html/ssm.pr200728_annex~d36d893ca2.en.pdf</w:t>
        </w:r>
      </w:hyperlink>
      <w:r w:rsidRPr="004F01E9">
        <w:rPr>
          <w:spacing w:val="-6"/>
        </w:rPr>
        <w:t>).</w:t>
      </w:r>
    </w:p>
  </w:footnote>
  <w:footnote w:id="20">
    <w:p w14:paraId="1F192532" w14:textId="77777777" w:rsidR="00AC280B" w:rsidRPr="00B16452" w:rsidRDefault="00AC280B" w:rsidP="004F01E9">
      <w:pPr>
        <w:pStyle w:val="FootnoteText"/>
        <w:rPr>
          <w:spacing w:val="-8"/>
        </w:rPr>
      </w:pPr>
      <w:r w:rsidRPr="004F01E9">
        <w:rPr>
          <w:rStyle w:val="FootnoteReference0"/>
        </w:rPr>
        <w:footnoteRef/>
      </w:r>
      <w:r w:rsidRPr="004F01E9">
        <w:tab/>
      </w:r>
      <w:r w:rsidRPr="00B16452">
        <w:rPr>
          <w:spacing w:val="-8"/>
        </w:rPr>
        <w:t xml:space="preserve">Podobné štúdie, v ktorých sa dospelo k rovnakému záveru o bankách po celom svete, uskutočnil výbor BCBS na medzinárodnej úrovni. Viac informácií na adrese </w:t>
      </w:r>
      <w:hyperlink r:id="rId8" w:history="1">
        <w:r w:rsidRPr="00B16452">
          <w:rPr>
            <w:rStyle w:val="Hyperlink"/>
            <w:spacing w:val="-8"/>
          </w:rPr>
          <w:t>https://www.bis.org/bcbs/implementation/rcap_thematic.htm</w:t>
        </w:r>
      </w:hyperlink>
      <w:r w:rsidRPr="00B16452">
        <w:rPr>
          <w:spacing w:val="-8"/>
        </w:rPr>
        <w:t>.</w:t>
      </w:r>
    </w:p>
  </w:footnote>
  <w:footnote w:id="21">
    <w:p w14:paraId="22B4C303" w14:textId="77777777" w:rsidR="00AC280B" w:rsidRPr="004F01E9" w:rsidRDefault="00AC280B" w:rsidP="004F01E9">
      <w:pPr>
        <w:pStyle w:val="FootnoteText"/>
      </w:pPr>
      <w:r w:rsidRPr="004F01E9">
        <w:rPr>
          <w:rStyle w:val="FootnoteReference0"/>
        </w:rPr>
        <w:footnoteRef/>
      </w:r>
      <w:r w:rsidRPr="004F01E9">
        <w:tab/>
        <w:t xml:space="preserve">Pozri </w:t>
      </w:r>
      <w:r w:rsidRPr="004F01E9">
        <w:rPr>
          <w:rStyle w:val="Hyperlink"/>
        </w:rPr>
        <w:t>https://www.bis.org/bcbs/publ/d424.htm</w:t>
      </w:r>
      <w:r w:rsidRPr="004F01E9">
        <w:t>.</w:t>
      </w:r>
    </w:p>
  </w:footnote>
  <w:footnote w:id="22">
    <w:p w14:paraId="0BAA0762" w14:textId="77777777" w:rsidR="00AC280B" w:rsidRPr="004F01E9" w:rsidRDefault="00AC280B" w:rsidP="004F01E9">
      <w:pPr>
        <w:pStyle w:val="FootnoteText"/>
      </w:pPr>
      <w:r w:rsidRPr="004F01E9">
        <w:rPr>
          <w:rStyle w:val="FootnoteReference0"/>
        </w:rPr>
        <w:footnoteRef/>
      </w:r>
      <w:r w:rsidRPr="004F01E9">
        <w:tab/>
        <w:t xml:space="preserve">Pozri </w:t>
      </w:r>
      <w:hyperlink r:id="rId9" w:history="1">
        <w:r w:rsidRPr="004F01E9">
          <w:rPr>
            <w:rStyle w:val="Hyperlink"/>
          </w:rPr>
          <w:t>https://ec.europa.eu/commission/presscorner/detail/en/SPEECH_19_6269</w:t>
        </w:r>
      </w:hyperlink>
      <w:r w:rsidRPr="004F01E9">
        <w:t xml:space="preserve">. </w:t>
      </w:r>
    </w:p>
  </w:footnote>
  <w:footnote w:id="23">
    <w:p w14:paraId="14EA0469" w14:textId="77777777" w:rsidR="00AC280B" w:rsidRPr="004F01E9" w:rsidRDefault="00AC280B" w:rsidP="004F01E9">
      <w:pPr>
        <w:pStyle w:val="FootnoteText"/>
      </w:pPr>
      <w:r w:rsidRPr="004F01E9">
        <w:rPr>
          <w:rStyle w:val="FootnoteReference0"/>
        </w:rPr>
        <w:footnoteRef/>
      </w:r>
      <w:r w:rsidRPr="004F01E9">
        <w:tab/>
        <w:t>Konkrétnejšie začiatok uplatňovania bol odložený na 1. januára 2023 a uplatňovanie konečných prvkov reformy v plnom rozsahu na 1. januára 2028.</w:t>
      </w:r>
    </w:p>
  </w:footnote>
  <w:footnote w:id="24">
    <w:p w14:paraId="70B7E065" w14:textId="77777777" w:rsidR="00AC280B" w:rsidRPr="001C4527" w:rsidRDefault="00AC280B" w:rsidP="004F01E9">
      <w:pPr>
        <w:pStyle w:val="FootnoteText"/>
        <w:rPr>
          <w:spacing w:val="-4"/>
        </w:rPr>
      </w:pPr>
      <w:r w:rsidRPr="004F01E9">
        <w:rPr>
          <w:rStyle w:val="FootnoteReference0"/>
        </w:rPr>
        <w:footnoteRef/>
      </w:r>
      <w:r w:rsidRPr="004F01E9">
        <w:tab/>
      </w:r>
      <w:r w:rsidRPr="001C4527">
        <w:rPr>
          <w:spacing w:val="-4"/>
        </w:rPr>
        <w:t xml:space="preserve">Pozri </w:t>
      </w:r>
      <w:hyperlink r:id="rId10" w:history="1">
        <w:r w:rsidRPr="001C4527">
          <w:rPr>
            <w:rStyle w:val="Hyperlink"/>
            <w:spacing w:val="-4"/>
          </w:rPr>
          <w:t>https://eur-lex.europa.eu/legal-content/SK/TXT/?qid=1588580774040&amp;uri=CELEX:52019DC0640</w:t>
        </w:r>
      </w:hyperlink>
      <w:r w:rsidRPr="001C4527">
        <w:rPr>
          <w:spacing w:val="-4"/>
        </w:rPr>
        <w:t>.</w:t>
      </w:r>
    </w:p>
  </w:footnote>
  <w:footnote w:id="25">
    <w:p w14:paraId="592881FE" w14:textId="77777777" w:rsidR="00AC280B" w:rsidRPr="004F01E9" w:rsidRDefault="00AC280B" w:rsidP="004F01E9">
      <w:pPr>
        <w:pStyle w:val="FootnoteText"/>
      </w:pPr>
      <w:r w:rsidRPr="004F01E9">
        <w:rPr>
          <w:rStyle w:val="FootnoteReference0"/>
        </w:rPr>
        <w:footnoteRef/>
      </w:r>
      <w:r w:rsidRPr="004F01E9">
        <w:tab/>
        <w:t xml:space="preserve">Pozri </w:t>
      </w:r>
      <w:hyperlink r:id="rId11" w:history="1">
        <w:r w:rsidRPr="004F01E9">
          <w:rPr>
            <w:rStyle w:val="Hyperlink"/>
          </w:rPr>
          <w:t>https://eur-lex.europa.eu/legal-content/SK/TXT/?uri=COM:2021:550:FIN</w:t>
        </w:r>
      </w:hyperlink>
      <w:r w:rsidRPr="004F01E9">
        <w:t>.</w:t>
      </w:r>
    </w:p>
  </w:footnote>
  <w:footnote w:id="26">
    <w:p w14:paraId="020FDE7F" w14:textId="77777777" w:rsidR="00AC280B" w:rsidRPr="004F01E9" w:rsidRDefault="00AC280B" w:rsidP="004F01E9">
      <w:pPr>
        <w:pStyle w:val="FootnoteText"/>
      </w:pPr>
      <w:r w:rsidRPr="004F01E9">
        <w:rPr>
          <w:rStyle w:val="FootnoteReference0"/>
        </w:rPr>
        <w:footnoteRef/>
      </w:r>
      <w:r w:rsidRPr="004F01E9">
        <w:tab/>
        <w:t>Pozri COM(2021) 390 final.</w:t>
      </w:r>
    </w:p>
  </w:footnote>
  <w:footnote w:id="27">
    <w:p w14:paraId="35D74CDC" w14:textId="77777777" w:rsidR="00AC280B" w:rsidRPr="004F01E9" w:rsidRDefault="00AC280B" w:rsidP="004F01E9">
      <w:pPr>
        <w:pStyle w:val="FootnoteText"/>
      </w:pPr>
      <w:r w:rsidRPr="004F01E9">
        <w:rPr>
          <w:rStyle w:val="FootnoteReference0"/>
        </w:rPr>
        <w:footnoteRef/>
      </w:r>
      <w:r w:rsidRPr="004F01E9">
        <w:tab/>
        <w:t xml:space="preserve">Pozri </w:t>
      </w:r>
      <w:hyperlink r:id="rId12" w:history="1">
        <w:r w:rsidRPr="004F01E9">
          <w:rPr>
            <w:rStyle w:val="Hyperlink"/>
          </w:rPr>
          <w:t>https://eur-lex.europa.eu/legal-content/SK/TXT/?uri=CELEX:52018DC0097</w:t>
        </w:r>
      </w:hyperlink>
      <w:r w:rsidRPr="004F01E9">
        <w:t>.</w:t>
      </w:r>
    </w:p>
  </w:footnote>
  <w:footnote w:id="28">
    <w:p w14:paraId="1FAC5989" w14:textId="77777777" w:rsidR="00AC280B" w:rsidRPr="004F01E9" w:rsidRDefault="00AC280B" w:rsidP="004F01E9">
      <w:pPr>
        <w:pStyle w:val="FootnoteText"/>
      </w:pPr>
      <w:r w:rsidRPr="004F01E9">
        <w:rPr>
          <w:rStyle w:val="FootnoteReference0"/>
        </w:rPr>
        <w:footnoteRef/>
      </w:r>
      <w:r w:rsidRPr="004F01E9">
        <w:tab/>
        <w:t xml:space="preserve">Pozri </w:t>
      </w:r>
      <w:hyperlink r:id="rId13" w:history="1">
        <w:r w:rsidRPr="004F01E9">
          <w:rPr>
            <w:rStyle w:val="Hyperlink"/>
          </w:rPr>
          <w:t>https://ec.europa.eu/info/publications/sustainable-finance-high-level-expert-group_en</w:t>
        </w:r>
      </w:hyperlink>
      <w:r w:rsidRPr="004F01E9">
        <w:t>.</w:t>
      </w:r>
    </w:p>
  </w:footnote>
  <w:footnote w:id="29">
    <w:p w14:paraId="31F39D6F" w14:textId="77777777" w:rsidR="00AC280B" w:rsidRPr="004F01E9" w:rsidRDefault="00AC280B" w:rsidP="004F01E9">
      <w:pPr>
        <w:pStyle w:val="FootnoteText"/>
      </w:pPr>
      <w:r w:rsidRPr="004F01E9">
        <w:rPr>
          <w:rStyle w:val="FootnoteReference0"/>
        </w:rPr>
        <w:footnoteRef/>
      </w:r>
      <w:r w:rsidRPr="004F01E9">
        <w:tab/>
        <w:t xml:space="preserve">Pozri správu EBA/REP/2021/20 (k dispozícii </w:t>
      </w:r>
      <w:hyperlink r:id="rId14" w:history="1">
        <w:r w:rsidRPr="004F01E9">
          <w:rPr>
            <w:rStyle w:val="Hyperlink"/>
          </w:rPr>
          <w:t>tu</w:t>
        </w:r>
      </w:hyperlink>
      <w:r w:rsidRPr="004F01E9">
        <w:t>). Podľa smernice CRD sa od orgánu EBA vyžaduje podávať správy o regulačnej arbitráži vyplývajúcej zo súčasného rozdielneho zaobchádzania s pobočkami z tretích krajín. V tejto správe sa hodnotia vnútroštátne režimy týkajúce sa pobočiek z tretích krajín a potvrdzuje sa, že pretrvávajú výrazné rozdiely v zaobchádzaní s týmito pobočkami na vnútroštátnej úrovni a v stupni zapojenia hostiteľského orgánu dohľadu.</w:t>
      </w:r>
    </w:p>
  </w:footnote>
  <w:footnote w:id="30">
    <w:p w14:paraId="15D03128" w14:textId="77777777" w:rsidR="00AC280B" w:rsidRPr="004F01E9" w:rsidRDefault="00AC280B" w:rsidP="004F01E9">
      <w:pPr>
        <w:pStyle w:val="FootnoteText"/>
      </w:pPr>
      <w:r w:rsidRPr="004F01E9">
        <w:rPr>
          <w:rStyle w:val="FootnoteReference0"/>
        </w:rPr>
        <w:footnoteRef/>
      </w:r>
      <w:r w:rsidRPr="004F01E9">
        <w:tab/>
        <w:t>COM(2021) 750 final, pozri strategickú oblasť činnosti č. 6 (Budovanie odolných a nadčasových hospodárskych a finančných systémov).</w:t>
      </w:r>
    </w:p>
  </w:footnote>
  <w:footnote w:id="31">
    <w:p w14:paraId="69EB7BCC" w14:textId="77777777" w:rsidR="00AC280B" w:rsidRPr="004F01E9" w:rsidRDefault="00AC280B" w:rsidP="004F01E9">
      <w:pPr>
        <w:pStyle w:val="FootnoteText"/>
      </w:pPr>
      <w:r w:rsidRPr="004F01E9">
        <w:rPr>
          <w:rStyle w:val="FootnoteReference0"/>
        </w:rPr>
        <w:footnoteRef/>
      </w:r>
      <w:r w:rsidRPr="004F01E9">
        <w:tab/>
        <w:t>Príslušné články zmluvy, ktorými sa Únii priznáva právo prijímať opatrenia, sa týkajú slobody usadiť sa (najmä článok 53 ZFEÚ), slobody poskytovať služby (článok 59 ZFEÚ) a aproximácie pravidiel, ktorých predmetom je zriadenie a fungovanie vnútorného trhu (článok 114 ZFEÚ).</w:t>
      </w:r>
    </w:p>
  </w:footnote>
  <w:footnote w:id="32">
    <w:p w14:paraId="09F91E19" w14:textId="77777777" w:rsidR="00AC280B" w:rsidRPr="004F01E9" w:rsidRDefault="00AC280B" w:rsidP="004F01E9">
      <w:pPr>
        <w:pStyle w:val="FootnoteText"/>
      </w:pPr>
      <w:r w:rsidRPr="004F01E9">
        <w:rPr>
          <w:rStyle w:val="FootnoteReference0"/>
        </w:rPr>
        <w:footnoteRef/>
      </w:r>
      <w:r w:rsidRPr="004F01E9">
        <w:tab/>
        <w:t xml:space="preserve">Pozri </w:t>
      </w:r>
      <w:hyperlink r:id="rId15" w:history="1">
        <w:r w:rsidRPr="004F01E9">
          <w:rPr>
            <w:rStyle w:val="Hyperlink"/>
          </w:rPr>
          <w:t>https://ec.europa.eu/info/law/better-regulation/have-your-say/initiatives/12015-Alignment-EU-rules-on-capital-requirements-to-international-standards-prudential-requirements-and-market-discipline-/public-consultation_sk</w:t>
        </w:r>
      </w:hyperlink>
      <w:r w:rsidRPr="004F01E9">
        <w:t>.</w:t>
      </w:r>
    </w:p>
  </w:footnote>
  <w:footnote w:id="33">
    <w:p w14:paraId="35046885" w14:textId="77777777" w:rsidR="00AC280B" w:rsidRPr="004F01E9" w:rsidRDefault="00AC280B" w:rsidP="004F01E9">
      <w:pPr>
        <w:pStyle w:val="FootnoteText"/>
      </w:pPr>
      <w:r w:rsidRPr="004F01E9">
        <w:rPr>
          <w:rStyle w:val="FootnoteReference0"/>
        </w:rPr>
        <w:footnoteRef/>
      </w:r>
      <w:r w:rsidRPr="004F01E9">
        <w:tab/>
        <w:t xml:space="preserve">Pozri </w:t>
      </w:r>
      <w:hyperlink r:id="rId16" w:history="1">
        <w:r w:rsidRPr="004F01E9">
          <w:rPr>
            <w:rStyle w:val="Hyperlink"/>
          </w:rPr>
          <w:t>https://ec.europa.eu/info/consultations/finance-2018-basel-3-finalisation_en</w:t>
        </w:r>
      </w:hyperlink>
      <w:r w:rsidRPr="004F01E9">
        <w:t>.</w:t>
      </w:r>
    </w:p>
  </w:footnote>
  <w:footnote w:id="34">
    <w:p w14:paraId="052A7C14" w14:textId="77777777" w:rsidR="00AC280B" w:rsidRPr="001C4527" w:rsidRDefault="00AC280B" w:rsidP="004F01E9">
      <w:pPr>
        <w:pStyle w:val="FootnoteText"/>
        <w:rPr>
          <w:spacing w:val="-8"/>
        </w:rPr>
      </w:pPr>
      <w:r w:rsidRPr="004F01E9">
        <w:rPr>
          <w:rStyle w:val="FootnoteReference0"/>
        </w:rPr>
        <w:footnoteRef/>
      </w:r>
      <w:r w:rsidRPr="004F01E9">
        <w:tab/>
      </w:r>
      <w:r w:rsidRPr="001C4527">
        <w:rPr>
          <w:spacing w:val="-8"/>
        </w:rPr>
        <w:t xml:space="preserve">Prvá analýza vplyvu bola vypracovaná v dvoch častiach v roku 2019 (pozri </w:t>
      </w:r>
      <w:hyperlink r:id="rId17" w:history="1">
        <w:r w:rsidRPr="001C4527">
          <w:rPr>
            <w:rStyle w:val="Hyperlink"/>
            <w:spacing w:val="-8"/>
          </w:rPr>
          <w:t>tu</w:t>
        </w:r>
      </w:hyperlink>
      <w:r w:rsidRPr="001C4527">
        <w:rPr>
          <w:spacing w:val="-8"/>
        </w:rPr>
        <w:t xml:space="preserve"> a </w:t>
      </w:r>
      <w:hyperlink r:id="rId18" w:history="1">
        <w:r w:rsidRPr="001C4527">
          <w:rPr>
            <w:rStyle w:val="Hyperlink"/>
            <w:spacing w:val="-8"/>
          </w:rPr>
          <w:t>tu</w:t>
        </w:r>
      </w:hyperlink>
      <w:r w:rsidRPr="001C4527">
        <w:rPr>
          <w:spacing w:val="-8"/>
        </w:rPr>
        <w:t xml:space="preserve">). Druhá analýza vplyvu, v ktorej sa aktualizovali výsledky pôvodnej analýzy so zreteľom na vplyv pandémie COVID-19, bola vypracovaná v decembri 2020 (pozri </w:t>
      </w:r>
      <w:hyperlink r:id="rId19" w:history="1">
        <w:r w:rsidRPr="001C4527">
          <w:rPr>
            <w:rStyle w:val="Hyperlink"/>
            <w:spacing w:val="-8"/>
          </w:rPr>
          <w:t>tu</w:t>
        </w:r>
      </w:hyperlink>
      <w:r w:rsidRPr="001C4527">
        <w:rPr>
          <w:spacing w:val="-8"/>
        </w:rPr>
        <w:t xml:space="preserve">). Z aktualizovaného posúdenia vyplynulo, že od druhého štvrťroka 2018 do štvrtého štvrťroka 2019 sa celkové zvýšenie minimálnych kapitálových požiadaviek z dôvodu vykonania reformy Bazilej III v plnom rozsahu znížilo o vyše 5 percentuálnych bodov (t. j. z +24,1 % na +18,5 %), zatiaľ čo nedostatok kapitálu v inštitúciách zaradených do vzorky klesol viac ako o polovicu (zo 109,5 mld. EUR na 52,2 mld. EUR). </w:t>
      </w:r>
    </w:p>
  </w:footnote>
  <w:footnote w:id="35">
    <w:p w14:paraId="49E6C2DD" w14:textId="77777777" w:rsidR="00AC280B" w:rsidRPr="001C4527" w:rsidRDefault="00AC280B" w:rsidP="004F01E9">
      <w:pPr>
        <w:pStyle w:val="FootnoteText"/>
        <w:rPr>
          <w:spacing w:val="-8"/>
        </w:rPr>
      </w:pPr>
      <w:r w:rsidRPr="00AF73BA">
        <w:rPr>
          <w:rStyle w:val="FootnoteReference0"/>
        </w:rPr>
        <w:footnoteRef/>
      </w:r>
      <w:r w:rsidRPr="001C4527">
        <w:rPr>
          <w:spacing w:val="-8"/>
        </w:rPr>
        <w:tab/>
        <w:t xml:space="preserve">Prvá makroprudenciálna analýza bola vypracovaná v spojení s analýzou vplyvu, ktorú v roku 2019 vypracoval Európsky orgán pre bankovníctvo (EBA). Aktualizovaná verzia bola vypracovaná v roku 2021 s cieľom zohľadniť aktualizovanú analýzu vplyvu vypracovanú orgánom EBA. Výsledky aktualizovanej analýzy ECB sa uvádzajú v posúdení vplyvu. Podrobné informácie o analýze ECB sa nachádzajú na adrese </w:t>
      </w:r>
      <w:hyperlink r:id="rId20" w:history="1">
        <w:r w:rsidRPr="001C4527">
          <w:rPr>
            <w:rStyle w:val="Hyperlink"/>
            <w:spacing w:val="-8"/>
          </w:rPr>
          <w:t>https://www.ecb.europa.eu/pub/financial-stability/macroprudential-bulletin/html/ecb.mpbu202107_1~3292170452.en.html</w:t>
        </w:r>
      </w:hyperlink>
      <w:r w:rsidRPr="001C4527">
        <w:rPr>
          <w:spacing w:val="-8"/>
        </w:rPr>
        <w:t>.</w:t>
      </w:r>
    </w:p>
  </w:footnote>
  <w:footnote w:id="36">
    <w:p w14:paraId="34CE6995" w14:textId="77777777" w:rsidR="00AC280B" w:rsidRPr="004F01E9" w:rsidRDefault="00AC280B" w:rsidP="004F01E9">
      <w:pPr>
        <w:pStyle w:val="FootnoteText"/>
      </w:pPr>
      <w:r w:rsidRPr="004F01E9">
        <w:rPr>
          <w:rStyle w:val="FootnoteReference0"/>
        </w:rPr>
        <w:footnoteRef/>
      </w:r>
      <w:r w:rsidRPr="004F01E9">
        <w:tab/>
        <w:t>SWD(2021) 320 final.</w:t>
      </w:r>
    </w:p>
  </w:footnote>
  <w:footnote w:id="37">
    <w:p w14:paraId="6DB5560A" w14:textId="77777777" w:rsidR="00AC280B" w:rsidRPr="004F01E9" w:rsidRDefault="00AC280B" w:rsidP="004F01E9">
      <w:pPr>
        <w:pStyle w:val="FootnoteText"/>
      </w:pPr>
      <w:r w:rsidRPr="004F01E9">
        <w:rPr>
          <w:rStyle w:val="FootnoteReference0"/>
        </w:rPr>
        <w:footnoteRef/>
      </w:r>
      <w:r w:rsidRPr="004F01E9">
        <w:tab/>
        <w:t>Nariadenie Európskeho parlamentu a Rady (EÚ) 2019/630 zo 17. apríla 2019, ktorým sa mení nariadenie (EÚ) č. 575/2013, pokiaľ ide o minimálne krytie strát pri problémových expozíciách (Ú. v. EÚ L 111, 25.4.2019, s. 4–12).</w:t>
      </w:r>
    </w:p>
  </w:footnote>
  <w:footnote w:id="38">
    <w:p w14:paraId="60B2A076" w14:textId="77777777" w:rsidR="00AC280B" w:rsidRPr="004F01E9" w:rsidRDefault="00AC280B" w:rsidP="004F01E9">
      <w:pPr>
        <w:pStyle w:val="FootnoteText"/>
      </w:pPr>
      <w:r w:rsidRPr="004F01E9">
        <w:rPr>
          <w:rStyle w:val="FootnoteReference0"/>
        </w:rPr>
        <w:footnoteRef/>
      </w:r>
      <w:r w:rsidRPr="004F01E9">
        <w:tab/>
        <w:t>Nariadenie Európskeho parlamentu a Rady (EÚ) 2019/2033 z 27. novembra 2019 o prudenciálnych požiadavkách na investičné spoločnosti a o zmene nariadení (EÚ) č. 1093/2010, (EÚ) č. 575/2013, (EÚ) č. 600/2014 a (EÚ) č. 806/2014 (Ú. v. EÚ L 314, 5.12.2019, s. 1–63).</w:t>
      </w:r>
    </w:p>
  </w:footnote>
  <w:footnote w:id="39">
    <w:p w14:paraId="3FC2BF2F" w14:textId="77777777" w:rsidR="00AC280B" w:rsidRPr="004F01E9" w:rsidRDefault="00AC280B" w:rsidP="004F01E9">
      <w:pPr>
        <w:pStyle w:val="FootnoteText"/>
      </w:pPr>
      <w:r w:rsidRPr="004F01E9">
        <w:rPr>
          <w:rStyle w:val="FootnoteReference0"/>
        </w:rPr>
        <w:footnoteRef/>
      </w:r>
      <w:r w:rsidRPr="004F01E9">
        <w:tab/>
        <w:t>Pomer sa vypočítava s ohľadom na rizikovo vážené aktíva konsolidovanej skupiny.</w:t>
      </w:r>
    </w:p>
  </w:footnote>
  <w:footnote w:id="40">
    <w:p w14:paraId="2D2D52A1" w14:textId="77777777" w:rsidR="00AC280B" w:rsidRPr="006C666F" w:rsidRDefault="00AC280B" w:rsidP="004F01E9">
      <w:pPr>
        <w:pStyle w:val="FootnoteText"/>
        <w:rPr>
          <w:spacing w:val="-6"/>
        </w:rPr>
      </w:pPr>
      <w:r w:rsidRPr="004F01E9">
        <w:rPr>
          <w:rStyle w:val="FootnoteReference0"/>
        </w:rPr>
        <w:footnoteRef/>
      </w:r>
      <w:r w:rsidRPr="004F01E9">
        <w:tab/>
      </w:r>
      <w:r w:rsidRPr="006C666F">
        <w:rPr>
          <w:spacing w:val="-6"/>
        </w:rPr>
        <w:t xml:space="preserve">FSB: Strengthening Oversight and Regulation of Shadow Banking (Posilnenie dohľadu a regulácie tieňového bankovníctva), 29. augusta 2013, dostupné na adrese: </w:t>
      </w:r>
      <w:hyperlink r:id="rId21" w:history="1">
        <w:r w:rsidRPr="006C666F">
          <w:rPr>
            <w:rStyle w:val="Hyperlink"/>
            <w:spacing w:val="-6"/>
          </w:rPr>
          <w:t>https://www.fsb.org/wp-content/uploads/r_130829b.pdf</w:t>
        </w:r>
      </w:hyperlink>
      <w:r w:rsidRPr="006C666F">
        <w:rPr>
          <w:spacing w:val="-6"/>
        </w:rPr>
        <w:t>.</w:t>
      </w:r>
    </w:p>
  </w:footnote>
  <w:footnote w:id="41">
    <w:p w14:paraId="3EC7BB30" w14:textId="77777777" w:rsidR="00AC280B" w:rsidRPr="004F01E9" w:rsidRDefault="00AC280B" w:rsidP="004F01E9">
      <w:pPr>
        <w:pStyle w:val="FootnoteText"/>
      </w:pPr>
      <w:r w:rsidRPr="004F01E9">
        <w:rPr>
          <w:rStyle w:val="FootnoteReference0"/>
        </w:rPr>
        <w:footnoteRef/>
      </w:r>
      <w:r w:rsidRPr="004F01E9">
        <w:tab/>
        <w:t>Európsky orgán pre bankovníctvo: Politické odporúčania týkajúce sa reforiem Bazilej III: Operačné riziko, EBA-OP-2019-09b, 2. augusta 2019.</w:t>
      </w:r>
    </w:p>
  </w:footnote>
  <w:footnote w:id="42">
    <w:p w14:paraId="0F64EBF8" w14:textId="77777777" w:rsidR="00AC280B" w:rsidRPr="004F01E9" w:rsidRDefault="00AC280B" w:rsidP="004F01E9">
      <w:pPr>
        <w:pStyle w:val="FootnoteText"/>
      </w:pPr>
      <w:r w:rsidRPr="004F01E9">
        <w:rPr>
          <w:rStyle w:val="FootnoteReference0"/>
        </w:rPr>
        <w:footnoteRef/>
      </w:r>
      <w:r w:rsidRPr="004F01E9">
        <w:tab/>
        <w:t>Európsky orgán pre cenné papiere a trhy: Správa o transakciách financovania prostredníctvom cenných papierov a finančnej páke v EÚ, október 2016.</w:t>
      </w:r>
    </w:p>
  </w:footnote>
  <w:footnote w:id="43">
    <w:p w14:paraId="2DBD402B" w14:textId="77777777" w:rsidR="00AC280B" w:rsidRPr="006C666F" w:rsidRDefault="00AC280B" w:rsidP="004F01E9">
      <w:pPr>
        <w:pStyle w:val="FootnoteText"/>
        <w:rPr>
          <w:spacing w:val="-8"/>
        </w:rPr>
      </w:pPr>
      <w:r w:rsidRPr="004F01E9">
        <w:rPr>
          <w:rStyle w:val="FootnoteReference0"/>
        </w:rPr>
        <w:footnoteRef/>
      </w:r>
      <w:r w:rsidRPr="004F01E9">
        <w:tab/>
      </w:r>
      <w:r w:rsidRPr="006C666F">
        <w:rPr>
          <w:spacing w:val="-8"/>
        </w:rPr>
        <w:t xml:space="preserve">EBA, Policy advice on the Basel reforms: Operational Risk (Operačné riziko: Politické odporúčania k bazilejským reformám), EBA/OP/2019/09b, 2. augusta 2019, dostupné na adrese: </w:t>
      </w:r>
      <w:hyperlink r:id="rId22" w:history="1">
        <w:r w:rsidRPr="006C666F">
          <w:rPr>
            <w:rStyle w:val="Hyperlink"/>
            <w:spacing w:val="-8"/>
          </w:rPr>
          <w:t>https://www.eba.europa.eu/sites/default/documents/files/documents/10180/2886865/5db69327-7d3f-4e6c-9ac9-fc54430781eb/Policy%20Advice%20on%20Basel%20III%20reforms%20-%20Operational%20Risk.pdf?retry=1</w:t>
        </w:r>
      </w:hyperlink>
      <w:r w:rsidRPr="006C666F">
        <w:rPr>
          <w:spacing w:val="-8"/>
        </w:rPr>
        <w:t>.</w:t>
      </w:r>
    </w:p>
  </w:footnote>
  <w:footnote w:id="44">
    <w:p w14:paraId="50537881" w14:textId="77777777" w:rsidR="00AC280B" w:rsidRPr="004F01E9" w:rsidRDefault="00AC280B" w:rsidP="004F01E9">
      <w:pPr>
        <w:pStyle w:val="FootnoteText"/>
      </w:pPr>
      <w:r w:rsidRPr="004F01E9">
        <w:rPr>
          <w:rStyle w:val="FootnoteReference0"/>
        </w:rPr>
        <w:footnoteRef/>
      </w:r>
      <w:r w:rsidRPr="004F01E9">
        <w:tab/>
        <w:t xml:space="preserve">Bazilejský výbor pre bankový dohľad (2019): Leverage ratio treatment of client cleared derivatives (Prístup k ukazovateľom finančnej páky derivátov zúčtovaných klientom), jún 2019, dostupné na adrese: </w:t>
      </w:r>
      <w:hyperlink r:id="rId23" w:history="1">
        <w:r w:rsidRPr="004F01E9">
          <w:rPr>
            <w:rStyle w:val="Hyperlink"/>
          </w:rPr>
          <w:t>https://www.bis.org/bcbs/publ/d467.pdf</w:t>
        </w:r>
      </w:hyperlink>
      <w:r w:rsidRPr="004F01E9">
        <w:t xml:space="preserve">. </w:t>
      </w:r>
    </w:p>
  </w:footnote>
  <w:footnote w:id="45">
    <w:p w14:paraId="2D42C043" w14:textId="77777777" w:rsidR="00AC280B" w:rsidRPr="004F01E9" w:rsidRDefault="00AC280B" w:rsidP="004F01E9">
      <w:pPr>
        <w:pStyle w:val="FootnoteText"/>
      </w:pPr>
      <w:r w:rsidRPr="004F01E9">
        <w:rPr>
          <w:rStyle w:val="FootnoteReference0"/>
        </w:rPr>
        <w:footnoteRef/>
      </w:r>
      <w:r w:rsidRPr="004F01E9">
        <w:tab/>
        <w:t xml:space="preserve">Správa Komisie Európskemu parlamentu a Rade o možnom rozšírení rámca pre vankúš ukazovateľa finančnej páky na O-SII a o vymedzení a výpočte veľkosti celkovej expozície vrátane zaobchádzania s rezervami v centrálnej banke, február 2021, dostupné na adrese: </w:t>
      </w:r>
      <w:hyperlink r:id="rId24" w:history="1">
        <w:r w:rsidRPr="004F01E9">
          <w:rPr>
            <w:rStyle w:val="Hyperlink"/>
          </w:rPr>
          <w:t>https://eur-lex.europa.eu/legal-content/sk/TXT/?uri=CELEX:52021DC0062</w:t>
        </w:r>
      </w:hyperlink>
      <w:r w:rsidRPr="004F01E9">
        <w:t>.</w:t>
      </w:r>
    </w:p>
  </w:footnote>
  <w:footnote w:id="46">
    <w:p w14:paraId="74D6842E" w14:textId="77777777" w:rsidR="00AC280B" w:rsidRPr="004F01E9" w:rsidRDefault="00AC280B" w:rsidP="004F01E9">
      <w:pPr>
        <w:pStyle w:val="FootnoteText"/>
      </w:pPr>
      <w:r w:rsidRPr="004F01E9">
        <w:rPr>
          <w:rStyle w:val="FootnoteReference0"/>
        </w:rPr>
        <w:footnoteRef/>
      </w:r>
      <w:r w:rsidRPr="004F01E9">
        <w:tab/>
      </w:r>
      <w:r w:rsidRPr="004F01E9">
        <w:rPr>
          <w:color w:val="000000"/>
          <w:shd w:val="clear" w:color="auto" w:fill="FFFFFF"/>
        </w:rPr>
        <w:t xml:space="preserve">Rada ECOFIN, Action Plan to Tackle Non-Performing Loans in Europe (Akčný plán na riešenie nesplácaných úverov v Európe), júl 2017. </w:t>
      </w:r>
      <w:hyperlink r:id="rId25" w:history="1">
        <w:r w:rsidRPr="004F01E9">
          <w:rPr>
            <w:rStyle w:val="Hyperlink"/>
          </w:rPr>
          <w:t>Závery Rady o akčnom pláne na riešenie nesplácaných úverov v Európe – Consilium (europa.eu)</w:t>
        </w:r>
      </w:hyperlink>
      <w:r w:rsidRPr="004F01E9">
        <w:t>.</w:t>
      </w:r>
    </w:p>
  </w:footnote>
  <w:footnote w:id="47">
    <w:p w14:paraId="6499E19A" w14:textId="77777777" w:rsidR="00AC280B" w:rsidRPr="004F01E9" w:rsidRDefault="00AC280B" w:rsidP="004F01E9">
      <w:pPr>
        <w:pStyle w:val="FootnoteText"/>
        <w:rPr>
          <w:color w:val="000000"/>
          <w:shd w:val="clear" w:color="auto" w:fill="FFFFFF"/>
        </w:rPr>
      </w:pPr>
      <w:r w:rsidRPr="004F01E9">
        <w:rPr>
          <w:rStyle w:val="FootnoteReference0"/>
        </w:rPr>
        <w:footnoteRef/>
      </w:r>
      <w:r w:rsidRPr="004F01E9">
        <w:tab/>
        <w:t>Oznámenie Komisie Európskemu parlamentu, Rade a Európskej centrálnej banke Riešenie nesplácaných úverov v období po pandémii COVID-19 [COM(2020) 822 final].</w:t>
      </w:r>
    </w:p>
  </w:footnote>
  <w:footnote w:id="48">
    <w:p w14:paraId="7E70CBC0" w14:textId="77777777" w:rsidR="00AC280B" w:rsidRPr="004F01E9" w:rsidRDefault="00AC280B" w:rsidP="004F01E9">
      <w:pPr>
        <w:pStyle w:val="FootnoteText"/>
      </w:pPr>
      <w:r w:rsidRPr="004F01E9">
        <w:rPr>
          <w:rStyle w:val="FootnoteReference0"/>
        </w:rPr>
        <w:footnoteRef/>
      </w:r>
      <w:r w:rsidRPr="004F01E9">
        <w:tab/>
        <w:t>Usmernenia EBA/GL/2018/10 Európskeho orgánu pre bankovníctvo zo 17. decembra 2018 týkajúce sa zverejňovania nesplácaných expozícií a expozícií s pozmenenou splatnosťou.</w:t>
      </w:r>
    </w:p>
  </w:footnote>
  <w:footnote w:id="49">
    <w:p w14:paraId="484579CA" w14:textId="77777777" w:rsidR="00AC280B" w:rsidRPr="004F01E9" w:rsidRDefault="00AC280B" w:rsidP="004F01E9">
      <w:pPr>
        <w:pStyle w:val="FootnoteText"/>
      </w:pPr>
      <w:r w:rsidRPr="004F01E9">
        <w:rPr>
          <w:rStyle w:val="FootnoteReference0"/>
        </w:rPr>
        <w:footnoteRef/>
      </w:r>
      <w:r w:rsidRPr="004F01E9">
        <w:tab/>
        <w:t>Vykonávacie nariadenie Komisie (EÚ) 2021/637 z 15. marca 2021, ktorým sa stanovujú vykonávacie technické predpisy, pokiaľ ide o zverejňovanie informácií uvedených v ôsmej časti hlavách II a III nariadenia Európskeho parlamentu a Rady (EÚ) č. 575/2013 inštitúciami, a ktorým sa zrušuje vykonávacie nariadenie Komisie (EÚ) č. 1423/2013, delegované nariadenie Komisie (EÚ) 2015/1555, vykonávacie nariadenie Komisie (EÚ) 2016/200 a delegované nariadenie Komisie (EÚ) 2017/2295 (Text s významom pre EHP) (Ú. v. EÚ L 136, 21.4.2021, s. 1 – 327).</w:t>
      </w:r>
    </w:p>
  </w:footnote>
  <w:footnote w:id="50">
    <w:p w14:paraId="2C5E09BC" w14:textId="77777777" w:rsidR="00AC280B" w:rsidRPr="004F01E9" w:rsidRDefault="00AC280B" w:rsidP="004F01E9">
      <w:pPr>
        <w:pStyle w:val="FootnoteText"/>
      </w:pPr>
      <w:r w:rsidRPr="004F01E9">
        <w:rPr>
          <w:rStyle w:val="FootnoteReference0"/>
        </w:rPr>
        <w:footnoteRef/>
      </w:r>
      <w:r w:rsidRPr="004F01E9">
        <w:tab/>
        <w:t>Ú. v. EÚ C …, …, s. ….</w:t>
      </w:r>
    </w:p>
  </w:footnote>
  <w:footnote w:id="51">
    <w:p w14:paraId="2EA8327C" w14:textId="77777777" w:rsidR="00AC280B" w:rsidRPr="004F01E9" w:rsidRDefault="00AC280B" w:rsidP="004F01E9">
      <w:pPr>
        <w:pStyle w:val="FootnoteText"/>
      </w:pPr>
      <w:r w:rsidRPr="004F01E9">
        <w:rPr>
          <w:rStyle w:val="FootnoteReference0"/>
        </w:rPr>
        <w:footnoteRef/>
      </w:r>
      <w:r w:rsidRPr="004F01E9">
        <w:tab/>
        <w:t>Nariadenie Európskeho parlamentu a Rady (EÚ) 2019/876 z 20. mája 2019, ktorým sa mení nariadenie (EÚ) č. 575/2013, pokiaľ ide o ukazovateľ finančnej páky, ukazovateľ čistého stabilného financovania, požiadavky na vlastné zdroje a oprávnené záväzky, kreditné riziko protistrany, trhové riziko, expozície voči centrálnym protistranám, expozície voči podnikom kolektívneho investovania, veľkú majetkovú angažovanosť, požiadavky na predkladanie správ a zverejňovanie informácií, a ktorým sa mení nariadenie (EÚ) č. 648/2012 (Ú. v. EÚ L 150, 7.6.2019, s. 1).</w:t>
      </w:r>
    </w:p>
  </w:footnote>
  <w:footnote w:id="52">
    <w:p w14:paraId="05A599F0" w14:textId="77777777" w:rsidR="00AC280B" w:rsidRPr="004F01E9" w:rsidRDefault="00AC280B" w:rsidP="004F01E9">
      <w:pPr>
        <w:pStyle w:val="FootnoteText"/>
      </w:pPr>
      <w:r w:rsidRPr="004F01E9">
        <w:rPr>
          <w:rStyle w:val="FootnoteReference0"/>
        </w:rPr>
        <w:footnoteRef/>
      </w:r>
      <w:r w:rsidRPr="004F01E9">
        <w:tab/>
      </w:r>
      <w:r w:rsidRPr="004F01E9">
        <w:rPr>
          <w:color w:val="000000"/>
          <w:shd w:val="clear" w:color="auto" w:fill="FFFFFF"/>
        </w:rPr>
        <w:t xml:space="preserve">Rada ECOFIN, Action Plan to Tackle Non-Performing Loans in Europe (Akčný plán na riešenie nesplácaných úverov v Európe), júl 2017. </w:t>
      </w:r>
      <w:hyperlink r:id="rId26" w:history="1">
        <w:r w:rsidRPr="004F01E9">
          <w:rPr>
            <w:rStyle w:val="Hyperlink"/>
          </w:rPr>
          <w:t>Závery Rady o akčnom pláne na riešenie nesplácaných úverov v Európe – Consilium (europa.eu)</w:t>
        </w:r>
      </w:hyperlink>
      <w:r w:rsidRPr="004F01E9">
        <w:t>.</w:t>
      </w:r>
    </w:p>
  </w:footnote>
  <w:footnote w:id="53">
    <w:p w14:paraId="3D0F4C54" w14:textId="77777777" w:rsidR="00AC280B" w:rsidRPr="004F01E9" w:rsidRDefault="00AC280B" w:rsidP="004F01E9">
      <w:pPr>
        <w:pStyle w:val="FootnoteText"/>
        <w:rPr>
          <w:color w:val="000000"/>
          <w:shd w:val="clear" w:color="auto" w:fill="FFFFFF"/>
        </w:rPr>
      </w:pPr>
      <w:r w:rsidRPr="004F01E9">
        <w:rPr>
          <w:rStyle w:val="FootnoteReference0"/>
        </w:rPr>
        <w:footnoteRef/>
      </w:r>
      <w:r w:rsidRPr="004F01E9">
        <w:tab/>
        <w:t>Oznámenie Komisie Európskemu parlamentu, Rade a Európskej centrálnej banke Riešenie nesplácaných úverov v období po pandémii COVID-19 [COM(2020) 822 final].</w:t>
      </w:r>
    </w:p>
  </w:footnote>
  <w:footnote w:id="54">
    <w:p w14:paraId="0EEFF894" w14:textId="77777777" w:rsidR="00AC280B" w:rsidRPr="004F01E9" w:rsidRDefault="00AC280B" w:rsidP="004F01E9">
      <w:pPr>
        <w:pStyle w:val="FootnoteText"/>
      </w:pPr>
      <w:r w:rsidRPr="004F01E9">
        <w:rPr>
          <w:rStyle w:val="FootnoteReference0"/>
        </w:rPr>
        <w:footnoteRef/>
      </w:r>
      <w:r w:rsidRPr="004F01E9">
        <w:tab/>
        <w:t>Nariadenie Európskeho parlamentu a Rady (EÚ) 2019/2033 z 27. novembra 2019 o prudenciálnych požiadavkách na investičné spoločnosti a o zmene nariadení (EÚ) č. 1093/2010, (EÚ) č. 575/2013, (EÚ) č. 600/2014 a (EÚ) č. 806/2014 (Ú. v. EÚ L 314, 5.12.2019, s. 1).</w:t>
      </w:r>
    </w:p>
  </w:footnote>
  <w:footnote w:id="55">
    <w:p w14:paraId="271FF2E0" w14:textId="77777777" w:rsidR="00AC280B" w:rsidRPr="004F01E9" w:rsidRDefault="00AC280B" w:rsidP="004F01E9">
      <w:pPr>
        <w:pStyle w:val="FootnoteText"/>
      </w:pPr>
      <w:r w:rsidRPr="004F01E9">
        <w:rPr>
          <w:rStyle w:val="FootnoteReference0"/>
        </w:rPr>
        <w:footnoteRef/>
      </w:r>
      <w:r w:rsidRPr="004F01E9">
        <w:tab/>
        <w:t>Smernica Európskeho parlamentu a Rady 2014/65/EÚ z 15. mája 2014 o trhoch s finančnými nástrojmi, ktorou sa mení smernica 2002/92/ES a smernica 2011/61/EÚ (Ú. v. EÚ L 173, 12.6.2014, s. 349).</w:t>
      </w:r>
    </w:p>
  </w:footnote>
  <w:footnote w:id="56">
    <w:p w14:paraId="0FB53C31" w14:textId="77777777" w:rsidR="00AC280B" w:rsidRPr="004F01E9" w:rsidRDefault="00AC280B" w:rsidP="004F01E9">
      <w:pPr>
        <w:pStyle w:val="FootnoteText"/>
      </w:pPr>
      <w:r w:rsidRPr="004F01E9">
        <w:rPr>
          <w:rStyle w:val="FootnoteReference0"/>
        </w:rPr>
        <w:footnoteRef/>
      </w:r>
      <w:r w:rsidRPr="004F01E9">
        <w:tab/>
        <w:t>Smernica Európskeho parlamentu a Rady (EÚ) 2015/2366 z 25. novembra 2015 o platobných službách na vnútornom trhu, ktorou sa menia smernice 2002/65/ES, 2009/110/ES a 2013/36/EÚ a nariadenie (EÚ) č. 1093/2010 a ktorou sa zrušuje smernica 2007/64/ES (Ú. v. EÚ L 337, 23.12.2015, s. 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450900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C86DDE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EF6E84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3E3606C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AD4EC6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B3A736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F7AA8E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704C9DE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5FF45D6"/>
    <w:multiLevelType w:val="multilevel"/>
    <w:tmpl w:val="2ED4F4D0"/>
    <w:styleLink w:val="Style1"/>
    <w:lvl w:ilvl="0">
      <w:start w:val="1"/>
      <w:numFmt w:val="lowerRoman"/>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567"/>
        </w:tabs>
        <w:ind w:left="56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9"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0"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1"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7"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3"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15:restartNumberingAfterBreak="0">
    <w:nsid w:val="68211940"/>
    <w:multiLevelType w:val="hybridMultilevel"/>
    <w:tmpl w:val="AB6A8EA2"/>
    <w:styleLink w:val="Style11"/>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3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21"/>
    <w:lvlOverride w:ilvl="0">
      <w:startOverride w:val="1"/>
    </w:lvlOverride>
  </w:num>
  <w:num w:numId="3">
    <w:abstractNumId w:val="31"/>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8"/>
  </w:num>
  <w:num w:numId="13">
    <w:abstractNumId w:val="16"/>
  </w:num>
  <w:num w:numId="14">
    <w:abstractNumId w:val="11"/>
  </w:num>
  <w:num w:numId="15">
    <w:abstractNumId w:val="15"/>
    <w:lvlOverride w:ilvl="0">
      <w:startOverride w:val="1"/>
    </w:lvlOverride>
  </w:num>
  <w:num w:numId="16">
    <w:abstractNumId w:val="22"/>
  </w:num>
  <w:num w:numId="17">
    <w:abstractNumId w:val="24"/>
    <w:lvlOverride w:ilvl="0">
      <w:startOverride w:val="1"/>
    </w:lvlOverride>
  </w:num>
  <w:num w:numId="18">
    <w:abstractNumId w:val="9"/>
  </w:num>
  <w:num w:numId="19">
    <w:abstractNumId w:val="23"/>
  </w:num>
  <w:num w:numId="20">
    <w:abstractNumId w:val="10"/>
  </w:num>
  <w:num w:numId="21">
    <w:abstractNumId w:val="17"/>
  </w:num>
  <w:num w:numId="22">
    <w:abstractNumId w:val="30"/>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8"/>
  </w:num>
  <w:num w:numId="26">
    <w:abstractNumId w:val="29"/>
  </w:num>
  <w:num w:numId="27">
    <w:abstractNumId w:val="15"/>
  </w:num>
  <w:num w:numId="28">
    <w:abstractNumId w:val="19"/>
  </w:num>
  <w:num w:numId="29">
    <w:abstractNumId w:val="13"/>
  </w:num>
  <w:num w:numId="30">
    <w:abstractNumId w:val="28"/>
  </w:num>
  <w:num w:numId="31">
    <w:abstractNumId w:val="12"/>
  </w:num>
  <w:num w:numId="32">
    <w:abstractNumId w:val="21"/>
  </w:num>
  <w:num w:numId="33">
    <w:abstractNumId w:val="25"/>
  </w:num>
  <w:num w:numId="34">
    <w:abstractNumId w:val="26"/>
  </w:num>
  <w:num w:numId="35">
    <w:abstractNumId w:val="14"/>
  </w:num>
  <w:num w:numId="36">
    <w:abstractNumId w:val="24"/>
  </w:num>
  <w:num w:numId="37">
    <w:abstractNumId w:val="31"/>
  </w:num>
  <w:num w:numId="38">
    <w:abstractNumId w:val="28"/>
  </w:num>
  <w:num w:numId="39">
    <w:abstractNumId w:val="28"/>
  </w:num>
  <w:num w:numId="40">
    <w:abstractNumId w:val="28"/>
  </w:num>
  <w:num w:numId="41">
    <w:abstractNumId w:val="20"/>
  </w:num>
  <w:num w:numId="42">
    <w:abstractNumId w:val="13"/>
  </w:num>
  <w:num w:numId="43">
    <w:abstractNumId w:val="13"/>
  </w:num>
  <w:num w:numId="44">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displayBackgroundShape/>
  <w:hideSpellingErrors/>
  <w:hideGrammaticalErrors/>
  <w:activeWritingStyle w:appName="MSWord" w:lang="de-AT"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it-IT" w:vendorID="64" w:dllVersion="131078" w:nlCheck="1" w:checkStyle="0"/>
  <w:activeWritingStyle w:appName="MSWord" w:lang="fr-FR" w:vendorID="64" w:dllVersion="131078" w:nlCheck="1" w:checkStyle="0"/>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1351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12-22 10:38:4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8FDC87F-1E02-472D-8C27-804801A3EC59"/>
    <w:docVar w:name="LW_COVERPAGE_TYPE" w:val="1"/>
    <w:docVar w:name="LW_CROSSREFERENCE" w:val="{SWD(2021) 320}_x000a_{SWD(2021) 321}_x000a_{SEC(2021) 380}"/>
    <w:docVar w:name="LW_DocType" w:val="COM"/>
    <w:docVar w:name="LW_EMISSION" w:val="27. 10. 2021"/>
    <w:docVar w:name="LW_EMISSION_ISODATE" w:val="2021-10-27"/>
    <w:docVar w:name="LW_EMISSION_LOCATION" w:val="BRX"/>
    <w:docVar w:name="LW_EMISSION_PREFIX" w:val="V Bruseli"/>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s významom pre EHP)"/>
    <w:docVar w:name="LW_LANGUE" w:val="SK"/>
    <w:docVar w:name="LW_LEVEL_OF_SENSITIVITY" w:val="Standard treatment"/>
    <w:docVar w:name="LW_NOM.INST" w:val="EURÓPSKA KOMISIA"/>
    <w:docVar w:name="LW_NOM.INST_JOINTDOC" w:val="&lt;EMPTY&gt;"/>
    <w:docVar w:name="LW_PART_NBR" w:val="1"/>
    <w:docVar w:name="LW_PART_NBR_TOTAL" w:val="1"/>
    <w:docVar w:name="LW_REF.II.NEW.CP" w:val="COD"/>
    <w:docVar w:name="LW_REF.II.NEW.CP_NUMBER" w:val="0342"/>
    <w:docVar w:name="LW_REF.II.NEW.CP_YEAR" w:val="2021"/>
    <w:docVar w:name="LW_REF.INST.NEW" w:val="COM"/>
    <w:docVar w:name="LW_REF.INST.NEW_ADOPTED" w:val="final"/>
    <w:docVar w:name="LW_REF.INST.NEW_TEXT" w:val="(2021) 6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Návrh"/>
    <w:docVar w:name="LW_SUPERTITRE" w:val="&lt;UNUSED&gt;"/>
    <w:docVar w:name="LW_TITRE.OBJ.CP" w:val="ktorým sa mení nariadenie (EÚ) č. 575/2013, pokiaľ ide o požiadavky na kreditné riziko, riziko úpravy ocenenia pohľadávky, operačné riziko, trhové riziko a spodnú hranicu pre výstupné hodnoty"/>
    <w:docVar w:name="LW_TYPE.DOC.CP" w:val="NARIADENIE EURÓPSKEHO PARLAMENTU A RADY,"/>
    <w:docVar w:name="LwApiVersions" w:val="LW4CoDe 1.23.2.0; LW 8.0, Build 20211117"/>
  </w:docVars>
  <w:rsids>
    <w:rsidRoot w:val="00845AE8"/>
    <w:rsid w:val="00000BC3"/>
    <w:rsid w:val="00014490"/>
    <w:rsid w:val="00015364"/>
    <w:rsid w:val="00025CB3"/>
    <w:rsid w:val="00027F9D"/>
    <w:rsid w:val="000306CD"/>
    <w:rsid w:val="00031705"/>
    <w:rsid w:val="00033C37"/>
    <w:rsid w:val="0003765D"/>
    <w:rsid w:val="00042C79"/>
    <w:rsid w:val="00051695"/>
    <w:rsid w:val="000547AC"/>
    <w:rsid w:val="00061692"/>
    <w:rsid w:val="00062EF8"/>
    <w:rsid w:val="0006386D"/>
    <w:rsid w:val="00070D27"/>
    <w:rsid w:val="00072BD6"/>
    <w:rsid w:val="00076922"/>
    <w:rsid w:val="00082522"/>
    <w:rsid w:val="00083E39"/>
    <w:rsid w:val="00093068"/>
    <w:rsid w:val="0009518E"/>
    <w:rsid w:val="00095E91"/>
    <w:rsid w:val="00095F80"/>
    <w:rsid w:val="000A2006"/>
    <w:rsid w:val="000A605E"/>
    <w:rsid w:val="000A7517"/>
    <w:rsid w:val="000B100E"/>
    <w:rsid w:val="000B2B3D"/>
    <w:rsid w:val="000B6C8F"/>
    <w:rsid w:val="000D4D1F"/>
    <w:rsid w:val="000D50D4"/>
    <w:rsid w:val="000E198E"/>
    <w:rsid w:val="000E5005"/>
    <w:rsid w:val="000E6DA4"/>
    <w:rsid w:val="000F51B3"/>
    <w:rsid w:val="00107856"/>
    <w:rsid w:val="00112B2F"/>
    <w:rsid w:val="001141D3"/>
    <w:rsid w:val="00116101"/>
    <w:rsid w:val="00127E4D"/>
    <w:rsid w:val="00131DB7"/>
    <w:rsid w:val="00132103"/>
    <w:rsid w:val="00132299"/>
    <w:rsid w:val="00134050"/>
    <w:rsid w:val="00135A41"/>
    <w:rsid w:val="00135E3A"/>
    <w:rsid w:val="001369D1"/>
    <w:rsid w:val="001425AB"/>
    <w:rsid w:val="0014285B"/>
    <w:rsid w:val="001528B7"/>
    <w:rsid w:val="00155121"/>
    <w:rsid w:val="00157560"/>
    <w:rsid w:val="00163334"/>
    <w:rsid w:val="0018009B"/>
    <w:rsid w:val="00180A5F"/>
    <w:rsid w:val="001815E7"/>
    <w:rsid w:val="0018709C"/>
    <w:rsid w:val="00194D18"/>
    <w:rsid w:val="001A0030"/>
    <w:rsid w:val="001A1041"/>
    <w:rsid w:val="001B50F5"/>
    <w:rsid w:val="001B604C"/>
    <w:rsid w:val="001C22DB"/>
    <w:rsid w:val="001C2816"/>
    <w:rsid w:val="001C4527"/>
    <w:rsid w:val="001C50DD"/>
    <w:rsid w:val="001D17F3"/>
    <w:rsid w:val="001D2C3B"/>
    <w:rsid w:val="001E0AD2"/>
    <w:rsid w:val="001E5807"/>
    <w:rsid w:val="001E5F6E"/>
    <w:rsid w:val="001E620A"/>
    <w:rsid w:val="001F5DEB"/>
    <w:rsid w:val="001F7F76"/>
    <w:rsid w:val="00200B4A"/>
    <w:rsid w:val="00205CA2"/>
    <w:rsid w:val="0021024E"/>
    <w:rsid w:val="00210583"/>
    <w:rsid w:val="00232E98"/>
    <w:rsid w:val="00233E0C"/>
    <w:rsid w:val="002406B4"/>
    <w:rsid w:val="0025083C"/>
    <w:rsid w:val="002619B6"/>
    <w:rsid w:val="002678CB"/>
    <w:rsid w:val="00267F89"/>
    <w:rsid w:val="00275EE7"/>
    <w:rsid w:val="002821EF"/>
    <w:rsid w:val="00282C0B"/>
    <w:rsid w:val="002857CF"/>
    <w:rsid w:val="00285E32"/>
    <w:rsid w:val="00286405"/>
    <w:rsid w:val="00290787"/>
    <w:rsid w:val="0029564B"/>
    <w:rsid w:val="002A1B95"/>
    <w:rsid w:val="002A2107"/>
    <w:rsid w:val="002A423B"/>
    <w:rsid w:val="002B3FD7"/>
    <w:rsid w:val="002B44E7"/>
    <w:rsid w:val="002B586B"/>
    <w:rsid w:val="002D2A0F"/>
    <w:rsid w:val="002E0711"/>
    <w:rsid w:val="002E122C"/>
    <w:rsid w:val="002E181D"/>
    <w:rsid w:val="002E329D"/>
    <w:rsid w:val="002E3926"/>
    <w:rsid w:val="002E4AD9"/>
    <w:rsid w:val="002F1D43"/>
    <w:rsid w:val="002F786E"/>
    <w:rsid w:val="003127D1"/>
    <w:rsid w:val="003132E2"/>
    <w:rsid w:val="00315B11"/>
    <w:rsid w:val="00315DAB"/>
    <w:rsid w:val="003216B3"/>
    <w:rsid w:val="00334160"/>
    <w:rsid w:val="00335B5E"/>
    <w:rsid w:val="00335E05"/>
    <w:rsid w:val="00344CBF"/>
    <w:rsid w:val="00351C50"/>
    <w:rsid w:val="00352C93"/>
    <w:rsid w:val="00355370"/>
    <w:rsid w:val="00362D97"/>
    <w:rsid w:val="003678D6"/>
    <w:rsid w:val="00372733"/>
    <w:rsid w:val="00373E42"/>
    <w:rsid w:val="00375C92"/>
    <w:rsid w:val="00376CBB"/>
    <w:rsid w:val="00380389"/>
    <w:rsid w:val="0038194A"/>
    <w:rsid w:val="00387D41"/>
    <w:rsid w:val="003907BD"/>
    <w:rsid w:val="003A0B15"/>
    <w:rsid w:val="003A3649"/>
    <w:rsid w:val="003A5581"/>
    <w:rsid w:val="003B4F1F"/>
    <w:rsid w:val="003B670A"/>
    <w:rsid w:val="003B77A6"/>
    <w:rsid w:val="003C26D6"/>
    <w:rsid w:val="003C4B9C"/>
    <w:rsid w:val="003C5D12"/>
    <w:rsid w:val="003E1680"/>
    <w:rsid w:val="003E3AD9"/>
    <w:rsid w:val="003E5C2E"/>
    <w:rsid w:val="003F3310"/>
    <w:rsid w:val="003F56E2"/>
    <w:rsid w:val="00400339"/>
    <w:rsid w:val="004003B0"/>
    <w:rsid w:val="004009AD"/>
    <w:rsid w:val="00411FD7"/>
    <w:rsid w:val="004123AF"/>
    <w:rsid w:val="00416D32"/>
    <w:rsid w:val="00425C5B"/>
    <w:rsid w:val="0042603F"/>
    <w:rsid w:val="00426FD2"/>
    <w:rsid w:val="004302B2"/>
    <w:rsid w:val="004334C0"/>
    <w:rsid w:val="004334CE"/>
    <w:rsid w:val="00437681"/>
    <w:rsid w:val="00443A90"/>
    <w:rsid w:val="00446885"/>
    <w:rsid w:val="0045225A"/>
    <w:rsid w:val="00456352"/>
    <w:rsid w:val="0045677E"/>
    <w:rsid w:val="00456B01"/>
    <w:rsid w:val="00457330"/>
    <w:rsid w:val="00457A31"/>
    <w:rsid w:val="004619E8"/>
    <w:rsid w:val="00466356"/>
    <w:rsid w:val="004678C6"/>
    <w:rsid w:val="00467984"/>
    <w:rsid w:val="0047613E"/>
    <w:rsid w:val="00477F47"/>
    <w:rsid w:val="00485B8C"/>
    <w:rsid w:val="0049098C"/>
    <w:rsid w:val="0049155D"/>
    <w:rsid w:val="00495A8E"/>
    <w:rsid w:val="004A3F39"/>
    <w:rsid w:val="004B3B56"/>
    <w:rsid w:val="004B5A21"/>
    <w:rsid w:val="004C049F"/>
    <w:rsid w:val="004C4D61"/>
    <w:rsid w:val="004C56B1"/>
    <w:rsid w:val="004C7055"/>
    <w:rsid w:val="004D0262"/>
    <w:rsid w:val="004D60F7"/>
    <w:rsid w:val="004D6C31"/>
    <w:rsid w:val="004E0655"/>
    <w:rsid w:val="004E20FB"/>
    <w:rsid w:val="004E368D"/>
    <w:rsid w:val="004E73DD"/>
    <w:rsid w:val="004F01E9"/>
    <w:rsid w:val="005136DA"/>
    <w:rsid w:val="0051380C"/>
    <w:rsid w:val="00513EEE"/>
    <w:rsid w:val="0051610D"/>
    <w:rsid w:val="00517F8F"/>
    <w:rsid w:val="00527ED4"/>
    <w:rsid w:val="0053248E"/>
    <w:rsid w:val="00537283"/>
    <w:rsid w:val="00540186"/>
    <w:rsid w:val="005418E6"/>
    <w:rsid w:val="00544C54"/>
    <w:rsid w:val="0054788D"/>
    <w:rsid w:val="00551441"/>
    <w:rsid w:val="00553081"/>
    <w:rsid w:val="005575AF"/>
    <w:rsid w:val="005607C2"/>
    <w:rsid w:val="00563B7D"/>
    <w:rsid w:val="00564CF9"/>
    <w:rsid w:val="00566215"/>
    <w:rsid w:val="0056712B"/>
    <w:rsid w:val="00571B69"/>
    <w:rsid w:val="00575831"/>
    <w:rsid w:val="00575A98"/>
    <w:rsid w:val="00577021"/>
    <w:rsid w:val="005809FB"/>
    <w:rsid w:val="0059109E"/>
    <w:rsid w:val="005A03B8"/>
    <w:rsid w:val="005A0BB7"/>
    <w:rsid w:val="005A21FE"/>
    <w:rsid w:val="005A6174"/>
    <w:rsid w:val="005B0DF0"/>
    <w:rsid w:val="005B4437"/>
    <w:rsid w:val="005C418F"/>
    <w:rsid w:val="005C5A3C"/>
    <w:rsid w:val="005C6EAD"/>
    <w:rsid w:val="005D74E6"/>
    <w:rsid w:val="005E3C95"/>
    <w:rsid w:val="005F0B3F"/>
    <w:rsid w:val="005F1C28"/>
    <w:rsid w:val="0060136E"/>
    <w:rsid w:val="006065CD"/>
    <w:rsid w:val="00614F66"/>
    <w:rsid w:val="00615061"/>
    <w:rsid w:val="00616669"/>
    <w:rsid w:val="00622F5D"/>
    <w:rsid w:val="00623355"/>
    <w:rsid w:val="00630FE3"/>
    <w:rsid w:val="00631670"/>
    <w:rsid w:val="00635B24"/>
    <w:rsid w:val="00637C29"/>
    <w:rsid w:val="00643820"/>
    <w:rsid w:val="00652451"/>
    <w:rsid w:val="00654F23"/>
    <w:rsid w:val="0066182E"/>
    <w:rsid w:val="0066341D"/>
    <w:rsid w:val="00664A90"/>
    <w:rsid w:val="006664F6"/>
    <w:rsid w:val="00691590"/>
    <w:rsid w:val="006931B2"/>
    <w:rsid w:val="00693C09"/>
    <w:rsid w:val="00693F89"/>
    <w:rsid w:val="00696FAD"/>
    <w:rsid w:val="006A4A1A"/>
    <w:rsid w:val="006A7A28"/>
    <w:rsid w:val="006B0ADD"/>
    <w:rsid w:val="006B41AE"/>
    <w:rsid w:val="006B495C"/>
    <w:rsid w:val="006B5562"/>
    <w:rsid w:val="006B7858"/>
    <w:rsid w:val="006B7B99"/>
    <w:rsid w:val="006C37B5"/>
    <w:rsid w:val="006C451B"/>
    <w:rsid w:val="006C5B4E"/>
    <w:rsid w:val="006C666F"/>
    <w:rsid w:val="006D6567"/>
    <w:rsid w:val="006E095D"/>
    <w:rsid w:val="006E1EA3"/>
    <w:rsid w:val="006E2B26"/>
    <w:rsid w:val="006F0F2E"/>
    <w:rsid w:val="006F2790"/>
    <w:rsid w:val="00700A14"/>
    <w:rsid w:val="0070128F"/>
    <w:rsid w:val="0070627E"/>
    <w:rsid w:val="00710772"/>
    <w:rsid w:val="007130D9"/>
    <w:rsid w:val="00714407"/>
    <w:rsid w:val="00715B55"/>
    <w:rsid w:val="00722078"/>
    <w:rsid w:val="00724651"/>
    <w:rsid w:val="00726F39"/>
    <w:rsid w:val="00727679"/>
    <w:rsid w:val="00730085"/>
    <w:rsid w:val="00730980"/>
    <w:rsid w:val="00737D5D"/>
    <w:rsid w:val="0074420B"/>
    <w:rsid w:val="00745C93"/>
    <w:rsid w:val="00746C8F"/>
    <w:rsid w:val="007511A0"/>
    <w:rsid w:val="007553F6"/>
    <w:rsid w:val="00760852"/>
    <w:rsid w:val="007713DC"/>
    <w:rsid w:val="00792435"/>
    <w:rsid w:val="007A7F6F"/>
    <w:rsid w:val="007B1A3C"/>
    <w:rsid w:val="007B52D1"/>
    <w:rsid w:val="007B6331"/>
    <w:rsid w:val="007B63A5"/>
    <w:rsid w:val="007C06F6"/>
    <w:rsid w:val="007C29D7"/>
    <w:rsid w:val="007C68F9"/>
    <w:rsid w:val="007D0BB2"/>
    <w:rsid w:val="007D454C"/>
    <w:rsid w:val="007D4CBA"/>
    <w:rsid w:val="007D7C9D"/>
    <w:rsid w:val="007E0E0E"/>
    <w:rsid w:val="0080329F"/>
    <w:rsid w:val="008035C3"/>
    <w:rsid w:val="00804D0B"/>
    <w:rsid w:val="00806B81"/>
    <w:rsid w:val="008109D3"/>
    <w:rsid w:val="008170E6"/>
    <w:rsid w:val="008213F6"/>
    <w:rsid w:val="008311A3"/>
    <w:rsid w:val="00836678"/>
    <w:rsid w:val="008402C3"/>
    <w:rsid w:val="008429EE"/>
    <w:rsid w:val="00845AE8"/>
    <w:rsid w:val="008517A1"/>
    <w:rsid w:val="00853C2E"/>
    <w:rsid w:val="00860B4D"/>
    <w:rsid w:val="00866323"/>
    <w:rsid w:val="008709B2"/>
    <w:rsid w:val="00872C56"/>
    <w:rsid w:val="00885E58"/>
    <w:rsid w:val="00892564"/>
    <w:rsid w:val="00894A24"/>
    <w:rsid w:val="00897AA7"/>
    <w:rsid w:val="00897F11"/>
    <w:rsid w:val="008A3E9B"/>
    <w:rsid w:val="008A4012"/>
    <w:rsid w:val="008B2178"/>
    <w:rsid w:val="008B3051"/>
    <w:rsid w:val="008B5031"/>
    <w:rsid w:val="008B50CA"/>
    <w:rsid w:val="008C5976"/>
    <w:rsid w:val="008D26F8"/>
    <w:rsid w:val="008E3B78"/>
    <w:rsid w:val="008E4CBF"/>
    <w:rsid w:val="008F0030"/>
    <w:rsid w:val="008F28D9"/>
    <w:rsid w:val="008F4DA9"/>
    <w:rsid w:val="00912E9A"/>
    <w:rsid w:val="00922524"/>
    <w:rsid w:val="00922993"/>
    <w:rsid w:val="00930CF2"/>
    <w:rsid w:val="00931994"/>
    <w:rsid w:val="00931B18"/>
    <w:rsid w:val="00932F67"/>
    <w:rsid w:val="0093637E"/>
    <w:rsid w:val="00941F9A"/>
    <w:rsid w:val="00943EE8"/>
    <w:rsid w:val="009448F2"/>
    <w:rsid w:val="009466FB"/>
    <w:rsid w:val="009550B0"/>
    <w:rsid w:val="0095521E"/>
    <w:rsid w:val="00956C40"/>
    <w:rsid w:val="009611B4"/>
    <w:rsid w:val="0097086F"/>
    <w:rsid w:val="00972888"/>
    <w:rsid w:val="0097391F"/>
    <w:rsid w:val="009809DD"/>
    <w:rsid w:val="00981286"/>
    <w:rsid w:val="00986B33"/>
    <w:rsid w:val="00987AD5"/>
    <w:rsid w:val="00992C35"/>
    <w:rsid w:val="00993ED9"/>
    <w:rsid w:val="00996F3F"/>
    <w:rsid w:val="0099724B"/>
    <w:rsid w:val="009A0CB7"/>
    <w:rsid w:val="009A2776"/>
    <w:rsid w:val="009A51FA"/>
    <w:rsid w:val="009A6A40"/>
    <w:rsid w:val="009B31AC"/>
    <w:rsid w:val="009B7138"/>
    <w:rsid w:val="009C6487"/>
    <w:rsid w:val="009C7388"/>
    <w:rsid w:val="009C75AE"/>
    <w:rsid w:val="009D1934"/>
    <w:rsid w:val="009D4D24"/>
    <w:rsid w:val="009D7882"/>
    <w:rsid w:val="009E6257"/>
    <w:rsid w:val="00A06220"/>
    <w:rsid w:val="00A114F8"/>
    <w:rsid w:val="00A12A55"/>
    <w:rsid w:val="00A156E0"/>
    <w:rsid w:val="00A215BD"/>
    <w:rsid w:val="00A268AF"/>
    <w:rsid w:val="00A324F8"/>
    <w:rsid w:val="00A34A94"/>
    <w:rsid w:val="00A35383"/>
    <w:rsid w:val="00A35A7D"/>
    <w:rsid w:val="00A50A07"/>
    <w:rsid w:val="00A52D8C"/>
    <w:rsid w:val="00A55A89"/>
    <w:rsid w:val="00A667C8"/>
    <w:rsid w:val="00A669BF"/>
    <w:rsid w:val="00A725C0"/>
    <w:rsid w:val="00A73CD6"/>
    <w:rsid w:val="00A755CD"/>
    <w:rsid w:val="00A772A3"/>
    <w:rsid w:val="00A81395"/>
    <w:rsid w:val="00A84FFE"/>
    <w:rsid w:val="00A91AC8"/>
    <w:rsid w:val="00AA2846"/>
    <w:rsid w:val="00AB1A8F"/>
    <w:rsid w:val="00AB247E"/>
    <w:rsid w:val="00AC280B"/>
    <w:rsid w:val="00AC5A51"/>
    <w:rsid w:val="00AD00D3"/>
    <w:rsid w:val="00AD067F"/>
    <w:rsid w:val="00AD169A"/>
    <w:rsid w:val="00AD2237"/>
    <w:rsid w:val="00AD232B"/>
    <w:rsid w:val="00AD25A6"/>
    <w:rsid w:val="00AD26B8"/>
    <w:rsid w:val="00AD65A4"/>
    <w:rsid w:val="00AE1C4E"/>
    <w:rsid w:val="00AE32E2"/>
    <w:rsid w:val="00AE3BB4"/>
    <w:rsid w:val="00AF0D50"/>
    <w:rsid w:val="00AF73BA"/>
    <w:rsid w:val="00B01F2F"/>
    <w:rsid w:val="00B035F1"/>
    <w:rsid w:val="00B07194"/>
    <w:rsid w:val="00B10B40"/>
    <w:rsid w:val="00B15ED4"/>
    <w:rsid w:val="00B16452"/>
    <w:rsid w:val="00B16FD9"/>
    <w:rsid w:val="00B204E2"/>
    <w:rsid w:val="00B25B3A"/>
    <w:rsid w:val="00B359AC"/>
    <w:rsid w:val="00B40C13"/>
    <w:rsid w:val="00B4208B"/>
    <w:rsid w:val="00B43531"/>
    <w:rsid w:val="00B46CE3"/>
    <w:rsid w:val="00B57CF9"/>
    <w:rsid w:val="00B613EF"/>
    <w:rsid w:val="00B637EE"/>
    <w:rsid w:val="00B7542F"/>
    <w:rsid w:val="00B77426"/>
    <w:rsid w:val="00B80B56"/>
    <w:rsid w:val="00B84720"/>
    <w:rsid w:val="00B84DF1"/>
    <w:rsid w:val="00B8690C"/>
    <w:rsid w:val="00B87756"/>
    <w:rsid w:val="00B95292"/>
    <w:rsid w:val="00BA2B2C"/>
    <w:rsid w:val="00BA7914"/>
    <w:rsid w:val="00BA7951"/>
    <w:rsid w:val="00BB2501"/>
    <w:rsid w:val="00BB4609"/>
    <w:rsid w:val="00BC1625"/>
    <w:rsid w:val="00BC259E"/>
    <w:rsid w:val="00BC43BC"/>
    <w:rsid w:val="00BE246D"/>
    <w:rsid w:val="00BE2634"/>
    <w:rsid w:val="00BF17AA"/>
    <w:rsid w:val="00BF25A0"/>
    <w:rsid w:val="00C06F0F"/>
    <w:rsid w:val="00C12967"/>
    <w:rsid w:val="00C14971"/>
    <w:rsid w:val="00C20BD9"/>
    <w:rsid w:val="00C24556"/>
    <w:rsid w:val="00C349AE"/>
    <w:rsid w:val="00C360FA"/>
    <w:rsid w:val="00C43234"/>
    <w:rsid w:val="00C50A88"/>
    <w:rsid w:val="00C64C41"/>
    <w:rsid w:val="00C67562"/>
    <w:rsid w:val="00C70099"/>
    <w:rsid w:val="00C75BF1"/>
    <w:rsid w:val="00C76749"/>
    <w:rsid w:val="00C81A17"/>
    <w:rsid w:val="00C84B08"/>
    <w:rsid w:val="00C8664E"/>
    <w:rsid w:val="00C87D28"/>
    <w:rsid w:val="00C90D9A"/>
    <w:rsid w:val="00C932E9"/>
    <w:rsid w:val="00C943E5"/>
    <w:rsid w:val="00CA456E"/>
    <w:rsid w:val="00CA6D74"/>
    <w:rsid w:val="00CC5319"/>
    <w:rsid w:val="00CC5DE8"/>
    <w:rsid w:val="00CC7104"/>
    <w:rsid w:val="00CD355E"/>
    <w:rsid w:val="00CD7FDF"/>
    <w:rsid w:val="00CE071F"/>
    <w:rsid w:val="00CE30F4"/>
    <w:rsid w:val="00CE587F"/>
    <w:rsid w:val="00CF0C2C"/>
    <w:rsid w:val="00D0213F"/>
    <w:rsid w:val="00D0301A"/>
    <w:rsid w:val="00D041D2"/>
    <w:rsid w:val="00D1642B"/>
    <w:rsid w:val="00D174E9"/>
    <w:rsid w:val="00D20958"/>
    <w:rsid w:val="00D237A0"/>
    <w:rsid w:val="00D26F9E"/>
    <w:rsid w:val="00D273D7"/>
    <w:rsid w:val="00D317A4"/>
    <w:rsid w:val="00D31DA2"/>
    <w:rsid w:val="00D35C2D"/>
    <w:rsid w:val="00D41824"/>
    <w:rsid w:val="00D552C2"/>
    <w:rsid w:val="00D56F79"/>
    <w:rsid w:val="00D6555F"/>
    <w:rsid w:val="00D70EE8"/>
    <w:rsid w:val="00D714DC"/>
    <w:rsid w:val="00D72B6F"/>
    <w:rsid w:val="00D75D64"/>
    <w:rsid w:val="00D81D4F"/>
    <w:rsid w:val="00D851D5"/>
    <w:rsid w:val="00D90473"/>
    <w:rsid w:val="00D9511F"/>
    <w:rsid w:val="00D96647"/>
    <w:rsid w:val="00DA109C"/>
    <w:rsid w:val="00DA37BD"/>
    <w:rsid w:val="00DA6504"/>
    <w:rsid w:val="00DB2DEE"/>
    <w:rsid w:val="00DB4F97"/>
    <w:rsid w:val="00DB58B3"/>
    <w:rsid w:val="00DB7193"/>
    <w:rsid w:val="00DC351B"/>
    <w:rsid w:val="00DC5C7D"/>
    <w:rsid w:val="00DC6A23"/>
    <w:rsid w:val="00DC7A96"/>
    <w:rsid w:val="00DD2ECE"/>
    <w:rsid w:val="00DD44A1"/>
    <w:rsid w:val="00DE1B1D"/>
    <w:rsid w:val="00DE235F"/>
    <w:rsid w:val="00DE57A4"/>
    <w:rsid w:val="00DE7040"/>
    <w:rsid w:val="00DE71E5"/>
    <w:rsid w:val="00DE7FCB"/>
    <w:rsid w:val="00DF4201"/>
    <w:rsid w:val="00DF562F"/>
    <w:rsid w:val="00E0125F"/>
    <w:rsid w:val="00E06354"/>
    <w:rsid w:val="00E110A7"/>
    <w:rsid w:val="00E210FD"/>
    <w:rsid w:val="00E22962"/>
    <w:rsid w:val="00E22C97"/>
    <w:rsid w:val="00E2384D"/>
    <w:rsid w:val="00E24696"/>
    <w:rsid w:val="00E24C59"/>
    <w:rsid w:val="00E24DAC"/>
    <w:rsid w:val="00E27013"/>
    <w:rsid w:val="00E30039"/>
    <w:rsid w:val="00E35948"/>
    <w:rsid w:val="00E37370"/>
    <w:rsid w:val="00E40821"/>
    <w:rsid w:val="00E42DEE"/>
    <w:rsid w:val="00E434E1"/>
    <w:rsid w:val="00E459F3"/>
    <w:rsid w:val="00E6573B"/>
    <w:rsid w:val="00E67CAA"/>
    <w:rsid w:val="00E7066D"/>
    <w:rsid w:val="00E74DDF"/>
    <w:rsid w:val="00E75DAE"/>
    <w:rsid w:val="00E8481B"/>
    <w:rsid w:val="00E87982"/>
    <w:rsid w:val="00E92665"/>
    <w:rsid w:val="00EA4943"/>
    <w:rsid w:val="00EB6095"/>
    <w:rsid w:val="00EC266C"/>
    <w:rsid w:val="00EC7A9D"/>
    <w:rsid w:val="00ED2A8D"/>
    <w:rsid w:val="00ED32E4"/>
    <w:rsid w:val="00ED50FF"/>
    <w:rsid w:val="00ED6CD1"/>
    <w:rsid w:val="00EE2366"/>
    <w:rsid w:val="00EE25D0"/>
    <w:rsid w:val="00EE3A0D"/>
    <w:rsid w:val="00EE3C23"/>
    <w:rsid w:val="00EF3874"/>
    <w:rsid w:val="00F04264"/>
    <w:rsid w:val="00F17420"/>
    <w:rsid w:val="00F17A67"/>
    <w:rsid w:val="00F20062"/>
    <w:rsid w:val="00F27068"/>
    <w:rsid w:val="00F3422B"/>
    <w:rsid w:val="00F354AD"/>
    <w:rsid w:val="00F360F4"/>
    <w:rsid w:val="00F42DE6"/>
    <w:rsid w:val="00F4781B"/>
    <w:rsid w:val="00F54097"/>
    <w:rsid w:val="00F66901"/>
    <w:rsid w:val="00F67471"/>
    <w:rsid w:val="00F67BD5"/>
    <w:rsid w:val="00F67C98"/>
    <w:rsid w:val="00F70371"/>
    <w:rsid w:val="00F752E3"/>
    <w:rsid w:val="00F8634B"/>
    <w:rsid w:val="00F8657B"/>
    <w:rsid w:val="00F9116F"/>
    <w:rsid w:val="00F93344"/>
    <w:rsid w:val="00F93623"/>
    <w:rsid w:val="00FA5CFE"/>
    <w:rsid w:val="00FA7874"/>
    <w:rsid w:val="00FB6CE6"/>
    <w:rsid w:val="00FC1006"/>
    <w:rsid w:val="00FC5C34"/>
    <w:rsid w:val="00FD0167"/>
    <w:rsid w:val="00FD4559"/>
    <w:rsid w:val="00FD6AA5"/>
    <w:rsid w:val="00FD6B25"/>
    <w:rsid w:val="00FE0F77"/>
    <w:rsid w:val="00FE2AD8"/>
    <w:rsid w:val="00FE31E9"/>
    <w:rsid w:val="00FF08C7"/>
    <w:rsid w:val="00FF0D40"/>
    <w:rsid w:val="00FF6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2F0A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rsid w:val="009B7138"/>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40"/>
      </w:numPr>
      <w:outlineLvl w:val="3"/>
    </w:pPr>
    <w:rPr>
      <w:rFonts w:eastAsiaTheme="majorEastAsia"/>
      <w:bCs/>
      <w:iCs/>
    </w:rPr>
  </w:style>
  <w:style w:type="paragraph" w:styleId="Heading5">
    <w:name w:val="heading 5"/>
    <w:basedOn w:val="Normal"/>
    <w:next w:val="Text2"/>
    <w:link w:val="Heading5Char"/>
    <w:uiPriority w:val="9"/>
    <w:semiHidden/>
    <w:unhideWhenUsed/>
    <w:qFormat/>
    <w:rsid w:val="00BA2B2C"/>
    <w:pPr>
      <w:keepNext/>
      <w:numPr>
        <w:ilvl w:val="4"/>
        <w:numId w:val="40"/>
      </w:numPr>
      <w:outlineLvl w:val="4"/>
    </w:pPr>
    <w:rPr>
      <w:rFonts w:eastAsiaTheme="majorEastAsia"/>
    </w:rPr>
  </w:style>
  <w:style w:type="paragraph" w:styleId="Heading6">
    <w:name w:val="heading 6"/>
    <w:basedOn w:val="Normal"/>
    <w:next w:val="Text2"/>
    <w:link w:val="Heading6Char"/>
    <w:uiPriority w:val="9"/>
    <w:semiHidden/>
    <w:unhideWhenUsed/>
    <w:qFormat/>
    <w:rsid w:val="00BA2B2C"/>
    <w:pPr>
      <w:keepNext/>
      <w:numPr>
        <w:ilvl w:val="5"/>
        <w:numId w:val="40"/>
      </w:numPr>
      <w:outlineLvl w:val="5"/>
    </w:pPr>
    <w:rPr>
      <w:rFonts w:eastAsiaTheme="majorEastAsia"/>
      <w:iCs/>
    </w:rPr>
  </w:style>
  <w:style w:type="paragraph" w:styleId="Heading7">
    <w:name w:val="heading 7"/>
    <w:basedOn w:val="Normal"/>
    <w:next w:val="Text2"/>
    <w:link w:val="Heading7Char"/>
    <w:uiPriority w:val="9"/>
    <w:semiHidden/>
    <w:unhideWhenUsed/>
    <w:qFormat/>
    <w:rsid w:val="00BA2B2C"/>
    <w:pPr>
      <w:keepNext/>
      <w:numPr>
        <w:ilvl w:val="6"/>
        <w:numId w:val="4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45AE8"/>
    <w:rPr>
      <w:color w:val="0000FF" w:themeColor="hyperlink"/>
      <w:u w:val="single"/>
    </w:rPr>
  </w:style>
  <w:style w:type="paragraph" w:customStyle="1" w:styleId="Piont2">
    <w:name w:val="Piont 2"/>
    <w:basedOn w:val="Point2letter"/>
    <w:rsid w:val="00845AE8"/>
    <w:pPr>
      <w:numPr>
        <w:ilvl w:val="0"/>
        <w:numId w:val="0"/>
      </w:numPr>
      <w:ind w:left="1984" w:hanging="567"/>
    </w:pPr>
  </w:style>
  <w:style w:type="paragraph" w:customStyle="1" w:styleId="point1letter0">
    <w:name w:val="point 1(letter)"/>
    <w:basedOn w:val="Point1letter"/>
    <w:rsid w:val="00845AE8"/>
    <w:pPr>
      <w:numPr>
        <w:ilvl w:val="0"/>
        <w:numId w:val="0"/>
      </w:numPr>
      <w:ind w:left="1417" w:hanging="567"/>
    </w:pPr>
  </w:style>
  <w:style w:type="paragraph" w:styleId="Caption">
    <w:name w:val="caption"/>
    <w:basedOn w:val="Normal"/>
    <w:next w:val="Normal"/>
    <w:unhideWhenUsed/>
    <w:qFormat/>
    <w:rsid w:val="0051610D"/>
    <w:pPr>
      <w:spacing w:before="0" w:after="200"/>
    </w:pPr>
    <w:rPr>
      <w:i/>
      <w:iCs/>
      <w:color w:val="1F497D" w:themeColor="text2"/>
      <w:sz w:val="18"/>
      <w:szCs w:val="18"/>
    </w:rPr>
  </w:style>
  <w:style w:type="paragraph" w:styleId="TableofFigures">
    <w:name w:val="table of figures"/>
    <w:basedOn w:val="Normal"/>
    <w:next w:val="Normal"/>
    <w:unhideWhenUsed/>
    <w:rsid w:val="0051610D"/>
    <w:pPr>
      <w:spacing w:after="0"/>
    </w:pPr>
  </w:style>
  <w:style w:type="paragraph" w:styleId="ListBullet">
    <w:name w:val="List Bullet"/>
    <w:basedOn w:val="Normal"/>
    <w:unhideWhenUsed/>
    <w:rsid w:val="0051610D"/>
    <w:pPr>
      <w:numPr>
        <w:numId w:val="4"/>
      </w:numPr>
      <w:contextualSpacing/>
    </w:pPr>
  </w:style>
  <w:style w:type="paragraph" w:styleId="ListBullet2">
    <w:name w:val="List Bullet 2"/>
    <w:basedOn w:val="Normal"/>
    <w:unhideWhenUsed/>
    <w:rsid w:val="0051610D"/>
    <w:pPr>
      <w:numPr>
        <w:numId w:val="5"/>
      </w:numPr>
      <w:contextualSpacing/>
    </w:pPr>
  </w:style>
  <w:style w:type="paragraph" w:styleId="ListBullet3">
    <w:name w:val="List Bullet 3"/>
    <w:basedOn w:val="Normal"/>
    <w:unhideWhenUsed/>
    <w:rsid w:val="0051610D"/>
    <w:pPr>
      <w:numPr>
        <w:numId w:val="6"/>
      </w:numPr>
      <w:contextualSpacing/>
    </w:pPr>
  </w:style>
  <w:style w:type="paragraph" w:styleId="ListBullet4">
    <w:name w:val="List Bullet 4"/>
    <w:basedOn w:val="Normal"/>
    <w:unhideWhenUsed/>
    <w:rsid w:val="0051610D"/>
    <w:pPr>
      <w:numPr>
        <w:numId w:val="7"/>
      </w:numPr>
      <w:contextualSpacing/>
    </w:pPr>
  </w:style>
  <w:style w:type="paragraph" w:styleId="ListNumber">
    <w:name w:val="List Number"/>
    <w:basedOn w:val="Normal"/>
    <w:unhideWhenUsed/>
    <w:rsid w:val="0051610D"/>
    <w:pPr>
      <w:numPr>
        <w:numId w:val="8"/>
      </w:numPr>
      <w:contextualSpacing/>
    </w:pPr>
  </w:style>
  <w:style w:type="paragraph" w:styleId="ListNumber2">
    <w:name w:val="List Number 2"/>
    <w:basedOn w:val="Normal"/>
    <w:unhideWhenUsed/>
    <w:rsid w:val="0051610D"/>
    <w:pPr>
      <w:numPr>
        <w:numId w:val="9"/>
      </w:numPr>
      <w:contextualSpacing/>
    </w:pPr>
  </w:style>
  <w:style w:type="paragraph" w:styleId="ListNumber3">
    <w:name w:val="List Number 3"/>
    <w:basedOn w:val="Normal"/>
    <w:unhideWhenUsed/>
    <w:rsid w:val="0051610D"/>
    <w:pPr>
      <w:numPr>
        <w:numId w:val="10"/>
      </w:numPr>
      <w:contextualSpacing/>
    </w:pPr>
  </w:style>
  <w:style w:type="paragraph" w:styleId="ListNumber4">
    <w:name w:val="List Number 4"/>
    <w:basedOn w:val="Normal"/>
    <w:unhideWhenUsed/>
    <w:rsid w:val="0051610D"/>
    <w:pPr>
      <w:numPr>
        <w:numId w:val="11"/>
      </w:numPr>
      <w:contextualSpacing/>
    </w:pPr>
  </w:style>
  <w:style w:type="character" w:styleId="CommentReference">
    <w:name w:val="annotation reference"/>
    <w:basedOn w:val="DefaultParagraphFont"/>
    <w:uiPriority w:val="99"/>
    <w:unhideWhenUsed/>
    <w:rsid w:val="00E74DDF"/>
    <w:rPr>
      <w:sz w:val="16"/>
      <w:szCs w:val="16"/>
    </w:rPr>
  </w:style>
  <w:style w:type="paragraph" w:styleId="CommentText">
    <w:name w:val="annotation text"/>
    <w:basedOn w:val="Normal"/>
    <w:link w:val="CommentTextChar"/>
    <w:uiPriority w:val="99"/>
    <w:unhideWhenUsed/>
    <w:rsid w:val="00E74DDF"/>
    <w:rPr>
      <w:sz w:val="20"/>
      <w:szCs w:val="20"/>
    </w:rPr>
  </w:style>
  <w:style w:type="character" w:customStyle="1" w:styleId="CommentTextChar">
    <w:name w:val="Comment Text Char"/>
    <w:basedOn w:val="DefaultParagraphFont"/>
    <w:link w:val="CommentText"/>
    <w:uiPriority w:val="99"/>
    <w:rsid w:val="00E74DDF"/>
    <w:rPr>
      <w:rFonts w:ascii="Times New Roman" w:hAnsi="Times New Roman" w:cs="Times New Roman"/>
      <w:sz w:val="20"/>
      <w:szCs w:val="20"/>
      <w:lang w:val="sk-SK"/>
    </w:rPr>
  </w:style>
  <w:style w:type="paragraph" w:styleId="CommentSubject">
    <w:name w:val="annotation subject"/>
    <w:basedOn w:val="CommentText"/>
    <w:next w:val="CommentText"/>
    <w:link w:val="CommentSubjectChar"/>
    <w:uiPriority w:val="99"/>
    <w:unhideWhenUsed/>
    <w:rsid w:val="00E74DDF"/>
    <w:rPr>
      <w:b/>
      <w:bCs/>
    </w:rPr>
  </w:style>
  <w:style w:type="character" w:customStyle="1" w:styleId="CommentSubjectChar">
    <w:name w:val="Comment Subject Char"/>
    <w:basedOn w:val="CommentTextChar"/>
    <w:link w:val="CommentSubject"/>
    <w:uiPriority w:val="99"/>
    <w:rsid w:val="00E74DDF"/>
    <w:rPr>
      <w:rFonts w:ascii="Times New Roman" w:hAnsi="Times New Roman" w:cs="Times New Roman"/>
      <w:b/>
      <w:bCs/>
      <w:sz w:val="20"/>
      <w:szCs w:val="20"/>
      <w:lang w:val="sk-SK"/>
    </w:rPr>
  </w:style>
  <w:style w:type="paragraph" w:styleId="BalloonText">
    <w:name w:val="Balloon Text"/>
    <w:basedOn w:val="Normal"/>
    <w:link w:val="BalloonTextChar"/>
    <w:uiPriority w:val="99"/>
    <w:unhideWhenUsed/>
    <w:rsid w:val="00E74DD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E74DDF"/>
    <w:rPr>
      <w:rFonts w:ascii="Segoe UI" w:hAnsi="Segoe UI" w:cs="Segoe UI"/>
      <w:sz w:val="18"/>
      <w:szCs w:val="18"/>
      <w:lang w:val="sk-SK"/>
    </w:rPr>
  </w:style>
  <w:style w:type="numbering" w:customStyle="1" w:styleId="Style1">
    <w:name w:val="Style1"/>
    <w:uiPriority w:val="99"/>
    <w:rsid w:val="00E74DDF"/>
    <w:pPr>
      <w:numPr>
        <w:numId w:val="12"/>
      </w:numPr>
    </w:pPr>
  </w:style>
  <w:style w:type="paragraph" w:styleId="NormalWeb">
    <w:name w:val="Normal (Web)"/>
    <w:basedOn w:val="Normal"/>
    <w:uiPriority w:val="99"/>
    <w:unhideWhenUsed/>
    <w:rsid w:val="00E74DDF"/>
    <w:pPr>
      <w:spacing w:before="100" w:beforeAutospacing="1" w:after="100" w:afterAutospacing="1"/>
      <w:jc w:val="left"/>
    </w:pPr>
    <w:rPr>
      <w:rFonts w:eastAsia="Times New Roman"/>
      <w:szCs w:val="24"/>
      <w:lang w:eastAsia="en-GB"/>
    </w:rPr>
  </w:style>
  <w:style w:type="character" w:customStyle="1" w:styleId="normaltextrun">
    <w:name w:val="normaltextrun"/>
    <w:basedOn w:val="DefaultParagraphFont"/>
    <w:rsid w:val="00E74DDF"/>
  </w:style>
  <w:style w:type="paragraph" w:customStyle="1" w:styleId="paragraph">
    <w:name w:val="paragraph"/>
    <w:basedOn w:val="Normal"/>
    <w:rsid w:val="00E74DDF"/>
    <w:pPr>
      <w:spacing w:before="100" w:beforeAutospacing="1" w:after="100" w:afterAutospacing="1"/>
      <w:jc w:val="left"/>
    </w:pPr>
    <w:rPr>
      <w:rFonts w:eastAsia="Times New Roman"/>
      <w:szCs w:val="24"/>
      <w:lang w:eastAsia="en-GB"/>
    </w:rPr>
  </w:style>
  <w:style w:type="paragraph" w:customStyle="1" w:styleId="ListDash">
    <w:name w:val="List Dash"/>
    <w:basedOn w:val="Normal"/>
    <w:rsid w:val="008A4012"/>
    <w:pPr>
      <w:numPr>
        <w:numId w:val="13"/>
      </w:numPr>
    </w:pPr>
    <w:rPr>
      <w:rFonts w:eastAsia="Times New Roman"/>
      <w:lang w:eastAsia="de-DE"/>
    </w:rPr>
  </w:style>
  <w:style w:type="paragraph" w:customStyle="1" w:styleId="ListNumber2Level4">
    <w:name w:val="List Number 2 (Level 4)"/>
    <w:basedOn w:val="Text2"/>
    <w:rsid w:val="00B10B40"/>
    <w:pPr>
      <w:tabs>
        <w:tab w:val="num" w:pos="3686"/>
      </w:tabs>
      <w:ind w:left="3686" w:hanging="709"/>
    </w:pPr>
    <w:rPr>
      <w:rFonts w:eastAsia="Times New Roman"/>
      <w:lang w:eastAsia="en-GB"/>
    </w:rPr>
  </w:style>
  <w:style w:type="paragraph" w:customStyle="1" w:styleId="ListNumber1">
    <w:name w:val="List Number 1"/>
    <w:basedOn w:val="Text1"/>
    <w:rsid w:val="00B10B40"/>
    <w:pPr>
      <w:numPr>
        <w:numId w:val="14"/>
      </w:numPr>
    </w:pPr>
    <w:rPr>
      <w:rFonts w:eastAsia="Times New Roman"/>
      <w:lang w:eastAsia="en-GB"/>
    </w:rPr>
  </w:style>
  <w:style w:type="paragraph" w:customStyle="1" w:styleId="ListNumber1Level2">
    <w:name w:val="List Number 1 (Level 2)"/>
    <w:basedOn w:val="Text1"/>
    <w:rsid w:val="00B10B40"/>
    <w:pPr>
      <w:numPr>
        <w:ilvl w:val="1"/>
        <w:numId w:val="14"/>
      </w:numPr>
    </w:pPr>
    <w:rPr>
      <w:rFonts w:eastAsia="Times New Roman"/>
      <w:lang w:eastAsia="en-GB"/>
    </w:rPr>
  </w:style>
  <w:style w:type="paragraph" w:customStyle="1" w:styleId="ListNumber1Level3">
    <w:name w:val="List Number 1 (Level 3)"/>
    <w:basedOn w:val="Text1"/>
    <w:rsid w:val="00B10B40"/>
    <w:pPr>
      <w:numPr>
        <w:ilvl w:val="2"/>
        <w:numId w:val="14"/>
      </w:numPr>
    </w:pPr>
    <w:rPr>
      <w:rFonts w:eastAsia="Times New Roman"/>
      <w:lang w:eastAsia="en-GB"/>
    </w:rPr>
  </w:style>
  <w:style w:type="paragraph" w:customStyle="1" w:styleId="ListNumber1Level4">
    <w:name w:val="List Number 1 (Level 4)"/>
    <w:basedOn w:val="Text1"/>
    <w:rsid w:val="00B10B40"/>
    <w:pPr>
      <w:numPr>
        <w:ilvl w:val="3"/>
        <w:numId w:val="14"/>
      </w:numPr>
    </w:pPr>
    <w:rPr>
      <w:rFonts w:eastAsia="Times New Roman"/>
      <w:lang w:eastAsia="en-GB"/>
    </w:rPr>
  </w:style>
  <w:style w:type="paragraph" w:customStyle="1" w:styleId="Annexetitrefichefinglobale">
    <w:name w:val="Annexe titre (fiche fin. globale)"/>
    <w:basedOn w:val="Normal"/>
    <w:next w:val="Normal"/>
    <w:rsid w:val="007D0BB2"/>
    <w:pPr>
      <w:jc w:val="center"/>
    </w:pPr>
    <w:rPr>
      <w:rFonts w:eastAsia="Times New Roman"/>
      <w:b/>
      <w:u w:val="single"/>
      <w:lang w:eastAsia="en-GB"/>
    </w:rPr>
  </w:style>
  <w:style w:type="paragraph" w:customStyle="1" w:styleId="Annexetitrefichefinacte">
    <w:name w:val="Annexe titre (fiche fin. acte)"/>
    <w:basedOn w:val="Normal"/>
    <w:next w:val="Normal"/>
    <w:rsid w:val="008C5976"/>
    <w:pPr>
      <w:jc w:val="center"/>
    </w:pPr>
    <w:rPr>
      <w:rFonts w:eastAsia="Times New Roman"/>
      <w:b/>
      <w:u w:val="single"/>
      <w:lang w:eastAsia="en-GB"/>
    </w:rPr>
  </w:style>
  <w:style w:type="paragraph" w:customStyle="1" w:styleId="ListDash2">
    <w:name w:val="List Dash 2"/>
    <w:basedOn w:val="Normal"/>
    <w:rsid w:val="00B25B3A"/>
    <w:pPr>
      <w:numPr>
        <w:numId w:val="16"/>
      </w:numPr>
    </w:pPr>
    <w:rPr>
      <w:rFonts w:eastAsia="Times New Roman"/>
      <w:lang w:eastAsia="de-DE"/>
    </w:rPr>
  </w:style>
  <w:style w:type="paragraph" w:customStyle="1" w:styleId="Default">
    <w:name w:val="Default"/>
    <w:rsid w:val="001369D1"/>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1369D1"/>
    <w:pPr>
      <w:widowControl w:val="0"/>
      <w:autoSpaceDE w:val="0"/>
      <w:autoSpaceDN w:val="0"/>
      <w:spacing w:before="0" w:after="0"/>
      <w:jc w:val="left"/>
    </w:pPr>
    <w:rPr>
      <w:rFonts w:ascii="Calibri" w:eastAsia="Calibri" w:hAnsi="Calibri" w:cs="Calibri"/>
      <w:szCs w:val="24"/>
    </w:rPr>
  </w:style>
  <w:style w:type="character" w:customStyle="1" w:styleId="BodyTextChar">
    <w:name w:val="Body Text Char"/>
    <w:basedOn w:val="DefaultParagraphFont"/>
    <w:link w:val="BodyText"/>
    <w:uiPriority w:val="1"/>
    <w:rsid w:val="001369D1"/>
    <w:rPr>
      <w:rFonts w:ascii="Calibri" w:eastAsia="Calibri" w:hAnsi="Calibri" w:cs="Calibri"/>
      <w:sz w:val="24"/>
      <w:szCs w:val="24"/>
    </w:rPr>
  </w:style>
  <w:style w:type="paragraph" w:customStyle="1" w:styleId="TableParagraph">
    <w:name w:val="Table Paragraph"/>
    <w:basedOn w:val="Normal"/>
    <w:uiPriority w:val="1"/>
    <w:qFormat/>
    <w:rsid w:val="001369D1"/>
    <w:pPr>
      <w:widowControl w:val="0"/>
      <w:autoSpaceDE w:val="0"/>
      <w:autoSpaceDN w:val="0"/>
      <w:spacing w:before="0" w:after="0" w:line="292" w:lineRule="exact"/>
      <w:ind w:left="103"/>
      <w:jc w:val="left"/>
    </w:pPr>
    <w:rPr>
      <w:rFonts w:ascii="Calibri" w:eastAsia="Calibri" w:hAnsi="Calibri" w:cs="Calibri"/>
      <w:sz w:val="22"/>
    </w:rPr>
  </w:style>
  <w:style w:type="table" w:styleId="TableGrid">
    <w:name w:val="Table Grid"/>
    <w:basedOn w:val="TableNormal"/>
    <w:uiPriority w:val="39"/>
    <w:rsid w:val="00513EEE"/>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title">
    <w:name w:val="Subsection title"/>
    <w:basedOn w:val="SectionTitle"/>
    <w:rsid w:val="00513EEE"/>
    <w:pPr>
      <w:widowControl w:val="0"/>
      <w:adjustRightInd w:val="0"/>
      <w:spacing w:before="0" w:line="360" w:lineRule="atLeast"/>
      <w:textAlignment w:val="baseline"/>
    </w:pPr>
    <w:rPr>
      <w:rFonts w:eastAsia="Times New Roman"/>
      <w:b w:val="0"/>
      <w:szCs w:val="20"/>
      <w:lang w:eastAsia="en-GB"/>
    </w:rPr>
  </w:style>
  <w:style w:type="paragraph" w:customStyle="1" w:styleId="Pint2">
    <w:name w:val="Pint 2"/>
    <w:basedOn w:val="Text2"/>
    <w:rsid w:val="00513EEE"/>
  </w:style>
  <w:style w:type="paragraph" w:customStyle="1" w:styleId="Piont1">
    <w:name w:val="Piont 1"/>
    <w:basedOn w:val="Normal"/>
    <w:rsid w:val="00426FD2"/>
    <w:pPr>
      <w:tabs>
        <w:tab w:val="num" w:pos="1417"/>
      </w:tabs>
      <w:ind w:left="1417" w:hanging="567"/>
    </w:pPr>
  </w:style>
  <w:style w:type="paragraph" w:customStyle="1" w:styleId="title-article-norm">
    <w:name w:val="title-article-norm"/>
    <w:basedOn w:val="Normal"/>
    <w:rsid w:val="004009AD"/>
    <w:pPr>
      <w:spacing w:before="100" w:beforeAutospacing="1" w:after="100" w:afterAutospacing="1"/>
      <w:jc w:val="left"/>
    </w:pPr>
    <w:rPr>
      <w:rFonts w:eastAsia="Times New Roman"/>
      <w:szCs w:val="24"/>
      <w:lang w:eastAsia="en-GB"/>
    </w:rPr>
  </w:style>
  <w:style w:type="paragraph" w:customStyle="1" w:styleId="stitle-article-norm">
    <w:name w:val="stitle-article-norm"/>
    <w:basedOn w:val="Normal"/>
    <w:rsid w:val="004009AD"/>
    <w:pPr>
      <w:spacing w:before="100" w:beforeAutospacing="1" w:after="100" w:afterAutospacing="1"/>
      <w:jc w:val="left"/>
    </w:pPr>
    <w:rPr>
      <w:rFonts w:eastAsia="Times New Roman"/>
      <w:szCs w:val="24"/>
      <w:lang w:eastAsia="en-GB"/>
    </w:rPr>
  </w:style>
  <w:style w:type="paragraph" w:customStyle="1" w:styleId="SUPERSChar">
    <w:name w:val="SUPERS Char"/>
    <w:aliases w:val="EN Footnote Reference Char"/>
    <w:basedOn w:val="Normal"/>
    <w:uiPriority w:val="99"/>
    <w:rsid w:val="004009AD"/>
    <w:pPr>
      <w:spacing w:before="0" w:after="160" w:line="240" w:lineRule="exact"/>
      <w:jc w:val="center"/>
    </w:pPr>
    <w:rPr>
      <w:rFonts w:asciiTheme="minorHAnsi" w:hAnsiTheme="minorHAnsi" w:cstheme="minorBidi"/>
      <w:sz w:val="22"/>
      <w:vertAlign w:val="superscript"/>
    </w:rPr>
  </w:style>
  <w:style w:type="paragraph" w:customStyle="1" w:styleId="Fichefinancireattributiontitreacte">
    <w:name w:val="Fiche financière (attribution) titre (acte)"/>
    <w:basedOn w:val="Normal"/>
    <w:next w:val="Normal"/>
    <w:rsid w:val="004009AD"/>
    <w:pPr>
      <w:jc w:val="center"/>
    </w:pPr>
    <w:rPr>
      <w:rFonts w:eastAsia="Times New Roman"/>
      <w:b/>
      <w:u w:val="single"/>
      <w:lang w:eastAsia="en-GB"/>
    </w:rPr>
  </w:style>
  <w:style w:type="paragraph" w:customStyle="1" w:styleId="ListBullet1">
    <w:name w:val="List Bullet 1"/>
    <w:basedOn w:val="Normal"/>
    <w:rsid w:val="004009AD"/>
    <w:pPr>
      <w:numPr>
        <w:numId w:val="18"/>
      </w:numPr>
    </w:pPr>
    <w:rPr>
      <w:rFonts w:eastAsia="Times New Roman"/>
      <w:lang w:eastAsia="de-DE"/>
    </w:rPr>
  </w:style>
  <w:style w:type="paragraph" w:customStyle="1" w:styleId="ListDash1">
    <w:name w:val="List Dash 1"/>
    <w:basedOn w:val="Normal"/>
    <w:rsid w:val="004009AD"/>
    <w:pPr>
      <w:numPr>
        <w:numId w:val="19"/>
      </w:numPr>
    </w:pPr>
    <w:rPr>
      <w:rFonts w:eastAsia="Times New Roman"/>
      <w:lang w:eastAsia="de-DE"/>
    </w:rPr>
  </w:style>
  <w:style w:type="paragraph" w:customStyle="1" w:styleId="ListNumberLevel2">
    <w:name w:val="List Number (Level 2)"/>
    <w:basedOn w:val="Normal"/>
    <w:rsid w:val="004009AD"/>
    <w:pPr>
      <w:tabs>
        <w:tab w:val="num" w:pos="1417"/>
      </w:tabs>
      <w:ind w:left="1417" w:hanging="708"/>
    </w:pPr>
    <w:rPr>
      <w:rFonts w:eastAsia="Times New Roman"/>
      <w:lang w:eastAsia="de-DE"/>
    </w:rPr>
  </w:style>
  <w:style w:type="paragraph" w:customStyle="1" w:styleId="ListNumberLevel3">
    <w:name w:val="List Number (Level 3)"/>
    <w:basedOn w:val="Normal"/>
    <w:rsid w:val="004009AD"/>
    <w:pPr>
      <w:tabs>
        <w:tab w:val="num" w:pos="2126"/>
      </w:tabs>
      <w:ind w:left="2126" w:hanging="709"/>
    </w:pPr>
    <w:rPr>
      <w:rFonts w:eastAsia="Times New Roman"/>
      <w:lang w:eastAsia="de-DE"/>
    </w:rPr>
  </w:style>
  <w:style w:type="paragraph" w:customStyle="1" w:styleId="ListNumberLevel4">
    <w:name w:val="List Number (Level 4)"/>
    <w:basedOn w:val="Normal"/>
    <w:rsid w:val="004009AD"/>
    <w:pPr>
      <w:tabs>
        <w:tab w:val="num" w:pos="2835"/>
      </w:tabs>
      <w:ind w:left="2835" w:hanging="709"/>
    </w:pPr>
    <w:rPr>
      <w:rFonts w:eastAsia="Times New Roman"/>
      <w:lang w:eastAsia="de-DE"/>
    </w:rPr>
  </w:style>
  <w:style w:type="paragraph" w:customStyle="1" w:styleId="ListDash3">
    <w:name w:val="List Dash 3"/>
    <w:basedOn w:val="Normal"/>
    <w:rsid w:val="004009AD"/>
    <w:pPr>
      <w:numPr>
        <w:numId w:val="20"/>
      </w:numPr>
    </w:pPr>
    <w:rPr>
      <w:rFonts w:eastAsia="Times New Roman"/>
      <w:lang w:eastAsia="en-GB"/>
    </w:rPr>
  </w:style>
  <w:style w:type="paragraph" w:customStyle="1" w:styleId="ListDash4">
    <w:name w:val="List Dash 4"/>
    <w:basedOn w:val="Normal"/>
    <w:rsid w:val="004009AD"/>
    <w:pPr>
      <w:numPr>
        <w:numId w:val="21"/>
      </w:numPr>
    </w:pPr>
    <w:rPr>
      <w:rFonts w:eastAsia="Times New Roman"/>
      <w:lang w:eastAsia="en-GB"/>
    </w:rPr>
  </w:style>
  <w:style w:type="paragraph" w:customStyle="1" w:styleId="ListNumber2Level2">
    <w:name w:val="List Number 2 (Level 2)"/>
    <w:basedOn w:val="Text2"/>
    <w:rsid w:val="004009AD"/>
    <w:pPr>
      <w:tabs>
        <w:tab w:val="num" w:pos="2268"/>
      </w:tabs>
      <w:ind w:left="2268" w:hanging="708"/>
    </w:pPr>
    <w:rPr>
      <w:rFonts w:eastAsia="Times New Roman"/>
      <w:lang w:eastAsia="en-GB"/>
    </w:rPr>
  </w:style>
  <w:style w:type="paragraph" w:customStyle="1" w:styleId="ListNumber3Level2">
    <w:name w:val="List Number 3 (Level 2)"/>
    <w:basedOn w:val="Text3"/>
    <w:rsid w:val="004009AD"/>
    <w:pPr>
      <w:tabs>
        <w:tab w:val="num" w:pos="2268"/>
      </w:tabs>
      <w:ind w:left="2268" w:hanging="708"/>
    </w:pPr>
    <w:rPr>
      <w:rFonts w:eastAsia="Times New Roman"/>
      <w:lang w:eastAsia="en-GB"/>
    </w:rPr>
  </w:style>
  <w:style w:type="paragraph" w:customStyle="1" w:styleId="ListNumber4Level2">
    <w:name w:val="List Number 4 (Level 2)"/>
    <w:basedOn w:val="Text4"/>
    <w:rsid w:val="004009AD"/>
    <w:pPr>
      <w:tabs>
        <w:tab w:val="num" w:pos="2268"/>
      </w:tabs>
      <w:ind w:left="2268" w:hanging="708"/>
    </w:pPr>
    <w:rPr>
      <w:rFonts w:eastAsia="Times New Roman"/>
      <w:lang w:eastAsia="en-GB"/>
    </w:rPr>
  </w:style>
  <w:style w:type="paragraph" w:customStyle="1" w:styleId="ListNumber2Level3">
    <w:name w:val="List Number 2 (Level 3)"/>
    <w:basedOn w:val="Text2"/>
    <w:rsid w:val="004009AD"/>
    <w:pPr>
      <w:tabs>
        <w:tab w:val="num" w:pos="2977"/>
      </w:tabs>
      <w:ind w:left="2977" w:hanging="709"/>
    </w:pPr>
    <w:rPr>
      <w:rFonts w:eastAsia="Times New Roman"/>
      <w:lang w:eastAsia="en-GB"/>
    </w:rPr>
  </w:style>
  <w:style w:type="paragraph" w:customStyle="1" w:styleId="ListNumber3Level3">
    <w:name w:val="List Number 3 (Level 3)"/>
    <w:basedOn w:val="Text3"/>
    <w:rsid w:val="004009AD"/>
    <w:pPr>
      <w:tabs>
        <w:tab w:val="num" w:pos="2977"/>
      </w:tabs>
      <w:ind w:left="2977" w:hanging="709"/>
    </w:pPr>
    <w:rPr>
      <w:rFonts w:eastAsia="Times New Roman"/>
      <w:lang w:eastAsia="en-GB"/>
    </w:rPr>
  </w:style>
  <w:style w:type="paragraph" w:customStyle="1" w:styleId="ListNumber4Level3">
    <w:name w:val="List Number 4 (Level 3)"/>
    <w:basedOn w:val="Text4"/>
    <w:rsid w:val="004009AD"/>
    <w:pPr>
      <w:tabs>
        <w:tab w:val="num" w:pos="2977"/>
      </w:tabs>
      <w:ind w:left="2977" w:hanging="709"/>
    </w:pPr>
    <w:rPr>
      <w:rFonts w:eastAsia="Times New Roman"/>
      <w:lang w:eastAsia="en-GB"/>
    </w:rPr>
  </w:style>
  <w:style w:type="paragraph" w:customStyle="1" w:styleId="ListNumber3Level4">
    <w:name w:val="List Number 3 (Level 4)"/>
    <w:basedOn w:val="Text3"/>
    <w:rsid w:val="004009AD"/>
    <w:pPr>
      <w:tabs>
        <w:tab w:val="num" w:pos="3686"/>
      </w:tabs>
      <w:ind w:left="3686" w:hanging="709"/>
    </w:pPr>
    <w:rPr>
      <w:rFonts w:eastAsia="Times New Roman"/>
      <w:lang w:eastAsia="en-GB"/>
    </w:rPr>
  </w:style>
  <w:style w:type="paragraph" w:customStyle="1" w:styleId="ListNumber4Level4">
    <w:name w:val="List Number 4 (Level 4)"/>
    <w:basedOn w:val="Text4"/>
    <w:rsid w:val="004009AD"/>
    <w:pPr>
      <w:ind w:left="0"/>
    </w:pPr>
    <w:rPr>
      <w:rFonts w:eastAsia="Times New Roman"/>
      <w:lang w:eastAsia="en-GB"/>
    </w:rPr>
  </w:style>
  <w:style w:type="paragraph" w:customStyle="1" w:styleId="Annexetitreacte">
    <w:name w:val="Annexe titre (acte)"/>
    <w:basedOn w:val="Normal"/>
    <w:next w:val="Normal"/>
    <w:rsid w:val="004009AD"/>
    <w:pPr>
      <w:jc w:val="center"/>
    </w:pPr>
    <w:rPr>
      <w:rFonts w:eastAsia="Times New Roman"/>
      <w:b/>
      <w:u w:val="single"/>
      <w:lang w:eastAsia="en-GB"/>
    </w:rPr>
  </w:style>
  <w:style w:type="paragraph" w:customStyle="1" w:styleId="Annexetitreexposglobal">
    <w:name w:val="Annexe titre (exposé global)"/>
    <w:basedOn w:val="Normal"/>
    <w:next w:val="Normal"/>
    <w:rsid w:val="004009AD"/>
    <w:pPr>
      <w:jc w:val="center"/>
    </w:pPr>
    <w:rPr>
      <w:rFonts w:eastAsia="Times New Roman"/>
      <w:b/>
      <w:u w:val="single"/>
      <w:lang w:eastAsia="en-GB"/>
    </w:rPr>
  </w:style>
  <w:style w:type="paragraph" w:customStyle="1" w:styleId="Annexetitreglobale">
    <w:name w:val="Annexe titre (globale)"/>
    <w:basedOn w:val="Normal"/>
    <w:next w:val="Normal"/>
    <w:rsid w:val="004009AD"/>
    <w:pPr>
      <w:jc w:val="center"/>
    </w:pPr>
    <w:rPr>
      <w:rFonts w:eastAsia="Times New Roman"/>
      <w:b/>
      <w:u w:val="single"/>
      <w:lang w:eastAsia="en-GB"/>
    </w:rPr>
  </w:style>
  <w:style w:type="paragraph" w:customStyle="1" w:styleId="Exposdesmotifstitreglobal">
    <w:name w:val="Exposé des motifs titre (global)"/>
    <w:basedOn w:val="Normal"/>
    <w:next w:val="Normal"/>
    <w:rsid w:val="004009AD"/>
    <w:pPr>
      <w:jc w:val="center"/>
    </w:pPr>
    <w:rPr>
      <w:rFonts w:eastAsia="Times New Roman"/>
      <w:b/>
      <w:u w:val="single"/>
      <w:lang w:eastAsia="en-GB"/>
    </w:rPr>
  </w:style>
  <w:style w:type="paragraph" w:customStyle="1" w:styleId="Langueoriginale">
    <w:name w:val="Langue originale"/>
    <w:basedOn w:val="Normal"/>
    <w:rsid w:val="004009AD"/>
    <w:pPr>
      <w:spacing w:before="360"/>
      <w:jc w:val="center"/>
    </w:pPr>
    <w:rPr>
      <w:rFonts w:eastAsia="Times New Roman"/>
      <w:caps/>
      <w:lang w:eastAsia="en-GB"/>
    </w:rPr>
  </w:style>
  <w:style w:type="paragraph" w:customStyle="1" w:styleId="Phrasefinale">
    <w:name w:val="Phrase finale"/>
    <w:basedOn w:val="Normal"/>
    <w:next w:val="Normal"/>
    <w:rsid w:val="004009AD"/>
    <w:pPr>
      <w:spacing w:before="360" w:after="0"/>
      <w:jc w:val="center"/>
    </w:pPr>
    <w:rPr>
      <w:rFonts w:eastAsia="Times New Roman"/>
      <w:lang w:eastAsia="en-GB"/>
    </w:rPr>
  </w:style>
  <w:style w:type="paragraph" w:customStyle="1" w:styleId="Prliminairetitre">
    <w:name w:val="Préliminaire titre"/>
    <w:basedOn w:val="Normal"/>
    <w:next w:val="Normal"/>
    <w:rsid w:val="004009AD"/>
    <w:pPr>
      <w:spacing w:before="360" w:after="360"/>
      <w:jc w:val="center"/>
    </w:pPr>
    <w:rPr>
      <w:rFonts w:eastAsia="Times New Roman"/>
      <w:b/>
      <w:lang w:eastAsia="en-GB"/>
    </w:rPr>
  </w:style>
  <w:style w:type="paragraph" w:customStyle="1" w:styleId="Prliminairetype">
    <w:name w:val="Préliminaire type"/>
    <w:basedOn w:val="Normal"/>
    <w:next w:val="Normal"/>
    <w:rsid w:val="004009AD"/>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4009AD"/>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4009AD"/>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4009AD"/>
    <w:pPr>
      <w:spacing w:before="0" w:after="0"/>
      <w:ind w:left="5103"/>
      <w:jc w:val="left"/>
    </w:pPr>
    <w:rPr>
      <w:rFonts w:eastAsia="Times New Roman"/>
      <w:lang w:eastAsia="en-GB"/>
    </w:rPr>
  </w:style>
  <w:style w:type="paragraph" w:customStyle="1" w:styleId="Sous-titreobjetprliminaire">
    <w:name w:val="Sous-titre objet (préliminaire)"/>
    <w:basedOn w:val="Normal"/>
    <w:rsid w:val="004009AD"/>
    <w:pPr>
      <w:spacing w:before="0" w:after="0"/>
      <w:jc w:val="center"/>
    </w:pPr>
    <w:rPr>
      <w:rFonts w:eastAsia="Times New Roman"/>
      <w:b/>
      <w:lang w:eastAsia="en-GB"/>
    </w:rPr>
  </w:style>
  <w:style w:type="paragraph" w:customStyle="1" w:styleId="Statutprliminaire">
    <w:name w:val="Statut (préliminaire)"/>
    <w:basedOn w:val="Normal"/>
    <w:next w:val="Normal"/>
    <w:rsid w:val="004009AD"/>
    <w:pPr>
      <w:spacing w:before="360" w:after="0"/>
      <w:jc w:val="center"/>
    </w:pPr>
    <w:rPr>
      <w:rFonts w:eastAsia="Times New Roman"/>
      <w:lang w:eastAsia="en-GB"/>
    </w:rPr>
  </w:style>
  <w:style w:type="paragraph" w:customStyle="1" w:styleId="Titreobjetprliminaire">
    <w:name w:val="Titre objet (préliminaire)"/>
    <w:basedOn w:val="Normal"/>
    <w:next w:val="Normal"/>
    <w:rsid w:val="004009AD"/>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4009AD"/>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4009AD"/>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4009AD"/>
    <w:pPr>
      <w:jc w:val="center"/>
    </w:pPr>
    <w:rPr>
      <w:rFonts w:eastAsia="Times New Roman"/>
      <w:b/>
      <w:u w:val="single"/>
      <w:lang w:eastAsia="en-GB"/>
    </w:rPr>
  </w:style>
  <w:style w:type="paragraph" w:customStyle="1" w:styleId="Fichefinanciretravailtitre">
    <w:name w:val="Fiche financière (travail) titre"/>
    <w:basedOn w:val="Normal"/>
    <w:next w:val="Normal"/>
    <w:rsid w:val="004009AD"/>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4009AD"/>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4009AD"/>
    <w:pPr>
      <w:jc w:val="center"/>
    </w:pPr>
    <w:rPr>
      <w:rFonts w:eastAsia="Times New Roman"/>
      <w:b/>
      <w:u w:val="single"/>
      <w:lang w:eastAsia="en-GB"/>
    </w:rPr>
  </w:style>
  <w:style w:type="character" w:styleId="PageNumber">
    <w:name w:val="page number"/>
    <w:rsid w:val="004009AD"/>
  </w:style>
  <w:style w:type="character" w:customStyle="1" w:styleId="tw4winMark">
    <w:name w:val="tw4winMark"/>
    <w:rsid w:val="004009AD"/>
    <w:rPr>
      <w:vanish/>
      <w:color w:val="800080"/>
      <w:vertAlign w:val="subscript"/>
    </w:rPr>
  </w:style>
  <w:style w:type="character" w:styleId="FollowedHyperlink">
    <w:name w:val="FollowedHyperlink"/>
    <w:rsid w:val="004009AD"/>
    <w:rPr>
      <w:color w:val="800080"/>
      <w:u w:val="single"/>
    </w:rPr>
  </w:style>
  <w:style w:type="paragraph" w:customStyle="1" w:styleId="Sous-titreobjet">
    <w:name w:val="Sous-titre objet"/>
    <w:basedOn w:val="Normal"/>
    <w:rsid w:val="004009AD"/>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4009AD"/>
  </w:style>
  <w:style w:type="paragraph" w:styleId="Revision">
    <w:name w:val="Revision"/>
    <w:hidden/>
    <w:uiPriority w:val="99"/>
    <w:semiHidden/>
    <w:rsid w:val="004009AD"/>
    <w:pPr>
      <w:spacing w:after="0" w:line="240" w:lineRule="auto"/>
    </w:pPr>
    <w:rPr>
      <w:rFonts w:ascii="Times New Roman" w:hAnsi="Times New Roman" w:cs="Times New Roman"/>
      <w:sz w:val="24"/>
    </w:rPr>
  </w:style>
  <w:style w:type="paragraph" w:styleId="Title">
    <w:name w:val="Title"/>
    <w:basedOn w:val="Normal"/>
    <w:next w:val="Normal"/>
    <w:link w:val="TitleChar"/>
    <w:uiPriority w:val="10"/>
    <w:qFormat/>
    <w:rsid w:val="004009AD"/>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9AD"/>
    <w:rPr>
      <w:rFonts w:asciiTheme="majorHAnsi" w:eastAsiaTheme="majorEastAsia" w:hAnsiTheme="majorHAnsi" w:cstheme="majorBidi"/>
      <w:spacing w:val="-10"/>
      <w:kern w:val="28"/>
      <w:sz w:val="56"/>
      <w:szCs w:val="56"/>
      <w:lang w:val="sk-SK"/>
    </w:rPr>
  </w:style>
  <w:style w:type="character" w:customStyle="1" w:styleId="CRMarker">
    <w:name w:val="CR Marker"/>
    <w:basedOn w:val="DefaultParagraphFont"/>
    <w:uiPriority w:val="99"/>
    <w:rsid w:val="004009AD"/>
    <w:rPr>
      <w:rFonts w:ascii="Wingdings" w:hAnsi="Wingdings" w:cs="Wingdings"/>
    </w:rPr>
  </w:style>
  <w:style w:type="character" w:customStyle="1" w:styleId="CRRefNum">
    <w:name w:val="CR RefNum"/>
    <w:basedOn w:val="DefaultParagraphFont"/>
    <w:uiPriority w:val="99"/>
    <w:rsid w:val="004009AD"/>
    <w:rPr>
      <w:rFonts w:cs="Times New Roman"/>
      <w:vertAlign w:val="subscript"/>
    </w:rPr>
  </w:style>
  <w:style w:type="character" w:styleId="PlaceholderText">
    <w:name w:val="Placeholder Text"/>
    <w:basedOn w:val="DefaultParagraphFont"/>
    <w:uiPriority w:val="99"/>
    <w:semiHidden/>
    <w:rsid w:val="004009AD"/>
    <w:rPr>
      <w:color w:val="808080"/>
    </w:rPr>
  </w:style>
  <w:style w:type="character" w:customStyle="1" w:styleId="highlight">
    <w:name w:val="highlight"/>
    <w:basedOn w:val="DefaultParagraphFont"/>
    <w:rsid w:val="004009AD"/>
  </w:style>
  <w:style w:type="paragraph" w:customStyle="1" w:styleId="Normal1">
    <w:name w:val="Normal1"/>
    <w:basedOn w:val="Normal"/>
    <w:rsid w:val="004009AD"/>
    <w:pPr>
      <w:spacing w:before="100" w:beforeAutospacing="1" w:after="100" w:afterAutospacing="1"/>
      <w:jc w:val="left"/>
    </w:pPr>
    <w:rPr>
      <w:rFonts w:eastAsia="Times New Roman"/>
      <w:szCs w:val="24"/>
    </w:rPr>
  </w:style>
  <w:style w:type="character" w:customStyle="1" w:styleId="footnotereference">
    <w:name w:val="footnotereference"/>
    <w:basedOn w:val="DefaultParagraphFont"/>
    <w:rsid w:val="004009AD"/>
  </w:style>
  <w:style w:type="paragraph" w:customStyle="1" w:styleId="title-table">
    <w:name w:val="title-table"/>
    <w:basedOn w:val="Normal"/>
    <w:rsid w:val="004009AD"/>
    <w:pPr>
      <w:spacing w:before="100" w:beforeAutospacing="1" w:after="100" w:afterAutospacing="1"/>
      <w:jc w:val="left"/>
    </w:pPr>
    <w:rPr>
      <w:rFonts w:eastAsia="Times New Roman"/>
      <w:szCs w:val="24"/>
      <w:lang w:eastAsia="en-GB"/>
    </w:rPr>
  </w:style>
  <w:style w:type="paragraph" w:customStyle="1" w:styleId="CM12">
    <w:name w:val="CM1+2"/>
    <w:basedOn w:val="Default"/>
    <w:next w:val="Default"/>
    <w:uiPriority w:val="99"/>
    <w:rsid w:val="004009AD"/>
    <w:rPr>
      <w:rFonts w:ascii="EUAlbertina" w:hAnsi="EUAlbertina" w:cstheme="minorBidi"/>
      <w:color w:val="auto"/>
    </w:rPr>
  </w:style>
  <w:style w:type="paragraph" w:customStyle="1" w:styleId="CM32">
    <w:name w:val="CM3+2"/>
    <w:basedOn w:val="Default"/>
    <w:next w:val="Default"/>
    <w:uiPriority w:val="99"/>
    <w:rsid w:val="004009AD"/>
    <w:rPr>
      <w:rFonts w:ascii="EUAlbertina" w:hAnsi="EUAlbertina" w:cstheme="minorBidi"/>
      <w:color w:val="auto"/>
    </w:rPr>
  </w:style>
  <w:style w:type="paragraph" w:customStyle="1" w:styleId="Manualtabletitle">
    <w:name w:val="Manual table title"/>
    <w:basedOn w:val="Text1"/>
    <w:qFormat/>
    <w:rsid w:val="004009AD"/>
    <w:pPr>
      <w:widowControl w:val="0"/>
      <w:adjustRightInd w:val="0"/>
      <w:ind w:left="0"/>
      <w:jc w:val="center"/>
      <w:textAlignment w:val="baseline"/>
    </w:pPr>
    <w:rPr>
      <w:rFonts w:eastAsia="Times New Roman"/>
      <w:szCs w:val="20"/>
      <w:lang w:eastAsia="en-GB"/>
    </w:rPr>
  </w:style>
  <w:style w:type="numbering" w:customStyle="1" w:styleId="NoList1">
    <w:name w:val="No List1"/>
    <w:next w:val="NoList"/>
    <w:uiPriority w:val="99"/>
    <w:semiHidden/>
    <w:unhideWhenUsed/>
    <w:rsid w:val="004009AD"/>
  </w:style>
  <w:style w:type="numbering" w:customStyle="1" w:styleId="Style11">
    <w:name w:val="Style11"/>
    <w:uiPriority w:val="99"/>
    <w:rsid w:val="004009AD"/>
    <w:pPr>
      <w:numPr>
        <w:numId w:val="22"/>
      </w:numPr>
    </w:pPr>
  </w:style>
  <w:style w:type="paragraph" w:customStyle="1" w:styleId="li">
    <w:name w:val="li"/>
    <w:basedOn w:val="Normal"/>
    <w:rsid w:val="004009AD"/>
    <w:pPr>
      <w:spacing w:before="100" w:beforeAutospacing="1" w:after="100" w:afterAutospacing="1"/>
      <w:jc w:val="left"/>
    </w:pPr>
    <w:rPr>
      <w:rFonts w:eastAsia="Times New Roman"/>
      <w:szCs w:val="24"/>
      <w:lang w:eastAsia="en-GB"/>
    </w:rPr>
  </w:style>
  <w:style w:type="character" w:customStyle="1" w:styleId="num">
    <w:name w:val="num"/>
    <w:basedOn w:val="DefaultParagraphFont"/>
    <w:rsid w:val="004009AD"/>
  </w:style>
  <w:style w:type="paragraph" w:customStyle="1" w:styleId="rticle">
    <w:name w:val="rticle"/>
    <w:basedOn w:val="Titrearticle"/>
    <w:rsid w:val="004009AD"/>
    <w:pPr>
      <w:spacing w:after="240"/>
    </w:pPr>
  </w:style>
  <w:style w:type="character" w:customStyle="1" w:styleId="eop">
    <w:name w:val="eop"/>
    <w:basedOn w:val="DefaultParagraphFont"/>
    <w:rsid w:val="004009AD"/>
  </w:style>
  <w:style w:type="character" w:customStyle="1" w:styleId="bcbsformula-inline">
    <w:name w:val="bcbsformula-inline"/>
    <w:basedOn w:val="DefaultParagraphFont"/>
    <w:rsid w:val="004009AD"/>
  </w:style>
  <w:style w:type="paragraph" w:customStyle="1" w:styleId="nump">
    <w:name w:val="num p"/>
    <w:basedOn w:val="Text1"/>
    <w:rsid w:val="004009AD"/>
  </w:style>
  <w:style w:type="paragraph" w:customStyle="1" w:styleId="commentcontentpara">
    <w:name w:val="commentcontentpara"/>
    <w:basedOn w:val="Normal"/>
    <w:rsid w:val="004009AD"/>
    <w:pPr>
      <w:spacing w:before="100" w:beforeAutospacing="1" w:after="100" w:afterAutospacing="1"/>
      <w:jc w:val="left"/>
    </w:pPr>
    <w:rPr>
      <w:rFonts w:eastAsia="Times New Roman"/>
      <w:szCs w:val="24"/>
    </w:rPr>
  </w:style>
  <w:style w:type="paragraph" w:customStyle="1" w:styleId="point2ter">
    <w:name w:val="point 2ter)"/>
    <w:basedOn w:val="Point1letter"/>
    <w:rsid w:val="004009AD"/>
    <w:pPr>
      <w:numPr>
        <w:ilvl w:val="0"/>
        <w:numId w:val="0"/>
      </w:numPr>
      <w:ind w:left="1417" w:hanging="567"/>
    </w:pPr>
    <w:rPr>
      <w:lang w:eastAsia="en-GB"/>
    </w:rPr>
  </w:style>
  <w:style w:type="paragraph" w:customStyle="1" w:styleId="Poitn1">
    <w:name w:val="Poitn 1"/>
    <w:basedOn w:val="Point1letter"/>
    <w:rsid w:val="004009AD"/>
    <w:pPr>
      <w:numPr>
        <w:ilvl w:val="0"/>
        <w:numId w:val="0"/>
      </w:numPr>
      <w:ind w:left="1417" w:hanging="567"/>
    </w:pPr>
  </w:style>
  <w:style w:type="paragraph" w:customStyle="1" w:styleId="Poinr">
    <w:name w:val="Poinr"/>
    <w:basedOn w:val="Point1letter"/>
    <w:rsid w:val="004009AD"/>
    <w:pPr>
      <w:numPr>
        <w:ilvl w:val="0"/>
        <w:numId w:val="0"/>
      </w:numPr>
      <w:ind w:left="1417" w:hanging="567"/>
    </w:pPr>
  </w:style>
  <w:style w:type="paragraph" w:customStyle="1" w:styleId="point1letter1">
    <w:name w:val="point 1letter)"/>
    <w:basedOn w:val="Point1letter"/>
    <w:rsid w:val="004009AD"/>
    <w:pPr>
      <w:numPr>
        <w:ilvl w:val="0"/>
        <w:numId w:val="0"/>
      </w:numPr>
      <w:tabs>
        <w:tab w:val="num" w:pos="1417"/>
      </w:tabs>
      <w:ind w:left="1417" w:hanging="567"/>
    </w:pPr>
  </w:style>
  <w:style w:type="paragraph" w:customStyle="1" w:styleId="Pont1">
    <w:name w:val="Pon t1"/>
    <w:basedOn w:val="Point1letter"/>
    <w:rsid w:val="004009AD"/>
    <w:pPr>
      <w:numPr>
        <w:ilvl w:val="0"/>
        <w:numId w:val="0"/>
      </w:numPr>
      <w:tabs>
        <w:tab w:val="num" w:pos="1417"/>
      </w:tabs>
      <w:ind w:left="1417" w:hanging="567"/>
    </w:pPr>
  </w:style>
  <w:style w:type="paragraph" w:customStyle="1" w:styleId="Text20">
    <w:name w:val="Text2"/>
    <w:basedOn w:val="Text1"/>
    <w:rsid w:val="004009AD"/>
  </w:style>
  <w:style w:type="paragraph" w:customStyle="1" w:styleId="Pint1">
    <w:name w:val="Pint 1"/>
    <w:basedOn w:val="Point1letter"/>
    <w:rsid w:val="004009AD"/>
    <w:pPr>
      <w:numPr>
        <w:ilvl w:val="0"/>
        <w:numId w:val="0"/>
      </w:numPr>
      <w:ind w:left="1134" w:hanging="567"/>
    </w:pPr>
  </w:style>
  <w:style w:type="paragraph" w:customStyle="1" w:styleId="Rwzr2">
    <w:name w:val="Rwzr 2"/>
    <w:basedOn w:val="Text1"/>
    <w:rsid w:val="004009AD"/>
    <w:pPr>
      <w:ind w:left="1134"/>
    </w:pPr>
  </w:style>
  <w:style w:type="paragraph" w:customStyle="1" w:styleId="Pint3">
    <w:name w:val="Pint 3"/>
    <w:basedOn w:val="Text3"/>
    <w:rsid w:val="004009AD"/>
  </w:style>
  <w:style w:type="paragraph" w:customStyle="1" w:styleId="Piont3">
    <w:name w:val="Piont 3"/>
    <w:basedOn w:val="Text3"/>
    <w:rsid w:val="004009AD"/>
    <w:rPr>
      <w:lang w:eastAsia="en-GB"/>
    </w:rPr>
  </w:style>
  <w:style w:type="paragraph" w:customStyle="1" w:styleId="Ext1">
    <w:name w:val="Ext 1"/>
    <w:basedOn w:val="NumPar1"/>
    <w:rsid w:val="004009AD"/>
    <w:pPr>
      <w:numPr>
        <w:numId w:val="0"/>
      </w:numPr>
      <w:tabs>
        <w:tab w:val="num" w:pos="850"/>
      </w:tabs>
      <w:ind w:left="850" w:hanging="850"/>
    </w:pPr>
  </w:style>
  <w:style w:type="character" w:styleId="FootnoteReference0">
    <w:name w:val="footnote reference"/>
    <w:basedOn w:val="DefaultParagraphFont"/>
    <w:uiPriority w:val="99"/>
    <w:semiHidden/>
    <w:unhideWhenUsed/>
    <w:rsid w:val="009B7138"/>
    <w:rPr>
      <w:shd w:val="clear" w:color="auto" w:fill="auto"/>
      <w:vertAlign w:val="superscript"/>
    </w:r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styleId="Header">
    <w:name w:val="header"/>
    <w:basedOn w:val="Normal"/>
    <w:link w:val="HeaderChar"/>
    <w:uiPriority w:val="99"/>
    <w:unhideWhenUsed/>
    <w:rsid w:val="00132299"/>
    <w:pPr>
      <w:tabs>
        <w:tab w:val="center" w:pos="4535"/>
        <w:tab w:val="right" w:pos="9071"/>
      </w:tabs>
      <w:spacing w:before="0"/>
    </w:pPr>
  </w:style>
  <w:style w:type="character" w:customStyle="1" w:styleId="HeaderChar">
    <w:name w:val="Header Char"/>
    <w:basedOn w:val="DefaultParagraphFont"/>
    <w:link w:val="Header"/>
    <w:uiPriority w:val="99"/>
    <w:rsid w:val="00132299"/>
    <w:rPr>
      <w:rFonts w:ascii="Times New Roman" w:hAnsi="Times New Roman" w:cs="Times New Roman"/>
      <w:sz w:val="24"/>
      <w:lang w:val="sk-SK"/>
    </w:rPr>
  </w:style>
  <w:style w:type="paragraph" w:styleId="Footer">
    <w:name w:val="footer"/>
    <w:basedOn w:val="Normal"/>
    <w:link w:val="FooterChar"/>
    <w:uiPriority w:val="99"/>
    <w:unhideWhenUsed/>
    <w:rsid w:val="0013229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32299"/>
    <w:rPr>
      <w:rFonts w:ascii="Times New Roman" w:hAnsi="Times New Roman" w:cs="Times New Roman"/>
      <w:sz w:val="24"/>
      <w:lang w:val="sk-SK"/>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132299"/>
    <w:pPr>
      <w:tabs>
        <w:tab w:val="center" w:pos="7285"/>
        <w:tab w:val="right" w:pos="14003"/>
      </w:tabs>
      <w:spacing w:before="0"/>
    </w:pPr>
  </w:style>
  <w:style w:type="paragraph" w:customStyle="1" w:styleId="FooterLandscape">
    <w:name w:val="FooterLandscape"/>
    <w:basedOn w:val="Normal"/>
    <w:rsid w:val="00132299"/>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rsid w:val="0013229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132299"/>
    <w:pPr>
      <w:spacing w:before="0"/>
      <w:jc w:val="right"/>
    </w:pPr>
    <w:rPr>
      <w:sz w:val="28"/>
    </w:rPr>
  </w:style>
  <w:style w:type="paragraph" w:customStyle="1" w:styleId="FooterSensitivity">
    <w:name w:val="Footer Sensitivity"/>
    <w:basedOn w:val="Normal"/>
    <w:rsid w:val="0013229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0">
    <w:name w:val="Point 1"/>
    <w:basedOn w:val="Normal"/>
    <w:rsid w:val="009B7138"/>
    <w:pPr>
      <w:ind w:left="1417" w:hanging="567"/>
    </w:pPr>
  </w:style>
  <w:style w:type="paragraph" w:customStyle="1" w:styleId="Point20">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24"/>
      </w:numPr>
    </w:pPr>
  </w:style>
  <w:style w:type="paragraph" w:customStyle="1" w:styleId="Tiret1">
    <w:name w:val="Tiret 1"/>
    <w:basedOn w:val="Point10"/>
    <w:rsid w:val="009B7138"/>
    <w:pPr>
      <w:numPr>
        <w:numId w:val="25"/>
      </w:numPr>
    </w:pPr>
  </w:style>
  <w:style w:type="paragraph" w:customStyle="1" w:styleId="Tiret2">
    <w:name w:val="Tiret 2"/>
    <w:basedOn w:val="Point20"/>
    <w:rsid w:val="009B7138"/>
    <w:pPr>
      <w:numPr>
        <w:numId w:val="26"/>
      </w:numPr>
    </w:pPr>
  </w:style>
  <w:style w:type="paragraph" w:customStyle="1" w:styleId="Tiret3">
    <w:name w:val="Tiret 3"/>
    <w:basedOn w:val="Point3"/>
    <w:rsid w:val="009B7138"/>
    <w:pPr>
      <w:numPr>
        <w:numId w:val="27"/>
      </w:numPr>
    </w:pPr>
  </w:style>
  <w:style w:type="paragraph" w:customStyle="1" w:styleId="Tiret4">
    <w:name w:val="Tiret 4"/>
    <w:basedOn w:val="Point4"/>
    <w:rsid w:val="009B7138"/>
    <w:pPr>
      <w:numPr>
        <w:numId w:val="28"/>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44"/>
      </w:numPr>
    </w:pPr>
  </w:style>
  <w:style w:type="paragraph" w:customStyle="1" w:styleId="NumPar2">
    <w:name w:val="NumPar 2"/>
    <w:basedOn w:val="Normal"/>
    <w:next w:val="Text1"/>
    <w:rsid w:val="009B7138"/>
    <w:pPr>
      <w:numPr>
        <w:ilvl w:val="1"/>
        <w:numId w:val="44"/>
      </w:numPr>
    </w:pPr>
  </w:style>
  <w:style w:type="paragraph" w:customStyle="1" w:styleId="NumPar3">
    <w:name w:val="NumPar 3"/>
    <w:basedOn w:val="Normal"/>
    <w:next w:val="Text1"/>
    <w:rsid w:val="009B7138"/>
    <w:pPr>
      <w:numPr>
        <w:ilvl w:val="2"/>
        <w:numId w:val="44"/>
      </w:numPr>
    </w:pPr>
  </w:style>
  <w:style w:type="paragraph" w:customStyle="1" w:styleId="NumPar4">
    <w:name w:val="NumPar 4"/>
    <w:basedOn w:val="Normal"/>
    <w:next w:val="Text1"/>
    <w:rsid w:val="009B7138"/>
    <w:pPr>
      <w:numPr>
        <w:ilvl w:val="3"/>
        <w:numId w:val="44"/>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31"/>
      </w:numPr>
    </w:pPr>
  </w:style>
  <w:style w:type="paragraph" w:customStyle="1" w:styleId="Point1number">
    <w:name w:val="Point 1 (number)"/>
    <w:basedOn w:val="Normal"/>
    <w:rsid w:val="009B7138"/>
    <w:pPr>
      <w:numPr>
        <w:ilvl w:val="2"/>
        <w:numId w:val="31"/>
      </w:numPr>
    </w:pPr>
  </w:style>
  <w:style w:type="paragraph" w:customStyle="1" w:styleId="Point2number">
    <w:name w:val="Point 2 (number)"/>
    <w:basedOn w:val="Normal"/>
    <w:rsid w:val="009B7138"/>
    <w:pPr>
      <w:numPr>
        <w:ilvl w:val="4"/>
        <w:numId w:val="31"/>
      </w:numPr>
    </w:pPr>
  </w:style>
  <w:style w:type="paragraph" w:customStyle="1" w:styleId="Point3number">
    <w:name w:val="Point 3 (number)"/>
    <w:basedOn w:val="Normal"/>
    <w:rsid w:val="009B7138"/>
    <w:pPr>
      <w:numPr>
        <w:ilvl w:val="6"/>
        <w:numId w:val="31"/>
      </w:numPr>
    </w:pPr>
  </w:style>
  <w:style w:type="paragraph" w:customStyle="1" w:styleId="Point0letter">
    <w:name w:val="Point 0 (letter)"/>
    <w:basedOn w:val="Normal"/>
    <w:rsid w:val="009B7138"/>
    <w:pPr>
      <w:numPr>
        <w:ilvl w:val="1"/>
        <w:numId w:val="31"/>
      </w:numPr>
    </w:pPr>
  </w:style>
  <w:style w:type="paragraph" w:customStyle="1" w:styleId="Point1letter">
    <w:name w:val="Point 1 (letter)"/>
    <w:basedOn w:val="Normal"/>
    <w:rsid w:val="009B7138"/>
    <w:pPr>
      <w:numPr>
        <w:ilvl w:val="3"/>
        <w:numId w:val="31"/>
      </w:numPr>
    </w:pPr>
  </w:style>
  <w:style w:type="paragraph" w:customStyle="1" w:styleId="Point2letter">
    <w:name w:val="Point 2 (letter)"/>
    <w:basedOn w:val="Normal"/>
    <w:rsid w:val="009B7138"/>
    <w:pPr>
      <w:numPr>
        <w:ilvl w:val="5"/>
        <w:numId w:val="31"/>
      </w:numPr>
    </w:pPr>
  </w:style>
  <w:style w:type="paragraph" w:customStyle="1" w:styleId="Point3letter">
    <w:name w:val="Point 3 (letter)"/>
    <w:basedOn w:val="Normal"/>
    <w:rsid w:val="009B7138"/>
    <w:pPr>
      <w:numPr>
        <w:ilvl w:val="7"/>
        <w:numId w:val="31"/>
      </w:numPr>
    </w:pPr>
  </w:style>
  <w:style w:type="paragraph" w:customStyle="1" w:styleId="Point4letter">
    <w:name w:val="Point 4 (letter)"/>
    <w:basedOn w:val="Normal"/>
    <w:rsid w:val="009B7138"/>
    <w:pPr>
      <w:numPr>
        <w:ilvl w:val="8"/>
        <w:numId w:val="31"/>
      </w:numPr>
    </w:pPr>
  </w:style>
  <w:style w:type="paragraph" w:customStyle="1" w:styleId="Bullet0">
    <w:name w:val="Bullet 0"/>
    <w:basedOn w:val="Normal"/>
    <w:rsid w:val="009B7138"/>
    <w:pPr>
      <w:numPr>
        <w:numId w:val="32"/>
      </w:numPr>
    </w:pPr>
  </w:style>
  <w:style w:type="paragraph" w:customStyle="1" w:styleId="Bullet1">
    <w:name w:val="Bullet 1"/>
    <w:basedOn w:val="Normal"/>
    <w:rsid w:val="009B7138"/>
    <w:pPr>
      <w:numPr>
        <w:numId w:val="33"/>
      </w:numPr>
    </w:pPr>
  </w:style>
  <w:style w:type="paragraph" w:customStyle="1" w:styleId="Bullet2">
    <w:name w:val="Bullet 2"/>
    <w:basedOn w:val="Normal"/>
    <w:rsid w:val="009B7138"/>
    <w:pPr>
      <w:numPr>
        <w:numId w:val="34"/>
      </w:numPr>
    </w:pPr>
  </w:style>
  <w:style w:type="paragraph" w:customStyle="1" w:styleId="Bullet3">
    <w:name w:val="Bullet 3"/>
    <w:basedOn w:val="Normal"/>
    <w:rsid w:val="009B7138"/>
    <w:pPr>
      <w:numPr>
        <w:numId w:val="35"/>
      </w:numPr>
    </w:pPr>
  </w:style>
  <w:style w:type="paragraph" w:customStyle="1" w:styleId="Bullet4">
    <w:name w:val="Bullet 4"/>
    <w:basedOn w:val="Normal"/>
    <w:rsid w:val="009B7138"/>
    <w:pPr>
      <w:numPr>
        <w:numId w:val="36"/>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37"/>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BA2B2C"/>
    <w:rPr>
      <w:rFonts w:ascii="Times New Roman" w:eastAsiaTheme="majorEastAsia" w:hAnsi="Times New Roman" w:cs="Times New Roman"/>
      <w:sz w:val="24"/>
      <w:lang w:val="sk-SK"/>
    </w:rPr>
  </w:style>
  <w:style w:type="character" w:customStyle="1" w:styleId="Heading6Char">
    <w:name w:val="Heading 6 Char"/>
    <w:basedOn w:val="DefaultParagraphFont"/>
    <w:link w:val="Heading6"/>
    <w:uiPriority w:val="9"/>
    <w:semiHidden/>
    <w:rsid w:val="00BA2B2C"/>
    <w:rPr>
      <w:rFonts w:ascii="Times New Roman" w:eastAsiaTheme="majorEastAsia" w:hAnsi="Times New Roman" w:cs="Times New Roman"/>
      <w:iCs/>
      <w:sz w:val="24"/>
      <w:lang w:val="sk-SK"/>
    </w:rPr>
  </w:style>
  <w:style w:type="character" w:customStyle="1" w:styleId="Heading7Char">
    <w:name w:val="Heading 7 Char"/>
    <w:basedOn w:val="DefaultParagraphFont"/>
    <w:link w:val="Heading7"/>
    <w:uiPriority w:val="9"/>
    <w:semiHidden/>
    <w:rsid w:val="00BA2B2C"/>
    <w:rPr>
      <w:rFonts w:ascii="Times New Roman" w:eastAsiaTheme="majorEastAsia" w:hAnsi="Times New Roman" w:cs="Times New Roman"/>
      <w:iCs/>
      <w:sz w:val="24"/>
      <w:lang w:val="sk-SK"/>
    </w:rPr>
  </w:style>
  <w:style w:type="paragraph" w:customStyle="1" w:styleId="ManualHeading5">
    <w:name w:val="Manual Heading 5"/>
    <w:basedOn w:val="Normal"/>
    <w:next w:val="Text2"/>
    <w:rsid w:val="00BA2B2C"/>
    <w:pPr>
      <w:keepNext/>
      <w:tabs>
        <w:tab w:val="left" w:pos="1417"/>
      </w:tabs>
      <w:ind w:left="1417" w:hanging="1417"/>
      <w:outlineLvl w:val="4"/>
    </w:pPr>
  </w:style>
  <w:style w:type="paragraph" w:customStyle="1" w:styleId="ManualHeading6">
    <w:name w:val="Manual Heading 6"/>
    <w:basedOn w:val="Normal"/>
    <w:next w:val="Text2"/>
    <w:rsid w:val="00BA2B2C"/>
    <w:pPr>
      <w:keepNext/>
      <w:tabs>
        <w:tab w:val="left" w:pos="1417"/>
      </w:tabs>
      <w:ind w:left="1417" w:hanging="1417"/>
      <w:outlineLvl w:val="5"/>
    </w:pPr>
  </w:style>
  <w:style w:type="paragraph" w:customStyle="1" w:styleId="ManualHeading7">
    <w:name w:val="Manual Heading 7"/>
    <w:basedOn w:val="Normal"/>
    <w:next w:val="Text2"/>
    <w:rsid w:val="00BA2B2C"/>
    <w:pPr>
      <w:keepNext/>
      <w:tabs>
        <w:tab w:val="left" w:pos="1417"/>
      </w:tabs>
      <w:ind w:left="1417" w:hanging="1417"/>
      <w:outlineLvl w:val="6"/>
    </w:pPr>
  </w:style>
  <w:style w:type="paragraph" w:customStyle="1" w:styleId="Text5">
    <w:name w:val="Text 5"/>
    <w:basedOn w:val="Normal"/>
    <w:rsid w:val="00BA2B2C"/>
    <w:pPr>
      <w:ind w:left="3118"/>
    </w:pPr>
  </w:style>
  <w:style w:type="paragraph" w:customStyle="1" w:styleId="Text6">
    <w:name w:val="Text 6"/>
    <w:basedOn w:val="Normal"/>
    <w:rsid w:val="00BA2B2C"/>
    <w:pPr>
      <w:ind w:left="3685"/>
    </w:pPr>
  </w:style>
  <w:style w:type="paragraph" w:customStyle="1" w:styleId="Point5">
    <w:name w:val="Point 5"/>
    <w:basedOn w:val="Normal"/>
    <w:rsid w:val="00BA2B2C"/>
    <w:pPr>
      <w:ind w:left="3685" w:hanging="567"/>
    </w:pPr>
  </w:style>
  <w:style w:type="paragraph" w:customStyle="1" w:styleId="Tiret5">
    <w:name w:val="Tiret 5"/>
    <w:basedOn w:val="Point5"/>
    <w:rsid w:val="00BA2B2C"/>
    <w:pPr>
      <w:numPr>
        <w:numId w:val="41"/>
      </w:numPr>
    </w:pPr>
  </w:style>
  <w:style w:type="paragraph" w:customStyle="1" w:styleId="NumPar5">
    <w:name w:val="NumPar 5"/>
    <w:basedOn w:val="Normal"/>
    <w:next w:val="Text2"/>
    <w:rsid w:val="00BA2B2C"/>
    <w:pPr>
      <w:numPr>
        <w:ilvl w:val="4"/>
        <w:numId w:val="44"/>
      </w:numPr>
    </w:pPr>
  </w:style>
  <w:style w:type="paragraph" w:customStyle="1" w:styleId="NumPar6">
    <w:name w:val="NumPar 6"/>
    <w:basedOn w:val="Normal"/>
    <w:next w:val="Text2"/>
    <w:rsid w:val="00BA2B2C"/>
    <w:pPr>
      <w:numPr>
        <w:ilvl w:val="5"/>
        <w:numId w:val="44"/>
      </w:numPr>
    </w:pPr>
  </w:style>
  <w:style w:type="paragraph" w:customStyle="1" w:styleId="NumPar7">
    <w:name w:val="NumPar 7"/>
    <w:basedOn w:val="Normal"/>
    <w:next w:val="Text2"/>
    <w:rsid w:val="00BA2B2C"/>
    <w:pPr>
      <w:numPr>
        <w:ilvl w:val="6"/>
        <w:numId w:val="44"/>
      </w:numPr>
    </w:pPr>
  </w:style>
  <w:style w:type="paragraph" w:customStyle="1" w:styleId="ManualNumPar5">
    <w:name w:val="Manual NumPar 5"/>
    <w:basedOn w:val="Normal"/>
    <w:next w:val="Text2"/>
    <w:rsid w:val="00BA2B2C"/>
    <w:pPr>
      <w:ind w:left="1417" w:hanging="1417"/>
    </w:pPr>
  </w:style>
  <w:style w:type="paragraph" w:customStyle="1" w:styleId="ManualNumPar6">
    <w:name w:val="Manual NumPar 6"/>
    <w:basedOn w:val="Normal"/>
    <w:next w:val="Text2"/>
    <w:rsid w:val="00BA2B2C"/>
    <w:pPr>
      <w:ind w:left="1417" w:hanging="1417"/>
    </w:pPr>
  </w:style>
  <w:style w:type="paragraph" w:customStyle="1" w:styleId="ManualNumPar7">
    <w:name w:val="Manual NumPar 7"/>
    <w:basedOn w:val="Normal"/>
    <w:next w:val="Text2"/>
    <w:rsid w:val="00BA2B2C"/>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858829">
      <w:bodyDiv w:val="1"/>
      <w:marLeft w:val="0"/>
      <w:marRight w:val="0"/>
      <w:marTop w:val="0"/>
      <w:marBottom w:val="0"/>
      <w:divBdr>
        <w:top w:val="none" w:sz="0" w:space="0" w:color="auto"/>
        <w:left w:val="none" w:sz="0" w:space="0" w:color="auto"/>
        <w:bottom w:val="none" w:sz="0" w:space="0" w:color="auto"/>
        <w:right w:val="none" w:sz="0" w:space="0" w:color="auto"/>
      </w:divBdr>
    </w:div>
    <w:div w:id="733165083">
      <w:bodyDiv w:val="1"/>
      <w:marLeft w:val="0"/>
      <w:marRight w:val="0"/>
      <w:marTop w:val="0"/>
      <w:marBottom w:val="0"/>
      <w:divBdr>
        <w:top w:val="none" w:sz="0" w:space="0" w:color="auto"/>
        <w:left w:val="none" w:sz="0" w:space="0" w:color="auto"/>
        <w:bottom w:val="none" w:sz="0" w:space="0" w:color="auto"/>
        <w:right w:val="none" w:sz="0" w:space="0" w:color="auto"/>
      </w:divBdr>
    </w:div>
    <w:div w:id="171503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bis.org/bcbs/implementation/rcap_thematic.htm" TargetMode="External"/><Relationship Id="rId13" Type="http://schemas.openxmlformats.org/officeDocument/2006/relationships/hyperlink" Target="https://ec.europa.eu/info/publications/sustainable-finance-high-level-expert-group_en" TargetMode="External"/><Relationship Id="rId18" Type="http://schemas.openxmlformats.org/officeDocument/2006/relationships/hyperlink" Target="https://eba.europa.eu/eba-updates-estimates-impact-implementation-basel-iii-and-provides-assessment-its-effect-eu-economy" TargetMode="External"/><Relationship Id="rId26" Type="http://schemas.openxmlformats.org/officeDocument/2006/relationships/hyperlink" Target="https://www.consilium.europa.eu/sk/press/press-releases/2017/07/11/conclusions-non-performing-loans/" TargetMode="External"/><Relationship Id="rId3" Type="http://schemas.openxmlformats.org/officeDocument/2006/relationships/hyperlink" Target="https://www.bis.org/bcbs/publ/d506.htm" TargetMode="External"/><Relationship Id="rId21" Type="http://schemas.openxmlformats.org/officeDocument/2006/relationships/hyperlink" Target="https://www.fsb.org/wp-content/uploads/r_130829b.pdf" TargetMode="External"/><Relationship Id="rId7" Type="http://schemas.openxmlformats.org/officeDocument/2006/relationships/hyperlink" Target="https://www.bankingsupervision.europa.eu/press/pr/date/2020/html/ssm.pr200728_annex~d36d893ca2.en.pdf" TargetMode="External"/><Relationship Id="rId12" Type="http://schemas.openxmlformats.org/officeDocument/2006/relationships/hyperlink" Target="https://eur-lex.europa.eu/legal-content/SK/TXT/?uri=CELEX:52018DC0097" TargetMode="External"/><Relationship Id="rId17" Type="http://schemas.openxmlformats.org/officeDocument/2006/relationships/hyperlink" Target="https://eba.europa.eu/eba-advises-the-european-commission-on-the-implementation-of-the-final-basel-iii-framework" TargetMode="External"/><Relationship Id="rId25" Type="http://schemas.openxmlformats.org/officeDocument/2006/relationships/hyperlink" Target="https://www.consilium.europa.eu/sk/press/press-releases/2017/07/11/conclusions-non-performing-loans/" TargetMode="External"/><Relationship Id="rId2" Type="http://schemas.openxmlformats.org/officeDocument/2006/relationships/hyperlink" Target="https://www.bis.org/publ/bcbs189.htm" TargetMode="External"/><Relationship Id="rId16" Type="http://schemas.openxmlformats.org/officeDocument/2006/relationships/hyperlink" Target="https://ec.europa.eu/info/consultations/finance-2018-basel-3-finalisation_en" TargetMode="External"/><Relationship Id="rId20" Type="http://schemas.openxmlformats.org/officeDocument/2006/relationships/hyperlink" Target="https://www.ecb.europa.eu/pub/financial-stability/macroprudential-bulletin/html/ecb.mpbu202107_1~3292170452.en.html" TargetMode="External"/><Relationship Id="rId1" Type="http://schemas.openxmlformats.org/officeDocument/2006/relationships/hyperlink" Target="https://www.bis.org/bcbs/publ/d462.htm" TargetMode="External"/><Relationship Id="rId6" Type="http://schemas.openxmlformats.org/officeDocument/2006/relationships/hyperlink" Target="https://www.esrb.europa.eu/home/search/coronavirus/html/index.en.html" TargetMode="External"/><Relationship Id="rId11" Type="http://schemas.openxmlformats.org/officeDocument/2006/relationships/hyperlink" Target="https://eur-lex.europa.eu/legal-content/SK/TXT/?uri=COM:2021:550:FIN" TargetMode="External"/><Relationship Id="rId24" Type="http://schemas.openxmlformats.org/officeDocument/2006/relationships/hyperlink" Target="https://eur-lex.europa.eu/legal-content/sk/TXT/?uri=CELEX:52021DC0062" TargetMode="External"/><Relationship Id="rId5" Type="http://schemas.openxmlformats.org/officeDocument/2006/relationships/hyperlink" Target="https://eur-lex.europa.eu/legal-content/SK/TXT/PDF/?uri=CELEX:32020R0873&amp;from=EN" TargetMode="External"/><Relationship Id="rId15" Type="http://schemas.openxmlformats.org/officeDocument/2006/relationships/hyperlink" Target="https://ec.europa.eu/info/law/better-regulation/have-your-say/initiatives/12015-Alignment-EU-rules-on-capital-requirements-to-international-standards-prudential-requirements-and-market-discipline-/public-consultation_sk" TargetMode="External"/><Relationship Id="rId23" Type="http://schemas.openxmlformats.org/officeDocument/2006/relationships/hyperlink" Target="https://www.bis.org/bcbs/publ/d467.pdf" TargetMode="External"/><Relationship Id="rId10" Type="http://schemas.openxmlformats.org/officeDocument/2006/relationships/hyperlink" Target="https://eur-lex.europa.eu/legal-content/SK/TXT/?qid=1588580774040&amp;uri=CELEX:52019DC0640" TargetMode="External"/><Relationship Id="rId19" Type="http://schemas.openxmlformats.org/officeDocument/2006/relationships/hyperlink" Target="https://www.eba.europa.eu/sites/default/documents/files/document_library/Publications/Reports/2020/961423/Basel%20III%20reforms%20-%202019Q4%20update%20and%20Covid%20impact.pdf" TargetMode="External"/><Relationship Id="rId4" Type="http://schemas.openxmlformats.org/officeDocument/2006/relationships/hyperlink" Target="https://ec.europa.eu/info/publications/200428-banking-package-communication_en" TargetMode="External"/><Relationship Id="rId9" Type="http://schemas.openxmlformats.org/officeDocument/2006/relationships/hyperlink" Target="https://ec.europa.eu/commission/presscorner/detail/en/SPEECH_19_6269" TargetMode="External"/><Relationship Id="rId14" Type="http://schemas.openxmlformats.org/officeDocument/2006/relationships/hyperlink" Target="https://www.eba.europa.eu/sites/default/documents/files/document_library/Publications/Reports/2021/1015664/Report%20on%20third%20country%20branches.pdf" TargetMode="External"/><Relationship Id="rId22" Type="http://schemas.openxmlformats.org/officeDocument/2006/relationships/hyperlink" Target="https://www.eba.europa.eu/sites/default/documents/files/documents/10180/2886865/5db69327-7d3f-4e6c-9ac9-fc54430781eb/Policy%20Advice%20on%20Basel%20III%20reforms%20-%20Operational%20Risk.pdf?retry=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214</Pages>
  <Words>82505</Words>
  <Characters>490083</Characters>
  <Application>Microsoft Office Word</Application>
  <DocSecurity>0</DocSecurity>
  <Lines>9801</Lines>
  <Paragraphs>4273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2021-12-21T13:26:00Z</dcterms:created>
  <dcterms:modified xsi:type="dcterms:W3CDTF">2021-12-22T09:38:00Z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Category">
    <vt:lpwstr>COM/PL/ORG</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Green (DQC version 03)</vt:lpwstr>
  </property>
</Properties>
</file>