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408C" w14:textId="53AAA7AA" w:rsidR="00DF010D" w:rsidRPr="005D4B2E" w:rsidRDefault="00175E60" w:rsidP="00175E60">
      <w:pPr>
        <w:pStyle w:val="Pagedecouverture"/>
        <w:rPr>
          <w:noProof/>
        </w:rPr>
      </w:pPr>
      <w:r>
        <w:rPr>
          <w:noProof/>
        </w:rPr>
        <w:pict w14:anchorId="40711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B25D568-AA01-45FE-B8FA-248C368A47F3" style="width:455.25pt;height:355.5pt">
            <v:imagedata r:id="rId15" o:title=""/>
          </v:shape>
        </w:pict>
      </w:r>
    </w:p>
    <w:p w14:paraId="08EEE9FE" w14:textId="77777777" w:rsidR="00DF010D" w:rsidRPr="005D4B2E" w:rsidRDefault="00DF010D" w:rsidP="00DF010D">
      <w:pPr>
        <w:rPr>
          <w:noProof/>
        </w:rPr>
        <w:sectPr w:rsidR="00DF010D" w:rsidRPr="005D4B2E" w:rsidSect="00175E60">
          <w:footerReference w:type="default" r:id="rId16"/>
          <w:pgSz w:w="11907" w:h="16839"/>
          <w:pgMar w:top="1134" w:right="1417" w:bottom="1134" w:left="1417" w:header="709" w:footer="709" w:gutter="0"/>
          <w:pgNumType w:start="0"/>
          <w:cols w:space="720"/>
          <w:docGrid w:linePitch="360"/>
        </w:sectPr>
      </w:pPr>
    </w:p>
    <w:p w14:paraId="5093726A" w14:textId="77777777" w:rsidR="00DF010D" w:rsidRPr="005D4B2E" w:rsidRDefault="00DF010D" w:rsidP="001E75DE">
      <w:pPr>
        <w:pStyle w:val="Exposdesmotifstitre"/>
        <w:rPr>
          <w:noProof/>
        </w:rPr>
      </w:pPr>
      <w:bookmarkStart w:id="0" w:name="_GoBack"/>
      <w:bookmarkEnd w:id="0"/>
      <w:r w:rsidRPr="005D4B2E">
        <w:rPr>
          <w:noProof/>
        </w:rPr>
        <w:lastRenderedPageBreak/>
        <w:t>AIŠKINAMASIS MEMORANDUMAS</w:t>
      </w:r>
    </w:p>
    <w:p w14:paraId="43992EBD" w14:textId="77777777" w:rsidR="005512E6" w:rsidRPr="005D4B2E" w:rsidRDefault="005512E6" w:rsidP="005512E6">
      <w:pPr>
        <w:rPr>
          <w:noProof/>
        </w:rPr>
      </w:pPr>
    </w:p>
    <w:p w14:paraId="66A2E784" w14:textId="30BAA12C" w:rsidR="005512E6" w:rsidRPr="005D4B2E" w:rsidRDefault="00D11D75" w:rsidP="00D11D75">
      <w:pPr>
        <w:pStyle w:val="ManualHeading1"/>
        <w:rPr>
          <w:noProof/>
        </w:rPr>
      </w:pPr>
      <w:r w:rsidRPr="00D11D75">
        <w:t>1.</w:t>
      </w:r>
      <w:r w:rsidRPr="00D11D75">
        <w:tab/>
      </w:r>
      <w:r w:rsidR="005512E6" w:rsidRPr="005D4B2E">
        <w:rPr>
          <w:noProof/>
        </w:rPr>
        <w:t>PASIŪLYMO APLINKYBĖS</w:t>
      </w:r>
    </w:p>
    <w:p w14:paraId="1298B183" w14:textId="77777777" w:rsidR="005512E6" w:rsidRPr="005D4B2E" w:rsidRDefault="005512E6" w:rsidP="005512E6">
      <w:pPr>
        <w:spacing w:before="0" w:after="240" w:line="276" w:lineRule="auto"/>
        <w:rPr>
          <w:noProof/>
        </w:rPr>
      </w:pPr>
      <w:r w:rsidRPr="005D4B2E">
        <w:rPr>
          <w:noProof/>
        </w:rPr>
        <w:t>COVID-19 pandemija sukėlė didžiausią per daugelį dešimtmečių ES ekonomikos nuosmukį</w:t>
      </w:r>
      <w:r w:rsidRPr="005D4B2E">
        <w:rPr>
          <w:rStyle w:val="FootnoteReference"/>
          <w:noProof/>
        </w:rPr>
        <w:footnoteReference w:id="2"/>
      </w:r>
      <w:r w:rsidRPr="005D4B2E">
        <w:rPr>
          <w:noProof/>
        </w:rPr>
        <w:t xml:space="preserve">, kuris paskatino greitą ir ryžtingą politinį atsaką tiek nacionaliniu, tiek ES lygmenimis. Visos valstybės narės, be savų automatinių stabilizavimo priemonių, priėmė išimtines diskrecines priemones, kad paremtų ekonominę veiklą ir sušvelnintų socialinį poveikį. </w:t>
      </w:r>
    </w:p>
    <w:p w14:paraId="06DE9A0D" w14:textId="77777777" w:rsidR="005512E6" w:rsidRPr="005D4B2E" w:rsidRDefault="005512E6" w:rsidP="005512E6">
      <w:pPr>
        <w:spacing w:before="0" w:after="240" w:line="276" w:lineRule="auto"/>
        <w:rPr>
          <w:noProof/>
        </w:rPr>
      </w:pPr>
      <w:r w:rsidRPr="005D4B2E">
        <w:rPr>
          <w:noProof/>
        </w:rPr>
        <w:t>ES taip pat ėmėsi precedento neturinčių veiksmų krizei įveikti. ES daugiametė finansinė programa ir Europos Sąjungos ekonomikos gaivinimo priemonė („NextGenerationEU“), kurioms iš viso numatyta 1,8 trln. EUR 2018 m. kainomis, yra didžiausias iš ES biudžeto kada nors finansuotas paskatų paketas. 2020 m. gruodžio 14 d. Taryba, remiant Europos Parlamentui, oficialiai patvirtino priemonę „NextGenerationEU“</w:t>
      </w:r>
      <w:r w:rsidRPr="005D4B2E">
        <w:rPr>
          <w:rStyle w:val="FootnoteReference"/>
          <w:noProof/>
        </w:rPr>
        <w:footnoteReference w:id="3"/>
      </w:r>
      <w:r w:rsidRPr="005D4B2E">
        <w:rPr>
          <w:noProof/>
        </w:rPr>
        <w:t>: pagal ją kapitalo rinkose bus surinkta 750 mlrd. EUR (2018 m. kainomis) suma, skirta konkretiems ekonomikos gaivinimo ir atsparumo didinimo veiksmams per ribotą laikotarpį finansuoti, kad būtų skatinamas ekonomikos augimas ir investuojama į atsparumą ir žalesnę bei skaitmeninę ateitį.</w:t>
      </w:r>
    </w:p>
    <w:p w14:paraId="24C8A5B0" w14:textId="77777777" w:rsidR="005512E6" w:rsidRPr="005D4B2E" w:rsidRDefault="005512E6" w:rsidP="005512E6">
      <w:pPr>
        <w:spacing w:before="0" w:after="240" w:line="276" w:lineRule="auto"/>
        <w:rPr>
          <w:noProof/>
        </w:rPr>
      </w:pPr>
      <w:r w:rsidRPr="005D4B2E">
        <w:rPr>
          <w:noProof/>
        </w:rPr>
        <w:t>Reikia pakankamai pajamų, kad būtų galima padengti pagal priemonę „NextGenerationEU“ pasiskolintų lėšų, kurių grąžinimas paskirstytas per tris dešimtmečius, finansavimo išlaidas. Pagrindinę sumą būtų galima pradėti grąžinti iki 2021–2027 m. daugiametės finansinės programos pabaigos, jei palūkanų mokėjimams nepanaudotos sumos bus mažesnės, nei planuota, ir jei bus nustatyti nauji nuosavi ištekliai</w:t>
      </w:r>
      <w:r w:rsidRPr="005D4B2E">
        <w:rPr>
          <w:rStyle w:val="FootnoteReference"/>
          <w:rFonts w:eastAsiaTheme="minorEastAsia"/>
          <w:noProof/>
        </w:rPr>
        <w:footnoteReference w:id="4"/>
      </w:r>
      <w:r w:rsidRPr="005D4B2E">
        <w:rPr>
          <w:noProof/>
        </w:rPr>
        <w:t>, ir ją reikia visą sugrąžinti iki 2058 m. pabaigos</w:t>
      </w:r>
      <w:r w:rsidRPr="005D4B2E">
        <w:rPr>
          <w:rStyle w:val="FootnoteReference"/>
          <w:noProof/>
        </w:rPr>
        <w:footnoteReference w:id="5"/>
      </w:r>
      <w:r w:rsidRPr="005D4B2E">
        <w:rPr>
          <w:noProof/>
        </w:rPr>
        <w:t xml:space="preserve">. </w:t>
      </w:r>
    </w:p>
    <w:p w14:paraId="408916EC" w14:textId="77777777" w:rsidR="005512E6" w:rsidRPr="005D4B2E" w:rsidRDefault="005512E6" w:rsidP="005512E6">
      <w:pPr>
        <w:spacing w:before="0" w:after="240" w:line="276" w:lineRule="auto"/>
        <w:rPr>
          <w:noProof/>
        </w:rPr>
      </w:pPr>
      <w:r w:rsidRPr="005D4B2E">
        <w:rPr>
          <w:noProof/>
        </w:rPr>
        <w:t>2020 m. gruodžio 16 d. Tarpinstituciniame susitarime</w:t>
      </w:r>
      <w:r w:rsidRPr="005D4B2E">
        <w:rPr>
          <w:rStyle w:val="FootnoteReference"/>
          <w:noProof/>
        </w:rPr>
        <w:footnoteReference w:id="6"/>
      </w:r>
      <w:r w:rsidRPr="005D4B2E">
        <w:rPr>
          <w:noProof/>
        </w:rPr>
        <w:t xml:space="preserve"> Europos Parlamentas, Taryba ir Komisija pareiškė, kad su Europos Sąjungos ekonomikos gaivinimo priemonės lėšų grąžinimu susijusios Sąjungos biudžeto išlaidos neturėtų sąlygoti nepagrįsto programų išlaidų arba investicinių priemonių pagal daugiametę finansinę programą sumažinimo. Pagal šį tarpinstitucinį susitarimą taip pat pageidautina sušvelninti valstybėms narėms nustatytų BNP pagrįstų nuosavų išteklių padidėjimą. Trys institucijos susitarė, kad jos </w:t>
      </w:r>
      <w:r w:rsidRPr="005D4B2E">
        <w:rPr>
          <w:i/>
          <w:noProof/>
        </w:rPr>
        <w:t>„stengsis nustatyti pakankamus naujus nuosavus išteklius, kad būtų padengta suma, atitinkanti numatomas išlaidas, susijusias su grąžinimu.“</w:t>
      </w:r>
      <w:r w:rsidRPr="005D4B2E">
        <w:rPr>
          <w:rStyle w:val="FootnoteReference"/>
          <w:i/>
          <w:noProof/>
        </w:rPr>
        <w:footnoteReference w:id="7"/>
      </w:r>
      <w:r w:rsidRPr="005D4B2E">
        <w:rPr>
          <w:noProof/>
        </w:rPr>
        <w:t xml:space="preserve"> Komisija įsipareigojo 2021 m. pasiūlyti naujų nuosavų išteklių, kad jie būtų nustatyti vėliausiai 2023 m. sausio 1 d.</w:t>
      </w:r>
      <w:r w:rsidRPr="005D4B2E">
        <w:rPr>
          <w:rStyle w:val="FootnoteReference"/>
          <w:noProof/>
        </w:rPr>
        <w:footnoteReference w:id="8"/>
      </w:r>
      <w:r w:rsidRPr="005D4B2E">
        <w:rPr>
          <w:noProof/>
        </w:rPr>
        <w:t xml:space="preserve"> </w:t>
      </w:r>
    </w:p>
    <w:p w14:paraId="6641283C" w14:textId="557626C8" w:rsidR="005512E6" w:rsidRPr="005D4B2E" w:rsidRDefault="00D11D75" w:rsidP="00D11D75">
      <w:pPr>
        <w:pStyle w:val="ManualHeading1"/>
        <w:rPr>
          <w:i/>
          <w:noProof/>
        </w:rPr>
      </w:pPr>
      <w:r w:rsidRPr="00D11D75">
        <w:t>2.</w:t>
      </w:r>
      <w:r w:rsidRPr="00D11D75">
        <w:tab/>
      </w:r>
      <w:r w:rsidR="00B227BB" w:rsidRPr="005D4B2E">
        <w:rPr>
          <w:noProof/>
        </w:rPr>
        <w:t>PAKEITIMO PASIŪLYMO APLINKYBĖS</w:t>
      </w:r>
    </w:p>
    <w:p w14:paraId="6CB17117" w14:textId="77777777" w:rsidR="005512E6" w:rsidRPr="005D4B2E" w:rsidRDefault="005512E6" w:rsidP="005512E6">
      <w:pPr>
        <w:spacing w:before="0" w:after="240" w:line="276" w:lineRule="auto"/>
        <w:rPr>
          <w:noProof/>
        </w:rPr>
      </w:pPr>
      <w:r w:rsidRPr="005D4B2E">
        <w:rPr>
          <w:noProof/>
        </w:rPr>
        <w:t>Komisija siūlo nustatyti naujus nuosavus išteklius, kad ES būtų suteikti reikiami ištekliai, visų pirma atsižvelgiant į naujas biudžeto išlaidas, susijusias su pagal priemonę „NextGenerationEU“ pasiskolintų finansavimo lėšų grąžinimu ir su Socialiniu klimato fondu</w:t>
      </w:r>
      <w:r w:rsidRPr="005D4B2E">
        <w:rPr>
          <w:rStyle w:val="FootnoteReference"/>
          <w:noProof/>
        </w:rPr>
        <w:footnoteReference w:id="9"/>
      </w:r>
      <w:r w:rsidRPr="005D4B2E">
        <w:rPr>
          <w:noProof/>
        </w:rPr>
        <w:t xml:space="preserve">. </w:t>
      </w:r>
    </w:p>
    <w:p w14:paraId="6E4C83C0" w14:textId="6153126F" w:rsidR="00F06D0A" w:rsidRPr="005D4B2E" w:rsidRDefault="005512E6" w:rsidP="00C01EFE">
      <w:pPr>
        <w:spacing w:before="0" w:after="240" w:line="276" w:lineRule="auto"/>
        <w:rPr>
          <w:noProof/>
        </w:rPr>
      </w:pPr>
      <w:r w:rsidRPr="005D4B2E">
        <w:rPr>
          <w:noProof/>
        </w:rPr>
        <w:t>Iš dalies pakeistame pasiūlyme nurodoma, kad 25 % didžiosios dalies pajamų, gautų iš aukcionuose parduotinų apyvartinių taršos leidimų, atiteks ES biudžetui. Jame numatytos pajamos iš dabartinės apyvartinių taršos leidimų prekybos sistemos, skirtos stacionariems įrenginiams ir aviacijai, kuriems aukcione būtų parduodami papildomi apyvartiniai taršos leidimai, taip pat numatyta į sistemos taikymo sritį įtraukti jūrų transporto sektorių ir sukurti atskirą kelių transporto ir pastatų prekybos apyvartiniais taršos leidimais sistemą, atsižvelgiant į pasiūlymą iš dalies pakeisti Direktyvą 2003/87/EB</w:t>
      </w:r>
      <w:r w:rsidRPr="005D4B2E">
        <w:rPr>
          <w:rStyle w:val="FootnoteReference"/>
          <w:noProof/>
        </w:rPr>
        <w:footnoteReference w:id="10"/>
      </w:r>
      <w:r w:rsidRPr="005D4B2E">
        <w:rPr>
          <w:noProof/>
        </w:rPr>
        <w:t xml:space="preserve">. </w:t>
      </w:r>
    </w:p>
    <w:p w14:paraId="08675B75" w14:textId="77777777" w:rsidR="00C01EFE" w:rsidRPr="005D4B2E" w:rsidRDefault="00354730" w:rsidP="00C01EFE">
      <w:pPr>
        <w:spacing w:before="0" w:after="240" w:line="276" w:lineRule="auto"/>
        <w:rPr>
          <w:noProof/>
        </w:rPr>
      </w:pPr>
      <w:r w:rsidRPr="005D4B2E">
        <w:rPr>
          <w:noProof/>
        </w:rPr>
        <w:t xml:space="preserve">Apyvartiniai taršos leidimai, kuriuos Europos investicijų bankas parduoda aukcione Inovacijų fondo reikmėms, ir pradinis Modernizavimo fondo įnašas neįtraukiami. Kad poveikis išliktų neutralus, nuosavi ištekliai taip pat apima leidimus, iš esmės skirtus valstybėms narėms parduoti aukcione, kurie, remiantis valstybių narių turima diskrecija, nemokamai perleidžiami elektros energijos sektoriui, naudojami pastangų pasidalijimo sektorių atitikčiai užtikrinti arba Europos investicijų banko parduodami aukcione Modernizavimo fondo reikmėms. </w:t>
      </w:r>
    </w:p>
    <w:p w14:paraId="002C50FA" w14:textId="5A8BA1EC" w:rsidR="004F2948" w:rsidRPr="005D4B2E" w:rsidRDefault="008C6D1B" w:rsidP="004F2948">
      <w:pPr>
        <w:spacing w:before="0" w:after="240" w:line="276" w:lineRule="auto"/>
        <w:rPr>
          <w:noProof/>
        </w:rPr>
      </w:pPr>
      <w:r w:rsidRPr="005D4B2E">
        <w:rPr>
          <w:noProof/>
        </w:rPr>
        <w:t xml:space="preserve">Siekdama atsižvelgti į galimą </w:t>
      </w:r>
      <w:r w:rsidRPr="005D4B2E">
        <w:rPr>
          <w:noProof/>
          <w:color w:val="000000"/>
          <w:bdr w:val="none" w:sz="0" w:space="0" w:color="auto" w:frame="1"/>
          <w14:textOutline w14:w="0" w14:cap="flat" w14:cmpd="sng" w14:algn="ctr">
            <w14:noFill/>
            <w14:prstDash w14:val="solid"/>
            <w14:bevel/>
          </w14:textOutline>
        </w:rPr>
        <w:t>socialinį poveikį, susijusį su apyvartinių taršos leidimų prekybos įvedimu kelių transporto ir pastatų sektoriams</w:t>
      </w:r>
      <w:r w:rsidRPr="005D4B2E">
        <w:rPr>
          <w:noProof/>
        </w:rPr>
        <w:t>, Komisija pateikė pasiūlymą įsteigti Socialinį klimato fondą. Fondas bus naudingas pažeidžiamiems namų ūkiams, labai mažoms įmonėms ir transporto naudotojams. Fondo veiklos laikotarpiu jis bus finansuojamas iš Sąjungos biudžeto nuosavų išteklių, o nuo 2026 m., be kita ko, pajamomis iš apyvartinių taršos leidimų prekybos kelių transporto ir pastatų sektoriuose. Bendras Fondo finansinis paketas 2025–2032 m. laikotarpiu bus 72,2 mlrd. EUR einamosiomis kainomis, o tai iš esmės atitinka sumą, lygią maždaug 25 % numatomų pajamų iš naujos apyvartinių taršos leidimų prekybos sistemos, skirtos pastatų ir kelių transporto sektor</w:t>
      </w:r>
      <w:r w:rsidR="005D4B2E">
        <w:rPr>
          <w:noProof/>
        </w:rPr>
        <w:t>iams 2026–2032 m. laikotarpiu.</w:t>
      </w:r>
    </w:p>
    <w:p w14:paraId="3F2B4682" w14:textId="77777777" w:rsidR="004F2948" w:rsidRPr="005D4B2E" w:rsidRDefault="004F2948" w:rsidP="004F2948">
      <w:pPr>
        <w:spacing w:before="0" w:after="240" w:line="276" w:lineRule="auto"/>
        <w:rPr>
          <w:noProof/>
        </w:rPr>
      </w:pPr>
      <w:r w:rsidRPr="005D4B2E">
        <w:rPr>
          <w:noProof/>
        </w:rPr>
        <w:t>Siekiant sušvelninti prekybos apyvartiniais taršos leidimais pagrįstų nuosavų išteklių regresinį pasiskirstymo poveikį, siūlomas laikinas solidarumo koregavimo mechanizmas, nustatant didžiausią įnašą mažesnes pajamas gaunančioms ir daug anglies dioksido išskiriančioms valstybėms narėms ir mažiausią įnašą paprastai didesnes pajamas gaunančioms ir mažo anglies dioksido kiekio valstybėms narėms. Taip bus išvengta to, kad perėjimo prie tvaresnės ekonomikos ir visuomenės laikotarpiu kai kurių valstybių narių įnašas į ES biudžetą būtų neproporcingas, palyginti su jų ekonomikos dydžiu, ir bus užtikrintas teisingas visų indėlis.</w:t>
      </w:r>
    </w:p>
    <w:p w14:paraId="7A3CD233" w14:textId="77777777" w:rsidR="009C42DC" w:rsidRPr="005D4B2E" w:rsidRDefault="005512E6" w:rsidP="00E57F65">
      <w:pPr>
        <w:spacing w:before="0" w:after="240" w:line="276" w:lineRule="auto"/>
        <w:rPr>
          <w:noProof/>
        </w:rPr>
      </w:pPr>
      <w:r w:rsidRPr="005D4B2E">
        <w:rPr>
          <w:noProof/>
        </w:rPr>
        <w:t xml:space="preserve">Šiuo pasiūlymu nustatoma, kad dalis pajamų, gautų pardavus pasienio anglies dioksido korekcinio mechanizmo sertifikatus, bus pervedama į ES biudžetą kaip nuosavi ištekliai nacionalinių įnašų pavidalu. </w:t>
      </w:r>
    </w:p>
    <w:p w14:paraId="0A58E91D" w14:textId="77777777" w:rsidR="009649E2" w:rsidRPr="005D4B2E" w:rsidRDefault="008C6D1B" w:rsidP="00E57F65">
      <w:pPr>
        <w:spacing w:before="0" w:after="240" w:line="276" w:lineRule="auto"/>
        <w:rPr>
          <w:noProof/>
        </w:rPr>
      </w:pPr>
      <w:r w:rsidRPr="005D4B2E">
        <w:rPr>
          <w:noProof/>
        </w:rPr>
        <w:t>Galiausiai šiame pasiūlyme numatyta, kad valstybės narės skirs nacionalinį įnašą į ES biudžetą, remdamosi didžiausių ir pelningiausių tarptautinių įmonių likutinio pelno dalimi, perskirstyta valstybėms narėms, jei jos yra galutiniai jurisdikciją turintys rinkos subjektai, kuriuose prekės ar paslaugos naudojamos arba vartojamos pagal EBPO ir G20 kovos su mokesčių bazės erozija ir pelno perkėlimu įtraukios sistemos susitarimą</w:t>
      </w:r>
      <w:r w:rsidRPr="005D4B2E">
        <w:rPr>
          <w:rStyle w:val="FootnoteReference"/>
          <w:noProof/>
        </w:rPr>
        <w:footnoteReference w:id="11"/>
      </w:r>
      <w:r w:rsidRPr="005D4B2E">
        <w:rPr>
          <w:noProof/>
        </w:rPr>
        <w:t>, skirtą tarptautinės mokesčių sistemos reformai. Nors darbas dėl daugiašalės konvencijos tebevyksta tarptautiniu lygmeniu, Komisija paskelbė 2022 m. pateiksianti pasiūlymą dėl Tarybos direktyvos, kuria būtų užtikrintas nuoseklus daugiašalės konvencijos dėl dalinio apmokestinimo teisių perskirstymo įgyvendinimas.</w:t>
      </w:r>
      <w:r w:rsidRPr="005D4B2E">
        <w:rPr>
          <w:noProof/>
          <w:color w:val="1F497D"/>
        </w:rPr>
        <w:t xml:space="preserve"> </w:t>
      </w:r>
    </w:p>
    <w:p w14:paraId="0FF3B74F" w14:textId="4658BDCC" w:rsidR="005512E6" w:rsidRPr="005D4B2E" w:rsidRDefault="00D11D75" w:rsidP="00D11D75">
      <w:pPr>
        <w:pStyle w:val="ManualHeading1"/>
        <w:rPr>
          <w:noProof/>
        </w:rPr>
      </w:pPr>
      <w:r w:rsidRPr="00D11D75">
        <w:t>3.</w:t>
      </w:r>
      <w:r w:rsidRPr="00D11D75">
        <w:tab/>
      </w:r>
      <w:r w:rsidR="005512E6" w:rsidRPr="005D4B2E">
        <w:rPr>
          <w:noProof/>
        </w:rPr>
        <w:t>TEISINĖ SISTEMA</w:t>
      </w:r>
    </w:p>
    <w:p w14:paraId="13CC06E7" w14:textId="669A3E66" w:rsidR="005512E6" w:rsidRPr="005D4B2E" w:rsidRDefault="00D11D75" w:rsidP="00D11D75">
      <w:pPr>
        <w:pStyle w:val="ManualHeading2"/>
        <w:rPr>
          <w:noProof/>
        </w:rPr>
      </w:pPr>
      <w:r w:rsidRPr="00D11D75">
        <w:t>3.1.</w:t>
      </w:r>
      <w:r w:rsidRPr="00D11D75">
        <w:tab/>
      </w:r>
      <w:r w:rsidR="003C2240" w:rsidRPr="005D4B2E">
        <w:rPr>
          <w:noProof/>
        </w:rPr>
        <w:t xml:space="preserve">Sprendimas dėl nuosavų išteklių </w:t>
      </w:r>
    </w:p>
    <w:p w14:paraId="15317E0C" w14:textId="77777777" w:rsidR="005512E6" w:rsidRPr="005D4B2E" w:rsidRDefault="005512E6" w:rsidP="005512E6">
      <w:pPr>
        <w:spacing w:before="0" w:after="240" w:line="276" w:lineRule="auto"/>
        <w:rPr>
          <w:noProof/>
        </w:rPr>
      </w:pPr>
      <w:r w:rsidRPr="005D4B2E">
        <w:rPr>
          <w:noProof/>
        </w:rPr>
        <w:t>Pagal Sutarties dėl Europos Sąjungos veikimo 311 straipsnio 3 dalį Taryba, pasikonsultavusi su Europos Parlamentu, gali „nustatyti naujas nuosavų išteklių kategorijas arba panaikinti esamą kategoriją“. Šia nuostata aiškiai leidžiama iš dalies pakeisti Sprendimą dėl nuosavų išteklių, kad būtų pridėti nauji nuosavi ištekliai, kaip susitarta Tarpinstituciniame susitarime.</w:t>
      </w:r>
    </w:p>
    <w:p w14:paraId="26BD59B1" w14:textId="38ECB8B6" w:rsidR="005512E6" w:rsidRPr="005D4B2E" w:rsidRDefault="005512E6" w:rsidP="005512E6">
      <w:pPr>
        <w:spacing w:before="0" w:after="240" w:line="276" w:lineRule="auto"/>
        <w:rPr>
          <w:noProof/>
        </w:rPr>
      </w:pPr>
      <w:r w:rsidRPr="005D4B2E">
        <w:rPr>
          <w:noProof/>
        </w:rPr>
        <w:t>Pagal specialią teisėkūros procedūrą, nustatytą Sutarties dėl Europos Sąjungos veikimo 311 straipsnio 3 dalyje, Taryba, pasikonsultavusi su Europos Parlamentu, vieningai priima patikslintą sprendimą. Sprendimas įsigalios, kai jį pagal savo konstitucinius reikalavi</w:t>
      </w:r>
      <w:r w:rsidR="005D4B2E">
        <w:rPr>
          <w:noProof/>
        </w:rPr>
        <w:t>mus patvirtins valstybės narės.</w:t>
      </w:r>
    </w:p>
    <w:p w14:paraId="4926B224" w14:textId="6860DA0E" w:rsidR="005512E6" w:rsidRPr="005D4B2E" w:rsidRDefault="00D11D75" w:rsidP="00D11D75">
      <w:pPr>
        <w:pStyle w:val="ManualHeading2"/>
        <w:rPr>
          <w:noProof/>
        </w:rPr>
      </w:pPr>
      <w:r w:rsidRPr="00D11D75">
        <w:t>3.2.</w:t>
      </w:r>
      <w:r w:rsidRPr="00D11D75">
        <w:tab/>
      </w:r>
      <w:r w:rsidR="005512E6" w:rsidRPr="005D4B2E">
        <w:rPr>
          <w:noProof/>
        </w:rPr>
        <w:t>Įgyvendinimo teisės aktai</w:t>
      </w:r>
    </w:p>
    <w:p w14:paraId="6C8CFCEC" w14:textId="5336DDB0" w:rsidR="0067523E" w:rsidRPr="005D4B2E" w:rsidRDefault="005512E6" w:rsidP="00244826">
      <w:pPr>
        <w:spacing w:before="0" w:after="240" w:line="276" w:lineRule="auto"/>
        <w:rPr>
          <w:noProof/>
          <w:color w:val="008000"/>
        </w:rPr>
      </w:pPr>
      <w:r w:rsidRPr="005D4B2E">
        <w:rPr>
          <w:noProof/>
        </w:rPr>
        <w:t>Tuo pat metu Taryba turi iš dalies pakeisti įgyvendinimo priemones, susijusias su nuosavų išteklių sistema, siekdama užtikrinti, kad jos ir toliau atitiktų savo paskirtį. Be to, reikia naujų nuostatų dėl visų naujų nuosavų išteklių teikimo. Komisija reikiamus pasiūlymus p</w:t>
      </w:r>
      <w:r w:rsidR="005D4B2E">
        <w:rPr>
          <w:noProof/>
        </w:rPr>
        <w:t>ateiks 2022 m. pirmąjį pusmetį.</w:t>
      </w:r>
    </w:p>
    <w:p w14:paraId="77CFCE83" w14:textId="77777777" w:rsidR="0067523E" w:rsidRPr="005D4B2E" w:rsidRDefault="0067523E">
      <w:pPr>
        <w:spacing w:before="0" w:after="200" w:line="276" w:lineRule="auto"/>
        <w:jc w:val="left"/>
        <w:rPr>
          <w:noProof/>
          <w:color w:val="008000"/>
        </w:rPr>
      </w:pPr>
      <w:r w:rsidRPr="005D4B2E">
        <w:rPr>
          <w:noProof/>
        </w:rPr>
        <w:br w:type="page"/>
      </w:r>
    </w:p>
    <w:p w14:paraId="2E226E79" w14:textId="494AAF0C" w:rsidR="00037F20" w:rsidRDefault="00037F20" w:rsidP="00037F20">
      <w:pPr>
        <w:pStyle w:val="Rfrenceinterinstitutionnelle"/>
        <w:rPr>
          <w:noProof/>
        </w:rPr>
      </w:pPr>
      <w:r w:rsidRPr="00037F20">
        <w:t>2021/0430 (CNS)</w:t>
      </w:r>
    </w:p>
    <w:p w14:paraId="7A325D44" w14:textId="26A8A082" w:rsidR="00DF010D" w:rsidRPr="005D4B2E" w:rsidRDefault="005D4B2E" w:rsidP="005D4B2E">
      <w:pPr>
        <w:pStyle w:val="Statut"/>
        <w:rPr>
          <w:noProof/>
        </w:rPr>
      </w:pPr>
      <w:r w:rsidRPr="005D4B2E">
        <w:rPr>
          <w:noProof/>
        </w:rPr>
        <w:t>Pasiūlymas</w:t>
      </w:r>
    </w:p>
    <w:p w14:paraId="7930E645" w14:textId="7DC8EB40" w:rsidR="00DF010D" w:rsidRPr="005D4B2E" w:rsidRDefault="005D4B2E" w:rsidP="005D4B2E">
      <w:pPr>
        <w:pStyle w:val="Typedudocument"/>
        <w:rPr>
          <w:noProof/>
        </w:rPr>
      </w:pPr>
      <w:r w:rsidRPr="005D4B2E">
        <w:rPr>
          <w:noProof/>
        </w:rPr>
        <w:t>TARYBOS SPRENDIMAS</w:t>
      </w:r>
    </w:p>
    <w:p w14:paraId="63FEECE9" w14:textId="3BC59D66" w:rsidR="00DF010D" w:rsidRPr="005D4B2E" w:rsidRDefault="005D4B2E" w:rsidP="005D4B2E">
      <w:pPr>
        <w:pStyle w:val="Titreobjet"/>
        <w:rPr>
          <w:noProof/>
        </w:rPr>
      </w:pPr>
      <w:r w:rsidRPr="005D4B2E">
        <w:rPr>
          <w:noProof/>
        </w:rPr>
        <w:t>kuriuo iš dalies keičiamas Sprendimas (ES, Euratomas) 2020/2053 dėl Europos Sąjungos nuosavų išteklių sistemos</w:t>
      </w:r>
    </w:p>
    <w:p w14:paraId="45D38C9F" w14:textId="77777777" w:rsidR="00DF010D" w:rsidRPr="005D4B2E" w:rsidRDefault="00DF010D" w:rsidP="001E75DE">
      <w:pPr>
        <w:pStyle w:val="Institutionquiagit"/>
        <w:rPr>
          <w:noProof/>
        </w:rPr>
      </w:pPr>
      <w:r w:rsidRPr="005D4B2E">
        <w:rPr>
          <w:noProof/>
        </w:rPr>
        <w:t>EUROPOS SĄJUNGOS TARYBA,</w:t>
      </w:r>
    </w:p>
    <w:p w14:paraId="5FC691C4" w14:textId="77777777" w:rsidR="00DF010D" w:rsidRPr="005D4B2E" w:rsidRDefault="00DF010D" w:rsidP="001E75DE">
      <w:pPr>
        <w:rPr>
          <w:noProof/>
        </w:rPr>
      </w:pPr>
      <w:r w:rsidRPr="005D4B2E">
        <w:rPr>
          <w:noProof/>
        </w:rPr>
        <w:t>atsižvelgdama į Sutartį dėl Europos Sąjungos veikimo, ypač į jos 311 straipsnio trečią pastraipą,</w:t>
      </w:r>
    </w:p>
    <w:p w14:paraId="5FD2FC85" w14:textId="77777777" w:rsidR="00DF010D" w:rsidRPr="005D4B2E" w:rsidRDefault="00DF010D" w:rsidP="00DF010D">
      <w:pPr>
        <w:rPr>
          <w:noProof/>
        </w:rPr>
      </w:pPr>
      <w:r w:rsidRPr="005D4B2E">
        <w:rPr>
          <w:noProof/>
        </w:rPr>
        <w:t>atsižvelgdama į Europos atominės energijos bendrijos steigimo sutartį, ypač į jos 106a straipsnį,</w:t>
      </w:r>
    </w:p>
    <w:p w14:paraId="3C2E5EDF" w14:textId="77777777" w:rsidR="00DF010D" w:rsidRPr="005D4B2E" w:rsidRDefault="00DF010D" w:rsidP="001E75DE">
      <w:pPr>
        <w:rPr>
          <w:noProof/>
        </w:rPr>
      </w:pPr>
      <w:r w:rsidRPr="005D4B2E">
        <w:rPr>
          <w:noProof/>
        </w:rPr>
        <w:t>atsižvelgdama į Europos Komisijos pasiūlymą,</w:t>
      </w:r>
    </w:p>
    <w:p w14:paraId="59FA61B5" w14:textId="77777777" w:rsidR="00DF010D" w:rsidRPr="005D4B2E" w:rsidRDefault="00DF010D" w:rsidP="001E75DE">
      <w:pPr>
        <w:rPr>
          <w:noProof/>
        </w:rPr>
      </w:pPr>
      <w:r w:rsidRPr="005D4B2E">
        <w:rPr>
          <w:noProof/>
        </w:rPr>
        <w:t xml:space="preserve">teisėkūros procedūra priimamo akto projektą perdavus nacionaliniams parlamentams, </w:t>
      </w:r>
    </w:p>
    <w:p w14:paraId="75834EA4" w14:textId="77777777" w:rsidR="00DF010D" w:rsidRPr="005D4B2E" w:rsidRDefault="00DF010D" w:rsidP="001E75DE">
      <w:pPr>
        <w:rPr>
          <w:noProof/>
        </w:rPr>
      </w:pPr>
      <w:r w:rsidRPr="005D4B2E">
        <w:rPr>
          <w:noProof/>
        </w:rPr>
        <w:t xml:space="preserve">atsižvelgdama į Europos Parlamento nuomonę, </w:t>
      </w:r>
    </w:p>
    <w:p w14:paraId="496CED60" w14:textId="77777777" w:rsidR="00DF010D" w:rsidRPr="005D4B2E" w:rsidRDefault="00DF010D" w:rsidP="001E75DE">
      <w:pPr>
        <w:rPr>
          <w:noProof/>
        </w:rPr>
      </w:pPr>
      <w:r w:rsidRPr="005D4B2E">
        <w:rPr>
          <w:noProof/>
        </w:rPr>
        <w:t xml:space="preserve">laikydamasi specialios teisėkūros procedūros, </w:t>
      </w:r>
    </w:p>
    <w:p w14:paraId="72DB6931" w14:textId="77777777" w:rsidR="00DF010D" w:rsidRPr="005D4B2E" w:rsidRDefault="00DF010D" w:rsidP="001E75DE">
      <w:pPr>
        <w:rPr>
          <w:noProof/>
        </w:rPr>
      </w:pPr>
      <w:r w:rsidRPr="005D4B2E">
        <w:rPr>
          <w:noProof/>
        </w:rPr>
        <w:t>kadangi:</w:t>
      </w:r>
    </w:p>
    <w:p w14:paraId="665F7D87" w14:textId="712660EA" w:rsidR="00D52764" w:rsidRPr="005D4B2E" w:rsidRDefault="00D11D75" w:rsidP="00D11D75">
      <w:pPr>
        <w:pStyle w:val="ManualConsidrant"/>
        <w:rPr>
          <w:noProof/>
        </w:rPr>
      </w:pPr>
      <w:r w:rsidRPr="00D11D75">
        <w:t>(1)</w:t>
      </w:r>
      <w:r w:rsidRPr="00D11D75">
        <w:tab/>
      </w:r>
      <w:r w:rsidR="002E0F14" w:rsidRPr="005D4B2E">
        <w:rPr>
          <w:noProof/>
        </w:rPr>
        <w:t>pagal Tarybos reglamentu (ES) 2020/2094</w:t>
      </w:r>
      <w:r w:rsidR="002E0F14" w:rsidRPr="005D4B2E">
        <w:rPr>
          <w:rStyle w:val="FootnoteReference"/>
          <w:noProof/>
        </w:rPr>
        <w:footnoteReference w:id="12"/>
      </w:r>
      <w:r w:rsidR="002E0F14" w:rsidRPr="005D4B2E">
        <w:rPr>
          <w:noProof/>
        </w:rPr>
        <w:t xml:space="preserve"> nustatytą priemonę „NextGenerationEU“ finansų rinkose kaip laikina ekonomikos gaivinimo priemonė bus surinkta 750 mlrd. EUR (2018 m. kainomis) suma, skirta tvariam ir atspariam atsigavimui visoje Sąjungoje užtikrinti ir palankesnėms sąlygoms ekonominės paramos įgyvendinimui sudaryti išskirtinėmis COVID-19 pandemijos sukeltomis aplinkybėmis, taip pat žaliajai ir skaitmeninei pertvarkai skatinti; </w:t>
      </w:r>
    </w:p>
    <w:p w14:paraId="785F8047" w14:textId="2BDA4F71" w:rsidR="00A8715F" w:rsidRPr="005D4B2E" w:rsidRDefault="00D11D75" w:rsidP="00D11D75">
      <w:pPr>
        <w:pStyle w:val="ManualConsidrant"/>
        <w:rPr>
          <w:noProof/>
        </w:rPr>
      </w:pPr>
      <w:r w:rsidRPr="00D11D75">
        <w:t>(2)</w:t>
      </w:r>
      <w:r w:rsidRPr="00D11D75">
        <w:tab/>
      </w:r>
      <w:r w:rsidR="007E5E75" w:rsidRPr="005D4B2E">
        <w:rPr>
          <w:noProof/>
        </w:rPr>
        <w:t>tokių lėšų, panaudotinų išlaidoms pagal Europos Sąjungos ekonomikos gaivinimo priemonę, pagrindinės sumos grąžinimas ir susijusios mokėtinos palūkanos turės būti finansuojamos iš Sąjungos bendrojo biudžeto, be kita ko, naudojant pakankamas pajamas iš naujų nuosavų išteklių, nustatytų po 2021 m. 2020 m. gruodžio 16 d. Tarpinstituciniame susitarime</w:t>
      </w:r>
      <w:r w:rsidR="007E5E75" w:rsidRPr="005D4B2E">
        <w:rPr>
          <w:rStyle w:val="FootnoteReference"/>
          <w:noProof/>
        </w:rPr>
        <w:footnoteReference w:id="13"/>
      </w:r>
      <w:r w:rsidR="007E5E75" w:rsidRPr="005D4B2E">
        <w:rPr>
          <w:noProof/>
        </w:rPr>
        <w:t xml:space="preserve"> Europos Parlamentas, Taryba ir Komisija pripažino Europos Sąjungos ekonomikos gaivinimo priemonės konteksto svarbą ir tai, kad „[s]u Europos Sąjungos ekonomikos gaivinimo priemonės lėšų grąžinimu susijusios Sąjungos biudžeto išlaidos neturėtų sąlygoti nepagrįsto programų išlaidų arba investicinių priemonių pagal DFP sumažinimo“. Tarpinstituciniame susitarime taip pat pareikšta, kad „[t]aip pat pageidautina sušvelninti valstybėms narėms nustatytų BNP pagrįstų nuosavų išteklių padidėjimą“; </w:t>
      </w:r>
    </w:p>
    <w:p w14:paraId="02C914A4" w14:textId="43624412" w:rsidR="00E8330A" w:rsidRPr="005D4B2E" w:rsidRDefault="00D11D75" w:rsidP="00D11D75">
      <w:pPr>
        <w:pStyle w:val="ManualConsidrant"/>
        <w:rPr>
          <w:noProof/>
        </w:rPr>
      </w:pPr>
      <w:r w:rsidRPr="00D11D75">
        <w:t>(3)</w:t>
      </w:r>
      <w:r w:rsidRPr="00D11D75">
        <w:tab/>
      </w:r>
      <w:r w:rsidR="008D19FE" w:rsidRPr="005D4B2E">
        <w:rPr>
          <w:noProof/>
        </w:rPr>
        <w:t>Europos Parlamento ir Tarybos direktyva 2003/87/EB</w:t>
      </w:r>
      <w:r w:rsidR="008D19FE" w:rsidRPr="005D4B2E">
        <w:rPr>
          <w:rStyle w:val="FootnoteReference"/>
          <w:noProof/>
        </w:rPr>
        <w:footnoteReference w:id="14"/>
      </w:r>
      <w:r w:rsidR="008D19FE" w:rsidRPr="005D4B2E">
        <w:rPr>
          <w:noProof/>
        </w:rPr>
        <w:t xml:space="preserve"> nustatyta ES apyvartinių taršos leidimų prekybos sistema yra pagrindinė Sąjungos klimato politikos dalis. Atsižvelgiant į tai, kad prekyba apyvartiniais taršos leidimais yra glaudžiai susijusi su Sąjungos klimato politikos tikslais, tikslinga atitinkamų pajamų dalį skirti Sąjungos biudžetui;</w:t>
      </w:r>
    </w:p>
    <w:p w14:paraId="772979F8" w14:textId="6A185ADA" w:rsidR="000D3F76" w:rsidRPr="005D4B2E" w:rsidRDefault="00D11D75" w:rsidP="00D11D75">
      <w:pPr>
        <w:pStyle w:val="ManualConsidrant"/>
        <w:rPr>
          <w:noProof/>
        </w:rPr>
      </w:pPr>
      <w:r w:rsidRPr="00D11D75">
        <w:t>(4)</w:t>
      </w:r>
      <w:r w:rsidRPr="00D11D75">
        <w:tab/>
      </w:r>
      <w:r w:rsidR="0095531D" w:rsidRPr="005D4B2E">
        <w:rPr>
          <w:noProof/>
        </w:rPr>
        <w:t>apyvartinių taršos leidimų prekybos sistema pagrįsti nuosavi ištekliai apima dalį pajamų, gautų aukcionuose pardavus leidimus visuose sektoriuose, kuriems taikoma Direktyva 2003/87/EB. Pagal Direktyvą 2003/87/EB ir Europos Parlamento ir Tarybos reglamentą (ES) 2018/842</w:t>
      </w:r>
      <w:r w:rsidR="0095531D" w:rsidRPr="005D4B2E">
        <w:rPr>
          <w:rStyle w:val="FootnoteReference"/>
          <w:noProof/>
        </w:rPr>
        <w:footnoteReference w:id="15"/>
      </w:r>
      <w:r w:rsidR="0095531D" w:rsidRPr="005D4B2E">
        <w:rPr>
          <w:noProof/>
        </w:rPr>
        <w:t xml:space="preserve"> valstybės narės gali nuspręsti aukcione neparduoti dalies pagal Direktyvą 2003/87/EB nurodyto bendro apyvartinių taršos leidimų kiekio arba ją perleisti ir aukcione parduoti ta direktyva įsteigto Modernizavimo fondo reikmėms. Šie leidimai taip pat turėtų būti naudojami apskaičiuojant apyvartinių taršos leidimų prekybos sistema pagrįstų nuosavų išteklių sumą. Tikslinga neįtraukti apyvartinių taršos leidimų, skirtų pradiniam Modernizavimo fondo įnašui, ir Inovacijų fondui skirtų leidimų; </w:t>
      </w:r>
    </w:p>
    <w:p w14:paraId="0D390740" w14:textId="5062670E" w:rsidR="00353FD6" w:rsidRPr="005D4B2E" w:rsidRDefault="00D11D75" w:rsidP="00D11D75">
      <w:pPr>
        <w:pStyle w:val="ManualConsidrant"/>
        <w:rPr>
          <w:noProof/>
        </w:rPr>
      </w:pPr>
      <w:r w:rsidRPr="00D11D75">
        <w:t>(5)</w:t>
      </w:r>
      <w:r w:rsidRPr="00D11D75">
        <w:tab/>
      </w:r>
      <w:r w:rsidR="004F36D0" w:rsidRPr="005D4B2E">
        <w:rPr>
          <w:noProof/>
        </w:rPr>
        <w:t>siekiant išvengti pernelyg regresyvaus poveikio įnašams iš apyvartinių taršos leidimų prekybos sistemos, turėtų būti nustatytas didžiausias įnašas reikalavimus atitinkančioms valstybėms narėms. 2023–2027 m. laikotarpiu valstybės narės atitinka reikalavimus, jei bendrosios nacionalinės pajamos vienam gyventojui, apskaičiuotos pagal perkamosios galios standartą ir 2020 m. Sąjungos rodiklius, yra mažesnės nei 90 % ES vidurkio. 2028–2030 m. laikotarpiu turėtų būti naudojamos 2025 m. vienam gyventojui tenkančios bendrosios nacionalinės pajamos. Didžiausias įnašas turėtų būti nustatytas lyginant valstybėms narėms tenkančią visų apyvartinių taršos leidimų prekybos sistema pagrįstų nuosavų išteklių dalį su tų valstybių narių dalimi Sąjungos bendrosiose nacionalinėse pajamose. Mažiausias įnašas turėtų būti nustatytas visoms valstybėms narėms, jei joms tenkanti visos apyvartinių taršos leidimų prekybos sistema (ATLPS) pagrįstų nuosavų išteklių sumos dalis yra mažesnė nei 75 % jų dalies Sąjungos bendrosiose nacionalinėse pajamose;</w:t>
      </w:r>
    </w:p>
    <w:p w14:paraId="5FD7D8DF" w14:textId="2F43A01E" w:rsidR="009C42DC" w:rsidRPr="005D4B2E" w:rsidRDefault="00D11D75" w:rsidP="00D11D75">
      <w:pPr>
        <w:pStyle w:val="ManualConsidrant"/>
        <w:rPr>
          <w:noProof/>
        </w:rPr>
      </w:pPr>
      <w:r w:rsidRPr="00D11D75">
        <w:t>(6)</w:t>
      </w:r>
      <w:r w:rsidRPr="00D11D75">
        <w:tab/>
      </w:r>
      <w:r w:rsidR="007A5168" w:rsidRPr="005D4B2E">
        <w:rPr>
          <w:noProof/>
        </w:rPr>
        <w:t>kad būtų papildyta ES apyvartinių taršos leidimų prekybos sistema ir užtikrintas Sąjungos klimato politikos efektyvumas, Europos Parlamento ir Tarybos reglamentu (ES) [XXX]</w:t>
      </w:r>
      <w:r w:rsidR="007A5168" w:rsidRPr="005D4B2E">
        <w:rPr>
          <w:rStyle w:val="FootnoteReference"/>
          <w:noProof/>
        </w:rPr>
        <w:footnoteReference w:id="16"/>
      </w:r>
      <w:r w:rsidR="007A5168" w:rsidRPr="005D4B2E">
        <w:rPr>
          <w:noProof/>
        </w:rPr>
        <w:t xml:space="preserve"> sukurtas pasienio anglies dioksido korekcinis mechanizmas. Atsižvelgiant į glaudų pasienio anglies dioksido korekcinio mechanizmo ryšį su Sąjungos klimato politika, dalis iš sertifikatų pardavimo gautų pajamų turėtų būti pervedama į Sąjungos biudžetą kaip nuosavi ištekliai; </w:t>
      </w:r>
    </w:p>
    <w:p w14:paraId="76A7CCCF" w14:textId="792F8664" w:rsidR="004E5D96" w:rsidRPr="005D4B2E" w:rsidRDefault="00D11D75" w:rsidP="00D11D75">
      <w:pPr>
        <w:pStyle w:val="ManualConsidrant"/>
        <w:rPr>
          <w:noProof/>
        </w:rPr>
      </w:pPr>
      <w:r w:rsidRPr="00D11D75">
        <w:t>(7)</w:t>
      </w:r>
      <w:r w:rsidRPr="00D11D75">
        <w:tab/>
      </w:r>
      <w:r w:rsidR="00D46AFB" w:rsidRPr="005D4B2E">
        <w:rPr>
          <w:noProof/>
        </w:rPr>
        <w:t>2021 m. spalio mėn. pasiektas Ekonominio bendradarbiavimo ir plėtros organizacijos ir G20 mokesčių bazės erozijos ir pelno perkėlimo įtraukios sistemos susitarimas dėl 25 % didelių tarptautinių įmonių likutinio pelno, viršijančio 10 % pelningumo ribą, paskirstymo dalyvaujantiems jurisdikciją turintiems rinkos subjektams (toliau – EBPO ir G20 įtraukios sistemos susitarimas dėl pirmojo ramsčio). Nuosavi ištekliai turėtų būti apskaičiuojami taikant vienodą pareikalavimo tarifą valstybėms narėms [pagal Direktyvą dėl visuotinio susitarimo dėl apmokestinimo teisių perskirstymo įgyvendinimo] perskirtai tarptautinių įmonių likutinio pelno daliai;</w:t>
      </w:r>
      <w:r w:rsidR="00D46AFB" w:rsidRPr="005D4B2E">
        <w:rPr>
          <w:noProof/>
          <w:color w:val="1F497D"/>
        </w:rPr>
        <w:t xml:space="preserve"> </w:t>
      </w:r>
    </w:p>
    <w:p w14:paraId="1E690D53" w14:textId="1A097DE5" w:rsidR="0078484F" w:rsidRPr="005D4B2E" w:rsidRDefault="00D11D75" w:rsidP="00D11D75">
      <w:pPr>
        <w:pStyle w:val="ManualConsidrant"/>
        <w:rPr>
          <w:noProof/>
        </w:rPr>
      </w:pPr>
      <w:r w:rsidRPr="00D11D75">
        <w:t>(8)</w:t>
      </w:r>
      <w:r w:rsidRPr="00D11D75">
        <w:tab/>
      </w:r>
      <w:r w:rsidR="00835E3A" w:rsidRPr="005D4B2E">
        <w:rPr>
          <w:noProof/>
        </w:rPr>
        <w:t xml:space="preserve">nuostatos dėl įnašų iš apyvartinių taršos leidimų pardavimo aukcione pagal dabartinę apyvartinių taršos leidimų prekybos sistemą turėtų būti taikomos nuo 2023 m. sausio 1 d. Iš dalies pakeitus Direktyvą 2003/87/EB, nuostatos dėl apyvartinių taršos leidimų pardavimo aukcione pagal peržiūrėtą apyvartinių taršos leidimų prekybos sistemą turėtų būti taikomos nuo pirmos dienos po paskutinės laikotarpio, per kurį į nacionalinę teisę perkeliamas tas pakeitimas, dienos. Nuostatos dėl įnašo pagal pasienio anglies dioksido korekcinį mechanizmą turėtų būti taikomos nuo reglamento taikymo pradžios dienos. [Nuostatos dėl EBPO ir G20 įtraukios sistemos susitarimo dėl pirmojo ramsčio įsigalioja, pradėjus taikyti Direktyvą dėl visuotinio susitarimo dėl apmokestinimo teisių perskirstymo įgyvendinimo ir įsigaliojus daugiašalei konvencijai,] </w:t>
      </w:r>
    </w:p>
    <w:p w14:paraId="3F30E0D3" w14:textId="77777777" w:rsidR="00DF010D" w:rsidRPr="005D4B2E" w:rsidRDefault="00DF010D" w:rsidP="001E75DE">
      <w:pPr>
        <w:pStyle w:val="Formuledadoption"/>
        <w:rPr>
          <w:noProof/>
        </w:rPr>
      </w:pPr>
      <w:r w:rsidRPr="005D4B2E">
        <w:rPr>
          <w:noProof/>
        </w:rPr>
        <w:t xml:space="preserve">PRIĖMĖ ŠĮ SPRENDIMĄ: </w:t>
      </w:r>
    </w:p>
    <w:p w14:paraId="512DD6EB" w14:textId="77777777" w:rsidR="00DF010D" w:rsidRPr="005D4B2E" w:rsidRDefault="00DF010D" w:rsidP="00156C23">
      <w:pPr>
        <w:pStyle w:val="Titrearticle"/>
        <w:rPr>
          <w:noProof/>
        </w:rPr>
      </w:pPr>
      <w:r w:rsidRPr="005D4B2E">
        <w:rPr>
          <w:noProof/>
        </w:rPr>
        <w:t>1 straipsnis</w:t>
      </w:r>
    </w:p>
    <w:p w14:paraId="669ACE29" w14:textId="77777777" w:rsidR="004C2979" w:rsidRPr="005D4B2E" w:rsidRDefault="004C2979" w:rsidP="004C2979">
      <w:pPr>
        <w:jc w:val="center"/>
        <w:rPr>
          <w:b/>
          <w:noProof/>
        </w:rPr>
      </w:pPr>
      <w:r w:rsidRPr="005D4B2E">
        <w:rPr>
          <w:b/>
          <w:noProof/>
        </w:rPr>
        <w:t>Sprendimo (ES, Euratomas) 2020/2053 daliniai pakeitimai</w:t>
      </w:r>
    </w:p>
    <w:p w14:paraId="5BE3DE19" w14:textId="77777777" w:rsidR="004C2979" w:rsidRPr="005D4B2E" w:rsidRDefault="004C2979" w:rsidP="00C54657">
      <w:pPr>
        <w:rPr>
          <w:noProof/>
        </w:rPr>
      </w:pPr>
    </w:p>
    <w:p w14:paraId="4FCC51CD" w14:textId="77777777" w:rsidR="00174B94" w:rsidRPr="005D4B2E" w:rsidRDefault="00174B94" w:rsidP="00174B94">
      <w:pPr>
        <w:rPr>
          <w:noProof/>
        </w:rPr>
      </w:pPr>
      <w:r w:rsidRPr="005D4B2E">
        <w:rPr>
          <w:noProof/>
        </w:rPr>
        <w:t xml:space="preserve">Sprendimas (ES, Euratomas) 2020/2053 iš dalies keičiamas taip: </w:t>
      </w:r>
    </w:p>
    <w:p w14:paraId="6C6B14D0" w14:textId="77777777" w:rsidR="006914A1" w:rsidRPr="005D4B2E" w:rsidRDefault="006914A1" w:rsidP="00174B94">
      <w:pPr>
        <w:rPr>
          <w:noProof/>
        </w:rPr>
      </w:pPr>
    </w:p>
    <w:p w14:paraId="630A6C9E" w14:textId="54C16340" w:rsidR="00ED79C9" w:rsidRPr="005D4B2E" w:rsidRDefault="00D11D75" w:rsidP="00D11D75">
      <w:pPr>
        <w:pStyle w:val="Point0"/>
        <w:rPr>
          <w:noProof/>
        </w:rPr>
      </w:pPr>
      <w:r w:rsidRPr="00D11D75">
        <w:t>(1)</w:t>
      </w:r>
      <w:r w:rsidRPr="00D11D75">
        <w:tab/>
      </w:r>
      <w:r w:rsidR="00F86546" w:rsidRPr="005D4B2E">
        <w:rPr>
          <w:noProof/>
        </w:rPr>
        <w:t>2 straipsnis iš dalies keičiamas taip:</w:t>
      </w:r>
    </w:p>
    <w:p w14:paraId="21F5C962" w14:textId="56389BE4" w:rsidR="00192B51" w:rsidRPr="005D4B2E" w:rsidRDefault="00D11D75" w:rsidP="00D11D75">
      <w:pPr>
        <w:pStyle w:val="Point0"/>
        <w:rPr>
          <w:noProof/>
        </w:rPr>
      </w:pPr>
      <w:r w:rsidRPr="00D11D75">
        <w:t>(a)</w:t>
      </w:r>
      <w:r w:rsidRPr="00D11D75">
        <w:tab/>
      </w:r>
      <w:r w:rsidR="00F86546" w:rsidRPr="005D4B2E">
        <w:rPr>
          <w:noProof/>
        </w:rPr>
        <w:t>1 dalis papildoma e punktu:</w:t>
      </w:r>
    </w:p>
    <w:p w14:paraId="6D3B823A" w14:textId="17ADD296" w:rsidR="000E366D" w:rsidRPr="005D4B2E" w:rsidRDefault="00E61FA4" w:rsidP="00B57087">
      <w:pPr>
        <w:rPr>
          <w:noProof/>
        </w:rPr>
      </w:pPr>
      <w:r w:rsidRPr="005D4B2E">
        <w:rPr>
          <w:noProof/>
        </w:rPr>
        <w:t xml:space="preserve">„e) vienodo 25 % tarifo taikymas: </w:t>
      </w:r>
    </w:p>
    <w:p w14:paraId="1EFFCBCE" w14:textId="36C2475D" w:rsidR="001C1AE1" w:rsidRPr="005D4B2E" w:rsidRDefault="00D11D75" w:rsidP="00D11D75">
      <w:pPr>
        <w:pStyle w:val="Point1"/>
        <w:rPr>
          <w:noProof/>
        </w:rPr>
      </w:pPr>
      <w:r w:rsidRPr="00D11D75">
        <w:t>(1)</w:t>
      </w:r>
      <w:r w:rsidRPr="00D11D75">
        <w:tab/>
      </w:r>
      <w:r w:rsidR="00C721F0" w:rsidRPr="005D4B2E">
        <w:rPr>
          <w:noProof/>
        </w:rPr>
        <w:t>pajamoms, gautoms valstybėms narėms aukcione pardavus apyvartinius taršos leidimus pagal Europos Parlamento ir Tarybos direktyvos 2003/87/EB</w:t>
      </w:r>
      <w:r w:rsidR="00C721F0" w:rsidRPr="005D4B2E">
        <w:rPr>
          <w:rStyle w:val="FootnoteReference"/>
          <w:noProof/>
        </w:rPr>
        <w:footnoteReference w:customMarkFollows="1" w:id="17"/>
        <w:t>1</w:t>
      </w:r>
      <w:r w:rsidR="00C721F0" w:rsidRPr="005D4B2E">
        <w:rPr>
          <w:noProof/>
        </w:rPr>
        <w:t xml:space="preserve"> 3d, 10 ir 30d straipsnius; </w:t>
      </w:r>
    </w:p>
    <w:p w14:paraId="563A647E" w14:textId="24B45F8C" w:rsidR="00C2168D" w:rsidRPr="005D4B2E" w:rsidRDefault="00D11D75" w:rsidP="00D11D75">
      <w:pPr>
        <w:pStyle w:val="Point1"/>
        <w:rPr>
          <w:noProof/>
        </w:rPr>
      </w:pPr>
      <w:r w:rsidRPr="00D11D75">
        <w:t>(2)</w:t>
      </w:r>
      <w:r w:rsidRPr="00D11D75">
        <w:tab/>
      </w:r>
      <w:r w:rsidR="00F405BC" w:rsidRPr="005D4B2E">
        <w:rPr>
          <w:noProof/>
        </w:rPr>
        <w:t xml:space="preserve">sumai, apskaičiuotai padauginus metinę apyvartinių taršos leidimų sumą, kai tiems leidimams atitinkama valstybė narė taiko bet kurią iš šių nuostatų: </w:t>
      </w:r>
    </w:p>
    <w:p w14:paraId="192E1AA1" w14:textId="43295BD2" w:rsidR="00C2168D" w:rsidRPr="005D4B2E" w:rsidRDefault="00D11D75" w:rsidP="00D11D75">
      <w:pPr>
        <w:pStyle w:val="Point2"/>
        <w:rPr>
          <w:noProof/>
        </w:rPr>
      </w:pPr>
      <w:r w:rsidRPr="00D11D75">
        <w:t>(a)</w:t>
      </w:r>
      <w:r w:rsidRPr="00D11D75">
        <w:tab/>
      </w:r>
      <w:r w:rsidR="000C6F68" w:rsidRPr="005D4B2E">
        <w:rPr>
          <w:noProof/>
        </w:rPr>
        <w:t>galimybę pereinamuoju laikotarpiu gauti nemokamų apyvartinių taršos leidimų, kaip nurodyta Direktyvos 2003/87/EB 10c straipsnyje;</w:t>
      </w:r>
    </w:p>
    <w:p w14:paraId="18C058B3" w14:textId="0937F7C8" w:rsidR="00C2168D" w:rsidRPr="005D4B2E" w:rsidRDefault="00D11D75" w:rsidP="00D11D75">
      <w:pPr>
        <w:pStyle w:val="Point2"/>
        <w:rPr>
          <w:noProof/>
        </w:rPr>
      </w:pPr>
      <w:r w:rsidRPr="00D11D75">
        <w:t>(b)</w:t>
      </w:r>
      <w:r w:rsidRPr="00D11D75">
        <w:tab/>
      </w:r>
      <w:r w:rsidR="000C6F68" w:rsidRPr="005D4B2E">
        <w:rPr>
          <w:noProof/>
        </w:rPr>
        <w:t>riboto atšaukimo galimybę, nurodytą Europos Parlamento ir Tarybos reglamento (ES) 2018/842</w:t>
      </w:r>
      <w:r w:rsidR="000C6F68" w:rsidRPr="005D4B2E">
        <w:rPr>
          <w:rStyle w:val="FootnoteReference"/>
          <w:noProof/>
        </w:rPr>
        <w:footnoteReference w:customMarkFollows="1" w:id="18"/>
        <w:t>2</w:t>
      </w:r>
      <w:r w:rsidR="000C6F68" w:rsidRPr="005D4B2E">
        <w:rPr>
          <w:noProof/>
        </w:rPr>
        <w:t xml:space="preserve"> 6 straipsnio 1 dalyje;</w:t>
      </w:r>
    </w:p>
    <w:p w14:paraId="26178613" w14:textId="032A4F7C" w:rsidR="00745746" w:rsidRPr="005D4B2E" w:rsidRDefault="00D11D75" w:rsidP="00D11D75">
      <w:pPr>
        <w:pStyle w:val="Point2"/>
        <w:rPr>
          <w:noProof/>
        </w:rPr>
      </w:pPr>
      <w:r w:rsidRPr="00D11D75">
        <w:t>(c)</w:t>
      </w:r>
      <w:r w:rsidRPr="00D11D75">
        <w:tab/>
      </w:r>
      <w:r w:rsidR="00A02C82" w:rsidRPr="005D4B2E">
        <w:rPr>
          <w:noProof/>
        </w:rPr>
        <w:t xml:space="preserve">Direktyvos 2003/87/EB 10d straipsnio 4 dalyje nurodytų apyvartinių taršos leidimų naudojimą tos direktyvos 10d straipsnio 3 dalyje nurodytam pardavimui aukcione Modernizavimo fondo reikmėms, </w:t>
      </w:r>
    </w:p>
    <w:p w14:paraId="6F7F3F78" w14:textId="77777777" w:rsidR="009B5240" w:rsidRPr="005D4B2E" w:rsidRDefault="00745746" w:rsidP="003970AF">
      <w:pPr>
        <w:ind w:left="1440"/>
        <w:rPr>
          <w:noProof/>
        </w:rPr>
      </w:pPr>
      <w:r w:rsidRPr="005D4B2E">
        <w:rPr>
          <w:noProof/>
        </w:rPr>
        <w:t>iš vidutinės svertinės apyvartinių taršos leidimų, parduotų bendroje aukciono platformoje tais metais, kuriais tie apyvartiniai taršos leidimai būtų parduoti aukcione, kainos.“;</w:t>
      </w:r>
    </w:p>
    <w:p w14:paraId="7FB2E41D" w14:textId="3E8EB108" w:rsidR="00BB4CF8" w:rsidRPr="005D4B2E" w:rsidRDefault="00D11D75" w:rsidP="00D11D75">
      <w:pPr>
        <w:pStyle w:val="Point0"/>
        <w:rPr>
          <w:noProof/>
        </w:rPr>
      </w:pPr>
      <w:r w:rsidRPr="00D11D75">
        <w:t>(b)</w:t>
      </w:r>
      <w:r w:rsidRPr="00D11D75">
        <w:tab/>
      </w:r>
      <w:r w:rsidR="00565EED" w:rsidRPr="005D4B2E">
        <w:rPr>
          <w:noProof/>
        </w:rPr>
        <w:t>1 dalis papildoma šiuo f punktu:</w:t>
      </w:r>
    </w:p>
    <w:p w14:paraId="0CE620C1" w14:textId="02748F89" w:rsidR="00DD3BF3" w:rsidRPr="005D4B2E" w:rsidRDefault="00CA6FD3" w:rsidP="00B57087">
      <w:pPr>
        <w:rPr>
          <w:noProof/>
        </w:rPr>
      </w:pPr>
      <w:r w:rsidRPr="005D4B2E">
        <w:rPr>
          <w:noProof/>
        </w:rPr>
        <w:t>„f) vienodo pareikalavimo tarifo, lygaus 75 % pajamų, gautų pardavus Europos Parlamento ir Tarybos reglamentu (ES) [XXX]</w:t>
      </w:r>
      <w:r w:rsidRPr="005D4B2E">
        <w:rPr>
          <w:rStyle w:val="FootnoteReference"/>
          <w:noProof/>
        </w:rPr>
        <w:footnoteReference w:customMarkFollows="1" w:id="19"/>
        <w:t>3</w:t>
      </w:r>
      <w:r w:rsidRPr="005D4B2E">
        <w:rPr>
          <w:noProof/>
        </w:rPr>
        <w:t xml:space="preserve"> nustatyto pasienio anglies dioksido korekcinio mechanizmo sertifikatus, taikymas.“;</w:t>
      </w:r>
    </w:p>
    <w:p w14:paraId="73833519" w14:textId="3A71E5EE" w:rsidR="00CA6FD3" w:rsidRPr="005D4B2E" w:rsidRDefault="00D11D75" w:rsidP="00D11D75">
      <w:pPr>
        <w:pStyle w:val="Point0"/>
        <w:rPr>
          <w:noProof/>
        </w:rPr>
      </w:pPr>
      <w:r w:rsidRPr="00D11D75">
        <w:t>(c)</w:t>
      </w:r>
      <w:r w:rsidRPr="00D11D75">
        <w:tab/>
      </w:r>
      <w:r w:rsidR="00CA6FD3" w:rsidRPr="005D4B2E">
        <w:rPr>
          <w:noProof/>
        </w:rPr>
        <w:t>1 dalis papildoma g punktu:</w:t>
      </w:r>
    </w:p>
    <w:p w14:paraId="0B98E7A3" w14:textId="4CB33E18" w:rsidR="0018602D" w:rsidRPr="005D4B2E" w:rsidRDefault="00745746" w:rsidP="00B57087">
      <w:pPr>
        <w:rPr>
          <w:noProof/>
        </w:rPr>
      </w:pPr>
      <w:r w:rsidRPr="005D4B2E">
        <w:rPr>
          <w:noProof/>
        </w:rPr>
        <w:t>„g) vienodo 15 % pareikalavimo tarifo taikymas tarptautinių įmonių likutinio pelno daliai, perskirstytai valstybėms narėms [pagal Direktyvą dėl visuotinio susitarimo dėl apmokestinimo teisių perskirstymo įgyvendinimo</w:t>
      </w:r>
      <w:r w:rsidRPr="005D4B2E">
        <w:rPr>
          <w:rStyle w:val="FootnoteReference"/>
          <w:noProof/>
        </w:rPr>
        <w:footnoteReference w:customMarkFollows="1" w:id="20"/>
        <w:t>4</w:t>
      </w:r>
      <w:r w:rsidRPr="005D4B2E">
        <w:rPr>
          <w:noProof/>
        </w:rPr>
        <w:t>].“;</w:t>
      </w:r>
    </w:p>
    <w:p w14:paraId="03FB0CE5" w14:textId="00E05D8F" w:rsidR="005F7D73" w:rsidRPr="005D4B2E" w:rsidRDefault="00D11D75" w:rsidP="00D11D75">
      <w:pPr>
        <w:pStyle w:val="Point0"/>
        <w:rPr>
          <w:noProof/>
        </w:rPr>
      </w:pPr>
      <w:r w:rsidRPr="00D11D75">
        <w:t>(d)</w:t>
      </w:r>
      <w:r w:rsidRPr="00D11D75">
        <w:tab/>
      </w:r>
      <w:r w:rsidR="0069670E" w:rsidRPr="005D4B2E">
        <w:rPr>
          <w:noProof/>
        </w:rPr>
        <w:t>įterpiama ši 2a dalis:</w:t>
      </w:r>
    </w:p>
    <w:p w14:paraId="512A54E7" w14:textId="77777777" w:rsidR="005F5B56" w:rsidRPr="005D4B2E" w:rsidRDefault="00AF2DFB" w:rsidP="00AD69AF">
      <w:pPr>
        <w:rPr>
          <w:noProof/>
        </w:rPr>
      </w:pPr>
      <w:r w:rsidRPr="005D4B2E">
        <w:rPr>
          <w:noProof/>
        </w:rPr>
        <w:t>„2a.</w:t>
      </w:r>
      <w:r w:rsidRPr="005D4B2E">
        <w:rPr>
          <w:noProof/>
        </w:rPr>
        <w:tab/>
        <w:t xml:space="preserve">Nukrypstant nuo 1 dalies e punkto, iki 2030 finansinių metų taikomos šios nuostatos: </w:t>
      </w:r>
    </w:p>
    <w:p w14:paraId="60080618" w14:textId="600026E1" w:rsidR="002A795F" w:rsidRPr="005D4B2E" w:rsidRDefault="00D11D75" w:rsidP="00D11D75">
      <w:pPr>
        <w:pStyle w:val="Point1"/>
        <w:rPr>
          <w:noProof/>
        </w:rPr>
      </w:pPr>
      <w:r w:rsidRPr="00D11D75">
        <w:t>(a)</w:t>
      </w:r>
      <w:r w:rsidRPr="00D11D75">
        <w:tab/>
      </w:r>
      <w:r w:rsidR="007441DA" w:rsidRPr="005D4B2E">
        <w:rPr>
          <w:noProof/>
        </w:rPr>
        <w:t xml:space="preserve">jeigu valstybės narės dalis bendroje pajamų, gautų taikant 1 dalies e punktą, sumoje yra mažesnė nei 75 % jos dalies Sąjungos bendrosiose nacionalinėse pajamose, ta valstybė narė pateikia sumą, lygią 75 % tos bendrųjų nacionalinių pajamų dalies, padaugintą iš bendros pajamų, gautų taikant 1 dalies e punktą, sumos; </w:t>
      </w:r>
    </w:p>
    <w:p w14:paraId="2EDEC14E" w14:textId="3D93891E" w:rsidR="002A795F" w:rsidRPr="005D4B2E" w:rsidRDefault="00D11D75" w:rsidP="00D11D75">
      <w:pPr>
        <w:pStyle w:val="Point1"/>
        <w:rPr>
          <w:noProof/>
        </w:rPr>
      </w:pPr>
      <w:r w:rsidRPr="00D11D75">
        <w:t>(b)</w:t>
      </w:r>
      <w:r w:rsidRPr="00D11D75">
        <w:tab/>
      </w:r>
      <w:r w:rsidR="007441DA" w:rsidRPr="005D4B2E">
        <w:rPr>
          <w:noProof/>
        </w:rPr>
        <w:t xml:space="preserve">valstybės narės dalis bendroje pajamų, gautų taikant 1 dalies e punktą, sumoje nėra didesnė kaip 150 % tos valstybės narės dalies Sąjungos bendrosiose nacionalinėse pajamose, tenkančiose valstybėms narėms, kurių bendrosios nacionalinės pajamos vienam gyventojui yra mažesnės nei 90 % Sąjungos vidurkio, apskaičiuotose pagal perkamosios galios standartą ir remiantis 2020 m. duomenimis (2023–2027 m. laikotarpiu) arba 2025 m. duomenimis (2028–2030 m. laikotarpiu). </w:t>
      </w:r>
    </w:p>
    <w:p w14:paraId="32AA871B" w14:textId="2C0ECE85" w:rsidR="002A795F" w:rsidRPr="005D4B2E" w:rsidRDefault="002A795F" w:rsidP="009D4233">
      <w:pPr>
        <w:pStyle w:val="ListParagraph"/>
        <w:ind w:left="502"/>
        <w:rPr>
          <w:noProof/>
        </w:rPr>
      </w:pPr>
    </w:p>
    <w:p w14:paraId="530DF25F" w14:textId="77777777" w:rsidR="00603FBA" w:rsidRPr="005D4B2E" w:rsidRDefault="00093BA1" w:rsidP="00AF2DFB">
      <w:pPr>
        <w:rPr>
          <w:noProof/>
        </w:rPr>
      </w:pPr>
      <w:r w:rsidRPr="005D4B2E">
        <w:rPr>
          <w:noProof/>
        </w:rPr>
        <w:t>Bendrosios nacionalinės pajamos, nurodytos a ir b punktuose, – bendrosios nacionalinės pajamos rinkos kainomis, kaip nurodyta Europos Parlamento ir Tarybos reglamento (ES) 2019/516</w:t>
      </w:r>
      <w:r w:rsidRPr="005D4B2E">
        <w:rPr>
          <w:rStyle w:val="FootnoteReference"/>
          <w:noProof/>
        </w:rPr>
        <w:footnoteReference w:customMarkFollows="1" w:id="21"/>
        <w:t>5</w:t>
      </w:r>
      <w:r w:rsidRPr="005D4B2E">
        <w:rPr>
          <w:noProof/>
        </w:rPr>
        <w:t xml:space="preserve"> 1 straipsnio 1 dalyje.“</w:t>
      </w:r>
    </w:p>
    <w:p w14:paraId="5917FF00" w14:textId="77777777" w:rsidR="00DF010D" w:rsidRPr="005D4B2E" w:rsidRDefault="00DF010D" w:rsidP="00934157">
      <w:pPr>
        <w:pStyle w:val="Titrearticle"/>
        <w:keepNext w:val="0"/>
        <w:rPr>
          <w:noProof/>
        </w:rPr>
      </w:pPr>
      <w:r w:rsidRPr="005D4B2E">
        <w:rPr>
          <w:noProof/>
        </w:rPr>
        <w:t>2 straipsnis</w:t>
      </w:r>
    </w:p>
    <w:p w14:paraId="089E90B3" w14:textId="77777777" w:rsidR="00852D35" w:rsidRPr="005D4B2E" w:rsidRDefault="00852D35" w:rsidP="00D042CC">
      <w:pPr>
        <w:jc w:val="center"/>
        <w:rPr>
          <w:b/>
          <w:noProof/>
        </w:rPr>
      </w:pPr>
      <w:r w:rsidRPr="005D4B2E">
        <w:rPr>
          <w:b/>
          <w:noProof/>
        </w:rPr>
        <w:t>Įsigaliojimas ir taikymas</w:t>
      </w:r>
    </w:p>
    <w:p w14:paraId="4621D382" w14:textId="77777777" w:rsidR="00490BB3" w:rsidRPr="005D4B2E" w:rsidRDefault="007A6916" w:rsidP="00143EB1">
      <w:pPr>
        <w:rPr>
          <w:noProof/>
        </w:rPr>
      </w:pPr>
      <w:r w:rsidRPr="005D4B2E">
        <w:rPr>
          <w:noProof/>
        </w:rPr>
        <w:t>Tarybos Generalinis sekretorius praneša valstybėms narėms apie šį sprendimą.</w:t>
      </w:r>
    </w:p>
    <w:p w14:paraId="1ABBE9B6" w14:textId="77777777" w:rsidR="00490BB3" w:rsidRPr="005D4B2E" w:rsidRDefault="00490BB3" w:rsidP="00490BB3">
      <w:pPr>
        <w:rPr>
          <w:noProof/>
        </w:rPr>
      </w:pPr>
      <w:r w:rsidRPr="005D4B2E">
        <w:rPr>
          <w:noProof/>
        </w:rPr>
        <w:t>Valstybės narės nedelsdamos Tarybos Generaliniam sekretoriatui praneša apie šio sprendimo patvirtinimui pagal jų atitinkamas konstitucines nuostatas būtinų procedūrų užbaigimą.</w:t>
      </w:r>
    </w:p>
    <w:p w14:paraId="3601A989" w14:textId="77777777" w:rsidR="00490BB3" w:rsidRPr="005D4B2E" w:rsidRDefault="00490BB3" w:rsidP="00490BB3">
      <w:pPr>
        <w:rPr>
          <w:noProof/>
        </w:rPr>
      </w:pPr>
      <w:r w:rsidRPr="005D4B2E">
        <w:rPr>
          <w:noProof/>
        </w:rPr>
        <w:t>Šis sprendimas įsigalioja pirmo mėnesio, einančio po paskutinio iš antroje pastraipoje nurodytų pranešimų gavimo, pirmą dieną.</w:t>
      </w:r>
    </w:p>
    <w:p w14:paraId="78D1AC02" w14:textId="74DABEC1" w:rsidR="004F24E2" w:rsidRPr="005D4B2E" w:rsidRDefault="004F24E2">
      <w:pPr>
        <w:rPr>
          <w:noProof/>
        </w:rPr>
      </w:pPr>
      <w:r w:rsidRPr="005D4B2E">
        <w:rPr>
          <w:noProof/>
        </w:rPr>
        <w:t>1 straipsnio 1 dalies a punktas pajamoms, gautoms pagal Direktyvos 2003/87/EB 3d ir 10 straipsnius taikomas nuo 2023 m. sausio 1 d., o pajamoms, gautoms pagal Direktyvos 2003/87/EB 30d straipsnį, – nuo kitos dienos po paskutinės laikotarpio, per kurį į nacionalinę teisę perkeliama Europos Parlamento ir Tarybos direktyva (ES) [XXX]</w:t>
      </w:r>
      <w:r w:rsidRPr="005D4B2E">
        <w:rPr>
          <w:rStyle w:val="FootnoteReference"/>
          <w:noProof/>
        </w:rPr>
        <w:footnoteReference w:customMarkFollows="1" w:id="22"/>
        <w:t>6</w:t>
      </w:r>
      <w:r w:rsidRPr="005D4B2E">
        <w:rPr>
          <w:noProof/>
        </w:rPr>
        <w:t>, kuria iš dalies keičiama Direktyva 2003/87/EB, d</w:t>
      </w:r>
      <w:r w:rsidR="005D4B2E">
        <w:rPr>
          <w:noProof/>
        </w:rPr>
        <w:t>ienos.</w:t>
      </w:r>
    </w:p>
    <w:p w14:paraId="1EC0AE42" w14:textId="77777777" w:rsidR="00307641" w:rsidRPr="005D4B2E" w:rsidRDefault="004F24E2" w:rsidP="007B513E">
      <w:pPr>
        <w:rPr>
          <w:noProof/>
        </w:rPr>
      </w:pPr>
      <w:r w:rsidRPr="005D4B2E">
        <w:rPr>
          <w:noProof/>
        </w:rPr>
        <w:t xml:space="preserve">1 straipsnio 1 dalies b punktas taikomas nuo Reglamento (ES) [XXX], kuriuo nustatomas pasienio anglies dioksido korekcinis mechanizmas, taikymo pradžios dienos. </w:t>
      </w:r>
    </w:p>
    <w:p w14:paraId="60E9D23F" w14:textId="77777777" w:rsidR="0078484F" w:rsidRPr="005D4B2E" w:rsidRDefault="005B2B0E" w:rsidP="005B2B0E">
      <w:pPr>
        <w:rPr>
          <w:noProof/>
        </w:rPr>
      </w:pPr>
      <w:r w:rsidRPr="005D4B2E">
        <w:rPr>
          <w:noProof/>
        </w:rPr>
        <w:t xml:space="preserve">1 straipsnio 1 dalies c punktas taikomas nuo </w:t>
      </w:r>
    </w:p>
    <w:p w14:paraId="0533A48A" w14:textId="77777777" w:rsidR="0078484F" w:rsidRPr="005D4B2E" w:rsidRDefault="00FA4DD6" w:rsidP="005B2B0E">
      <w:pPr>
        <w:rPr>
          <w:noProof/>
        </w:rPr>
      </w:pPr>
      <w:r w:rsidRPr="005D4B2E">
        <w:rPr>
          <w:noProof/>
        </w:rPr>
        <w:t xml:space="preserve">[Direktyvos dėl visuotinio susitarimo dėl apmokestinimo teisių perskirstymo įgyvendinimo] taikymo pradžios pirmos dienos arba </w:t>
      </w:r>
    </w:p>
    <w:p w14:paraId="293BF9F5" w14:textId="77777777" w:rsidR="005B2B0E" w:rsidRPr="005D4B2E" w:rsidRDefault="0078484F" w:rsidP="007B513E">
      <w:pPr>
        <w:rPr>
          <w:noProof/>
        </w:rPr>
      </w:pPr>
      <w:r w:rsidRPr="005D4B2E">
        <w:rPr>
          <w:noProof/>
        </w:rPr>
        <w:t>daugiašalės konvencijos įsigaliojimo ir taikymo dienos, atsižvelgiant į tai, kuri data yra vėlesnė.</w:t>
      </w:r>
    </w:p>
    <w:p w14:paraId="7CF0EBD7" w14:textId="77777777" w:rsidR="00786FDC" w:rsidRPr="005D4B2E" w:rsidRDefault="00786FDC" w:rsidP="00786FDC">
      <w:pPr>
        <w:pStyle w:val="Titrearticle"/>
        <w:keepNext w:val="0"/>
        <w:rPr>
          <w:noProof/>
        </w:rPr>
      </w:pPr>
      <w:r w:rsidRPr="005D4B2E">
        <w:rPr>
          <w:noProof/>
        </w:rPr>
        <w:t>3 straipsnis</w:t>
      </w:r>
    </w:p>
    <w:p w14:paraId="41948E04" w14:textId="77777777" w:rsidR="00852D35" w:rsidRPr="005D4B2E" w:rsidRDefault="00852D35" w:rsidP="00852D35">
      <w:pPr>
        <w:jc w:val="center"/>
        <w:rPr>
          <w:b/>
          <w:noProof/>
        </w:rPr>
      </w:pPr>
      <w:r w:rsidRPr="005D4B2E">
        <w:rPr>
          <w:b/>
          <w:noProof/>
        </w:rPr>
        <w:t>Adresatai</w:t>
      </w:r>
    </w:p>
    <w:p w14:paraId="7B19137B" w14:textId="77777777" w:rsidR="00786FDC" w:rsidRPr="005D4B2E" w:rsidRDefault="00786FDC" w:rsidP="00786FDC">
      <w:pPr>
        <w:rPr>
          <w:noProof/>
        </w:rPr>
      </w:pPr>
      <w:r w:rsidRPr="005D4B2E">
        <w:rPr>
          <w:noProof/>
        </w:rPr>
        <w:t>Šis sprendimas skirtas valstybėms narėms.</w:t>
      </w:r>
    </w:p>
    <w:p w14:paraId="0C0D4255" w14:textId="67028116" w:rsidR="00786FDC" w:rsidRPr="005D4B2E" w:rsidRDefault="00244C66" w:rsidP="00623848">
      <w:pPr>
        <w:pStyle w:val="Fait"/>
        <w:rPr>
          <w:noProof/>
        </w:rPr>
      </w:pPr>
      <w:r w:rsidRPr="00244C66">
        <w:t>Priimta Briuselyje</w:t>
      </w:r>
    </w:p>
    <w:p w14:paraId="73B6790A" w14:textId="77777777" w:rsidR="00786FDC" w:rsidRPr="005D4B2E" w:rsidRDefault="00786FDC" w:rsidP="00623848">
      <w:pPr>
        <w:pStyle w:val="Institutionquisigne"/>
        <w:rPr>
          <w:noProof/>
        </w:rPr>
      </w:pPr>
      <w:r w:rsidRPr="005D4B2E">
        <w:rPr>
          <w:noProof/>
        </w:rPr>
        <w:tab/>
        <w:t>Tarybos vardu</w:t>
      </w:r>
    </w:p>
    <w:p w14:paraId="3A4E5D62" w14:textId="77777777" w:rsidR="00786FDC" w:rsidRPr="005D4B2E" w:rsidRDefault="00786FDC" w:rsidP="00786FDC">
      <w:pPr>
        <w:pStyle w:val="Personnequisigne"/>
        <w:rPr>
          <w:noProof/>
        </w:rPr>
      </w:pPr>
      <w:r w:rsidRPr="005D4B2E">
        <w:rPr>
          <w:noProof/>
        </w:rPr>
        <w:tab/>
        <w:t>Pirmininkas</w:t>
      </w:r>
    </w:p>
    <w:sectPr w:rsidR="00786FDC" w:rsidRPr="005D4B2E" w:rsidSect="00175E60">
      <w:footerReference w:type="default" r:id="rId17"/>
      <w:footerReference w:type="first" r:id="rId18"/>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4CDC8" w14:textId="77777777" w:rsidR="00DD741D" w:rsidRDefault="00DD741D" w:rsidP="00DF010D">
      <w:pPr>
        <w:spacing w:before="0" w:after="0"/>
      </w:pPr>
      <w:r>
        <w:separator/>
      </w:r>
    </w:p>
  </w:endnote>
  <w:endnote w:type="continuationSeparator" w:id="0">
    <w:p w14:paraId="1178D581" w14:textId="77777777" w:rsidR="00DD741D" w:rsidRDefault="00DD741D" w:rsidP="00DF010D">
      <w:pPr>
        <w:spacing w:before="0" w:after="0"/>
      </w:pPr>
      <w:r>
        <w:continuationSeparator/>
      </w:r>
    </w:p>
  </w:endnote>
  <w:endnote w:type="continuationNotice" w:id="1">
    <w:p w14:paraId="12DB7470" w14:textId="77777777" w:rsidR="00DD741D" w:rsidRDefault="00DD74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D8199" w14:textId="3339DE3D" w:rsidR="00DC24A5" w:rsidRPr="00175E60" w:rsidRDefault="00175E60" w:rsidP="00175E60">
    <w:pPr>
      <w:pStyle w:val="Footer"/>
      <w:rPr>
        <w:rFonts w:ascii="Arial" w:hAnsi="Arial" w:cs="Arial"/>
        <w:b/>
        <w:sz w:val="48"/>
      </w:rPr>
    </w:pPr>
    <w:r w:rsidRPr="00175E60">
      <w:rPr>
        <w:rFonts w:ascii="Arial" w:hAnsi="Arial" w:cs="Arial"/>
        <w:b/>
        <w:sz w:val="48"/>
      </w:rPr>
      <w:t>LT</w:t>
    </w:r>
    <w:r w:rsidRPr="00175E60">
      <w:rPr>
        <w:rFonts w:ascii="Arial" w:hAnsi="Arial" w:cs="Arial"/>
        <w:b/>
        <w:sz w:val="48"/>
      </w:rPr>
      <w:tab/>
    </w:r>
    <w:r w:rsidRPr="00175E60">
      <w:rPr>
        <w:rFonts w:ascii="Arial" w:hAnsi="Arial" w:cs="Arial"/>
        <w:b/>
        <w:sz w:val="48"/>
      </w:rPr>
      <w:tab/>
    </w:r>
    <w:r w:rsidRPr="00175E60">
      <w:tab/>
    </w:r>
    <w:r w:rsidRPr="00175E60">
      <w:rPr>
        <w:rFonts w:ascii="Arial" w:hAnsi="Arial" w:cs="Arial"/>
        <w:b/>
        <w:sz w:val="48"/>
      </w:rPr>
      <w:t>LT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3EC59" w14:textId="5D75EB5D" w:rsidR="00175E60" w:rsidRPr="00175E60" w:rsidRDefault="00175E60" w:rsidP="00175E60">
    <w:pPr>
      <w:pStyle w:val="Footer"/>
      <w:rPr>
        <w:rFonts w:ascii="Arial" w:hAnsi="Arial" w:cs="Arial"/>
        <w:b/>
        <w:sz w:val="48"/>
      </w:rPr>
    </w:pPr>
    <w:r w:rsidRPr="00175E60">
      <w:rPr>
        <w:rFonts w:ascii="Arial" w:hAnsi="Arial" w:cs="Arial"/>
        <w:b/>
        <w:sz w:val="48"/>
      </w:rPr>
      <w:t>LT</w:t>
    </w:r>
    <w:r w:rsidRPr="00175E60">
      <w:rPr>
        <w:rFonts w:ascii="Arial" w:hAnsi="Arial" w:cs="Arial"/>
        <w:b/>
        <w:sz w:val="48"/>
      </w:rPr>
      <w:tab/>
    </w:r>
    <w:r>
      <w:fldChar w:fldCharType="begin"/>
    </w:r>
    <w:r>
      <w:instrText xml:space="preserve"> PAGE  \* MERGEFORMAT </w:instrText>
    </w:r>
    <w:r>
      <w:fldChar w:fldCharType="separate"/>
    </w:r>
    <w:r w:rsidR="00623848">
      <w:rPr>
        <w:noProof/>
      </w:rPr>
      <w:t>8</w:t>
    </w:r>
    <w:r>
      <w:fldChar w:fldCharType="end"/>
    </w:r>
    <w:r>
      <w:tab/>
    </w:r>
    <w:r w:rsidRPr="00175E60">
      <w:tab/>
    </w:r>
    <w:r w:rsidRPr="00175E60">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7ACE" w14:textId="77777777" w:rsidR="00175E60" w:rsidRPr="00175E60" w:rsidRDefault="00175E60" w:rsidP="00175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9C763" w14:textId="77777777" w:rsidR="00DD741D" w:rsidRDefault="00DD741D" w:rsidP="00DF010D">
      <w:pPr>
        <w:spacing w:before="0" w:after="0"/>
      </w:pPr>
      <w:r>
        <w:separator/>
      </w:r>
    </w:p>
  </w:footnote>
  <w:footnote w:type="continuationSeparator" w:id="0">
    <w:p w14:paraId="13FC0C49" w14:textId="77777777" w:rsidR="00DD741D" w:rsidRDefault="00DD741D" w:rsidP="00DF010D">
      <w:pPr>
        <w:spacing w:before="0" w:after="0"/>
      </w:pPr>
      <w:r>
        <w:continuationSeparator/>
      </w:r>
    </w:p>
  </w:footnote>
  <w:footnote w:type="continuationNotice" w:id="1">
    <w:p w14:paraId="2F150F55" w14:textId="77777777" w:rsidR="00DD741D" w:rsidRDefault="00DD741D">
      <w:pPr>
        <w:spacing w:before="0" w:after="0"/>
      </w:pPr>
    </w:p>
  </w:footnote>
  <w:footnote w:id="2">
    <w:p w14:paraId="3D6899DE" w14:textId="77777777" w:rsidR="00B13728" w:rsidRDefault="00B13728" w:rsidP="005938B3">
      <w:pPr>
        <w:pStyle w:val="FootnoteText"/>
      </w:pPr>
      <w:r>
        <w:rPr>
          <w:rStyle w:val="FootnoteReference"/>
        </w:rPr>
        <w:footnoteRef/>
      </w:r>
      <w:r>
        <w:tab/>
        <w:t>Eurostato duomenimis, 2020 m. ES bendrasis vidaus produktas sumažėjo maždaug 5,9 %.</w:t>
      </w:r>
    </w:p>
  </w:footnote>
  <w:footnote w:id="3">
    <w:p w14:paraId="70E39B95" w14:textId="77777777" w:rsidR="00B13728" w:rsidRPr="00CE7D8E" w:rsidRDefault="00B13728">
      <w:pPr>
        <w:pStyle w:val="FootnoteText"/>
      </w:pPr>
      <w:r>
        <w:rPr>
          <w:rStyle w:val="FootnoteReference"/>
        </w:rPr>
        <w:footnoteRef/>
      </w:r>
      <w:r>
        <w:tab/>
        <w:t>2020 m. gruodžio 14 d. Tarybos reglamentas (ES) 2020/2094, kuriuo nustatoma Europos Sąjungos ekonomikos gaivinimo priemonė atsigavimui po COVID-19 krizės paremti (OL L 433I, 2020 12 22, p. 23).</w:t>
      </w:r>
    </w:p>
  </w:footnote>
  <w:footnote w:id="4">
    <w:p w14:paraId="66D49D56" w14:textId="77777777" w:rsidR="00B13728" w:rsidRPr="00547210" w:rsidRDefault="00B13728" w:rsidP="005938B3">
      <w:pPr>
        <w:pStyle w:val="FootnoteText"/>
      </w:pPr>
      <w:r>
        <w:rPr>
          <w:rStyle w:val="FootnoteReference"/>
        </w:rPr>
        <w:footnoteRef/>
      </w:r>
      <w:r>
        <w:tab/>
        <w:t>2020 m. liepos mėn. Europos Vadovų Tarybos išvadų 150 punkte taip pat nurodyta, kad „[p]ajamos, gautos iš šių naujų po 2021 m. nustatytų nuosavų išteklių, bus naudojamos išankstiniam pagal priemonę „Next Generation EU“ pasiskolintų lėšų grąžinimui“.</w:t>
      </w:r>
    </w:p>
  </w:footnote>
  <w:footnote w:id="5">
    <w:p w14:paraId="05A4CFFA" w14:textId="77777777" w:rsidR="00B13728" w:rsidRPr="001C6C99" w:rsidRDefault="00B13728">
      <w:pPr>
        <w:pStyle w:val="FootnoteText"/>
      </w:pPr>
      <w:r>
        <w:rPr>
          <w:rStyle w:val="FootnoteReference"/>
        </w:rPr>
        <w:footnoteRef/>
      </w:r>
      <w:r>
        <w:tab/>
        <w:t>Pagal 2020 m. gruodžio 14 d. Tarybos sprendimo (ES, Euratomas) 2020/2053 dėl Europos Sąjungos nuosavų išteklių sistemos (toliau – Sprendimas dėl nuosavų išteklių) 5 straipsnio 2 dalį negrąžintina finansinė parama negali viršyti 29,25 mlrd. EUR per metus (2018 m. kainomis).</w:t>
      </w:r>
    </w:p>
  </w:footnote>
  <w:footnote w:id="6">
    <w:p w14:paraId="1ECB543B" w14:textId="77777777" w:rsidR="00B13728" w:rsidRPr="00800380" w:rsidRDefault="00B13728" w:rsidP="005938B3">
      <w:pPr>
        <w:pStyle w:val="FootnoteText"/>
      </w:pPr>
      <w:r>
        <w:rPr>
          <w:rStyle w:val="FootnoteReference"/>
        </w:rPr>
        <w:footnoteRef/>
      </w:r>
      <w:r>
        <w:tab/>
        <w:t>Europos Parlamento, Europos Sąjungos Tarybos ir Europos Komisijos tarpinstitucinis susitarimas dėl biudžetinės drausmės, bendradarbiavimo biudžeto klausimais ir patikimo finansų valdymo, taip pat dėl naujų nuosavų išteklių, įskaitant veiksmų gaires dėl naujų nuosavų išteklių nustatymo (OL L 433I, 2020 12 22, p. 28–46).</w:t>
      </w:r>
    </w:p>
  </w:footnote>
  <w:footnote w:id="7">
    <w:p w14:paraId="796B2DED" w14:textId="77777777" w:rsidR="00B13728" w:rsidRPr="009623A2" w:rsidRDefault="00B13728">
      <w:pPr>
        <w:pStyle w:val="FootnoteText"/>
      </w:pPr>
      <w:r>
        <w:rPr>
          <w:rStyle w:val="FootnoteReference"/>
        </w:rPr>
        <w:footnoteRef/>
      </w:r>
      <w:r>
        <w:tab/>
        <w:t>II priedo F punktas.</w:t>
      </w:r>
    </w:p>
  </w:footnote>
  <w:footnote w:id="8">
    <w:p w14:paraId="1FCDDCC7" w14:textId="77777777" w:rsidR="00B13728" w:rsidRPr="009623A2" w:rsidRDefault="00B13728">
      <w:pPr>
        <w:pStyle w:val="FootnoteText"/>
      </w:pPr>
      <w:r>
        <w:rPr>
          <w:rStyle w:val="FootnoteReference"/>
        </w:rPr>
        <w:footnoteRef/>
      </w:r>
      <w:r>
        <w:tab/>
        <w:t xml:space="preserve">Komisijos 2021 m. darbo programa (COM(2020) 690 </w:t>
      </w:r>
      <w:r>
        <w:rPr>
          <w:i/>
        </w:rPr>
        <w:t>final</w:t>
      </w:r>
      <w:r>
        <w:t>).</w:t>
      </w:r>
    </w:p>
  </w:footnote>
  <w:footnote w:id="9">
    <w:p w14:paraId="379B858D" w14:textId="77777777" w:rsidR="00B13728" w:rsidRPr="00C54657" w:rsidRDefault="00B13728">
      <w:pPr>
        <w:pStyle w:val="FootnoteText"/>
      </w:pPr>
      <w:r>
        <w:rPr>
          <w:rStyle w:val="FootnoteReference"/>
        </w:rPr>
        <w:footnoteRef/>
      </w:r>
      <w:r>
        <w:tab/>
        <w:t xml:space="preserve">Pasiūlymas dėl Europos Parlamento ir Tarybos reglamento, kuriuo įsteigiamas Socialinis klimato fondas, COM(2021) 568 </w:t>
      </w:r>
      <w:r>
        <w:rPr>
          <w:i/>
        </w:rPr>
        <w:t>final</w:t>
      </w:r>
      <w:r>
        <w:t>.</w:t>
      </w:r>
    </w:p>
  </w:footnote>
  <w:footnote w:id="10">
    <w:p w14:paraId="645F4218" w14:textId="77777777" w:rsidR="00B13728" w:rsidRPr="00D042CC" w:rsidRDefault="00B13728">
      <w:pPr>
        <w:pStyle w:val="FootnoteText"/>
      </w:pPr>
      <w:r>
        <w:rPr>
          <w:rStyle w:val="FootnoteReference"/>
        </w:rPr>
        <w:footnoteRef/>
      </w:r>
      <w:r>
        <w:tab/>
        <w:t xml:space="preserve">Pasiūlymas dėl Europos Parlamento ir Tarybos direktyvos, kuria iš dalies keičiama Direktyva 2003/87/EB, nustatanti šiltnamio efektą sukeliančių dujų emisijos leidimų sistemą Sąjungoje, Sprendimas (ES) 2015/1814 dėl Sąjungos šiltnamio efektą sukeliančių dujų apyvartinių taršos leidimų prekybos sistemos rinkos stabilumo rezervo sukūrimo ir veikimo ir Reglamentas (ES) 2015/757, COM/2021/551 </w:t>
      </w:r>
      <w:r>
        <w:rPr>
          <w:i/>
        </w:rPr>
        <w:t>final</w:t>
      </w:r>
      <w:r>
        <w:t>.</w:t>
      </w:r>
    </w:p>
  </w:footnote>
  <w:footnote w:id="11">
    <w:p w14:paraId="357784B0" w14:textId="77777777" w:rsidR="00B13728" w:rsidRPr="00C54657" w:rsidRDefault="00B13728">
      <w:pPr>
        <w:pStyle w:val="FootnoteText"/>
      </w:pPr>
      <w:r>
        <w:rPr>
          <w:rStyle w:val="FootnoteReference"/>
        </w:rPr>
        <w:footnoteRef/>
      </w:r>
      <w:r>
        <w:tab/>
      </w:r>
      <w:r>
        <w:rPr>
          <w:i/>
          <w:iCs/>
          <w:sz w:val="18"/>
          <w:szCs w:val="18"/>
        </w:rPr>
        <w:t>Statement on a Two-Pillar Solution to Address the Tax Challenges Arising from the Digitalisation of the Economy, OECD/G20 Base Erosion and Profit Shifting Project, 8 October 2021.</w:t>
      </w:r>
      <w:r>
        <w:rPr>
          <w:sz w:val="18"/>
          <w:szCs w:val="18"/>
        </w:rPr>
        <w:t xml:space="preserve"> (Pareiškimas dėl dviejų ramsčių sprendimo siekiant spręsti mokesčių problemas, kylančias dėl ekonomikos skaitmenizacijos, EBPO ir G20 mokesčių bazės erozijos ir pelno perkėlimo projektas, 2021 m. spalio 8 d.)</w:t>
      </w:r>
    </w:p>
  </w:footnote>
  <w:footnote w:id="12">
    <w:p w14:paraId="452A11FA" w14:textId="77777777" w:rsidR="00B13728" w:rsidRPr="00D26AC1" w:rsidRDefault="00B13728">
      <w:pPr>
        <w:pStyle w:val="FootnoteText"/>
      </w:pPr>
      <w:r>
        <w:rPr>
          <w:rStyle w:val="FootnoteReference"/>
        </w:rPr>
        <w:footnoteRef/>
      </w:r>
      <w:r>
        <w:tab/>
        <w:t>2020 m. gruodžio 14 d. Tarybos reglamentas (ES) 2020/2094, kuriuo nustatoma Europos Sąjungos ekonomikos gaivinimo priemonė atsigavimui po COVID-19 krizės paremti (OL L 433I, 2020 12 22, p. 23).</w:t>
      </w:r>
    </w:p>
  </w:footnote>
  <w:footnote w:id="13">
    <w:p w14:paraId="7A008CF1" w14:textId="77777777" w:rsidR="00B13728" w:rsidRPr="00D26AC1" w:rsidRDefault="00B13728">
      <w:pPr>
        <w:pStyle w:val="FootnoteText"/>
      </w:pPr>
      <w:r>
        <w:rPr>
          <w:rStyle w:val="FootnoteReference"/>
        </w:rPr>
        <w:footnoteRef/>
      </w:r>
      <w:r>
        <w:tab/>
        <w:t>2020 m. gruodžio 16 d. Europos Parlamento, Europos Sąjungos Tarybos ir Europos Komisijos tarpinstitucinis susitarimas dėl biudžetinės drausmės, bendradarbiavimo biudžeto klausimais ir patikimo finansų valdymo, taip pat dėl naujų nuosavų išteklių, įskaitant veiksmų gaires dėl naujų nuosavų išteklių nustatymo (OL L 433I, 2020 12 22, p. 28).</w:t>
      </w:r>
    </w:p>
  </w:footnote>
  <w:footnote w:id="14">
    <w:p w14:paraId="022BF3B0" w14:textId="77777777" w:rsidR="00B13728" w:rsidRDefault="00B13728">
      <w:pPr>
        <w:pStyle w:val="FootnoteText"/>
      </w:pPr>
      <w:r>
        <w:rPr>
          <w:rStyle w:val="FootnoteReference"/>
        </w:rPr>
        <w:footnoteRef/>
      </w:r>
      <w:r>
        <w:tab/>
        <w:t>2003 m. spalio 13 d. Europos Parlamento ir Tarybos direktyva 2003/87/EB, nustatanti šiltnamio efektą sukeliančių dujų emisijos leidimų sistemą Sąjungoje ir iš dalies keičianti Tarybos direktyvą 96/61/EB (OL L 275, 2003 10 25, p. 32).</w:t>
      </w:r>
    </w:p>
  </w:footnote>
  <w:footnote w:id="15">
    <w:p w14:paraId="6B305D68" w14:textId="77777777" w:rsidR="00B13728" w:rsidRPr="009800BB" w:rsidRDefault="00B13728">
      <w:pPr>
        <w:pStyle w:val="FootnoteText"/>
      </w:pPr>
      <w:r>
        <w:rPr>
          <w:rStyle w:val="FootnoteReference"/>
        </w:rPr>
        <w:footnoteRef/>
      </w:r>
      <w:r>
        <w:tab/>
        <w:t>2018 m. gegužės 30 d. Europos Parlamento ir Tarybos reglamentas (ES) 2018/842, kuriuo, prisidedant prie klimato politikos veiksmų, kad būtų vykdomi įsipareigojimai pagal Paryžiaus susitarimą, valstybėms narėms nustatomi įpareigojimai 2021–2030 m. laikotarpiu sumažinti išmetamų šiltnamio efektą sukeliančių dujų metinį kiekį ir iš dalies keičiamas Reglamentas (ES) Nr. 525/2013 (OL L 156, 2018 6 19, p. 26).</w:t>
      </w:r>
    </w:p>
  </w:footnote>
  <w:footnote w:id="16">
    <w:p w14:paraId="397C6102" w14:textId="77777777" w:rsidR="00B13728" w:rsidRPr="00E76B33" w:rsidRDefault="00B13728">
      <w:pPr>
        <w:pStyle w:val="FootnoteText"/>
      </w:pPr>
      <w:r>
        <w:rPr>
          <w:rStyle w:val="FootnoteReference"/>
        </w:rPr>
        <w:footnoteRef/>
      </w:r>
      <w:r>
        <w:tab/>
        <w:t>Europos Parlamento ir Tarybos reglamentas (ES) [XXX], kuriuo nustatomas pasienio anglies dioksido korekcinis mechanizmas (OL L […], […], p. […]).</w:t>
      </w:r>
    </w:p>
  </w:footnote>
  <w:footnote w:id="17">
    <w:p w14:paraId="73A26ECD" w14:textId="77777777" w:rsidR="00B13728" w:rsidRPr="00C54657" w:rsidRDefault="00B13728">
      <w:pPr>
        <w:pStyle w:val="FootnoteText"/>
      </w:pPr>
      <w:r>
        <w:rPr>
          <w:rStyle w:val="FootnoteReference"/>
        </w:rPr>
        <w:t>1</w:t>
      </w:r>
      <w:r>
        <w:tab/>
      </w:r>
      <w:r>
        <w:rPr>
          <w:color w:val="444444"/>
          <w:shd w:val="clear" w:color="auto" w:fill="FFFFFF"/>
        </w:rPr>
        <w:t>2003 m. spalio 13 d. Europos Parlamento ir Tarybos direktyva 2003/87/EB, nustatanti šiltnamio efektą sukeliančių dujų emisijos leidimų sistemą Bendrijoje ir iš dalies keičianti Tarybos direktyvą 96/61/EB (OL L 275, 2003 10 25, p. 32).</w:t>
      </w:r>
    </w:p>
  </w:footnote>
  <w:footnote w:id="18">
    <w:p w14:paraId="3981AFF3" w14:textId="77777777" w:rsidR="00B13728" w:rsidRPr="00C54657" w:rsidRDefault="00B13728">
      <w:pPr>
        <w:pStyle w:val="FootnoteText"/>
      </w:pPr>
      <w:r>
        <w:rPr>
          <w:rStyle w:val="FootnoteReference"/>
        </w:rPr>
        <w:t>2</w:t>
      </w:r>
      <w:r>
        <w:tab/>
      </w:r>
      <w:r>
        <w:rPr>
          <w:color w:val="444444"/>
          <w:shd w:val="clear" w:color="auto" w:fill="FFFFFF"/>
        </w:rPr>
        <w:t>2018 m. gegužės 30 d. Europos Parlamento ir Tarybos reglamentas (ES) 2018/842, kuriuo, prisidedant prie klimato politikos veiksmų, kad būtų vykdomi įsipareigojimai pagal Paryžiaus susitarimą, valstybėms narėms nustatomi įpareigojimai 2021–2030 m. laikotarpiu sumažinti išmetamų šiltnamio efektą sukeliančių dujų metinį kiekį ir iš dalies keičiamas Reglamentas (ES) Nr. 525/2013 (OL L 156, 2018 6 19, p. 26).</w:t>
      </w:r>
    </w:p>
  </w:footnote>
  <w:footnote w:id="19">
    <w:p w14:paraId="3F47D252" w14:textId="77777777" w:rsidR="00B13728" w:rsidRPr="00C54657" w:rsidRDefault="00B13728">
      <w:pPr>
        <w:pStyle w:val="FootnoteText"/>
      </w:pPr>
      <w:r>
        <w:rPr>
          <w:rStyle w:val="FootnoteReference"/>
        </w:rPr>
        <w:t>3</w:t>
      </w:r>
      <w:r>
        <w:tab/>
        <w:t>Europos Parlamento ir Tarybos reglamentas (ES) [XXX], kuriuo nustatomas pasienio anglies dioksido korekcinis mechanizmas.</w:t>
      </w:r>
    </w:p>
  </w:footnote>
  <w:footnote w:id="20">
    <w:p w14:paraId="415C73D9" w14:textId="77777777" w:rsidR="00B13728" w:rsidRPr="00C54657" w:rsidRDefault="00B13728">
      <w:pPr>
        <w:pStyle w:val="FootnoteText"/>
      </w:pPr>
      <w:r>
        <w:rPr>
          <w:rStyle w:val="FootnoteReference"/>
        </w:rPr>
        <w:t>4</w:t>
      </w:r>
      <w:r>
        <w:tab/>
        <w:t>[Direktyva (ES) XXX, kuria įgyvendinamas EBPO ir G20 įtraukios sistemos susitarimas dėl pirmojo ramsčio].</w:t>
      </w:r>
    </w:p>
  </w:footnote>
  <w:footnote w:id="21">
    <w:p w14:paraId="12D5206E" w14:textId="77777777" w:rsidR="00B13728" w:rsidRPr="00950991" w:rsidRDefault="00B13728">
      <w:pPr>
        <w:pStyle w:val="FootnoteText"/>
        <w:rPr>
          <w:color w:val="444444"/>
          <w:shd w:val="clear" w:color="auto" w:fill="FFFFFF"/>
        </w:rPr>
      </w:pPr>
      <w:r>
        <w:rPr>
          <w:rStyle w:val="FootnoteReference"/>
        </w:rPr>
        <w:t>5</w:t>
      </w:r>
      <w:r>
        <w:tab/>
      </w:r>
      <w:r>
        <w:rPr>
          <w:color w:val="444444"/>
          <w:shd w:val="clear" w:color="auto" w:fill="FFFFFF"/>
        </w:rPr>
        <w:t>2019 m. kovo 19 d. Europos Parlamento ir Tarybos reglamentas (ES) 2019/516 dėl bendrųjų nacionalinių pajamų rinkos kainomis derinimo, kuriuo panaikinama Tarybos direktyva 89/130/EEB, Euratomas ir Tarybos reglamentas (EB, Euratomas) Nr. 1287/2003 (BNP reglamentas) (</w:t>
      </w:r>
      <w:hyperlink r:id="rId1" w:history="1">
        <w:r>
          <w:rPr>
            <w:color w:val="444444"/>
            <w:shd w:val="clear" w:color="auto" w:fill="FFFFFF"/>
          </w:rPr>
          <w:t>OL L 91, 2019 3 29, p. 19</w:t>
        </w:r>
      </w:hyperlink>
      <w:r>
        <w:rPr>
          <w:color w:val="444444"/>
          <w:shd w:val="clear" w:color="auto" w:fill="FFFFFF"/>
        </w:rPr>
        <w:t>).</w:t>
      </w:r>
    </w:p>
  </w:footnote>
  <w:footnote w:id="22">
    <w:p w14:paraId="1549D236" w14:textId="77777777" w:rsidR="00B13728" w:rsidRPr="00C54657" w:rsidRDefault="00B13728">
      <w:pPr>
        <w:pStyle w:val="FootnoteText"/>
      </w:pPr>
      <w:r>
        <w:rPr>
          <w:rStyle w:val="FootnoteReference"/>
        </w:rPr>
        <w:t>6</w:t>
      </w:r>
      <w:r>
        <w:tab/>
        <w:t>... m. ... ... d. Europos Parlamento ir Tarybos direktyva (ES) XXX/XXXX.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C38B622"/>
    <w:lvl w:ilvl="0">
      <w:start w:val="1"/>
      <w:numFmt w:val="decimal"/>
      <w:pStyle w:val="ListNumber4"/>
      <w:lvlText w:val="%1."/>
      <w:lvlJc w:val="left"/>
      <w:pPr>
        <w:tabs>
          <w:tab w:val="num" w:pos="2060"/>
        </w:tabs>
        <w:ind w:left="2060" w:hanging="360"/>
      </w:pPr>
    </w:lvl>
  </w:abstractNum>
  <w:abstractNum w:abstractNumId="1" w15:restartNumberingAfterBreak="0">
    <w:nsid w:val="FFFFFF7E"/>
    <w:multiLevelType w:val="singleLevel"/>
    <w:tmpl w:val="2C70187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0083D2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600F9E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8E8A6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76282D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98C09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C14483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3"/>
  </w:num>
  <w:num w:numId="27">
    <w:abstractNumId w:val="20"/>
  </w:num>
  <w:num w:numId="28">
    <w:abstractNumId w:val="20"/>
  </w:num>
  <w:num w:numId="29">
    <w:abstractNumId w:val="20"/>
  </w:num>
  <w:num w:numId="30">
    <w:abstractNumId w:val="14"/>
  </w:num>
  <w:num w:numId="31">
    <w:abstractNumId w:val="9"/>
  </w:num>
  <w:num w:numId="32">
    <w:abstractNumId w:val="9"/>
  </w:num>
  <w:num w:numId="3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1-06 20:52:05"/>
    <w:docVar w:name="DQCResult_Distribution" w:val="0;0"/>
    <w:docVar w:name="DQCResult_DocumentContent" w:val="0;0"/>
    <w:docVar w:name="DQCResult_DocumentSize" w:val="0;0"/>
    <w:docVar w:name="DQCResult_DocumentVersions" w:val="0;0"/>
    <w:docVar w:name="DQCResult_InvalidFootnotes" w:val="0;6"/>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B25D568-AA01-45FE-B8FA-248C368A47F3"/>
    <w:docVar w:name="LW_COVERPAGE_TYPE" w:val="1"/>
    <w:docVar w:name="LW_CROSSREFERENCE" w:val="&lt;UNUSED&gt;"/>
    <w:docVar w:name="LW_DocType" w:val="COM"/>
    <w:docVar w:name="LW_EMISSION" w:val="2021 12 22"/>
    <w:docVar w:name="LW_EMISSION_ISODATE" w:val="2021-12-22"/>
    <w:docVar w:name="LW_EMISSION_LOCATION" w:val="BRX"/>
    <w:docVar w:name="LW_EMISSION_PREFIX" w:val="Briuseli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LT"/>
    <w:docVar w:name="LW_LEVEL_OF_SENSITIVITY" w:val="Standard treatment"/>
    <w:docVar w:name="LW_NOM.INST" w:val="EUROPOS KOMISIJA"/>
    <w:docVar w:name="LW_NOM.INST_JOINTDOC" w:val="&lt;EMPTY&gt;"/>
    <w:docVar w:name="LW_PART_NBR" w:val="1"/>
    <w:docVar w:name="LW_PART_NBR_TOTAL" w:val="1"/>
    <w:docVar w:name="LW_REF.II.NEW.CP" w:val="CNS"/>
    <w:docVar w:name="LW_REF.II.NEW.CP_NUMBER" w:val="0430"/>
    <w:docVar w:name="LW_REF.II.NEW.CP_YEAR" w:val="2021"/>
    <w:docVar w:name="LW_REF.INST.NEW" w:val="COM"/>
    <w:docVar w:name="LW_REF.INST.NEW_ADOPTED" w:val="final"/>
    <w:docVar w:name="LW_REF.INST.NEW_TEXT" w:val="(2021) 5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asiūlymas"/>
    <w:docVar w:name="LW_SUPERTITRE" w:val="&lt;UNUSED&gt;"/>
    <w:docVar w:name="LW_TITRE.OBJ.CP" w:val="kuriuo iš dalies keičiamas Sprendimas (ES, Euratomas) 2020/2053 dėl Europos Sąjungos nuosavų išteklių sistemos"/>
    <w:docVar w:name="LW_TYPE.DOC.CP" w:val="TARYBOS SPRENDIMAS"/>
    <w:docVar w:name="LwApiVersions" w:val="LW4CoDe 1.23.2.0; LW 8.0, Build 20211117"/>
  </w:docVars>
  <w:rsids>
    <w:rsidRoot w:val="00DF010D"/>
    <w:rsid w:val="000002C1"/>
    <w:rsid w:val="00006895"/>
    <w:rsid w:val="00007049"/>
    <w:rsid w:val="00007747"/>
    <w:rsid w:val="000115F8"/>
    <w:rsid w:val="00011E15"/>
    <w:rsid w:val="00013684"/>
    <w:rsid w:val="00014551"/>
    <w:rsid w:val="00017707"/>
    <w:rsid w:val="00020F5B"/>
    <w:rsid w:val="000226DB"/>
    <w:rsid w:val="00023CE6"/>
    <w:rsid w:val="00023E20"/>
    <w:rsid w:val="00023E9D"/>
    <w:rsid w:val="000268AF"/>
    <w:rsid w:val="00027333"/>
    <w:rsid w:val="000274BA"/>
    <w:rsid w:val="00030362"/>
    <w:rsid w:val="000306EB"/>
    <w:rsid w:val="00030E8F"/>
    <w:rsid w:val="00031091"/>
    <w:rsid w:val="00032A44"/>
    <w:rsid w:val="000346E0"/>
    <w:rsid w:val="00037F20"/>
    <w:rsid w:val="000408F9"/>
    <w:rsid w:val="00044E22"/>
    <w:rsid w:val="000451B9"/>
    <w:rsid w:val="000463CF"/>
    <w:rsid w:val="00046AC6"/>
    <w:rsid w:val="00050C0E"/>
    <w:rsid w:val="00052EC7"/>
    <w:rsid w:val="00052ECB"/>
    <w:rsid w:val="00054A21"/>
    <w:rsid w:val="00054C01"/>
    <w:rsid w:val="000554B4"/>
    <w:rsid w:val="000555BD"/>
    <w:rsid w:val="00055856"/>
    <w:rsid w:val="00056D29"/>
    <w:rsid w:val="00057BDC"/>
    <w:rsid w:val="00061EA8"/>
    <w:rsid w:val="00063960"/>
    <w:rsid w:val="0006540D"/>
    <w:rsid w:val="000654AC"/>
    <w:rsid w:val="00067E2C"/>
    <w:rsid w:val="00073A0D"/>
    <w:rsid w:val="000745D5"/>
    <w:rsid w:val="00074CDA"/>
    <w:rsid w:val="000756C5"/>
    <w:rsid w:val="000761EE"/>
    <w:rsid w:val="00077754"/>
    <w:rsid w:val="000806A7"/>
    <w:rsid w:val="000813EC"/>
    <w:rsid w:val="00081C58"/>
    <w:rsid w:val="0008210B"/>
    <w:rsid w:val="0008299A"/>
    <w:rsid w:val="00082A35"/>
    <w:rsid w:val="0008482D"/>
    <w:rsid w:val="00084A92"/>
    <w:rsid w:val="00087423"/>
    <w:rsid w:val="00087786"/>
    <w:rsid w:val="00087BD1"/>
    <w:rsid w:val="00090314"/>
    <w:rsid w:val="00091620"/>
    <w:rsid w:val="00093BA1"/>
    <w:rsid w:val="00095562"/>
    <w:rsid w:val="000957AB"/>
    <w:rsid w:val="000959D3"/>
    <w:rsid w:val="00095A2B"/>
    <w:rsid w:val="00095FA6"/>
    <w:rsid w:val="00096A9F"/>
    <w:rsid w:val="0009779D"/>
    <w:rsid w:val="000A0BB2"/>
    <w:rsid w:val="000A18B3"/>
    <w:rsid w:val="000A2694"/>
    <w:rsid w:val="000A2E50"/>
    <w:rsid w:val="000A715F"/>
    <w:rsid w:val="000A7517"/>
    <w:rsid w:val="000A7605"/>
    <w:rsid w:val="000B207A"/>
    <w:rsid w:val="000B223B"/>
    <w:rsid w:val="000B2D6F"/>
    <w:rsid w:val="000B5B3B"/>
    <w:rsid w:val="000B5D2A"/>
    <w:rsid w:val="000B6133"/>
    <w:rsid w:val="000B63DE"/>
    <w:rsid w:val="000B66A7"/>
    <w:rsid w:val="000B6ED2"/>
    <w:rsid w:val="000C000E"/>
    <w:rsid w:val="000C1946"/>
    <w:rsid w:val="000C3BA1"/>
    <w:rsid w:val="000C46C4"/>
    <w:rsid w:val="000C65A9"/>
    <w:rsid w:val="000C6658"/>
    <w:rsid w:val="000C6F68"/>
    <w:rsid w:val="000C7228"/>
    <w:rsid w:val="000D1C77"/>
    <w:rsid w:val="000D20C9"/>
    <w:rsid w:val="000D3915"/>
    <w:rsid w:val="000D3F76"/>
    <w:rsid w:val="000D66AD"/>
    <w:rsid w:val="000E198E"/>
    <w:rsid w:val="000E3577"/>
    <w:rsid w:val="000E366D"/>
    <w:rsid w:val="000E378F"/>
    <w:rsid w:val="000E402D"/>
    <w:rsid w:val="000E5B2F"/>
    <w:rsid w:val="000F002E"/>
    <w:rsid w:val="000F3A2B"/>
    <w:rsid w:val="000F47B7"/>
    <w:rsid w:val="000F4CC5"/>
    <w:rsid w:val="00103AF5"/>
    <w:rsid w:val="001056CB"/>
    <w:rsid w:val="00106C03"/>
    <w:rsid w:val="00110936"/>
    <w:rsid w:val="00111018"/>
    <w:rsid w:val="00112EC9"/>
    <w:rsid w:val="00114B07"/>
    <w:rsid w:val="00116CEB"/>
    <w:rsid w:val="00117FDE"/>
    <w:rsid w:val="00122A0F"/>
    <w:rsid w:val="0012567F"/>
    <w:rsid w:val="00125C43"/>
    <w:rsid w:val="00125DDB"/>
    <w:rsid w:val="001261F6"/>
    <w:rsid w:val="001363DD"/>
    <w:rsid w:val="00137DCC"/>
    <w:rsid w:val="001420A7"/>
    <w:rsid w:val="001424F0"/>
    <w:rsid w:val="00142E92"/>
    <w:rsid w:val="00143EB1"/>
    <w:rsid w:val="00151C8C"/>
    <w:rsid w:val="00153A58"/>
    <w:rsid w:val="001542E1"/>
    <w:rsid w:val="00154908"/>
    <w:rsid w:val="00155373"/>
    <w:rsid w:val="00156C23"/>
    <w:rsid w:val="001572B9"/>
    <w:rsid w:val="00161FD8"/>
    <w:rsid w:val="001628BF"/>
    <w:rsid w:val="00163031"/>
    <w:rsid w:val="00163744"/>
    <w:rsid w:val="00165F62"/>
    <w:rsid w:val="00167020"/>
    <w:rsid w:val="0017080B"/>
    <w:rsid w:val="0017118C"/>
    <w:rsid w:val="00171AE5"/>
    <w:rsid w:val="001729FB"/>
    <w:rsid w:val="00173884"/>
    <w:rsid w:val="00173AE6"/>
    <w:rsid w:val="00174B94"/>
    <w:rsid w:val="00175E60"/>
    <w:rsid w:val="00176C87"/>
    <w:rsid w:val="00176D3D"/>
    <w:rsid w:val="00181853"/>
    <w:rsid w:val="00181C55"/>
    <w:rsid w:val="0018295A"/>
    <w:rsid w:val="001829D8"/>
    <w:rsid w:val="001844E2"/>
    <w:rsid w:val="001853E0"/>
    <w:rsid w:val="0018546D"/>
    <w:rsid w:val="00185A32"/>
    <w:rsid w:val="0018602D"/>
    <w:rsid w:val="00192B51"/>
    <w:rsid w:val="001962B2"/>
    <w:rsid w:val="001A1FC4"/>
    <w:rsid w:val="001A25C3"/>
    <w:rsid w:val="001B0F51"/>
    <w:rsid w:val="001B1699"/>
    <w:rsid w:val="001B1BA7"/>
    <w:rsid w:val="001B2F96"/>
    <w:rsid w:val="001B4CFF"/>
    <w:rsid w:val="001B5241"/>
    <w:rsid w:val="001B5C1C"/>
    <w:rsid w:val="001B64D5"/>
    <w:rsid w:val="001B6B77"/>
    <w:rsid w:val="001B6D60"/>
    <w:rsid w:val="001B6DAE"/>
    <w:rsid w:val="001B6F13"/>
    <w:rsid w:val="001C04F1"/>
    <w:rsid w:val="001C1974"/>
    <w:rsid w:val="001C1AD5"/>
    <w:rsid w:val="001C1AE1"/>
    <w:rsid w:val="001C2816"/>
    <w:rsid w:val="001C32AF"/>
    <w:rsid w:val="001C4056"/>
    <w:rsid w:val="001C4DF3"/>
    <w:rsid w:val="001C6C99"/>
    <w:rsid w:val="001C6FF3"/>
    <w:rsid w:val="001C7C91"/>
    <w:rsid w:val="001D0CD5"/>
    <w:rsid w:val="001D18D6"/>
    <w:rsid w:val="001D1F48"/>
    <w:rsid w:val="001D38D2"/>
    <w:rsid w:val="001D3F92"/>
    <w:rsid w:val="001D5027"/>
    <w:rsid w:val="001D68D1"/>
    <w:rsid w:val="001E12FD"/>
    <w:rsid w:val="001E1394"/>
    <w:rsid w:val="001E200D"/>
    <w:rsid w:val="001E3AB0"/>
    <w:rsid w:val="001E61E5"/>
    <w:rsid w:val="001E66D2"/>
    <w:rsid w:val="001E6B14"/>
    <w:rsid w:val="001E6CCF"/>
    <w:rsid w:val="001E75DE"/>
    <w:rsid w:val="001E76C0"/>
    <w:rsid w:val="001F0A80"/>
    <w:rsid w:val="001F4FF2"/>
    <w:rsid w:val="001F5E4F"/>
    <w:rsid w:val="001F6DDD"/>
    <w:rsid w:val="00201C77"/>
    <w:rsid w:val="00205D3B"/>
    <w:rsid w:val="00205E87"/>
    <w:rsid w:val="00206A99"/>
    <w:rsid w:val="0020701D"/>
    <w:rsid w:val="00212C95"/>
    <w:rsid w:val="00212F2B"/>
    <w:rsid w:val="00217FE6"/>
    <w:rsid w:val="00221E8B"/>
    <w:rsid w:val="00221FD4"/>
    <w:rsid w:val="00222C11"/>
    <w:rsid w:val="0022523D"/>
    <w:rsid w:val="0022677E"/>
    <w:rsid w:val="00226DDC"/>
    <w:rsid w:val="00232E98"/>
    <w:rsid w:val="00233EE8"/>
    <w:rsid w:val="0023501D"/>
    <w:rsid w:val="0023782D"/>
    <w:rsid w:val="002402DD"/>
    <w:rsid w:val="00244826"/>
    <w:rsid w:val="00244C66"/>
    <w:rsid w:val="00245DB9"/>
    <w:rsid w:val="0024690C"/>
    <w:rsid w:val="0025075A"/>
    <w:rsid w:val="00253AB2"/>
    <w:rsid w:val="00253DCF"/>
    <w:rsid w:val="00255E19"/>
    <w:rsid w:val="00257EE2"/>
    <w:rsid w:val="00260A2D"/>
    <w:rsid w:val="0026128D"/>
    <w:rsid w:val="002633BF"/>
    <w:rsid w:val="00266214"/>
    <w:rsid w:val="00266592"/>
    <w:rsid w:val="00267D0E"/>
    <w:rsid w:val="00267E20"/>
    <w:rsid w:val="00267F3C"/>
    <w:rsid w:val="00270CB0"/>
    <w:rsid w:val="00274B36"/>
    <w:rsid w:val="0027786C"/>
    <w:rsid w:val="00277A32"/>
    <w:rsid w:val="00277CE2"/>
    <w:rsid w:val="002808AA"/>
    <w:rsid w:val="002808D4"/>
    <w:rsid w:val="00280938"/>
    <w:rsid w:val="00281040"/>
    <w:rsid w:val="0028126A"/>
    <w:rsid w:val="002813AC"/>
    <w:rsid w:val="002868FE"/>
    <w:rsid w:val="00286BB4"/>
    <w:rsid w:val="00286CBF"/>
    <w:rsid w:val="00287A66"/>
    <w:rsid w:val="00287ED0"/>
    <w:rsid w:val="002976DC"/>
    <w:rsid w:val="00297BC0"/>
    <w:rsid w:val="002A0FE9"/>
    <w:rsid w:val="002A116E"/>
    <w:rsid w:val="002A1949"/>
    <w:rsid w:val="002A3267"/>
    <w:rsid w:val="002A3478"/>
    <w:rsid w:val="002A3D53"/>
    <w:rsid w:val="002A4E55"/>
    <w:rsid w:val="002A4F5D"/>
    <w:rsid w:val="002A5ADF"/>
    <w:rsid w:val="002A795F"/>
    <w:rsid w:val="002A79AE"/>
    <w:rsid w:val="002B0EAC"/>
    <w:rsid w:val="002B2F6E"/>
    <w:rsid w:val="002B3156"/>
    <w:rsid w:val="002B699B"/>
    <w:rsid w:val="002B75AD"/>
    <w:rsid w:val="002B76D0"/>
    <w:rsid w:val="002C1723"/>
    <w:rsid w:val="002C20DA"/>
    <w:rsid w:val="002C4512"/>
    <w:rsid w:val="002C5205"/>
    <w:rsid w:val="002C545E"/>
    <w:rsid w:val="002C581C"/>
    <w:rsid w:val="002C68FA"/>
    <w:rsid w:val="002D07C1"/>
    <w:rsid w:val="002D21F9"/>
    <w:rsid w:val="002D29AB"/>
    <w:rsid w:val="002D3AF2"/>
    <w:rsid w:val="002D3CCA"/>
    <w:rsid w:val="002D425E"/>
    <w:rsid w:val="002D42EE"/>
    <w:rsid w:val="002D4C4D"/>
    <w:rsid w:val="002D5254"/>
    <w:rsid w:val="002D526E"/>
    <w:rsid w:val="002D556A"/>
    <w:rsid w:val="002D5EDE"/>
    <w:rsid w:val="002D6DC5"/>
    <w:rsid w:val="002D765F"/>
    <w:rsid w:val="002D7726"/>
    <w:rsid w:val="002D7E75"/>
    <w:rsid w:val="002E0F14"/>
    <w:rsid w:val="002E27A5"/>
    <w:rsid w:val="002E6425"/>
    <w:rsid w:val="002F081F"/>
    <w:rsid w:val="002F161D"/>
    <w:rsid w:val="002F37C0"/>
    <w:rsid w:val="002F3C4E"/>
    <w:rsid w:val="002F41AF"/>
    <w:rsid w:val="002F6455"/>
    <w:rsid w:val="003005E1"/>
    <w:rsid w:val="00303D3E"/>
    <w:rsid w:val="003045CC"/>
    <w:rsid w:val="00304B7B"/>
    <w:rsid w:val="0030547A"/>
    <w:rsid w:val="003054AB"/>
    <w:rsid w:val="0030594E"/>
    <w:rsid w:val="00307641"/>
    <w:rsid w:val="00307752"/>
    <w:rsid w:val="00310FA5"/>
    <w:rsid w:val="0031106D"/>
    <w:rsid w:val="003149E9"/>
    <w:rsid w:val="00314FD5"/>
    <w:rsid w:val="0031589F"/>
    <w:rsid w:val="00316A06"/>
    <w:rsid w:val="00321B40"/>
    <w:rsid w:val="003226F7"/>
    <w:rsid w:val="0032421F"/>
    <w:rsid w:val="003245F4"/>
    <w:rsid w:val="00326414"/>
    <w:rsid w:val="003277D4"/>
    <w:rsid w:val="003302ED"/>
    <w:rsid w:val="00334669"/>
    <w:rsid w:val="0033474B"/>
    <w:rsid w:val="00334908"/>
    <w:rsid w:val="003354E4"/>
    <w:rsid w:val="00336347"/>
    <w:rsid w:val="00340208"/>
    <w:rsid w:val="003419A5"/>
    <w:rsid w:val="00343280"/>
    <w:rsid w:val="00345912"/>
    <w:rsid w:val="003514B8"/>
    <w:rsid w:val="00352B7F"/>
    <w:rsid w:val="00353BA7"/>
    <w:rsid w:val="00353FD6"/>
    <w:rsid w:val="00354411"/>
    <w:rsid w:val="00354730"/>
    <w:rsid w:val="00361D5D"/>
    <w:rsid w:val="0036531C"/>
    <w:rsid w:val="003674DD"/>
    <w:rsid w:val="00370D1E"/>
    <w:rsid w:val="003711E9"/>
    <w:rsid w:val="003736EB"/>
    <w:rsid w:val="00373B2E"/>
    <w:rsid w:val="003746BE"/>
    <w:rsid w:val="00375710"/>
    <w:rsid w:val="00375870"/>
    <w:rsid w:val="003771FE"/>
    <w:rsid w:val="00377D35"/>
    <w:rsid w:val="00380634"/>
    <w:rsid w:val="00387615"/>
    <w:rsid w:val="003914F2"/>
    <w:rsid w:val="003934B1"/>
    <w:rsid w:val="00394786"/>
    <w:rsid w:val="0039501F"/>
    <w:rsid w:val="003970AF"/>
    <w:rsid w:val="00397AC3"/>
    <w:rsid w:val="003A2F1B"/>
    <w:rsid w:val="003A4073"/>
    <w:rsid w:val="003A4749"/>
    <w:rsid w:val="003A55C4"/>
    <w:rsid w:val="003A6250"/>
    <w:rsid w:val="003A674A"/>
    <w:rsid w:val="003B05D8"/>
    <w:rsid w:val="003B37DD"/>
    <w:rsid w:val="003B53C0"/>
    <w:rsid w:val="003B6728"/>
    <w:rsid w:val="003C1FA0"/>
    <w:rsid w:val="003C2240"/>
    <w:rsid w:val="003C2334"/>
    <w:rsid w:val="003C38EE"/>
    <w:rsid w:val="003C4FD3"/>
    <w:rsid w:val="003C61B0"/>
    <w:rsid w:val="003C64F1"/>
    <w:rsid w:val="003C6640"/>
    <w:rsid w:val="003C66CA"/>
    <w:rsid w:val="003C6EF1"/>
    <w:rsid w:val="003C7AE6"/>
    <w:rsid w:val="003D07DA"/>
    <w:rsid w:val="003D1BAD"/>
    <w:rsid w:val="003D4CF4"/>
    <w:rsid w:val="003D51E9"/>
    <w:rsid w:val="003E1061"/>
    <w:rsid w:val="003E1928"/>
    <w:rsid w:val="003E35B8"/>
    <w:rsid w:val="003E3F78"/>
    <w:rsid w:val="003E4037"/>
    <w:rsid w:val="003E4A78"/>
    <w:rsid w:val="003E57A6"/>
    <w:rsid w:val="003F3BDC"/>
    <w:rsid w:val="003F4FD4"/>
    <w:rsid w:val="003F5224"/>
    <w:rsid w:val="00400F0F"/>
    <w:rsid w:val="00401108"/>
    <w:rsid w:val="00401182"/>
    <w:rsid w:val="00403BAF"/>
    <w:rsid w:val="00404789"/>
    <w:rsid w:val="00405290"/>
    <w:rsid w:val="00412AB5"/>
    <w:rsid w:val="00413B48"/>
    <w:rsid w:val="00416B0A"/>
    <w:rsid w:val="00417CE4"/>
    <w:rsid w:val="00420129"/>
    <w:rsid w:val="004214E7"/>
    <w:rsid w:val="00422129"/>
    <w:rsid w:val="00422445"/>
    <w:rsid w:val="004231EE"/>
    <w:rsid w:val="00426B58"/>
    <w:rsid w:val="00427376"/>
    <w:rsid w:val="00427F92"/>
    <w:rsid w:val="00430191"/>
    <w:rsid w:val="00430FE6"/>
    <w:rsid w:val="00432465"/>
    <w:rsid w:val="0043308A"/>
    <w:rsid w:val="004336B3"/>
    <w:rsid w:val="004344EE"/>
    <w:rsid w:val="00434E0C"/>
    <w:rsid w:val="00437C58"/>
    <w:rsid w:val="00437E2F"/>
    <w:rsid w:val="00440EF5"/>
    <w:rsid w:val="00443C82"/>
    <w:rsid w:val="00445F39"/>
    <w:rsid w:val="004470E6"/>
    <w:rsid w:val="00447622"/>
    <w:rsid w:val="00450D32"/>
    <w:rsid w:val="00453D88"/>
    <w:rsid w:val="004545DF"/>
    <w:rsid w:val="0045522F"/>
    <w:rsid w:val="00455F64"/>
    <w:rsid w:val="00456B4E"/>
    <w:rsid w:val="00457890"/>
    <w:rsid w:val="00457C21"/>
    <w:rsid w:val="00460265"/>
    <w:rsid w:val="004619B8"/>
    <w:rsid w:val="004647DB"/>
    <w:rsid w:val="004659F9"/>
    <w:rsid w:val="004662F0"/>
    <w:rsid w:val="00467066"/>
    <w:rsid w:val="00467F71"/>
    <w:rsid w:val="00470B5B"/>
    <w:rsid w:val="00471FE8"/>
    <w:rsid w:val="00472958"/>
    <w:rsid w:val="0047303A"/>
    <w:rsid w:val="00474EAE"/>
    <w:rsid w:val="004750C7"/>
    <w:rsid w:val="004754CA"/>
    <w:rsid w:val="00475EDD"/>
    <w:rsid w:val="0047671B"/>
    <w:rsid w:val="0047735E"/>
    <w:rsid w:val="00477A44"/>
    <w:rsid w:val="00482A74"/>
    <w:rsid w:val="004857EF"/>
    <w:rsid w:val="00486DD3"/>
    <w:rsid w:val="00490A45"/>
    <w:rsid w:val="00490BB3"/>
    <w:rsid w:val="00490C33"/>
    <w:rsid w:val="00494001"/>
    <w:rsid w:val="00496FE7"/>
    <w:rsid w:val="004A2C19"/>
    <w:rsid w:val="004A2DE1"/>
    <w:rsid w:val="004A3566"/>
    <w:rsid w:val="004A4E1A"/>
    <w:rsid w:val="004A68AD"/>
    <w:rsid w:val="004B22F9"/>
    <w:rsid w:val="004B3CC4"/>
    <w:rsid w:val="004B4149"/>
    <w:rsid w:val="004B4A5B"/>
    <w:rsid w:val="004B4C23"/>
    <w:rsid w:val="004B7D51"/>
    <w:rsid w:val="004C0E94"/>
    <w:rsid w:val="004C1926"/>
    <w:rsid w:val="004C1D5C"/>
    <w:rsid w:val="004C252A"/>
    <w:rsid w:val="004C2979"/>
    <w:rsid w:val="004C2BEF"/>
    <w:rsid w:val="004C4CDA"/>
    <w:rsid w:val="004C5426"/>
    <w:rsid w:val="004C6A9A"/>
    <w:rsid w:val="004D5CC0"/>
    <w:rsid w:val="004D62D0"/>
    <w:rsid w:val="004D772A"/>
    <w:rsid w:val="004E0F42"/>
    <w:rsid w:val="004E22E6"/>
    <w:rsid w:val="004E2DCD"/>
    <w:rsid w:val="004E5D96"/>
    <w:rsid w:val="004E65F0"/>
    <w:rsid w:val="004E7366"/>
    <w:rsid w:val="004F1437"/>
    <w:rsid w:val="004F1D1F"/>
    <w:rsid w:val="004F24E2"/>
    <w:rsid w:val="004F2948"/>
    <w:rsid w:val="004F36D0"/>
    <w:rsid w:val="004F3BEE"/>
    <w:rsid w:val="004F4AF5"/>
    <w:rsid w:val="004F6C05"/>
    <w:rsid w:val="00501E0F"/>
    <w:rsid w:val="00501F42"/>
    <w:rsid w:val="00503749"/>
    <w:rsid w:val="00503BCD"/>
    <w:rsid w:val="00504FC5"/>
    <w:rsid w:val="00506922"/>
    <w:rsid w:val="00512CDC"/>
    <w:rsid w:val="00515241"/>
    <w:rsid w:val="00517145"/>
    <w:rsid w:val="005173E6"/>
    <w:rsid w:val="0052369D"/>
    <w:rsid w:val="00526121"/>
    <w:rsid w:val="0052635E"/>
    <w:rsid w:val="005279B5"/>
    <w:rsid w:val="005309E8"/>
    <w:rsid w:val="00530CB6"/>
    <w:rsid w:val="00533489"/>
    <w:rsid w:val="00534360"/>
    <w:rsid w:val="00534413"/>
    <w:rsid w:val="0054171F"/>
    <w:rsid w:val="00543901"/>
    <w:rsid w:val="00544554"/>
    <w:rsid w:val="005447D5"/>
    <w:rsid w:val="00544A27"/>
    <w:rsid w:val="00545B84"/>
    <w:rsid w:val="00546BEE"/>
    <w:rsid w:val="00547210"/>
    <w:rsid w:val="005473E0"/>
    <w:rsid w:val="0054775B"/>
    <w:rsid w:val="00550001"/>
    <w:rsid w:val="005508AB"/>
    <w:rsid w:val="00550ECB"/>
    <w:rsid w:val="005512E6"/>
    <w:rsid w:val="0055318C"/>
    <w:rsid w:val="00555348"/>
    <w:rsid w:val="005564A3"/>
    <w:rsid w:val="0055666A"/>
    <w:rsid w:val="005567F8"/>
    <w:rsid w:val="0055793A"/>
    <w:rsid w:val="00557BC2"/>
    <w:rsid w:val="00560712"/>
    <w:rsid w:val="00560E95"/>
    <w:rsid w:val="00563BD5"/>
    <w:rsid w:val="00565D85"/>
    <w:rsid w:val="00565EED"/>
    <w:rsid w:val="00566E9E"/>
    <w:rsid w:val="00567358"/>
    <w:rsid w:val="00567CD7"/>
    <w:rsid w:val="005707DB"/>
    <w:rsid w:val="005709FF"/>
    <w:rsid w:val="00571A1C"/>
    <w:rsid w:val="00573A89"/>
    <w:rsid w:val="005745F9"/>
    <w:rsid w:val="00574650"/>
    <w:rsid w:val="00577262"/>
    <w:rsid w:val="005809ED"/>
    <w:rsid w:val="0058245B"/>
    <w:rsid w:val="0058500E"/>
    <w:rsid w:val="0058606E"/>
    <w:rsid w:val="00590E1F"/>
    <w:rsid w:val="00591395"/>
    <w:rsid w:val="005923A8"/>
    <w:rsid w:val="005938B3"/>
    <w:rsid w:val="00593A4B"/>
    <w:rsid w:val="00595890"/>
    <w:rsid w:val="005A1953"/>
    <w:rsid w:val="005A6467"/>
    <w:rsid w:val="005A6F8A"/>
    <w:rsid w:val="005B0DBE"/>
    <w:rsid w:val="005B104A"/>
    <w:rsid w:val="005B1EB0"/>
    <w:rsid w:val="005B2B0E"/>
    <w:rsid w:val="005B389D"/>
    <w:rsid w:val="005B62F6"/>
    <w:rsid w:val="005B6A3C"/>
    <w:rsid w:val="005B6D98"/>
    <w:rsid w:val="005C0AE7"/>
    <w:rsid w:val="005C0C5F"/>
    <w:rsid w:val="005C2052"/>
    <w:rsid w:val="005C3A1C"/>
    <w:rsid w:val="005C436C"/>
    <w:rsid w:val="005C4668"/>
    <w:rsid w:val="005C47C3"/>
    <w:rsid w:val="005C5E0E"/>
    <w:rsid w:val="005C7257"/>
    <w:rsid w:val="005C7749"/>
    <w:rsid w:val="005C7B61"/>
    <w:rsid w:val="005D0383"/>
    <w:rsid w:val="005D03BF"/>
    <w:rsid w:val="005D1A32"/>
    <w:rsid w:val="005D2880"/>
    <w:rsid w:val="005D2E69"/>
    <w:rsid w:val="005D4B2E"/>
    <w:rsid w:val="005D57A3"/>
    <w:rsid w:val="005D6142"/>
    <w:rsid w:val="005E03C4"/>
    <w:rsid w:val="005E046C"/>
    <w:rsid w:val="005E05F8"/>
    <w:rsid w:val="005E060B"/>
    <w:rsid w:val="005E123D"/>
    <w:rsid w:val="005E160B"/>
    <w:rsid w:val="005E354D"/>
    <w:rsid w:val="005E7AA0"/>
    <w:rsid w:val="005F0598"/>
    <w:rsid w:val="005F0B36"/>
    <w:rsid w:val="005F5B56"/>
    <w:rsid w:val="005F6204"/>
    <w:rsid w:val="005F6D44"/>
    <w:rsid w:val="005F7441"/>
    <w:rsid w:val="005F7C87"/>
    <w:rsid w:val="005F7D73"/>
    <w:rsid w:val="005F7D74"/>
    <w:rsid w:val="0060051C"/>
    <w:rsid w:val="0060173D"/>
    <w:rsid w:val="00601BC8"/>
    <w:rsid w:val="00601F3C"/>
    <w:rsid w:val="00603A61"/>
    <w:rsid w:val="00603FBA"/>
    <w:rsid w:val="006047FB"/>
    <w:rsid w:val="00604CCD"/>
    <w:rsid w:val="006114F3"/>
    <w:rsid w:val="00613116"/>
    <w:rsid w:val="00613A85"/>
    <w:rsid w:val="00620F97"/>
    <w:rsid w:val="0062116D"/>
    <w:rsid w:val="00623848"/>
    <w:rsid w:val="00626238"/>
    <w:rsid w:val="00630B77"/>
    <w:rsid w:val="006335EC"/>
    <w:rsid w:val="0063408D"/>
    <w:rsid w:val="00637B29"/>
    <w:rsid w:val="0064101E"/>
    <w:rsid w:val="00641154"/>
    <w:rsid w:val="0064341A"/>
    <w:rsid w:val="00643C48"/>
    <w:rsid w:val="00644845"/>
    <w:rsid w:val="0064488B"/>
    <w:rsid w:val="00645629"/>
    <w:rsid w:val="00650261"/>
    <w:rsid w:val="006502C8"/>
    <w:rsid w:val="00650726"/>
    <w:rsid w:val="00650D88"/>
    <w:rsid w:val="006522DD"/>
    <w:rsid w:val="0065232A"/>
    <w:rsid w:val="00653E56"/>
    <w:rsid w:val="006541A5"/>
    <w:rsid w:val="006618DF"/>
    <w:rsid w:val="00666984"/>
    <w:rsid w:val="00666C88"/>
    <w:rsid w:val="00670684"/>
    <w:rsid w:val="006723E9"/>
    <w:rsid w:val="00672BFB"/>
    <w:rsid w:val="0067481B"/>
    <w:rsid w:val="0067523E"/>
    <w:rsid w:val="006755CF"/>
    <w:rsid w:val="00675E23"/>
    <w:rsid w:val="00676B93"/>
    <w:rsid w:val="0067702F"/>
    <w:rsid w:val="00682B8C"/>
    <w:rsid w:val="00684203"/>
    <w:rsid w:val="00687C4A"/>
    <w:rsid w:val="006909D4"/>
    <w:rsid w:val="006914A1"/>
    <w:rsid w:val="00691E32"/>
    <w:rsid w:val="00692181"/>
    <w:rsid w:val="00692620"/>
    <w:rsid w:val="006928D2"/>
    <w:rsid w:val="0069494B"/>
    <w:rsid w:val="0069670E"/>
    <w:rsid w:val="00697186"/>
    <w:rsid w:val="006A06C8"/>
    <w:rsid w:val="006A131F"/>
    <w:rsid w:val="006A1B41"/>
    <w:rsid w:val="006A1DDF"/>
    <w:rsid w:val="006A2057"/>
    <w:rsid w:val="006A2A5E"/>
    <w:rsid w:val="006A31B7"/>
    <w:rsid w:val="006A35AF"/>
    <w:rsid w:val="006A5C85"/>
    <w:rsid w:val="006A6353"/>
    <w:rsid w:val="006A7F9B"/>
    <w:rsid w:val="006B5802"/>
    <w:rsid w:val="006B6A13"/>
    <w:rsid w:val="006C2880"/>
    <w:rsid w:val="006C5D73"/>
    <w:rsid w:val="006C7443"/>
    <w:rsid w:val="006D142E"/>
    <w:rsid w:val="006D14B3"/>
    <w:rsid w:val="006D1907"/>
    <w:rsid w:val="006D42F5"/>
    <w:rsid w:val="006D5D57"/>
    <w:rsid w:val="006D649C"/>
    <w:rsid w:val="006D7C9E"/>
    <w:rsid w:val="006D7F2C"/>
    <w:rsid w:val="006E20E5"/>
    <w:rsid w:val="006E20F3"/>
    <w:rsid w:val="006E243B"/>
    <w:rsid w:val="006E3292"/>
    <w:rsid w:val="006E3C85"/>
    <w:rsid w:val="006E43CA"/>
    <w:rsid w:val="006E4BFD"/>
    <w:rsid w:val="006E6B18"/>
    <w:rsid w:val="006E7C7C"/>
    <w:rsid w:val="006F1E86"/>
    <w:rsid w:val="006F28C2"/>
    <w:rsid w:val="006F2EEB"/>
    <w:rsid w:val="006F35F2"/>
    <w:rsid w:val="006F3974"/>
    <w:rsid w:val="006F3E5E"/>
    <w:rsid w:val="006F4CC0"/>
    <w:rsid w:val="006F5C02"/>
    <w:rsid w:val="006F70FC"/>
    <w:rsid w:val="0070128F"/>
    <w:rsid w:val="00701D38"/>
    <w:rsid w:val="00710635"/>
    <w:rsid w:val="00710BD5"/>
    <w:rsid w:val="00711651"/>
    <w:rsid w:val="00711CD7"/>
    <w:rsid w:val="00711F7A"/>
    <w:rsid w:val="00714DF3"/>
    <w:rsid w:val="00715AC9"/>
    <w:rsid w:val="0072088F"/>
    <w:rsid w:val="00720978"/>
    <w:rsid w:val="00721610"/>
    <w:rsid w:val="00722E91"/>
    <w:rsid w:val="00724168"/>
    <w:rsid w:val="007319C0"/>
    <w:rsid w:val="00731D83"/>
    <w:rsid w:val="0073228C"/>
    <w:rsid w:val="007323A2"/>
    <w:rsid w:val="0073592D"/>
    <w:rsid w:val="00737428"/>
    <w:rsid w:val="007375C2"/>
    <w:rsid w:val="007379FC"/>
    <w:rsid w:val="00737D89"/>
    <w:rsid w:val="00741757"/>
    <w:rsid w:val="00741894"/>
    <w:rsid w:val="00741F33"/>
    <w:rsid w:val="007422BB"/>
    <w:rsid w:val="007433E4"/>
    <w:rsid w:val="007441DA"/>
    <w:rsid w:val="00744713"/>
    <w:rsid w:val="007448AE"/>
    <w:rsid w:val="00744FAF"/>
    <w:rsid w:val="00745746"/>
    <w:rsid w:val="00746315"/>
    <w:rsid w:val="00746B62"/>
    <w:rsid w:val="007472C0"/>
    <w:rsid w:val="00751ED9"/>
    <w:rsid w:val="00752C73"/>
    <w:rsid w:val="00752F7E"/>
    <w:rsid w:val="00753E17"/>
    <w:rsid w:val="0075591E"/>
    <w:rsid w:val="00757CF6"/>
    <w:rsid w:val="00761429"/>
    <w:rsid w:val="00762165"/>
    <w:rsid w:val="00765B2B"/>
    <w:rsid w:val="00771EA9"/>
    <w:rsid w:val="007730B3"/>
    <w:rsid w:val="00773FF0"/>
    <w:rsid w:val="007741BF"/>
    <w:rsid w:val="00774337"/>
    <w:rsid w:val="00776957"/>
    <w:rsid w:val="00780F00"/>
    <w:rsid w:val="00781E88"/>
    <w:rsid w:val="0078484F"/>
    <w:rsid w:val="00784E40"/>
    <w:rsid w:val="00786FDC"/>
    <w:rsid w:val="00787776"/>
    <w:rsid w:val="00790D2E"/>
    <w:rsid w:val="00791D95"/>
    <w:rsid w:val="007928CE"/>
    <w:rsid w:val="00793DBB"/>
    <w:rsid w:val="00794B1D"/>
    <w:rsid w:val="0079516D"/>
    <w:rsid w:val="00795660"/>
    <w:rsid w:val="007A0EF3"/>
    <w:rsid w:val="007A13F3"/>
    <w:rsid w:val="007A1A08"/>
    <w:rsid w:val="007A39F9"/>
    <w:rsid w:val="007A43BB"/>
    <w:rsid w:val="007A5168"/>
    <w:rsid w:val="007A5A51"/>
    <w:rsid w:val="007A5E04"/>
    <w:rsid w:val="007A6916"/>
    <w:rsid w:val="007A7B69"/>
    <w:rsid w:val="007A7E61"/>
    <w:rsid w:val="007B0A59"/>
    <w:rsid w:val="007B0D4D"/>
    <w:rsid w:val="007B16AD"/>
    <w:rsid w:val="007B2F34"/>
    <w:rsid w:val="007B4678"/>
    <w:rsid w:val="007B513E"/>
    <w:rsid w:val="007B57CA"/>
    <w:rsid w:val="007C06F6"/>
    <w:rsid w:val="007C0B1F"/>
    <w:rsid w:val="007C0C04"/>
    <w:rsid w:val="007C1BD0"/>
    <w:rsid w:val="007C2D59"/>
    <w:rsid w:val="007C340E"/>
    <w:rsid w:val="007C383F"/>
    <w:rsid w:val="007C47E8"/>
    <w:rsid w:val="007C517A"/>
    <w:rsid w:val="007C5189"/>
    <w:rsid w:val="007C624B"/>
    <w:rsid w:val="007C6C94"/>
    <w:rsid w:val="007C77DC"/>
    <w:rsid w:val="007C7998"/>
    <w:rsid w:val="007D04B9"/>
    <w:rsid w:val="007D0A61"/>
    <w:rsid w:val="007D16FE"/>
    <w:rsid w:val="007D1DAE"/>
    <w:rsid w:val="007E0B68"/>
    <w:rsid w:val="007E1084"/>
    <w:rsid w:val="007E2582"/>
    <w:rsid w:val="007E2680"/>
    <w:rsid w:val="007E2C7C"/>
    <w:rsid w:val="007E31C9"/>
    <w:rsid w:val="007E3B3B"/>
    <w:rsid w:val="007E5C15"/>
    <w:rsid w:val="007E5E2A"/>
    <w:rsid w:val="007E5E75"/>
    <w:rsid w:val="007E6CEF"/>
    <w:rsid w:val="007E79B6"/>
    <w:rsid w:val="007F21F2"/>
    <w:rsid w:val="007F2E46"/>
    <w:rsid w:val="007F3462"/>
    <w:rsid w:val="007F36A1"/>
    <w:rsid w:val="00800380"/>
    <w:rsid w:val="008005B0"/>
    <w:rsid w:val="00801E82"/>
    <w:rsid w:val="00802422"/>
    <w:rsid w:val="0080327A"/>
    <w:rsid w:val="00803342"/>
    <w:rsid w:val="008033D4"/>
    <w:rsid w:val="008059C7"/>
    <w:rsid w:val="00810A7E"/>
    <w:rsid w:val="00812747"/>
    <w:rsid w:val="00812EAC"/>
    <w:rsid w:val="00821690"/>
    <w:rsid w:val="008216F9"/>
    <w:rsid w:val="0082182B"/>
    <w:rsid w:val="008247FF"/>
    <w:rsid w:val="00824C25"/>
    <w:rsid w:val="008262ED"/>
    <w:rsid w:val="00826651"/>
    <w:rsid w:val="00827776"/>
    <w:rsid w:val="0083120B"/>
    <w:rsid w:val="00832AD5"/>
    <w:rsid w:val="0083342C"/>
    <w:rsid w:val="0083520E"/>
    <w:rsid w:val="00835E3A"/>
    <w:rsid w:val="00836389"/>
    <w:rsid w:val="0084277E"/>
    <w:rsid w:val="00851011"/>
    <w:rsid w:val="00851420"/>
    <w:rsid w:val="00852D35"/>
    <w:rsid w:val="00853C45"/>
    <w:rsid w:val="008572AF"/>
    <w:rsid w:val="0085747A"/>
    <w:rsid w:val="0085791B"/>
    <w:rsid w:val="00860256"/>
    <w:rsid w:val="008615F6"/>
    <w:rsid w:val="00862EEB"/>
    <w:rsid w:val="00864396"/>
    <w:rsid w:val="00864729"/>
    <w:rsid w:val="008649FC"/>
    <w:rsid w:val="00864DC7"/>
    <w:rsid w:val="00866BCB"/>
    <w:rsid w:val="00867B20"/>
    <w:rsid w:val="0087007A"/>
    <w:rsid w:val="0087071D"/>
    <w:rsid w:val="00872F14"/>
    <w:rsid w:val="00875E5D"/>
    <w:rsid w:val="008762A4"/>
    <w:rsid w:val="00877744"/>
    <w:rsid w:val="008828DB"/>
    <w:rsid w:val="00882A3C"/>
    <w:rsid w:val="008846F6"/>
    <w:rsid w:val="008852FA"/>
    <w:rsid w:val="00886F66"/>
    <w:rsid w:val="008925EA"/>
    <w:rsid w:val="00892993"/>
    <w:rsid w:val="00894D67"/>
    <w:rsid w:val="00897452"/>
    <w:rsid w:val="008A149F"/>
    <w:rsid w:val="008A2E6E"/>
    <w:rsid w:val="008A38AC"/>
    <w:rsid w:val="008A4558"/>
    <w:rsid w:val="008A558B"/>
    <w:rsid w:val="008A5D1E"/>
    <w:rsid w:val="008A60F9"/>
    <w:rsid w:val="008A77DF"/>
    <w:rsid w:val="008B067E"/>
    <w:rsid w:val="008B0876"/>
    <w:rsid w:val="008B7A58"/>
    <w:rsid w:val="008C1F25"/>
    <w:rsid w:val="008C6D1B"/>
    <w:rsid w:val="008D130C"/>
    <w:rsid w:val="008D19FE"/>
    <w:rsid w:val="008D2075"/>
    <w:rsid w:val="008D261F"/>
    <w:rsid w:val="008D2F2B"/>
    <w:rsid w:val="008D74B8"/>
    <w:rsid w:val="008E1C8E"/>
    <w:rsid w:val="008E1E58"/>
    <w:rsid w:val="008E2F44"/>
    <w:rsid w:val="008E4D5C"/>
    <w:rsid w:val="008E5C6E"/>
    <w:rsid w:val="008E7BD1"/>
    <w:rsid w:val="008F0D03"/>
    <w:rsid w:val="008F1A2D"/>
    <w:rsid w:val="008F4C24"/>
    <w:rsid w:val="0090107A"/>
    <w:rsid w:val="009010CB"/>
    <w:rsid w:val="00901815"/>
    <w:rsid w:val="0090373D"/>
    <w:rsid w:val="009037FA"/>
    <w:rsid w:val="009046B2"/>
    <w:rsid w:val="009075A9"/>
    <w:rsid w:val="00910281"/>
    <w:rsid w:val="00911C09"/>
    <w:rsid w:val="009138A7"/>
    <w:rsid w:val="009202F7"/>
    <w:rsid w:val="009217C6"/>
    <w:rsid w:val="00927B05"/>
    <w:rsid w:val="00932585"/>
    <w:rsid w:val="00932596"/>
    <w:rsid w:val="00934157"/>
    <w:rsid w:val="00935F0D"/>
    <w:rsid w:val="00936355"/>
    <w:rsid w:val="00941816"/>
    <w:rsid w:val="00943923"/>
    <w:rsid w:val="00944448"/>
    <w:rsid w:val="009507B9"/>
    <w:rsid w:val="00950991"/>
    <w:rsid w:val="00953D6F"/>
    <w:rsid w:val="00954B93"/>
    <w:rsid w:val="009551A2"/>
    <w:rsid w:val="0095531D"/>
    <w:rsid w:val="0095561B"/>
    <w:rsid w:val="00956026"/>
    <w:rsid w:val="009608C1"/>
    <w:rsid w:val="009623A2"/>
    <w:rsid w:val="009649E2"/>
    <w:rsid w:val="0096616B"/>
    <w:rsid w:val="00967602"/>
    <w:rsid w:val="00970215"/>
    <w:rsid w:val="009709BA"/>
    <w:rsid w:val="00976400"/>
    <w:rsid w:val="009769CC"/>
    <w:rsid w:val="009770F4"/>
    <w:rsid w:val="00977BAE"/>
    <w:rsid w:val="00977EC5"/>
    <w:rsid w:val="009800BB"/>
    <w:rsid w:val="00980B65"/>
    <w:rsid w:val="00981853"/>
    <w:rsid w:val="00981ED4"/>
    <w:rsid w:val="00983F99"/>
    <w:rsid w:val="00986B33"/>
    <w:rsid w:val="00987AD5"/>
    <w:rsid w:val="009901A1"/>
    <w:rsid w:val="00992BA8"/>
    <w:rsid w:val="00993096"/>
    <w:rsid w:val="009930B7"/>
    <w:rsid w:val="0099701F"/>
    <w:rsid w:val="009A0F80"/>
    <w:rsid w:val="009A2151"/>
    <w:rsid w:val="009A2198"/>
    <w:rsid w:val="009A3743"/>
    <w:rsid w:val="009A555D"/>
    <w:rsid w:val="009A5968"/>
    <w:rsid w:val="009A6694"/>
    <w:rsid w:val="009B0286"/>
    <w:rsid w:val="009B108F"/>
    <w:rsid w:val="009B1690"/>
    <w:rsid w:val="009B1ED2"/>
    <w:rsid w:val="009B365B"/>
    <w:rsid w:val="009B4FEF"/>
    <w:rsid w:val="009B5187"/>
    <w:rsid w:val="009B5240"/>
    <w:rsid w:val="009B5860"/>
    <w:rsid w:val="009B7138"/>
    <w:rsid w:val="009C0E05"/>
    <w:rsid w:val="009C34CE"/>
    <w:rsid w:val="009C3B33"/>
    <w:rsid w:val="009C42DC"/>
    <w:rsid w:val="009C519F"/>
    <w:rsid w:val="009C5857"/>
    <w:rsid w:val="009C5F31"/>
    <w:rsid w:val="009D06AD"/>
    <w:rsid w:val="009D2551"/>
    <w:rsid w:val="009D4233"/>
    <w:rsid w:val="009D6FD6"/>
    <w:rsid w:val="009D714A"/>
    <w:rsid w:val="009E11BF"/>
    <w:rsid w:val="009E127C"/>
    <w:rsid w:val="009E3094"/>
    <w:rsid w:val="009E4420"/>
    <w:rsid w:val="009E664C"/>
    <w:rsid w:val="009E77AA"/>
    <w:rsid w:val="009F0464"/>
    <w:rsid w:val="009F11EF"/>
    <w:rsid w:val="009F12F0"/>
    <w:rsid w:val="009F1C46"/>
    <w:rsid w:val="009F292E"/>
    <w:rsid w:val="009F31B9"/>
    <w:rsid w:val="009F362F"/>
    <w:rsid w:val="009F5135"/>
    <w:rsid w:val="009F6E94"/>
    <w:rsid w:val="00A0043B"/>
    <w:rsid w:val="00A02C82"/>
    <w:rsid w:val="00A0324E"/>
    <w:rsid w:val="00A03516"/>
    <w:rsid w:val="00A04071"/>
    <w:rsid w:val="00A04349"/>
    <w:rsid w:val="00A04B85"/>
    <w:rsid w:val="00A060D5"/>
    <w:rsid w:val="00A10F29"/>
    <w:rsid w:val="00A14FD8"/>
    <w:rsid w:val="00A16587"/>
    <w:rsid w:val="00A17351"/>
    <w:rsid w:val="00A17FE9"/>
    <w:rsid w:val="00A20AE1"/>
    <w:rsid w:val="00A22215"/>
    <w:rsid w:val="00A2402D"/>
    <w:rsid w:val="00A2483E"/>
    <w:rsid w:val="00A2578A"/>
    <w:rsid w:val="00A25912"/>
    <w:rsid w:val="00A25A11"/>
    <w:rsid w:val="00A25BF1"/>
    <w:rsid w:val="00A2612F"/>
    <w:rsid w:val="00A267E4"/>
    <w:rsid w:val="00A311DE"/>
    <w:rsid w:val="00A313FC"/>
    <w:rsid w:val="00A322E3"/>
    <w:rsid w:val="00A32B0B"/>
    <w:rsid w:val="00A36124"/>
    <w:rsid w:val="00A365C6"/>
    <w:rsid w:val="00A45B6B"/>
    <w:rsid w:val="00A46BF1"/>
    <w:rsid w:val="00A47020"/>
    <w:rsid w:val="00A50A75"/>
    <w:rsid w:val="00A51899"/>
    <w:rsid w:val="00A52127"/>
    <w:rsid w:val="00A52214"/>
    <w:rsid w:val="00A52CB5"/>
    <w:rsid w:val="00A5335E"/>
    <w:rsid w:val="00A53475"/>
    <w:rsid w:val="00A54E2B"/>
    <w:rsid w:val="00A55FE5"/>
    <w:rsid w:val="00A56B6A"/>
    <w:rsid w:val="00A60033"/>
    <w:rsid w:val="00A61B04"/>
    <w:rsid w:val="00A62173"/>
    <w:rsid w:val="00A63881"/>
    <w:rsid w:val="00A64177"/>
    <w:rsid w:val="00A64E50"/>
    <w:rsid w:val="00A66153"/>
    <w:rsid w:val="00A66203"/>
    <w:rsid w:val="00A7117E"/>
    <w:rsid w:val="00A71FB6"/>
    <w:rsid w:val="00A76251"/>
    <w:rsid w:val="00A77519"/>
    <w:rsid w:val="00A7780B"/>
    <w:rsid w:val="00A806B5"/>
    <w:rsid w:val="00A806D3"/>
    <w:rsid w:val="00A829FA"/>
    <w:rsid w:val="00A82FFC"/>
    <w:rsid w:val="00A85ADB"/>
    <w:rsid w:val="00A87133"/>
    <w:rsid w:val="00A8715F"/>
    <w:rsid w:val="00A87EFE"/>
    <w:rsid w:val="00A90E35"/>
    <w:rsid w:val="00A913D5"/>
    <w:rsid w:val="00A9145A"/>
    <w:rsid w:val="00A96E09"/>
    <w:rsid w:val="00A97AB1"/>
    <w:rsid w:val="00AA142F"/>
    <w:rsid w:val="00AA2B19"/>
    <w:rsid w:val="00AA36EE"/>
    <w:rsid w:val="00AA6FDB"/>
    <w:rsid w:val="00AB0CB8"/>
    <w:rsid w:val="00AB1B4B"/>
    <w:rsid w:val="00AB52DD"/>
    <w:rsid w:val="00AB68F4"/>
    <w:rsid w:val="00AB7380"/>
    <w:rsid w:val="00AC1340"/>
    <w:rsid w:val="00AC752F"/>
    <w:rsid w:val="00AD032D"/>
    <w:rsid w:val="00AD0CF0"/>
    <w:rsid w:val="00AD1BA3"/>
    <w:rsid w:val="00AD3829"/>
    <w:rsid w:val="00AD69AF"/>
    <w:rsid w:val="00AE094E"/>
    <w:rsid w:val="00AE1081"/>
    <w:rsid w:val="00AE1CB3"/>
    <w:rsid w:val="00AE2016"/>
    <w:rsid w:val="00AE5446"/>
    <w:rsid w:val="00AE7CE5"/>
    <w:rsid w:val="00AF0413"/>
    <w:rsid w:val="00AF2DFB"/>
    <w:rsid w:val="00AF56DB"/>
    <w:rsid w:val="00AF62F2"/>
    <w:rsid w:val="00B000D2"/>
    <w:rsid w:val="00B01A5C"/>
    <w:rsid w:val="00B0231C"/>
    <w:rsid w:val="00B02458"/>
    <w:rsid w:val="00B036E8"/>
    <w:rsid w:val="00B039CF"/>
    <w:rsid w:val="00B04FDC"/>
    <w:rsid w:val="00B124AF"/>
    <w:rsid w:val="00B13728"/>
    <w:rsid w:val="00B1396F"/>
    <w:rsid w:val="00B15514"/>
    <w:rsid w:val="00B15AB1"/>
    <w:rsid w:val="00B1732C"/>
    <w:rsid w:val="00B17F36"/>
    <w:rsid w:val="00B20EB0"/>
    <w:rsid w:val="00B21D7F"/>
    <w:rsid w:val="00B21F58"/>
    <w:rsid w:val="00B22306"/>
    <w:rsid w:val="00B227BB"/>
    <w:rsid w:val="00B24DF5"/>
    <w:rsid w:val="00B24E60"/>
    <w:rsid w:val="00B26929"/>
    <w:rsid w:val="00B3316C"/>
    <w:rsid w:val="00B35D2D"/>
    <w:rsid w:val="00B36177"/>
    <w:rsid w:val="00B369C9"/>
    <w:rsid w:val="00B417F8"/>
    <w:rsid w:val="00B41E6E"/>
    <w:rsid w:val="00B5350C"/>
    <w:rsid w:val="00B56B5E"/>
    <w:rsid w:val="00B57087"/>
    <w:rsid w:val="00B57534"/>
    <w:rsid w:val="00B6101E"/>
    <w:rsid w:val="00B62EB4"/>
    <w:rsid w:val="00B64035"/>
    <w:rsid w:val="00B73E9F"/>
    <w:rsid w:val="00B745D1"/>
    <w:rsid w:val="00B74857"/>
    <w:rsid w:val="00B75B4A"/>
    <w:rsid w:val="00B76328"/>
    <w:rsid w:val="00B816AC"/>
    <w:rsid w:val="00B81A0A"/>
    <w:rsid w:val="00B84DF8"/>
    <w:rsid w:val="00B857CC"/>
    <w:rsid w:val="00B8732C"/>
    <w:rsid w:val="00B90764"/>
    <w:rsid w:val="00B97AE8"/>
    <w:rsid w:val="00B97B17"/>
    <w:rsid w:val="00BA21EE"/>
    <w:rsid w:val="00BA2E77"/>
    <w:rsid w:val="00BA2FBC"/>
    <w:rsid w:val="00BA329B"/>
    <w:rsid w:val="00BA6036"/>
    <w:rsid w:val="00BA69FD"/>
    <w:rsid w:val="00BB03FF"/>
    <w:rsid w:val="00BB0863"/>
    <w:rsid w:val="00BB1363"/>
    <w:rsid w:val="00BB2BA2"/>
    <w:rsid w:val="00BB3172"/>
    <w:rsid w:val="00BB4530"/>
    <w:rsid w:val="00BB4CF8"/>
    <w:rsid w:val="00BB760F"/>
    <w:rsid w:val="00BB770D"/>
    <w:rsid w:val="00BC41AE"/>
    <w:rsid w:val="00BC577B"/>
    <w:rsid w:val="00BC6DCD"/>
    <w:rsid w:val="00BC7233"/>
    <w:rsid w:val="00BD0BB5"/>
    <w:rsid w:val="00BD14B1"/>
    <w:rsid w:val="00BD378B"/>
    <w:rsid w:val="00BD3D69"/>
    <w:rsid w:val="00BD5198"/>
    <w:rsid w:val="00BD5BBB"/>
    <w:rsid w:val="00BD5E02"/>
    <w:rsid w:val="00BD7049"/>
    <w:rsid w:val="00BE0E2F"/>
    <w:rsid w:val="00BE1956"/>
    <w:rsid w:val="00BE246D"/>
    <w:rsid w:val="00BE66AB"/>
    <w:rsid w:val="00BE7852"/>
    <w:rsid w:val="00BE7A0C"/>
    <w:rsid w:val="00BF17AA"/>
    <w:rsid w:val="00BF17B3"/>
    <w:rsid w:val="00BF5546"/>
    <w:rsid w:val="00BF55DC"/>
    <w:rsid w:val="00BF7180"/>
    <w:rsid w:val="00BF7B0B"/>
    <w:rsid w:val="00BF7E44"/>
    <w:rsid w:val="00C01131"/>
    <w:rsid w:val="00C01C31"/>
    <w:rsid w:val="00C01EFE"/>
    <w:rsid w:val="00C02664"/>
    <w:rsid w:val="00C02A41"/>
    <w:rsid w:val="00C0302B"/>
    <w:rsid w:val="00C03660"/>
    <w:rsid w:val="00C07946"/>
    <w:rsid w:val="00C07A21"/>
    <w:rsid w:val="00C1133A"/>
    <w:rsid w:val="00C14BA2"/>
    <w:rsid w:val="00C17165"/>
    <w:rsid w:val="00C20E88"/>
    <w:rsid w:val="00C20FBB"/>
    <w:rsid w:val="00C2168D"/>
    <w:rsid w:val="00C21C33"/>
    <w:rsid w:val="00C21E58"/>
    <w:rsid w:val="00C22762"/>
    <w:rsid w:val="00C24556"/>
    <w:rsid w:val="00C2582C"/>
    <w:rsid w:val="00C25BFE"/>
    <w:rsid w:val="00C30315"/>
    <w:rsid w:val="00C3190A"/>
    <w:rsid w:val="00C328D7"/>
    <w:rsid w:val="00C32A10"/>
    <w:rsid w:val="00C32CDB"/>
    <w:rsid w:val="00C33C0D"/>
    <w:rsid w:val="00C35842"/>
    <w:rsid w:val="00C360C2"/>
    <w:rsid w:val="00C4026F"/>
    <w:rsid w:val="00C4070D"/>
    <w:rsid w:val="00C51824"/>
    <w:rsid w:val="00C52B54"/>
    <w:rsid w:val="00C52E56"/>
    <w:rsid w:val="00C54657"/>
    <w:rsid w:val="00C61369"/>
    <w:rsid w:val="00C65BFC"/>
    <w:rsid w:val="00C6709D"/>
    <w:rsid w:val="00C716A7"/>
    <w:rsid w:val="00C71BCE"/>
    <w:rsid w:val="00C721F0"/>
    <w:rsid w:val="00C73450"/>
    <w:rsid w:val="00C74323"/>
    <w:rsid w:val="00C74A88"/>
    <w:rsid w:val="00C74E91"/>
    <w:rsid w:val="00C754BF"/>
    <w:rsid w:val="00C76C2F"/>
    <w:rsid w:val="00C7794D"/>
    <w:rsid w:val="00C8004B"/>
    <w:rsid w:val="00C831C8"/>
    <w:rsid w:val="00C83C9B"/>
    <w:rsid w:val="00C85DD0"/>
    <w:rsid w:val="00C875C7"/>
    <w:rsid w:val="00C91A96"/>
    <w:rsid w:val="00C9311D"/>
    <w:rsid w:val="00C933B9"/>
    <w:rsid w:val="00C93E02"/>
    <w:rsid w:val="00C94445"/>
    <w:rsid w:val="00C94E2D"/>
    <w:rsid w:val="00C94FFF"/>
    <w:rsid w:val="00C967B1"/>
    <w:rsid w:val="00C96B1C"/>
    <w:rsid w:val="00CA104A"/>
    <w:rsid w:val="00CA12E1"/>
    <w:rsid w:val="00CA166D"/>
    <w:rsid w:val="00CA34E8"/>
    <w:rsid w:val="00CA5459"/>
    <w:rsid w:val="00CA6C39"/>
    <w:rsid w:val="00CA6FD3"/>
    <w:rsid w:val="00CA7F78"/>
    <w:rsid w:val="00CB185A"/>
    <w:rsid w:val="00CB2A4E"/>
    <w:rsid w:val="00CB310A"/>
    <w:rsid w:val="00CB4FDA"/>
    <w:rsid w:val="00CB62A2"/>
    <w:rsid w:val="00CB6D03"/>
    <w:rsid w:val="00CB6D29"/>
    <w:rsid w:val="00CB7BDD"/>
    <w:rsid w:val="00CC0878"/>
    <w:rsid w:val="00CC146E"/>
    <w:rsid w:val="00CC19FC"/>
    <w:rsid w:val="00CC2D98"/>
    <w:rsid w:val="00CC3661"/>
    <w:rsid w:val="00CC5306"/>
    <w:rsid w:val="00CC5E85"/>
    <w:rsid w:val="00CC7390"/>
    <w:rsid w:val="00CD01B4"/>
    <w:rsid w:val="00CD3703"/>
    <w:rsid w:val="00CD5C38"/>
    <w:rsid w:val="00CD61C0"/>
    <w:rsid w:val="00CE002B"/>
    <w:rsid w:val="00CE21F5"/>
    <w:rsid w:val="00CE2991"/>
    <w:rsid w:val="00CE395E"/>
    <w:rsid w:val="00CE39D0"/>
    <w:rsid w:val="00CE461A"/>
    <w:rsid w:val="00CE60F2"/>
    <w:rsid w:val="00CE71A8"/>
    <w:rsid w:val="00CE7D8E"/>
    <w:rsid w:val="00CF13CA"/>
    <w:rsid w:val="00CF298E"/>
    <w:rsid w:val="00CF422A"/>
    <w:rsid w:val="00CF5078"/>
    <w:rsid w:val="00CF549F"/>
    <w:rsid w:val="00D042CC"/>
    <w:rsid w:val="00D04A74"/>
    <w:rsid w:val="00D06812"/>
    <w:rsid w:val="00D07A70"/>
    <w:rsid w:val="00D105FA"/>
    <w:rsid w:val="00D119D8"/>
    <w:rsid w:val="00D11D75"/>
    <w:rsid w:val="00D137D4"/>
    <w:rsid w:val="00D14058"/>
    <w:rsid w:val="00D140B0"/>
    <w:rsid w:val="00D16A6F"/>
    <w:rsid w:val="00D1749E"/>
    <w:rsid w:val="00D237F9"/>
    <w:rsid w:val="00D23BCF"/>
    <w:rsid w:val="00D23C0E"/>
    <w:rsid w:val="00D25B29"/>
    <w:rsid w:val="00D25D3A"/>
    <w:rsid w:val="00D2670E"/>
    <w:rsid w:val="00D26AC1"/>
    <w:rsid w:val="00D305C2"/>
    <w:rsid w:val="00D319DA"/>
    <w:rsid w:val="00D328BB"/>
    <w:rsid w:val="00D33453"/>
    <w:rsid w:val="00D33B88"/>
    <w:rsid w:val="00D35AA6"/>
    <w:rsid w:val="00D37868"/>
    <w:rsid w:val="00D407F8"/>
    <w:rsid w:val="00D4166C"/>
    <w:rsid w:val="00D42DE2"/>
    <w:rsid w:val="00D45737"/>
    <w:rsid w:val="00D46331"/>
    <w:rsid w:val="00D46AFB"/>
    <w:rsid w:val="00D50839"/>
    <w:rsid w:val="00D520CE"/>
    <w:rsid w:val="00D52764"/>
    <w:rsid w:val="00D53260"/>
    <w:rsid w:val="00D539F0"/>
    <w:rsid w:val="00D54152"/>
    <w:rsid w:val="00D5657F"/>
    <w:rsid w:val="00D56F08"/>
    <w:rsid w:val="00D63D14"/>
    <w:rsid w:val="00D64654"/>
    <w:rsid w:val="00D65088"/>
    <w:rsid w:val="00D65A5C"/>
    <w:rsid w:val="00D668C8"/>
    <w:rsid w:val="00D71E9F"/>
    <w:rsid w:val="00D7402C"/>
    <w:rsid w:val="00D77308"/>
    <w:rsid w:val="00D77577"/>
    <w:rsid w:val="00D775BF"/>
    <w:rsid w:val="00D77B8C"/>
    <w:rsid w:val="00D77F01"/>
    <w:rsid w:val="00D81E2D"/>
    <w:rsid w:val="00D82300"/>
    <w:rsid w:val="00D83EFF"/>
    <w:rsid w:val="00D8418C"/>
    <w:rsid w:val="00D841BB"/>
    <w:rsid w:val="00D84C18"/>
    <w:rsid w:val="00D85163"/>
    <w:rsid w:val="00D8771A"/>
    <w:rsid w:val="00D87AF4"/>
    <w:rsid w:val="00D87B16"/>
    <w:rsid w:val="00D902BE"/>
    <w:rsid w:val="00D9073F"/>
    <w:rsid w:val="00D94B24"/>
    <w:rsid w:val="00D94EB8"/>
    <w:rsid w:val="00D95218"/>
    <w:rsid w:val="00D9570B"/>
    <w:rsid w:val="00D95795"/>
    <w:rsid w:val="00D9609E"/>
    <w:rsid w:val="00D96C96"/>
    <w:rsid w:val="00D970F4"/>
    <w:rsid w:val="00D9713F"/>
    <w:rsid w:val="00DA0541"/>
    <w:rsid w:val="00DA1975"/>
    <w:rsid w:val="00DA354C"/>
    <w:rsid w:val="00DA3E29"/>
    <w:rsid w:val="00DA62B5"/>
    <w:rsid w:val="00DA6F7D"/>
    <w:rsid w:val="00DA7CF5"/>
    <w:rsid w:val="00DB0ABA"/>
    <w:rsid w:val="00DB0F00"/>
    <w:rsid w:val="00DB1E73"/>
    <w:rsid w:val="00DB2A6B"/>
    <w:rsid w:val="00DB43C1"/>
    <w:rsid w:val="00DB43E5"/>
    <w:rsid w:val="00DB6A4D"/>
    <w:rsid w:val="00DC0969"/>
    <w:rsid w:val="00DC16B4"/>
    <w:rsid w:val="00DC24A5"/>
    <w:rsid w:val="00DC3D96"/>
    <w:rsid w:val="00DC7E5C"/>
    <w:rsid w:val="00DD1B23"/>
    <w:rsid w:val="00DD3BF3"/>
    <w:rsid w:val="00DD471B"/>
    <w:rsid w:val="00DD4A32"/>
    <w:rsid w:val="00DD5C83"/>
    <w:rsid w:val="00DD71DB"/>
    <w:rsid w:val="00DD741D"/>
    <w:rsid w:val="00DE180A"/>
    <w:rsid w:val="00DE21FE"/>
    <w:rsid w:val="00DE2ACE"/>
    <w:rsid w:val="00DE2B1D"/>
    <w:rsid w:val="00DE2BC0"/>
    <w:rsid w:val="00DE43D8"/>
    <w:rsid w:val="00DE5ACF"/>
    <w:rsid w:val="00DE723B"/>
    <w:rsid w:val="00DE79B3"/>
    <w:rsid w:val="00DE7E9B"/>
    <w:rsid w:val="00DF010D"/>
    <w:rsid w:val="00DF0C83"/>
    <w:rsid w:val="00DF1F30"/>
    <w:rsid w:val="00DF3F88"/>
    <w:rsid w:val="00DF41A3"/>
    <w:rsid w:val="00DF5ED6"/>
    <w:rsid w:val="00DF6CA3"/>
    <w:rsid w:val="00DF75ED"/>
    <w:rsid w:val="00E00E4B"/>
    <w:rsid w:val="00E0159C"/>
    <w:rsid w:val="00E01C8B"/>
    <w:rsid w:val="00E034DF"/>
    <w:rsid w:val="00E03535"/>
    <w:rsid w:val="00E03934"/>
    <w:rsid w:val="00E040A6"/>
    <w:rsid w:val="00E0483A"/>
    <w:rsid w:val="00E04EF6"/>
    <w:rsid w:val="00E06CF9"/>
    <w:rsid w:val="00E11198"/>
    <w:rsid w:val="00E12121"/>
    <w:rsid w:val="00E13AD8"/>
    <w:rsid w:val="00E1456F"/>
    <w:rsid w:val="00E1667B"/>
    <w:rsid w:val="00E2014F"/>
    <w:rsid w:val="00E20619"/>
    <w:rsid w:val="00E24BB1"/>
    <w:rsid w:val="00E24DC8"/>
    <w:rsid w:val="00E267DD"/>
    <w:rsid w:val="00E278AC"/>
    <w:rsid w:val="00E30C98"/>
    <w:rsid w:val="00E31BE2"/>
    <w:rsid w:val="00E35772"/>
    <w:rsid w:val="00E41371"/>
    <w:rsid w:val="00E45271"/>
    <w:rsid w:val="00E4592D"/>
    <w:rsid w:val="00E47D6E"/>
    <w:rsid w:val="00E50925"/>
    <w:rsid w:val="00E523CB"/>
    <w:rsid w:val="00E545D6"/>
    <w:rsid w:val="00E55235"/>
    <w:rsid w:val="00E56144"/>
    <w:rsid w:val="00E573C5"/>
    <w:rsid w:val="00E57F65"/>
    <w:rsid w:val="00E60956"/>
    <w:rsid w:val="00E61FA4"/>
    <w:rsid w:val="00E64912"/>
    <w:rsid w:val="00E67FE7"/>
    <w:rsid w:val="00E73DB3"/>
    <w:rsid w:val="00E73EAE"/>
    <w:rsid w:val="00E76B33"/>
    <w:rsid w:val="00E77FE3"/>
    <w:rsid w:val="00E81B60"/>
    <w:rsid w:val="00E82053"/>
    <w:rsid w:val="00E82784"/>
    <w:rsid w:val="00E82C4F"/>
    <w:rsid w:val="00E8330A"/>
    <w:rsid w:val="00E83406"/>
    <w:rsid w:val="00E85B62"/>
    <w:rsid w:val="00E85BBF"/>
    <w:rsid w:val="00E871FC"/>
    <w:rsid w:val="00E87478"/>
    <w:rsid w:val="00E9430E"/>
    <w:rsid w:val="00E94534"/>
    <w:rsid w:val="00E958D5"/>
    <w:rsid w:val="00E95A67"/>
    <w:rsid w:val="00E96D43"/>
    <w:rsid w:val="00E97516"/>
    <w:rsid w:val="00EA06EF"/>
    <w:rsid w:val="00EA1D9C"/>
    <w:rsid w:val="00EA2912"/>
    <w:rsid w:val="00EA49DA"/>
    <w:rsid w:val="00EA5E7A"/>
    <w:rsid w:val="00EA6122"/>
    <w:rsid w:val="00EA7553"/>
    <w:rsid w:val="00EB0431"/>
    <w:rsid w:val="00EB0E39"/>
    <w:rsid w:val="00EB0ED1"/>
    <w:rsid w:val="00EB1438"/>
    <w:rsid w:val="00EB2FB7"/>
    <w:rsid w:val="00EB3604"/>
    <w:rsid w:val="00EB3D4B"/>
    <w:rsid w:val="00EB5A9B"/>
    <w:rsid w:val="00EB65C9"/>
    <w:rsid w:val="00EB66E0"/>
    <w:rsid w:val="00EC0FFD"/>
    <w:rsid w:val="00EC2A52"/>
    <w:rsid w:val="00EC3E4C"/>
    <w:rsid w:val="00EC451C"/>
    <w:rsid w:val="00EC6621"/>
    <w:rsid w:val="00EC7695"/>
    <w:rsid w:val="00ED0E73"/>
    <w:rsid w:val="00ED1FBB"/>
    <w:rsid w:val="00ED51BF"/>
    <w:rsid w:val="00ED6CF8"/>
    <w:rsid w:val="00ED79C9"/>
    <w:rsid w:val="00ED7D44"/>
    <w:rsid w:val="00EE0030"/>
    <w:rsid w:val="00EE1232"/>
    <w:rsid w:val="00EE1F9B"/>
    <w:rsid w:val="00EE2C63"/>
    <w:rsid w:val="00EE4923"/>
    <w:rsid w:val="00EE5BAC"/>
    <w:rsid w:val="00EE5DA2"/>
    <w:rsid w:val="00EF0651"/>
    <w:rsid w:val="00EF1EAB"/>
    <w:rsid w:val="00EF52F5"/>
    <w:rsid w:val="00EF6CE3"/>
    <w:rsid w:val="00F0029B"/>
    <w:rsid w:val="00F00575"/>
    <w:rsid w:val="00F00D88"/>
    <w:rsid w:val="00F00F89"/>
    <w:rsid w:val="00F021B3"/>
    <w:rsid w:val="00F035CC"/>
    <w:rsid w:val="00F06D0A"/>
    <w:rsid w:val="00F0751C"/>
    <w:rsid w:val="00F137CE"/>
    <w:rsid w:val="00F142B7"/>
    <w:rsid w:val="00F16BAB"/>
    <w:rsid w:val="00F16F09"/>
    <w:rsid w:val="00F17442"/>
    <w:rsid w:val="00F20062"/>
    <w:rsid w:val="00F230A3"/>
    <w:rsid w:val="00F23280"/>
    <w:rsid w:val="00F27178"/>
    <w:rsid w:val="00F311AF"/>
    <w:rsid w:val="00F3166D"/>
    <w:rsid w:val="00F345FE"/>
    <w:rsid w:val="00F34800"/>
    <w:rsid w:val="00F3512F"/>
    <w:rsid w:val="00F355EF"/>
    <w:rsid w:val="00F40200"/>
    <w:rsid w:val="00F405BC"/>
    <w:rsid w:val="00F40FF9"/>
    <w:rsid w:val="00F425ED"/>
    <w:rsid w:val="00F42D7D"/>
    <w:rsid w:val="00F4391A"/>
    <w:rsid w:val="00F44599"/>
    <w:rsid w:val="00F46300"/>
    <w:rsid w:val="00F47BD4"/>
    <w:rsid w:val="00F506C3"/>
    <w:rsid w:val="00F50782"/>
    <w:rsid w:val="00F51831"/>
    <w:rsid w:val="00F51DCF"/>
    <w:rsid w:val="00F51F21"/>
    <w:rsid w:val="00F5238E"/>
    <w:rsid w:val="00F52F04"/>
    <w:rsid w:val="00F52F36"/>
    <w:rsid w:val="00F55958"/>
    <w:rsid w:val="00F559E1"/>
    <w:rsid w:val="00F564AF"/>
    <w:rsid w:val="00F572A7"/>
    <w:rsid w:val="00F6042E"/>
    <w:rsid w:val="00F61D22"/>
    <w:rsid w:val="00F62931"/>
    <w:rsid w:val="00F62E54"/>
    <w:rsid w:val="00F633BD"/>
    <w:rsid w:val="00F648ED"/>
    <w:rsid w:val="00F64EC3"/>
    <w:rsid w:val="00F70726"/>
    <w:rsid w:val="00F716DA"/>
    <w:rsid w:val="00F73EB2"/>
    <w:rsid w:val="00F75E25"/>
    <w:rsid w:val="00F76DB5"/>
    <w:rsid w:val="00F801D7"/>
    <w:rsid w:val="00F85618"/>
    <w:rsid w:val="00F85C0B"/>
    <w:rsid w:val="00F86546"/>
    <w:rsid w:val="00F90CCA"/>
    <w:rsid w:val="00F94213"/>
    <w:rsid w:val="00F944CB"/>
    <w:rsid w:val="00F94BCE"/>
    <w:rsid w:val="00F96EFA"/>
    <w:rsid w:val="00FA0899"/>
    <w:rsid w:val="00FA10E7"/>
    <w:rsid w:val="00FA159A"/>
    <w:rsid w:val="00FA3674"/>
    <w:rsid w:val="00FA4013"/>
    <w:rsid w:val="00FA4DD6"/>
    <w:rsid w:val="00FA612B"/>
    <w:rsid w:val="00FA765C"/>
    <w:rsid w:val="00FA7F3C"/>
    <w:rsid w:val="00FB056A"/>
    <w:rsid w:val="00FB4938"/>
    <w:rsid w:val="00FB5A78"/>
    <w:rsid w:val="00FB689E"/>
    <w:rsid w:val="00FB7544"/>
    <w:rsid w:val="00FC057A"/>
    <w:rsid w:val="00FC0FFC"/>
    <w:rsid w:val="00FC3AA9"/>
    <w:rsid w:val="00FC7917"/>
    <w:rsid w:val="00FD125E"/>
    <w:rsid w:val="00FD3284"/>
    <w:rsid w:val="00FD464E"/>
    <w:rsid w:val="00FD6522"/>
    <w:rsid w:val="00FE22D4"/>
    <w:rsid w:val="00FE3A97"/>
    <w:rsid w:val="00FE553B"/>
    <w:rsid w:val="00FE66F3"/>
    <w:rsid w:val="00FE68A9"/>
    <w:rsid w:val="00FE6F78"/>
    <w:rsid w:val="00FF07E5"/>
    <w:rsid w:val="00FF0CD6"/>
    <w:rsid w:val="00FF20F3"/>
    <w:rsid w:val="00FF3AC1"/>
    <w:rsid w:val="00FF3B8B"/>
    <w:rsid w:val="00FF4AB7"/>
    <w:rsid w:val="00FF52C7"/>
    <w:rsid w:val="00FF66BF"/>
    <w:rsid w:val="00FF6DC6"/>
    <w:rsid w:val="00FF7012"/>
    <w:rsid w:val="00FF7372"/>
    <w:rsid w:val="00FF7935"/>
    <w:rsid w:val="08EF07BB"/>
    <w:rsid w:val="0B51D7F9"/>
    <w:rsid w:val="0F69E27B"/>
    <w:rsid w:val="16612B94"/>
    <w:rsid w:val="203ACCD8"/>
    <w:rsid w:val="23B0414C"/>
    <w:rsid w:val="273203FC"/>
    <w:rsid w:val="44CD600C"/>
    <w:rsid w:val="5079E7C8"/>
    <w:rsid w:val="61384891"/>
    <w:rsid w:val="65CBF009"/>
    <w:rsid w:val="677D610F"/>
    <w:rsid w:val="76CF7103"/>
    <w:rsid w:val="795BA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44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rsid w:val="00877878"/>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1D18D6"/>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rsid w:val="001D18D6"/>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rsid w:val="001D18D6"/>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B64035"/>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64035"/>
    <w:pPr>
      <w:spacing w:after="0"/>
    </w:pPr>
  </w:style>
  <w:style w:type="paragraph" w:styleId="ListBullet">
    <w:name w:val="List Bullet"/>
    <w:basedOn w:val="Normal"/>
    <w:uiPriority w:val="99"/>
    <w:semiHidden/>
    <w:unhideWhenUsed/>
    <w:rsid w:val="00B64035"/>
    <w:pPr>
      <w:numPr>
        <w:numId w:val="1"/>
      </w:numPr>
      <w:contextualSpacing/>
    </w:pPr>
  </w:style>
  <w:style w:type="paragraph" w:styleId="ListBullet2">
    <w:name w:val="List Bullet 2"/>
    <w:basedOn w:val="Normal"/>
    <w:uiPriority w:val="99"/>
    <w:semiHidden/>
    <w:unhideWhenUsed/>
    <w:rsid w:val="00B64035"/>
    <w:pPr>
      <w:numPr>
        <w:numId w:val="2"/>
      </w:numPr>
      <w:contextualSpacing/>
    </w:pPr>
  </w:style>
  <w:style w:type="paragraph" w:styleId="ListBullet3">
    <w:name w:val="List Bullet 3"/>
    <w:basedOn w:val="Normal"/>
    <w:uiPriority w:val="99"/>
    <w:semiHidden/>
    <w:unhideWhenUsed/>
    <w:rsid w:val="00B64035"/>
    <w:pPr>
      <w:numPr>
        <w:numId w:val="3"/>
      </w:numPr>
      <w:contextualSpacing/>
    </w:pPr>
  </w:style>
  <w:style w:type="paragraph" w:styleId="ListBullet4">
    <w:name w:val="List Bullet 4"/>
    <w:basedOn w:val="Normal"/>
    <w:uiPriority w:val="99"/>
    <w:semiHidden/>
    <w:unhideWhenUsed/>
    <w:rsid w:val="00B64035"/>
    <w:pPr>
      <w:numPr>
        <w:numId w:val="4"/>
      </w:numPr>
      <w:contextualSpacing/>
    </w:pPr>
  </w:style>
  <w:style w:type="paragraph" w:styleId="ListNumber">
    <w:name w:val="List Number"/>
    <w:basedOn w:val="Normal"/>
    <w:uiPriority w:val="99"/>
    <w:semiHidden/>
    <w:unhideWhenUsed/>
    <w:rsid w:val="00B64035"/>
    <w:pPr>
      <w:numPr>
        <w:numId w:val="5"/>
      </w:numPr>
      <w:contextualSpacing/>
    </w:pPr>
  </w:style>
  <w:style w:type="paragraph" w:styleId="ListNumber2">
    <w:name w:val="List Number 2"/>
    <w:basedOn w:val="Normal"/>
    <w:uiPriority w:val="99"/>
    <w:semiHidden/>
    <w:unhideWhenUsed/>
    <w:rsid w:val="00B64035"/>
    <w:pPr>
      <w:numPr>
        <w:numId w:val="6"/>
      </w:numPr>
      <w:contextualSpacing/>
    </w:pPr>
  </w:style>
  <w:style w:type="paragraph" w:styleId="ListNumber3">
    <w:name w:val="List Number 3"/>
    <w:basedOn w:val="Normal"/>
    <w:uiPriority w:val="99"/>
    <w:semiHidden/>
    <w:unhideWhenUsed/>
    <w:rsid w:val="00B64035"/>
    <w:pPr>
      <w:numPr>
        <w:numId w:val="7"/>
      </w:numPr>
      <w:contextualSpacing/>
    </w:pPr>
  </w:style>
  <w:style w:type="paragraph" w:styleId="ListNumber4">
    <w:name w:val="List Number 4"/>
    <w:basedOn w:val="Normal"/>
    <w:uiPriority w:val="99"/>
    <w:semiHidden/>
    <w:unhideWhenUsed/>
    <w:rsid w:val="00B64035"/>
    <w:pPr>
      <w:numPr>
        <w:numId w:val="8"/>
      </w:numPr>
      <w:contextualSpacing/>
    </w:pPr>
  </w:style>
  <w:style w:type="table" w:styleId="TableGrid">
    <w:name w:val="Table Grid"/>
    <w:basedOn w:val="TableNormal"/>
    <w:uiPriority w:val="59"/>
    <w:rsid w:val="006A2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D21F9"/>
    <w:rPr>
      <w:sz w:val="16"/>
      <w:szCs w:val="16"/>
    </w:rPr>
  </w:style>
  <w:style w:type="paragraph" w:styleId="CommentText">
    <w:name w:val="annotation text"/>
    <w:basedOn w:val="Normal"/>
    <w:link w:val="CommentTextChar"/>
    <w:uiPriority w:val="99"/>
    <w:unhideWhenUsed/>
    <w:rsid w:val="002D21F9"/>
    <w:rPr>
      <w:sz w:val="20"/>
      <w:szCs w:val="20"/>
    </w:rPr>
  </w:style>
  <w:style w:type="character" w:customStyle="1" w:styleId="CommentTextChar">
    <w:name w:val="Comment Text Char"/>
    <w:basedOn w:val="DefaultParagraphFont"/>
    <w:link w:val="CommentText"/>
    <w:uiPriority w:val="99"/>
    <w:rsid w:val="002D21F9"/>
    <w:rPr>
      <w:rFonts w:ascii="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2D21F9"/>
    <w:rPr>
      <w:b/>
      <w:bCs/>
    </w:rPr>
  </w:style>
  <w:style w:type="character" w:customStyle="1" w:styleId="CommentSubjectChar">
    <w:name w:val="Comment Subject Char"/>
    <w:basedOn w:val="CommentTextChar"/>
    <w:link w:val="CommentSubject"/>
    <w:uiPriority w:val="99"/>
    <w:semiHidden/>
    <w:rsid w:val="002D21F9"/>
    <w:rPr>
      <w:rFonts w:ascii="Times New Roman" w:hAnsi="Times New Roman" w:cs="Times New Roman"/>
      <w:b/>
      <w:bCs/>
      <w:sz w:val="20"/>
      <w:szCs w:val="20"/>
      <w:lang w:val="lt-LT"/>
    </w:rPr>
  </w:style>
  <w:style w:type="character" w:styleId="Hyperlink">
    <w:name w:val="Hyperlink"/>
    <w:basedOn w:val="DefaultParagraphFont"/>
    <w:uiPriority w:val="99"/>
    <w:unhideWhenUsed/>
    <w:rsid w:val="002D21F9"/>
    <w:rPr>
      <w:color w:val="0000FF" w:themeColor="hyperlink"/>
      <w:u w:val="single"/>
    </w:rPr>
  </w:style>
  <w:style w:type="paragraph" w:styleId="BalloonText">
    <w:name w:val="Balloon Text"/>
    <w:basedOn w:val="Normal"/>
    <w:link w:val="BalloonTextChar"/>
    <w:uiPriority w:val="99"/>
    <w:semiHidden/>
    <w:unhideWhenUsed/>
    <w:rsid w:val="001F6D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DDD"/>
    <w:rPr>
      <w:rFonts w:ascii="Segoe UI" w:hAnsi="Segoe UI" w:cs="Segoe UI"/>
      <w:sz w:val="18"/>
      <w:szCs w:val="18"/>
      <w:lang w:val="lt-LT"/>
    </w:rPr>
  </w:style>
  <w:style w:type="paragraph" w:customStyle="1" w:styleId="AnnexTitle">
    <w:name w:val="AnnexTitle"/>
    <w:basedOn w:val="Normal"/>
    <w:next w:val="Normal"/>
    <w:uiPriority w:val="90"/>
    <w:qFormat/>
    <w:rsid w:val="00E67FE7"/>
    <w:pPr>
      <w:pageBreakBefore/>
      <w:numPr>
        <w:numId w:val="9"/>
      </w:numPr>
      <w:spacing w:before="0" w:after="480"/>
      <w:outlineLvl w:val="0"/>
    </w:pPr>
    <w:rPr>
      <w:rFonts w:eastAsia="Times New Roman"/>
      <w:b/>
      <w:sz w:val="32"/>
      <w:szCs w:val="20"/>
    </w:rPr>
  </w:style>
  <w:style w:type="character" w:styleId="Emphasis">
    <w:name w:val="Emphasis"/>
    <w:basedOn w:val="DefaultParagraphFont"/>
    <w:uiPriority w:val="20"/>
    <w:qFormat/>
    <w:rsid w:val="009B1ED2"/>
    <w:rPr>
      <w:i/>
      <w:iCs/>
    </w:rPr>
  </w:style>
  <w:style w:type="paragraph" w:styleId="ListParagraph">
    <w:name w:val="List Paragraph"/>
    <w:basedOn w:val="Normal"/>
    <w:uiPriority w:val="34"/>
    <w:qFormat/>
    <w:rsid w:val="000E366D"/>
    <w:pPr>
      <w:ind w:left="720"/>
      <w:contextualSpacing/>
    </w:pPr>
  </w:style>
  <w:style w:type="paragraph" w:styleId="Revision">
    <w:name w:val="Revision"/>
    <w:hidden/>
    <w:uiPriority w:val="99"/>
    <w:semiHidden/>
    <w:rsid w:val="00F62E54"/>
    <w:pPr>
      <w:spacing w:after="0" w:line="240" w:lineRule="auto"/>
    </w:pPr>
    <w:rPr>
      <w:rFonts w:ascii="Times New Roman" w:hAnsi="Times New Roman" w:cs="Times New Roman"/>
      <w:sz w:val="24"/>
    </w:rPr>
  </w:style>
  <w:style w:type="paragraph" w:customStyle="1" w:styleId="Default">
    <w:name w:val="Default"/>
    <w:rsid w:val="00E5614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E66AB"/>
    <w:rPr>
      <w:szCs w:val="24"/>
    </w:rPr>
  </w:style>
  <w:style w:type="paragraph" w:customStyle="1" w:styleId="HeaderSensitivityRight">
    <w:name w:val="Header Sensitivity Right"/>
    <w:basedOn w:val="Normal"/>
    <w:rsid w:val="00175E60"/>
    <w:pPr>
      <w:spacing w:before="0"/>
      <w:jc w:val="right"/>
    </w:pPr>
    <w:rPr>
      <w:sz w:val="28"/>
    </w:rPr>
  </w:style>
  <w:style w:type="paragraph" w:customStyle="1" w:styleId="SecurityMarking">
    <w:name w:val="SecurityMarking"/>
    <w:basedOn w:val="Normal"/>
    <w:rsid w:val="001D18D6"/>
    <w:pPr>
      <w:spacing w:before="0" w:after="0" w:line="276" w:lineRule="auto"/>
      <w:ind w:left="5103"/>
      <w:jc w:val="left"/>
    </w:pPr>
    <w:rPr>
      <w:sz w:val="28"/>
    </w:rPr>
  </w:style>
  <w:style w:type="paragraph" w:customStyle="1" w:styleId="DateMarking">
    <w:name w:val="DateMarking"/>
    <w:basedOn w:val="Normal"/>
    <w:rsid w:val="001D18D6"/>
    <w:pPr>
      <w:spacing w:before="0" w:after="0" w:line="276" w:lineRule="auto"/>
      <w:ind w:left="5103"/>
      <w:jc w:val="left"/>
    </w:pPr>
    <w:rPr>
      <w:i/>
      <w:sz w:val="28"/>
    </w:rPr>
  </w:style>
  <w:style w:type="paragraph" w:customStyle="1" w:styleId="ReleasableTo">
    <w:name w:val="ReleasableTo"/>
    <w:basedOn w:val="Normal"/>
    <w:rsid w:val="001D18D6"/>
    <w:pPr>
      <w:spacing w:before="0" w:after="0" w:line="276" w:lineRule="auto"/>
      <w:ind w:left="5103"/>
      <w:jc w:val="left"/>
    </w:pPr>
    <w:rPr>
      <w:i/>
      <w:sz w:val="28"/>
    </w:rPr>
  </w:style>
  <w:style w:type="paragraph" w:styleId="Header">
    <w:name w:val="header"/>
    <w:basedOn w:val="Normal"/>
    <w:link w:val="HeaderChar"/>
    <w:uiPriority w:val="99"/>
    <w:unhideWhenUsed/>
    <w:rsid w:val="00175E60"/>
    <w:pPr>
      <w:tabs>
        <w:tab w:val="center" w:pos="4535"/>
        <w:tab w:val="right" w:pos="9071"/>
      </w:tabs>
      <w:spacing w:before="0"/>
    </w:pPr>
  </w:style>
  <w:style w:type="character" w:customStyle="1" w:styleId="HeaderChar">
    <w:name w:val="Header Char"/>
    <w:basedOn w:val="DefaultParagraphFont"/>
    <w:link w:val="Header"/>
    <w:uiPriority w:val="99"/>
    <w:rsid w:val="00175E60"/>
    <w:rPr>
      <w:rFonts w:ascii="Times New Roman" w:hAnsi="Times New Roman" w:cs="Times New Roman"/>
      <w:sz w:val="24"/>
      <w:lang w:val="lt-LT"/>
    </w:rPr>
  </w:style>
  <w:style w:type="paragraph" w:styleId="Footer">
    <w:name w:val="footer"/>
    <w:basedOn w:val="Normal"/>
    <w:link w:val="FooterChar"/>
    <w:uiPriority w:val="99"/>
    <w:unhideWhenUsed/>
    <w:rsid w:val="00175E6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75E60"/>
    <w:rPr>
      <w:rFonts w:ascii="Times New Roman" w:hAnsi="Times New Roman" w:cs="Times New Roman"/>
      <w:sz w:val="24"/>
      <w:lang w:val="lt-LT"/>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175E60"/>
    <w:pPr>
      <w:tabs>
        <w:tab w:val="center" w:pos="7285"/>
        <w:tab w:val="right" w:pos="14003"/>
      </w:tabs>
      <w:spacing w:before="0"/>
    </w:pPr>
  </w:style>
  <w:style w:type="paragraph" w:customStyle="1" w:styleId="FooterLandscape">
    <w:name w:val="FooterLandscape"/>
    <w:basedOn w:val="Normal"/>
    <w:rsid w:val="00175E6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175E6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175E6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3"/>
      </w:numPr>
    </w:pPr>
  </w:style>
  <w:style w:type="paragraph" w:customStyle="1" w:styleId="Tiret1">
    <w:name w:val="Tiret 1"/>
    <w:basedOn w:val="Point1"/>
    <w:rsid w:val="00877878"/>
    <w:pPr>
      <w:numPr>
        <w:numId w:val="14"/>
      </w:numPr>
    </w:pPr>
  </w:style>
  <w:style w:type="paragraph" w:customStyle="1" w:styleId="Tiret2">
    <w:name w:val="Tiret 2"/>
    <w:basedOn w:val="Point2"/>
    <w:rsid w:val="00877878"/>
    <w:pPr>
      <w:numPr>
        <w:numId w:val="15"/>
      </w:numPr>
    </w:pPr>
  </w:style>
  <w:style w:type="paragraph" w:customStyle="1" w:styleId="Tiret3">
    <w:name w:val="Tiret 3"/>
    <w:basedOn w:val="Point3"/>
    <w:rsid w:val="00877878"/>
    <w:pPr>
      <w:numPr>
        <w:numId w:val="16"/>
      </w:numPr>
    </w:pPr>
  </w:style>
  <w:style w:type="paragraph" w:customStyle="1" w:styleId="Tiret4">
    <w:name w:val="Tiret 4"/>
    <w:basedOn w:val="Point4"/>
    <w:rsid w:val="00877878"/>
    <w:pPr>
      <w:numPr>
        <w:numId w:val="17"/>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3"/>
      </w:numPr>
    </w:pPr>
  </w:style>
  <w:style w:type="paragraph" w:customStyle="1" w:styleId="NumPar2">
    <w:name w:val="NumPar 2"/>
    <w:basedOn w:val="Normal"/>
    <w:next w:val="Text1"/>
    <w:rsid w:val="00877878"/>
    <w:pPr>
      <w:numPr>
        <w:ilvl w:val="1"/>
        <w:numId w:val="33"/>
      </w:numPr>
    </w:pPr>
  </w:style>
  <w:style w:type="paragraph" w:customStyle="1" w:styleId="NumPar3">
    <w:name w:val="NumPar 3"/>
    <w:basedOn w:val="Normal"/>
    <w:next w:val="Text1"/>
    <w:rsid w:val="00877878"/>
    <w:pPr>
      <w:numPr>
        <w:ilvl w:val="2"/>
        <w:numId w:val="33"/>
      </w:numPr>
    </w:pPr>
  </w:style>
  <w:style w:type="paragraph" w:customStyle="1" w:styleId="NumPar4">
    <w:name w:val="NumPar 4"/>
    <w:basedOn w:val="Normal"/>
    <w:next w:val="Text1"/>
    <w:rsid w:val="00877878"/>
    <w:pPr>
      <w:numPr>
        <w:ilvl w:val="3"/>
        <w:numId w:val="33"/>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20"/>
      </w:numPr>
    </w:pPr>
  </w:style>
  <w:style w:type="paragraph" w:customStyle="1" w:styleId="Point1number">
    <w:name w:val="Point 1 (number)"/>
    <w:basedOn w:val="Normal"/>
    <w:rsid w:val="00877878"/>
    <w:pPr>
      <w:numPr>
        <w:ilvl w:val="2"/>
        <w:numId w:val="20"/>
      </w:numPr>
    </w:pPr>
  </w:style>
  <w:style w:type="paragraph" w:customStyle="1" w:styleId="Point2number">
    <w:name w:val="Point 2 (number)"/>
    <w:basedOn w:val="Normal"/>
    <w:rsid w:val="00877878"/>
    <w:pPr>
      <w:numPr>
        <w:ilvl w:val="4"/>
        <w:numId w:val="20"/>
      </w:numPr>
    </w:pPr>
  </w:style>
  <w:style w:type="paragraph" w:customStyle="1" w:styleId="Point3number">
    <w:name w:val="Point 3 (number)"/>
    <w:basedOn w:val="Normal"/>
    <w:rsid w:val="00877878"/>
    <w:pPr>
      <w:numPr>
        <w:ilvl w:val="6"/>
        <w:numId w:val="20"/>
      </w:numPr>
    </w:pPr>
  </w:style>
  <w:style w:type="paragraph" w:customStyle="1" w:styleId="Point0letter">
    <w:name w:val="Point 0 (letter)"/>
    <w:basedOn w:val="Normal"/>
    <w:rsid w:val="00877878"/>
    <w:pPr>
      <w:numPr>
        <w:ilvl w:val="1"/>
        <w:numId w:val="20"/>
      </w:numPr>
    </w:pPr>
  </w:style>
  <w:style w:type="paragraph" w:customStyle="1" w:styleId="Point1letter">
    <w:name w:val="Point 1 (letter)"/>
    <w:basedOn w:val="Normal"/>
    <w:rsid w:val="00877878"/>
    <w:pPr>
      <w:numPr>
        <w:ilvl w:val="3"/>
        <w:numId w:val="20"/>
      </w:numPr>
    </w:pPr>
  </w:style>
  <w:style w:type="paragraph" w:customStyle="1" w:styleId="Point2letter">
    <w:name w:val="Point 2 (letter)"/>
    <w:basedOn w:val="Normal"/>
    <w:rsid w:val="00877878"/>
    <w:pPr>
      <w:numPr>
        <w:ilvl w:val="5"/>
        <w:numId w:val="20"/>
      </w:numPr>
    </w:pPr>
  </w:style>
  <w:style w:type="paragraph" w:customStyle="1" w:styleId="Point3letter">
    <w:name w:val="Point 3 (letter)"/>
    <w:basedOn w:val="Normal"/>
    <w:rsid w:val="00877878"/>
    <w:pPr>
      <w:numPr>
        <w:ilvl w:val="7"/>
        <w:numId w:val="20"/>
      </w:numPr>
    </w:pPr>
  </w:style>
  <w:style w:type="paragraph" w:customStyle="1" w:styleId="Point4letter">
    <w:name w:val="Point 4 (letter)"/>
    <w:basedOn w:val="Normal"/>
    <w:rsid w:val="00877878"/>
    <w:pPr>
      <w:numPr>
        <w:ilvl w:val="8"/>
        <w:numId w:val="20"/>
      </w:numPr>
    </w:pPr>
  </w:style>
  <w:style w:type="paragraph" w:customStyle="1" w:styleId="Bullet0">
    <w:name w:val="Bullet 0"/>
    <w:basedOn w:val="Normal"/>
    <w:rsid w:val="00877878"/>
    <w:pPr>
      <w:numPr>
        <w:numId w:val="21"/>
      </w:numPr>
    </w:pPr>
  </w:style>
  <w:style w:type="paragraph" w:customStyle="1" w:styleId="Bullet1">
    <w:name w:val="Bullet 1"/>
    <w:basedOn w:val="Normal"/>
    <w:rsid w:val="00877878"/>
    <w:pPr>
      <w:numPr>
        <w:numId w:val="22"/>
      </w:numPr>
    </w:pPr>
  </w:style>
  <w:style w:type="paragraph" w:customStyle="1" w:styleId="Bullet2">
    <w:name w:val="Bullet 2"/>
    <w:basedOn w:val="Normal"/>
    <w:rsid w:val="00877878"/>
    <w:pPr>
      <w:numPr>
        <w:numId w:val="23"/>
      </w:numPr>
    </w:pPr>
  </w:style>
  <w:style w:type="paragraph" w:customStyle="1" w:styleId="Bullet3">
    <w:name w:val="Bullet 3"/>
    <w:basedOn w:val="Normal"/>
    <w:rsid w:val="00877878"/>
    <w:pPr>
      <w:numPr>
        <w:numId w:val="24"/>
      </w:numPr>
    </w:pPr>
  </w:style>
  <w:style w:type="paragraph" w:customStyle="1" w:styleId="Bullet4">
    <w:name w:val="Bullet 4"/>
    <w:basedOn w:val="Normal"/>
    <w:rsid w:val="00877878"/>
    <w:pPr>
      <w:numPr>
        <w:numId w:val="25"/>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6"/>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 w:type="character" w:customStyle="1" w:styleId="Heading5Char">
    <w:name w:val="Heading 5 Char"/>
    <w:basedOn w:val="DefaultParagraphFont"/>
    <w:link w:val="Heading5"/>
    <w:uiPriority w:val="9"/>
    <w:semiHidden/>
    <w:rsid w:val="001D18D6"/>
    <w:rPr>
      <w:rFonts w:ascii="Times New Roman" w:eastAsiaTheme="majorEastAsia" w:hAnsi="Times New Roman" w:cs="Times New Roman"/>
      <w:sz w:val="24"/>
      <w:lang w:val="lt-LT"/>
    </w:rPr>
  </w:style>
  <w:style w:type="character" w:customStyle="1" w:styleId="Heading6Char">
    <w:name w:val="Heading 6 Char"/>
    <w:basedOn w:val="DefaultParagraphFont"/>
    <w:link w:val="Heading6"/>
    <w:uiPriority w:val="9"/>
    <w:semiHidden/>
    <w:rsid w:val="001D18D6"/>
    <w:rPr>
      <w:rFonts w:ascii="Times New Roman" w:eastAsiaTheme="majorEastAsia" w:hAnsi="Times New Roman" w:cs="Times New Roman"/>
      <w:iCs/>
      <w:sz w:val="24"/>
      <w:lang w:val="lt-LT"/>
    </w:rPr>
  </w:style>
  <w:style w:type="character" w:customStyle="1" w:styleId="Heading7Char">
    <w:name w:val="Heading 7 Char"/>
    <w:basedOn w:val="DefaultParagraphFont"/>
    <w:link w:val="Heading7"/>
    <w:uiPriority w:val="9"/>
    <w:semiHidden/>
    <w:rsid w:val="001D18D6"/>
    <w:rPr>
      <w:rFonts w:ascii="Times New Roman" w:eastAsiaTheme="majorEastAsia" w:hAnsi="Times New Roman" w:cs="Times New Roman"/>
      <w:iCs/>
      <w:sz w:val="24"/>
      <w:lang w:val="lt-LT"/>
    </w:rPr>
  </w:style>
  <w:style w:type="paragraph" w:customStyle="1" w:styleId="ManualHeading5">
    <w:name w:val="Manual Heading 5"/>
    <w:basedOn w:val="Normal"/>
    <w:next w:val="Text2"/>
    <w:rsid w:val="001D18D6"/>
    <w:pPr>
      <w:keepNext/>
      <w:tabs>
        <w:tab w:val="left" w:pos="1417"/>
      </w:tabs>
      <w:ind w:left="1417" w:hanging="1417"/>
      <w:outlineLvl w:val="4"/>
    </w:pPr>
  </w:style>
  <w:style w:type="paragraph" w:customStyle="1" w:styleId="ManualHeading6">
    <w:name w:val="Manual Heading 6"/>
    <w:basedOn w:val="Normal"/>
    <w:next w:val="Text2"/>
    <w:rsid w:val="001D18D6"/>
    <w:pPr>
      <w:keepNext/>
      <w:tabs>
        <w:tab w:val="left" w:pos="1417"/>
      </w:tabs>
      <w:ind w:left="1417" w:hanging="1417"/>
      <w:outlineLvl w:val="5"/>
    </w:pPr>
  </w:style>
  <w:style w:type="paragraph" w:customStyle="1" w:styleId="ManualHeading7">
    <w:name w:val="Manual Heading 7"/>
    <w:basedOn w:val="Normal"/>
    <w:next w:val="Text2"/>
    <w:rsid w:val="001D18D6"/>
    <w:pPr>
      <w:keepNext/>
      <w:tabs>
        <w:tab w:val="left" w:pos="1417"/>
      </w:tabs>
      <w:ind w:left="1417" w:hanging="1417"/>
      <w:outlineLvl w:val="6"/>
    </w:pPr>
  </w:style>
  <w:style w:type="paragraph" w:customStyle="1" w:styleId="Text5">
    <w:name w:val="Text 5"/>
    <w:basedOn w:val="Normal"/>
    <w:rsid w:val="001D18D6"/>
    <w:pPr>
      <w:ind w:left="3118"/>
    </w:pPr>
  </w:style>
  <w:style w:type="paragraph" w:customStyle="1" w:styleId="Text6">
    <w:name w:val="Text 6"/>
    <w:basedOn w:val="Normal"/>
    <w:rsid w:val="001D18D6"/>
    <w:pPr>
      <w:ind w:left="3685"/>
    </w:pPr>
  </w:style>
  <w:style w:type="paragraph" w:customStyle="1" w:styleId="Point5">
    <w:name w:val="Point 5"/>
    <w:basedOn w:val="Normal"/>
    <w:rsid w:val="001D18D6"/>
    <w:pPr>
      <w:ind w:left="3685" w:hanging="567"/>
    </w:pPr>
  </w:style>
  <w:style w:type="paragraph" w:customStyle="1" w:styleId="Tiret5">
    <w:name w:val="Tiret 5"/>
    <w:basedOn w:val="Point5"/>
    <w:rsid w:val="001D18D6"/>
    <w:pPr>
      <w:numPr>
        <w:numId w:val="30"/>
      </w:numPr>
    </w:pPr>
  </w:style>
  <w:style w:type="paragraph" w:customStyle="1" w:styleId="NumPar5">
    <w:name w:val="NumPar 5"/>
    <w:basedOn w:val="Normal"/>
    <w:next w:val="Text2"/>
    <w:rsid w:val="001D18D6"/>
    <w:pPr>
      <w:numPr>
        <w:ilvl w:val="4"/>
        <w:numId w:val="33"/>
      </w:numPr>
    </w:pPr>
  </w:style>
  <w:style w:type="paragraph" w:customStyle="1" w:styleId="NumPar6">
    <w:name w:val="NumPar 6"/>
    <w:basedOn w:val="Normal"/>
    <w:next w:val="Text2"/>
    <w:rsid w:val="001D18D6"/>
    <w:pPr>
      <w:numPr>
        <w:ilvl w:val="5"/>
        <w:numId w:val="33"/>
      </w:numPr>
    </w:pPr>
  </w:style>
  <w:style w:type="paragraph" w:customStyle="1" w:styleId="NumPar7">
    <w:name w:val="NumPar 7"/>
    <w:basedOn w:val="Normal"/>
    <w:next w:val="Text2"/>
    <w:rsid w:val="001D18D6"/>
    <w:pPr>
      <w:numPr>
        <w:ilvl w:val="6"/>
        <w:numId w:val="33"/>
      </w:numPr>
    </w:pPr>
  </w:style>
  <w:style w:type="paragraph" w:customStyle="1" w:styleId="ManualNumPar5">
    <w:name w:val="Manual NumPar 5"/>
    <w:basedOn w:val="Normal"/>
    <w:next w:val="Text2"/>
    <w:rsid w:val="001D18D6"/>
    <w:pPr>
      <w:ind w:left="1417" w:hanging="1417"/>
    </w:pPr>
  </w:style>
  <w:style w:type="paragraph" w:customStyle="1" w:styleId="ManualNumPar6">
    <w:name w:val="Manual NumPar 6"/>
    <w:basedOn w:val="Normal"/>
    <w:next w:val="Text2"/>
    <w:rsid w:val="001D18D6"/>
    <w:pPr>
      <w:ind w:left="1417" w:hanging="1417"/>
    </w:pPr>
  </w:style>
  <w:style w:type="paragraph" w:customStyle="1" w:styleId="ManualNumPar7">
    <w:name w:val="Manual NumPar 7"/>
    <w:basedOn w:val="Normal"/>
    <w:next w:val="Text2"/>
    <w:rsid w:val="001D18D6"/>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24659">
      <w:bodyDiv w:val="1"/>
      <w:marLeft w:val="0"/>
      <w:marRight w:val="0"/>
      <w:marTop w:val="0"/>
      <w:marBottom w:val="0"/>
      <w:divBdr>
        <w:top w:val="none" w:sz="0" w:space="0" w:color="auto"/>
        <w:left w:val="none" w:sz="0" w:space="0" w:color="auto"/>
        <w:bottom w:val="none" w:sz="0" w:space="0" w:color="auto"/>
        <w:right w:val="none" w:sz="0" w:space="0" w:color="auto"/>
      </w:divBdr>
    </w:div>
    <w:div w:id="421343457">
      <w:bodyDiv w:val="1"/>
      <w:marLeft w:val="0"/>
      <w:marRight w:val="0"/>
      <w:marTop w:val="0"/>
      <w:marBottom w:val="0"/>
      <w:divBdr>
        <w:top w:val="none" w:sz="0" w:space="0" w:color="auto"/>
        <w:left w:val="none" w:sz="0" w:space="0" w:color="auto"/>
        <w:bottom w:val="none" w:sz="0" w:space="0" w:color="auto"/>
        <w:right w:val="none" w:sz="0" w:space="0" w:color="auto"/>
      </w:divBdr>
    </w:div>
    <w:div w:id="1174032732">
      <w:bodyDiv w:val="1"/>
      <w:marLeft w:val="0"/>
      <w:marRight w:val="0"/>
      <w:marTop w:val="0"/>
      <w:marBottom w:val="0"/>
      <w:divBdr>
        <w:top w:val="none" w:sz="0" w:space="0" w:color="auto"/>
        <w:left w:val="none" w:sz="0" w:space="0" w:color="auto"/>
        <w:bottom w:val="none" w:sz="0" w:space="0" w:color="auto"/>
        <w:right w:val="none" w:sz="0" w:space="0" w:color="auto"/>
      </w:divBdr>
    </w:div>
    <w:div w:id="1208298230">
      <w:bodyDiv w:val="1"/>
      <w:marLeft w:val="0"/>
      <w:marRight w:val="0"/>
      <w:marTop w:val="0"/>
      <w:marBottom w:val="0"/>
      <w:divBdr>
        <w:top w:val="none" w:sz="0" w:space="0" w:color="auto"/>
        <w:left w:val="none" w:sz="0" w:space="0" w:color="auto"/>
        <w:bottom w:val="none" w:sz="0" w:space="0" w:color="auto"/>
        <w:right w:val="none" w:sz="0" w:space="0" w:color="auto"/>
      </w:divBdr>
    </w:div>
    <w:div w:id="1701735715">
      <w:bodyDiv w:val="1"/>
      <w:marLeft w:val="0"/>
      <w:marRight w:val="0"/>
      <w:marTop w:val="0"/>
      <w:marBottom w:val="0"/>
      <w:divBdr>
        <w:top w:val="none" w:sz="0" w:space="0" w:color="auto"/>
        <w:left w:val="none" w:sz="0" w:space="0" w:color="auto"/>
        <w:bottom w:val="none" w:sz="0" w:space="0" w:color="auto"/>
        <w:right w:val="none" w:sz="0" w:space="0" w:color="auto"/>
      </w:divBdr>
    </w:div>
    <w:div w:id="1727993368">
      <w:bodyDiv w:val="1"/>
      <w:marLeft w:val="0"/>
      <w:marRight w:val="0"/>
      <w:marTop w:val="0"/>
      <w:marBottom w:val="0"/>
      <w:divBdr>
        <w:top w:val="none" w:sz="0" w:space="0" w:color="auto"/>
        <w:left w:val="none" w:sz="0" w:space="0" w:color="auto"/>
        <w:bottom w:val="none" w:sz="0" w:space="0" w:color="auto"/>
        <w:right w:val="none" w:sz="0" w:space="0" w:color="auto"/>
      </w:divBdr>
    </w:div>
    <w:div w:id="1752001989">
      <w:bodyDiv w:val="1"/>
      <w:marLeft w:val="0"/>
      <w:marRight w:val="0"/>
      <w:marTop w:val="0"/>
      <w:marBottom w:val="0"/>
      <w:divBdr>
        <w:top w:val="none" w:sz="0" w:space="0" w:color="auto"/>
        <w:left w:val="none" w:sz="0" w:space="0" w:color="auto"/>
        <w:bottom w:val="none" w:sz="0" w:space="0" w:color="auto"/>
        <w:right w:val="none" w:sz="0" w:space="0" w:color="auto"/>
      </w:divBdr>
    </w:div>
    <w:div w:id="1990622570">
      <w:bodyDiv w:val="1"/>
      <w:marLeft w:val="0"/>
      <w:marRight w:val="0"/>
      <w:marTop w:val="0"/>
      <w:marBottom w:val="0"/>
      <w:divBdr>
        <w:top w:val="none" w:sz="0" w:space="0" w:color="auto"/>
        <w:left w:val="none" w:sz="0" w:space="0" w:color="auto"/>
        <w:bottom w:val="none" w:sz="0" w:space="0" w:color="auto"/>
        <w:right w:val="none" w:sz="0" w:space="0" w:color="auto"/>
      </w:divBdr>
    </w:div>
    <w:div w:id="2001732565">
      <w:bodyDiv w:val="1"/>
      <w:marLeft w:val="0"/>
      <w:marRight w:val="0"/>
      <w:marTop w:val="0"/>
      <w:marBottom w:val="0"/>
      <w:divBdr>
        <w:top w:val="none" w:sz="0" w:space="0" w:color="auto"/>
        <w:left w:val="none" w:sz="0" w:space="0" w:color="auto"/>
        <w:bottom w:val="none" w:sz="0" w:space="0" w:color="auto"/>
        <w:right w:val="none" w:sz="0" w:space="0" w:color="auto"/>
      </w:divBdr>
    </w:div>
    <w:div w:id="2027511047">
      <w:bodyDiv w:val="1"/>
      <w:marLeft w:val="0"/>
      <w:marRight w:val="0"/>
      <w:marTop w:val="0"/>
      <w:marBottom w:val="0"/>
      <w:divBdr>
        <w:top w:val="none" w:sz="0" w:space="0" w:color="auto"/>
        <w:left w:val="none" w:sz="0" w:space="0" w:color="auto"/>
        <w:bottom w:val="none" w:sz="0" w:space="0" w:color="auto"/>
        <w:right w:val="none" w:sz="0" w:space="0" w:color="auto"/>
      </w:divBdr>
    </w:div>
    <w:div w:id="207913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T/AUTO/?uri=OJ:L:2019:091: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3712021FDB5874F9699F85B57306198" ma:contentTypeVersion="5" ma:contentTypeDescription="Create a new document in this library." ma:contentTypeScope="" ma:versionID="f1dea5424d4088260ccd2d3352f24f79">
  <xsd:schema xmlns:xsd="http://www.w3.org/2001/XMLSchema" xmlns:xs="http://www.w3.org/2001/XMLSchema" xmlns:p="http://schemas.microsoft.com/office/2006/metadata/properties" xmlns:ns3="1449cb01-ac7f-4105-a4f6-aace6d33820e" xmlns:ns4="b9a1bbf4-3872-40cb-a1a3-b88a292b9176" targetNamespace="http://schemas.microsoft.com/office/2006/metadata/properties" ma:root="true" ma:fieldsID="9b6d0d7efaec76e3c9645069666f75e6" ns3:_="" ns4:_="">
    <xsd:import namespace="1449cb01-ac7f-4105-a4f6-aace6d33820e"/>
    <xsd:import namespace="b9a1bbf4-3872-40cb-a1a3-b88a292b9176"/>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9cb01-ac7f-4105-a4f6-aace6d33820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3712021FDB5874F9699F85B57306198" ma:contentTypeVersion="5" ma:contentTypeDescription="Create a new document in this library." ma:contentTypeScope="" ma:versionID="f1dea5424d4088260ccd2d3352f24f79">
  <xsd:schema xmlns:xsd="http://www.w3.org/2001/XMLSchema" xmlns:xs="http://www.w3.org/2001/XMLSchema" xmlns:p="http://schemas.microsoft.com/office/2006/metadata/properties" xmlns:ns3="1449cb01-ac7f-4105-a4f6-aace6d33820e" xmlns:ns4="b9a1bbf4-3872-40cb-a1a3-b88a292b9176" targetNamespace="http://schemas.microsoft.com/office/2006/metadata/properties" ma:root="true" ma:fieldsID="9b6d0d7efaec76e3c9645069666f75e6" ns3:_="" ns4:_="">
    <xsd:import namespace="1449cb01-ac7f-4105-a4f6-aace6d33820e"/>
    <xsd:import namespace="b9a1bbf4-3872-40cb-a1a3-b88a292b9176"/>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9cb01-ac7f-4105-a4f6-aace6d33820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03712021FDB5874F9699F85B57306198" ma:contentTypeVersion="5" ma:contentTypeDescription="Create a new document in this library." ma:contentTypeScope="" ma:versionID="f1dea5424d4088260ccd2d3352f24f79">
  <xsd:schema xmlns:xsd="http://www.w3.org/2001/XMLSchema" xmlns:xs="http://www.w3.org/2001/XMLSchema" xmlns:p="http://schemas.microsoft.com/office/2006/metadata/properties" xmlns:ns3="1449cb01-ac7f-4105-a4f6-aace6d33820e" xmlns:ns4="b9a1bbf4-3872-40cb-a1a3-b88a292b9176" targetNamespace="http://schemas.microsoft.com/office/2006/metadata/properties" ma:root="true" ma:fieldsID="9b6d0d7efaec76e3c9645069666f75e6" ns3:_="" ns4:_="">
    <xsd:import namespace="1449cb01-ac7f-4105-a4f6-aace6d33820e"/>
    <xsd:import namespace="b9a1bbf4-3872-40cb-a1a3-b88a292b9176"/>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9cb01-ac7f-4105-a4f6-aace6d33820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C_Collab_DocumentLanguage xmlns="1449cb01-ac7f-4105-a4f6-aace6d33820e">EN</EC_Collab_DocumentLanguage>
    <EC_ARES_DATE_TRANSFERRED xmlns="1449cb01-ac7f-4105-a4f6-aace6d33820e" xsi:nil="true"/>
    <EC_ARES_TRANSFERRED_BY xmlns="1449cb01-ac7f-4105-a4f6-aace6d33820e" xsi:nil="true"/>
    <EC_Collab_Reference xmlns="1449cb01-ac7f-4105-a4f6-aace6d33820e" xsi:nil="true"/>
    <EC_Collab_Status xmlns="1449cb01-ac7f-4105-a4f6-aace6d33820e">Not Started</EC_Collab_Status>
    <EC_ARES_NUMBER xmlns="1449cb01-ac7f-4105-a4f6-aace6d33820e">
      <Url xsi:nil="true"/>
      <Description xsi:nil="true"/>
    </EC_ARES_NUMBER>
    <_dlc_DocId xmlns="b9a1bbf4-3872-40cb-a1a3-b88a292b9176">NHRUTF4F6DR2-326283604-1398</_dlc_DocId>
    <_dlc_DocIdUrl xmlns="b9a1bbf4-3872-40cb-a1a3-b88a292b9176">
      <Url>https://myintracomm-collab.ec.europa.eu/dg/budg/unit-B2-site/_layouts/15/DocIdRedir.aspx?ID=NHRUTF4F6DR2-326283604-1398</Url>
      <Description>NHRUTF4F6DR2-326283604-1398</Description>
    </_dlc_DocIdUrl>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_dlc_DocId xmlns="b9a1bbf4-3872-40cb-a1a3-b88a292b9176">NHRUTF4F6DR2-326283604-1420</_dlc_DocId>
    <_dlc_DocIdUrl xmlns="b9a1bbf4-3872-40cb-a1a3-b88a292b9176">
      <Url>https://myintracomm-collab.ec.europa.eu/dg/budg/unit-B2-site/_layouts/15/DocIdRedir.aspx?ID=NHRUTF4F6DR2-326283604-1420</Url>
      <Description>NHRUTF4F6DR2-326283604-1420</Description>
    </_dlc_DocIdUrl>
    <EC_Collab_DocumentLanguage xmlns="1449cb01-ac7f-4105-a4f6-aace6d33820e">EN</EC_Collab_DocumentLanguage>
    <EC_ARES_DATE_TRANSFERRED xmlns="1449cb01-ac7f-4105-a4f6-aace6d33820e" xsi:nil="true"/>
    <EC_ARES_TRANSFERRED_BY xmlns="1449cb01-ac7f-4105-a4f6-aace6d33820e" xsi:nil="true"/>
    <EC_Collab_Reference xmlns="1449cb01-ac7f-4105-a4f6-aace6d33820e" xsi:nil="true"/>
    <EC_Collab_Status xmlns="1449cb01-ac7f-4105-a4f6-aace6d33820e">Not Started</EC_Collab_Status>
    <EC_ARES_NUMBER xmlns="1449cb01-ac7f-4105-a4f6-aace6d33820e">
      <Url xsi:nil="true"/>
      <Description xsi:nil="true"/>
    </EC_ARES_NUMBER>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22819-1964-4104-9FE5-E001F89B1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9cb01-ac7f-4105-a4f6-aace6d33820e"/>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EA543-7E08-4398-A2CC-9E7DC16C2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9cb01-ac7f-4105-a4f6-aace6d33820e"/>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C7085-BD81-4219-BD10-399EE91F9D3F}">
  <ds:schemaRefs>
    <ds:schemaRef ds:uri="http://schemas.microsoft.com/sharepoint/events"/>
  </ds:schemaRefs>
</ds:datastoreItem>
</file>

<file path=customXml/itemProps4.xml><?xml version="1.0" encoding="utf-8"?>
<ds:datastoreItem xmlns:ds="http://schemas.openxmlformats.org/officeDocument/2006/customXml" ds:itemID="{5B28AEB4-DDA1-48B5-A4EB-65FE92F45C10}">
  <ds:schemaRefs>
    <ds:schemaRef ds:uri="http://schemas.microsoft.com/sharepoint/v3/contenttype/forms"/>
  </ds:schemaRefs>
</ds:datastoreItem>
</file>

<file path=customXml/itemProps5.xml><?xml version="1.0" encoding="utf-8"?>
<ds:datastoreItem xmlns:ds="http://schemas.openxmlformats.org/officeDocument/2006/customXml" ds:itemID="{E98160C5-FDDB-4229-A286-6BB0A34A5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9cb01-ac7f-4105-a4f6-aace6d33820e"/>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9308C8-4ABD-47D8-A73E-210BF749D490}">
  <ds:schemaRefs>
    <ds:schemaRef ds:uri="1449cb01-ac7f-4105-a4f6-aace6d33820e"/>
    <ds:schemaRef ds:uri="http://schemas.microsoft.com/office/infopath/2007/PartnerControls"/>
    <ds:schemaRef ds:uri="http://purl.org/dc/terms/"/>
    <ds:schemaRef ds:uri="http://schemas.microsoft.com/office/2006/documentManagement/types"/>
    <ds:schemaRef ds:uri="b9a1bbf4-3872-40cb-a1a3-b88a292b9176"/>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5B190384-0369-4C10-8F0A-4D562AB8CBDC}">
  <ds:schemaRefs>
    <ds:schemaRef ds:uri="http://schemas.microsoft.com/office/2006/metadata/properties"/>
    <ds:schemaRef ds:uri="http://schemas.microsoft.com/office/infopath/2007/PartnerControls"/>
    <ds:schemaRef ds:uri="b9a1bbf4-3872-40cb-a1a3-b88a292b9176"/>
    <ds:schemaRef ds:uri="1449cb01-ac7f-4105-a4f6-aace6d33820e"/>
  </ds:schemaRefs>
</ds:datastoreItem>
</file>

<file path=customXml/itemProps8.xml><?xml version="1.0" encoding="utf-8"?>
<ds:datastoreItem xmlns:ds="http://schemas.openxmlformats.org/officeDocument/2006/customXml" ds:itemID="{4E7B9D47-6EED-4290-8BED-F1C8D488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2199</Words>
  <Characters>15201</Characters>
  <Application>Microsoft Office Word</Application>
  <DocSecurity>0</DocSecurity>
  <Lines>257</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2022-01-06T16:32:00Z</dcterms:created>
  <dcterms:modified xsi:type="dcterms:W3CDTF">2022-01-06T19:52:00Z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6.0.1, Build 20180503</vt:lpwstr>
  </property>
  <property fmtid="{D5CDD505-2E9C-101B-9397-08002B2CF9AE}" pid="5" name="ContentTypeId">
    <vt:lpwstr>0x010100258AA79CEB83498886A3A086811232500003712021FDB5874F9699F85B57306198</vt:lpwstr>
  </property>
  <property fmtid="{D5CDD505-2E9C-101B-9397-08002B2CF9AE}" pid="6" name="_dlc_DocIdItemGuid">
    <vt:lpwstr>e58dfa3c-c744-454c-9588-ece256c4c753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