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EC688" w14:textId="43EEC621" w:rsidR="003F209E" w:rsidRPr="001E4272" w:rsidRDefault="00C51A3C" w:rsidP="00C51A3C">
      <w:pPr>
        <w:pStyle w:val="Pagedecouverture"/>
        <w:rPr>
          <w:noProof/>
        </w:rPr>
      </w:pPr>
      <w:r>
        <w:rPr>
          <w:noProof/>
        </w:rPr>
        <w:pict w14:anchorId="3C6B6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8D129A15-13AC-4577-8D67-7CA7EF3E37F7" style="width:455.25pt;height:383.25pt">
            <v:imagedata r:id="rId11" o:title=""/>
          </v:shape>
        </w:pict>
      </w:r>
    </w:p>
    <w:p w14:paraId="565065DA" w14:textId="77777777" w:rsidR="008E133B" w:rsidRPr="001E4272" w:rsidRDefault="008E133B" w:rsidP="008E133B">
      <w:pPr>
        <w:rPr>
          <w:noProof/>
        </w:rPr>
        <w:sectPr w:rsidR="008E133B" w:rsidRPr="001E4272" w:rsidSect="00C51A3C">
          <w:footerReference w:type="default" r:id="rId12"/>
          <w:pgSz w:w="11907" w:h="16839" w:code="9"/>
          <w:pgMar w:top="1134" w:right="1417" w:bottom="1134" w:left="1417" w:header="709" w:footer="709" w:gutter="0"/>
          <w:pgNumType w:start="0"/>
          <w:cols w:space="720"/>
          <w:docGrid w:linePitch="360"/>
        </w:sectPr>
      </w:pPr>
    </w:p>
    <w:p w14:paraId="772390FE" w14:textId="5CC8B431" w:rsidR="00EB0A3C" w:rsidRPr="001E4272" w:rsidRDefault="00EB0A3C" w:rsidP="00715ADE">
      <w:pPr>
        <w:pStyle w:val="Exposdesmotifstitre"/>
        <w:rPr>
          <w:noProof/>
        </w:rPr>
      </w:pPr>
      <w:bookmarkStart w:id="0" w:name="_GoBack"/>
      <w:bookmarkEnd w:id="0"/>
      <w:r w:rsidRPr="001E4272">
        <w:rPr>
          <w:noProof/>
        </w:rPr>
        <w:lastRenderedPageBreak/>
        <w:t>ΑΙΤΙΟΛΟΓΙΚΗ ΕΚΘΕΣΗ</w:t>
      </w:r>
    </w:p>
    <w:p w14:paraId="2A7E54B7" w14:textId="77777777" w:rsidR="00EB0A3C" w:rsidRPr="001E4272" w:rsidRDefault="00EB0A3C" w:rsidP="00715ADE">
      <w:pPr>
        <w:pStyle w:val="ManualHeading1"/>
        <w:rPr>
          <w:noProof/>
        </w:rPr>
      </w:pPr>
      <w:bookmarkStart w:id="1" w:name="_Toc84517382"/>
      <w:bookmarkStart w:id="2" w:name="_Toc84517554"/>
      <w:r w:rsidRPr="001E4272">
        <w:rPr>
          <w:noProof/>
        </w:rPr>
        <w:t>1.</w:t>
      </w:r>
      <w:r w:rsidRPr="001E4272">
        <w:rPr>
          <w:noProof/>
        </w:rPr>
        <w:tab/>
        <w:t>ΠΛΑΙΣΙΟ ΤΗΣ ΠΡΟΤΑΣΗΣ</w:t>
      </w:r>
      <w:bookmarkEnd w:id="1"/>
      <w:bookmarkEnd w:id="2"/>
    </w:p>
    <w:p w14:paraId="4B84AE72" w14:textId="77777777" w:rsidR="00EB0A3C" w:rsidRPr="001E4272" w:rsidRDefault="00EB0A3C" w:rsidP="00715ADE">
      <w:pPr>
        <w:pStyle w:val="ManualHeading2"/>
        <w:rPr>
          <w:rFonts w:eastAsia="Arial Unicode MS"/>
          <w:noProof/>
        </w:rPr>
      </w:pPr>
      <w:bookmarkStart w:id="3" w:name="_Toc84517555"/>
      <w:r w:rsidRPr="001E4272">
        <w:rPr>
          <w:noProof/>
          <w:color w:val="000000"/>
          <w:bdr w:val="nil"/>
        </w:rPr>
        <w:t>•</w:t>
      </w:r>
      <w:r w:rsidRPr="001E4272">
        <w:rPr>
          <w:noProof/>
        </w:rPr>
        <w:tab/>
        <w:t>Αιτιολόγηση και στόχοι της πρότασης</w:t>
      </w:r>
      <w:bookmarkEnd w:id="3"/>
    </w:p>
    <w:p w14:paraId="3C252D92" w14:textId="76EABD78" w:rsidR="00FC00B8" w:rsidRPr="001E4272" w:rsidRDefault="00EB0A3C" w:rsidP="00EB0A3C">
      <w:pPr>
        <w:pBdr>
          <w:top w:val="nil"/>
          <w:left w:val="nil"/>
          <w:bottom w:val="nil"/>
          <w:right w:val="nil"/>
          <w:between w:val="nil"/>
          <w:bar w:val="nil"/>
        </w:pBdr>
        <w:spacing w:before="0" w:after="240"/>
        <w:rPr>
          <w:noProof/>
        </w:rPr>
      </w:pPr>
      <w:r w:rsidRPr="001E4272">
        <w:rPr>
          <w:noProof/>
        </w:rPr>
        <w:t>O Οργανισμός της Ευρωπαϊκής Ένωσης για τη Συνεργασία στον Τομέα της Ποινικής Δικαιοσύνης (Eurojust) συντονίζει τις έρευνες και τις διώξεις σοβαρών διασυνοριακών εγκλημάτων στην Ευρώπη και πέραν αυτής. Ως ο κόμβος της Ευρωπαϊκής Ένωσης (ΕΕ) για τη δικαστική συνεργασία σε ποινικές υποθέσεις, η Eurojust στηρίζει τις εθνικές αρχές που είναι επιφορτισμένες με την έρευνα και τη δίωξη εγκλημάτων.</w:t>
      </w:r>
    </w:p>
    <w:p w14:paraId="795211ED" w14:textId="7D53D142" w:rsidR="000F03C5" w:rsidRPr="001E4272" w:rsidRDefault="00FC00B8" w:rsidP="00EB0A3C">
      <w:pPr>
        <w:pBdr>
          <w:top w:val="nil"/>
          <w:left w:val="nil"/>
          <w:bottom w:val="nil"/>
          <w:right w:val="nil"/>
          <w:between w:val="nil"/>
          <w:bar w:val="nil"/>
        </w:pBdr>
        <w:spacing w:before="0" w:after="240"/>
        <w:rPr>
          <w:rFonts w:eastAsia="Arial Unicode MS"/>
          <w:noProof/>
          <w:color w:val="000000" w:themeColor="text1"/>
        </w:rPr>
      </w:pPr>
      <w:r w:rsidRPr="001E4272">
        <w:rPr>
          <w:noProof/>
        </w:rPr>
        <w:t xml:space="preserve">Η καταπολέμηση της τρομοκρατίας αποτελεί μέρος της εντολής της Eurojust από τη σύστασή της το 2002 και παραμένει μία από τις βασικές προτεραιότητές της. </w:t>
      </w:r>
      <w:r w:rsidRPr="001E4272">
        <w:rPr>
          <w:noProof/>
          <w:color w:val="000000" w:themeColor="text1"/>
        </w:rPr>
        <w:t>Για την αποτελεσματική καταπολέμηση της τρομοκρατίας, είναι ιδιαίτερα σημαντικό οι αρμόδιες αρχές να ανταλλάσσουν αποδοτικά συναφείς πληροφορίες μεταξύ τους και με τα όργανα και τους οργανισμούς της ΕΕ για την πρόληψη, την ανίχνευση, τη διερεύνηση ή τη δίωξη τρομοκρατικών εγκλημάτων.</w:t>
      </w:r>
    </w:p>
    <w:p w14:paraId="5C86B3C5" w14:textId="1BF2CAFA" w:rsidR="000F03C5" w:rsidRPr="001E4272" w:rsidRDefault="00FC00B8" w:rsidP="00EB0A3C">
      <w:pPr>
        <w:pBdr>
          <w:top w:val="nil"/>
          <w:left w:val="nil"/>
          <w:bottom w:val="nil"/>
          <w:right w:val="nil"/>
          <w:between w:val="nil"/>
          <w:bar w:val="nil"/>
        </w:pBdr>
        <w:spacing w:before="0" w:after="240"/>
        <w:rPr>
          <w:rFonts w:eastAsia="Arial Unicode MS"/>
          <w:noProof/>
          <w:color w:val="000000" w:themeColor="text1"/>
        </w:rPr>
      </w:pPr>
      <w:r w:rsidRPr="001E4272">
        <w:rPr>
          <w:noProof/>
          <w:color w:val="000000" w:themeColor="text1"/>
        </w:rPr>
        <w:t>Η απόφαση 2005/671/ΔΕΥ του Συμβουλίου, της 20ής Σεπτεμβρίου 2005, σχετικά με την ανταλλαγή πληροφοριών και τη συνεργασία όσον αφορά τα τρομοκρατικά αδικήματα</w:t>
      </w:r>
      <w:r w:rsidRPr="001E4272">
        <w:rPr>
          <w:rStyle w:val="FootnoteReference"/>
          <w:rFonts w:eastAsia="Arial Unicode MS"/>
          <w:noProof/>
          <w:color w:val="000000" w:themeColor="text1"/>
        </w:rPr>
        <w:footnoteReference w:id="2"/>
      </w:r>
      <w:r w:rsidRPr="001E4272">
        <w:rPr>
          <w:noProof/>
          <w:color w:val="000000" w:themeColor="text1"/>
        </w:rPr>
        <w:t xml:space="preserve"> επισημαίνει ότι για την καταπολέμηση της τρομοκρατίας είναι απαραίτητο να υπάρχουν όσο το δυνατόν πληρέστερες και οι πλέον επίκαιρες πληροφορίες. Η συνεχιζόμενη τρομοκρατική απειλή και ο πολύπλοκος χαρακτήρας της επιβάλλουν την ενίσχυση της ανταλλαγής πληροφοριών.</w:t>
      </w:r>
    </w:p>
    <w:p w14:paraId="36AB8461" w14:textId="45DBDBC7" w:rsidR="000F03C5" w:rsidRPr="001E4272" w:rsidRDefault="00FC00B8" w:rsidP="00EB0A3C">
      <w:pPr>
        <w:pBdr>
          <w:top w:val="nil"/>
          <w:left w:val="nil"/>
          <w:bottom w:val="nil"/>
          <w:right w:val="nil"/>
          <w:between w:val="nil"/>
          <w:bar w:val="nil"/>
        </w:pBdr>
        <w:spacing w:before="0" w:after="240"/>
        <w:rPr>
          <w:rFonts w:eastAsia="Arial Unicode MS"/>
          <w:noProof/>
          <w:color w:val="000000" w:themeColor="text1"/>
        </w:rPr>
      </w:pPr>
      <w:r w:rsidRPr="001E4272">
        <w:rPr>
          <w:noProof/>
          <w:color w:val="000000" w:themeColor="text1"/>
        </w:rPr>
        <w:t>Στο πλαίσιο αυτό, η απόφαση 2005/671/ΔΕΥ του Συμβουλίου προβλέπει ότι τα κράτη μέλη πρέπει να συλλέγουν όλες τις συναφείς πληροφορίες που αφορούν και απορρέουν από ποινικές έρευνες που συνδέονται με τρομοκρατικά εγκλήματα τα οποία έχουν ή ενδέχεται να έχουν επιπτώσεις σε δύο ή περισσότερα κράτη μέλη και να τις διαβιβάζουν στην Ευρωπόλ</w:t>
      </w:r>
      <w:r w:rsidRPr="001E4272">
        <w:rPr>
          <w:rStyle w:val="FootnoteReference"/>
          <w:rFonts w:eastAsia="Arial Unicode MS"/>
          <w:noProof/>
          <w:color w:val="000000" w:themeColor="text1"/>
        </w:rPr>
        <w:footnoteReference w:id="3"/>
      </w:r>
      <w:r w:rsidRPr="001E4272">
        <w:rPr>
          <w:noProof/>
          <w:color w:val="000000" w:themeColor="text1"/>
        </w:rPr>
        <w:t xml:space="preserve">. Επιπλέον, τα κράτη μέλη πρέπει να συλλέγουν όλες τις συναφείς πληροφορίες που αφορούν διώξεις και καταδίκες για τρομοκρατικά εγκλήματα τα οποία έχουν ή ενδέχεται να έχουν επιπτώσεις σε δύο ή περισσότερα κράτη μέλη και να τις διαβιβάζουν στην Eurojust. Κάθε κράτος μέλος πρέπει επίσης να καθιστά διαθέσιμες όλες τις συναφείς πληροφορίες που συλλέγουν οι αρμόδιες αρχές του σε σχέση με ποινικές διαδικασίες που συνδέονται με τρομοκρατικά εγκλήματα. Οι πληροφορίες αυτές πρέπει να τίθενται ταχέως στη διάθεση των αρμόδιων αρχών άλλου κράτους μέλους, αν οι πληροφορίες θα μπορούσαν να χρησιμοποιηθούν για την πρόληψη, την ανίχνευση, τη διερεύνηση ή τη δίωξη τρομοκρατικών εγκλημάτων. </w:t>
      </w:r>
    </w:p>
    <w:p w14:paraId="6D0241B8" w14:textId="5CC78BC6" w:rsidR="00FC00B8" w:rsidRPr="001E4272" w:rsidRDefault="00FC00B8" w:rsidP="00EB0A3C">
      <w:pPr>
        <w:pBdr>
          <w:top w:val="nil"/>
          <w:left w:val="nil"/>
          <w:bottom w:val="nil"/>
          <w:right w:val="nil"/>
          <w:between w:val="nil"/>
          <w:bar w:val="nil"/>
        </w:pBdr>
        <w:spacing w:before="0" w:after="240"/>
        <w:rPr>
          <w:noProof/>
        </w:rPr>
      </w:pPr>
      <w:r w:rsidRPr="001E4272">
        <w:rPr>
          <w:noProof/>
          <w:color w:val="000000" w:themeColor="text1"/>
        </w:rPr>
        <w:t>Από το 2005 μέχρι σήμερα, η σημασία της ανταλλαγής πληροφοριών μεταξύ των κρατών μελών καθώς και με την Ευρωπόλ και την Eurojust έχει, αν μη τι άλλο, καταστεί πιο εμφανής. Η οδηγία (ΕΕ) 2017/541 για την καταπολέμηση της τρομοκρατίας</w:t>
      </w:r>
      <w:r w:rsidRPr="001E4272">
        <w:rPr>
          <w:rStyle w:val="FootnoteReference"/>
          <w:noProof/>
        </w:rPr>
        <w:footnoteReference w:id="4"/>
      </w:r>
      <w:r w:rsidRPr="001E4272">
        <w:rPr>
          <w:noProof/>
          <w:color w:val="000000" w:themeColor="text1"/>
        </w:rPr>
        <w:t xml:space="preserve"> τροποποίησε την απόφαση 2005/671/ΔΕΥ του Συμβουλίου, ώστε να εξασφαλιστεί η αποτελεσματική και έγκαιρη ανταλλαγή πληροφοριών μεταξύ των κρατών μελών, λαμβανομένης υπόψη της σοβαρής απειλής που συνιστούν τα τρομοκρατικά εγκλήματα.</w:t>
      </w:r>
    </w:p>
    <w:p w14:paraId="0AA030CD" w14:textId="774CA8FE" w:rsidR="003C7DDE" w:rsidRPr="001E4272" w:rsidRDefault="00EB0A3C" w:rsidP="003C7DDE">
      <w:pPr>
        <w:pBdr>
          <w:top w:val="nil"/>
          <w:left w:val="nil"/>
          <w:bottom w:val="nil"/>
          <w:right w:val="nil"/>
          <w:between w:val="nil"/>
          <w:bar w:val="nil"/>
        </w:pBdr>
        <w:spacing w:before="0" w:after="240"/>
        <w:rPr>
          <w:noProof/>
        </w:rPr>
      </w:pPr>
      <w:r w:rsidRPr="001E4272">
        <w:rPr>
          <w:noProof/>
        </w:rPr>
        <w:t xml:space="preserve">Μία από τις βασικές πτυχές του έργου της Eurojust στον τομέα αυτόν είναι το ευρωπαϊκό δικαστικό αντιτρομοκρατικό μητρώο. Το αντιτρομοκρατικό μητρώο τέθηκε σε λειτουργία τον Σεπτέμβριο του 2019, βάσει της απόφασης 2005/671/ΔΕΥ του Συμβουλίου. Για το αντιτρομοκρατικό μητρώο, τα κράτη μέλη παρέχουν πληροφορίες σχετικά με δικαστικές διαδικασίες που αφορούν τρομοκρατικά εγκλήματα στη δικαιοδοσία τους. Τα δεδομένα αυτά αποθηκεύονται και διασταυρώνονται στο σύστημα επεξεργασίας πληροφοριών της Eurojust —το σύστημα διαχείρισης υποθέσεων της Eurojust— κατά τον ίδιο τρόπο με τα επιχειρησιακά δεδομένα που σχετίζονται με τις υπό εξέλιξη υποθέσεις δικαστικής συνεργασίας που στηρίζονται από την Eurojust. Ο στόχος είναι ο εντοπισμός πιθανών δεσμών μεταξύ δικαστικών διαδικασιών για την καταπολέμηση της τρομοκρατίας και πιθανών αναγκών συντονισμού που απορρέουν από τις εν λόγω διαδικασίες. </w:t>
      </w:r>
      <w:r w:rsidRPr="001E4272">
        <w:rPr>
          <w:noProof/>
          <w:color w:val="000000" w:themeColor="text1"/>
        </w:rPr>
        <w:t>Με βάση τα πορίσματα της μελέτης για την ψηφιακή ποινική δικαιοσύνη</w:t>
      </w:r>
      <w:r w:rsidRPr="001E4272">
        <w:rPr>
          <w:rStyle w:val="FootnoteReference"/>
          <w:noProof/>
        </w:rPr>
        <w:footnoteReference w:id="5"/>
      </w:r>
      <w:r w:rsidRPr="001E4272">
        <w:rPr>
          <w:noProof/>
          <w:color w:val="000000" w:themeColor="text1"/>
        </w:rPr>
        <w:t>, η βελτίωση της λειτουργίας του αντιτρομοκρατικού μητρώου προσδιορίστηκε ως μία από τις βασικές προτεραιότητες του ευρωπαϊκού ποινικού δικαίου.</w:t>
      </w:r>
    </w:p>
    <w:p w14:paraId="3E7CCCD0" w14:textId="52FC1F85" w:rsidR="00D0072B" w:rsidRPr="001E4272" w:rsidRDefault="003C7DDE" w:rsidP="00FC6272">
      <w:pPr>
        <w:pBdr>
          <w:top w:val="nil"/>
          <w:left w:val="nil"/>
          <w:bottom w:val="nil"/>
          <w:right w:val="nil"/>
          <w:between w:val="nil"/>
          <w:bar w:val="nil"/>
        </w:pBdr>
        <w:rPr>
          <w:noProof/>
        </w:rPr>
      </w:pPr>
      <w:r w:rsidRPr="001E4272">
        <w:rPr>
          <w:noProof/>
        </w:rPr>
        <w:t>Με την έναρξη ισχύος του κανονισμού (ΕΕ) 2018/1727 σχετικά με τον οργανισμό της Ευρωπαϊκής Ένωσης για τη συνεργασία στον τομέα της ποινικής δικαιοσύνης</w:t>
      </w:r>
      <w:r w:rsidRPr="001E4272">
        <w:rPr>
          <w:rStyle w:val="FootnoteReference"/>
          <w:rFonts w:eastAsia="Arial Unicode MS"/>
          <w:noProof/>
        </w:rPr>
        <w:footnoteReference w:id="6"/>
      </w:r>
      <w:r w:rsidRPr="001E4272">
        <w:rPr>
          <w:noProof/>
        </w:rPr>
        <w:t xml:space="preserve"> (στο εξής: κανονισμός για την Eurojust) τον Δεκέμβριο του 2019, η Eurojust απέκτησε νέο νομικό πλαίσιο και μετατράπηκε σε οργανισμό της ΕΕ. Δεδομένου ότι ο κανονισμός για την Eurojust εκδόθηκε πριν από τη θέσπιση του αντιτρομοκρατικού μητρώου, το αντιτρομοκρατικό μητρώο και οι λειτουργίες του δεν προβλέφθηκαν στον κανονισμό για την Eurojust. </w:t>
      </w:r>
      <w:r w:rsidRPr="001E4272">
        <w:rPr>
          <w:noProof/>
          <w:color w:val="000000" w:themeColor="text1"/>
        </w:rPr>
        <w:t>Το γεγονός αυτό δημιουργεί ανασφάλεια δικαίου, ιδίως επειδή η σχέση μεταξύ της απόφασης 2005/671/ΔΕΥ του Συμβουλίου και του κανονισμού για την Eurojust είναι ασαφής.</w:t>
      </w:r>
    </w:p>
    <w:p w14:paraId="54CA2512" w14:textId="349F7E22" w:rsidR="00D0072B" w:rsidRPr="001E4272" w:rsidRDefault="0018409A" w:rsidP="00D256EB">
      <w:pPr>
        <w:pBdr>
          <w:top w:val="nil"/>
          <w:left w:val="nil"/>
          <w:bottom w:val="nil"/>
          <w:right w:val="nil"/>
          <w:between w:val="nil"/>
          <w:bar w:val="nil"/>
        </w:pBdr>
        <w:spacing w:before="0" w:after="240"/>
        <w:rPr>
          <w:noProof/>
        </w:rPr>
      </w:pPr>
      <w:r w:rsidRPr="001E4272">
        <w:rPr>
          <w:noProof/>
          <w:color w:val="000000" w:themeColor="text1"/>
        </w:rPr>
        <w:t xml:space="preserve">Περαιτέρω προβλήματα υπάρχουν όσον αφορά τα δεδομένα που οι εθνικές αρχές ανταλλάσσουν με την Eurojust. Επί του παρόντος, η Eurojust συχνά δεν λαμβάνει τα απαραίτητα δεδομένα από τις εθνικές αρχές για τη διασταύρωση των πληροφοριών σχετικά με υποθέσεις τρομοκρατίας σύμφωνα με την απόφαση 2005/671/ΔΕΥ του Συμβουλίου και σχετικά με σοβαρά εγκλήματα σύμφωνα με το άρθρο 21 του κανονισμού για την Eurojust. Αυτό οφείλεται σε πολλούς λόγους. Καταρχάς, η απόφαση 2005/671/ΔΕΥ του Συμβουλίου δεν είναι επαρκώς ακριβής, διότι προοριζόταν να έχει πολύ ευρύτερο πεδίο εφαρμογής. Μολονότι παρέχει κάποια καθοδήγηση σχετικά με το είδος των πληροφοριών που πρέπει να αποστέλλουν τα κράτη μέλη στην Eurojust, εξακολουθεί να μην είναι αρκετά συγκεκριμένη. Επιπλέον, συχνά δεν ανταλλάσσονται πληροφορίες λόγω της έλλειψης ασφαλών διαύλων επικοινωνίας και του διοικητικού φόρτου που οφείλεται στη χειρωνακτική εξαγωγή των πληροφοριών, καθώς δεν είναι δυνατή η πιο διαρθρωμένη και αυτοματοποιημένη ανταλλαγή δεδομένων χωρίς περαιτέρω ψηφιοποίηση. </w:t>
      </w:r>
    </w:p>
    <w:p w14:paraId="69FD17C0" w14:textId="7BAC9862" w:rsidR="00D0072B" w:rsidRPr="001E4272" w:rsidRDefault="00E56C74" w:rsidP="00D256EB">
      <w:pPr>
        <w:pBdr>
          <w:top w:val="nil"/>
          <w:left w:val="nil"/>
          <w:bottom w:val="nil"/>
          <w:right w:val="nil"/>
          <w:between w:val="nil"/>
          <w:bar w:val="nil"/>
        </w:pBdr>
        <w:spacing w:before="0" w:after="240"/>
        <w:rPr>
          <w:rFonts w:eastAsia="Arial Unicode MS"/>
          <w:noProof/>
          <w:color w:val="000000" w:themeColor="text1"/>
        </w:rPr>
      </w:pPr>
      <w:r w:rsidRPr="001E4272">
        <w:rPr>
          <w:noProof/>
        </w:rPr>
        <w:t xml:space="preserve">Επιπλέον, το υφιστάμενο σύστημα διαχείρισης υποθέσεων και το περιβάλλον επεξεργασίας δεδομένων περιορίζουν τη δυνατότητα της Eurojust να αναλάβει πιο προδραστικό ρόλο στην ψηφιοποιημένη δικαστική συνεργασία. Το τεχνικά παρωχημένο σύστημα διαχείρισης υποθέσεων της Eurojust δεν είναι σε θέση να ενσωματώσει κατάλληλα και να υποστηρίξει ένα καινοτόμο εργαλείο που απαιτεί ασφαλή ψηφιακή ανταλλαγή και διασταύρωση δεδομένων, όπως το αντιτρομοκρατικό μητρώο. </w:t>
      </w:r>
      <w:r w:rsidRPr="001E4272">
        <w:rPr>
          <w:noProof/>
          <w:color w:val="000000" w:themeColor="text1"/>
        </w:rPr>
        <w:t>Επιπλέον, ο τεχνικός σχεδιασμός του συστήματος διαχείρισης υποθέσεων αποτυπώνεται στον κανονισμό για την Eurojust. Ο κανονισμός για την Eurojust περιορίζει τη διάρθρωση του συστήματος διαχείρισης υποθέσεων σε προσωρινά αρχεία εργασίας, που έχουν στόχο την υποστήριξη της διοικητικής μεταπαρακολούθησης των υποθέσεων που βρίσκονται σε εξέλιξη, και σε έναν πίνακα</w:t>
      </w:r>
      <w:r w:rsidRPr="001E4272">
        <w:rPr>
          <w:rStyle w:val="FootnoteReference"/>
          <w:noProof/>
        </w:rPr>
        <w:footnoteReference w:id="7"/>
      </w:r>
      <w:r w:rsidRPr="001E4272">
        <w:rPr>
          <w:noProof/>
          <w:color w:val="000000" w:themeColor="text1"/>
        </w:rPr>
        <w:t>. Δεν προβλέπει ρητά τη δημιουργία πρόσθετης βάσης δεδομένων του αντιτρομοκρατικού μητρώου εντός του συστήματος διαχείρισης υποθέσεων. Η επεξεργασία δεδομένων προσωπικού χαρακτήρα εκτός του συστήματος διαχείρισης υποθέσεων απαγορεύεται</w:t>
      </w:r>
      <w:r w:rsidRPr="001E4272">
        <w:rPr>
          <w:rStyle w:val="FootnoteReference"/>
          <w:noProof/>
        </w:rPr>
        <w:footnoteReference w:id="8"/>
      </w:r>
      <w:r w:rsidRPr="001E4272">
        <w:rPr>
          <w:noProof/>
          <w:color w:val="000000" w:themeColor="text1"/>
        </w:rPr>
        <w:t>. Ως εκ τούτου, η δημιουργία πρόσθετης βάσης δεδομένων του αντιτρομοκρατικού μητρώου εκτός του συστήματος διαχείρισης υποθέσεων δεν είναι ούτε νομικά εφικτή.</w:t>
      </w:r>
    </w:p>
    <w:p w14:paraId="2D851664" w14:textId="02A288A1" w:rsidR="00D745EF" w:rsidRPr="001E4272" w:rsidRDefault="001E1475" w:rsidP="00D256EB">
      <w:pPr>
        <w:pBdr>
          <w:top w:val="nil"/>
          <w:left w:val="nil"/>
          <w:bottom w:val="nil"/>
          <w:right w:val="nil"/>
          <w:between w:val="nil"/>
          <w:bar w:val="nil"/>
        </w:pBdr>
        <w:spacing w:before="0" w:after="240"/>
        <w:rPr>
          <w:noProof/>
        </w:rPr>
      </w:pPr>
      <w:r w:rsidRPr="001E4272">
        <w:rPr>
          <w:noProof/>
          <w:color w:val="000000" w:themeColor="text1"/>
        </w:rPr>
        <w:t>Υπάρχουν επίσης πρακτικές και νομικές προκλήσεις όσον αφορά τη συνεργασία με τους εισαγγελείς-συνδέσμους από τρίτες χώρες. Η Eurojust είχε συνάψει συμφωνίες συνεργασίας με 12 τρίτες χώρες</w:t>
      </w:r>
      <w:r w:rsidRPr="001E4272">
        <w:rPr>
          <w:rStyle w:val="FootnoteReference"/>
          <w:rFonts w:eastAsia="Arial Unicode MS"/>
          <w:noProof/>
          <w:color w:val="000000" w:themeColor="text1"/>
        </w:rPr>
        <w:footnoteReference w:id="9"/>
      </w:r>
      <w:r w:rsidRPr="001E4272">
        <w:rPr>
          <w:noProof/>
          <w:color w:val="000000" w:themeColor="text1"/>
        </w:rPr>
        <w:t xml:space="preserve"> πριν από την έναρξη ισχύος του κανονισμού για την Eurojust. Οι συμφωνίες αυτές περιέχουν διατάξεις σχετικά με την ανταλλαγή δεδομένων, τις εγγυήσεις για την προστασία των δεδομένων και την πρακτική συνεργασία. Για να διευκολυνθεί η συνεργασία, καθιστούν δυνατή την απόσπαση εισαγγελέων-συνδέσμων στην Eurojust. Αυτοί οι εισαγγελείς-σύνδεσμοι συνεργάζονται στενά με τους συναδέλφους τους από τα κράτη μέλη της ΕΕ και παρέχουν στήριξη στις διασυνοριακές έρευνες στις οποίες εμπλέκεται η χώρα τους, σύμφωνα με τις εφαρμοστέες συμφωνίες συνεργασίας. Ωστόσο, ο κανονισμός για την Eurojust δεν περιέχει καμία αναφορά στους εν λόγω εισαγγελείς-συνδέσμους ούτε στην πρόσβασή τους στο σύστημα διαχείρισης υποθέσεων. Ως εκ τούτου, επί του παρόντος δεν είναι σαφής ο τρόπος με τον οποίο μπορεί να πραγματοποιηθεί αποδοτική και ασφαλής ανταλλαγή δεδομένων, συμπεριλαμβανομένων των δεδομένων προσωπικού χαρακτήρα, με τους εισαγγελείς-συνδέσμους από τρίτες χώρες σύμφωνα με τον κανονισμό για την Eurojust. </w:t>
      </w:r>
    </w:p>
    <w:p w14:paraId="65B8B48C" w14:textId="24A862E2" w:rsidR="00D256EB" w:rsidRPr="001E4272" w:rsidRDefault="003C7DDE" w:rsidP="00D256EB">
      <w:pPr>
        <w:pBdr>
          <w:top w:val="nil"/>
          <w:left w:val="nil"/>
          <w:bottom w:val="nil"/>
          <w:right w:val="nil"/>
          <w:between w:val="nil"/>
          <w:bar w:val="nil"/>
        </w:pBdr>
        <w:spacing w:before="0" w:after="240"/>
        <w:rPr>
          <w:noProof/>
        </w:rPr>
      </w:pPr>
      <w:r w:rsidRPr="001E4272">
        <w:rPr>
          <w:noProof/>
        </w:rPr>
        <w:t>Για τον σκοπό αυτόν, η παρούσα πρόταση επιδιώκει να δώσει στην Eurojust τη δυνατότητα να εκπληρώνει τον ευρύτερο και πιο προδραστικό ρόλο της που προβλέπεται στον κανονισμό για την Eurojust όσον αφορά την υποστήριξη και την ενίσχυση του συντονισμού και της συνεργασίας μεταξύ των αρμόδιων εθνικών αρχών για την έρευνα και τη δίωξη σοβαρών εγκλημάτων, ιδίως των τρομοκρατικών εγκλημάτων, με τους ακόλουθους τρόπους:</w:t>
      </w:r>
    </w:p>
    <w:p w14:paraId="79F33DDE" w14:textId="6AE645F3" w:rsidR="00D256EB" w:rsidRPr="001E4272" w:rsidRDefault="001E1475" w:rsidP="00167C03">
      <w:pPr>
        <w:pStyle w:val="Bullet0"/>
        <w:numPr>
          <w:ilvl w:val="0"/>
          <w:numId w:val="16"/>
        </w:numPr>
        <w:rPr>
          <w:noProof/>
        </w:rPr>
      </w:pPr>
      <w:r w:rsidRPr="001E4272">
        <w:rPr>
          <w:noProof/>
        </w:rPr>
        <w:t>παρέχοντας στην Eurojust τη δυνατότητα να εντοπίζει πιο αποδοτικά δεσμούς μεταξύ παράλληλων διασυνοριακών ερευνών και διώξεων σχετικά με τρομοκρατικά εγκλήματα και να παρέχει προδραστικά ανατροφοδότηση σχετικά με αυτούς τους δεσμούς στα κράτη μέλη·</w:t>
      </w:r>
    </w:p>
    <w:p w14:paraId="039953C8" w14:textId="1F1670EB" w:rsidR="00A72E78" w:rsidRPr="001E4272" w:rsidRDefault="001E1475" w:rsidP="7CC317AF">
      <w:pPr>
        <w:pStyle w:val="Bullet0"/>
        <w:rPr>
          <w:noProof/>
        </w:rPr>
      </w:pPr>
      <w:r w:rsidRPr="001E4272">
        <w:rPr>
          <w:noProof/>
        </w:rPr>
        <w:t>ενισχύοντας την αποδοτικότητα και την ασφάλεια της ανταλλαγής δεδομένων μεταξύ των κρατών μελών, της Eurojust και τρίτων χωρών.</w:t>
      </w:r>
    </w:p>
    <w:p w14:paraId="2C2FC2F3" w14:textId="5029A814" w:rsidR="008E46D4" w:rsidRPr="001E4272" w:rsidRDefault="00014D6B" w:rsidP="00372FD1">
      <w:pPr>
        <w:rPr>
          <w:noProof/>
        </w:rPr>
      </w:pPr>
      <w:r w:rsidRPr="001E4272">
        <w:rPr>
          <w:noProof/>
        </w:rPr>
        <w:t xml:space="preserve">Για την επίτευξη των στόχων αυτών, η πρόταση αποσκοπεί επίσης στην παροχή ασφάλειας δικαίου σχετικά με το ακριβές πεδίο εφαρμογής της υποχρέωσης ανταλλαγής πληροφοριών σε υποθέσεις τρομοκρατίας και τη σχέση με την απόφαση 2005/671/ΔΕΥ του Συμβουλίου, στοιχείο που απαιτεί ουσιώδεις τροποποιήσεις στον κανονισμό για την Eurojust καθώς και στην απόφαση 2005/671/ΔΕΥ του Συμβουλίου. </w:t>
      </w:r>
    </w:p>
    <w:p w14:paraId="09150F66" w14:textId="4DE348D1" w:rsidR="00EB0A3C" w:rsidRPr="001E4272" w:rsidRDefault="00EB0A3C" w:rsidP="00715ADE">
      <w:pPr>
        <w:pStyle w:val="ManualHeading2"/>
        <w:rPr>
          <w:rFonts w:eastAsia="Arial Unicode MS"/>
          <w:noProof/>
          <w:color w:val="000000" w:themeColor="text1"/>
          <w:bdr w:val="nil"/>
        </w:rPr>
      </w:pPr>
      <w:bookmarkStart w:id="4" w:name="_Toc84517556"/>
      <w:r w:rsidRPr="001E4272">
        <w:rPr>
          <w:noProof/>
          <w:color w:val="000000" w:themeColor="text1"/>
          <w:bdr w:val="nil"/>
        </w:rPr>
        <w:t>•</w:t>
      </w:r>
      <w:r w:rsidRPr="001E4272">
        <w:rPr>
          <w:noProof/>
        </w:rPr>
        <w:tab/>
      </w:r>
      <w:r w:rsidRPr="001E4272">
        <w:rPr>
          <w:noProof/>
          <w:color w:val="000000" w:themeColor="text1"/>
        </w:rPr>
        <w:t>Συνέπεια με τις ισχύουσες διατάξεις στον τομέα πολιτικής</w:t>
      </w:r>
      <w:bookmarkEnd w:id="4"/>
    </w:p>
    <w:p w14:paraId="07FC7DEC" w14:textId="4382BC65" w:rsidR="00EB0A3C" w:rsidRPr="001E4272" w:rsidRDefault="00EB0A3C" w:rsidP="160710AA">
      <w:pPr>
        <w:pBdr>
          <w:top w:val="nil"/>
          <w:left w:val="nil"/>
          <w:bottom w:val="nil"/>
          <w:right w:val="nil"/>
          <w:between w:val="nil"/>
          <w:bar w:val="nil"/>
        </w:pBdr>
        <w:spacing w:before="0" w:after="240"/>
        <w:rPr>
          <w:noProof/>
        </w:rPr>
      </w:pPr>
      <w:r w:rsidRPr="001E4272">
        <w:rPr>
          <w:noProof/>
        </w:rPr>
        <w:t>Η πρόταση εξαγγέλθηκε στην ανακοίνωση της Επιτροπής για την ψηφιοποίηση της δικαιοσύνης στην ΕΕ</w:t>
      </w:r>
      <w:r w:rsidRPr="001E4272">
        <w:rPr>
          <w:rStyle w:val="FootnoteReference"/>
          <w:rFonts w:eastAsia="Arial Unicode MS"/>
          <w:noProof/>
        </w:rPr>
        <w:footnoteReference w:id="10"/>
      </w:r>
      <w:r w:rsidRPr="001E4272">
        <w:rPr>
          <w:noProof/>
        </w:rPr>
        <w:t>, ως τμήμα μιας ευρύτερης πρωτοβουλίας με σκοπό να καταστεί δυνατή η ασφαλής ηλεκτρονική επικοινωνία και ανταλλαγή πληροφοριών και εγγράφων μεταξύ των δικαστηρίων, των εθνικών αρχών και των οργανισμών στον τομέα της δικαιοσύνης και των εσωτερικών υποθέσεων. Σύμφωνα με την ανακοίνωση, βασίζεται στο e-CODEX</w:t>
      </w:r>
      <w:r w:rsidRPr="001E4272">
        <w:rPr>
          <w:rStyle w:val="FootnoteReference"/>
          <w:noProof/>
        </w:rPr>
        <w:footnoteReference w:id="11"/>
      </w:r>
      <w:r w:rsidRPr="001E4272">
        <w:rPr>
          <w:noProof/>
        </w:rPr>
        <w:t xml:space="preserve"> ως το εργαλείο αναφοράς για την ασφαλή ψηφιακή επικοινωνία σε διασυνοριακές δικαστικές διαδικασίες. Στο πλαίσιο της δέσμης μέτρων για την ψηφιοποίηση της δικαιοσύνης και μαζί με την πρωτοβουλία για την ψηφιοποίηση της διασυνοριακής δικαστικής συνεργασίας και την πρωτοβουλία για την πλατφόρμα συνεργασίας των κοινών ομάδων έρευνας, αποτελεί μία από τις προτάσεις που απαριθμούνται στο πρόγραμμα εργασίας της Επιτροπής για το 2021 υπό τον τίτλο «Νέα ώθηση για την ευρωπαϊκή δημοκρατία»</w:t>
      </w:r>
      <w:r w:rsidRPr="001E4272">
        <w:rPr>
          <w:rStyle w:val="FootnoteReference"/>
          <w:noProof/>
        </w:rPr>
        <w:footnoteReference w:id="12"/>
      </w:r>
      <w:r w:rsidRPr="001E4272">
        <w:rPr>
          <w:noProof/>
        </w:rPr>
        <w:t>.</w:t>
      </w:r>
    </w:p>
    <w:p w14:paraId="087E9E97" w14:textId="42DDA66C" w:rsidR="00F0090D" w:rsidRPr="001E4272" w:rsidRDefault="00F0090D" w:rsidP="006A0D14">
      <w:pPr>
        <w:rPr>
          <w:noProof/>
        </w:rPr>
      </w:pPr>
      <w:r w:rsidRPr="001E4272">
        <w:rPr>
          <w:noProof/>
          <w:color w:val="000000" w:themeColor="text1"/>
        </w:rPr>
        <w:t xml:space="preserve">Η πρόταση λαμβάνει επίσης υπόψη </w:t>
      </w:r>
      <w:r w:rsidRPr="001E4272">
        <w:rPr>
          <w:noProof/>
        </w:rPr>
        <w:t>την πρόταση της Επιτροπής για οδηγία (ΕΕ) [.../...] του Ευρωπαϊκού Κοινοβουλίου και του Συμβουλίου</w:t>
      </w:r>
      <w:r w:rsidRPr="001E4272">
        <w:rPr>
          <w:rStyle w:val="FootnoteReference"/>
          <w:noProof/>
        </w:rPr>
        <w:footnoteReference w:id="13"/>
      </w:r>
      <w:r w:rsidRPr="001E4272">
        <w:rPr>
          <w:noProof/>
        </w:rPr>
        <w:t xml:space="preserve"> για την τροποποίηση της απόφασης 2005/671/ΔΕΥ του Συμβουλίου με σκοπό την εναρμόνισή της με την οδηγία (ΕΕ) 2016/680</w:t>
      </w:r>
      <w:r w:rsidRPr="001E4272">
        <w:rPr>
          <w:rStyle w:val="FootnoteReference"/>
          <w:rFonts w:eastAsia="Arial Unicode MS"/>
          <w:noProof/>
        </w:rPr>
        <w:footnoteReference w:id="14"/>
      </w:r>
      <w:r w:rsidRPr="001E4272">
        <w:rPr>
          <w:noProof/>
        </w:rPr>
        <w:t xml:space="preserve"> (οδηγία για την προστασία των δεδομένων στον τομέα της επιβολής του νόμου). Θα απαιτηθεί στενός συντονισμός καθ’ όλη τη διάρκεια της νομοθετικής διαδικασίας για να εξασφαλιστεί η συνοχή των τροποποιήσεων.</w:t>
      </w:r>
    </w:p>
    <w:p w14:paraId="7C776D3F" w14:textId="77777777" w:rsidR="00EB0A3C" w:rsidRPr="001E4272" w:rsidRDefault="00EB0A3C" w:rsidP="00715ADE">
      <w:pPr>
        <w:pStyle w:val="ManualHeading2"/>
        <w:rPr>
          <w:rFonts w:eastAsia="Arial Unicode MS"/>
          <w:noProof/>
          <w:color w:val="000000" w:themeColor="text1"/>
        </w:rPr>
      </w:pPr>
      <w:bookmarkStart w:id="5" w:name="_Toc84517557"/>
      <w:r w:rsidRPr="001E4272">
        <w:rPr>
          <w:noProof/>
          <w:color w:val="000000" w:themeColor="text1"/>
          <w:bdr w:val="nil"/>
        </w:rPr>
        <w:t>•</w:t>
      </w:r>
      <w:r w:rsidRPr="001E4272">
        <w:rPr>
          <w:noProof/>
        </w:rPr>
        <w:tab/>
      </w:r>
      <w:r w:rsidRPr="001E4272">
        <w:rPr>
          <w:noProof/>
          <w:color w:val="000000" w:themeColor="text1"/>
        </w:rPr>
        <w:t>Συνέπεια με άλλες πολιτικές της Ένωσης</w:t>
      </w:r>
      <w:bookmarkEnd w:id="5"/>
    </w:p>
    <w:p w14:paraId="0CA6F1AA" w14:textId="60D8E3B3" w:rsidR="007E6658" w:rsidRPr="001E4272" w:rsidRDefault="00DF432B" w:rsidP="007E6658">
      <w:pPr>
        <w:pBdr>
          <w:top w:val="nil"/>
          <w:left w:val="nil"/>
          <w:bottom w:val="nil"/>
          <w:right w:val="nil"/>
          <w:between w:val="nil"/>
          <w:bar w:val="nil"/>
        </w:pBdr>
        <w:spacing w:before="0" w:after="240"/>
        <w:rPr>
          <w:noProof/>
        </w:rPr>
      </w:pPr>
      <w:r w:rsidRPr="001E4272">
        <w:rPr>
          <w:noProof/>
          <w:color w:val="000000" w:themeColor="text1"/>
        </w:rPr>
        <w:t>Η σημασία της βελτίωσης της ψηφιακής ανταλλαγής δεδομένων σχετικά με υποθέσεις τρομοκρατίας και του εκσυγχρονισμού του συστήματος διαχείρισης υποθέσεων της Eurojust έχει τονιστεί σε πολλά έγγραφα υψηλού επιπέδου, όπως η στρατηγική της ΕΕ για την Ένωση Ασφάλειας</w:t>
      </w:r>
      <w:r w:rsidRPr="001E4272">
        <w:rPr>
          <w:rStyle w:val="FootnoteReference"/>
          <w:rFonts w:eastAsia="Arial Unicode MS"/>
          <w:noProof/>
          <w:color w:val="000000" w:themeColor="text1"/>
        </w:rPr>
        <w:footnoteReference w:id="15"/>
      </w:r>
      <w:r w:rsidRPr="001E4272">
        <w:rPr>
          <w:noProof/>
          <w:color w:val="000000" w:themeColor="text1"/>
        </w:rPr>
        <w:t>, το θεματολόγιο της ΕΕ για την καταπολέμηση της τρομοκρατίας</w:t>
      </w:r>
      <w:r w:rsidRPr="001E4272">
        <w:rPr>
          <w:rStyle w:val="FootnoteReference"/>
          <w:rFonts w:eastAsia="Arial Unicode MS"/>
          <w:noProof/>
          <w:color w:val="000000" w:themeColor="text1"/>
        </w:rPr>
        <w:footnoteReference w:id="16"/>
      </w:r>
      <w:r w:rsidRPr="001E4272">
        <w:rPr>
          <w:noProof/>
          <w:color w:val="000000" w:themeColor="text1"/>
        </w:rPr>
        <w:t xml:space="preserve"> και η στρατηγική της ΕΕ για την αντιμετώπιση του οργανωμένου εγκλήματος</w:t>
      </w:r>
      <w:r w:rsidRPr="001E4272">
        <w:rPr>
          <w:rStyle w:val="FootnoteReference"/>
          <w:rFonts w:eastAsia="Arial Unicode MS"/>
          <w:noProof/>
          <w:color w:val="000000" w:themeColor="text1"/>
        </w:rPr>
        <w:footnoteReference w:id="17"/>
      </w:r>
      <w:r w:rsidRPr="001E4272">
        <w:rPr>
          <w:noProof/>
          <w:color w:val="000000" w:themeColor="text1"/>
        </w:rPr>
        <w:t xml:space="preserve">. </w:t>
      </w:r>
      <w:r w:rsidRPr="001E4272">
        <w:rPr>
          <w:noProof/>
        </w:rPr>
        <w:t>Στο τελευταίο αυτό έγγραφο, η Επιτροπή ανακοίνωσε ότι θα στηρίξει τον εκσυγχρονισμό του συστήματος διαχείρισης υποθέσεων της Eurojust, ώστε να τη βοηθήσει να παρέχει στοιχεία ανατροφοδότησης στις εθνικές αρχές και να εντοπίζει δικαστικούς δεσμούς μεταξύ ερευνών που βρίσκονται σε εξέλιξη.</w:t>
      </w:r>
    </w:p>
    <w:p w14:paraId="7B91D042" w14:textId="2479ACD9" w:rsidR="00DF432B" w:rsidRPr="001E4272" w:rsidRDefault="007E6658" w:rsidP="00715ADE">
      <w:pPr>
        <w:pBdr>
          <w:top w:val="nil"/>
          <w:left w:val="nil"/>
          <w:bottom w:val="nil"/>
          <w:right w:val="nil"/>
          <w:between w:val="nil"/>
          <w:bar w:val="nil"/>
        </w:pBdr>
        <w:spacing w:before="0" w:after="240"/>
        <w:rPr>
          <w:noProof/>
        </w:rPr>
      </w:pPr>
      <w:r w:rsidRPr="001E4272">
        <w:rPr>
          <w:noProof/>
        </w:rPr>
        <w:t xml:space="preserve">Η πρόταση λαμβάνει επίσης πλήρως υπόψη </w:t>
      </w:r>
      <w:r w:rsidRPr="001E4272">
        <w:rPr>
          <w:noProof/>
          <w:color w:val="000000" w:themeColor="text1"/>
        </w:rPr>
        <w:t>την εντολή με την οποία το Συμβούλιο εξουσιοδότησε την Επιτροπή να διαπραγματευθεί περαιτέρω συμφωνίες συνεργασίας για τη συνεργασία μεταξύ της Eurojust και 13 επιπλέον τρίτων χωρών</w:t>
      </w:r>
      <w:r w:rsidRPr="001E4272">
        <w:rPr>
          <w:rStyle w:val="FootnoteReference"/>
          <w:rFonts w:eastAsia="Arial Unicode MS"/>
          <w:noProof/>
          <w:color w:val="000000" w:themeColor="text1"/>
        </w:rPr>
        <w:footnoteReference w:id="18"/>
      </w:r>
      <w:r w:rsidRPr="001E4272">
        <w:rPr>
          <w:noProof/>
          <w:color w:val="000000" w:themeColor="text1"/>
        </w:rPr>
        <w:t xml:space="preserve">. </w:t>
      </w:r>
    </w:p>
    <w:p w14:paraId="23EF7B73" w14:textId="0FB52961" w:rsidR="00F743B9" w:rsidRPr="001E4272" w:rsidRDefault="00000EE2" w:rsidP="00715ADE">
      <w:pPr>
        <w:pBdr>
          <w:top w:val="nil"/>
          <w:left w:val="nil"/>
          <w:bottom w:val="nil"/>
          <w:right w:val="nil"/>
          <w:between w:val="nil"/>
          <w:bar w:val="nil"/>
        </w:pBdr>
        <w:spacing w:before="0" w:after="240"/>
        <w:rPr>
          <w:rFonts w:eastAsia="Arial Unicode MS"/>
          <w:noProof/>
          <w:color w:val="000000" w:themeColor="text1"/>
        </w:rPr>
      </w:pPr>
      <w:r w:rsidRPr="001E4272">
        <w:rPr>
          <w:noProof/>
          <w:color w:val="000000" w:themeColor="text1"/>
        </w:rPr>
        <w:t>Λαμβάνει επίσης υπόψη τη συνεργασία της Eurojust με άλλα όργανα ή οργανισμούς της ΕΕ, και συγκεκριμένα την Ευρωπαϊκή Εισαγγελία</w:t>
      </w:r>
      <w:r w:rsidRPr="001E4272">
        <w:rPr>
          <w:rStyle w:val="FootnoteReference"/>
          <w:rFonts w:eastAsia="Arial Unicode MS"/>
          <w:noProof/>
          <w:color w:val="000000" w:themeColor="text1"/>
        </w:rPr>
        <w:footnoteReference w:id="19"/>
      </w:r>
      <w:r w:rsidRPr="001E4272">
        <w:rPr>
          <w:noProof/>
          <w:color w:val="000000" w:themeColor="text1"/>
        </w:rPr>
        <w:t>, την Ευρωπόλ, ως τον οργανισμό της ΕΕ που είναι αρμόδιος για την αστυνομική συνεργασία</w:t>
      </w:r>
      <w:r w:rsidRPr="001E4272">
        <w:rPr>
          <w:rStyle w:val="FootnoteReference"/>
          <w:rFonts w:eastAsia="Arial Unicode MS"/>
          <w:noProof/>
          <w:color w:val="000000" w:themeColor="text1"/>
        </w:rPr>
        <w:footnoteReference w:id="20"/>
      </w:r>
      <w:r w:rsidRPr="001E4272">
        <w:rPr>
          <w:noProof/>
          <w:color w:val="000000" w:themeColor="text1"/>
        </w:rPr>
        <w:t>, την Ευρωπαϊκή Υπηρεσία Καταπολέμησης της Απάτης (OLAF)</w:t>
      </w:r>
      <w:r w:rsidRPr="001E4272">
        <w:rPr>
          <w:rStyle w:val="FootnoteReference"/>
          <w:rFonts w:eastAsia="Arial Unicode MS"/>
          <w:noProof/>
          <w:color w:val="000000" w:themeColor="text1"/>
        </w:rPr>
        <w:footnoteReference w:id="21"/>
      </w:r>
      <w:r w:rsidRPr="001E4272">
        <w:rPr>
          <w:noProof/>
          <w:color w:val="000000" w:themeColor="text1"/>
        </w:rPr>
        <w:t>, και τον Ευρωπαϊκό Οργανισμό Συνοριοφυλακής και Ακτοφυλακής (Frontex)</w:t>
      </w:r>
      <w:r w:rsidRPr="001E4272">
        <w:rPr>
          <w:rStyle w:val="FootnoteReference"/>
          <w:rFonts w:eastAsia="Arial Unicode MS"/>
          <w:noProof/>
          <w:color w:val="000000" w:themeColor="text1"/>
        </w:rPr>
        <w:footnoteReference w:id="22"/>
      </w:r>
      <w:r w:rsidRPr="001E4272">
        <w:rPr>
          <w:noProof/>
          <w:color w:val="000000" w:themeColor="text1"/>
        </w:rPr>
        <w:t>, καθώς και τη σημασία της ασφαλούς ανταλλαγής δεδομένων και της καθιέρωσης συνδέσεων αντιστοιχίας / μη αντιστοιχίας (hit/no-hit) μεταξύ ορισμένων εξ αυτών.</w:t>
      </w:r>
    </w:p>
    <w:p w14:paraId="138C4B0A" w14:textId="55AD6C21" w:rsidR="00B83475" w:rsidRPr="001E4272" w:rsidRDefault="00B83475" w:rsidP="00B83475">
      <w:pPr>
        <w:pBdr>
          <w:top w:val="nil"/>
          <w:left w:val="nil"/>
          <w:bottom w:val="nil"/>
          <w:right w:val="nil"/>
          <w:between w:val="nil"/>
          <w:bar w:val="nil"/>
        </w:pBdr>
        <w:spacing w:before="0" w:after="240"/>
        <w:rPr>
          <w:rFonts w:eastAsia="Arial Unicode MS"/>
          <w:noProof/>
          <w:color w:val="000000" w:themeColor="text1"/>
        </w:rPr>
      </w:pPr>
      <w:r w:rsidRPr="001E4272">
        <w:rPr>
          <w:iCs/>
          <w:noProof/>
          <w:color w:val="000000" w:themeColor="text1"/>
        </w:rPr>
        <w:t xml:space="preserve">Δεδομένου του εξαιρετικά ευαίσθητου χαρακτήρα των πληροφοριών που ανταλλάσσονται, είναι ιδιαιτέρως σημαντικό η υλοποίηση της προσέγγισης «εργαλειοθήκης» για την ψηφιοποίηση της δικαιοσύνης, μεταξύ άλλων μέσω της παρούσας πρότασης, να πραγματοποιηθεί κατά τρόπο που να εγγυάται ισχυρά πρότυπα κυβερνοασφάλειας. </w:t>
      </w:r>
      <w:r w:rsidRPr="001E4272">
        <w:rPr>
          <w:noProof/>
          <w:color w:val="000000" w:themeColor="text1"/>
        </w:rPr>
        <w:t>Η επιδίωξη αυτή συμβαδίζει με την προσέγγιση που περιγράφεται στη στρατηγική της ΕΕ για την κυβερνοασφάλεια</w:t>
      </w:r>
      <w:r w:rsidRPr="001E4272">
        <w:rPr>
          <w:rStyle w:val="FootnoteReference"/>
          <w:rFonts w:eastAsia="Arial Unicode MS"/>
          <w:iCs/>
          <w:noProof/>
          <w:color w:val="000000" w:themeColor="text1"/>
        </w:rPr>
        <w:footnoteReference w:id="23"/>
      </w:r>
      <w:r w:rsidRPr="001E4272">
        <w:rPr>
          <w:noProof/>
          <w:color w:val="000000" w:themeColor="text1"/>
        </w:rPr>
        <w:t xml:space="preserve"> και στην πρόταση οδηγίας της Επιτροπής σχετικά με μέτρα για υψηλό κοινό επίπεδο κυβερνοασφάλειας σε ολόκληρη την Ένωση (NIS2)</w:t>
      </w:r>
      <w:r w:rsidRPr="001E4272">
        <w:rPr>
          <w:rStyle w:val="FootnoteReference"/>
          <w:rFonts w:eastAsia="Arial Unicode MS"/>
          <w:iCs/>
          <w:noProof/>
          <w:color w:val="000000" w:themeColor="text1"/>
        </w:rPr>
        <w:footnoteReference w:id="24"/>
      </w:r>
      <w:r w:rsidRPr="001E4272">
        <w:rPr>
          <w:noProof/>
          <w:color w:val="000000" w:themeColor="text1"/>
        </w:rPr>
        <w:t xml:space="preserve">, με στόχο την περαιτέρω βελτίωση των ικανοτήτων κυβερνοασφάλειας των δημόσιων και ιδιωτικών οντοτήτων, των αρμόδιων αρχών και της Ένωσης στο σύνολό της στον τομέα της κυβερνοασφάλειας και της προστασίας των υποδομών ζωτικής σημασίας. </w:t>
      </w:r>
      <w:r w:rsidRPr="001E4272">
        <w:rPr>
          <w:iCs/>
          <w:noProof/>
          <w:color w:val="000000" w:themeColor="text1"/>
        </w:rPr>
        <w:t>Αν και η δικαστική εξουσία στα κράτη μέλη δεν εμπίπτει στο πεδίο εφαρμογής της πρότασης NIS2, είναι σημαντικό τα κράτη μέλη να θεσπίσουν εθνικά μέτρα που θα διασφαλίζουν συγκρίσιμο επίπεδο κυβερνοασφάλειας.</w:t>
      </w:r>
    </w:p>
    <w:p w14:paraId="34012F34" w14:textId="77777777" w:rsidR="00B83475" w:rsidRPr="001E4272" w:rsidRDefault="00B83475" w:rsidP="00715ADE">
      <w:pPr>
        <w:pBdr>
          <w:top w:val="nil"/>
          <w:left w:val="nil"/>
          <w:bottom w:val="nil"/>
          <w:right w:val="nil"/>
          <w:between w:val="nil"/>
          <w:bar w:val="nil"/>
        </w:pBdr>
        <w:spacing w:before="0" w:after="240"/>
        <w:rPr>
          <w:rFonts w:eastAsia="Arial Unicode MS"/>
          <w:noProof/>
          <w:color w:val="000000" w:themeColor="text1"/>
        </w:rPr>
      </w:pPr>
    </w:p>
    <w:p w14:paraId="355FADD7" w14:textId="77777777" w:rsidR="00EB0A3C" w:rsidRPr="001E4272" w:rsidRDefault="00EB0A3C" w:rsidP="00715ADE">
      <w:pPr>
        <w:pStyle w:val="ManualHeading1"/>
        <w:rPr>
          <w:noProof/>
          <w:color w:val="000000" w:themeColor="text1"/>
        </w:rPr>
      </w:pPr>
      <w:bookmarkStart w:id="6" w:name="_Toc84517386"/>
      <w:bookmarkStart w:id="7" w:name="_Toc84517558"/>
      <w:r w:rsidRPr="001E4272">
        <w:rPr>
          <w:noProof/>
          <w:color w:val="000000" w:themeColor="text1"/>
        </w:rPr>
        <w:t>2.</w:t>
      </w:r>
      <w:r w:rsidRPr="001E4272">
        <w:rPr>
          <w:noProof/>
        </w:rPr>
        <w:tab/>
      </w:r>
      <w:r w:rsidRPr="001E4272">
        <w:rPr>
          <w:noProof/>
          <w:color w:val="000000" w:themeColor="text1"/>
        </w:rPr>
        <w:t>ΝΟΜΙΚΗ ΒΑΣΗ, ΕΠΙΚΟΥΡΙΚΟΤΗΤΑ ΚΑΙ ΑΝΑΛΟΓΙΚΟΤΗΤΑ</w:t>
      </w:r>
      <w:bookmarkEnd w:id="6"/>
      <w:bookmarkEnd w:id="7"/>
    </w:p>
    <w:p w14:paraId="329CDA63" w14:textId="77777777" w:rsidR="00EB0A3C" w:rsidRPr="001E4272" w:rsidRDefault="00EB0A3C" w:rsidP="00715ADE">
      <w:pPr>
        <w:pStyle w:val="ManualHeading2"/>
        <w:rPr>
          <w:rFonts w:eastAsia="Arial Unicode MS"/>
          <w:noProof/>
          <w:color w:val="000000" w:themeColor="text1"/>
          <w:bdr w:val="nil"/>
        </w:rPr>
      </w:pPr>
      <w:bookmarkStart w:id="8" w:name="_Toc84517387"/>
      <w:bookmarkStart w:id="9" w:name="_Toc84517559"/>
      <w:r w:rsidRPr="001E4272">
        <w:rPr>
          <w:noProof/>
          <w:color w:val="000000" w:themeColor="text1"/>
          <w:bdr w:val="nil"/>
        </w:rPr>
        <w:t>•</w:t>
      </w:r>
      <w:r w:rsidRPr="001E4272">
        <w:rPr>
          <w:noProof/>
        </w:rPr>
        <w:tab/>
      </w:r>
      <w:r w:rsidRPr="001E4272">
        <w:rPr>
          <w:noProof/>
          <w:color w:val="000000" w:themeColor="text1"/>
          <w:bdr w:val="nil"/>
        </w:rPr>
        <w:t>Νομική βάση</w:t>
      </w:r>
      <w:bookmarkEnd w:id="8"/>
      <w:bookmarkEnd w:id="9"/>
    </w:p>
    <w:p w14:paraId="5D615766" w14:textId="5158D6DE" w:rsidR="00DD3D1F" w:rsidRPr="001E4272" w:rsidRDefault="00EB0A3C" w:rsidP="160710AA">
      <w:pPr>
        <w:pBdr>
          <w:top w:val="nil"/>
          <w:left w:val="nil"/>
          <w:bottom w:val="nil"/>
          <w:right w:val="nil"/>
          <w:between w:val="nil"/>
          <w:bar w:val="nil"/>
        </w:pBdr>
        <w:spacing w:before="0" w:after="240"/>
        <w:rPr>
          <w:noProof/>
        </w:rPr>
      </w:pPr>
      <w:r w:rsidRPr="001E4272">
        <w:rPr>
          <w:noProof/>
        </w:rPr>
        <w:t xml:space="preserve">Η νομική βάση της τροποποίησης του κανονισμού για την Eurojust είναι το άρθρο 85 της Συνθήκης για τη λειτουργία της Ευρωπαϊκής Ένωσης (ΣΛΕΕ). Σύμφωνα με το άρθρο 85 της ΣΛΕΕ, η δομή, η λειτουργία, το πεδίο δράσης και τα καθήκοντα της Eurojust καθορίζονται με κανονισμό. Αυτό περιλαμβάνει επίσης τη δημιουργία ασφαλών διαύλων επικοινωνίας μεταξύ των κρατών μελών της ΕΕ και της Eurojust, καθώς και τη συνεργασία της Eurojust με τους εισαγγελείς-συνδέσμους από τρίτες χώρες που είναι αποσπασμένοι στην Eurojust. </w:t>
      </w:r>
    </w:p>
    <w:p w14:paraId="4672D42B" w14:textId="452F6BA0" w:rsidR="00EB0A3C" w:rsidRPr="001E4272" w:rsidRDefault="00DD3D1F" w:rsidP="00EB0A3C">
      <w:pPr>
        <w:pBdr>
          <w:top w:val="nil"/>
          <w:left w:val="nil"/>
          <w:bottom w:val="nil"/>
          <w:right w:val="nil"/>
          <w:between w:val="nil"/>
          <w:bar w:val="nil"/>
        </w:pBdr>
        <w:spacing w:before="0" w:after="240"/>
        <w:rPr>
          <w:noProof/>
        </w:rPr>
      </w:pPr>
      <w:r w:rsidRPr="001E4272">
        <w:rPr>
          <w:noProof/>
        </w:rPr>
        <w:t>Όσον αφορά τις τροποποιήσεις της απόφασης 2005/671/ΔΕΥ του Συμβουλίου σχετικά με τη διαγραφή των αναφορών στην Eurojust, οι τροποποιήσεις αυτές έχουν χαρακτήρα καθαρά επακόλουθο των τροποποιήσεων που αφορούν τον κανονισμό για την Eurojust. Ως εκ τούτου, μπορούν επίσης να βασιστούν στο άρθρο 85 της ΣΛΕΕ.</w:t>
      </w:r>
    </w:p>
    <w:p w14:paraId="175F6CB9" w14:textId="77777777" w:rsidR="00EB0A3C" w:rsidRPr="001E4272" w:rsidRDefault="00EB0A3C" w:rsidP="00715ADE">
      <w:pPr>
        <w:pStyle w:val="ManualHeading2"/>
        <w:rPr>
          <w:rFonts w:eastAsia="Arial Unicode MS"/>
          <w:noProof/>
          <w:color w:val="000000" w:themeColor="text1"/>
          <w:bdr w:val="nil"/>
        </w:rPr>
      </w:pPr>
      <w:bookmarkStart w:id="10" w:name="_Toc84517388"/>
      <w:bookmarkStart w:id="11" w:name="_Toc84517560"/>
      <w:r w:rsidRPr="001E4272">
        <w:rPr>
          <w:noProof/>
          <w:color w:val="000000" w:themeColor="text1"/>
          <w:bdr w:val="nil"/>
        </w:rPr>
        <w:t>•</w:t>
      </w:r>
      <w:r w:rsidRPr="001E4272">
        <w:rPr>
          <w:noProof/>
        </w:rPr>
        <w:tab/>
      </w:r>
      <w:r w:rsidRPr="001E4272">
        <w:rPr>
          <w:noProof/>
          <w:color w:val="000000" w:themeColor="text1"/>
          <w:bdr w:val="nil"/>
        </w:rPr>
        <w:t>Επικουρικότητα (σε περίπτωση μη αποκλειστικής αρμοδιότητας)</w:t>
      </w:r>
      <w:bookmarkEnd w:id="10"/>
      <w:bookmarkEnd w:id="11"/>
      <w:r w:rsidRPr="001E4272">
        <w:rPr>
          <w:noProof/>
          <w:color w:val="000000" w:themeColor="text1"/>
          <w:bdr w:val="nil"/>
        </w:rPr>
        <w:t xml:space="preserve"> </w:t>
      </w:r>
    </w:p>
    <w:p w14:paraId="42DAB7BE" w14:textId="69E50B0A" w:rsidR="00EB0A3C" w:rsidRPr="001E4272" w:rsidRDefault="00EB0A3C" w:rsidP="00EB0A3C">
      <w:pPr>
        <w:pBdr>
          <w:top w:val="nil"/>
          <w:left w:val="nil"/>
          <w:bottom w:val="nil"/>
          <w:right w:val="nil"/>
          <w:between w:val="nil"/>
          <w:bar w:val="nil"/>
        </w:pBdr>
        <w:spacing w:before="0" w:after="240"/>
        <w:rPr>
          <w:noProof/>
        </w:rPr>
      </w:pPr>
      <w:r w:rsidRPr="001E4272">
        <w:rPr>
          <w:noProof/>
        </w:rPr>
        <w:t>Σύμφωνα με την αρχή της επικουρικότητας, που ορίζεται στο άρθρο 5 παράγραφος 3 της Συνθήκης για την Ευρωπαϊκή Ένωση (ΣΕΕ), δράση σε επίπεδο ΕΕ θα πρέπει να αναλαμβάνεται μόνο όταν οι στόχοι της προβλεπόμενης δράσης δεν μπορούν να επιτευχθούν επαρκώς από τα κράτη μέλη μόνα τους, μπορούν όμως, λόγω της κλίμακας ή των αποτελεσμάτων της προβλεπόμενης δράσης, να επιτευχθούν καλύτερα στο επίπεδο της Ένωσης. Είναι επίσης αναγκαίο να υπάρχει αντιστοιχία μεταξύ της φύσης και της έντασης ενός δεδομένου μέτρου με το πρόβλημα που έχει διαπιστωθεί.</w:t>
      </w:r>
    </w:p>
    <w:p w14:paraId="5BC7D940" w14:textId="055D7ABE" w:rsidR="00EB0A3C" w:rsidRPr="001E4272" w:rsidRDefault="00EB0A3C" w:rsidP="00EB0A3C">
      <w:pPr>
        <w:pBdr>
          <w:top w:val="nil"/>
          <w:left w:val="nil"/>
          <w:bottom w:val="nil"/>
          <w:right w:val="nil"/>
          <w:between w:val="nil"/>
          <w:bar w:val="nil"/>
        </w:pBdr>
        <w:spacing w:before="0" w:after="240"/>
        <w:rPr>
          <w:noProof/>
        </w:rPr>
      </w:pPr>
      <w:r w:rsidRPr="001E4272">
        <w:rPr>
          <w:noProof/>
        </w:rPr>
        <w:t>Δεδομένου ότι τα τρομοκρατικά εγκλήματα έχουν συχνά διασυνοριακό χαρακτήρα, η δράση αποκλειστικά σε εθνικό επίπεδο δεν μπορεί να οδηγήσει στην αποτελεσματική αντιμετώπισή τους. Αυτός είναι ο λόγος για τον οποίο τα κράτη μέλη επιλέγουν να συνεργαστούν για την αντιμετώπιση των απειλών που εγείρει η τρομοκρατία. Επιδιώκουν να συντονίζουν τη δικαστική αντίδρασή τους και να συνεργάζονται για την αντιμετώπιση των κοινών προκλήσεων. Η Eurojust, ως ο οργανισμός της ΕΕ που είναι αρμόδιος για τη συνεργασία στον τομέα της ποινικής δικαιοσύνης, μαρτυρεί απερίφραστα αυτή την προσπάθεια των κρατών μελών να διαφυλάξουν την ασφάλεια των πολιτών τους μέσω της συνεργασίας.</w:t>
      </w:r>
    </w:p>
    <w:p w14:paraId="1CE6554D" w14:textId="08F841B4" w:rsidR="00DB5AD2" w:rsidRPr="001E4272" w:rsidRDefault="00EB0A3C" w:rsidP="00EB0A3C">
      <w:pPr>
        <w:pBdr>
          <w:top w:val="nil"/>
          <w:left w:val="nil"/>
          <w:bottom w:val="nil"/>
          <w:right w:val="nil"/>
          <w:between w:val="nil"/>
          <w:bar w:val="nil"/>
        </w:pBdr>
        <w:spacing w:before="0" w:after="240"/>
        <w:rPr>
          <w:noProof/>
          <w:color w:val="000000" w:themeColor="text1"/>
        </w:rPr>
      </w:pPr>
      <w:r w:rsidRPr="001E4272">
        <w:rPr>
          <w:noProof/>
        </w:rPr>
        <w:t>Υπάρχει ειδική ανάγκη για δράση της ΕΕ, διότι τα προς έκδοση μέτρα έχουν εγγενή ενωσιακή διάσταση. Αποσκοπούν στη βελτίωση της ικανότητας της Eurojust να αναλαμβάνει δράση. Αποστολή της Eurojust είναι να υποστηρίζει και να ενισχύει τον συντονισμό και τη συνεργασία μεταξύ των εθνικών δικαστικών αρχών σε σχέση με σοβαρά εγκλήματα, συμπεριλαμβανομένης της τρομοκρατίας, τα οποία έχουν επιπτώσεις σε δύο ή περισσότερα κράτη μέλη ή απαιτούν δίωξη σε κοινές βάσεις. Ο στόχος αυτός μπορεί να επιτευχθεί μόνο στο επίπεδο της ΕΕ, σε ευθυγράμμιση με την αρχή της επικουρικότητας. Τα κράτη μέλη δεν μπορούν να δημιουργήσουν μόνα τους καταλληλότερο νομικό πλαίσιο για τη λειτουργία του αντιτρομοκρατικού μητρώου και την τροποποίηση της απόφασης 2005/671/ΔΕΥ. Ως εκ τούτου, εναπόκειται στην ΕΕ να θεσπίσει τα νομικά δεσμευτικά μέσα για την επίτευξη αυτών των αποτελεσμάτων σύμφωνα με τις αρμοδιότητες που της ανατίθενται από τις Συνθήκες της ΕΕ.</w:t>
      </w:r>
    </w:p>
    <w:p w14:paraId="385F87BD" w14:textId="77777777" w:rsidR="00EB0A3C" w:rsidRPr="001E4272" w:rsidRDefault="00EB0A3C" w:rsidP="00715ADE">
      <w:pPr>
        <w:pStyle w:val="ManualHeading2"/>
        <w:rPr>
          <w:rFonts w:eastAsia="Arial Unicode MS"/>
          <w:noProof/>
          <w:color w:val="000000" w:themeColor="text1"/>
          <w:bdr w:val="nil"/>
        </w:rPr>
      </w:pPr>
      <w:bookmarkStart w:id="12" w:name="_Toc84517389"/>
      <w:bookmarkStart w:id="13" w:name="_Toc84517561"/>
      <w:r w:rsidRPr="001E4272">
        <w:rPr>
          <w:noProof/>
          <w:color w:val="000000" w:themeColor="text1"/>
          <w:bdr w:val="nil"/>
        </w:rPr>
        <w:t>•</w:t>
      </w:r>
      <w:r w:rsidRPr="001E4272">
        <w:rPr>
          <w:noProof/>
        </w:rPr>
        <w:tab/>
      </w:r>
      <w:r w:rsidRPr="001E4272">
        <w:rPr>
          <w:noProof/>
          <w:color w:val="000000" w:themeColor="text1"/>
          <w:bdr w:val="nil"/>
        </w:rPr>
        <w:t>Αναλογικότητα</w:t>
      </w:r>
      <w:bookmarkEnd w:id="12"/>
      <w:bookmarkEnd w:id="13"/>
    </w:p>
    <w:p w14:paraId="43E72B36" w14:textId="6A385E75" w:rsidR="00EB0A3C" w:rsidRPr="001E4272" w:rsidRDefault="00EB0A3C" w:rsidP="00EB0A3C">
      <w:pPr>
        <w:pBdr>
          <w:top w:val="nil"/>
          <w:left w:val="nil"/>
          <w:bottom w:val="nil"/>
          <w:right w:val="nil"/>
          <w:between w:val="nil"/>
          <w:bar w:val="nil"/>
        </w:pBdr>
        <w:spacing w:before="0" w:after="240"/>
        <w:rPr>
          <w:noProof/>
        </w:rPr>
      </w:pPr>
      <w:r w:rsidRPr="001E4272">
        <w:rPr>
          <w:noProof/>
        </w:rPr>
        <w:t>Σύμφωνα με την αρχή της αναλογικότητας, που ορίζεται στο άρθρο 5 παράγραφος 4 της ΣΕΕ, είναι αναγκαίο να υπάρχει αντιστοιχία μεταξύ της φύσης και της έντασης ενός δεδομένου μέτρου και του προβλήματος που έχει διαπιστωθεί. Όλα τα προβλήματα τα οποία επιδιώκει να αντιμετωπίσει η παρούσα πρόταση απαιτούν την παροχή στήριξης σε επίπεδο ΕΕ, ώστε τα κράτη μέλη να τα αντιμετωπίσουν αποτελεσματικά.</w:t>
      </w:r>
    </w:p>
    <w:p w14:paraId="16719062" w14:textId="5A222657" w:rsidR="00D745EF" w:rsidRPr="001E4272" w:rsidRDefault="0011642E" w:rsidP="00EB0A3C">
      <w:pPr>
        <w:pBdr>
          <w:top w:val="nil"/>
          <w:left w:val="nil"/>
          <w:bottom w:val="nil"/>
          <w:right w:val="nil"/>
          <w:between w:val="nil"/>
          <w:bar w:val="nil"/>
        </w:pBdr>
        <w:spacing w:before="0" w:after="240"/>
        <w:rPr>
          <w:noProof/>
        </w:rPr>
      </w:pPr>
      <w:r w:rsidRPr="001E4272">
        <w:rPr>
          <w:noProof/>
        </w:rPr>
        <w:t>Τα άρθρα 1 και 2 της πρότασης αποσκοπούν στην καλύτερη ενσωμάτωση του αντιτρομοκρατικού μητρώου στο νομικό και τεχνικό πλαίσιο της Eurojust και στη βελτίωση της συνεργασίας με τους εισαγγελείς-συνδέσμους από τρίτες χώρες. Χωρίς τις τροποποιήσεις αυτές, η Eurojust δεν είναι σε θέση να εντοπίζει δεσμούς μεταξύ ταυτόχρονων ερευνών και διώξεων. Δεν μπορεί να εκπληρώσει τον καίριο ρόλο της στη στήριξη και την ενίσχυση της συνεργασίας μεταξύ των εθνικών αρχών των κρατών μελών για την έρευνα και τη δίωξη των σοβαρών μορφών εγκλήματος, ιδίως της τρομοκρατίας. Για να μπορεί η Eurojust να εκπληρώνει πλήρως την κρίσιμη αποστολή της, είναι αναγκαίο να διασφαλιστεί η συντονισμένη παρακολούθηση της δικαστικής εξέλιξης.</w:t>
      </w:r>
    </w:p>
    <w:p w14:paraId="1DBCCA4F" w14:textId="1222E791" w:rsidR="00DB5AD2" w:rsidRPr="001E4272" w:rsidRDefault="00EB0A3C" w:rsidP="00DB5AD2">
      <w:pPr>
        <w:pBdr>
          <w:top w:val="nil"/>
          <w:left w:val="nil"/>
          <w:bottom w:val="nil"/>
          <w:right w:val="nil"/>
          <w:between w:val="nil"/>
          <w:bar w:val="nil"/>
        </w:pBdr>
        <w:spacing w:before="0" w:after="240"/>
        <w:rPr>
          <w:rFonts w:eastAsia="Arial Unicode MS"/>
          <w:noProof/>
          <w:color w:val="000000" w:themeColor="text1"/>
        </w:rPr>
      </w:pPr>
      <w:r w:rsidRPr="001E4272">
        <w:rPr>
          <w:noProof/>
        </w:rPr>
        <w:t>Λόγω του ολοένα και πιο διασυνοριακού χαρακτήρα του οργανωμένου εγκλήματος και των τρομοκρατικών οργανώσεων, που διευκολύνονται από τη χρήση ψηφιακών εργαλείων επικοινωνίας, απαιτείται επίσης μια πιο συντονισμένη προσέγγιση όσον αφορά τις τρίτες χώρες. Οι έρευνες και οι διώξεις συχνά αφορούν αρχές από χώρες εκτός της ΕΕ. Ως εκ τούτου, σε ευθυγράμμιση με την αρχή της αναλογικότητας, η πρόταση δεν υπερβαίνει τα αναγκαία για την επίτευξη αυτού του στόχου.</w:t>
      </w:r>
    </w:p>
    <w:p w14:paraId="086325B0" w14:textId="77777777" w:rsidR="00EB0A3C" w:rsidRPr="001E4272" w:rsidRDefault="00EB0A3C" w:rsidP="00715ADE">
      <w:pPr>
        <w:pStyle w:val="ManualHeading2"/>
        <w:rPr>
          <w:rFonts w:eastAsia="Arial Unicode MS"/>
          <w:noProof/>
          <w:color w:val="000000" w:themeColor="text1"/>
          <w:bdr w:val="nil"/>
        </w:rPr>
      </w:pPr>
      <w:bookmarkStart w:id="14" w:name="_Toc84517390"/>
      <w:bookmarkStart w:id="15" w:name="_Toc84517562"/>
      <w:r w:rsidRPr="001E4272">
        <w:rPr>
          <w:noProof/>
          <w:color w:val="000000" w:themeColor="text1"/>
          <w:bdr w:val="nil"/>
        </w:rPr>
        <w:t>•</w:t>
      </w:r>
      <w:r w:rsidRPr="001E4272">
        <w:rPr>
          <w:noProof/>
        </w:rPr>
        <w:tab/>
      </w:r>
      <w:r w:rsidRPr="001E4272">
        <w:rPr>
          <w:noProof/>
          <w:color w:val="000000" w:themeColor="text1"/>
          <w:bdr w:val="nil"/>
        </w:rPr>
        <w:t>Επιλογή της νομικής πράξης</w:t>
      </w:r>
      <w:bookmarkEnd w:id="14"/>
      <w:bookmarkEnd w:id="15"/>
    </w:p>
    <w:p w14:paraId="5EA979EC" w14:textId="68707636" w:rsidR="00EB0A3C" w:rsidRPr="001E4272" w:rsidRDefault="006136DC" w:rsidP="00A72E78">
      <w:pPr>
        <w:pBdr>
          <w:top w:val="nil"/>
          <w:left w:val="nil"/>
          <w:bottom w:val="nil"/>
          <w:right w:val="nil"/>
          <w:between w:val="nil"/>
          <w:bar w:val="nil"/>
        </w:pBdr>
        <w:spacing w:before="0" w:after="240"/>
        <w:rPr>
          <w:noProof/>
        </w:rPr>
      </w:pPr>
      <w:r w:rsidRPr="001E4272">
        <w:rPr>
          <w:noProof/>
        </w:rPr>
        <w:t xml:space="preserve">Το άρθρο 1 της πρότασης τροποποιεί τον κανονισμό για την Eurojust. Το άρθρο 85 της ΣΛΕΕ παρέχει τη νομική βάση για τον κανονισμό για την Eurojust. </w:t>
      </w:r>
      <w:r w:rsidRPr="001E4272">
        <w:rPr>
          <w:noProof/>
          <w:color w:val="000000" w:themeColor="text1"/>
        </w:rPr>
        <w:t>Ορίζει ότι η Eurojust διέπεται από κανονισμό που εκδίδεται σύμφωνα με τη συνήθη νομοθετική διαδικασία.</w:t>
      </w:r>
    </w:p>
    <w:p w14:paraId="26B73A4A" w14:textId="38AC28FC" w:rsidR="000449CC" w:rsidRPr="001E4272" w:rsidRDefault="006136DC" w:rsidP="00A72E78">
      <w:pPr>
        <w:pBdr>
          <w:top w:val="nil"/>
          <w:left w:val="nil"/>
          <w:bottom w:val="nil"/>
          <w:right w:val="nil"/>
          <w:between w:val="nil"/>
          <w:bar w:val="nil"/>
        </w:pBdr>
        <w:spacing w:before="0" w:after="240"/>
        <w:rPr>
          <w:rFonts w:eastAsia="Arial Unicode MS"/>
          <w:noProof/>
          <w:color w:val="000000" w:themeColor="text1"/>
        </w:rPr>
      </w:pPr>
      <w:r w:rsidRPr="001E4272">
        <w:rPr>
          <w:noProof/>
          <w:color w:val="000000" w:themeColor="text1"/>
        </w:rPr>
        <w:t>Το άρθρο 2 της πρότασης αποσκοπεί στην τροποποίηση απόφασης του Συμβουλίου, η οποία εκδόθηκε πριν από την έναρξη ισχύος της Συνθήκης της Λισαβόνας το 2009. Δεδομένου ότι οι τροποποιήσεις αυτές έχουν χαρακτήρα καθαρά επακόλουθο των τροποποιήσεων του κανονισμού για την Eurojust, μπορούν να συμπεριληφθούν</w:t>
      </w:r>
      <w:r w:rsidRPr="001E4272">
        <w:rPr>
          <w:noProof/>
        </w:rPr>
        <w:t xml:space="preserve"> ως παρεπόμενο ζήτημα στον κανονισμό για την τροποποίηση του κανονισμού για την Eurojust.</w:t>
      </w:r>
    </w:p>
    <w:p w14:paraId="5E43DD68" w14:textId="77777777" w:rsidR="00EB0A3C" w:rsidRPr="001E4272" w:rsidRDefault="00EB0A3C" w:rsidP="005B63A2">
      <w:pPr>
        <w:pStyle w:val="ManualHeading1"/>
        <w:rPr>
          <w:noProof/>
          <w:color w:val="000000" w:themeColor="text1"/>
        </w:rPr>
      </w:pPr>
      <w:bookmarkStart w:id="16" w:name="_Toc84517391"/>
      <w:bookmarkStart w:id="17" w:name="_Toc84517563"/>
      <w:r w:rsidRPr="001E4272">
        <w:rPr>
          <w:noProof/>
          <w:color w:val="000000" w:themeColor="text1"/>
        </w:rPr>
        <w:t>3.</w:t>
      </w:r>
      <w:r w:rsidRPr="001E4272">
        <w:rPr>
          <w:noProof/>
        </w:rPr>
        <w:tab/>
      </w:r>
      <w:r w:rsidRPr="001E4272">
        <w:rPr>
          <w:noProof/>
          <w:color w:val="000000" w:themeColor="text1"/>
        </w:rPr>
        <w:t>ΑΠΟΤΕΛΕΣΜΑΤΑ ΤΩΝ ΕΚ ΤΩΝ ΥΣΤΕΡΩΝ ΑΞΙΟΛΟΓΗΣΕΩΝ, ΤΩΝ ΔΙΑΒΟΥΛΕΥΣΕΩΝ ΜΕ ΤΑ ΕΝΔΙΑΦΕΡΟΜΕΝΑ ΜΕΡΗ ΚΑΙ ΤΩΝ ΕΚΤΙΜΗΣΕΩΝ ΕΠΙΠΤΩΣΕΩΝ</w:t>
      </w:r>
      <w:bookmarkEnd w:id="16"/>
      <w:bookmarkEnd w:id="17"/>
    </w:p>
    <w:p w14:paraId="6C91C548" w14:textId="77777777" w:rsidR="00EB0A3C" w:rsidRPr="001E4272" w:rsidRDefault="00EB0A3C" w:rsidP="00715ADE">
      <w:pPr>
        <w:pStyle w:val="ManualHeading2"/>
        <w:rPr>
          <w:rFonts w:eastAsia="Arial Unicode MS"/>
          <w:noProof/>
          <w:color w:val="000000" w:themeColor="text1"/>
          <w:bdr w:val="nil"/>
        </w:rPr>
      </w:pPr>
      <w:bookmarkStart w:id="18" w:name="_Toc84517392"/>
      <w:bookmarkStart w:id="19" w:name="_Toc84517564"/>
      <w:r w:rsidRPr="001E4272">
        <w:rPr>
          <w:noProof/>
          <w:color w:val="000000" w:themeColor="text1"/>
          <w:bdr w:val="nil"/>
        </w:rPr>
        <w:t>•</w:t>
      </w:r>
      <w:r w:rsidRPr="001E4272">
        <w:rPr>
          <w:noProof/>
        </w:rPr>
        <w:tab/>
      </w:r>
      <w:r w:rsidRPr="001E4272">
        <w:rPr>
          <w:noProof/>
          <w:color w:val="000000" w:themeColor="text1"/>
          <w:bdr w:val="nil"/>
        </w:rPr>
        <w:t>Διαβουλεύσεις με τα ενδιαφερόμενα μέρη</w:t>
      </w:r>
      <w:bookmarkEnd w:id="18"/>
      <w:bookmarkEnd w:id="19"/>
    </w:p>
    <w:p w14:paraId="2F4A4794" w14:textId="52D4EDD4" w:rsidR="00991849" w:rsidRPr="001E4272" w:rsidRDefault="00991849" w:rsidP="00715ADE">
      <w:pPr>
        <w:pBdr>
          <w:top w:val="nil"/>
          <w:left w:val="nil"/>
          <w:bottom w:val="nil"/>
          <w:right w:val="nil"/>
          <w:between w:val="nil"/>
          <w:bar w:val="nil"/>
        </w:pBdr>
        <w:spacing w:before="0" w:after="240"/>
        <w:rPr>
          <w:noProof/>
        </w:rPr>
      </w:pPr>
      <w:r w:rsidRPr="001E4272">
        <w:rPr>
          <w:noProof/>
        </w:rPr>
        <w:t>Πραγματοποιήθηκε εκτεταμένη στοχευμένη διαβούλευση για να εξασφαλιστεί η ευρεία συμμετοχή των σχετικών ενδιαφερόμενων μερών στην εκπόνηση της πρότασης. Οι διαβουλεύσεις περιλάμβαναν διμερείς επαφές, συναντήσεις ενδιαφερόμενων μερών και εμπειρογνωμόνων, την υποβολή γραπτών παρατηρήσεων και έρευνα μεταξύ επαγγελματιών του κλάδου.</w:t>
      </w:r>
    </w:p>
    <w:p w14:paraId="4FA8CC4F" w14:textId="2B93407D" w:rsidR="00991849" w:rsidRPr="001E4272" w:rsidRDefault="00991849" w:rsidP="00991849">
      <w:pPr>
        <w:pBdr>
          <w:top w:val="nil"/>
          <w:left w:val="nil"/>
          <w:bottom w:val="nil"/>
          <w:right w:val="nil"/>
          <w:between w:val="nil"/>
          <w:bar w:val="nil"/>
        </w:pBdr>
        <w:spacing w:before="0" w:after="240"/>
        <w:rPr>
          <w:noProof/>
          <w:color w:val="000000" w:themeColor="text1"/>
        </w:rPr>
      </w:pPr>
      <w:r w:rsidRPr="001E4272">
        <w:rPr>
          <w:noProof/>
        </w:rPr>
        <w:t>Η Επιτροπή συγκέντρωσε ευρύ και ισορροπημένο φάσμα απόψεων επί του θέματος, παρέχοντας σε όλα τα ενδιαφερόμενα μέρη την ευκαιρία να εκφράσουν τις απόψεις τους. Ειδικότερα, στη διαδικασία διαβούλευσης κλήθηκαν να συμμετάσχουν τα κράτη μέλη, εθνικές αρχές, όπως οι εθνικοί ανταποκριτές για θέματα τρομοκρατίας, εισαγγελείς και δικαστές, η Eurojust, οι εθνικές της θυρίδες και η διοίκησή της, ο Ευρωπαίος Συντονιστής Αντιτρομοκρατικής Δράσης, η Ευρωπόλ, πανεπιστημιακοί, καθώς και ενδιαφερόμενα μέρη από τον τομέα των θεμελιωδών δικαιωμάτων και της προστασίας των δεδομένων.</w:t>
      </w:r>
    </w:p>
    <w:p w14:paraId="19B2E0D9" w14:textId="35469029" w:rsidR="00991849" w:rsidRPr="001E4272" w:rsidRDefault="00991849" w:rsidP="00991849">
      <w:pPr>
        <w:pBdr>
          <w:top w:val="nil"/>
          <w:left w:val="nil"/>
          <w:bottom w:val="nil"/>
          <w:right w:val="nil"/>
          <w:between w:val="nil"/>
          <w:bar w:val="nil"/>
        </w:pBdr>
        <w:spacing w:before="0" w:after="240"/>
        <w:rPr>
          <w:noProof/>
        </w:rPr>
      </w:pPr>
      <w:r w:rsidRPr="001E4272">
        <w:rPr>
          <w:noProof/>
        </w:rPr>
        <w:t>Επιπλέον, το θέμα συζητήθηκε, στις 17 Ιουνίου 2021, στο πλαίσιο της ομάδας εμπειρογνωμόνων της Επιτροπής για την ποινική πολιτική της ΕΕ, η οποία αποτελείται από πανεπιστημιακούς και επαγγελματίες του ποινικού δικαίου της ΕΕ, και, στις 24 Ιουνίου 2021, στο πλαίσιο της ομάδας εμπειρογνωμόνων της Επιτροπής για την ψηφιακή ποινική δικαιοσύνη, η οποία αποτελείται από εμπειρογνώμονες των κρατών μελών.</w:t>
      </w:r>
    </w:p>
    <w:p w14:paraId="7E6898C1" w14:textId="6F1533AF" w:rsidR="00991849" w:rsidRPr="001E4272" w:rsidRDefault="00991849" w:rsidP="00991849">
      <w:pPr>
        <w:pBdr>
          <w:top w:val="nil"/>
          <w:left w:val="nil"/>
          <w:bottom w:val="nil"/>
          <w:right w:val="nil"/>
          <w:between w:val="nil"/>
          <w:bar w:val="nil"/>
        </w:pBdr>
        <w:spacing w:before="0" w:after="240"/>
        <w:rPr>
          <w:noProof/>
          <w:color w:val="000000" w:themeColor="text1"/>
        </w:rPr>
      </w:pPr>
      <w:r w:rsidRPr="001E4272">
        <w:rPr>
          <w:noProof/>
        </w:rPr>
        <w:t>Όλα τα ενδιαφερόμενα μέρη, σε γενικές γραμμές, εξέφρασαν την ικανοποίησή τους για την πρωτοβουλία και συμφώνησαν σχετικά με τους προβληματικούς τομείς που εντοπίστηκαν. Τα ενδιαφερόμενα μέρη ήταν αρκετά σαφή σχετικά με τις πληροφορίες που πρέπει να ανταλλάσσονται με την Eurojust: θα πρέπει να είναι τα δεδομένα που είναι αναγκαία για την ταυτοποίηση των προσώπων που αποτελούν το αντικείμενο των ερευνών. Γενικά, οι απαντήσαντες δήλωσαν ικανοποιημένοι από την έκταση των δεδομένων που συλλέγονται μέσω του τρέχοντος υποδείγματος του αντιτρομοκρατικού μητρώου της Eurojust.</w:t>
      </w:r>
      <w:r w:rsidRPr="001E4272">
        <w:rPr>
          <w:noProof/>
          <w:color w:val="000000" w:themeColor="text1"/>
        </w:rPr>
        <w:t xml:space="preserve"> </w:t>
      </w:r>
    </w:p>
    <w:p w14:paraId="0DB91F99" w14:textId="008D0E79" w:rsidR="00991849" w:rsidRPr="001E4272" w:rsidRDefault="00991849" w:rsidP="00991849">
      <w:pPr>
        <w:pBdr>
          <w:top w:val="nil"/>
          <w:left w:val="nil"/>
          <w:bottom w:val="nil"/>
          <w:right w:val="nil"/>
          <w:between w:val="nil"/>
          <w:bar w:val="nil"/>
        </w:pBdr>
        <w:spacing w:before="0" w:after="240"/>
        <w:rPr>
          <w:noProof/>
        </w:rPr>
      </w:pPr>
      <w:r w:rsidRPr="001E4272">
        <w:rPr>
          <w:noProof/>
        </w:rPr>
        <w:t>Υπήρξε ισχυρή υποστήριξη για την καθιέρωση ασφαλών διαύλων επικοινωνίας μεταξύ των κρατών μελών και της Eurojust. Η Eurojust θα προτιμούσε ασφαλείς διαύλους επικοινωνίας για όλα τα επιχειρησιακά δεδομένα προσωπικού χαρακτήρα που αποστέλλονται στην Eurojust.</w:t>
      </w:r>
      <w:r w:rsidRPr="001E4272">
        <w:rPr>
          <w:noProof/>
          <w:color w:val="000000" w:themeColor="text1"/>
        </w:rPr>
        <w:t xml:space="preserve"> </w:t>
      </w:r>
      <w:r w:rsidRPr="001E4272">
        <w:rPr>
          <w:noProof/>
        </w:rPr>
        <w:t xml:space="preserve">Πολλά ενδιαφερόμενα μέρη υπογράμμισαν ότι το υφιστάμενο σύστημα διαχείρισης υποθέσεων δεν θα είναι σε θέση να εκτελεί τις λειτουργίες που προβλέπονται για το αντιτρομοκρατικό μητρώο. </w:t>
      </w:r>
    </w:p>
    <w:p w14:paraId="11FDF140" w14:textId="2CADCDB5" w:rsidR="00991849" w:rsidRPr="001E4272" w:rsidRDefault="00991849" w:rsidP="00715ADE">
      <w:pPr>
        <w:pBdr>
          <w:top w:val="nil"/>
          <w:left w:val="nil"/>
          <w:bottom w:val="nil"/>
          <w:right w:val="nil"/>
          <w:between w:val="nil"/>
          <w:bar w:val="nil"/>
        </w:pBdr>
        <w:spacing w:before="0" w:after="240"/>
        <w:rPr>
          <w:rFonts w:eastAsia="Arial Unicode MS"/>
          <w:noProof/>
          <w:color w:val="000000" w:themeColor="text1"/>
        </w:rPr>
      </w:pPr>
      <w:r w:rsidRPr="001E4272">
        <w:rPr>
          <w:noProof/>
        </w:rPr>
        <w:t xml:space="preserve">Τα μέρη συμφώνησαν γενικά ότι οι εισαγγελείς-σύνδεσμοι θα πρέπει να έχουν επιχειρησιακή πρόσβαση στο σύστημα διαχείρισης υποθέσεων. Τα κράτη μέλη και οι επαγγελματίες της Eurojust επισήμαναν ότι οι τρίτες χώρες οι οποίες έχουν συνάψει συμφωνία συνεργασίας και, ως εκ τούτου, μπορούν να αποσπούν εισαγγελέα-σύνδεσμο στην Eurojust θα πρέπει να είναι σε θέση να κινούν και να περατώνουν υποθέσεις ανεξάρτητα. </w:t>
      </w:r>
    </w:p>
    <w:p w14:paraId="561CCE5C" w14:textId="77777777" w:rsidR="00EB0A3C" w:rsidRPr="001E4272" w:rsidRDefault="00EB0A3C" w:rsidP="00715ADE">
      <w:pPr>
        <w:pStyle w:val="ManualHeading2"/>
        <w:rPr>
          <w:rFonts w:eastAsia="Arial Unicode MS"/>
          <w:noProof/>
          <w:color w:val="000000" w:themeColor="text1"/>
          <w:bdr w:val="nil"/>
        </w:rPr>
      </w:pPr>
      <w:bookmarkStart w:id="20" w:name="_Toc84517393"/>
      <w:bookmarkStart w:id="21" w:name="_Toc84517565"/>
      <w:r w:rsidRPr="001E4272">
        <w:rPr>
          <w:noProof/>
          <w:color w:val="000000" w:themeColor="text1"/>
          <w:bdr w:val="nil"/>
        </w:rPr>
        <w:t>•</w:t>
      </w:r>
      <w:r w:rsidRPr="001E4272">
        <w:rPr>
          <w:noProof/>
        </w:rPr>
        <w:tab/>
      </w:r>
      <w:r w:rsidRPr="001E4272">
        <w:rPr>
          <w:noProof/>
          <w:color w:val="000000" w:themeColor="text1"/>
          <w:bdr w:val="nil"/>
        </w:rPr>
        <w:t>Συλλογή και χρήση εμπειρογνωσίας</w:t>
      </w:r>
      <w:bookmarkEnd w:id="20"/>
      <w:bookmarkEnd w:id="21"/>
    </w:p>
    <w:p w14:paraId="2A257C69" w14:textId="7347107E" w:rsidR="00991849" w:rsidRPr="001E4272" w:rsidRDefault="00991849" w:rsidP="00715ADE">
      <w:pPr>
        <w:pBdr>
          <w:top w:val="nil"/>
          <w:left w:val="nil"/>
          <w:bottom w:val="nil"/>
          <w:right w:val="nil"/>
          <w:between w:val="nil"/>
          <w:bar w:val="nil"/>
        </w:pBdr>
        <w:spacing w:before="0" w:after="240"/>
        <w:rPr>
          <w:noProof/>
        </w:rPr>
      </w:pPr>
      <w:r w:rsidRPr="001E4272">
        <w:rPr>
          <w:noProof/>
        </w:rPr>
        <w:t>Η πρόταση βασίζεται στα πορίσματα της μελέτης για την ψηφιακή ποινική δικαιοσύνη</w:t>
      </w:r>
      <w:r w:rsidRPr="001E4272">
        <w:rPr>
          <w:rStyle w:val="FootnoteReference"/>
          <w:rFonts w:eastAsia="Arial Unicode MS"/>
          <w:noProof/>
        </w:rPr>
        <w:footnoteReference w:id="25"/>
      </w:r>
      <w:r w:rsidRPr="001E4272">
        <w:rPr>
          <w:noProof/>
        </w:rPr>
        <w:t xml:space="preserve">. Η μελέτη εξέτασε τις ανάγκες και τις επιλογές για τη δημιουργία της «διασυνοριακής ψηφιακής ποινικής δικαιοσύνης», μιας ταχείας, αξιόπιστης και ασφαλούς υποδομής ΤΠ που θα επιτρέπει στις εθνικές εισαγγελικές αρχές των κρατών μελών να αλληλεπιδρούν με τους εθνικούς ομολόγους τους, τους οργανισμούς δικαιοσύνης και εσωτερικών υποθέσεων (ΔΕΥ) και τα όργανα της ΕΕ στον τομέα της ΔΕΥ. </w:t>
      </w:r>
    </w:p>
    <w:p w14:paraId="7B228B94" w14:textId="77777777" w:rsidR="00EB0A3C" w:rsidRPr="001E4272" w:rsidRDefault="00EB0A3C" w:rsidP="00715ADE">
      <w:pPr>
        <w:pStyle w:val="ManualHeading2"/>
        <w:rPr>
          <w:rFonts w:eastAsia="Arial Unicode MS"/>
          <w:noProof/>
          <w:color w:val="000000" w:themeColor="text1"/>
          <w:bdr w:val="nil"/>
        </w:rPr>
      </w:pPr>
      <w:bookmarkStart w:id="22" w:name="_Toc84517394"/>
      <w:bookmarkStart w:id="23" w:name="_Toc84517566"/>
      <w:r w:rsidRPr="001E4272">
        <w:rPr>
          <w:noProof/>
          <w:color w:val="000000" w:themeColor="text1"/>
          <w:bdr w:val="nil"/>
        </w:rPr>
        <w:t>•</w:t>
      </w:r>
      <w:r w:rsidRPr="001E4272">
        <w:rPr>
          <w:noProof/>
        </w:rPr>
        <w:tab/>
      </w:r>
      <w:r w:rsidRPr="001E4272">
        <w:rPr>
          <w:noProof/>
          <w:color w:val="000000" w:themeColor="text1"/>
          <w:bdr w:val="nil"/>
        </w:rPr>
        <w:t>Εκτίμηση των επιπτώσεων</w:t>
      </w:r>
      <w:bookmarkEnd w:id="22"/>
      <w:bookmarkEnd w:id="23"/>
    </w:p>
    <w:p w14:paraId="775198E2" w14:textId="3DD59838" w:rsidR="000835D7" w:rsidRPr="001E4272" w:rsidRDefault="00FA65E7" w:rsidP="00A72E78">
      <w:pPr>
        <w:pBdr>
          <w:top w:val="nil"/>
          <w:left w:val="nil"/>
          <w:bottom w:val="nil"/>
          <w:right w:val="nil"/>
          <w:between w:val="nil"/>
          <w:bar w:val="nil"/>
        </w:pBdr>
        <w:spacing w:before="0" w:after="240"/>
        <w:rPr>
          <w:noProof/>
        </w:rPr>
      </w:pPr>
      <w:r w:rsidRPr="001E4272">
        <w:rPr>
          <w:noProof/>
        </w:rPr>
        <w:t>Δεν διενεργήθηκε εκτίμηση των επιπτώσεων, καθώς η πρόταση αποσκοπεί κυρίως στην καθιέρωση μιας επικαιροποιημένης τεχνικής λύσης για τη στήριξη των αρχών των κρατών μελών και της Eurojust, χωρίς να μεταβληθούν οι βασικές αρχές στις οποίες βασίζεται το υφιστάμενο πλαίσιο νομικής συνεργασίας.</w:t>
      </w:r>
    </w:p>
    <w:p w14:paraId="3E7A4D35" w14:textId="5D4A3F46" w:rsidR="00BB72D8" w:rsidRPr="001E4272" w:rsidRDefault="00FA65E7" w:rsidP="160710AA">
      <w:pPr>
        <w:pBdr>
          <w:top w:val="nil"/>
          <w:left w:val="nil"/>
          <w:bottom w:val="nil"/>
          <w:right w:val="nil"/>
          <w:between w:val="nil"/>
          <w:bar w:val="nil"/>
        </w:pBdr>
        <w:spacing w:before="0" w:after="240"/>
        <w:rPr>
          <w:noProof/>
        </w:rPr>
      </w:pPr>
      <w:r w:rsidRPr="001E4272">
        <w:rPr>
          <w:noProof/>
        </w:rPr>
        <w:t>Ωστόσο, οι υπηρεσίες της Επιτροπής συνέταξαν αναλυτικό υποβοηθητικό έγγραφο, υπό τη μορφή εγγράφου εργασίας των υπηρεσιών της Επιτροπής</w:t>
      </w:r>
      <w:r w:rsidRPr="001E4272">
        <w:rPr>
          <w:rStyle w:val="FootnoteReference"/>
          <w:noProof/>
        </w:rPr>
        <w:footnoteReference w:id="26"/>
      </w:r>
      <w:r w:rsidRPr="001E4272">
        <w:rPr>
          <w:noProof/>
        </w:rPr>
        <w:t xml:space="preserve">, το οποίο συνοδεύει την πρόταση. Το έγγραφο εργασίας των υπηρεσιών της Επιτροπής περιέχει λεπτομερή περιγραφή του προβλήματος, εξετάζει τους υποκείμενους παράγοντες και καθορίζει τους στόχους της πρότασης. Αναλύει την προτεινόμενη λύση υπό το πρίσμα της αποτελεσματικότητας, αλλά και των δυνητικών επιπτώσεων στα θεμελιώδη δικαιώματα. </w:t>
      </w:r>
    </w:p>
    <w:p w14:paraId="14E72849" w14:textId="77777777" w:rsidR="00CE7EB7" w:rsidRPr="001E4272" w:rsidRDefault="00BB72D8" w:rsidP="00CE7EB7">
      <w:pPr>
        <w:rPr>
          <w:noProof/>
        </w:rPr>
      </w:pPr>
      <w:r w:rsidRPr="001E4272">
        <w:rPr>
          <w:noProof/>
        </w:rPr>
        <w:t xml:space="preserve">Στο αναλυτικό συνοδευτικό έγγραφο, τα κύρια προβλήματα που εντοπίστηκαν ήταν ότι η Eurojust δεν λαμβάνει από τις αρμόδιες εθνικές αρχές πλήρεις πληροφορίες σχετικά με τις υποθέσεις, ότι το σύστημα διαχείρισης υποθέσεων της Eurojust δεν υποστηρίζει τον αυτοματοποιημένο εντοπισμό των δεσμών και ότι η συνεργασία με τους εισαγγελείς-συνδέσμους από τρίτες χώρες δεν είναι αποδοτική. Ως λύση προτείνεται να αποσαφηνιστεί και να ενισχυθεί η υποχρέωση ανταλλαγής πληροφοριών με την Eurojust σχετικά με τις υποθέσεις τρομοκρατίας, να εκσυγχρονιστεί το σύστημα διαχείρισης υποθέσεων της Eurojust και να βελτιωθεί η νομική βάση για τη συνεργασία με τους εισαγγελείς-συνδέσμους από τρίτες χώρες. </w:t>
      </w:r>
    </w:p>
    <w:p w14:paraId="0D963756" w14:textId="7B07F233" w:rsidR="00CE7EB7" w:rsidRPr="001E4272" w:rsidRDefault="00BB72D8" w:rsidP="00CE7EB7">
      <w:pPr>
        <w:rPr>
          <w:rFonts w:eastAsia="Arial Unicode MS"/>
          <w:noProof/>
          <w:color w:val="000000" w:themeColor="text1"/>
          <w:u w:color="000000"/>
          <w:bdr w:val="nil"/>
        </w:rPr>
      </w:pPr>
      <w:r w:rsidRPr="001E4272">
        <w:rPr>
          <w:noProof/>
        </w:rPr>
        <w:t>Η βελτίωση της αποδοτικότητας της ανταλλαγής δεδομένων μεταξύ των εθνικών αρχών και της Eurojust, συμπεριλαμβανομένης της χρήσης ασφαλών διαύλων επικοινωνίας, αναμένεται να βελτιώσει σημαντικά τις ικανότητες της Eurojust να εντοπίζει δεσμούς μεταξύ διαδικασιών που βρίσκονται σε εξέλιξη και διαδικασιών που έχουν περατωθεί. Ο εκσυγχρονισμός του περιβάλλοντος επεξεργασίας δεδομένων της Eurojust έχει τον ίδιο στόχο. Ο εντοπισμός τέτοιων δεσμών αναμένεται να βοηθά τις δικαστικές αρχές σε διάφορα στάδια των εθνικών διαδικασιών για την επιτυχή ταυτοποίηση και δίωξη υπόπτων για τρομοκρατικά εγκλήματα ή όσων εμπλέκονται σε άλλα σοβαρά εγκλήματα και σχετίζονται με τους εν λόγω υπόπτους. Η παροχή της δυνατότητας στην Eurojust να στηρίζει τα κράτη μέλη με το πλήρες δυναμικό της αναμένεται να ενισχύσει σημαντικά τη δικαστική αντίδραση στο πλαίσιο της καταπολέμησης της τρομοκρατίας και άλλων μορφών σοβαρού εγκλήματος.</w:t>
      </w:r>
      <w:bookmarkStart w:id="24" w:name="_Toc84517395"/>
      <w:bookmarkStart w:id="25" w:name="_Toc84517567"/>
    </w:p>
    <w:bookmarkEnd w:id="24"/>
    <w:bookmarkEnd w:id="25"/>
    <w:p w14:paraId="3F694A19" w14:textId="698689BE" w:rsidR="00CE7EB7" w:rsidRPr="001E4272" w:rsidRDefault="00CE7EB7" w:rsidP="00CE7EB7">
      <w:pPr>
        <w:pStyle w:val="ManualHeading2"/>
        <w:rPr>
          <w:rFonts w:eastAsia="Arial Unicode MS"/>
          <w:noProof/>
          <w:color w:val="000000" w:themeColor="text1"/>
          <w:bdr w:val="nil"/>
        </w:rPr>
      </w:pPr>
      <w:r w:rsidRPr="001E4272">
        <w:rPr>
          <w:noProof/>
          <w:color w:val="000000" w:themeColor="text1"/>
          <w:bdr w:val="nil"/>
        </w:rPr>
        <w:t>•</w:t>
      </w:r>
      <w:r w:rsidRPr="001E4272">
        <w:rPr>
          <w:noProof/>
        </w:rPr>
        <w:tab/>
      </w:r>
      <w:r w:rsidRPr="001E4272">
        <w:rPr>
          <w:noProof/>
          <w:color w:val="000000" w:themeColor="text1"/>
          <w:bdr w:val="nil"/>
        </w:rPr>
        <w:t>Θεμελιώδη δικαιώματα</w:t>
      </w:r>
    </w:p>
    <w:p w14:paraId="24B4AFDE" w14:textId="124C589F" w:rsidR="006C72D3" w:rsidRPr="001E4272" w:rsidRDefault="006C72D3" w:rsidP="00715ADE">
      <w:pPr>
        <w:pBdr>
          <w:top w:val="nil"/>
          <w:left w:val="nil"/>
          <w:bottom w:val="nil"/>
          <w:right w:val="nil"/>
          <w:between w:val="nil"/>
          <w:bar w:val="nil"/>
        </w:pBdr>
        <w:spacing w:before="0" w:after="240"/>
        <w:rPr>
          <w:rFonts w:eastAsia="Arial Unicode MS"/>
          <w:noProof/>
          <w:color w:val="000000" w:themeColor="text1"/>
        </w:rPr>
      </w:pPr>
      <w:r w:rsidRPr="001E4272">
        <w:rPr>
          <w:noProof/>
          <w:color w:val="000000" w:themeColor="text1"/>
        </w:rPr>
        <w:t>Δεδομένης της σημασίας που έχει η επεξεργασία δεδομένων προσωπικού χαρακτήρα για τους σκοπούς της επιβολής του νόμου και για τις δραστηριότητες στήριξης που παρέχει η Eurojust, η πρόταση αναδεικνύει την ανάγκη να διασφαλιστεί πλήρης συμμόρφωση με τα θεμελιώδη δικαιώματα, όπως κατοχυρώνονται στον Χάρτη των Θεμελιωδών Δικαιωμάτων. Στα δικαιώματα αυτά περιλαμβάνονται το δικαίωμα προστασίας των δεδομένων προσωπικού χαρακτήρα</w:t>
      </w:r>
      <w:r w:rsidRPr="001E4272">
        <w:rPr>
          <w:rStyle w:val="FootnoteReference"/>
          <w:rFonts w:eastAsia="Arial Unicode MS"/>
          <w:noProof/>
          <w:color w:val="000000" w:themeColor="text1"/>
        </w:rPr>
        <w:footnoteReference w:id="27"/>
      </w:r>
      <w:r w:rsidRPr="001E4272">
        <w:rPr>
          <w:noProof/>
          <w:color w:val="000000" w:themeColor="text1"/>
        </w:rPr>
        <w:t xml:space="preserve"> και το δικαίωμα στον σεβασμό της ιδιωτικής ζωής</w:t>
      </w:r>
      <w:r w:rsidRPr="001E4272">
        <w:rPr>
          <w:rStyle w:val="FootnoteReference"/>
          <w:rFonts w:eastAsia="Arial Unicode MS"/>
          <w:noProof/>
          <w:color w:val="000000" w:themeColor="text1"/>
        </w:rPr>
        <w:footnoteReference w:id="28"/>
      </w:r>
      <w:r w:rsidRPr="001E4272">
        <w:rPr>
          <w:noProof/>
          <w:color w:val="000000" w:themeColor="text1"/>
        </w:rPr>
        <w:t xml:space="preserve">. Αυτό έχει ιδιαίτερη σημασία δεδομένου ότι η πρόταση αφορά την επεξεργασία ευαίσθητων δεδομένων προσωπικού χαρακτήρα που αφορούν ποινικές έρευνες και καταδίκες, καθώς και βιομετρικών δεδομένων. Δεδομένου ότι ένας από τους κύριους στόχους της πρότασης είναι να δοθεί στην Eurojust η δυνατότητα να διαπιστώνει δεσμούς μεταξύ ερευνών που αφορούν υποθέσεις τρομοκρατίας, και ότι αυτό είναι δυνατόν μόνο αν η Eurojust λαμβάνει επαρκείς πληροφορίες, είναι αναγκαίο να αυξηθεί ο όγκος των δεδομένων που αποστέλλονται στην Eurojust. Για τα δεδομένα αυτά, πρέπει να θεσπιστούν επαρκείς εγγυήσεις. Αυτό περιλαμβάνει αυστηρό περιορισμό του σκοπού, ιδίως όταν πρόκειται για βιομετρικά δεδομένα. Η χρήση ασφαλών διαύλων επικοινωνίας και το νέο εκσυγχρονισμένο σύστημα διαχείρισης υποθέσεων θα συμβάλουν στην καλύτερη προστασία των δεδομένων που επεξεργάζεται η Eurojust. Κατά τον σχεδιασμό του συστήματος διαχείρισης υποθέσεων, θα δοθεί έμφαση στην προστασία των δεδομένων εξ ορισμού και από τον σχεδιασμό. Επιπλέον, η βασική αρχή του ελέγχου των δεδομένων από τα εθνικά μέλη και τις εθνικές αρμόδιες αρχές θα παραμείνει αμετάβλητη. Το συνοδευτικό έγγραφο εργασίας των υπηρεσιών της Επιτροπής αξιολογεί λεπτομερέστερα τις επιπτώσεις της πρότασης στα θεμελιώδη δικαιώματα και τις εγγυήσεις. </w:t>
      </w:r>
    </w:p>
    <w:p w14:paraId="42CB905F" w14:textId="77777777" w:rsidR="00EB0A3C" w:rsidRPr="001E4272" w:rsidRDefault="00EB0A3C" w:rsidP="00715ADE">
      <w:pPr>
        <w:pStyle w:val="ManualHeading1"/>
        <w:rPr>
          <w:noProof/>
          <w:color w:val="000000" w:themeColor="text1"/>
        </w:rPr>
      </w:pPr>
      <w:bookmarkStart w:id="26" w:name="_Toc84517396"/>
      <w:bookmarkStart w:id="27" w:name="_Toc84517568"/>
      <w:r w:rsidRPr="001E4272">
        <w:rPr>
          <w:noProof/>
          <w:color w:val="000000" w:themeColor="text1"/>
        </w:rPr>
        <w:t>4.</w:t>
      </w:r>
      <w:r w:rsidRPr="001E4272">
        <w:rPr>
          <w:noProof/>
        </w:rPr>
        <w:tab/>
      </w:r>
      <w:r w:rsidRPr="001E4272">
        <w:rPr>
          <w:noProof/>
          <w:color w:val="000000" w:themeColor="text1"/>
        </w:rPr>
        <w:t>ΔΗΜΟΣΙΟΝΟΜΙΚΕΣ ΕΠΙΠΤΩΣΕΙΣ</w:t>
      </w:r>
      <w:bookmarkEnd w:id="26"/>
      <w:bookmarkEnd w:id="27"/>
    </w:p>
    <w:p w14:paraId="166E533F" w14:textId="3BC927E4" w:rsidR="000F03C5" w:rsidRPr="001E4272" w:rsidRDefault="00DF432B" w:rsidP="00715ADE">
      <w:pPr>
        <w:pBdr>
          <w:top w:val="nil"/>
          <w:left w:val="nil"/>
          <w:bottom w:val="nil"/>
          <w:right w:val="nil"/>
          <w:between w:val="nil"/>
          <w:bar w:val="nil"/>
        </w:pBdr>
        <w:spacing w:before="0" w:after="240"/>
        <w:rPr>
          <w:rFonts w:eastAsia="Arial Unicode MS"/>
          <w:noProof/>
          <w:color w:val="000000" w:themeColor="text1"/>
        </w:rPr>
      </w:pPr>
      <w:r w:rsidRPr="001E4272">
        <w:rPr>
          <w:noProof/>
          <w:color w:val="000000" w:themeColor="text1"/>
        </w:rPr>
        <w:t xml:space="preserve">Η παρούσα πρόταση θα έχει επιπτώσεις στον προϋπολογισμό της Eurojust και στις ανάγκες της σε προσωπικό. Εκτιμάται ότι θα χρειαστούν επιπλέον 33 εκατ. EUR, όπως παρατίθεται στο νομοθετικό δημοσιονομικό δελτίο που συνοδεύει την πρόταση. </w:t>
      </w:r>
    </w:p>
    <w:p w14:paraId="217C5D59" w14:textId="6C0CF06C" w:rsidR="003D3BE3" w:rsidRPr="001E4272" w:rsidRDefault="000F03C5" w:rsidP="00715ADE">
      <w:pPr>
        <w:pBdr>
          <w:top w:val="nil"/>
          <w:left w:val="nil"/>
          <w:bottom w:val="nil"/>
          <w:right w:val="nil"/>
          <w:between w:val="nil"/>
          <w:bar w:val="nil"/>
        </w:pBdr>
        <w:spacing w:before="0" w:after="240"/>
        <w:rPr>
          <w:rFonts w:eastAsia="Arial Unicode MS"/>
          <w:noProof/>
          <w:color w:val="000000" w:themeColor="text1"/>
        </w:rPr>
      </w:pPr>
      <w:r w:rsidRPr="001E4272">
        <w:rPr>
          <w:noProof/>
        </w:rPr>
        <w:t>Με βάση την ανάλυση της μελέτης για την ψηφιακή ποινική δικαιοσύνη</w:t>
      </w:r>
      <w:r w:rsidRPr="00746164">
        <w:rPr>
          <w:rStyle w:val="FootnoteReference"/>
          <w:rFonts w:eastAsia="Arial Unicode MS"/>
          <w:noProof/>
        </w:rPr>
        <w:footnoteReference w:id="29"/>
      </w:r>
      <w:r w:rsidRPr="001E4272">
        <w:rPr>
          <w:noProof/>
        </w:rPr>
        <w:t>, οι δαπάνες για ένα νέο, ανασχεδιασμένο σύστημα διαχείρισης υποθέσεων υπολογίζονται σε 31 εκατ. EUR, συμπεριλαμβανομένων των δαπανών κατασκευής, λειτουργίας και συντήρησης για δύο έτη</w:t>
      </w:r>
      <w:r w:rsidRPr="00746164">
        <w:rPr>
          <w:rStyle w:val="FootnoteReference"/>
          <w:rFonts w:eastAsia="Arial Unicode MS"/>
          <w:noProof/>
        </w:rPr>
        <w:footnoteReference w:id="30"/>
      </w:r>
      <w:r w:rsidRPr="001E4272">
        <w:rPr>
          <w:noProof/>
        </w:rPr>
        <w:t>.</w:t>
      </w:r>
      <w:r w:rsidRPr="001E4272">
        <w:rPr>
          <w:noProof/>
          <w:color w:val="000000" w:themeColor="text1"/>
        </w:rPr>
        <w:t xml:space="preserve"> Η Eurojust έχει ήδη λάβει 9,5 εκατ. EUR μέσω μεταφοράς κονδυλίων από τον προϋπολογισμό της Ευρωπαϊκής Εισαγγελίας τον Οκτώβριο του 2021, με αποτέλεσμα οι εκκρεμείς δαπάνες για το σύστημα διαχείρισης υποθέσεων να εκτιμώνται σε 21,5 εκατ. EUR. Επιπλέον, θα χρειαστούν περίπου 11,5 εκατ. EUR για την κάλυψη πρόσθετων αναγκών σε προσωπικό για την τετραετή περίοδο κατασκευής και λειτουργίας. Αυτές οι 25 επιπλέον θέσεις θα είναι μόνιμες, ώστε να εξασφαλιστεί ότι η Eurojust διαθέτει τους αναγκαίους πόρους για την εκτέλεση των καθηκόντων της. </w:t>
      </w:r>
    </w:p>
    <w:p w14:paraId="3B15E16B" w14:textId="5D63789C" w:rsidR="00EB0A3C" w:rsidRPr="001E4272" w:rsidRDefault="00DF432B" w:rsidP="00715ADE">
      <w:pPr>
        <w:pBdr>
          <w:top w:val="nil"/>
          <w:left w:val="nil"/>
          <w:bottom w:val="nil"/>
          <w:right w:val="nil"/>
          <w:between w:val="nil"/>
          <w:bar w:val="nil"/>
        </w:pBdr>
        <w:spacing w:before="0" w:after="240"/>
        <w:rPr>
          <w:rFonts w:eastAsia="Arial Unicode MS"/>
          <w:noProof/>
          <w:color w:val="000000" w:themeColor="text1"/>
        </w:rPr>
      </w:pPr>
      <w:r w:rsidRPr="001E4272">
        <w:rPr>
          <w:noProof/>
          <w:color w:val="000000" w:themeColor="text1"/>
        </w:rPr>
        <w:t>Ως εκ τούτου, τα αυξημένα καθήκοντα της Eurojust βάσει της παρούσας πρότασης θα απαιτήσουν περισσότερους οικονομικούς και ανθρώπινους πόρους από αυτούς που έχουν συμπεριληφθεί στον προϋπολογισμό της ΕΕ για την περίοδο 2021-2027 (ΠΔΠ).</w:t>
      </w:r>
    </w:p>
    <w:p w14:paraId="5175A7A7" w14:textId="77777777" w:rsidR="00EB0A3C" w:rsidRPr="001E4272" w:rsidRDefault="00EB0A3C" w:rsidP="00715ADE">
      <w:pPr>
        <w:pStyle w:val="ManualHeading1"/>
        <w:rPr>
          <w:noProof/>
          <w:color w:val="000000" w:themeColor="text1"/>
        </w:rPr>
      </w:pPr>
      <w:bookmarkStart w:id="28" w:name="_Toc84517397"/>
      <w:bookmarkStart w:id="29" w:name="_Toc84517569"/>
      <w:r w:rsidRPr="001E4272">
        <w:rPr>
          <w:noProof/>
          <w:color w:val="000000" w:themeColor="text1"/>
        </w:rPr>
        <w:t>5.</w:t>
      </w:r>
      <w:r w:rsidRPr="001E4272">
        <w:rPr>
          <w:noProof/>
        </w:rPr>
        <w:tab/>
      </w:r>
      <w:r w:rsidRPr="001E4272">
        <w:rPr>
          <w:noProof/>
          <w:color w:val="000000" w:themeColor="text1"/>
        </w:rPr>
        <w:t>ΛΟΙΠΑ ΣΤΟΙΧΕΙΑ</w:t>
      </w:r>
      <w:bookmarkEnd w:id="28"/>
      <w:bookmarkEnd w:id="29"/>
    </w:p>
    <w:p w14:paraId="29AD8D15" w14:textId="77777777" w:rsidR="00EB0A3C" w:rsidRPr="001E4272" w:rsidRDefault="00EB0A3C" w:rsidP="00715ADE">
      <w:pPr>
        <w:pStyle w:val="ManualHeading2"/>
        <w:rPr>
          <w:rFonts w:eastAsia="Arial Unicode MS"/>
          <w:noProof/>
          <w:color w:val="000000" w:themeColor="text1"/>
          <w:bdr w:val="nil"/>
        </w:rPr>
      </w:pPr>
      <w:bookmarkStart w:id="30" w:name="_Toc84517398"/>
      <w:bookmarkStart w:id="31" w:name="_Toc84517570"/>
      <w:r w:rsidRPr="001E4272">
        <w:rPr>
          <w:noProof/>
          <w:color w:val="000000" w:themeColor="text1"/>
          <w:bdr w:val="nil"/>
        </w:rPr>
        <w:t>•</w:t>
      </w:r>
      <w:r w:rsidRPr="001E4272">
        <w:rPr>
          <w:noProof/>
        </w:rPr>
        <w:tab/>
      </w:r>
      <w:r w:rsidRPr="001E4272">
        <w:rPr>
          <w:noProof/>
          <w:color w:val="000000" w:themeColor="text1"/>
          <w:bdr w:val="nil"/>
        </w:rPr>
        <w:t>Σχέδια εφαρμογής και ρυθμίσεις παρακολούθησης, αξιολόγησης και υποβολής εκθέσεων</w:t>
      </w:r>
      <w:bookmarkEnd w:id="30"/>
      <w:bookmarkEnd w:id="31"/>
    </w:p>
    <w:p w14:paraId="020A2930" w14:textId="5711842C" w:rsidR="000835D7" w:rsidRPr="001E4272" w:rsidRDefault="000835D7" w:rsidP="00715ADE">
      <w:pPr>
        <w:pBdr>
          <w:top w:val="nil"/>
          <w:left w:val="nil"/>
          <w:bottom w:val="nil"/>
          <w:right w:val="nil"/>
          <w:between w:val="nil"/>
          <w:bar w:val="nil"/>
        </w:pBdr>
        <w:spacing w:before="0" w:after="240"/>
        <w:rPr>
          <w:noProof/>
        </w:rPr>
      </w:pPr>
      <w:r w:rsidRPr="001E4272">
        <w:rPr>
          <w:noProof/>
        </w:rPr>
        <w:t>Το χρονοδιάγραμμα για την υλοποίηση ενός νέου συστήματος διαχείρισης υποθέσεων της Eurojust, ασφαλών διαύλων επικοινωνίας και ενός εργαλείου επικοινωνίας για την ανταλλαγή δεδομένων με διαρθρωμένο τρόπο βασίζονται στην ανάλυση της μελέτης για την ψηφιακή ποινική δικαιοσύνη</w:t>
      </w:r>
      <w:r w:rsidRPr="001E4272">
        <w:rPr>
          <w:rStyle w:val="FootnoteReference"/>
          <w:rFonts w:eastAsia="Arial Unicode MS"/>
          <w:noProof/>
        </w:rPr>
        <w:footnoteReference w:id="31"/>
      </w:r>
      <w:r w:rsidRPr="001E4272">
        <w:rPr>
          <w:noProof/>
        </w:rPr>
        <w:t xml:space="preserve">. Για το αντιτρομοκρατικό μητρώο, έπειτα από ένα προπαρασκευαστικό στάδιο διάρκειας έξι μηνών, θα χρειαστούν περίπου 20 μήνες για τη φάση της προμήθειας και της υλοποίησης. Ως εκ τούτου, η νέα τεχνική λύση αναμένεται να τεθεί σε λειτουργία σε δύο περίπου έτη μετά την έγκριση της πρότασης. Για τη δημιουργία των ασφαλών διαύλων επικοινωνίας, απαιτείται εκτελεστική πράξη. </w:t>
      </w:r>
    </w:p>
    <w:p w14:paraId="5ADABFA6" w14:textId="656C3A3E" w:rsidR="000835D7" w:rsidRPr="001E4272" w:rsidRDefault="000835D7" w:rsidP="00715ADE">
      <w:pPr>
        <w:pBdr>
          <w:top w:val="nil"/>
          <w:left w:val="nil"/>
          <w:bottom w:val="nil"/>
          <w:right w:val="nil"/>
          <w:between w:val="nil"/>
          <w:bar w:val="nil"/>
        </w:pBdr>
        <w:spacing w:before="0" w:after="240"/>
        <w:rPr>
          <w:noProof/>
        </w:rPr>
      </w:pPr>
      <w:r w:rsidRPr="001E4272">
        <w:rPr>
          <w:noProof/>
        </w:rPr>
        <w:t>Η παρακολούθηση και η αξιολόγηση της ψηφιοποίησης της επεξεργασίας δεδομένων από την Eurojust θα είναι σημαντικές για τη διασφάλιση της αποτελεσματικότητάς της και της συμμόρφωσής της με τα θεμελιώδη δικαιώματα. Η παρακολούθηση και αξιολόγηση θα πραγματοποιούνται σε μεγάλο βαθμό σύμφωνα με τον ισχύοντα κανονισμό για την Eurojust. Η Επιτροπή θα διενεργήσει ανεξάρτητη αξιολόγηση της εφαρμογής του κανονισμού για την Eurojust και των δραστηριοτήτων της Eurojust έως τις 13 Δεκεμβρίου 2024. Αξιολόγηση θα διενεργείται ανά πενταετία, ώστε να αξιολογούνται η εφαρμογή και ο αντίκτυπος του κανονισμού, καθώς και η αποτελεσματικότητα και η αποδοτικότητα της Eurojust, σύμφωνα με το άρθρο 69 παράγραφος 1 του κανονισμού για την Eurojust.</w:t>
      </w:r>
    </w:p>
    <w:p w14:paraId="14F71967" w14:textId="77777777" w:rsidR="00EB0A3C" w:rsidRPr="001E4272" w:rsidRDefault="00EB0A3C" w:rsidP="00715ADE">
      <w:pPr>
        <w:pStyle w:val="ManualHeading2"/>
        <w:rPr>
          <w:rFonts w:eastAsia="Arial Unicode MS"/>
          <w:noProof/>
          <w:color w:val="000000" w:themeColor="text1"/>
          <w:bdr w:val="nil"/>
        </w:rPr>
      </w:pPr>
      <w:bookmarkStart w:id="32" w:name="_Toc84517399"/>
      <w:bookmarkStart w:id="33" w:name="_Toc84517571"/>
      <w:r w:rsidRPr="001E4272">
        <w:rPr>
          <w:noProof/>
          <w:color w:val="000000" w:themeColor="text1"/>
          <w:bdr w:val="nil"/>
        </w:rPr>
        <w:t>•</w:t>
      </w:r>
      <w:r w:rsidRPr="001E4272">
        <w:rPr>
          <w:noProof/>
        </w:rPr>
        <w:tab/>
      </w:r>
      <w:r w:rsidRPr="001E4272">
        <w:rPr>
          <w:noProof/>
          <w:color w:val="000000" w:themeColor="text1"/>
          <w:bdr w:val="nil"/>
        </w:rPr>
        <w:t>Αναλυτική επεξήγηση των επιμέρους διατάξεων της πρότασης</w:t>
      </w:r>
      <w:bookmarkEnd w:id="32"/>
      <w:bookmarkEnd w:id="33"/>
    </w:p>
    <w:p w14:paraId="66964395" w14:textId="569E150C" w:rsidR="00C73165" w:rsidRPr="001E4272" w:rsidRDefault="00584C80" w:rsidP="00195FE5">
      <w:pPr>
        <w:pBdr>
          <w:top w:val="nil"/>
          <w:left w:val="nil"/>
          <w:bottom w:val="nil"/>
          <w:right w:val="nil"/>
          <w:between w:val="nil"/>
          <w:bar w:val="nil"/>
        </w:pBdr>
        <w:spacing w:before="0" w:after="240"/>
        <w:rPr>
          <w:noProof/>
        </w:rPr>
      </w:pPr>
      <w:r w:rsidRPr="001E4272">
        <w:rPr>
          <w:noProof/>
        </w:rPr>
        <w:t xml:space="preserve">Η πρόταση ορίζει ότι ο κανονισμός </w:t>
      </w:r>
      <w:r w:rsidRPr="001E4272">
        <w:rPr>
          <w:noProof/>
          <w:color w:val="000000" w:themeColor="text1"/>
        </w:rPr>
        <w:t>για την Eurojust και η απόφαση 2005/671/ΔΕΥ του Συμβουλίου θα πρέπει να τροποποιηθούν, ώστε να αποσαφηνιστεί και να ενισχυθεί η νομική υποχρέωση των κρατών μελών να ανταλλάσσουν με την Eurojust δεδομένα σχετικά με τρομοκρατικά εγκλήματα. Θα πρέπει επίσης να αποσαφηνιστούν οι προϋποθέσεις υπό τις οποίες οι εισαγγελείς-σύνδεσμοι από τρίτες χώρες που είναι αποσπασμένοι στην Eurojust μπορούν να αποκτούν πρόσβαση στο σύστημα διαχείρισης υποθέσεων σύμφωνα με τους ισχύοντες κανόνες για την προστασία των δεδομένων. Θα πρέπει επίσης να δημιουργηθούν ασφαλείς δίαυλοι επικοινωνίας και ένα πιο ευέλικτο περιβάλλον επεξεργασίας δεδομένων.</w:t>
      </w:r>
    </w:p>
    <w:p w14:paraId="2DAB89B1" w14:textId="77777777" w:rsidR="00195FE5" w:rsidRPr="001E4272" w:rsidRDefault="00584C80" w:rsidP="00195FE5">
      <w:pPr>
        <w:pBdr>
          <w:top w:val="nil"/>
          <w:left w:val="nil"/>
          <w:bottom w:val="nil"/>
          <w:right w:val="nil"/>
          <w:between w:val="nil"/>
          <w:bar w:val="nil"/>
        </w:pBdr>
        <w:spacing w:before="0" w:after="240"/>
        <w:rPr>
          <w:noProof/>
        </w:rPr>
      </w:pPr>
      <w:r w:rsidRPr="001E4272">
        <w:rPr>
          <w:noProof/>
        </w:rPr>
        <w:t>Το άρθρο 1 του κανονισμού τροποποιεί τον κανονισμό για την Eurojust:</w:t>
      </w:r>
    </w:p>
    <w:p w14:paraId="28CE079F" w14:textId="58748B72" w:rsidR="00AD6074" w:rsidRPr="001E4272" w:rsidRDefault="00C32262" w:rsidP="00AD6074">
      <w:pPr>
        <w:rPr>
          <w:noProof/>
        </w:rPr>
      </w:pPr>
      <w:r w:rsidRPr="001E4272">
        <w:rPr>
          <w:noProof/>
          <w:color w:val="000000" w:themeColor="text1"/>
        </w:rPr>
        <w:t>Προκειμένου να διασφαλιστεί ότι η Eurojust είναι σε θέση να επιτελεί τον ρόλο της στη συνεργασία με τρίτες χώρες, το άρθρο 1 σημείο 1) της πρότασης διευκρινίζει στο άρθρο 3 παράγραφος 5 του κανονισμού για την Eurojust ότι η Eurojust μπορεί επίσης να παρέχει την υποστήριξή της σε υποθέσεις μεταξύ κράτους μέλους και τρίτης χώρας ή κράτους μέλους και διεθνούς οργανισμού. Η τελευταία περίπτωση θα έχει ιδιαίτερη σημασία για τη δυνητική συνεργασία με την Ιντερπόλ ή το Διεθνές Ποινικό Δικαστήριο, π.χ. όσον αφορά τα αποδεικτικά στοιχεία από πεδία μάχης.</w:t>
      </w:r>
    </w:p>
    <w:p w14:paraId="03071AB5" w14:textId="61B9E307" w:rsidR="00AD6074" w:rsidRPr="001E4272" w:rsidRDefault="00AD6074" w:rsidP="00AD6074">
      <w:pPr>
        <w:rPr>
          <w:noProof/>
        </w:rPr>
      </w:pPr>
      <w:r w:rsidRPr="001E4272">
        <w:rPr>
          <w:noProof/>
        </w:rPr>
        <w:t xml:space="preserve">Το άρθρο 1 σημείο 2) της πρότασης, με την προσθήκη νέας παραγράφου 2α στο άρθρο 20 του κανονισμού για την Eurojust, εισάγει στον κανονισμό για την Eurojust υποχρέωση των κρατών μελών να ορίσουν έναν ή περισσότερους εθνικούς ανταποκριτές για την τρομοκρατία και να τους παράσχουν επαρκείς εξουσίες, υποχρέωση που προηγουμένως βασιζόταν στο άρθρο 2 παράγραφος 2 της απόφασης 2005/671/ΔΕΥ του Συμβουλίου. Το άρθρο 1 σημείο 3) αποτελεί επακόλουθη τροποποίηση, σε συνέχεια της συμπερίληψης της υποχρέωσης παροχής πληροφοριών για υποθέσεις τρομοκρατίας στον κανονισμό για την Eurojust και της πρόβλεψης γενικότερης υποχρέωσης παροχής δεδομένων με διαρθρωμένο τρόπο στην Eurojust σε νέο άρθρο 22α. </w:t>
      </w:r>
    </w:p>
    <w:p w14:paraId="42985138" w14:textId="28814CC0" w:rsidR="00FC00B8" w:rsidRPr="001E4272" w:rsidRDefault="00230731" w:rsidP="00FC00B8">
      <w:pPr>
        <w:rPr>
          <w:rFonts w:eastAsia="Arial Unicode MS"/>
          <w:noProof/>
          <w:color w:val="000000" w:themeColor="text1"/>
        </w:rPr>
      </w:pPr>
      <w:r w:rsidRPr="001E4272">
        <w:rPr>
          <w:noProof/>
        </w:rPr>
        <w:t xml:space="preserve">Το άρθρο 1 σημείο 4) της πρότασης εισάγει νέο άρθρο 21α στον κανονισμό για την Eurojust. Το άρθρο 21α αποσαφηνίζει και ενισχύει την υποχρέωση παροχής πληροφοριών σχετικά με διαδικασίες που αφορούν υποθέσεις τρομοκρατίας, η οποία προηγουμένως βασιζόταν στο άρθρο 2 παράγραφος 3 σε συνδυασμό με το άρθρο 2 παράγραφος 5 της απόφασης 2005/671/ΔΕΥ του Συμβουλίου. Το άρθρο 21α καθορίζει με μεγαλύτερη ακρίβεια </w:t>
      </w:r>
      <w:r w:rsidRPr="001E4272">
        <w:rPr>
          <w:noProof/>
          <w:color w:val="000000" w:themeColor="text1"/>
        </w:rPr>
        <w:t>τις περιπτώσεις στις οποίες τα κράτη μέλη υποχρεούνται να παρέχουν πληροφορίες σχετικά με ποινικές έρευνες και δικαστικές διαδικασίες για τρομοκρατικά εγκλήματα. Επιπλέον, προσδιορίζει με μεγαλύτερη σαφήνεια το στάδιο των ποινικών ερευνών και των εθνικών διαδικασιών και το είδος των πληροφοριών.</w:t>
      </w:r>
    </w:p>
    <w:p w14:paraId="6870A56A" w14:textId="7DEA05C7" w:rsidR="00E601C0" w:rsidRPr="001E4272" w:rsidRDefault="00FC00B8" w:rsidP="00AA7ACB">
      <w:pPr>
        <w:spacing w:before="0" w:after="0"/>
        <w:rPr>
          <w:noProof/>
          <w:u w:val="single"/>
        </w:rPr>
      </w:pPr>
      <w:r w:rsidRPr="001E4272">
        <w:rPr>
          <w:noProof/>
        </w:rPr>
        <w:t>Το άρθρο 1 σημείο 5) της πρότασης προβλέπει, σε νέο άρθρο 22α, τη δημιουργία και τη χρήση ασφαλών διαύλων επικοινωνίας μεταξύ όλων των κρατών μελών και της Eurojust κατά την ανταλλαγή ευαίσθητων δεδομένων. Το άρθρο 22α υποχρεώνει επίσης τα κράτη μέλη να μεριμνούν για την ημιαυτόματη επικαιροποίηση δομημένων δεδομένων από εθνικές βάσεις δεδομένων. Ημιαυτόματος είναι ο τρόπος διαβίβασης που είναι εν μέρει αυτοματοποιημένος και εν μέρει ελεγχόμενος από τον άνθρωπο. Το άρθρο 22α και το άρθρο 22γ καθορίζουν πλαίσιο για την έκδοση από την Επιτροπή εκτελεστικών πράξεων.</w:t>
      </w:r>
    </w:p>
    <w:p w14:paraId="4486BCB5" w14:textId="2C0782F9" w:rsidR="00C73165" w:rsidRPr="001E4272" w:rsidRDefault="00C22F77" w:rsidP="00E601C0">
      <w:pPr>
        <w:rPr>
          <w:noProof/>
        </w:rPr>
      </w:pPr>
      <w:r w:rsidRPr="001E4272">
        <w:rPr>
          <w:noProof/>
        </w:rPr>
        <w:t xml:space="preserve">Οι τροποποιήσεις του άρθρου 23 του κανονισμού για την Eurojust, οι οποίες περιέχονται στο άρθρο 1 σημείο 6) της πρότασης, έχουν ως στόχο να καταστήσουν κάπως πιο ευέλικτους τους κανόνες του κανονισμού για την Eurojust για την επεξεργασία δεδομένων. Αν και οι βασικές αρχές παραμένουν αμετάβλητες, θα είναι πλέον δυνατή η αποθήκευση των πληροφοριών που παρέχονται βάσει του άρθρου 21 σχετικά με σοβαρά εγκλήματα και βάσει του άρθρου 21α σχετικά με διαδικασίες σε υποθέσεις τρομοκρατίας σε διαφορετική δομή και για μεγαλύτερο χρονικό διάστημα απ’ ό,τι στα σημερινά προσωρινά αρχεία εργασίας. Η πρόταση διαγράφει τις τεχνικές λεπτομέρειες σχετικά με το σύστημα διαχείρισης υποθέσεων, ώστε να καταστεί δυνατός ο εκσυγχρονισμός του συστήματος. Ωστόσο, η αρχή της προσωρινής αποθήκευσης θα διατηρηθεί και για τα εν λόγω δεδομένα, αν και οι περίοδοι διατήρησης είναι ελαφρώς μεγαλύτερες για τις πληροφορίες του άρθρου 21α. Το αναθεωρημένο άρθρο 23 καθορίζει σαφέστερα τους σκοπούς του συστήματος διαχείρισης υποθέσεων. </w:t>
      </w:r>
    </w:p>
    <w:p w14:paraId="0002467F" w14:textId="22E55453" w:rsidR="00566FAA" w:rsidRPr="001E4272" w:rsidRDefault="00F53CC5" w:rsidP="00E601C0">
      <w:pPr>
        <w:rPr>
          <w:noProof/>
        </w:rPr>
      </w:pPr>
      <w:r w:rsidRPr="001E4272">
        <w:rPr>
          <w:noProof/>
        </w:rPr>
        <w:t xml:space="preserve">Το άρθρο 1 σημείο 6) τροποποιεί επίσης το άρθρο 24 του κανονισμού για την Eurojust, διατηρώντας την ισχύουσα αρχή της διαχείρισης των πληροφοριών στο σύστημα διαχείρισης υποθέσεων. Το άρθρο 24 παράγραφος 1 υπογραμμίζει τον έλεγχο και την ευθύνη των εθνικών μελών όσον αφορά τα δεδομένα στο σύστημα διαχείρισης υποθέσεων. Σύμφωνα με το άρθρο 24 παράγραφος 2, τα εθνικά μέλη εξακολουθούν να αποφασίζουν σχετικά με τα δικαιώματα πρόσβασης στις πληροφορίες που διαχειρίζονται. Το άρθρο 24 παράγραφος 3 εισάγει νομική βάση ώστε να δίνεται πιο αυτοματοποιημένη συνέχεια στις διασυνδέσεις, στην περίπτωση που οι εθνικές αρχές επιτρέπουν την ανταλλαγή δεδομένων με ορισμένα μέρη πριν από τον εντοπισμό δεσμού. </w:t>
      </w:r>
    </w:p>
    <w:p w14:paraId="72572856" w14:textId="0FCDBA30" w:rsidR="00566FAA" w:rsidRPr="001E4272" w:rsidRDefault="007D2CDA" w:rsidP="00E601C0">
      <w:pPr>
        <w:rPr>
          <w:noProof/>
        </w:rPr>
      </w:pPr>
      <w:r w:rsidRPr="001E4272">
        <w:rPr>
          <w:noProof/>
        </w:rPr>
        <w:t xml:space="preserve">Τέλος, το άρθρο 1 σημείο 6) επιφέρει επακόλουθες τροποποιήσεις στο άρθρο 25 του κανονισμού για την Eurojust, οι οποίες απορρέουν από την απαλοιφή των τεχνικών λεπτομερειών από το άρθρο 23 του κανονισμού για την Eurojust. </w:t>
      </w:r>
    </w:p>
    <w:p w14:paraId="14B35FE9" w14:textId="1503D3F7" w:rsidR="008D5DAB" w:rsidRPr="001E4272" w:rsidRDefault="009A024F" w:rsidP="00E601C0">
      <w:pPr>
        <w:rPr>
          <w:noProof/>
        </w:rPr>
      </w:pPr>
      <w:r w:rsidRPr="001E4272">
        <w:rPr>
          <w:noProof/>
        </w:rPr>
        <w:t>Το άρθρο 1 σημείο 7) τροποποιεί το άρθρο 27 του κανονισμού για την Eurojust, ώστε να καταστεί δυνατή η συνέχιση του χειρισμού δεδομένων σε υποθέσεις τρομοκρατίας σε περιπτώσεις στις οποίες οι υποθέσεις περατώθηκαν βάσει του εθνικού δικαίου. Για να καταστεί δυνατός ο αποτελεσματικός εντοπισμός δεσμών μεταξύ ερευνών και διώξεων, μπορεί επίσης να συνεχίζεται για ορισμένο χρονικό διάστημα η επεξεργασία δεδομένων σχετικά με προηγούμενες έρευνες, συμπεριλαμβανομένων εκείνων που περατώθηκαν με αθώωση ή ολοκληρώθηκαν με άλλο τρόπο.</w:t>
      </w:r>
    </w:p>
    <w:p w14:paraId="407327DD" w14:textId="05B8B20F" w:rsidR="008D5DAB" w:rsidRPr="001E4272" w:rsidRDefault="008D5DAB" w:rsidP="008D5DAB">
      <w:pPr>
        <w:rPr>
          <w:noProof/>
        </w:rPr>
      </w:pPr>
      <w:r w:rsidRPr="001E4272">
        <w:rPr>
          <w:noProof/>
        </w:rPr>
        <w:t xml:space="preserve">Το άρθρο 1 σημείο 8) εισάγει νέες, μεγαλύτερες περιόδους διατήρησης για τα δεδομένα που παρέχονται βάσει του άρθρου 21α του κανονισμού για την Eurojust, προκειμένου να διασφαλιστεί ότι τα δεδομένα αποθηκεύονται για χρονικό διάστημα επαρκώς μεγάλο ώστε να καθίσταται δυνατός ο αποτελεσματικότερος εντοπισμός διασυνδέσεων σε υποθέσεις τρομοκρατίας. Τα δεδομένα που αφορούν υποθέσεις που δεν κατέληξαν σε καταδίκη διατηρούνται για συντομότερη περίοδο, ώστε να τηρείται η αρχή της αναλογικότητας. </w:t>
      </w:r>
    </w:p>
    <w:p w14:paraId="1CCD284C" w14:textId="59DBA5D0" w:rsidR="00584C80" w:rsidRPr="001E4272" w:rsidRDefault="003737F8" w:rsidP="008D5DAB">
      <w:pPr>
        <w:rPr>
          <w:noProof/>
        </w:rPr>
      </w:pPr>
      <w:r w:rsidRPr="001E4272">
        <w:rPr>
          <w:noProof/>
        </w:rPr>
        <w:t>Για να αποσαφηνιστεί η συνεργασία με τους εισαγγελείς-συνδέσμους από τρίτες χώρες που έχουν αποσπαστεί στην Eurojust, το άρθρο 1 σημείο 9) της πρότασης προβλέπει ένα νέο άρθρο 54α του κανονισμού για την Eurojust, το οποίο χορηγεί στους εισαγγελείς-συνδέσμους πρόσβαση στο σύστημα διαχείρισης υποθέσεων. Ωστόσο, η διάταξη δεν θεσπίζει νομική βάση για την ανταλλαγή δεδομένων. Η διαβίβαση δεδομένων σε εισαγγελέα-σύνδεσμο συνιστά διαβίβαση δεδομένων προς τρίτη χώρα και, ως εκ τούτου, πρέπει πάντα να πραγματοποιείται σύμφωνα με το άρθρο 56 του κανονισμού για την Eurojust.</w:t>
      </w:r>
    </w:p>
    <w:p w14:paraId="5A7500BE" w14:textId="7EE1EB10" w:rsidR="008E4B0E" w:rsidRPr="001E4272" w:rsidRDefault="008E4B0E" w:rsidP="008D5DAB">
      <w:pPr>
        <w:rPr>
          <w:noProof/>
        </w:rPr>
      </w:pPr>
      <w:r w:rsidRPr="001E4272">
        <w:rPr>
          <w:noProof/>
        </w:rPr>
        <w:t>Το άρθρο 1 σημείο 10) τροποποιεί το άρθρο 80 του κανονισμού για την Eurojust. Περιέχει μεταβατικές διατάξεις, λαμβανομένου υπόψη του γεγονότος ότι θα χρειαστεί κάποιο χρονικό διάστημα έως ότου δημιουργηθεί η αναγκαία τεχνική υποδομή.</w:t>
      </w:r>
    </w:p>
    <w:p w14:paraId="058FAB61" w14:textId="111377E2" w:rsidR="00584C80" w:rsidRPr="001E4272" w:rsidRDefault="00DD1087" w:rsidP="160710AA">
      <w:pPr>
        <w:rPr>
          <w:noProof/>
        </w:rPr>
      </w:pPr>
      <w:r w:rsidRPr="001E4272">
        <w:rPr>
          <w:noProof/>
        </w:rPr>
        <w:t>Το άρθρο 1 σημείο 11) εισάγει ένα νέο παράρτημα ΙΙΙ, στο οποίο καθορίζονται οι πληροφορίες που πρέπει να διαβιβάζονται στη Eurojust βάσει του άρθρου 21α του κανονισμού για την Eurojust. Ο κατάλογος περιλαμβάνει τα βιομετρικά δεδομένα, τα δακτυλικά αποτυπώματα και τις φωτογραφίες, ώστε να εξασφαλίζεται η αξιόπιστη ταυτοποίηση των υπόπτων, λαμβανομένης υπόψη της αναξιοπιστίας των αλφαριθμητικών πληροφοριών, ιδίως όσον αφορά τους υπηκόους τρίτων χωρών. Στις διαδικασίες που αφορούν υποθέσεις τρομοκρατίας, οι φωτογραφίες είναι συχνά το μόνο σημείο σύνδεσης με τους υπόπτους κατά το στάδιο της έρευνας και, ως εκ τούτου, θα πρέπει να συμπεριλαμβάνονται. Οι πληροφορίες αυτές θα πρέπει να παρέχονται μόνο αν οι εθνικές δικαστικές αρχές έχουν πρόσβαση σε αυτές.</w:t>
      </w:r>
    </w:p>
    <w:p w14:paraId="4F4EA302" w14:textId="1A620C20" w:rsidR="00200E65" w:rsidRPr="001E4272" w:rsidRDefault="00200E65" w:rsidP="00585048">
      <w:pPr>
        <w:rPr>
          <w:noProof/>
        </w:rPr>
      </w:pPr>
    </w:p>
    <w:p w14:paraId="73AE4B74" w14:textId="77777777" w:rsidR="00C73165" w:rsidRPr="001E4272" w:rsidRDefault="00584C80" w:rsidP="00C73165">
      <w:pPr>
        <w:pBdr>
          <w:top w:val="nil"/>
          <w:left w:val="nil"/>
          <w:bottom w:val="nil"/>
          <w:right w:val="nil"/>
          <w:between w:val="nil"/>
          <w:bar w:val="nil"/>
        </w:pBdr>
        <w:spacing w:before="0" w:after="240"/>
        <w:rPr>
          <w:noProof/>
        </w:rPr>
      </w:pPr>
      <w:r w:rsidRPr="001E4272">
        <w:rPr>
          <w:noProof/>
        </w:rPr>
        <w:t>Το άρθρο 2 τροποποιεί την απόφαση 2005/671/ΔΕΥ του Συμβουλίου στα ακόλουθα σημεία:</w:t>
      </w:r>
    </w:p>
    <w:p w14:paraId="00918938" w14:textId="6D0CB5DD" w:rsidR="00D96747" w:rsidRPr="001E4272" w:rsidRDefault="00E134B7" w:rsidP="00D96747">
      <w:pPr>
        <w:rPr>
          <w:noProof/>
          <w:color w:val="000000" w:themeColor="text1"/>
        </w:rPr>
      </w:pPr>
      <w:r w:rsidRPr="001E4272">
        <w:rPr>
          <w:noProof/>
        </w:rPr>
        <w:t>Για να αποσαφηνιστεί η σχέση μεταξύ της απόφασης 2005/671/ΔΕΥ του Συμβουλίου και του κανονισμού για την Eurojust, διαγράφονται οι αναφορές της απόφασης του Συμβουλίου στην Eurojust. Με το άρθρο 2 σημείο 1) και το άρθρο 2 σημείο 2) στοιχεία α) και γ) του προτεινόμενου κανονισμού απαλείφονται το άρθρο 1 στοιχείο γ) και το άρθρο 2 παράγραφοι 2 και 5 από την απόφαση. Με το άρθρο 2 σημείο 2) στοιχείο β), η πρόταση απαλείφει από το άρθρο 2 παράγραφος 3 της απόφασης την αναφορά στην Eurojust.</w:t>
      </w:r>
      <w:r w:rsidRPr="001E4272">
        <w:rPr>
          <w:noProof/>
          <w:color w:val="000000" w:themeColor="text1"/>
        </w:rPr>
        <w:t xml:space="preserve"> </w:t>
      </w:r>
    </w:p>
    <w:p w14:paraId="70C3E11C" w14:textId="77777777" w:rsidR="00D96747" w:rsidRPr="001E4272" w:rsidRDefault="00D96747" w:rsidP="00D96747">
      <w:pPr>
        <w:rPr>
          <w:noProof/>
        </w:rPr>
      </w:pPr>
    </w:p>
    <w:p w14:paraId="259FE02A" w14:textId="77777777" w:rsidR="00EB0A3C" w:rsidRPr="001E4272" w:rsidRDefault="00EB0A3C" w:rsidP="00715ADE">
      <w:pPr>
        <w:rPr>
          <w:noProof/>
        </w:rPr>
        <w:sectPr w:rsidR="00EB0A3C" w:rsidRPr="001E4272" w:rsidSect="00C51A3C">
          <w:footerReference w:type="default" r:id="rId13"/>
          <w:footerReference w:type="first" r:id="rId14"/>
          <w:pgSz w:w="11907" w:h="16839"/>
          <w:pgMar w:top="1134" w:right="1417" w:bottom="1134" w:left="1417" w:header="709" w:footer="709" w:gutter="0"/>
          <w:cols w:space="708"/>
          <w:docGrid w:linePitch="360"/>
        </w:sectPr>
      </w:pPr>
    </w:p>
    <w:p w14:paraId="5FBAF423" w14:textId="25D29F31" w:rsidR="005E020D" w:rsidRPr="001E4272" w:rsidRDefault="00B44E30" w:rsidP="00B44E30">
      <w:pPr>
        <w:pStyle w:val="Rfrenceinterinstitutionnelle"/>
        <w:rPr>
          <w:noProof/>
        </w:rPr>
      </w:pPr>
      <w:r w:rsidRPr="00B44E30">
        <w:t>2021/0393 (COD)</w:t>
      </w:r>
    </w:p>
    <w:p w14:paraId="016781CE" w14:textId="62818663" w:rsidR="00EB0A3C" w:rsidRPr="001E4272" w:rsidRDefault="001E4272" w:rsidP="001E4272">
      <w:pPr>
        <w:pStyle w:val="Statut"/>
        <w:rPr>
          <w:noProof/>
        </w:rPr>
      </w:pPr>
      <w:r w:rsidRPr="001E4272">
        <w:rPr>
          <w:noProof/>
        </w:rPr>
        <w:t>Πρόταση</w:t>
      </w:r>
    </w:p>
    <w:p w14:paraId="7AEB6771" w14:textId="4B00F2A4" w:rsidR="00EB0A3C" w:rsidRPr="001E4272" w:rsidRDefault="001E4272" w:rsidP="001E4272">
      <w:pPr>
        <w:pStyle w:val="Typedudocument"/>
        <w:rPr>
          <w:noProof/>
        </w:rPr>
      </w:pPr>
      <w:r w:rsidRPr="001E4272">
        <w:rPr>
          <w:noProof/>
        </w:rPr>
        <w:t>ΚΑΝΟΝΙΣΜΟΣ ΤΟΥ ΕΥΡΩΠΑΪΚΟΥ ΚΟΙΝΟΒΟΥΛΙΟΥ ΚΑΙ ΤΟΥ ΣΥΜΒΟΥΛΙΟΥ</w:t>
      </w:r>
    </w:p>
    <w:p w14:paraId="33EC4F51" w14:textId="4F94635F" w:rsidR="00EB0A3C" w:rsidRPr="001E4272" w:rsidRDefault="001E4272" w:rsidP="001E4272">
      <w:pPr>
        <w:pStyle w:val="Titreobjet"/>
        <w:rPr>
          <w:noProof/>
        </w:rPr>
      </w:pPr>
      <w:r w:rsidRPr="001E4272">
        <w:rPr>
          <w:noProof/>
        </w:rPr>
        <w:t>για την τροποποίηση του κανονισμού (ΕΕ) 2018/1727 του Ευρωπαϊκού Κοινοβουλίου και του Συμβουλίου και της απόφασης 2005/671/ΔΕΥ του Συμβουλίου όσον αφορά την ψηφιακή ανταλλαγή πληροφοριών σε υποθέσεις τρομοκρατίας</w:t>
      </w:r>
    </w:p>
    <w:p w14:paraId="0BAB9FC9" w14:textId="77777777" w:rsidR="00EB0A3C" w:rsidRPr="001E4272" w:rsidRDefault="00EB0A3C" w:rsidP="00715ADE">
      <w:pPr>
        <w:pStyle w:val="Institutionquiagit"/>
        <w:rPr>
          <w:noProof/>
        </w:rPr>
      </w:pPr>
      <w:r w:rsidRPr="001E4272">
        <w:rPr>
          <w:noProof/>
        </w:rPr>
        <w:t>ΤΟ ΕΥΡΩΠΑΪΚΟ ΚΟΙΝΟΒΟΥΛΙΟ ΚΑΙ ΤΟ ΣΥΜΒΟΥΛΙΟ ΤΗΣ ΕΥΡΩΠΑΪΚΗΣ ΕΝΩΣΗΣ,</w:t>
      </w:r>
    </w:p>
    <w:p w14:paraId="521D8ED3" w14:textId="6F38E102" w:rsidR="00EB0A3C" w:rsidRPr="001E4272" w:rsidRDefault="00EB0A3C" w:rsidP="00715ADE">
      <w:pPr>
        <w:rPr>
          <w:noProof/>
        </w:rPr>
      </w:pPr>
      <w:r w:rsidRPr="001E4272">
        <w:rPr>
          <w:noProof/>
        </w:rPr>
        <w:t>Έχοντας υπόψη τη Συνθήκη για τη λειτουργία της Ευρωπαϊκής Ένωσης, και ιδίως το άρθρο 85,</w:t>
      </w:r>
    </w:p>
    <w:p w14:paraId="52FD2651" w14:textId="77777777" w:rsidR="00EB0A3C" w:rsidRPr="001E4272" w:rsidRDefault="00EB0A3C" w:rsidP="00715ADE">
      <w:pPr>
        <w:rPr>
          <w:noProof/>
        </w:rPr>
      </w:pPr>
      <w:r w:rsidRPr="001E4272">
        <w:rPr>
          <w:noProof/>
        </w:rPr>
        <w:t>Έχοντας υπόψη την πρόταση της Ευρωπαϊκής Επιτροπής,</w:t>
      </w:r>
    </w:p>
    <w:p w14:paraId="54B3E052" w14:textId="77777777" w:rsidR="00EB0A3C" w:rsidRPr="001E4272" w:rsidRDefault="00EB0A3C" w:rsidP="00715ADE">
      <w:pPr>
        <w:rPr>
          <w:noProof/>
        </w:rPr>
      </w:pPr>
      <w:r w:rsidRPr="001E4272">
        <w:rPr>
          <w:noProof/>
        </w:rPr>
        <w:t>Κατόπιν διαβίβασης του σχεδίου νομοθετικής πράξης στα εθνικά κοινοβούλια,</w:t>
      </w:r>
    </w:p>
    <w:p w14:paraId="1B16948B" w14:textId="7E207F0C" w:rsidR="00EB0A3C" w:rsidRPr="001E4272" w:rsidRDefault="00EB0A3C" w:rsidP="00715ADE">
      <w:pPr>
        <w:rPr>
          <w:noProof/>
        </w:rPr>
      </w:pPr>
      <w:r w:rsidRPr="001E4272">
        <w:rPr>
          <w:noProof/>
        </w:rPr>
        <w:t>Αποφασίζοντας σύμφωνα με τη συνήθη νομοθετική διαδικασία</w:t>
      </w:r>
      <w:r w:rsidRPr="001E4272">
        <w:rPr>
          <w:rStyle w:val="FootnoteReference"/>
          <w:noProof/>
        </w:rPr>
        <w:footnoteReference w:id="32"/>
      </w:r>
      <w:r w:rsidRPr="001E4272">
        <w:rPr>
          <w:noProof/>
        </w:rPr>
        <w:t>,</w:t>
      </w:r>
    </w:p>
    <w:p w14:paraId="4C4D5CE8" w14:textId="77777777" w:rsidR="00EB0A3C" w:rsidRPr="001E4272" w:rsidRDefault="00EB0A3C" w:rsidP="00715ADE">
      <w:pPr>
        <w:rPr>
          <w:noProof/>
        </w:rPr>
      </w:pPr>
      <w:r w:rsidRPr="001E4272">
        <w:rPr>
          <w:noProof/>
        </w:rPr>
        <w:t>Εκτιμώντας τα ακόλουθα:</w:t>
      </w:r>
    </w:p>
    <w:p w14:paraId="4EF203E7" w14:textId="26FC671A" w:rsidR="00F84649" w:rsidRPr="001E4272" w:rsidRDefault="00F27BFA" w:rsidP="00F27BFA">
      <w:pPr>
        <w:pStyle w:val="ManualConsidrant"/>
        <w:rPr>
          <w:noProof/>
        </w:rPr>
      </w:pPr>
      <w:r w:rsidRPr="00F27BFA">
        <w:t>(1)</w:t>
      </w:r>
      <w:r w:rsidRPr="00F27BFA">
        <w:tab/>
      </w:r>
      <w:r w:rsidR="00F84649" w:rsidRPr="001E4272">
        <w:rPr>
          <w:noProof/>
        </w:rPr>
        <w:t>Ο κανονισμός (ΕΕ) 2018/1727 του Ευρωπαϊκού Κοινοβουλίου και του Συμβουλίου</w:t>
      </w:r>
      <w:r w:rsidR="00F84649" w:rsidRPr="001E4272">
        <w:rPr>
          <w:rStyle w:val="FootnoteReference"/>
          <w:noProof/>
        </w:rPr>
        <w:footnoteReference w:id="33"/>
      </w:r>
      <w:r w:rsidR="00F84649" w:rsidRPr="001E4272">
        <w:rPr>
          <w:noProof/>
          <w:vertAlign w:val="superscript"/>
        </w:rPr>
        <w:t xml:space="preserve"> </w:t>
      </w:r>
      <w:r w:rsidR="00F84649" w:rsidRPr="001E4272">
        <w:rPr>
          <w:noProof/>
        </w:rPr>
        <w:t>ίδρυσε</w:t>
      </w:r>
      <w:r w:rsidR="00F84649" w:rsidRPr="001E4272">
        <w:rPr>
          <w:noProof/>
          <w:vertAlign w:val="superscript"/>
        </w:rPr>
        <w:t xml:space="preserve"> </w:t>
      </w:r>
      <w:r w:rsidR="00F84649" w:rsidRPr="001E4272">
        <w:rPr>
          <w:noProof/>
        </w:rPr>
        <w:t>την Eurojust και καθορίζει τα καθήκοντά της, το πεδίο αρμοδιότητας και τις λειτουργίες της.</w:t>
      </w:r>
    </w:p>
    <w:p w14:paraId="358C83AB" w14:textId="242127B1" w:rsidR="00F84649" w:rsidRPr="001E4272" w:rsidRDefault="00F27BFA" w:rsidP="00F27BFA">
      <w:pPr>
        <w:pStyle w:val="ManualConsidrant"/>
        <w:rPr>
          <w:noProof/>
        </w:rPr>
      </w:pPr>
      <w:r w:rsidRPr="00F27BFA">
        <w:t>(2)</w:t>
      </w:r>
      <w:r w:rsidRPr="00F27BFA">
        <w:tab/>
      </w:r>
      <w:r w:rsidR="00F84649" w:rsidRPr="001E4272">
        <w:rPr>
          <w:noProof/>
        </w:rPr>
        <w:t>Η απόφαση 2005/671/ΔΕΥ</w:t>
      </w:r>
      <w:r w:rsidR="00F84649" w:rsidRPr="001E4272">
        <w:rPr>
          <w:rStyle w:val="FootnoteReference"/>
          <w:noProof/>
        </w:rPr>
        <w:footnoteReference w:id="34"/>
      </w:r>
      <w:r w:rsidR="00F84649" w:rsidRPr="001E4272">
        <w:rPr>
          <w:noProof/>
        </w:rPr>
        <w:t xml:space="preserve"> του Συμβουλίου επισημαίνει ότι για την καταπολέμηση της τρομοκρατίας είναι απαραίτητο να υπάρχουν όσο το δυνατόν πληρέστερες και οι πλέον επίκαιρες πληροφορίες. Υποχρεώνει τις αρμόδιες εθνικές αρχές των κρατών μελών να παρέχουν στην Eurojust πληροφορίες σχετικά με τις διώξεις και τις καταδίκες για τρομοκρατικά εγκλήματα τα οποία έχουν ή ενδέχεται να έχουν επιπτώσεις σε δύο ή περισσότερα κράτη μέλη.</w:t>
      </w:r>
    </w:p>
    <w:p w14:paraId="6AA40D49" w14:textId="394B985E" w:rsidR="00F84649" w:rsidRPr="001E4272" w:rsidRDefault="00F27BFA" w:rsidP="00F27BFA">
      <w:pPr>
        <w:pStyle w:val="ManualConsidrant"/>
        <w:rPr>
          <w:noProof/>
        </w:rPr>
      </w:pPr>
      <w:r w:rsidRPr="00F27BFA">
        <w:t>(3)</w:t>
      </w:r>
      <w:r w:rsidRPr="00F27BFA">
        <w:tab/>
      </w:r>
      <w:r w:rsidR="00F84649" w:rsidRPr="001E4272">
        <w:rPr>
          <w:noProof/>
        </w:rPr>
        <w:t>Ανακολουθίες στην ερμηνεία της απόφασης 2005/671/ΔΕΥ έχουν ως αποτέλεσμα η ανταλλαγή πληροφοριών να μην πραγματοποιείται την κατάλληλη στιγμή, να μην ανταλλάσσονται οι κατάλληλες πληροφορίες ή οι πληροφορίες να μην ανταλλάσσονται καθόλου. Η Eurojust πρέπει να λαμβάνει επαρκείς πληροφορίες για τον εντοπισμό δεσμών μεταξύ διασυνοριακών ερευνών.</w:t>
      </w:r>
    </w:p>
    <w:p w14:paraId="329EA561" w14:textId="4261B438" w:rsidR="00F84649" w:rsidRPr="001E4272" w:rsidRDefault="00F27BFA" w:rsidP="00F27BFA">
      <w:pPr>
        <w:pStyle w:val="ManualConsidrant"/>
        <w:rPr>
          <w:noProof/>
        </w:rPr>
      </w:pPr>
      <w:r w:rsidRPr="00F27BFA">
        <w:t>(4)</w:t>
      </w:r>
      <w:r w:rsidRPr="00F27BFA">
        <w:tab/>
      </w:r>
      <w:r w:rsidR="00F84649" w:rsidRPr="001E4272">
        <w:rPr>
          <w:noProof/>
        </w:rPr>
        <w:t xml:space="preserve">Η παροχή συνδρομής στις αρμόδιες αρχές των κρατών μελών για τη διασφάλιση του καλύτερου δυνατού συντονισμού των ερευνών και των διώξεων, συμπεριλαμβανομένου του εντοπισμού δεσμών, αποτελεί σημαντικό καθήκον της Eurojust σύμφωνα με τον κανονισμό (ΕΕ) 2018/1727. Επιτρέπει στην Eurojust να ακολουθεί πιο προδραστική προσέγγιση και να παρέχει καλύτερες υπηρεσίες στα κράτη μέλη, για παράδειγμα προτείνοντας την έναρξη ερευνών και εντοπίζοντας ανάγκες συντονισμού, πιθανές περιπτώσεις εφαρμογής της αρχής ne bis in idem και κενά στην άσκηση διώξεων. </w:t>
      </w:r>
    </w:p>
    <w:p w14:paraId="0B3B3762" w14:textId="4161074C" w:rsidR="00DB5074" w:rsidRPr="001E4272" w:rsidRDefault="00F27BFA" w:rsidP="00F27BFA">
      <w:pPr>
        <w:pStyle w:val="ManualConsidrant"/>
        <w:rPr>
          <w:noProof/>
        </w:rPr>
      </w:pPr>
      <w:r w:rsidRPr="00F27BFA">
        <w:t>(5)</w:t>
      </w:r>
      <w:r w:rsidRPr="00F27BFA">
        <w:tab/>
      </w:r>
      <w:r w:rsidR="002B14C9" w:rsidRPr="001E4272">
        <w:rPr>
          <w:noProof/>
        </w:rPr>
        <w:t>Τον Σεπτέμβριο του 2019 η Eurojust έθεσε σε λειτουργία το ευρωπαϊκό δικαστικό αντιτρομοκρατικό μητρώο βάσει της απόφασης 2005/671/ΔΕΥ, με ειδικό στόχο τον εντοπισμό πιθανών δεσμών μεταξύ δικαστικών διαδικασιών κατά υπόπτων για τρομοκρατικά εγκλήματα και πιθανών αναγκών συντονισμού που απορρέουν από αυτές.</w:t>
      </w:r>
    </w:p>
    <w:p w14:paraId="79C86677" w14:textId="7C180ABE" w:rsidR="00DB5074" w:rsidRPr="001E4272" w:rsidRDefault="00F27BFA" w:rsidP="00F27BFA">
      <w:pPr>
        <w:pStyle w:val="ManualConsidrant"/>
        <w:rPr>
          <w:noProof/>
        </w:rPr>
      </w:pPr>
      <w:r w:rsidRPr="00F27BFA">
        <w:t>(6)</w:t>
      </w:r>
      <w:r w:rsidRPr="00F27BFA">
        <w:tab/>
      </w:r>
      <w:r w:rsidR="00DB5074" w:rsidRPr="001E4272">
        <w:rPr>
          <w:noProof/>
        </w:rPr>
        <w:t xml:space="preserve">Δεδομένου ότι το ευρωπαϊκό δικαστικό αντιτρομοκρατικό μητρώο δημιουργήθηκε μετά την έκδοση του κανονισμού (ΕΕ) 2018/1727, δεν εντάσσεται καλά στον κανονισμό (ΕΕ) 2018/1727 ούτε από τεχνική ούτε από νομική άποψη. Ως εκ τούτου, αυτό πρέπει να διορθωθεί. </w:t>
      </w:r>
    </w:p>
    <w:p w14:paraId="180FE875" w14:textId="2C1D5379" w:rsidR="00D86234" w:rsidRPr="001E4272" w:rsidRDefault="00F27BFA" w:rsidP="00F27BFA">
      <w:pPr>
        <w:pStyle w:val="ManualConsidrant"/>
        <w:rPr>
          <w:noProof/>
        </w:rPr>
      </w:pPr>
      <w:r w:rsidRPr="00F27BFA">
        <w:t>(7)</w:t>
      </w:r>
      <w:r w:rsidRPr="00F27BFA">
        <w:tab/>
      </w:r>
      <w:r w:rsidR="00D86234" w:rsidRPr="001E4272">
        <w:rPr>
          <w:noProof/>
        </w:rPr>
        <w:t>Για την αποτελεσματική καταπολέμηση της τρομοκρατίας, έχει ζωτική σημασία η αποδοτική ανταλλαγή πληροφοριών για την έρευνα και τη δίωξη τρομοκρατικών εγκλημάτων μεταξύ των αρμόδιων αρχών και των οργανισμών της Ένωσης. Είναι σημαντικό να υπάρχουν όσο το δυνατόν πληρέστερες και οι πλέον επίκαιρες πληροφορίες. Η συνεχιζόμενη τρομοκρατική απειλή και η πολυπλοκότητα του φαινομένου επιβάλλουν ολοένα ευρύτερη ανταλλαγή πληροφοριών.</w:t>
      </w:r>
    </w:p>
    <w:p w14:paraId="3555827B" w14:textId="5C6BBC22" w:rsidR="00D86234" w:rsidRPr="001E4272" w:rsidRDefault="00F27BFA" w:rsidP="00F27BFA">
      <w:pPr>
        <w:pStyle w:val="ManualConsidrant"/>
        <w:rPr>
          <w:noProof/>
        </w:rPr>
      </w:pPr>
      <w:r w:rsidRPr="00F27BFA">
        <w:t>(8)</w:t>
      </w:r>
      <w:r w:rsidRPr="00F27BFA">
        <w:tab/>
      </w:r>
      <w:r w:rsidR="00D86234" w:rsidRPr="001E4272">
        <w:rPr>
          <w:noProof/>
        </w:rPr>
        <w:t xml:space="preserve">Δεδομένου ότι οι τρομοκρατικές οργανώσεις εμπλέκονται όλο και περισσότερο σε άλλες μορφές σοβαρών εγκλημάτων, όπως η εμπορία ανθρώπων, η διακίνηση ναρκωτικών ή η νομιμοποίηση εσόδων από εγκληματικές δραστηριότητες, είναι επίσης αναγκαίο να πραγματοποιείται διασταυρούμενος έλεγχος των δικαστικών διαδικασιών για τέτοιου είδους σοβαρά εγκλήματα. </w:t>
      </w:r>
    </w:p>
    <w:p w14:paraId="2C7B8872" w14:textId="29772FA6" w:rsidR="00D86234" w:rsidRPr="001E4272" w:rsidRDefault="00F27BFA" w:rsidP="00F27BFA">
      <w:pPr>
        <w:pStyle w:val="ManualConsidrant"/>
        <w:rPr>
          <w:noProof/>
        </w:rPr>
      </w:pPr>
      <w:r w:rsidRPr="00F27BFA">
        <w:t>(9)</w:t>
      </w:r>
      <w:r w:rsidRPr="00F27BFA">
        <w:tab/>
      </w:r>
      <w:r w:rsidR="00D86234" w:rsidRPr="001E4272">
        <w:rPr>
          <w:noProof/>
        </w:rPr>
        <w:t xml:space="preserve">Προκειμένου να δοθεί στην Eurojust η δυνατότητα να εντοπίζει διασυνδέσεις μεταξύ διασυνοριακών δικαστικών διαδικασιών κατά υπόπτων για τρομοκρατικά εγκλήματα, καθώς και διασυνδέσεις μεταξύ δικαστικών διαδικασιών κατά υπόπτων για τρομοκρατικά εγκλήματα και πληροφοριών τις οποίες η ίδια επεξεργάζεται σχετικά με άλλες υποθέσεις σοβαρών εγκλημάτων, είναι κρίσιμης σημασίας η Eurojust να λαμβάνει επαρκείς πληροφορίες ώστε να μπορεί να διασταυρώνει αυτά τα δεδομένα. </w:t>
      </w:r>
    </w:p>
    <w:p w14:paraId="1A2E3623" w14:textId="6A71C3F3" w:rsidR="00D86234" w:rsidRPr="001E4272" w:rsidRDefault="00F27BFA" w:rsidP="00F27BFA">
      <w:pPr>
        <w:pStyle w:val="ManualConsidrant"/>
        <w:rPr>
          <w:noProof/>
        </w:rPr>
      </w:pPr>
      <w:r w:rsidRPr="00F27BFA">
        <w:t>(10)</w:t>
      </w:r>
      <w:r w:rsidRPr="00F27BFA">
        <w:tab/>
      </w:r>
      <w:r w:rsidR="00D86234" w:rsidRPr="001E4272">
        <w:rPr>
          <w:noProof/>
        </w:rPr>
        <w:t xml:space="preserve">Οι αρμόδιες αρχές πρέπει να γνωρίζουν επακριβώς τι είδους πληροφορίες πρέπει να διαβιβάζουν στην Eurojust, σε ποιο στάδιο της εθνικής διαδικασίας και σε ποιες περιπτώσεις, προκειμένου να παρέχουν τα δεδομένα αυτά. Αυτό αναμένεται να αυξήσει σημαντικά τις πληροφορίες που λαμβάνει η Eurojust. </w:t>
      </w:r>
    </w:p>
    <w:p w14:paraId="79DFA372" w14:textId="0C09AE56" w:rsidR="00DB5074" w:rsidRPr="001E4272" w:rsidRDefault="00F27BFA" w:rsidP="00F27BFA">
      <w:pPr>
        <w:pStyle w:val="ManualConsidrant"/>
        <w:rPr>
          <w:noProof/>
        </w:rPr>
      </w:pPr>
      <w:r w:rsidRPr="00F27BFA">
        <w:t>(11)</w:t>
      </w:r>
      <w:r w:rsidRPr="00F27BFA">
        <w:tab/>
      </w:r>
      <w:r w:rsidR="00DB5074" w:rsidRPr="001E4272">
        <w:rPr>
          <w:noProof/>
        </w:rPr>
        <w:t>Η οδηγία (ΕΕ) 2017/541 του Ευρωπαϊκού Κοινοβουλίου και του Συμβουλίου</w:t>
      </w:r>
      <w:r w:rsidR="00DB5074" w:rsidRPr="001E4272">
        <w:rPr>
          <w:rStyle w:val="FootnoteReference"/>
          <w:noProof/>
        </w:rPr>
        <w:footnoteReference w:id="35"/>
      </w:r>
      <w:r w:rsidR="00DB5074" w:rsidRPr="001E4272">
        <w:rPr>
          <w:noProof/>
        </w:rPr>
        <w:t xml:space="preserve"> αποτελεί το σημείο αναφοράς για τον ορισμό των τρομοκρατικών εγκλημάτων από τις εθνικές αρχές, όπως εφαρμόζεται στο εθνικό δίκαιο. </w:t>
      </w:r>
    </w:p>
    <w:p w14:paraId="138E383D" w14:textId="68D69B1E" w:rsidR="00DB5074" w:rsidRPr="001E4272" w:rsidRDefault="00F27BFA" w:rsidP="00F27BFA">
      <w:pPr>
        <w:pStyle w:val="ManualConsidrant"/>
        <w:rPr>
          <w:noProof/>
        </w:rPr>
      </w:pPr>
      <w:r w:rsidRPr="00F27BFA">
        <w:t>(12)</w:t>
      </w:r>
      <w:r w:rsidRPr="00F27BFA">
        <w:tab/>
      </w:r>
      <w:r w:rsidR="00DB5074" w:rsidRPr="001E4272">
        <w:rPr>
          <w:noProof/>
        </w:rPr>
        <w:t xml:space="preserve">Για τον εντοπισμό διασυνδέσεων μεταξύ ερευνών και δικαστικών διαδικασιών για υποθέσεις τρομοκρατίας κατά υπόπτων για τρομοκρατικά εγκλήματα, η ύπαρξη αξιόπιστων στοιχείων ταυτοποίησης έχει ζωτική σημασία. Λόγω των αβεβαιοτήτων όσον αφορά τα αλφαριθμητικά δεδομένα, ιδίως για τους υπηκόους τρίτων χωρών, θα πρέπει να είναι δυνατή η ανταλλαγή βιομετρικών δεδομένων. Λόγω του ευαίσθητου χαρακτήρα των βιομετρικών δεδομένων και των επιπτώσεων της επεξεργασίας βιομετρικών δεδομένων στον σεβασμό της ιδιωτικής και οικογενειακής ζωής και στην προστασία των δεδομένων προσωπικού χαρακτήρα, όπως κατοχυρώνονται στα άρθρα 7 και 8 του Χάρτη των Θεμελιωδών Δικαιωμάτων της Ευρωπαϊκής Ένωσης, θα πρέπει να εφαρμόζεται το κριτήριο της απόλυτης αναγκαιότητας από τις αρμόδιες αρχές και την Eurojust σε κάθε περίπτωση. </w:t>
      </w:r>
    </w:p>
    <w:p w14:paraId="52103E52" w14:textId="6E73BAEA" w:rsidR="00DB5074" w:rsidRPr="001E4272" w:rsidRDefault="00F27BFA" w:rsidP="00F27BFA">
      <w:pPr>
        <w:pStyle w:val="ManualConsidrant"/>
        <w:rPr>
          <w:noProof/>
        </w:rPr>
      </w:pPr>
      <w:r w:rsidRPr="00F27BFA">
        <w:t>(13)</w:t>
      </w:r>
      <w:r w:rsidRPr="00F27BFA">
        <w:tab/>
      </w:r>
      <w:r w:rsidR="00DB5074" w:rsidRPr="001E4272">
        <w:rPr>
          <w:noProof/>
        </w:rPr>
        <w:t xml:space="preserve">Δεδομένου ότι οι πληροφορίες σχετικά με υφιστάμενες διασυνδέσεις με άλλες δικαστικές διαδικασίες είναι πιο χρήσιμες στο αρχικό στάδιο της έρευνας, είναι αναγκαίο οι αρμόδιες αρχές να παρέχουν πληροφορίες στην Eurojust μόλις εμπλακούν δικαστικές αρχές. Εάν οι αρμόδιες εθνικές αρχές γνωρίζουν ήδη την ύπαρξη διασυνδέσεων, θα πρέπει να ενημερώνουν την Eurojust σχετικά. </w:t>
      </w:r>
    </w:p>
    <w:p w14:paraId="5433B88A" w14:textId="13819D14" w:rsidR="00DB5074" w:rsidRPr="001E4272" w:rsidRDefault="00F27BFA" w:rsidP="00F27BFA">
      <w:pPr>
        <w:pStyle w:val="ManualConsidrant"/>
        <w:rPr>
          <w:noProof/>
        </w:rPr>
      </w:pPr>
      <w:r w:rsidRPr="00F27BFA">
        <w:t>(14)</w:t>
      </w:r>
      <w:r w:rsidRPr="00F27BFA">
        <w:tab/>
      </w:r>
      <w:r w:rsidR="00DB5074" w:rsidRPr="001E4272">
        <w:rPr>
          <w:noProof/>
        </w:rPr>
        <w:t xml:space="preserve">Προκειμένου να διασφαλίζεται η ακρίβεια των δεδομένων στο ευρωπαϊκό δικαστικό αντιτρομοκρατικό μητρώο, να εντοπίζονται εγκαίρως οι διασυνδέσεις και να τηρούνται οι προθεσμίες, οι αρμόδιες εθνικές αρχές θα πρέπει να επικαιροποιούν τακτικά τις πληροφορίες που παρέχονται. Οι επικαιροποιήσεις αυτές θα πρέπει να συμπεριλαμβάνουν τις νέες πληροφορίες σχετικά με το υπό έρευνα πρόσωπο, με δικαστικές αποφάσεις, όπως αποφάσεις προσωρινής κράτησης ή έναρξης δικαστικών διαδικασιών, και με αιτήσεις δικαστικής συνεργασίας ή εντοπισθέντες δεσμούς με άλλες δικαιοδοσίες. </w:t>
      </w:r>
    </w:p>
    <w:p w14:paraId="5F3B5D6C" w14:textId="1613DFE9" w:rsidR="00DB5074" w:rsidRPr="001E4272" w:rsidRDefault="00F27BFA" w:rsidP="00F27BFA">
      <w:pPr>
        <w:pStyle w:val="ManualConsidrant"/>
        <w:rPr>
          <w:noProof/>
        </w:rPr>
      </w:pPr>
      <w:r w:rsidRPr="00F27BFA">
        <w:t>(15)</w:t>
      </w:r>
      <w:r w:rsidRPr="00F27BFA">
        <w:tab/>
      </w:r>
      <w:r w:rsidR="00CB2C3E" w:rsidRPr="001E4272">
        <w:rPr>
          <w:noProof/>
        </w:rPr>
        <w:t>Δεδομένου του ευαίσθητου χαρακτήρα των δικαστικών διαδικασιών κατά υπόπτων για τρομοκρατικά εγκλήματα, οι αρμόδιες εθνικές αρχές δεν έχουν πάντα τη δυνατότητα να ανταλλάσσουν πληροφορίες σχετικά με τρομοκρατικά εγκλήματα στο αρχικό στάδιο. Οι εν λόγω παρεκκλίσεις από την υποχρέωση παροχής πληροφοριών θα πρέπει να εξακολουθήσουν να αποτελούν εξαίρεση.</w:t>
      </w:r>
    </w:p>
    <w:p w14:paraId="037BE988" w14:textId="33E93E9D" w:rsidR="00DB5074" w:rsidRPr="001E4272" w:rsidRDefault="00F27BFA" w:rsidP="00F27BFA">
      <w:pPr>
        <w:pStyle w:val="ManualConsidrant"/>
        <w:rPr>
          <w:noProof/>
        </w:rPr>
      </w:pPr>
      <w:r w:rsidRPr="00F27BFA">
        <w:t>(16)</w:t>
      </w:r>
      <w:r w:rsidRPr="00F27BFA">
        <w:tab/>
      </w:r>
      <w:r w:rsidR="00F04081" w:rsidRPr="001E4272">
        <w:rPr>
          <w:noProof/>
        </w:rPr>
        <w:t>Για τους σκοπούς της ανταλλαγής και επεξεργασίας ευαίσθητων δεδομένων μεταξύ των αρμόδιων εθνικών αρχών και της Eurojust, για την προστασία των δεδομένων αυτών από τη χωρίς άδεια κοινολόγηση και τις κυβερνοεπιθέσεις, και με την επιφύλαξη των μελλοντικών τεχνολογικών εξελίξεων, θα πρέπει να χρησιμοποιούνται ασφαλείς δίαυλοι επικοινωνίας, όπως οι ασφαλείς συνδέσεις επικοινωνίας που αναφέρονται στο άρθρο 9 της απόφασης 2008/976/ΔΕΥ του Συμβουλίου</w:t>
      </w:r>
      <w:r w:rsidR="00F04081" w:rsidRPr="001E4272">
        <w:rPr>
          <w:rStyle w:val="FootnoteReference"/>
          <w:noProof/>
        </w:rPr>
        <w:footnoteReference w:id="36"/>
      </w:r>
      <w:r w:rsidR="00F04081" w:rsidRPr="001E4272">
        <w:rPr>
          <w:noProof/>
        </w:rPr>
        <w:t xml:space="preserve"> ή το αποκεντρωμένο σύστημα ΤΠ που ορίζεται στον κανονισμό (ΕΕ) [.../...] του Ευρωπαϊκού Κοινοβουλίου και του Συμβουλίου</w:t>
      </w:r>
      <w:r w:rsidR="00F04081" w:rsidRPr="001E4272">
        <w:rPr>
          <w:rStyle w:val="FootnoteReference"/>
          <w:noProof/>
        </w:rPr>
        <w:footnoteReference w:id="37"/>
      </w:r>
      <w:r w:rsidR="00F04081" w:rsidRPr="001E4272">
        <w:rPr>
          <w:noProof/>
        </w:rPr>
        <w:t xml:space="preserve"> [</w:t>
      </w:r>
      <w:r w:rsidR="00F04081" w:rsidRPr="001E4272">
        <w:rPr>
          <w:i/>
          <w:iCs/>
          <w:noProof/>
        </w:rPr>
        <w:t>Κανονισμός για την ψηφιοποίηση της δικαστικής συνεργασίας</w:t>
      </w:r>
      <w:r w:rsidR="00F04081" w:rsidRPr="001E4272">
        <w:rPr>
          <w:noProof/>
        </w:rPr>
        <w:t xml:space="preserve">]. Για την ασφάλεια της ανταλλαγής δεδομένων και την προστασία της ακεραιότητας της επικοινωνίας και της ανταλλαγής δεδομένων, το σύστημα διαχείρισης υποθέσεων θα πρέπει να είναι συνδεδεμένο με τα εν λόγω ασφαλή συστήματα επικοινωνίας και να πληροί υψηλά πρότυπα κυβερνοασφάλειας. </w:t>
      </w:r>
    </w:p>
    <w:p w14:paraId="1B26B124" w14:textId="04906E6F" w:rsidR="00350ADD" w:rsidRPr="001E4272" w:rsidRDefault="00F27BFA" w:rsidP="00F27BFA">
      <w:pPr>
        <w:pStyle w:val="ManualConsidrant"/>
        <w:rPr>
          <w:noProof/>
        </w:rPr>
      </w:pPr>
      <w:r w:rsidRPr="00F27BFA">
        <w:t>(17)</w:t>
      </w:r>
      <w:r w:rsidRPr="00F27BFA">
        <w:tab/>
      </w:r>
      <w:r w:rsidR="00350ADD" w:rsidRPr="001E4272">
        <w:rPr>
          <w:noProof/>
        </w:rPr>
        <w:t>Προκειμένου να διασφαλιστούν ενιαίοι όροι εφαρμογής του παρόντος κανονισμού όσον αφορά τη δημιουργία και τη χρήση του αποκεντρωμένου συστήματος ΤΠ για τις περιπτώσεις που δεν καλύπτονται από τον κανονισμό (ΕΕ) [.../...] του Ευρωπαϊκού Κοινοβουλίου και του Συμβουλίου</w:t>
      </w:r>
      <w:r w:rsidR="00350ADD" w:rsidRPr="001E4272">
        <w:rPr>
          <w:rStyle w:val="FootnoteReference"/>
          <w:noProof/>
        </w:rPr>
        <w:footnoteReference w:id="38"/>
      </w:r>
      <w:r w:rsidR="00350ADD" w:rsidRPr="001E4272">
        <w:rPr>
          <w:noProof/>
        </w:rPr>
        <w:t xml:space="preserve"> [</w:t>
      </w:r>
      <w:r w:rsidR="00350ADD" w:rsidRPr="001E4272">
        <w:rPr>
          <w:i/>
          <w:iCs/>
          <w:noProof/>
        </w:rPr>
        <w:t>κανονισμός για την ψηφιοποίηση της δικαστικής συνεργασίας</w:t>
      </w:r>
      <w:r w:rsidR="00350ADD" w:rsidRPr="001E4272">
        <w:rPr>
          <w:noProof/>
        </w:rPr>
        <w:t>], θα πρέπει να ανατεθούν εκτελεστικές αρμοδιότητες στην Επιτροπή. Οι εν λόγω αρμοδιότητες θα πρέπει να ασκούνται σύμφωνα με τον κανονισμό (ΕΕ) αριθ. 182/2011 του Ευρωπαϊκού Κοινοβουλίου και του Συμβουλίου</w:t>
      </w:r>
      <w:r w:rsidR="00350ADD" w:rsidRPr="001E4272">
        <w:rPr>
          <w:rStyle w:val="FootnoteReference"/>
          <w:noProof/>
        </w:rPr>
        <w:footnoteReference w:id="39"/>
      </w:r>
      <w:r w:rsidR="00350ADD" w:rsidRPr="001E4272">
        <w:rPr>
          <w:noProof/>
        </w:rPr>
        <w:t>.</w:t>
      </w:r>
    </w:p>
    <w:p w14:paraId="43BAAC18" w14:textId="67DF8223" w:rsidR="00DB5074" w:rsidRPr="001E4272" w:rsidRDefault="00F27BFA" w:rsidP="00F27BFA">
      <w:pPr>
        <w:pStyle w:val="ManualConsidrant"/>
        <w:rPr>
          <w:noProof/>
        </w:rPr>
      </w:pPr>
      <w:r w:rsidRPr="00F27BFA">
        <w:t>(18)</w:t>
      </w:r>
      <w:r w:rsidRPr="00F27BFA">
        <w:tab/>
      </w:r>
      <w:r w:rsidR="00DB5074" w:rsidRPr="001E4272">
        <w:rPr>
          <w:noProof/>
        </w:rPr>
        <w:t>Η διαβίβαση μη δομημένων δεδομένων καθιστά αναγκαία τη χειρωνακτική παρέμβαση, δημιουργεί πρόσθετο διοικητικό φόρτο και μειώνει την ποιότητα των αποτελεσμάτων της διασταύρωσης στοιχείων. Ως εκ τούτου, οι εθνικές αρμόδιες αρχές θα πρέπει να διαβιβάζουν τα δεδομένα κατά διαρθρωμένο τρόπο, τηρώντας παράλληλα τις ελάχιστες απαιτήσεις διαλειτουργικότητας που ορίζονται στο ευρωπαϊκό πλαίσιο διαλειτουργικότητας</w:t>
      </w:r>
      <w:r w:rsidR="00DB5074" w:rsidRPr="001E4272">
        <w:rPr>
          <w:rStyle w:val="FootnoteReference"/>
          <w:noProof/>
        </w:rPr>
        <w:footnoteReference w:id="40"/>
      </w:r>
      <w:r w:rsidR="00DB5074" w:rsidRPr="001E4272">
        <w:rPr>
          <w:noProof/>
        </w:rPr>
        <w:t>. Επιπλέον, η διαβίβαση δεδομένων θα πρέπει να είναι όσο το δυνατόν περισσότερο αυτοματοποιημένη, ώστε να μειώνεται ο διοικητικός φόρτος των εθνικών αρχών και να διασφαλίζεται η τακτική και ταχεία παροχή των απαραίτητων δεδομένων.</w:t>
      </w:r>
    </w:p>
    <w:p w14:paraId="6B68FC91" w14:textId="017E5DC2" w:rsidR="00DB5074" w:rsidRPr="001E4272" w:rsidRDefault="00F27BFA" w:rsidP="00F27BFA">
      <w:pPr>
        <w:pStyle w:val="ManualConsidrant"/>
        <w:rPr>
          <w:noProof/>
        </w:rPr>
      </w:pPr>
      <w:r w:rsidRPr="00F27BFA">
        <w:t>(19)</w:t>
      </w:r>
      <w:r w:rsidRPr="00F27BFA">
        <w:tab/>
      </w:r>
      <w:r w:rsidR="00DB5074" w:rsidRPr="001E4272">
        <w:rPr>
          <w:noProof/>
        </w:rPr>
        <w:t xml:space="preserve">Ένα εκσυγχρονισμένο σύστημα διαχείρισης υποθέσεων είναι απαραίτητο προκειμένου η Eurojust να επεξεργάζεται με ασφάλεια τα ευαίσθητα δεδομένα προσωπικού χαρακτήρα. Το νέο σύστημα πρέπει να ενσωματώσει και να ενεργοποιήσει τις λειτουργίες του ευρωπαϊκού δικαστικού αντιτρομοκρατικού μητρώου και να βελτιώσει τις ικανότητες της Eurojust όσον αφορά τον εντοπισμό δεσμών. </w:t>
      </w:r>
    </w:p>
    <w:p w14:paraId="35AE3D70" w14:textId="5405E711" w:rsidR="00DB5074" w:rsidRPr="001E4272" w:rsidRDefault="00F27BFA" w:rsidP="00F27BFA">
      <w:pPr>
        <w:pStyle w:val="ManualConsidrant"/>
        <w:rPr>
          <w:noProof/>
        </w:rPr>
      </w:pPr>
      <w:r w:rsidRPr="00F27BFA">
        <w:t>(20)</w:t>
      </w:r>
      <w:r w:rsidRPr="00F27BFA">
        <w:tab/>
      </w:r>
      <w:r w:rsidR="00DB5074" w:rsidRPr="001E4272">
        <w:rPr>
          <w:noProof/>
        </w:rPr>
        <w:t xml:space="preserve">Είναι σημαντικό να διατηρηθούν ο έλεγχος και η ευθύνη των εθνικών μελών όσον αφορά τα δεδομένα τα οποία λαμβάνουν από τις εθνικές αρμόδιες αρχές. Εξ ορισμού, τα επιχειρησιακά δεδομένα προσωπικού χαρακτήρα δεν θα πρέπει να κοινοποιούνται σε άλλο κράτος μέλος. Επιχειρησιακά δεδομένα προσωπικού χαρακτήρα θα πρέπει να κοινοποιούνται μόνο εφόσον η ανταλλαγή δεδομένων επιτραπεί από τις εθνικές αρμόδιες αρχές. Προκειμένου να ψηφιοποιηθεί και να επιταχυνθεί η διαδικασία με την οποία δίνεται συνέχεια σε πιθανούς δεσμούς, και παράλληλα να διασφαλιστεί ο πλήρης έλεγχος επί των δεδομένων, θα πρέπει να εισαχθούν κώδικες χειρισμού. </w:t>
      </w:r>
    </w:p>
    <w:p w14:paraId="7877C7C7" w14:textId="78FE6F6F" w:rsidR="00DB5074" w:rsidRPr="001E4272" w:rsidRDefault="00F27BFA" w:rsidP="00F27BFA">
      <w:pPr>
        <w:pStyle w:val="ManualConsidrant"/>
        <w:rPr>
          <w:noProof/>
        </w:rPr>
      </w:pPr>
      <w:r w:rsidRPr="00F27BFA">
        <w:t>(21)</w:t>
      </w:r>
      <w:r w:rsidRPr="00F27BFA">
        <w:tab/>
      </w:r>
      <w:r w:rsidR="00DB5074" w:rsidRPr="001E4272">
        <w:rPr>
          <w:noProof/>
        </w:rPr>
        <w:t>Οι τρομοκρατικές δραστηριότητες συχνά έχουν επιπτώσεις σε δύο ή περισσότερα κράτη μέλη. Η τρομοκρατία είχε ήδη στο παρελθόν ισχυρή διακρατική διάσταση. Ωστόσο, με τη χρήση και τη διαθεσιμότητα της ηλεκτρονικής επικοινωνίας, η διακρατική συνεργασία μεταξύ των δραστών τρομοκρατικών ενεργειών έχει αυξηθεί σημαντικά. Ως εκ τούτου, τα τρομοκρατικά εγκλήματα θα πρέπει να τεκμαίρονται διακρατικά από τη φύση τους, εάν δεν προκύπτει σαφώς από τις ιδιαίτερες περιστάσεις της υπόθεσης αμιγώς εθνικός χαρακτήρας.</w:t>
      </w:r>
    </w:p>
    <w:p w14:paraId="2638122F" w14:textId="030F3204" w:rsidR="00DB5074" w:rsidRPr="001E4272" w:rsidRDefault="00F27BFA" w:rsidP="00F27BFA">
      <w:pPr>
        <w:pStyle w:val="ManualConsidrant"/>
        <w:rPr>
          <w:noProof/>
        </w:rPr>
      </w:pPr>
      <w:r w:rsidRPr="00F27BFA">
        <w:t>(22)</w:t>
      </w:r>
      <w:r w:rsidRPr="00F27BFA">
        <w:tab/>
      </w:r>
      <w:r w:rsidR="00DB5074" w:rsidRPr="001E4272">
        <w:rPr>
          <w:noProof/>
        </w:rPr>
        <w:t xml:space="preserve">Οι έρευνες και οι διώξεις σε υποθέσεις τρομοκρατίας συχνά παρεμποδίζονται από την έλλειψη ανταλλαγής πληροφοριών μεταξύ των εθνικών αρχών έρευνας και δίωξης. Για να καταστεί δυνατός ο διασταυρούμενος έλεγχος των νέων ερευνών για υποθέσεις τρομοκρατίας και με προηγούμενες έρευνες και να μπορούν να διαπιστωθούν οι πιθανοί δεσμοί, είναι αναγκαίο να διατηρούνται τα δεδομένα σχετικά με τις τυχόν προηγούμενες έρευνες, όχι μόνο τις καταδίκες, και να παραταθούν οι προθεσμίες για τη διατήρηση των δεδομένων στο ευρωπαϊκό δικαστικό αντιτρομοκρατικό μητρώο. Ωστόσο, είναι αναγκαίο να διασφαλιστεί ότι τα εν λόγω δεδομένα υποβάλλονται σε επεξεργασία μόνο για σκοπούς δίωξης. Οι πληροφορίες δεν μπορούν να χρησιμοποιηθούν για οποιονδήποτε άλλο σκοπό πέραν του εντοπισμού δεσμών με διεξαγόμενες έρευνες και διώξεις και για τη στήριξη των εν λόγω ερευνών και διώξεων. </w:t>
      </w:r>
    </w:p>
    <w:p w14:paraId="501E5656" w14:textId="6C57E593" w:rsidR="00DB5074" w:rsidRPr="001E4272" w:rsidRDefault="00F27BFA" w:rsidP="00F27BFA">
      <w:pPr>
        <w:pStyle w:val="ManualConsidrant"/>
        <w:rPr>
          <w:noProof/>
        </w:rPr>
      </w:pPr>
      <w:r w:rsidRPr="00F27BFA">
        <w:t>(23)</w:t>
      </w:r>
      <w:r w:rsidRPr="00F27BFA">
        <w:tab/>
      </w:r>
      <w:r w:rsidR="00DB5074" w:rsidRPr="001E4272">
        <w:rPr>
          <w:noProof/>
        </w:rPr>
        <w:t>Η Eurojust έχει συνάψει δώδεκα συμφωνίες συνεργασίας με τρίτες χώρες, οι οποίες επιτρέπουν τη διαβίβαση επιχειρησιακών δεδομένων προσωπικού χαρακτήρα και την απόσπαση εισαγγελέα-συνδέσμου από την τρίτη χώρα στην Eurojust. Επιπλέον, η συμφωνία εμπορίου και συνεργασίας μεταξύ της Ευρωπαϊκής Ένωσης και του Ηνωμένου Βασιλείου</w:t>
      </w:r>
      <w:r w:rsidR="00DB5074" w:rsidRPr="001E4272">
        <w:rPr>
          <w:rStyle w:val="FootnoteReference"/>
          <w:noProof/>
        </w:rPr>
        <w:footnoteReference w:id="41"/>
      </w:r>
      <w:r w:rsidR="00DB5074" w:rsidRPr="001E4272">
        <w:rPr>
          <w:noProof/>
        </w:rPr>
        <w:t xml:space="preserve"> επιτρέπει την απόσπαση εισαγγελέα-συνδέσμου. Τον Μάρτιο του 2021 το Συμβούλιο έδωσε στην Επιτροπή εντολή</w:t>
      </w:r>
      <w:r w:rsidR="00DB5074" w:rsidRPr="001E4272">
        <w:rPr>
          <w:rStyle w:val="FootnoteReference"/>
          <w:noProof/>
        </w:rPr>
        <w:footnoteReference w:id="42"/>
      </w:r>
      <w:r w:rsidR="00DB5074" w:rsidRPr="001E4272">
        <w:rPr>
          <w:noProof/>
        </w:rPr>
        <w:t xml:space="preserve"> να διαπραγματευθεί περαιτέρω συμφωνίες συνεργασίας για τη συνεργασία μεταξύ της Eurojust και δεκατριών επιπλέον τρίτων χωρών. </w:t>
      </w:r>
    </w:p>
    <w:p w14:paraId="36E30319" w14:textId="1082287C" w:rsidR="00DB5074" w:rsidRPr="001E4272" w:rsidRDefault="00F27BFA" w:rsidP="00F27BFA">
      <w:pPr>
        <w:pStyle w:val="ManualConsidrant"/>
        <w:rPr>
          <w:noProof/>
        </w:rPr>
      </w:pPr>
      <w:r w:rsidRPr="00F27BFA">
        <w:t>(24)</w:t>
      </w:r>
      <w:r w:rsidRPr="00F27BFA">
        <w:tab/>
      </w:r>
      <w:r w:rsidR="00DB5074" w:rsidRPr="001E4272">
        <w:rPr>
          <w:noProof/>
        </w:rPr>
        <w:t xml:space="preserve">Μολονότι ο κανονισμός (ΕΕ) 2018/1727 παρέχει νομική βάση για τη συνεργασία και την ανταλλαγή δεδομένων με τρίτες χώρες, δεν περιέχει κανόνες σχετικά με τις τυπικές και τεχνικές πτυχές της συνεργασίας με τους εισαγγελείς-συνδέσμους από τρίτες χώρες που είναι αποσπασμένοι στην Eurojust, ιδίως όσον αφορά την πρόσβασή τους στο σύστημα διαχείρισης υποθέσεων. Για λόγους ασφάλειας δικαίου, ο κανονισμός (ΕΕ) 2018/1727 θα πρέπει να παρέχει ρητή νομική βάση για τη συνεργασία μεταξύ της Eurojust και των εισαγγελέων-συνδέσμων από τρίτες χώρες και την πρόσβασή τους στο σύστημα διαχείρισης υποθέσεων της Eurojust. Η Eurojust θα πρέπει να εξασφαλίζει επαρκείς εγγυήσεις και μέτρα ασφάλειας για την προστασία των δεδομένων και των θεμελιωδών δικαιωμάτων μέσω της τεχνικής εγκατάστασης και εσωτερικών κανόνων. </w:t>
      </w:r>
    </w:p>
    <w:p w14:paraId="3DFAB877" w14:textId="0A30E307" w:rsidR="00DB5074" w:rsidRPr="001E4272" w:rsidRDefault="00F27BFA" w:rsidP="00F27BFA">
      <w:pPr>
        <w:pStyle w:val="ManualConsidrant"/>
        <w:rPr>
          <w:noProof/>
        </w:rPr>
      </w:pPr>
      <w:r w:rsidRPr="00F27BFA">
        <w:t>(25)</w:t>
      </w:r>
      <w:r w:rsidRPr="00F27BFA">
        <w:tab/>
      </w:r>
      <w:r w:rsidR="00DB5074" w:rsidRPr="001E4272">
        <w:rPr>
          <w:noProof/>
        </w:rPr>
        <w:t xml:space="preserve">Για λόγους σαφήνειας, θα πρέπει να αποσαφηνιστεί η σχέση μεταξύ της ανταλλαγής πληροφοριών μεταξύ των εθνικών αρμόδιων αρχών για υποθέσεις τρομοκρατίας και της Eurojust δυνάμει, αφενός, της απόφασης 2005/671/ΔΕΥ και, αφετέρου, του κανονισμού (ΕΕ) 2018/1727. Ως εκ τούτου, οι σχετικές διατάξεις θα πρέπει να διαγραφούν από την απόφαση 2005/671/ΔΕΥ και να προστεθούν στον κανονισμό (ΕΕ) 2018/1727. </w:t>
      </w:r>
    </w:p>
    <w:p w14:paraId="1393EDE7" w14:textId="78A26CB2" w:rsidR="00DB5074" w:rsidRPr="001E4272" w:rsidRDefault="00F27BFA" w:rsidP="00F27BFA">
      <w:pPr>
        <w:pStyle w:val="ManualConsidrant"/>
        <w:rPr>
          <w:noProof/>
        </w:rPr>
      </w:pPr>
      <w:r w:rsidRPr="00F27BFA">
        <w:t>(26)</w:t>
      </w:r>
      <w:r w:rsidRPr="00F27BFA">
        <w:tab/>
      </w:r>
      <w:r w:rsidR="00DB5074" w:rsidRPr="001E4272">
        <w:rPr>
          <w:noProof/>
        </w:rPr>
        <w:t>Αν και οι αρμόδιες εθνικές αρχές ορισμένων κρατών μελών είναι ήδη συνδεδεμένες με την ασφαλή τηλεπικοινωνιακή σύνδεση που προβλέπεται στο άρθρο 9 της απόφασης 2008/976/ΔΕΥ του Συμβουλίου</w:t>
      </w:r>
      <w:r w:rsidR="00DB5074" w:rsidRPr="001E4272">
        <w:rPr>
          <w:rStyle w:val="FootnoteReference"/>
          <w:noProof/>
        </w:rPr>
        <w:footnoteReference w:id="43"/>
      </w:r>
      <w:r w:rsidR="00DB5074" w:rsidRPr="001E4272">
        <w:rPr>
          <w:noProof/>
        </w:rPr>
        <w:t>, πολλές αρμόδιες αρχές δεν είναι ακόμη συνδεδεμένες με την ασφαλή τηλεπικοινωνιακή σύνδεση ή με ασφαλείς διαύλους επικοινωνίας. Προκειμένου να διασφαλιστεί ότι τα κράτη μέλη διαθέτουν επαρκή χρόνο για την παροχή τέτοιας σύνδεσης στις αρμόδιες αρχές, θα πρέπει να χορηγηθεί μεταβατική περίοδος εφαρμογής.</w:t>
      </w:r>
    </w:p>
    <w:p w14:paraId="0A647F10" w14:textId="595DA57C" w:rsidR="00B0081F" w:rsidRPr="001E4272" w:rsidRDefault="00F27BFA" w:rsidP="00F27BFA">
      <w:pPr>
        <w:pStyle w:val="ManualConsidrant"/>
        <w:rPr>
          <w:noProof/>
        </w:rPr>
      </w:pPr>
      <w:r w:rsidRPr="00F27BFA">
        <w:t>(27)</w:t>
      </w:r>
      <w:r w:rsidRPr="00F27BFA">
        <w:tab/>
      </w:r>
      <w:r w:rsidR="00B0081F" w:rsidRPr="001E4272">
        <w:rPr>
          <w:noProof/>
        </w:rPr>
        <w:t>[Σύμφωνα με τα άρθρα 1 και 2 και το άρθρο 4α παράγραφος 1 του πρωτοκόλλου αριθ. 21 για τη θέση του Ηνωμένου Βασιλείου και της Ιρλανδίας όσον αφορά τον χώρο ελευθερίας, ασφάλειας και δικαιοσύνης, το οποίο προσαρτάται στη Συνθήκη για την Ευρωπαϊκή Ένωση και στη Συνθήκη για τη λειτουργία της Ευρωπαϊκής Ένωσης, και με την επιφύλαξη του άρθρου 4 του εν λόγω πρωτοκόλλου, η Ιρλανδία δεν συμμετέχει στη θέσπιση του παρόντος κανονισμού και δεν δεσμεύεται από αυτόν ούτε υπόκειται στην εφαρμογή του.] Ή [Σύμφωνα με το άρθρο 3 και το άρθρο 4α παράγραφος 1 του πρωτοκόλλου αριθ. 21 για τη θέση του Ηνωμένου Βασιλείου και της Ιρλανδίας όσον αφορά τον χώρο ελευθερίας, ασφάλειας και δικαιοσύνης, που προσαρτάται στη Συνθήκη για την Ευρωπαϊκή Ένωση και στη Συνθήκη για τη λειτουργία της Ευρωπαϊκής Ένωσης, η Ιρλανδία γνωστοποίησε, με επιστολή τής […], την επιθυμία της να συμμετάσχει στην έκδοση και εφαρμογή του παρόντος κανονισμού.]</w:t>
      </w:r>
    </w:p>
    <w:p w14:paraId="690BDAE3" w14:textId="5404DB4B" w:rsidR="00DB5074" w:rsidRPr="001E4272" w:rsidRDefault="00F27BFA" w:rsidP="00F27BFA">
      <w:pPr>
        <w:pStyle w:val="ManualConsidrant"/>
        <w:rPr>
          <w:noProof/>
        </w:rPr>
      </w:pPr>
      <w:r w:rsidRPr="00F27BFA">
        <w:t>(28)</w:t>
      </w:r>
      <w:r w:rsidRPr="00F27BFA">
        <w:tab/>
      </w:r>
      <w:r w:rsidR="00DB5074" w:rsidRPr="001E4272">
        <w:rPr>
          <w:noProof/>
        </w:rPr>
        <w:t>Σύμφωνα με τα άρθρα 1 και 2 του πρωτοκόλλου αριθ. 22 σχετικά με τη θέση της Δανίας, το οποίο προσαρτάται στη Συνθήκη για την Ευρωπαϊκή Ένωση και στη Συνθήκη για τη λειτουργία της Ευρωπαϊκής Ένωσης, η Δανία δεν συμμετέχει στη θέσπιση του παρόντος κανονισμού και δεν δεσμεύεται από αυτόν ούτε υπόκειται στην εφαρμογή του.</w:t>
      </w:r>
    </w:p>
    <w:p w14:paraId="149D7AC9" w14:textId="611A964C" w:rsidR="00DB5074" w:rsidRPr="001E4272" w:rsidRDefault="00F27BFA" w:rsidP="00F27BFA">
      <w:pPr>
        <w:pStyle w:val="ManualConsidrant"/>
        <w:rPr>
          <w:noProof/>
        </w:rPr>
      </w:pPr>
      <w:r w:rsidRPr="00F27BFA">
        <w:t>(29)</w:t>
      </w:r>
      <w:r w:rsidRPr="00F27BFA">
        <w:tab/>
      </w:r>
      <w:r w:rsidR="00DB5074" w:rsidRPr="001E4272">
        <w:rPr>
          <w:noProof/>
        </w:rPr>
        <w:t>Ζητήθηκε, σύμφωνα με το άρθρο 42 του κανονισμού (ΕΕ) 2018/1725 του Ευρωπαϊκού Κοινοβουλίου και του Συμβουλίου, η γνώμη του Ευρωπαίου Επόπτη Προστασίας Δεδομένων, ο οποίος γνωμοδότησε στις ΧΧ/XX 20ΧΧ,</w:t>
      </w:r>
    </w:p>
    <w:p w14:paraId="787C36B3" w14:textId="77777777" w:rsidR="00EB0A3C" w:rsidRPr="001E4272" w:rsidRDefault="00EB0A3C" w:rsidP="00715ADE">
      <w:pPr>
        <w:pStyle w:val="Formuledadoption"/>
        <w:rPr>
          <w:noProof/>
        </w:rPr>
      </w:pPr>
      <w:r w:rsidRPr="001E4272">
        <w:rPr>
          <w:noProof/>
        </w:rPr>
        <w:t>ΕΞΕΔΩΣΑΝ ΤΟΝ ΠΑΡΟΝΤΑ ΚΑΝΟΝΙΣΜΟ:</w:t>
      </w:r>
    </w:p>
    <w:p w14:paraId="504B6E62" w14:textId="77777777" w:rsidR="00EB0A3C" w:rsidRPr="001E4272" w:rsidRDefault="00EB0A3C" w:rsidP="00DB5074">
      <w:pPr>
        <w:pStyle w:val="Titrearticle"/>
        <w:rPr>
          <w:noProof/>
        </w:rPr>
      </w:pPr>
      <w:r w:rsidRPr="001E4272">
        <w:rPr>
          <w:noProof/>
        </w:rPr>
        <w:t>Άρθρο 1</w:t>
      </w:r>
    </w:p>
    <w:p w14:paraId="78D67B17" w14:textId="078DEF91" w:rsidR="00E11514" w:rsidRPr="001E4272" w:rsidRDefault="00E11514">
      <w:pPr>
        <w:jc w:val="center"/>
        <w:rPr>
          <w:b/>
          <w:bCs/>
          <w:noProof/>
        </w:rPr>
      </w:pPr>
      <w:r w:rsidRPr="001E4272">
        <w:rPr>
          <w:b/>
          <w:bCs/>
          <w:noProof/>
        </w:rPr>
        <w:t>Τροποποιήσεις του κανονισμού (ΕΕ) 2018/1727</w:t>
      </w:r>
    </w:p>
    <w:p w14:paraId="573D2B39" w14:textId="5FC010F2" w:rsidR="00E11514" w:rsidRPr="001E4272" w:rsidRDefault="00E11514" w:rsidP="00E11514">
      <w:pPr>
        <w:rPr>
          <w:noProof/>
        </w:rPr>
      </w:pPr>
      <w:r w:rsidRPr="001E4272">
        <w:rPr>
          <w:noProof/>
        </w:rPr>
        <w:t>Ο κανονισμός (ΕΕ) 2017/1727 τροποποιείται ως εξής:</w:t>
      </w:r>
    </w:p>
    <w:p w14:paraId="60B00BF0" w14:textId="2CA2194F" w:rsidR="00DB5074" w:rsidRPr="001E4272" w:rsidRDefault="00712530" w:rsidP="00712530">
      <w:pPr>
        <w:pStyle w:val="Point0"/>
        <w:rPr>
          <w:noProof/>
        </w:rPr>
      </w:pPr>
      <w:r w:rsidRPr="001E4272">
        <w:rPr>
          <w:noProof/>
        </w:rPr>
        <w:t>1)</w:t>
      </w:r>
      <w:r w:rsidRPr="001E4272">
        <w:rPr>
          <w:noProof/>
        </w:rPr>
        <w:tab/>
      </w:r>
      <w:r w:rsidR="00CA33A5" w:rsidRPr="001E4272">
        <w:rPr>
          <w:noProof/>
        </w:rPr>
        <w:t xml:space="preserve">στο άρθρο 3, η παράγραφος 5 αντικαθίσταται από το ακόλουθο κείμενο: </w:t>
      </w:r>
    </w:p>
    <w:p w14:paraId="5CC6D50C" w14:textId="1F1E8FD1" w:rsidR="00DB5074" w:rsidRPr="001E4272" w:rsidRDefault="00DB5074" w:rsidP="00B61C1A">
      <w:pPr>
        <w:pStyle w:val="Text1"/>
        <w:rPr>
          <w:noProof/>
        </w:rPr>
      </w:pPr>
      <w:r w:rsidRPr="001E4272">
        <w:rPr>
          <w:noProof/>
        </w:rPr>
        <w:t>«5. Η Eurojust μπορεί επίσης να παρέχει την υποστήριξή της σε έρευνες ή διώξεις που αφορούν μόνο ένα κράτος μέλος και μια τρίτη χώρα ή ένα κράτος μέλος και έναν διεθνή οργανισμό, εφόσον έχει συναφθεί με την εν λόγω τρίτη χώρα ή τον εν λόγω διεθνή οργανισμό συμφωνία συνεργασίας ή ρύθμιση μέσω της οποίας θεσπίζεται συνεργασία δυνάμει του άρθρου 52 ή εφόσον, σε ειδική περίπτωση, υπάρχει ουσιώδες συμφέρον που επιβάλλει την παροχή της υποστήριξης αυτής.»·</w:t>
      </w:r>
    </w:p>
    <w:p w14:paraId="52E8058D" w14:textId="018869A7" w:rsidR="00E11514" w:rsidRPr="001E4272" w:rsidRDefault="00712530" w:rsidP="00712530">
      <w:pPr>
        <w:pStyle w:val="Point0"/>
        <w:rPr>
          <w:noProof/>
        </w:rPr>
      </w:pPr>
      <w:r w:rsidRPr="001E4272">
        <w:rPr>
          <w:noProof/>
        </w:rPr>
        <w:t>2)</w:t>
      </w:r>
      <w:r w:rsidRPr="001E4272">
        <w:rPr>
          <w:noProof/>
        </w:rPr>
        <w:tab/>
      </w:r>
      <w:r w:rsidR="00CA33A5" w:rsidRPr="001E4272">
        <w:rPr>
          <w:noProof/>
        </w:rPr>
        <w:t>στο άρθρο 20 προστίθεται η ακόλουθη παράγραφος 2α:</w:t>
      </w:r>
    </w:p>
    <w:p w14:paraId="2A29C40C" w14:textId="52F46ED4" w:rsidR="00DF2E95" w:rsidRPr="001E4272" w:rsidRDefault="00DF2E95" w:rsidP="00B61C1A">
      <w:pPr>
        <w:pStyle w:val="Text1"/>
        <w:rPr>
          <w:noProof/>
        </w:rPr>
      </w:pPr>
      <w:r w:rsidRPr="001E4272">
        <w:rPr>
          <w:noProof/>
        </w:rPr>
        <w:t>«2α. Κάθε κράτος μέλος ορίζει μια αρμόδια εθνική αρχή ως εθνικό ανταποκριτή της Eurojust για θέματα τρομοκρατίας. Ο εν λόγω εθνικός ανταποκριτής για θέματα τρομοκρατίας είναι δικαστική ή άλλη αρμόδια αρχή. Αν απαιτείται από το εθνικό νομικό σύστημα, μπορούν να οριστούν περισσότερες από μία αρχές. Ο εθνικός ανταποκριτής για θέματα τρομοκρατίας έχει πρόσβαση σε όλες τις σχετικές πληροφορίες σύμφωνα με το άρθρο 21α παράγραφος 1. Είναι αρμόδιος για τη συλλογή αυτών των πληροφοριών και για τη διαβίβασή τους στην Eurojust.»·</w:t>
      </w:r>
    </w:p>
    <w:p w14:paraId="1F52C153" w14:textId="11CB8C2F" w:rsidR="00E11514" w:rsidRPr="001E4272" w:rsidRDefault="00712530" w:rsidP="00712530">
      <w:pPr>
        <w:pStyle w:val="Point0"/>
        <w:rPr>
          <w:noProof/>
        </w:rPr>
      </w:pPr>
      <w:r w:rsidRPr="001E4272">
        <w:rPr>
          <w:noProof/>
        </w:rPr>
        <w:t>3)</w:t>
      </w:r>
      <w:r w:rsidRPr="001E4272">
        <w:rPr>
          <w:noProof/>
        </w:rPr>
        <w:tab/>
      </w:r>
      <w:r w:rsidR="00E11514" w:rsidRPr="001E4272">
        <w:rPr>
          <w:noProof/>
        </w:rPr>
        <w:t>το άρθρο 21 τροποποιείται ως εξής:</w:t>
      </w:r>
    </w:p>
    <w:p w14:paraId="44CF5323" w14:textId="639C5EBD" w:rsidR="00DF2E95" w:rsidRPr="001E4272" w:rsidRDefault="00712530" w:rsidP="00712530">
      <w:pPr>
        <w:pStyle w:val="Point1"/>
        <w:rPr>
          <w:noProof/>
        </w:rPr>
      </w:pPr>
      <w:r w:rsidRPr="001E4272">
        <w:rPr>
          <w:noProof/>
        </w:rPr>
        <w:t>α)</w:t>
      </w:r>
      <w:r w:rsidRPr="001E4272">
        <w:rPr>
          <w:noProof/>
        </w:rPr>
        <w:tab/>
      </w:r>
      <w:r w:rsidR="00DF2E95" w:rsidRPr="001E4272">
        <w:rPr>
          <w:noProof/>
        </w:rPr>
        <w:t>η παράγραφος 9 αντικαθίσταται από το ακόλουθο κείμενο:</w:t>
      </w:r>
    </w:p>
    <w:p w14:paraId="60B53237" w14:textId="3060F307" w:rsidR="00DF2E95" w:rsidRPr="001E4272" w:rsidRDefault="00DF2E95" w:rsidP="00B61C1A">
      <w:pPr>
        <w:pStyle w:val="Text1"/>
        <w:rPr>
          <w:noProof/>
        </w:rPr>
      </w:pPr>
      <w:r w:rsidRPr="001E4272">
        <w:rPr>
          <w:noProof/>
        </w:rPr>
        <w:t>«9. Το παρόν άρθρο δεν θίγει τις λοιπές υποχρεώσεις όσον αφορά τη διαβίβαση πληροφοριών στην Eurojust.»·</w:t>
      </w:r>
    </w:p>
    <w:p w14:paraId="22545348" w14:textId="090B08C6" w:rsidR="00E11514" w:rsidRPr="001E4272" w:rsidRDefault="00712530" w:rsidP="00712530">
      <w:pPr>
        <w:pStyle w:val="Point1"/>
        <w:rPr>
          <w:noProof/>
        </w:rPr>
      </w:pPr>
      <w:r w:rsidRPr="001E4272">
        <w:rPr>
          <w:noProof/>
        </w:rPr>
        <w:t>β)</w:t>
      </w:r>
      <w:r w:rsidRPr="001E4272">
        <w:rPr>
          <w:noProof/>
        </w:rPr>
        <w:tab/>
      </w:r>
      <w:r w:rsidR="00DF2E95" w:rsidRPr="001E4272">
        <w:rPr>
          <w:noProof/>
        </w:rPr>
        <w:t>η παράγραφος 10 απαλείφεται·</w:t>
      </w:r>
    </w:p>
    <w:p w14:paraId="180BA8D5" w14:textId="176F5CF2" w:rsidR="00E11514" w:rsidRPr="001E4272" w:rsidRDefault="00712530" w:rsidP="00712530">
      <w:pPr>
        <w:pStyle w:val="Point0"/>
        <w:rPr>
          <w:noProof/>
        </w:rPr>
      </w:pPr>
      <w:r w:rsidRPr="001E4272">
        <w:rPr>
          <w:noProof/>
        </w:rPr>
        <w:t>4)</w:t>
      </w:r>
      <w:r w:rsidRPr="001E4272">
        <w:rPr>
          <w:noProof/>
        </w:rPr>
        <w:tab/>
      </w:r>
      <w:r w:rsidR="00E11514" w:rsidRPr="001E4272">
        <w:rPr>
          <w:noProof/>
        </w:rPr>
        <w:t>προστίθεται το ακόλουθο άρθρο 21α:</w:t>
      </w:r>
    </w:p>
    <w:p w14:paraId="1258A549" w14:textId="77777777" w:rsidR="00DF2E95" w:rsidRPr="001E4272" w:rsidRDefault="00DF2E95" w:rsidP="160710AA">
      <w:pPr>
        <w:jc w:val="center"/>
        <w:rPr>
          <w:noProof/>
        </w:rPr>
      </w:pPr>
      <w:r w:rsidRPr="001E4272">
        <w:rPr>
          <w:noProof/>
        </w:rPr>
        <w:t>«</w:t>
      </w:r>
      <w:r w:rsidRPr="001E4272">
        <w:rPr>
          <w:i/>
          <w:iCs/>
          <w:noProof/>
        </w:rPr>
        <w:t>Άρθρο 21α</w:t>
      </w:r>
    </w:p>
    <w:p w14:paraId="6DC993F2" w14:textId="77777777" w:rsidR="00DF2E95" w:rsidRPr="001E4272" w:rsidRDefault="00DF2E95">
      <w:pPr>
        <w:jc w:val="center"/>
        <w:rPr>
          <w:b/>
          <w:noProof/>
        </w:rPr>
      </w:pPr>
      <w:r w:rsidRPr="001E4272">
        <w:rPr>
          <w:b/>
          <w:bCs/>
          <w:noProof/>
        </w:rPr>
        <w:t>Ανταλλαγή πληροφοριών σχετικά με υποθέσεις τρομοκρατίας</w:t>
      </w:r>
    </w:p>
    <w:p w14:paraId="693D8E1E" w14:textId="5227EF77" w:rsidR="00DF2E95" w:rsidRPr="001E4272" w:rsidRDefault="00F27BFA" w:rsidP="00F27BFA">
      <w:pPr>
        <w:pStyle w:val="ManualNumPar1"/>
        <w:rPr>
          <w:noProof/>
        </w:rPr>
      </w:pPr>
      <w:r w:rsidRPr="00F27BFA">
        <w:t>1.</w:t>
      </w:r>
      <w:r w:rsidRPr="00F27BFA">
        <w:tab/>
      </w:r>
      <w:r w:rsidR="00DF2E95" w:rsidRPr="001E4272">
        <w:rPr>
          <w:noProof/>
        </w:rPr>
        <w:t>Οι αρμόδιες εθνικές αρχές ενημερώνουν τα εθνικά μέλη τους για τις διεξαγόμενες ή περατωθείσες ποινικές έρευνες υπό την εποπτεία δικαστικών αρχών, διώξεις, δικαστικές διαδικασίες και δικαστικές αποφάσεις για τρομοκρατικά εγκλήματα αμέσως μόλις εμπλακούν δικαστικές αρχές.</w:t>
      </w:r>
    </w:p>
    <w:p w14:paraId="7982019E" w14:textId="0F4E83EE" w:rsidR="00DF2E95" w:rsidRPr="001E4272" w:rsidRDefault="00F27BFA" w:rsidP="00F27BFA">
      <w:pPr>
        <w:pStyle w:val="ManualNumPar1"/>
        <w:rPr>
          <w:noProof/>
        </w:rPr>
      </w:pPr>
      <w:r w:rsidRPr="00F27BFA">
        <w:t>2.</w:t>
      </w:r>
      <w:r w:rsidRPr="00F27BFA">
        <w:tab/>
      </w:r>
      <w:r w:rsidR="00DF2E95" w:rsidRPr="001E4272">
        <w:rPr>
          <w:noProof/>
        </w:rPr>
        <w:t>Για τους σκοπούς του παρόντος άρθρου, τρομοκρατικά εγκλήματα είναι τα εγκλήματα που αναφέρονται στην οδηγία (ΕΕ) 2017/541 του Ευρωπαϊκού Κοινοβουλίου και του Συμβουλίου*. Η υποχρέωση της παραγράφου 1 ισχύει για όλα τα τρομοκρατικά εγκλήματα, ανεξάρτητα από την ύπαρξη γνωστού δεσμού με άλλο κράτος μέλος ή τρίτη χώρα, εκτός εάν η υπόθεση, λόγω των ειδικών περιστάσεών της, σαφώς επηρεάζει μόνο ένα κράτος μέλος</w:t>
      </w:r>
      <w:r w:rsidR="00DF2E95" w:rsidRPr="001E4272">
        <w:rPr>
          <w:noProof/>
          <w:color w:val="000000" w:themeColor="text1"/>
        </w:rPr>
        <w:t xml:space="preserve">. </w:t>
      </w:r>
    </w:p>
    <w:p w14:paraId="0B84F9BF" w14:textId="03E8A6AA" w:rsidR="00DF2E95" w:rsidRPr="001E4272" w:rsidRDefault="00F27BFA" w:rsidP="00F27BFA">
      <w:pPr>
        <w:pStyle w:val="ManualNumPar1"/>
        <w:rPr>
          <w:noProof/>
        </w:rPr>
      </w:pPr>
      <w:r w:rsidRPr="00F27BFA">
        <w:t>3.</w:t>
      </w:r>
      <w:r w:rsidRPr="00F27BFA">
        <w:tab/>
      </w:r>
      <w:r w:rsidR="00DF2E95" w:rsidRPr="001E4272">
        <w:rPr>
          <w:noProof/>
        </w:rPr>
        <w:t>Οι πληροφορίες που διαβιβάζονται σύμφωνα με την παράγραφο 1 περιλαμβάνουν τα επιχειρησιακά δεδομένα προσωπικού χαρακτήρα και τα δεδομένα μη προσωπικού χαρακτήρα που παρατίθενται στο παράρτημα ΙΙΙ.</w:t>
      </w:r>
    </w:p>
    <w:p w14:paraId="37B8ADEB" w14:textId="79712014" w:rsidR="009F44C4" w:rsidRPr="001E4272" w:rsidRDefault="00F27BFA" w:rsidP="00F27BFA">
      <w:pPr>
        <w:pStyle w:val="ManualNumPar1"/>
        <w:rPr>
          <w:noProof/>
        </w:rPr>
      </w:pPr>
      <w:r w:rsidRPr="00F27BFA">
        <w:t>4.</w:t>
      </w:r>
      <w:r w:rsidRPr="00F27BFA">
        <w:tab/>
      </w:r>
      <w:r w:rsidR="00DF2E95" w:rsidRPr="001E4272">
        <w:rPr>
          <w:noProof/>
        </w:rPr>
        <w:t xml:space="preserve">Οι αρμόδιες εθνικές αρχές ενημερώνουν αμελλητί το εθνικό τους μέλος σχετικά με τυχόν σχετικές αλλαγές στις εθνικές διαδικασίες. </w:t>
      </w:r>
    </w:p>
    <w:p w14:paraId="076DC4DE" w14:textId="100F583C" w:rsidR="00DF2E95" w:rsidRPr="001E4272" w:rsidRDefault="00DF2E95" w:rsidP="00670CD3">
      <w:pPr>
        <w:pStyle w:val="Text1"/>
        <w:rPr>
          <w:noProof/>
        </w:rPr>
      </w:pPr>
      <w:r w:rsidRPr="001E4272">
        <w:rPr>
          <w:noProof/>
        </w:rPr>
        <w:t xml:space="preserve">Με την επιφύλαξη του πρώτου εδαφίου, οι εθνικές αρχές επανεξετάζουν και επικαιροποιούν τις πληροφορίες που διαβιβάζονται βάσει της παραγράφου 1 τουλάχιστον κάθε τρεις μήνες. </w:t>
      </w:r>
    </w:p>
    <w:p w14:paraId="7382C315" w14:textId="65AEAEB4" w:rsidR="007D5116" w:rsidRPr="001E4272" w:rsidRDefault="00F27BFA" w:rsidP="00F27BFA">
      <w:pPr>
        <w:pStyle w:val="ManualNumPar1"/>
        <w:rPr>
          <w:noProof/>
        </w:rPr>
      </w:pPr>
      <w:r w:rsidRPr="00F27BFA">
        <w:t>5.</w:t>
      </w:r>
      <w:r w:rsidRPr="00F27BFA">
        <w:tab/>
      </w:r>
      <w:r w:rsidR="00DF2E95" w:rsidRPr="001E4272">
        <w:rPr>
          <w:noProof/>
        </w:rPr>
        <w:t>Η παράγραφος 1 δεν εφαρμόζεται αν η παροχή πληροφοριών θα έθετε σε κίνδυνο τρέχουσες έρευνες ή την ασφάλεια φυσικού προσώπου ούτε αν θα αντέβαινε σε ουσιώδη συμφέροντα ασφάλειας του οικείου κράτους μέλους.</w:t>
      </w:r>
    </w:p>
    <w:p w14:paraId="1A175CD3" w14:textId="30177A14" w:rsidR="007D5116" w:rsidRPr="001E4272" w:rsidRDefault="007D5116" w:rsidP="00197F34">
      <w:pPr>
        <w:pStyle w:val="Text1"/>
        <w:rPr>
          <w:noProof/>
        </w:rPr>
      </w:pPr>
      <w:r w:rsidRPr="001E4272">
        <w:rPr>
          <w:noProof/>
        </w:rPr>
        <w:t>____________</w:t>
      </w:r>
    </w:p>
    <w:p w14:paraId="686EB113" w14:textId="649E1E1A" w:rsidR="007D5116" w:rsidRPr="001E4272" w:rsidRDefault="007D5116" w:rsidP="00197F34">
      <w:pPr>
        <w:pStyle w:val="Text1"/>
        <w:rPr>
          <w:noProof/>
        </w:rPr>
      </w:pPr>
      <w:r w:rsidRPr="001E4272">
        <w:rPr>
          <w:noProof/>
        </w:rPr>
        <w:t>* Οδηγία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 της 31.3.2017, σ. 6).»·</w:t>
      </w:r>
    </w:p>
    <w:p w14:paraId="01FFD459" w14:textId="01471546" w:rsidR="00DF2E95" w:rsidRPr="001E4272" w:rsidRDefault="00712530" w:rsidP="00712530">
      <w:pPr>
        <w:pStyle w:val="Point0"/>
        <w:rPr>
          <w:noProof/>
        </w:rPr>
      </w:pPr>
      <w:r w:rsidRPr="001E4272">
        <w:rPr>
          <w:noProof/>
        </w:rPr>
        <w:t>5)</w:t>
      </w:r>
      <w:r w:rsidRPr="001E4272">
        <w:rPr>
          <w:noProof/>
        </w:rPr>
        <w:tab/>
      </w:r>
      <w:r w:rsidR="00DF2E95" w:rsidRPr="001E4272">
        <w:rPr>
          <w:noProof/>
        </w:rPr>
        <w:t>προστίθενται τα ακόλουθα άρθρα 22α, 22β και 22γ:</w:t>
      </w:r>
    </w:p>
    <w:p w14:paraId="4E8216CC" w14:textId="651C0A01" w:rsidR="00DF2E95" w:rsidRPr="001E4272" w:rsidRDefault="00DF2E95" w:rsidP="160710AA">
      <w:pPr>
        <w:jc w:val="center"/>
        <w:rPr>
          <w:noProof/>
        </w:rPr>
      </w:pPr>
      <w:r w:rsidRPr="001E4272">
        <w:rPr>
          <w:i/>
          <w:iCs/>
          <w:noProof/>
        </w:rPr>
        <w:t>«Άρθρο 22a</w:t>
      </w:r>
    </w:p>
    <w:p w14:paraId="6FB1805A" w14:textId="6EC2568B" w:rsidR="00DF2E95" w:rsidRPr="001E4272" w:rsidRDefault="00DF2E95">
      <w:pPr>
        <w:jc w:val="center"/>
        <w:rPr>
          <w:b/>
          <w:noProof/>
        </w:rPr>
      </w:pPr>
      <w:r w:rsidRPr="001E4272">
        <w:rPr>
          <w:b/>
          <w:bCs/>
          <w:noProof/>
        </w:rPr>
        <w:t>Ασφαλής ψηφιακή επικοινωνία και ανταλλαγή δεδομένων μεταξύ των αρμόδιων εθνικών αρχών και της Eurojust</w:t>
      </w:r>
    </w:p>
    <w:p w14:paraId="0795F14A" w14:textId="3CB422FA" w:rsidR="00DF2E95" w:rsidRPr="001E4272" w:rsidRDefault="00F27BFA" w:rsidP="00F27BFA">
      <w:pPr>
        <w:pStyle w:val="ManualNumPar1"/>
        <w:rPr>
          <w:noProof/>
        </w:rPr>
      </w:pPr>
      <w:r w:rsidRPr="00F27BFA">
        <w:t>1.</w:t>
      </w:r>
      <w:r w:rsidRPr="00F27BFA">
        <w:tab/>
      </w:r>
      <w:r w:rsidR="00937679" w:rsidRPr="001E4272">
        <w:rPr>
          <w:noProof/>
        </w:rPr>
        <w:t>Η επικοινωνία μεταξύ των αρμόδιων εθνικών αρχών και της Eurojust βάσει του παρόντος κανονισμού πραγματοποιείται μέσω του αποκεντρωμένου συστήματος ΤΠ που ορίζεται στον κανονισμό (ΕΕ) [.../...] του Ευρωπαϊκού Κοινοβουλίου και του Συμβουλίου*</w:t>
      </w:r>
      <w:r w:rsidR="00937679" w:rsidRPr="001E4272">
        <w:rPr>
          <w:rStyle w:val="FootnoteReference"/>
          <w:noProof/>
        </w:rPr>
        <w:t xml:space="preserve"> </w:t>
      </w:r>
      <w:r w:rsidR="00937679" w:rsidRPr="001E4272">
        <w:rPr>
          <w:noProof/>
        </w:rPr>
        <w:t>[</w:t>
      </w:r>
      <w:r w:rsidR="00937679" w:rsidRPr="001E4272">
        <w:rPr>
          <w:i/>
          <w:iCs/>
          <w:noProof/>
        </w:rPr>
        <w:t>κανονισμός για την ψηφιοποίηση της δικαστικής συνεργασίας</w:t>
      </w:r>
      <w:r w:rsidR="00937679" w:rsidRPr="001E4272">
        <w:rPr>
          <w:noProof/>
        </w:rPr>
        <w:t>].</w:t>
      </w:r>
    </w:p>
    <w:p w14:paraId="1E564946" w14:textId="23B39DA9" w:rsidR="00264943" w:rsidRPr="001E4272" w:rsidRDefault="00F27BFA" w:rsidP="00F27BFA">
      <w:pPr>
        <w:pStyle w:val="ManualNumPar1"/>
        <w:rPr>
          <w:noProof/>
        </w:rPr>
      </w:pPr>
      <w:r w:rsidRPr="00F27BFA">
        <w:t>2.</w:t>
      </w:r>
      <w:r w:rsidRPr="00F27BFA">
        <w:tab/>
      </w:r>
      <w:r w:rsidR="00264943" w:rsidRPr="001E4272">
        <w:rPr>
          <w:noProof/>
        </w:rPr>
        <w:t xml:space="preserve">Όταν η ανταλλαγή πληροφοριών σύμφωνα με την παράγραφο 1 δεν είναι δυνατή λόγω μη διαθεσιμότητας του αποκεντρωμένου συστήματος ΤΠ ή λόγω έκτακτων περιστάσεων, η ανταλλαγή πραγματοποιείται με τα ταχύτερα, πλέον πρόσφορα εναλλακτικά μέσα. Τα κράτη μέλη και η Eurojust διασφαλίζουν ότι τα εναλλακτικά μέσα επικοινωνίας είναι αξιόπιστα και παρέχουν ισοδύναμο επίπεδο ασφάλειας. </w:t>
      </w:r>
    </w:p>
    <w:p w14:paraId="6F45CE68" w14:textId="1BF867D2" w:rsidR="00F67BC0" w:rsidRPr="001E4272" w:rsidRDefault="00F27BFA" w:rsidP="00F27BFA">
      <w:pPr>
        <w:pStyle w:val="ManualNumPar1"/>
        <w:rPr>
          <w:noProof/>
        </w:rPr>
      </w:pPr>
      <w:r w:rsidRPr="00F27BFA">
        <w:t>3.</w:t>
      </w:r>
      <w:r w:rsidRPr="00F27BFA">
        <w:tab/>
      </w:r>
      <w:r w:rsidR="00DF2E95" w:rsidRPr="001E4272">
        <w:rPr>
          <w:noProof/>
        </w:rPr>
        <w:t xml:space="preserve">Οι αρμόδιες εθνικές αρχές διαβιβάζουν τις πληροφορίες σύμφωνα με τα άρθρα 21 και 21α στην Eurojust με ημιαυτόματο τρόπο από τα εθνικά μητρώα και με διαρθρωμένο τρόπο που καθορίζεται από την Eurojust. </w:t>
      </w:r>
    </w:p>
    <w:p w14:paraId="362E6664" w14:textId="1019B669" w:rsidR="00537298" w:rsidRPr="001E4272" w:rsidRDefault="00537298" w:rsidP="00197F34">
      <w:pPr>
        <w:pStyle w:val="Text1"/>
        <w:rPr>
          <w:noProof/>
          <w:szCs w:val="24"/>
        </w:rPr>
      </w:pPr>
      <w:r w:rsidRPr="001E4272">
        <w:rPr>
          <w:noProof/>
        </w:rPr>
        <w:t>__________</w:t>
      </w:r>
    </w:p>
    <w:p w14:paraId="0E1EE09B" w14:textId="3CA0B541" w:rsidR="00490DC9" w:rsidRPr="001E4272" w:rsidRDefault="00537298" w:rsidP="00197F34">
      <w:pPr>
        <w:pStyle w:val="Text1"/>
        <w:rPr>
          <w:noProof/>
        </w:rPr>
      </w:pPr>
      <w:r w:rsidRPr="001E4272">
        <w:rPr>
          <w:noProof/>
        </w:rPr>
        <w:t>*[</w:t>
      </w:r>
      <w:r w:rsidRPr="001E4272">
        <w:rPr>
          <w:i/>
          <w:noProof/>
        </w:rPr>
        <w:t>Κανονισμός (ΕΕ) [.../...] του Ευρωπαϊκού Κοινοβουλίου και του Συμβουλίου για την ψηφιοποίηση της δικαστικής συνεργασίας</w:t>
      </w:r>
      <w:r w:rsidRPr="001E4272">
        <w:rPr>
          <w:noProof/>
        </w:rPr>
        <w:t>] (ΕΕ L...).</w:t>
      </w:r>
    </w:p>
    <w:p w14:paraId="10612EA3" w14:textId="77777777" w:rsidR="00490DC9" w:rsidRPr="001E4272" w:rsidRDefault="00490DC9" w:rsidP="00490DC9">
      <w:pPr>
        <w:shd w:val="clear" w:color="auto" w:fill="FFFFFF"/>
        <w:spacing w:after="0" w:line="312" w:lineRule="atLeast"/>
        <w:jc w:val="center"/>
        <w:rPr>
          <w:rFonts w:eastAsia="Times New Roman"/>
          <w:i/>
          <w:noProof/>
          <w:szCs w:val="24"/>
        </w:rPr>
      </w:pPr>
      <w:r w:rsidRPr="001E4272">
        <w:rPr>
          <w:i/>
          <w:noProof/>
          <w:szCs w:val="24"/>
        </w:rPr>
        <w:t>Άρθρο 22β</w:t>
      </w:r>
    </w:p>
    <w:p w14:paraId="7B46D5CA" w14:textId="476B3C8E" w:rsidR="00490DC9" w:rsidRPr="001E4272" w:rsidRDefault="00490DC9" w:rsidP="00490DC9">
      <w:pPr>
        <w:shd w:val="clear" w:color="auto" w:fill="FFFFFF"/>
        <w:spacing w:after="0" w:line="312" w:lineRule="atLeast"/>
        <w:jc w:val="center"/>
        <w:rPr>
          <w:rFonts w:eastAsia="Times New Roman"/>
          <w:b/>
          <w:noProof/>
          <w:szCs w:val="24"/>
        </w:rPr>
      </w:pPr>
      <w:r w:rsidRPr="001E4272">
        <w:rPr>
          <w:b/>
          <w:noProof/>
          <w:szCs w:val="24"/>
        </w:rPr>
        <w:t xml:space="preserve">Έκδοση εκτελεστικών πράξεων από την Επιτροπή </w:t>
      </w:r>
    </w:p>
    <w:p w14:paraId="67849786" w14:textId="2DA7DDE5" w:rsidR="00490DC9" w:rsidRPr="001E4272" w:rsidRDefault="00F27BFA" w:rsidP="00F27BFA">
      <w:pPr>
        <w:pStyle w:val="ManualNumPar1"/>
        <w:rPr>
          <w:noProof/>
        </w:rPr>
      </w:pPr>
      <w:r w:rsidRPr="00F27BFA">
        <w:t>1.</w:t>
      </w:r>
      <w:r w:rsidRPr="00F27BFA">
        <w:tab/>
      </w:r>
      <w:r w:rsidR="00490DC9" w:rsidRPr="001E4272">
        <w:rPr>
          <w:noProof/>
        </w:rPr>
        <w:t>Η Επιτροπή εκδίδει τις εκτελεστικές πράξεις που απαιτούνται για τη δημιουργία και τη χρήση του αποκεντρωμένου συστήματος ΤΠ για την επικοινωνία βάσει του παρόντος κανονισμού, καθορίζοντας τα εξής:</w:t>
      </w:r>
    </w:p>
    <w:p w14:paraId="33F87478" w14:textId="07CC7D87" w:rsidR="00490DC9" w:rsidRPr="001E4272" w:rsidRDefault="00712530" w:rsidP="00712530">
      <w:pPr>
        <w:pStyle w:val="Point1"/>
        <w:rPr>
          <w:noProof/>
        </w:rPr>
      </w:pPr>
      <w:r w:rsidRPr="001E4272">
        <w:rPr>
          <w:noProof/>
        </w:rPr>
        <w:t>α)</w:t>
      </w:r>
      <w:r w:rsidRPr="001E4272">
        <w:rPr>
          <w:noProof/>
        </w:rPr>
        <w:tab/>
      </w:r>
      <w:r w:rsidR="00490DC9" w:rsidRPr="001E4272">
        <w:rPr>
          <w:noProof/>
        </w:rPr>
        <w:t>τις τεχνικές προδιαγραφές που καθορίζουν τις μεθόδους επικοινωνίας με ηλεκτρονικά μέσα για τους σκοπούς του αποκεντρωμένου συστήματος ΤΠ·</w:t>
      </w:r>
    </w:p>
    <w:p w14:paraId="6BECA16F" w14:textId="69B820FC" w:rsidR="00490DC9" w:rsidRPr="001E4272" w:rsidRDefault="00712530" w:rsidP="00712530">
      <w:pPr>
        <w:pStyle w:val="Point1"/>
        <w:rPr>
          <w:noProof/>
        </w:rPr>
      </w:pPr>
      <w:r w:rsidRPr="001E4272">
        <w:rPr>
          <w:noProof/>
        </w:rPr>
        <w:t>β)</w:t>
      </w:r>
      <w:r w:rsidRPr="001E4272">
        <w:rPr>
          <w:noProof/>
        </w:rPr>
        <w:tab/>
      </w:r>
      <w:r w:rsidR="00490DC9" w:rsidRPr="001E4272">
        <w:rPr>
          <w:noProof/>
        </w:rPr>
        <w:t>τις τεχνικές προδιαγραφές των πρωτοκόλλων επικοινωνίας·</w:t>
      </w:r>
    </w:p>
    <w:p w14:paraId="1E668FF8" w14:textId="326DA4A0" w:rsidR="00490DC9" w:rsidRPr="001E4272" w:rsidRDefault="00712530" w:rsidP="00712530">
      <w:pPr>
        <w:pStyle w:val="Point1"/>
        <w:rPr>
          <w:noProof/>
        </w:rPr>
      </w:pPr>
      <w:r w:rsidRPr="001E4272">
        <w:rPr>
          <w:noProof/>
        </w:rPr>
        <w:t>γ)</w:t>
      </w:r>
      <w:r w:rsidRPr="001E4272">
        <w:rPr>
          <w:noProof/>
        </w:rPr>
        <w:tab/>
      </w:r>
      <w:r w:rsidR="00490DC9" w:rsidRPr="001E4272">
        <w:rPr>
          <w:noProof/>
        </w:rPr>
        <w:t>τους στόχους ασφάλειας των πληροφοριών και τα σχετικά τεχνικά μέτρα για τη διασφάλιση των ελάχιστων προτύπων ασφάλειας των πληροφοριών και υψηλού επιπέδου προτύπων κυβερνοασφάλειας για την επεξεργασία και την κοινοποίηση πληροφοριών στο πλαίσιο του αποκεντρωμένου συστήματος ΤΠ·</w:t>
      </w:r>
    </w:p>
    <w:p w14:paraId="093B9FE0" w14:textId="55B4F5EE" w:rsidR="00490DC9" w:rsidRPr="001E4272" w:rsidRDefault="00712530" w:rsidP="00712530">
      <w:pPr>
        <w:pStyle w:val="Point1"/>
        <w:rPr>
          <w:noProof/>
        </w:rPr>
      </w:pPr>
      <w:r w:rsidRPr="001E4272">
        <w:rPr>
          <w:noProof/>
        </w:rPr>
        <w:t>δ)</w:t>
      </w:r>
      <w:r w:rsidRPr="001E4272">
        <w:rPr>
          <w:noProof/>
        </w:rPr>
        <w:tab/>
      </w:r>
      <w:r w:rsidR="00490DC9" w:rsidRPr="001E4272">
        <w:rPr>
          <w:noProof/>
        </w:rPr>
        <w:t>τους στόχους ελάχιστης διαθεσιμότητας και τις ενδεχόμενες σχετικές τεχνικές απαιτήσεις για τις υπηρεσίες που παρέχει το αποκεντρωμένο σύστημα ΤΠ·</w:t>
      </w:r>
    </w:p>
    <w:p w14:paraId="226B7C6B" w14:textId="42238C34" w:rsidR="00490DC9" w:rsidRPr="001E4272" w:rsidRDefault="00712530" w:rsidP="00712530">
      <w:pPr>
        <w:pStyle w:val="Point1"/>
        <w:rPr>
          <w:noProof/>
        </w:rPr>
      </w:pPr>
      <w:r w:rsidRPr="001E4272">
        <w:rPr>
          <w:noProof/>
        </w:rPr>
        <w:t>ε)</w:t>
      </w:r>
      <w:r w:rsidRPr="001E4272">
        <w:rPr>
          <w:noProof/>
        </w:rPr>
        <w:tab/>
      </w:r>
      <w:r w:rsidR="00490DC9" w:rsidRPr="001E4272">
        <w:rPr>
          <w:noProof/>
        </w:rPr>
        <w:t>τη σύσταση διευθύνουσας επιτροπής απαρτιζόμενης από αντιπροσώπους των κρατών μελών για τη διασφάλιση της λειτουργίας και της συντήρησης του αποκεντρωμένου συστήματος ΤΠ, προκειμένου να επιτευχθούν οι στόχοι του παρόντος κανονισμού.</w:t>
      </w:r>
    </w:p>
    <w:p w14:paraId="57E3ECE3" w14:textId="505024FD" w:rsidR="0086392E" w:rsidRPr="001E4272" w:rsidRDefault="00F27BFA" w:rsidP="00F27BFA">
      <w:pPr>
        <w:pStyle w:val="ManualNumPar1"/>
        <w:rPr>
          <w:noProof/>
        </w:rPr>
      </w:pPr>
      <w:r w:rsidRPr="00F27BFA">
        <w:t>2.</w:t>
      </w:r>
      <w:r w:rsidRPr="00F27BFA">
        <w:tab/>
      </w:r>
      <w:r w:rsidR="0086392E" w:rsidRPr="001E4272">
        <w:rPr>
          <w:noProof/>
        </w:rPr>
        <w:t>Οι εκτελεστικές πράξεις που αναφέρονται στην παράγραφο 1 εκδίδονται έως τις [</w:t>
      </w:r>
      <w:r w:rsidR="0086392E" w:rsidRPr="001E4272">
        <w:rPr>
          <w:i/>
          <w:noProof/>
        </w:rPr>
        <w:t>2 έτη μετά την έναρξη ισχύος</w:t>
      </w:r>
      <w:r w:rsidR="0086392E" w:rsidRPr="001E4272">
        <w:rPr>
          <w:noProof/>
        </w:rPr>
        <w:t>] σύμφωνα με τη διαδικασία εξέτασης που αναφέρεται στο άρθρο 22γ παράγραφος 2.</w:t>
      </w:r>
    </w:p>
    <w:p w14:paraId="20111F11" w14:textId="16F1DFDB" w:rsidR="00430B03" w:rsidRPr="001E4272" w:rsidRDefault="00430B03" w:rsidP="00430B03">
      <w:pPr>
        <w:shd w:val="clear" w:color="auto" w:fill="FFFFFF"/>
        <w:spacing w:after="0" w:line="312" w:lineRule="atLeast"/>
        <w:jc w:val="center"/>
        <w:rPr>
          <w:rFonts w:eastAsia="Times New Roman"/>
          <w:i/>
          <w:noProof/>
          <w:szCs w:val="24"/>
        </w:rPr>
      </w:pPr>
      <w:r w:rsidRPr="001E4272">
        <w:rPr>
          <w:i/>
          <w:noProof/>
          <w:szCs w:val="24"/>
        </w:rPr>
        <w:t>Άρθρο 22γ</w:t>
      </w:r>
    </w:p>
    <w:p w14:paraId="4BE18E57" w14:textId="0775E989" w:rsidR="00430B03" w:rsidRPr="001E4272" w:rsidRDefault="00430B03" w:rsidP="00430B03">
      <w:pPr>
        <w:shd w:val="clear" w:color="auto" w:fill="FFFFFF"/>
        <w:spacing w:after="0" w:line="312" w:lineRule="atLeast"/>
        <w:jc w:val="center"/>
        <w:rPr>
          <w:rFonts w:eastAsia="Times New Roman"/>
          <w:b/>
          <w:noProof/>
          <w:szCs w:val="24"/>
        </w:rPr>
      </w:pPr>
      <w:r w:rsidRPr="001E4272">
        <w:rPr>
          <w:b/>
          <w:noProof/>
          <w:szCs w:val="24"/>
        </w:rPr>
        <w:t>Διαδικασία επιτροπής</w:t>
      </w:r>
    </w:p>
    <w:p w14:paraId="77C079AD" w14:textId="2BF77BAB" w:rsidR="0086392E" w:rsidRPr="001E4272" w:rsidRDefault="00F27BFA" w:rsidP="00F27BFA">
      <w:pPr>
        <w:pStyle w:val="ManualNumPar1"/>
        <w:rPr>
          <w:noProof/>
        </w:rPr>
      </w:pPr>
      <w:r w:rsidRPr="00F27BFA">
        <w:t>1.</w:t>
      </w:r>
      <w:r w:rsidRPr="00F27BFA">
        <w:tab/>
      </w:r>
      <w:r w:rsidR="00490DC9" w:rsidRPr="001E4272">
        <w:rPr>
          <w:noProof/>
        </w:rPr>
        <w:t xml:space="preserve">Η Επιτροπή επικουρείται από επιτροπή. Πρόκειται για επιτροπή κατά την έννοια του κανονισμού (ΕΕ) αριθ. 182/2011 του Ευρωπαϊκού Κοινοβουλίου και του Συμβουλίου*. </w:t>
      </w:r>
    </w:p>
    <w:p w14:paraId="1668EC8A" w14:textId="66C1982A" w:rsidR="0086392E" w:rsidRPr="001E4272" w:rsidRDefault="00F27BFA" w:rsidP="00F27BFA">
      <w:pPr>
        <w:pStyle w:val="ManualNumPar1"/>
        <w:rPr>
          <w:noProof/>
        </w:rPr>
      </w:pPr>
      <w:r w:rsidRPr="00F27BFA">
        <w:t>2.</w:t>
      </w:r>
      <w:r w:rsidRPr="00F27BFA">
        <w:tab/>
      </w:r>
      <w:r w:rsidR="0086392E" w:rsidRPr="001E4272">
        <w:rPr>
          <w:noProof/>
        </w:rPr>
        <w:t xml:space="preserve">Όποτε γίνεται παραπομπή στην παρούσα παράγραφο, εφαρμόζεται το άρθρο 5 του κανονισμού (ΕΕ) αριθ. 182/2011. </w:t>
      </w:r>
    </w:p>
    <w:p w14:paraId="309AC0C1" w14:textId="78C18CD8" w:rsidR="00490DC9" w:rsidRPr="001E4272" w:rsidRDefault="00490DC9" w:rsidP="00560FF6">
      <w:pPr>
        <w:pStyle w:val="Text1"/>
        <w:rPr>
          <w:noProof/>
        </w:rPr>
      </w:pPr>
      <w:r w:rsidRPr="001E4272">
        <w:rPr>
          <w:noProof/>
        </w:rPr>
        <w:t>Εάν η επιτροπή δεν διατυπώσει γνώμη, η Επιτροπή δεν εκδίδει το σχέδιο εκτελεστικής πράξης και εφαρμόζεται το άρθρο 5 παράγραφος 4 τρίτο εδάφιο του κανονισμού (ΕΕ) αριθ. 182/2011.</w:t>
      </w:r>
    </w:p>
    <w:p w14:paraId="01CD7D8B" w14:textId="77777777" w:rsidR="00490DC9" w:rsidRPr="001E4272" w:rsidRDefault="00490DC9" w:rsidP="00490DC9">
      <w:pPr>
        <w:ind w:firstLine="720"/>
        <w:rPr>
          <w:rFonts w:eastAsia="Calibri"/>
          <w:noProof/>
        </w:rPr>
      </w:pPr>
      <w:r w:rsidRPr="001E4272">
        <w:rPr>
          <w:noProof/>
        </w:rPr>
        <w:t>__________</w:t>
      </w:r>
    </w:p>
    <w:p w14:paraId="49764AAE" w14:textId="487EC098" w:rsidR="00537298" w:rsidRPr="001E4272" w:rsidRDefault="00490DC9" w:rsidP="006A0D14">
      <w:pPr>
        <w:ind w:left="720"/>
        <w:rPr>
          <w:rFonts w:eastAsia="Calibri"/>
          <w:noProof/>
        </w:rPr>
      </w:pPr>
      <w:r w:rsidRPr="001E4272">
        <w:rPr>
          <w:noProof/>
        </w:rPr>
        <w:t>* Κανονισμός (ΕΕ) αριθ. 182/2011 του Ευρωπαϊκού Κοινοβουλίου και του Συμβουλίου, της 16ης Φεβρουαρίου 2011, για τη θέσπιση κανόνων και γενικών αρχών σχετικά με τους τρόπους ελέγχου από τα κράτη μέλη της άσκησης των εκτελεστικών αρμοδιοτήτων από την Επιτροπή (ΕΕ L 55 της 28.2.2011, σ. 13).»·</w:t>
      </w:r>
    </w:p>
    <w:p w14:paraId="640C4CA9" w14:textId="54D46843" w:rsidR="00E11514" w:rsidRPr="001E4272" w:rsidRDefault="00712530" w:rsidP="00712530">
      <w:pPr>
        <w:pStyle w:val="Point0"/>
        <w:rPr>
          <w:noProof/>
        </w:rPr>
      </w:pPr>
      <w:r w:rsidRPr="001E4272">
        <w:rPr>
          <w:noProof/>
        </w:rPr>
        <w:t>6)</w:t>
      </w:r>
      <w:r w:rsidRPr="001E4272">
        <w:rPr>
          <w:noProof/>
        </w:rPr>
        <w:tab/>
      </w:r>
      <w:r w:rsidR="00AB63ED" w:rsidRPr="001E4272">
        <w:rPr>
          <w:noProof/>
        </w:rPr>
        <w:t>τα άρθρα 23, 24 και 25 αντικαθίστανται από το ακόλουθο κείμενο:</w:t>
      </w:r>
    </w:p>
    <w:p w14:paraId="46E5EA5A" w14:textId="14EEFAEF" w:rsidR="00F44CB9" w:rsidRPr="001E4272" w:rsidRDefault="00F44CB9" w:rsidP="00BE7C1D">
      <w:pPr>
        <w:jc w:val="center"/>
        <w:rPr>
          <w:i/>
          <w:noProof/>
        </w:rPr>
      </w:pPr>
      <w:r w:rsidRPr="001E4272">
        <w:rPr>
          <w:noProof/>
        </w:rPr>
        <w:t>«</w:t>
      </w:r>
      <w:r w:rsidRPr="001E4272">
        <w:rPr>
          <w:i/>
          <w:noProof/>
        </w:rPr>
        <w:t>Άρθρο 23</w:t>
      </w:r>
    </w:p>
    <w:p w14:paraId="7D5C5B4E" w14:textId="150E67EE" w:rsidR="00F44CB9" w:rsidRPr="001E4272" w:rsidRDefault="00F44CB9" w:rsidP="00BE7C1D">
      <w:pPr>
        <w:jc w:val="center"/>
        <w:rPr>
          <w:b/>
          <w:noProof/>
        </w:rPr>
      </w:pPr>
      <w:r w:rsidRPr="001E4272">
        <w:rPr>
          <w:b/>
          <w:noProof/>
        </w:rPr>
        <w:t>Σύστημα διαχείρισης υποθέσεων</w:t>
      </w:r>
    </w:p>
    <w:p w14:paraId="5B27ACA8" w14:textId="2FEE5F0F" w:rsidR="00F44CB9" w:rsidRPr="001E4272" w:rsidRDefault="00F27BFA" w:rsidP="00F27BFA">
      <w:pPr>
        <w:pStyle w:val="ManualNumPar1"/>
        <w:rPr>
          <w:noProof/>
        </w:rPr>
      </w:pPr>
      <w:r w:rsidRPr="00F27BFA">
        <w:t>1.</w:t>
      </w:r>
      <w:r w:rsidRPr="00F27BFA">
        <w:tab/>
      </w:r>
      <w:r w:rsidR="00F44CB9" w:rsidRPr="001E4272">
        <w:rPr>
          <w:noProof/>
        </w:rPr>
        <w:t xml:space="preserve">Η Eurojust δημιουργεί σύστημα διαχείρισης υποθέσεων για την επεξεργασία των επιχειρησιακών δεδομένων προσωπικού χαρακτήρα που παρατίθενται στο παράρτημα ΙΙ, των δεδομένων που παρατίθενται στο παράρτημα ΙΙΙ και των δεδομένων μη προσωπικού χαρακτήρα. </w:t>
      </w:r>
    </w:p>
    <w:p w14:paraId="1C178379" w14:textId="54E6A901" w:rsidR="00F44CB9" w:rsidRPr="001E4272" w:rsidRDefault="00F27BFA" w:rsidP="00F27BFA">
      <w:pPr>
        <w:pStyle w:val="ManualNumPar1"/>
        <w:rPr>
          <w:noProof/>
        </w:rPr>
      </w:pPr>
      <w:r w:rsidRPr="00F27BFA">
        <w:t>2.</w:t>
      </w:r>
      <w:r w:rsidRPr="00F27BFA">
        <w:tab/>
      </w:r>
      <w:r w:rsidR="00F44CB9" w:rsidRPr="001E4272">
        <w:rPr>
          <w:noProof/>
        </w:rPr>
        <w:t>Σκοποί του συστήματος διαχείρισης υποθέσεων είναι:</w:t>
      </w:r>
    </w:p>
    <w:p w14:paraId="4D1B75A6" w14:textId="098E59EF" w:rsidR="00F44CB9" w:rsidRPr="001E4272" w:rsidRDefault="00712530" w:rsidP="00712530">
      <w:pPr>
        <w:pStyle w:val="Point2"/>
        <w:rPr>
          <w:noProof/>
        </w:rPr>
      </w:pPr>
      <w:r w:rsidRPr="001E4272">
        <w:rPr>
          <w:noProof/>
        </w:rPr>
        <w:t>α)</w:t>
      </w:r>
      <w:r w:rsidRPr="001E4272">
        <w:rPr>
          <w:noProof/>
        </w:rPr>
        <w:tab/>
      </w:r>
      <w:r w:rsidR="00F44CB9" w:rsidRPr="001E4272">
        <w:rPr>
          <w:noProof/>
        </w:rPr>
        <w:t>να υποστηρίζει τη διαχείριση και τον συντονισμό των ερευνών και διώξεων στις οποίες παρέχει συνδρομή η Eurojust·</w:t>
      </w:r>
    </w:p>
    <w:p w14:paraId="317D4017" w14:textId="1FEFF80D" w:rsidR="00AB63ED" w:rsidRPr="001E4272" w:rsidRDefault="00712530" w:rsidP="00712530">
      <w:pPr>
        <w:pStyle w:val="Point2"/>
        <w:rPr>
          <w:noProof/>
        </w:rPr>
      </w:pPr>
      <w:r w:rsidRPr="001E4272">
        <w:rPr>
          <w:noProof/>
        </w:rPr>
        <w:t>β)</w:t>
      </w:r>
      <w:r w:rsidRPr="001E4272">
        <w:rPr>
          <w:noProof/>
        </w:rPr>
        <w:tab/>
      </w:r>
      <w:r w:rsidR="00F44CB9" w:rsidRPr="001E4272">
        <w:rPr>
          <w:noProof/>
        </w:rPr>
        <w:t>να διασφαλίζει την ασφαλή πρόσβαση σε πληροφορίες και την ανταλλαγή πληροφοριών σχετικά με διεξαγόμενες έρευνες και διώξεις·</w:t>
      </w:r>
    </w:p>
    <w:p w14:paraId="2D108394" w14:textId="0908EE16" w:rsidR="00AB63ED" w:rsidRPr="001E4272" w:rsidRDefault="00712530" w:rsidP="00712530">
      <w:pPr>
        <w:pStyle w:val="Point2"/>
        <w:rPr>
          <w:noProof/>
        </w:rPr>
      </w:pPr>
      <w:r w:rsidRPr="001E4272">
        <w:rPr>
          <w:noProof/>
        </w:rPr>
        <w:t>γ)</w:t>
      </w:r>
      <w:r w:rsidRPr="001E4272">
        <w:rPr>
          <w:noProof/>
        </w:rPr>
        <w:tab/>
      </w:r>
      <w:r w:rsidR="00F44CB9" w:rsidRPr="001E4272">
        <w:rPr>
          <w:noProof/>
        </w:rPr>
        <w:t>να καθιστά δυνατή τη διασταύρωση στοιχείων και τη διαπίστωση διασυνδέσεων·</w:t>
      </w:r>
    </w:p>
    <w:p w14:paraId="6D949AB5" w14:textId="0E8E4D1B" w:rsidR="00AB63ED" w:rsidRPr="001E4272" w:rsidRDefault="00712530" w:rsidP="00712530">
      <w:pPr>
        <w:pStyle w:val="Point2"/>
        <w:rPr>
          <w:noProof/>
        </w:rPr>
      </w:pPr>
      <w:r w:rsidRPr="001E4272">
        <w:rPr>
          <w:noProof/>
        </w:rPr>
        <w:t>δ)</w:t>
      </w:r>
      <w:r w:rsidRPr="001E4272">
        <w:rPr>
          <w:noProof/>
        </w:rPr>
        <w:tab/>
      </w:r>
      <w:r w:rsidR="00F44CB9" w:rsidRPr="001E4272">
        <w:rPr>
          <w:noProof/>
        </w:rPr>
        <w:t>να καθιστά δυνατή την εξαγωγή δεδομένων για επιχειρησιακούς και στατιστικούς σκοπούς·</w:t>
      </w:r>
    </w:p>
    <w:p w14:paraId="78FFF8B4" w14:textId="2C49FBC7" w:rsidR="00F44CB9" w:rsidRPr="001E4272" w:rsidRDefault="00712530" w:rsidP="00712530">
      <w:pPr>
        <w:pStyle w:val="Point2"/>
        <w:rPr>
          <w:noProof/>
        </w:rPr>
      </w:pPr>
      <w:r w:rsidRPr="001E4272">
        <w:rPr>
          <w:noProof/>
        </w:rPr>
        <w:t>ε)</w:t>
      </w:r>
      <w:r w:rsidRPr="001E4272">
        <w:rPr>
          <w:noProof/>
        </w:rPr>
        <w:tab/>
      </w:r>
      <w:r w:rsidR="00F44CB9" w:rsidRPr="001E4272">
        <w:rPr>
          <w:noProof/>
        </w:rPr>
        <w:t>να διευκολύνει την παρακολούθηση, ώστε να διασφαλίζεται η σύννομη επεξεργασία των επιχειρησιακών δεδομένων προσωπικού χαρακτήρα σύμφωνα με τον παρόντα κανονισμό και τους ισχύοντες κανόνες για την προστασία των δεδομένων.</w:t>
      </w:r>
    </w:p>
    <w:p w14:paraId="0EF50169" w14:textId="4CA0EE66" w:rsidR="00F44CB9" w:rsidRPr="001E4272" w:rsidRDefault="00F27BFA" w:rsidP="00F27BFA">
      <w:pPr>
        <w:pStyle w:val="ManualNumPar1"/>
        <w:rPr>
          <w:noProof/>
        </w:rPr>
      </w:pPr>
      <w:r w:rsidRPr="00F27BFA">
        <w:t>3.</w:t>
      </w:r>
      <w:r w:rsidRPr="00F27BFA">
        <w:tab/>
      </w:r>
      <w:r w:rsidR="00F44CB9" w:rsidRPr="001E4272">
        <w:rPr>
          <w:noProof/>
        </w:rPr>
        <w:t xml:space="preserve">Το σύστημα διαχείρισης υποθέσεων μπορεί να συνδεθεί με την ασφαλή τηλεπικοινωνιακή σύνδεση που προβλέπεται στο άρθρο 9 της απόφασης 2008/976/ΔΕΥ του Συμβουλίου* και με άλλους ασφαλείς διαύλους επικοινωνίας σύμφωνα με το εφαρμοστέο δίκαιο της Ένωσης. </w:t>
      </w:r>
    </w:p>
    <w:p w14:paraId="72050C5F" w14:textId="383B0E50" w:rsidR="00D00582" w:rsidRPr="001E4272" w:rsidRDefault="00F27BFA" w:rsidP="00F27BFA">
      <w:pPr>
        <w:pStyle w:val="ManualNumPar1"/>
        <w:rPr>
          <w:noProof/>
        </w:rPr>
      </w:pPr>
      <w:r w:rsidRPr="00F27BFA">
        <w:t>4.</w:t>
      </w:r>
      <w:r w:rsidRPr="00F27BFA">
        <w:tab/>
      </w:r>
      <w:r w:rsidR="00F44CB9" w:rsidRPr="001E4272">
        <w:rPr>
          <w:noProof/>
        </w:rPr>
        <w:t xml:space="preserve">Κατά την εκτέλεση των καθηκόντων τους, τα εθνικά μέλη μπορούν να επεξεργάζονται δεδομένα προσωπικού χαρακτήρα σχετικά με τις επιμέρους υποθέσεις επί των οποίων εργάζονται, σύμφωνα με τον παρόντα κανονισμό ή άλλες εφαρμοστέες πράξεις. </w:t>
      </w:r>
    </w:p>
    <w:p w14:paraId="6843E1E6" w14:textId="005FBD42" w:rsidR="00F44CB9" w:rsidRPr="001E4272" w:rsidRDefault="00F44CB9" w:rsidP="00197F34">
      <w:pPr>
        <w:pStyle w:val="Text1"/>
        <w:rPr>
          <w:noProof/>
        </w:rPr>
      </w:pPr>
      <w:r w:rsidRPr="001E4272">
        <w:rPr>
          <w:noProof/>
        </w:rPr>
        <w:t>Παρέχουν στον υπεύθυνο προστασίας δεδομένων πρόσβαση στα δεδομένα προσωπικού χαρακτήρα που υποβάλλονται σε επεξεργασία στο σύστημα διαχείρισης υποθέσεων.</w:t>
      </w:r>
    </w:p>
    <w:p w14:paraId="488FD9F5" w14:textId="62001539" w:rsidR="003D3A7C" w:rsidRPr="001E4272" w:rsidRDefault="00F27BFA" w:rsidP="00F27BFA">
      <w:pPr>
        <w:pStyle w:val="ManualNumPar1"/>
        <w:rPr>
          <w:noProof/>
        </w:rPr>
      </w:pPr>
      <w:r w:rsidRPr="00F27BFA">
        <w:t>5.</w:t>
      </w:r>
      <w:r w:rsidRPr="00F27BFA">
        <w:tab/>
      </w:r>
      <w:r w:rsidR="00F44CB9" w:rsidRPr="001E4272">
        <w:rPr>
          <w:noProof/>
        </w:rPr>
        <w:t xml:space="preserve">Για την επεξεργασία επιχειρησιακών δεδομένων προσωπικού χαρακτήρα, η Eurojust δεν επιτρέπεται να δημιουργεί κανένα αυτοματοποιημένο αρχείο δεδομένων πλην του συστήματος διαχείρισης υποθέσεων. </w:t>
      </w:r>
    </w:p>
    <w:p w14:paraId="0F3E1CB5" w14:textId="47A58882" w:rsidR="00F44CB9" w:rsidRPr="001E4272" w:rsidRDefault="00F44CB9" w:rsidP="00197F34">
      <w:pPr>
        <w:pStyle w:val="Text1"/>
        <w:rPr>
          <w:noProof/>
        </w:rPr>
      </w:pPr>
      <w:r w:rsidRPr="001E4272">
        <w:rPr>
          <w:noProof/>
        </w:rPr>
        <w:t>Τα εθνικά μέλη μπορούν, ωστόσο, να αποθηκεύουν προσωρινά και να αναλύουν δεδομένα προσωπικού χαρακτήρα για να καθοριστεί αν αυτά τα δεδομένα είναι σχετικά με τα καθήκοντα της Eurojust και μπορούν να περιληφθούν στο σύστημα διαχείρισης επιχειρησιακών δεδομένων. Τα εν λόγω δεδομένα μπορούν να διατηρούνται για έως τρεις μήνες.</w:t>
      </w:r>
    </w:p>
    <w:p w14:paraId="1B126C4B" w14:textId="094B07C3" w:rsidR="00AB63ED" w:rsidRPr="001E4272" w:rsidRDefault="00AB63ED" w:rsidP="00BE7C1D">
      <w:pPr>
        <w:jc w:val="center"/>
        <w:rPr>
          <w:i/>
          <w:noProof/>
        </w:rPr>
      </w:pPr>
      <w:r w:rsidRPr="001E4272">
        <w:rPr>
          <w:i/>
          <w:noProof/>
        </w:rPr>
        <w:t>Άρθρο 24</w:t>
      </w:r>
    </w:p>
    <w:p w14:paraId="2CD1424D" w14:textId="7AF53478" w:rsidR="00AB63ED" w:rsidRPr="001E4272" w:rsidRDefault="00AB63ED" w:rsidP="00BE7C1D">
      <w:pPr>
        <w:jc w:val="center"/>
        <w:rPr>
          <w:b/>
          <w:noProof/>
        </w:rPr>
      </w:pPr>
      <w:r w:rsidRPr="001E4272">
        <w:rPr>
          <w:b/>
          <w:noProof/>
        </w:rPr>
        <w:t>Διαχείριση των πληροφοριών στο σύστημα διαχείρισης υποθέσεων</w:t>
      </w:r>
    </w:p>
    <w:p w14:paraId="5F29910B" w14:textId="633421C3" w:rsidR="00D00582" w:rsidRPr="001E4272" w:rsidRDefault="00F27BFA" w:rsidP="00F27BFA">
      <w:pPr>
        <w:pStyle w:val="ManualNumPar1"/>
        <w:rPr>
          <w:noProof/>
        </w:rPr>
      </w:pPr>
      <w:r w:rsidRPr="00F27BFA">
        <w:t>1.</w:t>
      </w:r>
      <w:r w:rsidRPr="00F27BFA">
        <w:tab/>
      </w:r>
      <w:r w:rsidR="00AB63ED" w:rsidRPr="001E4272">
        <w:rPr>
          <w:noProof/>
        </w:rPr>
        <w:t xml:space="preserve">Το εθνικό μέλος αποθηκεύει τις πληροφορίες που του διαβιβάζονται σύμφωνα με τον παρόντα κανονισμό ή άλλες εφαρμοστέες πράξεις στο σύστημα διαχείρισης υποθέσεων. </w:t>
      </w:r>
    </w:p>
    <w:p w14:paraId="72E961A1" w14:textId="2E36E498" w:rsidR="00AB63ED" w:rsidRPr="001E4272" w:rsidRDefault="00AB63ED" w:rsidP="00197F34">
      <w:pPr>
        <w:pStyle w:val="Text1"/>
        <w:rPr>
          <w:noProof/>
        </w:rPr>
      </w:pPr>
      <w:r w:rsidRPr="001E4272">
        <w:rPr>
          <w:noProof/>
        </w:rPr>
        <w:t xml:space="preserve">Το εθνικό μέλος είναι υπεύθυνο για τη διαχείριση των δεδομένων τα οποία επεξεργάζεται το εν λόγω εθνικό μέλος. </w:t>
      </w:r>
    </w:p>
    <w:p w14:paraId="7E535FA3" w14:textId="5415CBB1" w:rsidR="00AB63ED" w:rsidRPr="001E4272" w:rsidRDefault="00F27BFA" w:rsidP="00F27BFA">
      <w:pPr>
        <w:pStyle w:val="ManualNumPar1"/>
        <w:rPr>
          <w:noProof/>
        </w:rPr>
      </w:pPr>
      <w:r w:rsidRPr="00F27BFA">
        <w:t>2.</w:t>
      </w:r>
      <w:r w:rsidRPr="00F27BFA">
        <w:tab/>
      </w:r>
      <w:r w:rsidR="00AB63ED" w:rsidRPr="001E4272">
        <w:rPr>
          <w:noProof/>
        </w:rPr>
        <w:t>Το εθνικό μέλος αποφασίζει, κατά περίπτωση, αν θα περιορίσει την πρόσβαση στις πληροφορίες ή αν θα παράσχει πρόσβαση σε αυτές, εν όλω ή εν μέρει, σε άλλα εθνικά μέλη, σε εισαγγελείς-συνδέσμους που είναι αποσπασμένοι στην Eurojust, σε εξουσιοδοτημένα μέλη του προσωπικού της Eurojust ή σε οποιοδήποτε άλλο πρόσωπο το οποίο εργάζεται για λογαριασμό της Eurojust και έχει εξασφαλίσει την απαραίτητη εξουσιοδότηση από τον διοικητικό διευθυντή.</w:t>
      </w:r>
    </w:p>
    <w:p w14:paraId="5F88DDAF" w14:textId="548A2E0F" w:rsidR="00AB63ED" w:rsidRPr="001E4272" w:rsidRDefault="00F27BFA" w:rsidP="00F27BFA">
      <w:pPr>
        <w:pStyle w:val="ManualNumPar1"/>
        <w:rPr>
          <w:noProof/>
        </w:rPr>
      </w:pPr>
      <w:r w:rsidRPr="00F27BFA">
        <w:t>3.</w:t>
      </w:r>
      <w:r w:rsidRPr="00F27BFA">
        <w:tab/>
      </w:r>
      <w:r w:rsidR="00AB63ED" w:rsidRPr="001E4272">
        <w:rPr>
          <w:noProof/>
        </w:rPr>
        <w:t>Το εθνικό μέλος υποδεικνύει, με γενικούς ή ειδικούς όρους, τους τυχόν περιορισμούς όσον αφορά τον περαιτέρω χειρισμό, την πρόσβαση και τη διαβίβαση των πληροφοριών εάν έχει εντοπιστεί διασύνδεση κατά τα αναφερόμενα στο άρθρο 23 παράγραφος 2 στοιχείο γ).</w:t>
      </w:r>
    </w:p>
    <w:p w14:paraId="20AD6AF4" w14:textId="6BDD8F56" w:rsidR="00E11514" w:rsidRPr="001E4272" w:rsidRDefault="00E11514" w:rsidP="00BE7C1D">
      <w:pPr>
        <w:rPr>
          <w:i/>
          <w:noProof/>
        </w:rPr>
      </w:pPr>
    </w:p>
    <w:p w14:paraId="119E9CE4" w14:textId="27B2068F" w:rsidR="00E11514" w:rsidRPr="001E4272" w:rsidRDefault="00AF46FC">
      <w:pPr>
        <w:ind w:left="720"/>
        <w:jc w:val="center"/>
        <w:rPr>
          <w:i/>
          <w:noProof/>
        </w:rPr>
      </w:pPr>
      <w:r w:rsidRPr="001E4272">
        <w:rPr>
          <w:i/>
          <w:noProof/>
          <w:color w:val="000000" w:themeColor="text1"/>
        </w:rPr>
        <w:t>Άρθρο 25</w:t>
      </w:r>
    </w:p>
    <w:p w14:paraId="0CF5A103" w14:textId="77777777" w:rsidR="00484A0E" w:rsidRPr="001E4272" w:rsidRDefault="00484A0E">
      <w:pPr>
        <w:ind w:left="720"/>
        <w:jc w:val="center"/>
        <w:rPr>
          <w:b/>
          <w:noProof/>
        </w:rPr>
      </w:pPr>
      <w:r w:rsidRPr="001E4272">
        <w:rPr>
          <w:b/>
          <w:noProof/>
          <w:color w:val="000000" w:themeColor="text1"/>
        </w:rPr>
        <w:t>Πρόσβαση στο σύστημα διαχείρισης υποθέσεων σε εθνικό επίπεδο</w:t>
      </w:r>
    </w:p>
    <w:p w14:paraId="462E9CD2" w14:textId="7E8878AB" w:rsidR="00484A0E" w:rsidRPr="001E4272" w:rsidRDefault="00F27BFA" w:rsidP="00F27BFA">
      <w:pPr>
        <w:pStyle w:val="ManualNumPar1"/>
        <w:rPr>
          <w:noProof/>
        </w:rPr>
      </w:pPr>
      <w:r w:rsidRPr="00F27BFA">
        <w:t>1.</w:t>
      </w:r>
      <w:r w:rsidRPr="00F27BFA">
        <w:tab/>
      </w:r>
      <w:r w:rsidR="00484A0E" w:rsidRPr="001E4272">
        <w:rPr>
          <w:noProof/>
        </w:rPr>
        <w:t>Στον βαθμό που είναι συνδεδεμένα με το σύστημα διαχείρισης υποθέσεων, τα πρόσωπα που αναφέρονται στο άρθρο 20 παράγραφος 3 έχουν πρόσβαση μόνο:</w:t>
      </w:r>
    </w:p>
    <w:p w14:paraId="05430EFE" w14:textId="5FB1D98F" w:rsidR="00DB590A" w:rsidRPr="001E4272" w:rsidRDefault="00712530" w:rsidP="00712530">
      <w:pPr>
        <w:pStyle w:val="Point2"/>
        <w:rPr>
          <w:noProof/>
        </w:rPr>
      </w:pPr>
      <w:r w:rsidRPr="001E4272">
        <w:rPr>
          <w:noProof/>
        </w:rPr>
        <w:t>α)</w:t>
      </w:r>
      <w:r w:rsidRPr="001E4272">
        <w:rPr>
          <w:noProof/>
        </w:rPr>
        <w:tab/>
      </w:r>
      <w:r w:rsidR="003D3A7C" w:rsidRPr="001E4272">
        <w:rPr>
          <w:noProof/>
        </w:rPr>
        <w:t>στα δεδομένα που ελέγχονται από το εθνικό μέλος του κράτους μέλους τους, εκτός εάν το εθνικό μέλος το οποίο αποφάσισε να εισαγάγει τα δεδομένα στο σύστημα διαχείρισης υποθέσεων έχει αρνηθεί ρητά την πρόσβαση αυτή·</w:t>
      </w:r>
    </w:p>
    <w:p w14:paraId="78A2CC8F" w14:textId="0EB6236E" w:rsidR="00DB590A" w:rsidRPr="001E4272" w:rsidRDefault="00712530" w:rsidP="00712530">
      <w:pPr>
        <w:pStyle w:val="Point2"/>
        <w:rPr>
          <w:noProof/>
        </w:rPr>
      </w:pPr>
      <w:r w:rsidRPr="001E4272">
        <w:rPr>
          <w:noProof/>
        </w:rPr>
        <w:t>β)</w:t>
      </w:r>
      <w:r w:rsidRPr="001E4272">
        <w:rPr>
          <w:noProof/>
        </w:rPr>
        <w:tab/>
      </w:r>
      <w:r w:rsidR="003D3A7C" w:rsidRPr="001E4272">
        <w:rPr>
          <w:noProof/>
        </w:rPr>
        <w:t>στα δεδομένα που ελέγχονται από εθνικά μέλη άλλων κρατών μελών και στα οποία έχει πρόσβαση το εθνικό μέλος του κράτους μέλους τους, εκτός εάν το εθνικό μέλος το οποίο ελέγχει τα δεδομένα έχει αρνηθεί ρητά την πρόσβαση αυτή.</w:t>
      </w:r>
    </w:p>
    <w:p w14:paraId="188E8330" w14:textId="3D0B88B6" w:rsidR="00DB590A" w:rsidRPr="001E4272" w:rsidRDefault="00F27BFA" w:rsidP="00F27BFA">
      <w:pPr>
        <w:pStyle w:val="ManualNumPar1"/>
        <w:rPr>
          <w:noProof/>
        </w:rPr>
      </w:pPr>
      <w:r w:rsidRPr="00F27BFA">
        <w:t>2.</w:t>
      </w:r>
      <w:r w:rsidRPr="00F27BFA">
        <w:tab/>
      </w:r>
      <w:r w:rsidR="00DB590A" w:rsidRPr="001E4272">
        <w:rPr>
          <w:noProof/>
        </w:rPr>
        <w:t>Το εθνικό μέλος, εντός των ορίων που προβλέπονται στην παράγραφο 1 του παρόντος άρθρου, αποφασίζει σχετικά με τον βαθμό πρόσβασης που παρέχεται στο κράτος μέλος του στα πρόσωπα που αναφέρονται στο άρθρο 20 παράγραφος 3, στον βαθμό που είναι συνδεδεμένα με το σύστημα διαχείρισης υποθέσεων.</w:t>
      </w:r>
    </w:p>
    <w:p w14:paraId="1B9F558A" w14:textId="582275BC" w:rsidR="003D3A7C" w:rsidRPr="001E4272" w:rsidRDefault="00F27BFA" w:rsidP="00F27BFA">
      <w:pPr>
        <w:pStyle w:val="ManualNumPar1"/>
        <w:rPr>
          <w:noProof/>
        </w:rPr>
      </w:pPr>
      <w:r w:rsidRPr="00F27BFA">
        <w:t>3.</w:t>
      </w:r>
      <w:r w:rsidRPr="00F27BFA">
        <w:tab/>
      </w:r>
      <w:r w:rsidR="00DB590A" w:rsidRPr="001E4272">
        <w:rPr>
          <w:noProof/>
        </w:rPr>
        <w:t>Κάθε κράτος μέλος αποφασίζει, έπειτα από διαβούλευση με το εθνικό του μέλος, ως προς τον βαθμό πρόσβασης που παρέχεται στο εν λόγω κράτος μέλος στα πρόσωπα που αναφέρονται στο άρθρο 20 παράγραφος 3, στον βαθμό που είναι συνδεδεμένα με το σύστημα διαχείρισης υποθέσεων.</w:t>
      </w:r>
    </w:p>
    <w:p w14:paraId="4B4D2ED5" w14:textId="40B83F87" w:rsidR="003D3A7C" w:rsidRPr="001E4272" w:rsidRDefault="00DB590A" w:rsidP="006121D0">
      <w:pPr>
        <w:pStyle w:val="Text1"/>
        <w:rPr>
          <w:noProof/>
        </w:rPr>
      </w:pPr>
      <w:r w:rsidRPr="001E4272">
        <w:rPr>
          <w:noProof/>
        </w:rPr>
        <w:t>Τα κράτη μέλη κοινοποιούν στην Eurojust και στην Επιτροπή την απόφασή τους όσον αφορά την εφαρμογή του πρώτου εδαφίου. Η Επιτροπή ενημερώνει σχετικά τα λοιπά κράτη μέλη.</w:t>
      </w:r>
    </w:p>
    <w:p w14:paraId="2D0EBE8F" w14:textId="2A93264C" w:rsidR="003D3A7C" w:rsidRPr="001E4272" w:rsidRDefault="003D3A7C" w:rsidP="00197F34">
      <w:pPr>
        <w:pStyle w:val="Text1"/>
        <w:rPr>
          <w:noProof/>
        </w:rPr>
      </w:pPr>
      <w:r w:rsidRPr="001E4272">
        <w:rPr>
          <w:noProof/>
        </w:rPr>
        <w:t>___________</w:t>
      </w:r>
    </w:p>
    <w:p w14:paraId="20481868" w14:textId="751B5D42" w:rsidR="00AF46FC" w:rsidRPr="001E4272" w:rsidRDefault="003D3A7C" w:rsidP="00197F34">
      <w:pPr>
        <w:pStyle w:val="Text1"/>
        <w:rPr>
          <w:noProof/>
        </w:rPr>
      </w:pPr>
      <w:r w:rsidRPr="001E4272">
        <w:rPr>
          <w:noProof/>
        </w:rPr>
        <w:t>* Απόφαση 2008/976/ΔΕΥ του Συμβουλίου, της 16ης Δεκεμβρίου 2008, σχετικά με το ευρωπαϊκό δικαστικό δίκτυο (ΕΕ L 348 της 24.12.2008, σ. 130).</w:t>
      </w:r>
      <w:r w:rsidRPr="001E4272">
        <w:rPr>
          <w:noProof/>
          <w:color w:val="000000" w:themeColor="text1"/>
        </w:rPr>
        <w:t>»·</w:t>
      </w:r>
    </w:p>
    <w:p w14:paraId="08DD174A" w14:textId="29C3FBF9" w:rsidR="00862E51" w:rsidRPr="001E4272" w:rsidRDefault="00712530" w:rsidP="00712530">
      <w:pPr>
        <w:pStyle w:val="Point0"/>
        <w:rPr>
          <w:noProof/>
        </w:rPr>
      </w:pPr>
      <w:r w:rsidRPr="001E4272">
        <w:rPr>
          <w:noProof/>
        </w:rPr>
        <w:t>7)</w:t>
      </w:r>
      <w:r w:rsidRPr="001E4272">
        <w:rPr>
          <w:noProof/>
        </w:rPr>
        <w:tab/>
      </w:r>
      <w:r w:rsidR="00862E51" w:rsidRPr="001E4272">
        <w:rPr>
          <w:noProof/>
        </w:rPr>
        <w:t>το άρθρο 27 τροποποιείται ως εξής:</w:t>
      </w:r>
    </w:p>
    <w:p w14:paraId="24D32CA1" w14:textId="0DF18704" w:rsidR="00862E51" w:rsidRPr="001E4272" w:rsidRDefault="00712530" w:rsidP="00712530">
      <w:pPr>
        <w:pStyle w:val="Point1"/>
        <w:rPr>
          <w:noProof/>
        </w:rPr>
      </w:pPr>
      <w:r w:rsidRPr="001E4272">
        <w:rPr>
          <w:noProof/>
        </w:rPr>
        <w:t>α)</w:t>
      </w:r>
      <w:r w:rsidRPr="001E4272">
        <w:rPr>
          <w:noProof/>
        </w:rPr>
        <w:tab/>
      </w:r>
      <w:r w:rsidR="00862E51" w:rsidRPr="001E4272">
        <w:rPr>
          <w:noProof/>
        </w:rPr>
        <w:t>η παράγραφος 4 αντικαθίσταται από το ακόλουθο κείμενο:</w:t>
      </w:r>
    </w:p>
    <w:p w14:paraId="5463DF8C" w14:textId="35221709" w:rsidR="00003299" w:rsidRPr="001E4272" w:rsidRDefault="00862E51" w:rsidP="006A0D14">
      <w:pPr>
        <w:ind w:left="720"/>
        <w:rPr>
          <w:noProof/>
        </w:rPr>
      </w:pPr>
      <w:r w:rsidRPr="001E4272">
        <w:rPr>
          <w:noProof/>
        </w:rPr>
        <w:t>«4. Η Eurojust μπορεί να επεξεργάζεται ειδικές κατηγορίες επιχειρησιακών δεδομένων προσωπικού χαρακτήρα σύμφωνα με το άρθρο 76 του κανονισμού (ΕΕ) 2018/1725. Αν τα δεδομένα αυτά αφορούν μάρτυρες ή θύματα κατά την έννοια της παραγράφου 2 του παρόντος άρθρου, η απόφαση για την επεξεργασία τους λαμβάνεται από τα οικεία εθνικά μέλη.»·</w:t>
      </w:r>
    </w:p>
    <w:p w14:paraId="1683ED81" w14:textId="16A286E2" w:rsidR="00862E51" w:rsidRPr="001E4272" w:rsidRDefault="00712530" w:rsidP="00712530">
      <w:pPr>
        <w:pStyle w:val="Point1"/>
        <w:rPr>
          <w:noProof/>
        </w:rPr>
      </w:pPr>
      <w:r w:rsidRPr="001E4272">
        <w:rPr>
          <w:noProof/>
        </w:rPr>
        <w:t>β)</w:t>
      </w:r>
      <w:r w:rsidRPr="001E4272">
        <w:rPr>
          <w:noProof/>
        </w:rPr>
        <w:tab/>
      </w:r>
      <w:r w:rsidR="00E11514" w:rsidRPr="001E4272">
        <w:rPr>
          <w:noProof/>
        </w:rPr>
        <w:t>προστίθεται η ακόλουθη παράγραφος 5:</w:t>
      </w:r>
    </w:p>
    <w:p w14:paraId="1E60DD4A" w14:textId="621DEB4E" w:rsidR="0092153D" w:rsidRPr="001E4272" w:rsidRDefault="00AF46FC" w:rsidP="006A0D14">
      <w:pPr>
        <w:ind w:left="720"/>
        <w:rPr>
          <w:noProof/>
        </w:rPr>
      </w:pPr>
      <w:r w:rsidRPr="001E4272">
        <w:rPr>
          <w:noProof/>
        </w:rPr>
        <w:t>«5. Όταν διαβιβάζονται επιχειρησιακά δεδομένα προσωπικού χαρακτήρα σύμφωνα με το άρθρο 21α, η Eurojust μπορεί να επεξεργάζεται τα επιχειρησιακά δεδομένα προσωπικού χαρακτήρα που παρατίθενται στο παράρτημα ΙΙΙ τα οποία αφορούν τα ακόλουθα πρόσωπα:</w:t>
      </w:r>
    </w:p>
    <w:p w14:paraId="2F1820E8" w14:textId="23DD7EB0" w:rsidR="00197F34" w:rsidRPr="001E4272" w:rsidRDefault="00712530" w:rsidP="00712530">
      <w:pPr>
        <w:pStyle w:val="Point2"/>
        <w:rPr>
          <w:noProof/>
        </w:rPr>
      </w:pPr>
      <w:r w:rsidRPr="001E4272">
        <w:rPr>
          <w:noProof/>
        </w:rPr>
        <w:t>α)</w:t>
      </w:r>
      <w:r w:rsidRPr="001E4272">
        <w:rPr>
          <w:noProof/>
        </w:rPr>
        <w:tab/>
      </w:r>
      <w:r w:rsidR="0083191B" w:rsidRPr="001E4272">
        <w:rPr>
          <w:noProof/>
        </w:rPr>
        <w:t>πρόσωπα για τα οποία, κατά το εθνικό δίκαιο του οικείου κράτους μέλους, υπάρχουν σοβαροί λόγοι από τους οποίους συνάγεται ότι έχουν διαπράξει ή είναι έτοιμα να διαπράξουν ποινικό αδίκημα για το οποίο είναι αρμόδια η Eurojust·</w:t>
      </w:r>
    </w:p>
    <w:p w14:paraId="2E3F6E0A" w14:textId="1C9202C6" w:rsidR="00197F34" w:rsidRPr="001E4272" w:rsidRDefault="00712530" w:rsidP="00712530">
      <w:pPr>
        <w:pStyle w:val="Point2"/>
        <w:rPr>
          <w:noProof/>
        </w:rPr>
      </w:pPr>
      <w:r w:rsidRPr="001E4272">
        <w:rPr>
          <w:noProof/>
        </w:rPr>
        <w:t>β)</w:t>
      </w:r>
      <w:r w:rsidRPr="001E4272">
        <w:rPr>
          <w:noProof/>
        </w:rPr>
        <w:tab/>
      </w:r>
      <w:r w:rsidR="0083191B" w:rsidRPr="001E4272">
        <w:rPr>
          <w:noProof/>
        </w:rPr>
        <w:t>πρόσωπα που έχουν καταδικαστεί για τέτοιο αδίκημα.</w:t>
      </w:r>
    </w:p>
    <w:p w14:paraId="212F6D9A" w14:textId="4AD594B1" w:rsidR="00E11514" w:rsidRPr="001E4272" w:rsidRDefault="00AF46FC" w:rsidP="00FE2273">
      <w:pPr>
        <w:pStyle w:val="Text1"/>
        <w:rPr>
          <w:noProof/>
        </w:rPr>
      </w:pPr>
      <w:r w:rsidRPr="001E4272">
        <w:rPr>
          <w:noProof/>
        </w:rPr>
        <w:t>Η Eurojust μπορεί να συνεχίσει την επεξεργασία των επιχειρησιακών δεδομένων προσωπικού χαρακτήρα που αναφέρονται στο πρώτο εδάφιο στοιχείο α) και μετά την ολοκλήρωση της διαδικασίας σύμφωνα με το εθνικό δίκαιο του οικείου κράτους μέλους, ακόμη και σε περίπτωση αθώωσης. Στις περιπτώσεις στις οποίες η διαδικασία δεν κατέληξε σε καταδίκη, η επεξεργασία δεδομένων προσωπικού χαρακτήρα μπορεί να πραγματοποιηθεί μόνο για τον εντοπισμό δεσμών με άλλες διεξαγόμενες ή περατωθείσες έρευνες και διώξεις κατά τα αναφερόμενα στο άρθρο 23 παράγραφος 2 στοιχείο γ).»·</w:t>
      </w:r>
    </w:p>
    <w:p w14:paraId="338C751A" w14:textId="406D1A01" w:rsidR="00AB63ED" w:rsidRPr="001E4272" w:rsidRDefault="00712530" w:rsidP="00712530">
      <w:pPr>
        <w:pStyle w:val="Point0"/>
        <w:rPr>
          <w:noProof/>
        </w:rPr>
      </w:pPr>
      <w:r w:rsidRPr="001E4272">
        <w:rPr>
          <w:noProof/>
        </w:rPr>
        <w:t>8)</w:t>
      </w:r>
      <w:r w:rsidRPr="001E4272">
        <w:rPr>
          <w:noProof/>
        </w:rPr>
        <w:tab/>
      </w:r>
      <w:r w:rsidR="00E11514" w:rsidRPr="001E4272">
        <w:rPr>
          <w:noProof/>
        </w:rPr>
        <w:t>το άρθρο 29 τροποποιείται ως εξής:</w:t>
      </w:r>
    </w:p>
    <w:p w14:paraId="2E753D37" w14:textId="05A7119A" w:rsidR="00AF46FC" w:rsidRPr="001E4272" w:rsidRDefault="00712530" w:rsidP="00712530">
      <w:pPr>
        <w:pStyle w:val="Point1"/>
        <w:rPr>
          <w:noProof/>
        </w:rPr>
      </w:pPr>
      <w:r w:rsidRPr="001E4272">
        <w:rPr>
          <w:noProof/>
        </w:rPr>
        <w:t>α)</w:t>
      </w:r>
      <w:r w:rsidRPr="001E4272">
        <w:rPr>
          <w:noProof/>
        </w:rPr>
        <w:tab/>
      </w:r>
      <w:r w:rsidR="00AF46FC" w:rsidRPr="001E4272">
        <w:rPr>
          <w:noProof/>
        </w:rPr>
        <w:t>προστίθεται η ακόλουθη παράγραφος 1α:</w:t>
      </w:r>
    </w:p>
    <w:p w14:paraId="62BA277E" w14:textId="3FA9A235" w:rsidR="00AF46FC" w:rsidRPr="001E4272" w:rsidRDefault="00AF46FC" w:rsidP="00197F34">
      <w:pPr>
        <w:pStyle w:val="Text1"/>
        <w:rPr>
          <w:noProof/>
        </w:rPr>
      </w:pPr>
      <w:r w:rsidRPr="001E4272">
        <w:rPr>
          <w:noProof/>
        </w:rPr>
        <w:t>«1α. Η Eurojust δεν διατηρεί επιχειρησιακά δεδομένα προσωπικού χαρακτήρα που διαβιβάζονται σύμφωνα με το άρθρο 21α πέραν από την πρώτη ισχύουσα ημερομηνία μεταξύ των ακολούθων:</w:t>
      </w:r>
    </w:p>
    <w:p w14:paraId="1A89F5AD" w14:textId="6B65AE37" w:rsidR="00AF46FC" w:rsidRPr="001E4272" w:rsidRDefault="00712530" w:rsidP="00712530">
      <w:pPr>
        <w:pStyle w:val="Point2"/>
        <w:rPr>
          <w:noProof/>
        </w:rPr>
      </w:pPr>
      <w:r w:rsidRPr="001E4272">
        <w:rPr>
          <w:noProof/>
        </w:rPr>
        <w:t>α)</w:t>
      </w:r>
      <w:r w:rsidRPr="001E4272">
        <w:rPr>
          <w:noProof/>
        </w:rPr>
        <w:tab/>
      </w:r>
      <w:r w:rsidR="00AF46FC" w:rsidRPr="001E4272">
        <w:rPr>
          <w:noProof/>
        </w:rPr>
        <w:t>την ημερομηνία λήξης της προθεσμίας παραγραφής της ποινικής δίωξης σε όλα τα κράτη μέλη τα οποία αφορά η έρευνα και οι διώξεις·</w:t>
      </w:r>
    </w:p>
    <w:p w14:paraId="39A2ACB7" w14:textId="3ECDD79A" w:rsidR="00AF46FC" w:rsidRPr="001E4272" w:rsidRDefault="00712530" w:rsidP="00712530">
      <w:pPr>
        <w:pStyle w:val="Point2"/>
        <w:rPr>
          <w:noProof/>
        </w:rPr>
      </w:pPr>
      <w:r w:rsidRPr="001E4272">
        <w:rPr>
          <w:noProof/>
        </w:rPr>
        <w:t>β)</w:t>
      </w:r>
      <w:r w:rsidRPr="001E4272">
        <w:rPr>
          <w:noProof/>
        </w:rPr>
        <w:tab/>
      </w:r>
      <w:r w:rsidR="00AF46FC" w:rsidRPr="001E4272">
        <w:rPr>
          <w:noProof/>
        </w:rPr>
        <w:t>5 έτη μετά την ημερομηνία κατά την οποία κατέστη αμετάκλητη η δικαστική απόφαση του τελευταίου των κρατών μελών τα οποία αφορά η έρευνα ή η δίωξη, 3 έτη στην περίπτωση αθώωσης.»·</w:t>
      </w:r>
    </w:p>
    <w:p w14:paraId="30C8AB2B" w14:textId="197F6935" w:rsidR="00AF46FC" w:rsidRPr="001E4272" w:rsidRDefault="00712530" w:rsidP="00712530">
      <w:pPr>
        <w:pStyle w:val="Point1"/>
        <w:rPr>
          <w:noProof/>
        </w:rPr>
      </w:pPr>
      <w:r w:rsidRPr="001E4272">
        <w:rPr>
          <w:noProof/>
        </w:rPr>
        <w:t>β)</w:t>
      </w:r>
      <w:r w:rsidRPr="001E4272">
        <w:rPr>
          <w:noProof/>
        </w:rPr>
        <w:tab/>
      </w:r>
      <w:r w:rsidR="00AF46FC" w:rsidRPr="001E4272">
        <w:rPr>
          <w:noProof/>
        </w:rPr>
        <w:t>οι παράγραφοι 2 και 3 αντικαθίστανται από το ακόλουθο κείμενο:</w:t>
      </w:r>
    </w:p>
    <w:p w14:paraId="260AC566" w14:textId="3C621E04" w:rsidR="00F029EC" w:rsidRPr="001E4272" w:rsidRDefault="00AF46FC" w:rsidP="160710AA">
      <w:pPr>
        <w:pStyle w:val="Text1"/>
        <w:rPr>
          <w:noProof/>
        </w:rPr>
      </w:pPr>
      <w:r w:rsidRPr="001E4272">
        <w:rPr>
          <w:noProof/>
        </w:rPr>
        <w:t xml:space="preserve">«2. Η τήρηση των προθεσμιών διατήρησης που αναφέρονται στις παραγράφους 1 και 1α του παρόντος άρθρου ελέγχεται μονίμως με κατάλληλη αυτοματοποιημένη επεξεργασία που διενεργείται από την Eurojust, ιδίως από τη στιγμή που η Eurojust παύει να παρέχει στήριξη. </w:t>
      </w:r>
    </w:p>
    <w:p w14:paraId="43D2DBDB" w14:textId="77777777" w:rsidR="00F029EC" w:rsidRPr="001E4272" w:rsidRDefault="00AF46FC" w:rsidP="160710AA">
      <w:pPr>
        <w:pStyle w:val="Text1"/>
        <w:rPr>
          <w:noProof/>
        </w:rPr>
      </w:pPr>
      <w:r w:rsidRPr="001E4272">
        <w:rPr>
          <w:noProof/>
        </w:rPr>
        <w:t xml:space="preserve">Διενεργείται επίσης έλεγχος της ανάγκης διατήρησης των δεδομένων ανά τριετία μετά την εισαγωγή τους. </w:t>
      </w:r>
    </w:p>
    <w:p w14:paraId="1D5B5D6D" w14:textId="1B264729" w:rsidR="00AF46FC" w:rsidRPr="001E4272" w:rsidRDefault="00AF46FC" w:rsidP="00BE7C1D">
      <w:pPr>
        <w:pStyle w:val="Text1"/>
        <w:rPr>
          <w:noProof/>
        </w:rPr>
      </w:pPr>
      <w:r w:rsidRPr="001E4272">
        <w:rPr>
          <w:noProof/>
        </w:rPr>
        <w:t>Εάν επιχειρησιακά δεδομένα προσωπικού χαρακτήρα που προβλέπονται στο άρθρο 27 παράγραφος 4 διατηρούνται για περίοδο μεγαλύτερη των πέντε ετών, ενημερώνεται σχετικά ο ΕΕΠΔ.</w:t>
      </w:r>
    </w:p>
    <w:p w14:paraId="67D82DBD" w14:textId="525CC0FF" w:rsidR="00F029EC" w:rsidRPr="001E4272" w:rsidRDefault="00AF46FC" w:rsidP="160710AA">
      <w:pPr>
        <w:pStyle w:val="Text1"/>
        <w:rPr>
          <w:noProof/>
        </w:rPr>
      </w:pPr>
      <w:r w:rsidRPr="001E4272">
        <w:rPr>
          <w:noProof/>
        </w:rPr>
        <w:t xml:space="preserve">3. Πριν λήξει μία από τις προθεσμίες διατήρησης που αναφέρονται στις παραγράφους 1 και 1α, η Eurojust ελέγχει αν είναι ανάγκη να συνεχιστεί η διατήρηση των επιχειρησιακών δεδομένων προσωπικού χαρακτήρα, όταν και για όσο αυτό είναι αναγκαίο για την εκτέλεση των καθηκόντων της. </w:t>
      </w:r>
    </w:p>
    <w:p w14:paraId="5D85FC9F" w14:textId="4B64CAA2" w:rsidR="00AB63ED" w:rsidRPr="001E4272" w:rsidRDefault="00AF46FC" w:rsidP="006A0D14">
      <w:pPr>
        <w:pStyle w:val="Text1"/>
        <w:rPr>
          <w:noProof/>
        </w:rPr>
      </w:pPr>
      <w:r w:rsidRPr="001E4272">
        <w:rPr>
          <w:noProof/>
        </w:rPr>
        <w:t>Μπορεί να αποφασίσει να διατηρήσει, κατά παρέκκλιση, τα δεδομένα αυτά έως τον επόμενο έλεγχο. Παρέχονται και καταγράφονται οι λόγοι για τη συνέχιση της διατήρησης. Εάν δεν ληφθεί απόφαση για συνέχιση της διατήρησης των επιχειρησιακών δεδομένων προσωπικού χαρακτήρα τη στιγμή του ελέγχου, τα δεδομένα αυτά διαγράφονται αυτομάτως.»·</w:t>
      </w:r>
    </w:p>
    <w:p w14:paraId="783950D3" w14:textId="276D1537" w:rsidR="00AB63ED" w:rsidRPr="001E4272" w:rsidRDefault="00712530" w:rsidP="00712530">
      <w:pPr>
        <w:pStyle w:val="Point0"/>
        <w:rPr>
          <w:noProof/>
        </w:rPr>
      </w:pPr>
      <w:r w:rsidRPr="001E4272">
        <w:rPr>
          <w:noProof/>
        </w:rPr>
        <w:t>9)</w:t>
      </w:r>
      <w:r w:rsidRPr="001E4272">
        <w:rPr>
          <w:noProof/>
        </w:rPr>
        <w:tab/>
      </w:r>
      <w:r w:rsidR="00F029EC" w:rsidRPr="001E4272">
        <w:rPr>
          <w:noProof/>
        </w:rPr>
        <w:t>στο τμήμα III, προστίθεται το ακόλουθο άρθρο 54α:</w:t>
      </w:r>
    </w:p>
    <w:p w14:paraId="49DEB287" w14:textId="72A67A76" w:rsidR="00AF46FC" w:rsidRPr="001E4272" w:rsidRDefault="00AF46FC" w:rsidP="00BE7C1D">
      <w:pPr>
        <w:jc w:val="center"/>
        <w:rPr>
          <w:noProof/>
        </w:rPr>
      </w:pPr>
      <w:r w:rsidRPr="001E4272">
        <w:rPr>
          <w:noProof/>
        </w:rPr>
        <w:t>«</w:t>
      </w:r>
      <w:r w:rsidRPr="001E4272">
        <w:rPr>
          <w:i/>
          <w:noProof/>
        </w:rPr>
        <w:t>Άρθρο 54α</w:t>
      </w:r>
    </w:p>
    <w:p w14:paraId="7F73B2E4" w14:textId="75B4C42F" w:rsidR="00AF46FC" w:rsidRPr="001E4272" w:rsidRDefault="00AF46FC" w:rsidP="00BE7C1D">
      <w:pPr>
        <w:jc w:val="center"/>
        <w:rPr>
          <w:b/>
          <w:noProof/>
        </w:rPr>
      </w:pPr>
      <w:r w:rsidRPr="001E4272">
        <w:rPr>
          <w:b/>
          <w:noProof/>
        </w:rPr>
        <w:t>Εισαγγελείς-σύνδεσμοι από τρίτες χώρες</w:t>
      </w:r>
    </w:p>
    <w:p w14:paraId="14A2CA78" w14:textId="3BD43C84" w:rsidR="00AF46FC" w:rsidRPr="001E4272" w:rsidRDefault="00F27BFA" w:rsidP="00F27BFA">
      <w:pPr>
        <w:pStyle w:val="ManualNumPar1"/>
        <w:rPr>
          <w:noProof/>
        </w:rPr>
      </w:pPr>
      <w:r w:rsidRPr="00F27BFA">
        <w:t>1.</w:t>
      </w:r>
      <w:r w:rsidRPr="00F27BFA">
        <w:tab/>
      </w:r>
      <w:r w:rsidR="00AF46FC" w:rsidRPr="001E4272">
        <w:rPr>
          <w:noProof/>
        </w:rPr>
        <w:t>Είναι δυνατή η απόσπαση εισαγγελέα-συνδέσμου από τρίτη χώρα στην Eurojust βάσει συμφωνίας συνεργασίας που έχει συναφθεί πριν από τις 12 Δεκεμβρίου 2019 μεταξύ της Eurojust και της εν λόγω τρίτης χώρας ή βάσει διεθνούς συμφωνίας μεταξύ της Ένωσης και της τρίτης χώρας σύμφωνα με το άρθρο 218 της ΣΛΕΕ που επιτρέπει την απόσπαση εισαγγελέα-συνδέσμου.</w:t>
      </w:r>
    </w:p>
    <w:p w14:paraId="443E17F7" w14:textId="58472145" w:rsidR="00AF46FC" w:rsidRPr="001E4272" w:rsidRDefault="00F27BFA" w:rsidP="00F27BFA">
      <w:pPr>
        <w:pStyle w:val="ManualNumPar1"/>
        <w:rPr>
          <w:noProof/>
        </w:rPr>
      </w:pPr>
      <w:r w:rsidRPr="00F27BFA">
        <w:t>2.</w:t>
      </w:r>
      <w:r w:rsidRPr="00F27BFA">
        <w:tab/>
      </w:r>
      <w:r w:rsidR="00AF46FC" w:rsidRPr="001E4272">
        <w:rPr>
          <w:noProof/>
        </w:rPr>
        <w:t>Τα δικαιώματα και οι υποχρεώσεις του εισαγγελέα-συνδέσμου καθορίζονται στη συμφωνία συνεργασίας ή στη διεθνή συμφωνία που αναφέρεται στην παράγραφο 1 ή σε συμφωνία συνεργασίας που συνάπτεται σύμφωνα με το άρθρο 47 παράγραφος 3.</w:t>
      </w:r>
    </w:p>
    <w:p w14:paraId="3A8318D9" w14:textId="1BEC6E10" w:rsidR="00100645" w:rsidRPr="001E4272" w:rsidRDefault="00F27BFA" w:rsidP="00F27BFA">
      <w:pPr>
        <w:pStyle w:val="ManualNumPar1"/>
        <w:rPr>
          <w:noProof/>
        </w:rPr>
      </w:pPr>
      <w:r w:rsidRPr="00F27BFA">
        <w:t>3.</w:t>
      </w:r>
      <w:r w:rsidRPr="00F27BFA">
        <w:tab/>
      </w:r>
      <w:r w:rsidR="00AF46FC" w:rsidRPr="001E4272">
        <w:rPr>
          <w:noProof/>
        </w:rPr>
        <w:t xml:space="preserve">Στους εισαγγελείς-συνδέσμους που είναι αποσπασμένοι στην Eurojust παρέχεται πρόσβαση στο σύστημα διαχείρισης υποθέσεων για την ασφαλή ανταλλαγή δεδομένων. </w:t>
      </w:r>
    </w:p>
    <w:p w14:paraId="0D13A4DB" w14:textId="1B87FE0D" w:rsidR="00100645" w:rsidRPr="001E4272" w:rsidRDefault="00040C7C" w:rsidP="00197F34">
      <w:pPr>
        <w:pStyle w:val="Text1"/>
        <w:rPr>
          <w:noProof/>
          <w:szCs w:val="24"/>
        </w:rPr>
      </w:pPr>
      <w:r w:rsidRPr="001E4272">
        <w:rPr>
          <w:noProof/>
        </w:rPr>
        <w:t xml:space="preserve">Διαβιβάσεις επιχειρησιακών δεδομένων προσωπικού χαρακτήρα σε εισαγγελείς-συνδέσμους από τρίτες χώρες μέσω του συστήματος διαχείρισης υποθέσεων μπορούν να πραγματοποιούνται μόνο σύμφωνα με τους κανόνες και τους όρους που καθορίζονται στον παρόντα κανονισμό, τη συμφωνία με την αντίστοιχη χώρα ή άλλες εφαρμοστέες νομικές πράξεις. </w:t>
      </w:r>
    </w:p>
    <w:p w14:paraId="3E285C5F" w14:textId="26CF3EBB" w:rsidR="00100645" w:rsidRPr="001E4272" w:rsidRDefault="00AF46FC" w:rsidP="00197F34">
      <w:pPr>
        <w:pStyle w:val="Text1"/>
        <w:rPr>
          <w:noProof/>
        </w:rPr>
      </w:pPr>
      <w:r w:rsidRPr="001E4272">
        <w:rPr>
          <w:noProof/>
        </w:rPr>
        <w:t xml:space="preserve">Το άρθρο 24 παράγραφος 1 δεύτερη περίοδος και το άρθρο 24 παράγραφος 2 εφαρμόζονται αναλογικά στους εισαγγελείς-συνδέσμους. </w:t>
      </w:r>
    </w:p>
    <w:p w14:paraId="63AEAB83" w14:textId="4134614C" w:rsidR="0083191B" w:rsidRPr="001E4272" w:rsidRDefault="00AF46FC" w:rsidP="00197F34">
      <w:pPr>
        <w:pStyle w:val="Text1"/>
        <w:rPr>
          <w:noProof/>
        </w:rPr>
      </w:pPr>
      <w:r w:rsidRPr="001E4272">
        <w:rPr>
          <w:noProof/>
        </w:rPr>
        <w:t>Το συλλογικό όργανο καθορίζει τους λεπτομερείς όρους πρόσβασης.»·</w:t>
      </w:r>
    </w:p>
    <w:p w14:paraId="7D36A68A" w14:textId="397414D3" w:rsidR="00100645" w:rsidRPr="001E4272" w:rsidRDefault="00712530" w:rsidP="00712530">
      <w:pPr>
        <w:pStyle w:val="Point0"/>
        <w:rPr>
          <w:noProof/>
        </w:rPr>
      </w:pPr>
      <w:r w:rsidRPr="001E4272">
        <w:rPr>
          <w:noProof/>
        </w:rPr>
        <w:t>10)</w:t>
      </w:r>
      <w:r w:rsidRPr="001E4272">
        <w:rPr>
          <w:noProof/>
        </w:rPr>
        <w:tab/>
      </w:r>
      <w:r w:rsidR="00100645" w:rsidRPr="001E4272">
        <w:rPr>
          <w:noProof/>
        </w:rPr>
        <w:t>στο άρθρο 80, προστίθενται οι ακόλουθες παράγραφοι 8, 9 και 10:</w:t>
      </w:r>
    </w:p>
    <w:p w14:paraId="12A74771" w14:textId="494CD8B9" w:rsidR="00100645" w:rsidRPr="001E4272" w:rsidRDefault="00100645" w:rsidP="00197F34">
      <w:pPr>
        <w:pStyle w:val="Text1"/>
        <w:rPr>
          <w:noProof/>
        </w:rPr>
      </w:pPr>
      <w:r w:rsidRPr="001E4272">
        <w:rPr>
          <w:noProof/>
        </w:rPr>
        <w:t>«8. Η Eurojust μπορεί να συνεχίσει να χρησιμοποιεί το σύστημα διαχείρισης υποθέσεων που αποτελείται από προσωρινά αρχεία εργασίας και πίνακα έως [</w:t>
      </w:r>
      <w:r w:rsidRPr="001E4272">
        <w:rPr>
          <w:i/>
          <w:noProof/>
        </w:rPr>
        <w:t>την πρώτη ημέρα του μήνα που ακολουθεί την περίοδο των δύο ετών από την έκδοση του παρόντος κανονισμού</w:t>
      </w:r>
      <w:r w:rsidRPr="001E4272">
        <w:rPr>
          <w:noProof/>
        </w:rPr>
        <w:t>], εάν το νέο σύστημα διαχείρισης υποθέσεων δεν έχει ακόμη τεθεί σε εφαρμογή.</w:t>
      </w:r>
    </w:p>
    <w:p w14:paraId="6EDFD07F" w14:textId="71BBC263" w:rsidR="00100645" w:rsidRPr="001E4272" w:rsidRDefault="00100645" w:rsidP="00197F34">
      <w:pPr>
        <w:pStyle w:val="Text1"/>
        <w:rPr>
          <w:noProof/>
        </w:rPr>
      </w:pPr>
      <w:r w:rsidRPr="001E4272">
        <w:rPr>
          <w:noProof/>
        </w:rPr>
        <w:t>9. Οι αρμόδιες αρχές και η Eurojust μπορούν να συνεχίσουν να χρησιμοποιούν άλλους διαύλους επικοινωνίας πέραν αυτών που αναφέρονται στο άρθρο 22α παράγραφος 1 έως [</w:t>
      </w:r>
      <w:r w:rsidRPr="001E4272">
        <w:rPr>
          <w:i/>
          <w:noProof/>
        </w:rPr>
        <w:t>την πρώτη ημέρα του μήνα που ακολουθεί την περίοδο των δύο ετών από την έκδοση της εκτελεστικής πράξης που αναφέρεται στο άρθρο 22β του παρόντος κανονισμού</w:t>
      </w:r>
      <w:r w:rsidRPr="001E4272">
        <w:rPr>
          <w:noProof/>
        </w:rPr>
        <w:t>], εάν οι εν λόγω δίαυλοι επικοινωνίας δεν είναι ακόμη διαθέσιμοι για άμεση ανταλλαγή μεταξύ τους.</w:t>
      </w:r>
    </w:p>
    <w:p w14:paraId="1BA512F1" w14:textId="3DCA5CAE" w:rsidR="00100645" w:rsidRPr="001E4272" w:rsidRDefault="00100645" w:rsidP="00197F34">
      <w:pPr>
        <w:pStyle w:val="Text1"/>
        <w:rPr>
          <w:noProof/>
        </w:rPr>
      </w:pPr>
      <w:r w:rsidRPr="001E4272">
        <w:rPr>
          <w:noProof/>
        </w:rPr>
        <w:t>10. Οι αρμόδιες αρχές μπορούν να συνεχίσουν να παρέχουν πληροφορίες με άλλους τρόπους πέραν του ημιαυτόματου τρόπου σύμφωνα με το άρθρο 22α παράγραφος 3 έως [</w:t>
      </w:r>
      <w:r w:rsidRPr="001E4272">
        <w:rPr>
          <w:i/>
          <w:noProof/>
        </w:rPr>
        <w:t>την πρώτη ημέρα του μήνα που ακολουθεί την περίοδο των δύο ετών από την έκδοση της εκτελεστικής πράξης που αναφέρεται στο άρθρο 22β του παρόντος κανονισμού</w:t>
      </w:r>
      <w:r w:rsidRPr="001E4272">
        <w:rPr>
          <w:noProof/>
        </w:rPr>
        <w:t>], εάν δεν έχουν θεσπιστεί ακόμη οι τεχνικές απαιτήσεις.»·</w:t>
      </w:r>
    </w:p>
    <w:p w14:paraId="41FC739B" w14:textId="116A7FC6" w:rsidR="00E11514" w:rsidRPr="001E4272" w:rsidRDefault="00712530" w:rsidP="00712530">
      <w:pPr>
        <w:pStyle w:val="Point0"/>
        <w:rPr>
          <w:noProof/>
        </w:rPr>
      </w:pPr>
      <w:r w:rsidRPr="001E4272">
        <w:rPr>
          <w:noProof/>
        </w:rPr>
        <w:t>11)</w:t>
      </w:r>
      <w:r w:rsidRPr="001E4272">
        <w:rPr>
          <w:noProof/>
        </w:rPr>
        <w:tab/>
      </w:r>
      <w:r w:rsidR="00E11514" w:rsidRPr="001E4272">
        <w:rPr>
          <w:noProof/>
        </w:rPr>
        <w:t>προστίθεται το ακόλουθο παράρτημα III:</w:t>
      </w:r>
    </w:p>
    <w:p w14:paraId="0CEBE258" w14:textId="66E2316F" w:rsidR="007B26CA" w:rsidRPr="001E4272" w:rsidRDefault="00AF46FC" w:rsidP="160710AA">
      <w:pPr>
        <w:rPr>
          <w:noProof/>
          <w:szCs w:val="24"/>
        </w:rPr>
      </w:pPr>
      <w:r w:rsidRPr="001E4272">
        <w:rPr>
          <w:noProof/>
        </w:rPr>
        <w:t>«Παράρτημα III:</w:t>
      </w:r>
    </w:p>
    <w:p w14:paraId="50570610" w14:textId="4AB89486" w:rsidR="00AF46FC" w:rsidRPr="001E4272" w:rsidRDefault="00712530" w:rsidP="00712530">
      <w:pPr>
        <w:pStyle w:val="Point0"/>
        <w:rPr>
          <w:noProof/>
        </w:rPr>
      </w:pPr>
      <w:r w:rsidRPr="001E4272">
        <w:rPr>
          <w:noProof/>
        </w:rPr>
        <w:t>α)</w:t>
      </w:r>
      <w:r w:rsidRPr="001E4272">
        <w:rPr>
          <w:noProof/>
        </w:rPr>
        <w:tab/>
      </w:r>
      <w:r w:rsidR="00E81631" w:rsidRPr="001E4272">
        <w:rPr>
          <w:noProof/>
        </w:rPr>
        <w:t xml:space="preserve">πληροφορίες για την ταυτοποίηση του υπόπτου, του κατηγορούμενου, του καταδικασθέντος ή του αθωωθέντος προσώπου: </w:t>
      </w:r>
    </w:p>
    <w:p w14:paraId="35906137" w14:textId="2F09E77A" w:rsidR="003C2FC0" w:rsidRPr="001E4272" w:rsidRDefault="00AF46FC" w:rsidP="00167C03">
      <w:pPr>
        <w:pStyle w:val="Tiret1"/>
        <w:numPr>
          <w:ilvl w:val="0"/>
          <w:numId w:val="17"/>
        </w:numPr>
        <w:rPr>
          <w:noProof/>
        </w:rPr>
      </w:pPr>
      <w:r w:rsidRPr="001E4272">
        <w:rPr>
          <w:noProof/>
        </w:rPr>
        <w:t>επώνυμο·</w:t>
      </w:r>
    </w:p>
    <w:p w14:paraId="7EEE46CE" w14:textId="2A01F76F" w:rsidR="003C2FC0" w:rsidRPr="001E4272" w:rsidRDefault="00AF46FC" w:rsidP="7CC317AF">
      <w:pPr>
        <w:pStyle w:val="Tiret1"/>
        <w:rPr>
          <w:noProof/>
        </w:rPr>
      </w:pPr>
      <w:r w:rsidRPr="001E4272">
        <w:rPr>
          <w:noProof/>
        </w:rPr>
        <w:t>ονόματα (κύριο όνομα, ψευδώνυμο)·</w:t>
      </w:r>
    </w:p>
    <w:p w14:paraId="161F4626" w14:textId="287E1513" w:rsidR="003C2FC0" w:rsidRPr="001E4272" w:rsidRDefault="00AF46FC" w:rsidP="7CC317AF">
      <w:pPr>
        <w:pStyle w:val="Tiret1"/>
        <w:rPr>
          <w:noProof/>
        </w:rPr>
      </w:pPr>
      <w:r w:rsidRPr="001E4272">
        <w:rPr>
          <w:noProof/>
        </w:rPr>
        <w:t>ημερομηνία γέννησης·</w:t>
      </w:r>
    </w:p>
    <w:p w14:paraId="48D2D647" w14:textId="07FB32C7" w:rsidR="003C2FC0" w:rsidRPr="001E4272" w:rsidRDefault="00AF46FC" w:rsidP="7CC317AF">
      <w:pPr>
        <w:pStyle w:val="Tiret1"/>
        <w:rPr>
          <w:noProof/>
        </w:rPr>
      </w:pPr>
      <w:r w:rsidRPr="001E4272">
        <w:rPr>
          <w:noProof/>
        </w:rPr>
        <w:t>τόπος γέννησης (πόλη και κράτος)·</w:t>
      </w:r>
    </w:p>
    <w:p w14:paraId="5B733DA7" w14:textId="4AD7AA99" w:rsidR="003C2FC0" w:rsidRPr="001E4272" w:rsidRDefault="00AF46FC" w:rsidP="7CC317AF">
      <w:pPr>
        <w:pStyle w:val="Tiret1"/>
        <w:rPr>
          <w:noProof/>
        </w:rPr>
      </w:pPr>
      <w:r w:rsidRPr="001E4272">
        <w:rPr>
          <w:noProof/>
        </w:rPr>
        <w:t>ιθαγένεια ή ιθαγένειες·</w:t>
      </w:r>
    </w:p>
    <w:p w14:paraId="6F112407" w14:textId="77777777" w:rsidR="003C2FC0" w:rsidRPr="001E4272" w:rsidRDefault="00AF46FC" w:rsidP="003C2FC0">
      <w:pPr>
        <w:pStyle w:val="Tiret1"/>
        <w:rPr>
          <w:noProof/>
        </w:rPr>
      </w:pPr>
      <w:r w:rsidRPr="001E4272">
        <w:rPr>
          <w:noProof/>
        </w:rPr>
        <w:t>έγγραφο ταυτοποίησης·</w:t>
      </w:r>
    </w:p>
    <w:p w14:paraId="7FA0241D" w14:textId="77777777" w:rsidR="00AF46FC" w:rsidRPr="001E4272" w:rsidRDefault="00AF46FC" w:rsidP="003C2FC0">
      <w:pPr>
        <w:pStyle w:val="Tiret1"/>
        <w:rPr>
          <w:noProof/>
        </w:rPr>
      </w:pPr>
      <w:r w:rsidRPr="001E4272">
        <w:rPr>
          <w:noProof/>
        </w:rPr>
        <w:t>φύλο·</w:t>
      </w:r>
    </w:p>
    <w:p w14:paraId="3D966B3D" w14:textId="0EC056DF" w:rsidR="007B26CA" w:rsidRPr="001E4272" w:rsidRDefault="00712530" w:rsidP="00712530">
      <w:pPr>
        <w:pStyle w:val="Point0"/>
        <w:rPr>
          <w:noProof/>
        </w:rPr>
      </w:pPr>
      <w:r w:rsidRPr="001E4272">
        <w:rPr>
          <w:noProof/>
        </w:rPr>
        <w:t>β)</w:t>
      </w:r>
      <w:r w:rsidRPr="001E4272">
        <w:rPr>
          <w:noProof/>
        </w:rPr>
        <w:tab/>
      </w:r>
      <w:r w:rsidR="00E81631" w:rsidRPr="001E4272">
        <w:rPr>
          <w:noProof/>
        </w:rPr>
        <w:t>πληροφορίες σχετικά με το τρομοκρατικό έγκλημα:</w:t>
      </w:r>
    </w:p>
    <w:p w14:paraId="4E9CE2FE" w14:textId="0582F476" w:rsidR="007B26CA" w:rsidRPr="001E4272" w:rsidRDefault="00E81631" w:rsidP="7CC317AF">
      <w:pPr>
        <w:pStyle w:val="Tiret1"/>
        <w:rPr>
          <w:noProof/>
        </w:rPr>
      </w:pPr>
      <w:r w:rsidRPr="001E4272">
        <w:rPr>
          <w:noProof/>
        </w:rPr>
        <w:t>νομικός χαρακτηρισμός του εγκλήματος σύμφωνα με το εθνικό δίκαιο·</w:t>
      </w:r>
    </w:p>
    <w:p w14:paraId="73BD1053" w14:textId="5A7477D3" w:rsidR="007B26CA" w:rsidRPr="001E4272" w:rsidRDefault="00E81631" w:rsidP="7CC317AF">
      <w:pPr>
        <w:pStyle w:val="Tiret1"/>
        <w:rPr>
          <w:noProof/>
        </w:rPr>
      </w:pPr>
      <w:r w:rsidRPr="001E4272">
        <w:rPr>
          <w:noProof/>
        </w:rPr>
        <w:t>σχετική μορφή σοβαρού εγκλήματος από τον κατάλογο που παρατίθεται στο παράρτημα Ι·</w:t>
      </w:r>
    </w:p>
    <w:p w14:paraId="37282921" w14:textId="4125C7DF" w:rsidR="007B26CA" w:rsidRPr="001E4272" w:rsidRDefault="007B26CA" w:rsidP="7CC317AF">
      <w:pPr>
        <w:pStyle w:val="Tiret1"/>
        <w:rPr>
          <w:noProof/>
        </w:rPr>
      </w:pPr>
      <w:r w:rsidRPr="001E4272">
        <w:rPr>
          <w:noProof/>
        </w:rPr>
        <w:t>συμμετοχή σε τρομοκρατική ομάδα·</w:t>
      </w:r>
    </w:p>
    <w:p w14:paraId="0261B118" w14:textId="5DC50310" w:rsidR="0083191B" w:rsidRPr="001E4272" w:rsidRDefault="007B26CA" w:rsidP="160710AA">
      <w:pPr>
        <w:pStyle w:val="Tiret1"/>
        <w:rPr>
          <w:noProof/>
        </w:rPr>
      </w:pPr>
      <w:r w:rsidRPr="001E4272">
        <w:rPr>
          <w:noProof/>
        </w:rPr>
        <w:t>είδος τρομοκρατίας, όπως τζιχαντιστική, αυτονομιστική, ακροαριστερή, ακροδεξιά·</w:t>
      </w:r>
    </w:p>
    <w:p w14:paraId="73A4684F" w14:textId="6A136436" w:rsidR="0083191B" w:rsidRPr="001E4272" w:rsidRDefault="007B26CA" w:rsidP="160710AA">
      <w:pPr>
        <w:pStyle w:val="Tiret1"/>
        <w:rPr>
          <w:noProof/>
        </w:rPr>
      </w:pPr>
      <w:r w:rsidRPr="001E4272">
        <w:rPr>
          <w:noProof/>
        </w:rPr>
        <w:t>σύντομη περίληψη της υπόθεσης·</w:t>
      </w:r>
    </w:p>
    <w:p w14:paraId="1B1BE06A" w14:textId="63BE290B" w:rsidR="007B26CA" w:rsidRPr="001E4272" w:rsidRDefault="00712530" w:rsidP="00712530">
      <w:pPr>
        <w:pStyle w:val="Point0"/>
        <w:rPr>
          <w:noProof/>
        </w:rPr>
      </w:pPr>
      <w:r w:rsidRPr="001E4272">
        <w:rPr>
          <w:noProof/>
        </w:rPr>
        <w:t>γ)</w:t>
      </w:r>
      <w:r w:rsidRPr="001E4272">
        <w:rPr>
          <w:noProof/>
        </w:rPr>
        <w:tab/>
      </w:r>
      <w:r w:rsidR="00FC6272" w:rsidRPr="001E4272">
        <w:rPr>
          <w:noProof/>
        </w:rPr>
        <w:t>πληροφορίες σχετικά με τις εθνικές διαδικασίες:</w:t>
      </w:r>
    </w:p>
    <w:p w14:paraId="177CF9CF" w14:textId="475EBF34" w:rsidR="007B26CA" w:rsidRPr="001E4272" w:rsidRDefault="007B26CA" w:rsidP="7CC317AF">
      <w:pPr>
        <w:pStyle w:val="Tiret1"/>
        <w:rPr>
          <w:noProof/>
        </w:rPr>
      </w:pPr>
      <w:r w:rsidRPr="001E4272">
        <w:rPr>
          <w:noProof/>
        </w:rPr>
        <w:t>στάδιο της εθνικής διαδικασίας·</w:t>
      </w:r>
    </w:p>
    <w:p w14:paraId="30882FA0" w14:textId="18DA1991" w:rsidR="007B26CA" w:rsidRPr="001E4272" w:rsidRDefault="007B26CA" w:rsidP="7CC317AF">
      <w:pPr>
        <w:pStyle w:val="Tiret1"/>
        <w:rPr>
          <w:noProof/>
        </w:rPr>
      </w:pPr>
      <w:r w:rsidRPr="001E4272">
        <w:rPr>
          <w:noProof/>
        </w:rPr>
        <w:t>αρμόδια εισαγγελία·</w:t>
      </w:r>
    </w:p>
    <w:p w14:paraId="7397D427" w14:textId="021383D4" w:rsidR="007B26CA" w:rsidRPr="001E4272" w:rsidRDefault="007B26CA" w:rsidP="7CC317AF">
      <w:pPr>
        <w:pStyle w:val="Tiret1"/>
        <w:rPr>
          <w:noProof/>
        </w:rPr>
      </w:pPr>
      <w:r w:rsidRPr="001E4272">
        <w:rPr>
          <w:noProof/>
        </w:rPr>
        <w:t>αριθμός υπόθεσης·</w:t>
      </w:r>
    </w:p>
    <w:p w14:paraId="22B2E3DD" w14:textId="27495738" w:rsidR="007B26CA" w:rsidRPr="001E4272" w:rsidRDefault="007B26CA" w:rsidP="160710AA">
      <w:pPr>
        <w:pStyle w:val="Tiret1"/>
        <w:rPr>
          <w:noProof/>
        </w:rPr>
      </w:pPr>
      <w:r w:rsidRPr="001E4272">
        <w:rPr>
          <w:noProof/>
        </w:rPr>
        <w:t>ημερομηνία έναρξης επίσημης δικαστικής διαδικασίας·</w:t>
      </w:r>
    </w:p>
    <w:p w14:paraId="738297D0" w14:textId="386577A9" w:rsidR="0083191B" w:rsidRPr="001E4272" w:rsidRDefault="0083191B" w:rsidP="160710AA">
      <w:pPr>
        <w:pStyle w:val="Tiret1"/>
        <w:rPr>
          <w:noProof/>
        </w:rPr>
      </w:pPr>
      <w:r w:rsidRPr="001E4272">
        <w:rPr>
          <w:noProof/>
        </w:rPr>
        <w:t>δεσμοί με άλλες συναφείς υποθέσεις·</w:t>
      </w:r>
    </w:p>
    <w:p w14:paraId="7A5AF366" w14:textId="5E42F4AC" w:rsidR="00AF46FC" w:rsidRPr="001E4272" w:rsidRDefault="00712530" w:rsidP="00712530">
      <w:pPr>
        <w:pStyle w:val="Point0"/>
        <w:rPr>
          <w:noProof/>
        </w:rPr>
      </w:pPr>
      <w:r w:rsidRPr="001E4272">
        <w:rPr>
          <w:noProof/>
        </w:rPr>
        <w:t>δ)</w:t>
      </w:r>
      <w:r w:rsidRPr="001E4272">
        <w:rPr>
          <w:noProof/>
        </w:rPr>
        <w:tab/>
      </w:r>
      <w:r w:rsidR="00FC6272" w:rsidRPr="001E4272">
        <w:rPr>
          <w:noProof/>
        </w:rPr>
        <w:t>πληροφορίες για την ταυτοποίηση του υπόπτου, σε περίπτωση που υπάρχουν, για τις αρμόδιες εθνικές αρχές:</w:t>
      </w:r>
    </w:p>
    <w:p w14:paraId="0E387FA0" w14:textId="73485AB3" w:rsidR="00AF46FC" w:rsidRPr="001E4272" w:rsidRDefault="00AF46FC" w:rsidP="7CC317AF">
      <w:pPr>
        <w:pStyle w:val="Tiret1"/>
        <w:rPr>
          <w:noProof/>
        </w:rPr>
      </w:pPr>
      <w:r w:rsidRPr="001E4272">
        <w:rPr>
          <w:noProof/>
        </w:rPr>
        <w:t>δεδομένα δακτυλικών αποτυπωμάτων που έχουν συλλεχθεί σύμφωνα με το εθνικό δίκαιο κατά τις ποινικές διαδικασίες·</w:t>
      </w:r>
    </w:p>
    <w:p w14:paraId="0CEF96D7" w14:textId="39CC76B2" w:rsidR="00E11514" w:rsidRPr="001E4272" w:rsidRDefault="007B26CA" w:rsidP="006A0D14">
      <w:pPr>
        <w:pStyle w:val="Tiret1"/>
        <w:rPr>
          <w:noProof/>
        </w:rPr>
      </w:pPr>
      <w:r w:rsidRPr="001E4272">
        <w:rPr>
          <w:noProof/>
        </w:rPr>
        <w:t>φωτογραφίες.».</w:t>
      </w:r>
    </w:p>
    <w:p w14:paraId="5E7A79C4" w14:textId="77777777" w:rsidR="00E11514" w:rsidRPr="001E4272" w:rsidRDefault="00E11514" w:rsidP="00AB63ED">
      <w:pPr>
        <w:pStyle w:val="Titrearticle"/>
        <w:rPr>
          <w:noProof/>
        </w:rPr>
      </w:pPr>
      <w:r w:rsidRPr="001E4272">
        <w:rPr>
          <w:noProof/>
        </w:rPr>
        <w:t>Άρθρο 2</w:t>
      </w:r>
    </w:p>
    <w:p w14:paraId="1B9E2EDE" w14:textId="5CAD947C" w:rsidR="00FD753D" w:rsidRPr="001E4272" w:rsidRDefault="00FD753D">
      <w:pPr>
        <w:jc w:val="center"/>
        <w:rPr>
          <w:b/>
          <w:bCs/>
          <w:noProof/>
        </w:rPr>
      </w:pPr>
      <w:r w:rsidRPr="001E4272">
        <w:rPr>
          <w:b/>
          <w:bCs/>
          <w:noProof/>
        </w:rPr>
        <w:t>Τροποποιήσεις της απόφασης 2005/671/ΔΕΥ</w:t>
      </w:r>
    </w:p>
    <w:p w14:paraId="1E78CC3F" w14:textId="77777777" w:rsidR="00FD753D" w:rsidRPr="001E4272" w:rsidRDefault="00FD753D" w:rsidP="160710AA">
      <w:pPr>
        <w:rPr>
          <w:noProof/>
          <w:szCs w:val="24"/>
        </w:rPr>
      </w:pPr>
      <w:r w:rsidRPr="001E4272">
        <w:rPr>
          <w:noProof/>
        </w:rPr>
        <w:t>Η απόφαση 2005/671/ΔΕΥ τροποποιείται ως εξής:</w:t>
      </w:r>
    </w:p>
    <w:p w14:paraId="1E805226" w14:textId="2FCC0454" w:rsidR="00E81631" w:rsidRPr="001E4272" w:rsidRDefault="00712530" w:rsidP="00712530">
      <w:pPr>
        <w:pStyle w:val="Point0"/>
        <w:rPr>
          <w:noProof/>
        </w:rPr>
      </w:pPr>
      <w:r w:rsidRPr="001E4272">
        <w:rPr>
          <w:noProof/>
        </w:rPr>
        <w:t>1)</w:t>
      </w:r>
      <w:r w:rsidRPr="001E4272">
        <w:rPr>
          <w:noProof/>
        </w:rPr>
        <w:tab/>
      </w:r>
      <w:r w:rsidR="00E81631" w:rsidRPr="001E4272">
        <w:rPr>
          <w:noProof/>
        </w:rPr>
        <w:t>στο άρθρο 1, το στοιχείο γ) απαλείφεται·</w:t>
      </w:r>
    </w:p>
    <w:p w14:paraId="5D49B904" w14:textId="2A0C77EC" w:rsidR="00FD753D" w:rsidRPr="001E4272" w:rsidRDefault="00712530" w:rsidP="00712530">
      <w:pPr>
        <w:pStyle w:val="Point0"/>
        <w:rPr>
          <w:noProof/>
        </w:rPr>
      </w:pPr>
      <w:r w:rsidRPr="001E4272">
        <w:rPr>
          <w:noProof/>
        </w:rPr>
        <w:t>2)</w:t>
      </w:r>
      <w:r w:rsidRPr="001E4272">
        <w:rPr>
          <w:noProof/>
        </w:rPr>
        <w:tab/>
      </w:r>
      <w:r w:rsidR="00FD753D" w:rsidRPr="001E4272">
        <w:rPr>
          <w:noProof/>
        </w:rPr>
        <w:t xml:space="preserve">το άρθρο 2 τροποποιείται ως εξής: </w:t>
      </w:r>
    </w:p>
    <w:p w14:paraId="704BC776" w14:textId="349057ED" w:rsidR="00FD753D" w:rsidRPr="001E4272" w:rsidRDefault="00712530" w:rsidP="00712530">
      <w:pPr>
        <w:pStyle w:val="Point1"/>
        <w:rPr>
          <w:noProof/>
        </w:rPr>
      </w:pPr>
      <w:r w:rsidRPr="001E4272">
        <w:rPr>
          <w:noProof/>
        </w:rPr>
        <w:t>α)</w:t>
      </w:r>
      <w:r w:rsidRPr="001E4272">
        <w:rPr>
          <w:noProof/>
        </w:rPr>
        <w:tab/>
      </w:r>
      <w:r w:rsidR="00EF32C4" w:rsidRPr="001E4272">
        <w:rPr>
          <w:noProof/>
        </w:rPr>
        <w:t>η παράγραφος 2 απαλείφεται·</w:t>
      </w:r>
    </w:p>
    <w:p w14:paraId="262FE11F" w14:textId="55483B91" w:rsidR="00FD753D" w:rsidRPr="001E4272" w:rsidRDefault="00712530" w:rsidP="00712530">
      <w:pPr>
        <w:pStyle w:val="Point1"/>
        <w:rPr>
          <w:noProof/>
        </w:rPr>
      </w:pPr>
      <w:r w:rsidRPr="001E4272">
        <w:rPr>
          <w:noProof/>
        </w:rPr>
        <w:t>β)</w:t>
      </w:r>
      <w:r w:rsidRPr="001E4272">
        <w:rPr>
          <w:noProof/>
        </w:rPr>
        <w:tab/>
      </w:r>
      <w:r w:rsidR="00FD753D" w:rsidRPr="001E4272">
        <w:rPr>
          <w:noProof/>
        </w:rPr>
        <w:t xml:space="preserve">η παράγραφος 3 αντικαθίσταται από το ακόλουθο κείμενο: </w:t>
      </w:r>
    </w:p>
    <w:p w14:paraId="15DC216E" w14:textId="65C9AB74" w:rsidR="00FD753D" w:rsidRPr="001E4272" w:rsidRDefault="00FD753D" w:rsidP="160710AA">
      <w:pPr>
        <w:pStyle w:val="Text2"/>
        <w:rPr>
          <w:noProof/>
        </w:rPr>
      </w:pPr>
      <w:r w:rsidRPr="001E4272">
        <w:rPr>
          <w:noProof/>
        </w:rPr>
        <w:t>«3. Κάθε κράτος μέλος λαμβάνει τα αναγκαία μέτρα προκειμένου να εξασφαλίσει ότι τουλάχιστον οι πληροφορίες που αναφέρονται στην παράγραφο 4 σχετικά με ποινικές έρευνες για τρομοκρατικά εγκλήματα τα οποία έχουν ή ενδέχεται να έχουν επιπτώσεις σε δύο ή περισσότερα κράτη μέλη και οι οποίες συλλέγονται από την αρμόδια αρχή διαβιβάζονται στην Ευρωπόλ, σύμφωνα με το εθνικό δίκαιο και τον κανονισμό (ΕΕ) 2016/794 του Ευρωπαϊκού Κοινοβουλίου και του Συμβουλίου*.</w:t>
      </w:r>
    </w:p>
    <w:p w14:paraId="3948CD5A" w14:textId="77777777" w:rsidR="00942508" w:rsidRPr="001E4272" w:rsidRDefault="00942508" w:rsidP="160710AA">
      <w:pPr>
        <w:pStyle w:val="Text2"/>
        <w:rPr>
          <w:noProof/>
        </w:rPr>
      </w:pPr>
      <w:r w:rsidRPr="001E4272">
        <w:rPr>
          <w:noProof/>
        </w:rPr>
        <w:t>_____________</w:t>
      </w:r>
    </w:p>
    <w:p w14:paraId="14EEAD4C" w14:textId="1CF639C8" w:rsidR="00942508" w:rsidRPr="001E4272" w:rsidRDefault="00942508" w:rsidP="00553E3B">
      <w:pPr>
        <w:pStyle w:val="Text2"/>
        <w:rPr>
          <w:noProof/>
        </w:rPr>
      </w:pPr>
      <w:r w:rsidRPr="001E4272">
        <w:rPr>
          <w:noProof/>
        </w:rPr>
        <w:t>* Κανονισμός (ΕΕ) 2016/794 του Ευρωπαϊκού Κοινοβουλίου και του Συμβουλίου, της 11ης Μαΐου 2016, για τον Οργανισμό της Ευρωπαϊκής Ένωσης για τη Συνεργασία στον Τομέα της Επιβολής του Νόμου (Ευρωπόλ) (ΕΕ L 135 της 24.5.2016, σ. 53).»·</w:t>
      </w:r>
    </w:p>
    <w:p w14:paraId="07D3AFAC" w14:textId="72399F1F" w:rsidR="00AB63ED" w:rsidRPr="001E4272" w:rsidRDefault="00712530" w:rsidP="00712530">
      <w:pPr>
        <w:pStyle w:val="Point1"/>
        <w:rPr>
          <w:noProof/>
        </w:rPr>
      </w:pPr>
      <w:r w:rsidRPr="001E4272">
        <w:rPr>
          <w:noProof/>
        </w:rPr>
        <w:t>γ)</w:t>
      </w:r>
      <w:r w:rsidRPr="001E4272">
        <w:rPr>
          <w:noProof/>
        </w:rPr>
        <w:tab/>
      </w:r>
      <w:r w:rsidR="00FD753D" w:rsidRPr="001E4272">
        <w:rPr>
          <w:noProof/>
        </w:rPr>
        <w:t xml:space="preserve">η παράγραφος 5 απαλείφεται. </w:t>
      </w:r>
    </w:p>
    <w:p w14:paraId="58C3FF86" w14:textId="28CE8053" w:rsidR="00FD753D" w:rsidRPr="001E4272" w:rsidRDefault="00FD753D" w:rsidP="00FD753D">
      <w:pPr>
        <w:pStyle w:val="Titrearticle"/>
        <w:rPr>
          <w:noProof/>
        </w:rPr>
      </w:pPr>
      <w:r w:rsidRPr="001E4272">
        <w:rPr>
          <w:noProof/>
        </w:rPr>
        <w:t>Άρθρο 3</w:t>
      </w:r>
    </w:p>
    <w:p w14:paraId="722E982F" w14:textId="151DAD4C" w:rsidR="00FD753D" w:rsidRPr="001E4272" w:rsidRDefault="00FD753D">
      <w:pPr>
        <w:jc w:val="center"/>
        <w:rPr>
          <w:noProof/>
        </w:rPr>
      </w:pPr>
      <w:r w:rsidRPr="001E4272">
        <w:rPr>
          <w:b/>
          <w:bCs/>
          <w:noProof/>
        </w:rPr>
        <w:t xml:space="preserve">Έναρξη ισχύος </w:t>
      </w:r>
    </w:p>
    <w:p w14:paraId="0091417C" w14:textId="77777777" w:rsidR="00EB0A3C" w:rsidRPr="001E4272" w:rsidRDefault="00EB0A3C" w:rsidP="00715ADE">
      <w:pPr>
        <w:rPr>
          <w:noProof/>
        </w:rPr>
      </w:pPr>
      <w:r w:rsidRPr="001E4272">
        <w:rPr>
          <w:noProof/>
        </w:rPr>
        <w:t xml:space="preserve">Ο παρών κανονισμός αρχίζει να ισχύει την εικοστή ημέρα από τη δημοσίευσή του στην </w:t>
      </w:r>
      <w:r w:rsidRPr="001E4272">
        <w:rPr>
          <w:i/>
          <w:iCs/>
          <w:noProof/>
        </w:rPr>
        <w:t>Επίσημη Εφημερίδα της Ευρωπαϊκής Ένωσης</w:t>
      </w:r>
      <w:r w:rsidRPr="001E4272">
        <w:rPr>
          <w:noProof/>
        </w:rPr>
        <w:t>.</w:t>
      </w:r>
    </w:p>
    <w:p w14:paraId="5F89CFA4" w14:textId="77777777" w:rsidR="00E11514" w:rsidRPr="001E4272" w:rsidRDefault="00EB0A3C" w:rsidP="00E11514">
      <w:pPr>
        <w:pStyle w:val="Applicationdirecte"/>
        <w:rPr>
          <w:noProof/>
        </w:rPr>
      </w:pPr>
      <w:r w:rsidRPr="001E4272">
        <w:rPr>
          <w:noProof/>
        </w:rPr>
        <w:t>Ο παρών κανονισμός είναι δεσμευτικός ως προς όλα τα μέρη του και ισχύει άμεσα στα κράτη μέλη σύμφωνα με τις Συνθήκες.</w:t>
      </w:r>
    </w:p>
    <w:p w14:paraId="44EFBD1E" w14:textId="643DFA11" w:rsidR="00EB0A3C" w:rsidRPr="001E4272" w:rsidRDefault="00437BB3" w:rsidP="007415E7">
      <w:pPr>
        <w:pStyle w:val="Fait"/>
        <w:rPr>
          <w:noProof/>
        </w:rPr>
      </w:pPr>
      <w:r w:rsidRPr="00437BB3">
        <w:t>Βρυξέλλες,</w:t>
      </w:r>
    </w:p>
    <w:p w14:paraId="3C36F47A" w14:textId="77777777" w:rsidR="00EB0A3C" w:rsidRPr="001E4272" w:rsidRDefault="00EB0A3C" w:rsidP="007415E7">
      <w:pPr>
        <w:pStyle w:val="Institutionquisigne"/>
        <w:rPr>
          <w:noProof/>
        </w:rPr>
      </w:pPr>
      <w:r w:rsidRPr="001E4272">
        <w:rPr>
          <w:noProof/>
        </w:rPr>
        <w:t>Για το Ευρωπαϊκό Κοινοβούλιο</w:t>
      </w:r>
      <w:r w:rsidRPr="001E4272">
        <w:rPr>
          <w:noProof/>
        </w:rPr>
        <w:tab/>
        <w:t>Για το Συμβούλιο</w:t>
      </w:r>
    </w:p>
    <w:p w14:paraId="234DB83A" w14:textId="77777777" w:rsidR="00436363" w:rsidRPr="001E4272" w:rsidRDefault="00CB46BF" w:rsidP="00CB46BF">
      <w:pPr>
        <w:pStyle w:val="Personnequisigne"/>
        <w:rPr>
          <w:noProof/>
        </w:rPr>
        <w:sectPr w:rsidR="00436363" w:rsidRPr="001E4272" w:rsidSect="00C51A3C">
          <w:pgSz w:w="12240" w:h="15840"/>
          <w:pgMar w:top="794" w:right="1467" w:bottom="851" w:left="1361" w:header="510" w:footer="454" w:gutter="0"/>
          <w:cols w:space="720"/>
          <w:docGrid w:linePitch="326"/>
        </w:sectPr>
      </w:pPr>
      <w:r w:rsidRPr="001E4272">
        <w:rPr>
          <w:noProof/>
        </w:rPr>
        <w:t>Ο Πρόεδρος</w:t>
      </w:r>
      <w:r w:rsidRPr="001E4272">
        <w:rPr>
          <w:noProof/>
        </w:rPr>
        <w:tab/>
        <w:t>Ο Πρόεδρος</w:t>
      </w:r>
    </w:p>
    <w:p w14:paraId="77A13C9E" w14:textId="77777777" w:rsidR="00436363" w:rsidRPr="001E4272" w:rsidRDefault="00436363" w:rsidP="00864CD8">
      <w:pPr>
        <w:pStyle w:val="Fichefinanciretitre"/>
        <w:rPr>
          <w:noProof/>
        </w:rPr>
      </w:pPr>
      <w:r w:rsidRPr="001E4272">
        <w:rPr>
          <w:noProof/>
        </w:rPr>
        <w:t>ΝΟΜΟΘΕΤΙΚΟ ΔΗΜΟΣΙΟΝΟΜΙΚΟ ΔΕΛΤΙΟ</w:t>
      </w:r>
    </w:p>
    <w:p w14:paraId="7F9F7866" w14:textId="77777777" w:rsidR="00B44ABF" w:rsidRPr="001E4272" w:rsidRDefault="00B44ABF" w:rsidP="00ED2926">
      <w:pPr>
        <w:jc w:val="center"/>
        <w:rPr>
          <w:noProof/>
        </w:rPr>
      </w:pPr>
    </w:p>
    <w:sdt>
      <w:sdtPr>
        <w:rPr>
          <w:b w:val="0"/>
          <w:noProof/>
          <w:sz w:val="24"/>
        </w:rPr>
        <w:id w:val="1751233503"/>
        <w:docPartObj>
          <w:docPartGallery w:val="Table of Contents"/>
          <w:docPartUnique/>
        </w:docPartObj>
      </w:sdtPr>
      <w:sdtEndPr>
        <w:rPr>
          <w:bCs/>
        </w:rPr>
      </w:sdtEndPr>
      <w:sdtContent>
        <w:p w14:paraId="23DADCC3" w14:textId="77777777" w:rsidR="00B44ABF" w:rsidRPr="001E4272" w:rsidRDefault="00B44ABF" w:rsidP="00B44ABF">
          <w:pPr>
            <w:pStyle w:val="TOCHeading"/>
            <w:rPr>
              <w:b w:val="0"/>
              <w:noProof/>
              <w:sz w:val="24"/>
              <w:szCs w:val="24"/>
            </w:rPr>
          </w:pPr>
          <w:r w:rsidRPr="001E4272">
            <w:rPr>
              <w:b w:val="0"/>
              <w:noProof/>
              <w:sz w:val="24"/>
              <w:szCs w:val="24"/>
            </w:rPr>
            <w:t>Περιεχόμενα</w:t>
          </w:r>
          <w:r w:rsidRPr="001E4272">
            <w:rPr>
              <w:b w:val="0"/>
              <w:noProof/>
              <w:sz w:val="24"/>
              <w:szCs w:val="24"/>
            </w:rPr>
            <w:fldChar w:fldCharType="begin" w:fldLock="1"/>
          </w:r>
          <w:r w:rsidRPr="001E4272">
            <w:rPr>
              <w:b w:val="0"/>
              <w:noProof/>
              <w:sz w:val="24"/>
              <w:szCs w:val="24"/>
            </w:rPr>
            <w:instrText xml:space="preserve"> TOC \o "1-3" \h \z \u </w:instrText>
          </w:r>
          <w:r w:rsidRPr="001E4272">
            <w:rPr>
              <w:b w:val="0"/>
              <w:noProof/>
              <w:sz w:val="24"/>
              <w:szCs w:val="24"/>
            </w:rPr>
            <w:fldChar w:fldCharType="separate"/>
          </w:r>
        </w:p>
        <w:p w14:paraId="1E53FA7C" w14:textId="69553C46" w:rsidR="00B44ABF" w:rsidRPr="001E4272" w:rsidRDefault="008C00BA" w:rsidP="00B44ABF">
          <w:pPr>
            <w:pStyle w:val="TOC1"/>
            <w:rPr>
              <w:rFonts w:asciiTheme="minorHAnsi" w:eastAsiaTheme="minorEastAsia" w:hAnsiTheme="minorHAnsi" w:cstheme="minorBidi"/>
              <w:noProof/>
              <w:szCs w:val="24"/>
            </w:rPr>
          </w:pPr>
          <w:hyperlink w:anchor="_Toc84517572" w:history="1">
            <w:r w:rsidR="00F707AF" w:rsidRPr="001E4272">
              <w:rPr>
                <w:rStyle w:val="Hyperlink"/>
                <w:noProof/>
                <w:szCs w:val="24"/>
              </w:rPr>
              <w:t>1.</w:t>
            </w:r>
            <w:r w:rsidR="00F707AF" w:rsidRPr="001E4272">
              <w:rPr>
                <w:noProof/>
              </w:rPr>
              <w:tab/>
            </w:r>
            <w:r w:rsidR="00712530" w:rsidRPr="001E4272">
              <w:rPr>
                <w:noProof/>
              </w:rPr>
              <w:t>ΠΛΑΙΣΙΟ ΤΗΣ ΠΡΟΤΑΣΗΣ/ΠΡΩΤΟΒΟΥΛΙΑΣ</w:t>
            </w:r>
            <w:r w:rsidR="00F707AF" w:rsidRPr="001E4272">
              <w:rPr>
                <w:noProof/>
              </w:rPr>
              <w:tab/>
            </w:r>
            <w:r w:rsidR="00F707AF" w:rsidRPr="001E4272">
              <w:rPr>
                <w:noProof/>
                <w:webHidden/>
                <w:szCs w:val="24"/>
              </w:rPr>
              <w:fldChar w:fldCharType="begin" w:fldLock="1"/>
            </w:r>
            <w:r w:rsidR="00F707AF" w:rsidRPr="001E4272">
              <w:rPr>
                <w:noProof/>
                <w:webHidden/>
                <w:szCs w:val="24"/>
              </w:rPr>
              <w:instrText xml:space="preserve"> PAGEREF _Toc84517572 \h </w:instrText>
            </w:r>
            <w:r w:rsidR="00F707AF" w:rsidRPr="001E4272">
              <w:rPr>
                <w:noProof/>
                <w:webHidden/>
                <w:szCs w:val="24"/>
              </w:rPr>
            </w:r>
            <w:r w:rsidR="00F707AF" w:rsidRPr="001E4272">
              <w:rPr>
                <w:noProof/>
                <w:webHidden/>
                <w:szCs w:val="24"/>
              </w:rPr>
              <w:fldChar w:fldCharType="separate"/>
            </w:r>
            <w:r w:rsidR="00F707AF" w:rsidRPr="001E4272">
              <w:rPr>
                <w:noProof/>
                <w:webHidden/>
                <w:szCs w:val="24"/>
              </w:rPr>
              <w:t>26</w:t>
            </w:r>
            <w:r w:rsidR="00F707AF" w:rsidRPr="001E4272">
              <w:rPr>
                <w:noProof/>
                <w:webHidden/>
                <w:szCs w:val="24"/>
              </w:rPr>
              <w:fldChar w:fldCharType="end"/>
            </w:r>
          </w:hyperlink>
        </w:p>
        <w:p w14:paraId="16BD3221" w14:textId="3555649F" w:rsidR="00B44ABF" w:rsidRPr="001E4272" w:rsidRDefault="008C00BA" w:rsidP="00B44ABF">
          <w:pPr>
            <w:pStyle w:val="TOC2"/>
            <w:rPr>
              <w:rFonts w:asciiTheme="minorHAnsi" w:eastAsiaTheme="minorEastAsia" w:hAnsiTheme="minorHAnsi" w:cstheme="minorBidi"/>
              <w:noProof/>
              <w:szCs w:val="24"/>
            </w:rPr>
          </w:pPr>
          <w:hyperlink w:anchor="_Toc84517573" w:history="1">
            <w:r w:rsidR="00F707AF" w:rsidRPr="001E4272">
              <w:rPr>
                <w:rStyle w:val="Hyperlink"/>
                <w:noProof/>
                <w:szCs w:val="24"/>
              </w:rPr>
              <w:t>1.1.</w:t>
            </w:r>
            <w:r w:rsidR="00F707AF" w:rsidRPr="001E4272">
              <w:rPr>
                <w:noProof/>
              </w:rPr>
              <w:tab/>
            </w:r>
            <w:r w:rsidR="00712530" w:rsidRPr="001E4272">
              <w:rPr>
                <w:noProof/>
              </w:rPr>
              <w:t>Τίτλος της πρότασης/πρωτοβουλίας</w:t>
            </w:r>
            <w:r w:rsidR="00F707AF" w:rsidRPr="001E4272">
              <w:rPr>
                <w:noProof/>
              </w:rPr>
              <w:tab/>
            </w:r>
            <w:r w:rsidR="00F707AF" w:rsidRPr="001E4272">
              <w:rPr>
                <w:noProof/>
                <w:webHidden/>
                <w:szCs w:val="24"/>
              </w:rPr>
              <w:fldChar w:fldCharType="begin" w:fldLock="1"/>
            </w:r>
            <w:r w:rsidR="00F707AF" w:rsidRPr="001E4272">
              <w:rPr>
                <w:noProof/>
                <w:webHidden/>
                <w:szCs w:val="24"/>
              </w:rPr>
              <w:instrText xml:space="preserve"> PAGEREF _Toc84517573 \h </w:instrText>
            </w:r>
            <w:r w:rsidR="00F707AF" w:rsidRPr="001E4272">
              <w:rPr>
                <w:noProof/>
                <w:webHidden/>
                <w:szCs w:val="24"/>
              </w:rPr>
            </w:r>
            <w:r w:rsidR="00F707AF" w:rsidRPr="001E4272">
              <w:rPr>
                <w:noProof/>
                <w:webHidden/>
                <w:szCs w:val="24"/>
              </w:rPr>
              <w:fldChar w:fldCharType="separate"/>
            </w:r>
            <w:r w:rsidR="00F707AF" w:rsidRPr="001E4272">
              <w:rPr>
                <w:noProof/>
                <w:webHidden/>
                <w:szCs w:val="24"/>
              </w:rPr>
              <w:t>26</w:t>
            </w:r>
            <w:r w:rsidR="00F707AF" w:rsidRPr="001E4272">
              <w:rPr>
                <w:noProof/>
                <w:webHidden/>
                <w:szCs w:val="24"/>
              </w:rPr>
              <w:fldChar w:fldCharType="end"/>
            </w:r>
          </w:hyperlink>
        </w:p>
        <w:p w14:paraId="7338CF9C" w14:textId="1B604A3E" w:rsidR="00B44ABF" w:rsidRPr="001E4272" w:rsidRDefault="008C00BA" w:rsidP="00B44ABF">
          <w:pPr>
            <w:pStyle w:val="TOC2"/>
            <w:rPr>
              <w:rFonts w:asciiTheme="minorHAnsi" w:eastAsiaTheme="minorEastAsia" w:hAnsiTheme="minorHAnsi" w:cstheme="minorBidi"/>
              <w:noProof/>
              <w:szCs w:val="24"/>
            </w:rPr>
          </w:pPr>
          <w:hyperlink w:anchor="_Toc84517574" w:history="1">
            <w:r w:rsidR="00F707AF" w:rsidRPr="001E4272">
              <w:rPr>
                <w:rStyle w:val="Hyperlink"/>
                <w:noProof/>
                <w:szCs w:val="24"/>
              </w:rPr>
              <w:t>1.2</w:t>
            </w:r>
            <w:r w:rsidR="00F707AF" w:rsidRPr="001E4272">
              <w:rPr>
                <w:rStyle w:val="Hyperlink"/>
                <w:i/>
                <w:noProof/>
                <w:szCs w:val="24"/>
              </w:rPr>
              <w:t>.</w:t>
            </w:r>
            <w:r w:rsidR="00F707AF" w:rsidRPr="001E4272">
              <w:rPr>
                <w:noProof/>
              </w:rPr>
              <w:tab/>
            </w:r>
            <w:r w:rsidR="00767639" w:rsidRPr="001E4272">
              <w:rPr>
                <w:noProof/>
              </w:rPr>
              <w:t>Σχετικοί τομείς πολιτικής</w:t>
            </w:r>
            <w:r w:rsidR="00F707AF" w:rsidRPr="001E4272">
              <w:rPr>
                <w:noProof/>
              </w:rPr>
              <w:tab/>
            </w:r>
            <w:r w:rsidR="00F707AF" w:rsidRPr="001E4272">
              <w:rPr>
                <w:noProof/>
                <w:webHidden/>
                <w:szCs w:val="24"/>
              </w:rPr>
              <w:fldChar w:fldCharType="begin" w:fldLock="1"/>
            </w:r>
            <w:r w:rsidR="00F707AF" w:rsidRPr="001E4272">
              <w:rPr>
                <w:noProof/>
                <w:webHidden/>
                <w:szCs w:val="24"/>
              </w:rPr>
              <w:instrText xml:space="preserve"> PAGEREF _Toc84517574 \h </w:instrText>
            </w:r>
            <w:r w:rsidR="00F707AF" w:rsidRPr="001E4272">
              <w:rPr>
                <w:noProof/>
                <w:webHidden/>
                <w:szCs w:val="24"/>
              </w:rPr>
            </w:r>
            <w:r w:rsidR="00F707AF" w:rsidRPr="001E4272">
              <w:rPr>
                <w:noProof/>
                <w:webHidden/>
                <w:szCs w:val="24"/>
              </w:rPr>
              <w:fldChar w:fldCharType="separate"/>
            </w:r>
            <w:r w:rsidR="00F707AF" w:rsidRPr="001E4272">
              <w:rPr>
                <w:noProof/>
                <w:webHidden/>
                <w:szCs w:val="24"/>
              </w:rPr>
              <w:t>26</w:t>
            </w:r>
            <w:r w:rsidR="00F707AF" w:rsidRPr="001E4272">
              <w:rPr>
                <w:noProof/>
                <w:webHidden/>
                <w:szCs w:val="24"/>
              </w:rPr>
              <w:fldChar w:fldCharType="end"/>
            </w:r>
          </w:hyperlink>
        </w:p>
        <w:p w14:paraId="658199A4" w14:textId="0F817D17" w:rsidR="00B44ABF" w:rsidRPr="001E4272" w:rsidRDefault="008C00BA" w:rsidP="00B44ABF">
          <w:pPr>
            <w:pStyle w:val="TOC2"/>
            <w:rPr>
              <w:rFonts w:asciiTheme="minorHAnsi" w:eastAsiaTheme="minorEastAsia" w:hAnsiTheme="minorHAnsi" w:cstheme="minorBidi"/>
              <w:noProof/>
              <w:szCs w:val="24"/>
            </w:rPr>
          </w:pPr>
          <w:hyperlink w:anchor="_Toc84517575" w:history="1">
            <w:r w:rsidR="00F707AF" w:rsidRPr="001E4272">
              <w:rPr>
                <w:rStyle w:val="Hyperlink"/>
                <w:noProof/>
                <w:szCs w:val="24"/>
              </w:rPr>
              <w:t>1.3.</w:t>
            </w:r>
            <w:r w:rsidR="00F707AF" w:rsidRPr="001E4272">
              <w:rPr>
                <w:noProof/>
              </w:rPr>
              <w:tab/>
            </w:r>
            <w:r w:rsidR="00767639" w:rsidRPr="001E4272">
              <w:rPr>
                <w:noProof/>
              </w:rPr>
              <w:t>Η πρόταση/πρωτοβουλία αφορά</w:t>
            </w:r>
            <w:r w:rsidR="00F707AF" w:rsidRPr="001E4272">
              <w:rPr>
                <w:rStyle w:val="Hyperlink"/>
                <w:noProof/>
                <w:szCs w:val="24"/>
              </w:rPr>
              <w:t>:</w:t>
            </w:r>
            <w:r w:rsidR="00F707AF" w:rsidRPr="001E4272">
              <w:rPr>
                <w:noProof/>
              </w:rPr>
              <w:tab/>
            </w:r>
            <w:r w:rsidR="00F707AF" w:rsidRPr="001E4272">
              <w:rPr>
                <w:noProof/>
                <w:webHidden/>
                <w:szCs w:val="24"/>
              </w:rPr>
              <w:fldChar w:fldCharType="begin" w:fldLock="1"/>
            </w:r>
            <w:r w:rsidR="00F707AF" w:rsidRPr="001E4272">
              <w:rPr>
                <w:noProof/>
                <w:webHidden/>
                <w:szCs w:val="24"/>
              </w:rPr>
              <w:instrText xml:space="preserve"> PAGEREF _Toc84517575 \h </w:instrText>
            </w:r>
            <w:r w:rsidR="00F707AF" w:rsidRPr="001E4272">
              <w:rPr>
                <w:noProof/>
                <w:webHidden/>
                <w:szCs w:val="24"/>
              </w:rPr>
            </w:r>
            <w:r w:rsidR="00F707AF" w:rsidRPr="001E4272">
              <w:rPr>
                <w:noProof/>
                <w:webHidden/>
                <w:szCs w:val="24"/>
              </w:rPr>
              <w:fldChar w:fldCharType="separate"/>
            </w:r>
            <w:r w:rsidR="00F707AF" w:rsidRPr="001E4272">
              <w:rPr>
                <w:noProof/>
                <w:webHidden/>
                <w:szCs w:val="24"/>
              </w:rPr>
              <w:t>26</w:t>
            </w:r>
            <w:r w:rsidR="00F707AF" w:rsidRPr="001E4272">
              <w:rPr>
                <w:noProof/>
                <w:webHidden/>
                <w:szCs w:val="24"/>
              </w:rPr>
              <w:fldChar w:fldCharType="end"/>
            </w:r>
          </w:hyperlink>
        </w:p>
        <w:p w14:paraId="37F02017" w14:textId="3621F598" w:rsidR="00B44ABF" w:rsidRPr="001E4272" w:rsidRDefault="008C00BA" w:rsidP="00B44ABF">
          <w:pPr>
            <w:pStyle w:val="TOC2"/>
            <w:rPr>
              <w:rFonts w:asciiTheme="minorHAnsi" w:eastAsiaTheme="minorEastAsia" w:hAnsiTheme="minorHAnsi" w:cstheme="minorBidi"/>
              <w:noProof/>
              <w:szCs w:val="24"/>
            </w:rPr>
          </w:pPr>
          <w:hyperlink w:anchor="_Toc84517576" w:history="1">
            <w:r w:rsidR="00F707AF" w:rsidRPr="001E4272">
              <w:rPr>
                <w:rStyle w:val="Hyperlink"/>
                <w:noProof/>
                <w:szCs w:val="24"/>
              </w:rPr>
              <w:t>1.4.</w:t>
            </w:r>
            <w:r w:rsidR="00F707AF" w:rsidRPr="001E4272">
              <w:rPr>
                <w:noProof/>
              </w:rPr>
              <w:tab/>
            </w:r>
            <w:r w:rsidR="00767639" w:rsidRPr="001E4272">
              <w:rPr>
                <w:noProof/>
              </w:rPr>
              <w:t>Στόχοι</w:t>
            </w:r>
            <w:r w:rsidR="00F707AF" w:rsidRPr="001E4272">
              <w:rPr>
                <w:noProof/>
              </w:rPr>
              <w:tab/>
            </w:r>
            <w:r w:rsidR="00F707AF" w:rsidRPr="001E4272">
              <w:rPr>
                <w:noProof/>
                <w:webHidden/>
                <w:szCs w:val="24"/>
              </w:rPr>
              <w:fldChar w:fldCharType="begin" w:fldLock="1"/>
            </w:r>
            <w:r w:rsidR="00F707AF" w:rsidRPr="001E4272">
              <w:rPr>
                <w:noProof/>
                <w:webHidden/>
                <w:szCs w:val="24"/>
              </w:rPr>
              <w:instrText xml:space="preserve"> PAGEREF _Toc84517576 \h </w:instrText>
            </w:r>
            <w:r w:rsidR="00F707AF" w:rsidRPr="001E4272">
              <w:rPr>
                <w:noProof/>
                <w:webHidden/>
                <w:szCs w:val="24"/>
              </w:rPr>
            </w:r>
            <w:r w:rsidR="00F707AF" w:rsidRPr="001E4272">
              <w:rPr>
                <w:noProof/>
                <w:webHidden/>
                <w:szCs w:val="24"/>
              </w:rPr>
              <w:fldChar w:fldCharType="separate"/>
            </w:r>
            <w:r w:rsidR="00F707AF" w:rsidRPr="001E4272">
              <w:rPr>
                <w:noProof/>
                <w:webHidden/>
                <w:szCs w:val="24"/>
              </w:rPr>
              <w:t>26</w:t>
            </w:r>
            <w:r w:rsidR="00F707AF" w:rsidRPr="001E4272">
              <w:rPr>
                <w:noProof/>
                <w:webHidden/>
                <w:szCs w:val="24"/>
              </w:rPr>
              <w:fldChar w:fldCharType="end"/>
            </w:r>
          </w:hyperlink>
        </w:p>
        <w:p w14:paraId="120BE155" w14:textId="6812CB88" w:rsidR="00B44ABF" w:rsidRPr="001E4272" w:rsidRDefault="008C00BA" w:rsidP="00B44ABF">
          <w:pPr>
            <w:pStyle w:val="TOC3"/>
            <w:rPr>
              <w:rFonts w:asciiTheme="minorHAnsi" w:eastAsiaTheme="minorEastAsia" w:hAnsiTheme="minorHAnsi" w:cstheme="minorBidi"/>
              <w:noProof/>
              <w:szCs w:val="24"/>
            </w:rPr>
          </w:pPr>
          <w:hyperlink w:anchor="_Toc84517577" w:history="1">
            <w:r w:rsidR="00F707AF" w:rsidRPr="001E4272">
              <w:rPr>
                <w:rStyle w:val="Hyperlink"/>
                <w:noProof/>
                <w:szCs w:val="24"/>
              </w:rPr>
              <w:t>1.4.1.</w:t>
            </w:r>
            <w:r w:rsidR="00F707AF" w:rsidRPr="001E4272">
              <w:rPr>
                <w:noProof/>
              </w:rPr>
              <w:tab/>
            </w:r>
            <w:r w:rsidR="00767639" w:rsidRPr="001E4272">
              <w:rPr>
                <w:noProof/>
              </w:rPr>
              <w:t>Γενικοί στόχοι</w:t>
            </w:r>
            <w:r w:rsidR="00F707AF" w:rsidRPr="001E4272">
              <w:rPr>
                <w:noProof/>
              </w:rPr>
              <w:tab/>
            </w:r>
            <w:r w:rsidR="00F707AF" w:rsidRPr="001E4272">
              <w:rPr>
                <w:noProof/>
                <w:webHidden/>
                <w:szCs w:val="24"/>
              </w:rPr>
              <w:fldChar w:fldCharType="begin" w:fldLock="1"/>
            </w:r>
            <w:r w:rsidR="00F707AF" w:rsidRPr="001E4272">
              <w:rPr>
                <w:noProof/>
                <w:webHidden/>
                <w:szCs w:val="24"/>
              </w:rPr>
              <w:instrText xml:space="preserve"> PAGEREF _Toc84517577 \h </w:instrText>
            </w:r>
            <w:r w:rsidR="00F707AF" w:rsidRPr="001E4272">
              <w:rPr>
                <w:noProof/>
                <w:webHidden/>
                <w:szCs w:val="24"/>
              </w:rPr>
            </w:r>
            <w:r w:rsidR="00F707AF" w:rsidRPr="001E4272">
              <w:rPr>
                <w:noProof/>
                <w:webHidden/>
                <w:szCs w:val="24"/>
              </w:rPr>
              <w:fldChar w:fldCharType="separate"/>
            </w:r>
            <w:r w:rsidR="00F707AF" w:rsidRPr="001E4272">
              <w:rPr>
                <w:noProof/>
                <w:webHidden/>
                <w:szCs w:val="24"/>
              </w:rPr>
              <w:t>26</w:t>
            </w:r>
            <w:r w:rsidR="00F707AF" w:rsidRPr="001E4272">
              <w:rPr>
                <w:noProof/>
                <w:webHidden/>
                <w:szCs w:val="24"/>
              </w:rPr>
              <w:fldChar w:fldCharType="end"/>
            </w:r>
          </w:hyperlink>
        </w:p>
        <w:p w14:paraId="730F3B2A" w14:textId="1C0B146F" w:rsidR="00E302BE" w:rsidRPr="001E4272" w:rsidRDefault="008C00BA" w:rsidP="00E302BE">
          <w:pPr>
            <w:pStyle w:val="TOC3"/>
            <w:rPr>
              <w:rFonts w:asciiTheme="minorHAnsi" w:eastAsiaTheme="minorEastAsia" w:hAnsiTheme="minorHAnsi" w:cstheme="minorBidi"/>
              <w:noProof/>
              <w:szCs w:val="24"/>
              <w:lang w:eastAsia="fr-BE"/>
            </w:rPr>
          </w:pPr>
          <w:hyperlink w:anchor="_Toc84517578" w:history="1">
            <w:r w:rsidR="00E302BE" w:rsidRPr="001E4272">
              <w:rPr>
                <w:rStyle w:val="Hyperlink"/>
                <w:noProof/>
                <w:szCs w:val="24"/>
              </w:rPr>
              <w:t>1.4.2.</w:t>
            </w:r>
            <w:r w:rsidR="00E302BE" w:rsidRPr="001E4272">
              <w:rPr>
                <w:rFonts w:asciiTheme="minorHAnsi" w:eastAsiaTheme="minorEastAsia" w:hAnsiTheme="minorHAnsi" w:cstheme="minorBidi"/>
                <w:noProof/>
                <w:szCs w:val="24"/>
                <w:lang w:eastAsia="fr-BE"/>
              </w:rPr>
              <w:tab/>
            </w:r>
            <w:r w:rsidR="00E302BE" w:rsidRPr="00746164">
              <w:rPr>
                <w:rFonts w:eastAsiaTheme="minorEastAsia"/>
                <w:noProof/>
                <w:szCs w:val="24"/>
                <w:lang w:eastAsia="fr-BE"/>
              </w:rPr>
              <w:t>Ειδικοί στόχοι</w:t>
            </w:r>
            <w:r w:rsidR="00E302BE" w:rsidRPr="001E4272">
              <w:rPr>
                <w:noProof/>
                <w:webHidden/>
                <w:szCs w:val="24"/>
              </w:rPr>
              <w:tab/>
            </w:r>
            <w:r w:rsidR="00E302BE" w:rsidRPr="001E4272">
              <w:rPr>
                <w:noProof/>
                <w:webHidden/>
                <w:szCs w:val="24"/>
              </w:rPr>
              <w:fldChar w:fldCharType="begin" w:fldLock="1"/>
            </w:r>
            <w:r w:rsidR="00E302BE" w:rsidRPr="001E4272">
              <w:rPr>
                <w:noProof/>
                <w:webHidden/>
                <w:szCs w:val="24"/>
              </w:rPr>
              <w:instrText xml:space="preserve"> PAGEREF _Toc84517578 \h </w:instrText>
            </w:r>
            <w:r w:rsidR="00E302BE" w:rsidRPr="001E4272">
              <w:rPr>
                <w:noProof/>
                <w:webHidden/>
                <w:szCs w:val="24"/>
              </w:rPr>
            </w:r>
            <w:r w:rsidR="00E302BE" w:rsidRPr="001E4272">
              <w:rPr>
                <w:noProof/>
                <w:webHidden/>
                <w:szCs w:val="24"/>
              </w:rPr>
              <w:fldChar w:fldCharType="separate"/>
            </w:r>
            <w:r w:rsidR="00E302BE" w:rsidRPr="001E4272">
              <w:rPr>
                <w:noProof/>
                <w:webHidden/>
                <w:szCs w:val="24"/>
              </w:rPr>
              <w:t>27</w:t>
            </w:r>
            <w:r w:rsidR="00E302BE" w:rsidRPr="001E4272">
              <w:rPr>
                <w:noProof/>
                <w:webHidden/>
                <w:szCs w:val="24"/>
              </w:rPr>
              <w:fldChar w:fldCharType="end"/>
            </w:r>
          </w:hyperlink>
        </w:p>
        <w:p w14:paraId="0BFDEFFD" w14:textId="464A08A4" w:rsidR="00B44ABF" w:rsidRPr="001E4272" w:rsidRDefault="008C00BA" w:rsidP="00B44ABF">
          <w:pPr>
            <w:pStyle w:val="TOC3"/>
            <w:rPr>
              <w:rFonts w:asciiTheme="minorHAnsi" w:eastAsiaTheme="minorEastAsia" w:hAnsiTheme="minorHAnsi" w:cstheme="minorBidi"/>
              <w:noProof/>
              <w:szCs w:val="24"/>
            </w:rPr>
          </w:pPr>
          <w:hyperlink w:anchor="_Toc84517579" w:history="1">
            <w:r w:rsidR="00F707AF" w:rsidRPr="001E4272">
              <w:rPr>
                <w:rStyle w:val="Hyperlink"/>
                <w:noProof/>
                <w:szCs w:val="24"/>
              </w:rPr>
              <w:t>1.4.3.</w:t>
            </w:r>
            <w:r w:rsidR="00F707AF" w:rsidRPr="001E4272">
              <w:rPr>
                <w:noProof/>
              </w:rPr>
              <w:tab/>
            </w:r>
            <w:r w:rsidR="00E302BE" w:rsidRPr="001E4272">
              <w:rPr>
                <w:noProof/>
              </w:rPr>
              <w:t>Αναμενόμενα αποτελέσματα και επιπτώσεις</w:t>
            </w:r>
            <w:r w:rsidR="00F707AF" w:rsidRPr="001E4272">
              <w:rPr>
                <w:noProof/>
              </w:rPr>
              <w:tab/>
            </w:r>
            <w:r w:rsidR="00F707AF" w:rsidRPr="001E4272">
              <w:rPr>
                <w:noProof/>
                <w:webHidden/>
                <w:szCs w:val="24"/>
              </w:rPr>
              <w:fldChar w:fldCharType="begin" w:fldLock="1"/>
            </w:r>
            <w:r w:rsidR="00F707AF" w:rsidRPr="001E4272">
              <w:rPr>
                <w:noProof/>
                <w:webHidden/>
                <w:szCs w:val="24"/>
              </w:rPr>
              <w:instrText xml:space="preserve"> PAGEREF _Toc84517579 \h </w:instrText>
            </w:r>
            <w:r w:rsidR="00F707AF" w:rsidRPr="001E4272">
              <w:rPr>
                <w:noProof/>
                <w:webHidden/>
                <w:szCs w:val="24"/>
              </w:rPr>
            </w:r>
            <w:r w:rsidR="00F707AF" w:rsidRPr="001E4272">
              <w:rPr>
                <w:noProof/>
                <w:webHidden/>
                <w:szCs w:val="24"/>
              </w:rPr>
              <w:fldChar w:fldCharType="separate"/>
            </w:r>
            <w:r w:rsidR="00F707AF" w:rsidRPr="001E4272">
              <w:rPr>
                <w:noProof/>
                <w:webHidden/>
                <w:szCs w:val="24"/>
              </w:rPr>
              <w:t>28</w:t>
            </w:r>
            <w:r w:rsidR="00F707AF" w:rsidRPr="001E4272">
              <w:rPr>
                <w:noProof/>
                <w:webHidden/>
                <w:szCs w:val="24"/>
              </w:rPr>
              <w:fldChar w:fldCharType="end"/>
            </w:r>
          </w:hyperlink>
        </w:p>
        <w:p w14:paraId="27EC7B2D" w14:textId="7AE05E3B" w:rsidR="00B44ABF" w:rsidRPr="001E4272" w:rsidRDefault="008C00BA" w:rsidP="00B44ABF">
          <w:pPr>
            <w:pStyle w:val="TOC3"/>
            <w:rPr>
              <w:rFonts w:asciiTheme="minorHAnsi" w:eastAsiaTheme="minorEastAsia" w:hAnsiTheme="minorHAnsi" w:cstheme="minorBidi"/>
              <w:noProof/>
              <w:szCs w:val="24"/>
            </w:rPr>
          </w:pPr>
          <w:hyperlink w:anchor="_Toc84517580" w:history="1">
            <w:r w:rsidR="00F707AF" w:rsidRPr="001E4272">
              <w:rPr>
                <w:rStyle w:val="Hyperlink"/>
                <w:noProof/>
                <w:szCs w:val="24"/>
              </w:rPr>
              <w:t>1.4.4.</w:t>
            </w:r>
            <w:r w:rsidR="00F707AF" w:rsidRPr="001E4272">
              <w:rPr>
                <w:noProof/>
              </w:rPr>
              <w:tab/>
            </w:r>
            <w:r w:rsidR="00E302BE" w:rsidRPr="001E4272">
              <w:rPr>
                <w:noProof/>
              </w:rPr>
              <w:t>Δείκτες επιδόσεων</w:t>
            </w:r>
            <w:r w:rsidR="00F707AF" w:rsidRPr="001E4272">
              <w:rPr>
                <w:noProof/>
              </w:rPr>
              <w:tab/>
            </w:r>
            <w:r w:rsidR="00F707AF" w:rsidRPr="001E4272">
              <w:rPr>
                <w:noProof/>
                <w:webHidden/>
                <w:szCs w:val="24"/>
              </w:rPr>
              <w:fldChar w:fldCharType="begin" w:fldLock="1"/>
            </w:r>
            <w:r w:rsidR="00F707AF" w:rsidRPr="001E4272">
              <w:rPr>
                <w:noProof/>
                <w:webHidden/>
                <w:szCs w:val="24"/>
              </w:rPr>
              <w:instrText xml:space="preserve"> PAGEREF _Toc84517580 \h </w:instrText>
            </w:r>
            <w:r w:rsidR="00F707AF" w:rsidRPr="001E4272">
              <w:rPr>
                <w:noProof/>
                <w:webHidden/>
                <w:szCs w:val="24"/>
              </w:rPr>
            </w:r>
            <w:r w:rsidR="00F707AF" w:rsidRPr="001E4272">
              <w:rPr>
                <w:noProof/>
                <w:webHidden/>
                <w:szCs w:val="24"/>
              </w:rPr>
              <w:fldChar w:fldCharType="separate"/>
            </w:r>
            <w:r w:rsidR="00F707AF" w:rsidRPr="001E4272">
              <w:rPr>
                <w:noProof/>
                <w:webHidden/>
                <w:szCs w:val="24"/>
              </w:rPr>
              <w:t>28</w:t>
            </w:r>
            <w:r w:rsidR="00F707AF" w:rsidRPr="001E4272">
              <w:rPr>
                <w:noProof/>
                <w:webHidden/>
                <w:szCs w:val="24"/>
              </w:rPr>
              <w:fldChar w:fldCharType="end"/>
            </w:r>
          </w:hyperlink>
        </w:p>
        <w:p w14:paraId="363E4504" w14:textId="1930128E" w:rsidR="00B44ABF" w:rsidRPr="001E4272" w:rsidRDefault="008C00BA" w:rsidP="00B44ABF">
          <w:pPr>
            <w:pStyle w:val="TOC2"/>
            <w:rPr>
              <w:rFonts w:asciiTheme="minorHAnsi" w:eastAsiaTheme="minorEastAsia" w:hAnsiTheme="minorHAnsi" w:cstheme="minorBidi"/>
              <w:noProof/>
              <w:szCs w:val="24"/>
            </w:rPr>
          </w:pPr>
          <w:hyperlink w:anchor="_Toc84517581" w:history="1">
            <w:r w:rsidR="00F707AF" w:rsidRPr="001E4272">
              <w:rPr>
                <w:rStyle w:val="Hyperlink"/>
                <w:noProof/>
                <w:szCs w:val="24"/>
              </w:rPr>
              <w:t>1.5.</w:t>
            </w:r>
            <w:r w:rsidR="00F707AF" w:rsidRPr="001E4272">
              <w:rPr>
                <w:noProof/>
              </w:rPr>
              <w:tab/>
            </w:r>
            <w:r w:rsidR="00E302BE" w:rsidRPr="001E4272">
              <w:rPr>
                <w:noProof/>
              </w:rPr>
              <w:t>Αιτιολόγηση της πρότασης/πρωτοβουλίας</w:t>
            </w:r>
            <w:r w:rsidR="00F707AF" w:rsidRPr="001E4272">
              <w:rPr>
                <w:noProof/>
              </w:rPr>
              <w:tab/>
            </w:r>
            <w:r w:rsidR="00F707AF" w:rsidRPr="001E4272">
              <w:rPr>
                <w:noProof/>
                <w:webHidden/>
                <w:szCs w:val="24"/>
              </w:rPr>
              <w:fldChar w:fldCharType="begin" w:fldLock="1"/>
            </w:r>
            <w:r w:rsidR="00F707AF" w:rsidRPr="001E4272">
              <w:rPr>
                <w:noProof/>
                <w:webHidden/>
                <w:szCs w:val="24"/>
              </w:rPr>
              <w:instrText xml:space="preserve"> PAGEREF _Toc84517581 \h </w:instrText>
            </w:r>
            <w:r w:rsidR="00F707AF" w:rsidRPr="001E4272">
              <w:rPr>
                <w:noProof/>
                <w:webHidden/>
                <w:szCs w:val="24"/>
              </w:rPr>
            </w:r>
            <w:r w:rsidR="00F707AF" w:rsidRPr="001E4272">
              <w:rPr>
                <w:noProof/>
                <w:webHidden/>
                <w:szCs w:val="24"/>
              </w:rPr>
              <w:fldChar w:fldCharType="separate"/>
            </w:r>
            <w:r w:rsidR="00F707AF" w:rsidRPr="001E4272">
              <w:rPr>
                <w:noProof/>
                <w:webHidden/>
                <w:szCs w:val="24"/>
              </w:rPr>
              <w:t>28</w:t>
            </w:r>
            <w:r w:rsidR="00F707AF" w:rsidRPr="001E4272">
              <w:rPr>
                <w:noProof/>
                <w:webHidden/>
                <w:szCs w:val="24"/>
              </w:rPr>
              <w:fldChar w:fldCharType="end"/>
            </w:r>
          </w:hyperlink>
        </w:p>
        <w:p w14:paraId="0DEA71DD" w14:textId="5386A860" w:rsidR="00B44ABF" w:rsidRPr="001E4272" w:rsidRDefault="008C00BA" w:rsidP="00B44ABF">
          <w:pPr>
            <w:pStyle w:val="TOC3"/>
            <w:rPr>
              <w:rFonts w:asciiTheme="minorHAnsi" w:eastAsiaTheme="minorEastAsia" w:hAnsiTheme="minorHAnsi" w:cstheme="minorBidi"/>
              <w:noProof/>
              <w:szCs w:val="24"/>
            </w:rPr>
          </w:pPr>
          <w:hyperlink w:anchor="_Toc84517582" w:history="1">
            <w:r w:rsidR="00F707AF" w:rsidRPr="001E4272">
              <w:rPr>
                <w:rStyle w:val="Hyperlink"/>
                <w:noProof/>
                <w:szCs w:val="24"/>
              </w:rPr>
              <w:t>1.5.1.</w:t>
            </w:r>
            <w:r w:rsidR="00F707AF" w:rsidRPr="001E4272">
              <w:rPr>
                <w:noProof/>
              </w:rPr>
              <w:tab/>
            </w:r>
            <w:r w:rsidR="009B7C20" w:rsidRPr="001E4272">
              <w:rPr>
                <w:noProof/>
              </w:rPr>
              <w:t>Βραχυπρόθεσμη ή μακροπρόθεσμη κάλυψη αναγκών, συμπεριλαμβανομένου λεπτομερούς χρονοδιαγράμματος για τη σταδιακή υλοποίηση της πρωτοβουλίας</w:t>
            </w:r>
            <w:r w:rsidR="00F707AF" w:rsidRPr="001E4272">
              <w:rPr>
                <w:noProof/>
              </w:rPr>
              <w:tab/>
            </w:r>
            <w:r w:rsidR="00F707AF" w:rsidRPr="001E4272">
              <w:rPr>
                <w:noProof/>
                <w:webHidden/>
                <w:szCs w:val="24"/>
              </w:rPr>
              <w:fldChar w:fldCharType="begin" w:fldLock="1"/>
            </w:r>
            <w:r w:rsidR="00F707AF" w:rsidRPr="001E4272">
              <w:rPr>
                <w:noProof/>
                <w:webHidden/>
                <w:szCs w:val="24"/>
              </w:rPr>
              <w:instrText xml:space="preserve"> PAGEREF _Toc84517582 \h </w:instrText>
            </w:r>
            <w:r w:rsidR="00F707AF" w:rsidRPr="001E4272">
              <w:rPr>
                <w:noProof/>
                <w:webHidden/>
                <w:szCs w:val="24"/>
              </w:rPr>
            </w:r>
            <w:r w:rsidR="00F707AF" w:rsidRPr="001E4272">
              <w:rPr>
                <w:noProof/>
                <w:webHidden/>
                <w:szCs w:val="24"/>
              </w:rPr>
              <w:fldChar w:fldCharType="separate"/>
            </w:r>
            <w:r w:rsidR="00F707AF" w:rsidRPr="001E4272">
              <w:rPr>
                <w:noProof/>
                <w:webHidden/>
                <w:szCs w:val="24"/>
              </w:rPr>
              <w:t>28</w:t>
            </w:r>
            <w:r w:rsidR="00F707AF" w:rsidRPr="001E4272">
              <w:rPr>
                <w:noProof/>
                <w:webHidden/>
                <w:szCs w:val="24"/>
              </w:rPr>
              <w:fldChar w:fldCharType="end"/>
            </w:r>
          </w:hyperlink>
        </w:p>
        <w:p w14:paraId="761EE2BB" w14:textId="788F283E" w:rsidR="00B44ABF" w:rsidRPr="001E4272" w:rsidRDefault="008C00BA" w:rsidP="00B44ABF">
          <w:pPr>
            <w:pStyle w:val="TOC3"/>
            <w:rPr>
              <w:rFonts w:asciiTheme="minorHAnsi" w:eastAsiaTheme="minorEastAsia" w:hAnsiTheme="minorHAnsi" w:cstheme="minorBidi"/>
              <w:noProof/>
              <w:szCs w:val="24"/>
            </w:rPr>
          </w:pPr>
          <w:hyperlink w:anchor="_Toc84517583" w:history="1">
            <w:r w:rsidR="00F707AF" w:rsidRPr="001E4272">
              <w:rPr>
                <w:rStyle w:val="Hyperlink"/>
                <w:noProof/>
                <w:szCs w:val="24"/>
              </w:rPr>
              <w:t>1.5.2.</w:t>
            </w:r>
            <w:r w:rsidR="00F707AF" w:rsidRPr="001E4272">
              <w:rPr>
                <w:noProof/>
              </w:rPr>
              <w:tab/>
            </w:r>
            <w:r w:rsidR="009B7C20" w:rsidRPr="001E4272">
              <w:rPr>
                <w:noProof/>
              </w:rPr>
              <w:t>Προστιθέμενη αξία της ενωσιακής παρέμβασης (που μπορεί να προκύπτει από διάφορους παράγοντες, π.χ. οφέλη από τον συντονισμό, ασφάλεια δικαίου, μεγαλύτερη αποτελεσματικότητα ή συμπληρωματικότητα). Για τους σκοπούς του παρόντος σημείου «προστιθέμενη αξία της ενωσιακής παρέμβασης» είναι η αξία που απορρέει από την ενωσιακή παρέμβαση και η οποία προστίθεται στην αξία που θα είχε δημιουργηθεί αν τα κράτη μέλη ενεργούσαν μεμονωμένα.</w:t>
            </w:r>
            <w:r w:rsidR="00F707AF" w:rsidRPr="001E4272">
              <w:rPr>
                <w:noProof/>
              </w:rPr>
              <w:tab/>
            </w:r>
            <w:r w:rsidR="00F707AF" w:rsidRPr="001E4272">
              <w:rPr>
                <w:noProof/>
                <w:webHidden/>
                <w:szCs w:val="24"/>
              </w:rPr>
              <w:fldChar w:fldCharType="begin" w:fldLock="1"/>
            </w:r>
            <w:r w:rsidR="00F707AF" w:rsidRPr="001E4272">
              <w:rPr>
                <w:noProof/>
                <w:webHidden/>
                <w:szCs w:val="24"/>
              </w:rPr>
              <w:instrText xml:space="preserve"> PAGEREF _Toc84517583 \h </w:instrText>
            </w:r>
            <w:r w:rsidR="00F707AF" w:rsidRPr="001E4272">
              <w:rPr>
                <w:noProof/>
                <w:webHidden/>
                <w:szCs w:val="24"/>
              </w:rPr>
            </w:r>
            <w:r w:rsidR="00F707AF" w:rsidRPr="001E4272">
              <w:rPr>
                <w:noProof/>
                <w:webHidden/>
                <w:szCs w:val="24"/>
              </w:rPr>
              <w:fldChar w:fldCharType="separate"/>
            </w:r>
            <w:r w:rsidR="00F707AF" w:rsidRPr="001E4272">
              <w:rPr>
                <w:noProof/>
                <w:webHidden/>
                <w:szCs w:val="24"/>
              </w:rPr>
              <w:t>29</w:t>
            </w:r>
            <w:r w:rsidR="00F707AF" w:rsidRPr="001E4272">
              <w:rPr>
                <w:noProof/>
                <w:webHidden/>
                <w:szCs w:val="24"/>
              </w:rPr>
              <w:fldChar w:fldCharType="end"/>
            </w:r>
          </w:hyperlink>
        </w:p>
        <w:p w14:paraId="19ED09A9" w14:textId="6F8169F7" w:rsidR="00B44ABF" w:rsidRPr="001E4272" w:rsidRDefault="008C00BA" w:rsidP="00B44ABF">
          <w:pPr>
            <w:pStyle w:val="TOC3"/>
            <w:rPr>
              <w:rFonts w:asciiTheme="minorHAnsi" w:eastAsiaTheme="minorEastAsia" w:hAnsiTheme="minorHAnsi" w:cstheme="minorBidi"/>
              <w:noProof/>
              <w:szCs w:val="24"/>
            </w:rPr>
          </w:pPr>
          <w:hyperlink w:anchor="_Toc84517584" w:history="1">
            <w:r w:rsidR="00F707AF" w:rsidRPr="001E4272">
              <w:rPr>
                <w:rStyle w:val="Hyperlink"/>
                <w:noProof/>
                <w:szCs w:val="24"/>
              </w:rPr>
              <w:t>1.5.3.</w:t>
            </w:r>
            <w:r w:rsidR="00F707AF" w:rsidRPr="001E4272">
              <w:rPr>
                <w:noProof/>
              </w:rPr>
              <w:tab/>
            </w:r>
            <w:r w:rsidR="0015417A" w:rsidRPr="001E4272">
              <w:rPr>
                <w:noProof/>
              </w:rPr>
              <w:t>Διδάγματα από ανάλογες εμπειρίες του παρελθόντος</w:t>
            </w:r>
            <w:r w:rsidR="00F707AF" w:rsidRPr="001E4272">
              <w:rPr>
                <w:noProof/>
              </w:rPr>
              <w:tab/>
            </w:r>
            <w:r w:rsidR="00F707AF" w:rsidRPr="001E4272">
              <w:rPr>
                <w:noProof/>
                <w:webHidden/>
                <w:szCs w:val="24"/>
              </w:rPr>
              <w:fldChar w:fldCharType="begin" w:fldLock="1"/>
            </w:r>
            <w:r w:rsidR="00F707AF" w:rsidRPr="001E4272">
              <w:rPr>
                <w:noProof/>
                <w:webHidden/>
                <w:szCs w:val="24"/>
              </w:rPr>
              <w:instrText xml:space="preserve"> PAGEREF _Toc84517584 \h </w:instrText>
            </w:r>
            <w:r w:rsidR="00F707AF" w:rsidRPr="001E4272">
              <w:rPr>
                <w:noProof/>
                <w:webHidden/>
                <w:szCs w:val="24"/>
              </w:rPr>
            </w:r>
            <w:r w:rsidR="00F707AF" w:rsidRPr="001E4272">
              <w:rPr>
                <w:noProof/>
                <w:webHidden/>
                <w:szCs w:val="24"/>
              </w:rPr>
              <w:fldChar w:fldCharType="separate"/>
            </w:r>
            <w:r w:rsidR="00F707AF" w:rsidRPr="001E4272">
              <w:rPr>
                <w:noProof/>
                <w:webHidden/>
                <w:szCs w:val="24"/>
              </w:rPr>
              <w:t>29</w:t>
            </w:r>
            <w:r w:rsidR="00F707AF" w:rsidRPr="001E4272">
              <w:rPr>
                <w:noProof/>
                <w:webHidden/>
                <w:szCs w:val="24"/>
              </w:rPr>
              <w:fldChar w:fldCharType="end"/>
            </w:r>
          </w:hyperlink>
        </w:p>
        <w:p w14:paraId="35985743" w14:textId="57715D87" w:rsidR="00B44ABF" w:rsidRPr="001E4272" w:rsidRDefault="008C00BA" w:rsidP="00B44ABF">
          <w:pPr>
            <w:pStyle w:val="TOC3"/>
            <w:rPr>
              <w:rFonts w:asciiTheme="minorHAnsi" w:eastAsiaTheme="minorEastAsia" w:hAnsiTheme="minorHAnsi" w:cstheme="minorBidi"/>
              <w:noProof/>
              <w:szCs w:val="24"/>
            </w:rPr>
          </w:pPr>
          <w:hyperlink w:anchor="_Toc84517585" w:history="1">
            <w:r w:rsidR="00F707AF" w:rsidRPr="001E4272">
              <w:rPr>
                <w:rStyle w:val="Hyperlink"/>
                <w:noProof/>
                <w:szCs w:val="24"/>
              </w:rPr>
              <w:t>1.5.4.</w:t>
            </w:r>
            <w:r w:rsidR="00F707AF" w:rsidRPr="001E4272">
              <w:rPr>
                <w:noProof/>
              </w:rPr>
              <w:tab/>
            </w:r>
            <w:r w:rsidR="0015417A" w:rsidRPr="001E4272">
              <w:rPr>
                <w:noProof/>
              </w:rPr>
              <w:t>Συμβατότητα με το πολυετές δημοσιονομικό πλαίσιο και ενδεχόμενες συνέργειες με άλλα κατάλληλα μέσα</w:t>
            </w:r>
            <w:r w:rsidR="00F707AF" w:rsidRPr="001E4272">
              <w:rPr>
                <w:noProof/>
              </w:rPr>
              <w:tab/>
            </w:r>
            <w:r w:rsidR="00F707AF" w:rsidRPr="001E4272">
              <w:rPr>
                <w:noProof/>
                <w:webHidden/>
                <w:szCs w:val="24"/>
              </w:rPr>
              <w:fldChar w:fldCharType="begin" w:fldLock="1"/>
            </w:r>
            <w:r w:rsidR="00F707AF" w:rsidRPr="001E4272">
              <w:rPr>
                <w:noProof/>
                <w:webHidden/>
                <w:szCs w:val="24"/>
              </w:rPr>
              <w:instrText xml:space="preserve"> PAGEREF _Toc84517585 \h </w:instrText>
            </w:r>
            <w:r w:rsidR="00F707AF" w:rsidRPr="001E4272">
              <w:rPr>
                <w:noProof/>
                <w:webHidden/>
                <w:szCs w:val="24"/>
              </w:rPr>
            </w:r>
            <w:r w:rsidR="00F707AF" w:rsidRPr="001E4272">
              <w:rPr>
                <w:noProof/>
                <w:webHidden/>
                <w:szCs w:val="24"/>
              </w:rPr>
              <w:fldChar w:fldCharType="separate"/>
            </w:r>
            <w:r w:rsidR="00F707AF" w:rsidRPr="001E4272">
              <w:rPr>
                <w:noProof/>
                <w:webHidden/>
                <w:szCs w:val="24"/>
              </w:rPr>
              <w:t>30</w:t>
            </w:r>
            <w:r w:rsidR="00F707AF" w:rsidRPr="001E4272">
              <w:rPr>
                <w:noProof/>
                <w:webHidden/>
                <w:szCs w:val="24"/>
              </w:rPr>
              <w:fldChar w:fldCharType="end"/>
            </w:r>
          </w:hyperlink>
        </w:p>
        <w:p w14:paraId="30586807" w14:textId="11804499" w:rsidR="00B44ABF" w:rsidRPr="001E4272" w:rsidRDefault="008C00BA" w:rsidP="00B44ABF">
          <w:pPr>
            <w:pStyle w:val="TOC3"/>
            <w:rPr>
              <w:rFonts w:asciiTheme="minorHAnsi" w:eastAsiaTheme="minorEastAsia" w:hAnsiTheme="minorHAnsi" w:cstheme="minorBidi"/>
              <w:noProof/>
              <w:szCs w:val="24"/>
            </w:rPr>
          </w:pPr>
          <w:hyperlink w:anchor="_Toc84517586" w:history="1">
            <w:r w:rsidR="00F707AF" w:rsidRPr="001E4272">
              <w:rPr>
                <w:rStyle w:val="Hyperlink"/>
                <w:noProof/>
                <w:szCs w:val="24"/>
              </w:rPr>
              <w:t>1.5.5.</w:t>
            </w:r>
            <w:r w:rsidR="00F707AF" w:rsidRPr="001E4272">
              <w:rPr>
                <w:noProof/>
              </w:rPr>
              <w:tab/>
            </w:r>
            <w:r w:rsidR="0015417A" w:rsidRPr="001E4272">
              <w:rPr>
                <w:noProof/>
              </w:rPr>
              <w:t>Αξιολόγηση των διάφορων διαθέσιμων επιλογών χρηματοδότησης, συμπεριλαμβανομένων των δυνατοτήτων ανακατανομής</w:t>
            </w:r>
            <w:r w:rsidR="00F707AF" w:rsidRPr="001E4272">
              <w:rPr>
                <w:noProof/>
              </w:rPr>
              <w:tab/>
            </w:r>
            <w:r w:rsidR="00F707AF" w:rsidRPr="001E4272">
              <w:rPr>
                <w:noProof/>
                <w:webHidden/>
                <w:szCs w:val="24"/>
              </w:rPr>
              <w:fldChar w:fldCharType="begin" w:fldLock="1"/>
            </w:r>
            <w:r w:rsidR="00F707AF" w:rsidRPr="001E4272">
              <w:rPr>
                <w:noProof/>
                <w:webHidden/>
                <w:szCs w:val="24"/>
              </w:rPr>
              <w:instrText xml:space="preserve"> PAGEREF _Toc84517586 \h </w:instrText>
            </w:r>
            <w:r w:rsidR="00F707AF" w:rsidRPr="001E4272">
              <w:rPr>
                <w:noProof/>
                <w:webHidden/>
                <w:szCs w:val="24"/>
              </w:rPr>
            </w:r>
            <w:r w:rsidR="00F707AF" w:rsidRPr="001E4272">
              <w:rPr>
                <w:noProof/>
                <w:webHidden/>
                <w:szCs w:val="24"/>
              </w:rPr>
              <w:fldChar w:fldCharType="separate"/>
            </w:r>
            <w:r w:rsidR="00F707AF" w:rsidRPr="001E4272">
              <w:rPr>
                <w:noProof/>
                <w:webHidden/>
                <w:szCs w:val="24"/>
              </w:rPr>
              <w:t>31</w:t>
            </w:r>
            <w:r w:rsidR="00F707AF" w:rsidRPr="001E4272">
              <w:rPr>
                <w:noProof/>
                <w:webHidden/>
                <w:szCs w:val="24"/>
              </w:rPr>
              <w:fldChar w:fldCharType="end"/>
            </w:r>
          </w:hyperlink>
        </w:p>
        <w:p w14:paraId="4A9BA158" w14:textId="08029333" w:rsidR="00B44ABF" w:rsidRPr="001E4272" w:rsidRDefault="008C00BA" w:rsidP="00B44ABF">
          <w:pPr>
            <w:pStyle w:val="TOC2"/>
            <w:rPr>
              <w:rFonts w:asciiTheme="minorHAnsi" w:eastAsiaTheme="minorEastAsia" w:hAnsiTheme="minorHAnsi" w:cstheme="minorBidi"/>
              <w:noProof/>
              <w:szCs w:val="24"/>
            </w:rPr>
          </w:pPr>
          <w:hyperlink w:anchor="_Toc84517587" w:history="1">
            <w:r w:rsidR="00F707AF" w:rsidRPr="001E4272">
              <w:rPr>
                <w:rStyle w:val="Hyperlink"/>
                <w:noProof/>
                <w:szCs w:val="24"/>
              </w:rPr>
              <w:t>1.6.</w:t>
            </w:r>
            <w:r w:rsidR="00F707AF" w:rsidRPr="001E4272">
              <w:rPr>
                <w:noProof/>
              </w:rPr>
              <w:tab/>
            </w:r>
            <w:r w:rsidR="00757E56" w:rsidRPr="001E4272">
              <w:rPr>
                <w:noProof/>
              </w:rPr>
              <w:t>Διάρκεια και δημοσιονομικές επιπτώσεις της πρότασης/πρωτοβουλίας</w:t>
            </w:r>
            <w:r w:rsidR="00F707AF" w:rsidRPr="001E4272">
              <w:rPr>
                <w:noProof/>
              </w:rPr>
              <w:tab/>
            </w:r>
            <w:r w:rsidR="00F707AF" w:rsidRPr="001E4272">
              <w:rPr>
                <w:noProof/>
                <w:webHidden/>
                <w:szCs w:val="24"/>
              </w:rPr>
              <w:fldChar w:fldCharType="begin" w:fldLock="1"/>
            </w:r>
            <w:r w:rsidR="00F707AF" w:rsidRPr="001E4272">
              <w:rPr>
                <w:noProof/>
                <w:webHidden/>
                <w:szCs w:val="24"/>
              </w:rPr>
              <w:instrText xml:space="preserve"> PAGEREF _Toc84517587 \h </w:instrText>
            </w:r>
            <w:r w:rsidR="00F707AF" w:rsidRPr="001E4272">
              <w:rPr>
                <w:noProof/>
                <w:webHidden/>
                <w:szCs w:val="24"/>
              </w:rPr>
            </w:r>
            <w:r w:rsidR="00F707AF" w:rsidRPr="001E4272">
              <w:rPr>
                <w:noProof/>
                <w:webHidden/>
                <w:szCs w:val="24"/>
              </w:rPr>
              <w:fldChar w:fldCharType="separate"/>
            </w:r>
            <w:r w:rsidR="00F707AF" w:rsidRPr="001E4272">
              <w:rPr>
                <w:noProof/>
                <w:webHidden/>
                <w:szCs w:val="24"/>
              </w:rPr>
              <w:t>32</w:t>
            </w:r>
            <w:r w:rsidR="00F707AF" w:rsidRPr="001E4272">
              <w:rPr>
                <w:noProof/>
                <w:webHidden/>
                <w:szCs w:val="24"/>
              </w:rPr>
              <w:fldChar w:fldCharType="end"/>
            </w:r>
          </w:hyperlink>
        </w:p>
        <w:p w14:paraId="4F898DC7" w14:textId="70E9F266" w:rsidR="00B44ABF" w:rsidRPr="001E4272" w:rsidRDefault="008C00BA" w:rsidP="00B44ABF">
          <w:pPr>
            <w:pStyle w:val="TOC2"/>
            <w:rPr>
              <w:rFonts w:asciiTheme="minorHAnsi" w:eastAsiaTheme="minorEastAsia" w:hAnsiTheme="minorHAnsi" w:cstheme="minorBidi"/>
              <w:noProof/>
              <w:szCs w:val="24"/>
            </w:rPr>
          </w:pPr>
          <w:hyperlink w:anchor="_Toc84517588" w:history="1">
            <w:r w:rsidR="00F707AF" w:rsidRPr="001E4272">
              <w:rPr>
                <w:rStyle w:val="Hyperlink"/>
                <w:noProof/>
                <w:szCs w:val="24"/>
              </w:rPr>
              <w:t>1.7.</w:t>
            </w:r>
            <w:r w:rsidR="00F707AF" w:rsidRPr="001E4272">
              <w:rPr>
                <w:noProof/>
              </w:rPr>
              <w:tab/>
            </w:r>
            <w:r w:rsidR="00757E56" w:rsidRPr="001E4272">
              <w:rPr>
                <w:noProof/>
              </w:rPr>
              <w:t>Προβλεπόμενοι τρόποι διαχείρισης</w:t>
            </w:r>
            <w:r w:rsidR="00F707AF" w:rsidRPr="001E4272">
              <w:rPr>
                <w:noProof/>
              </w:rPr>
              <w:tab/>
            </w:r>
            <w:r w:rsidR="00F707AF" w:rsidRPr="001E4272">
              <w:rPr>
                <w:noProof/>
                <w:webHidden/>
                <w:szCs w:val="24"/>
              </w:rPr>
              <w:fldChar w:fldCharType="begin" w:fldLock="1"/>
            </w:r>
            <w:r w:rsidR="00F707AF" w:rsidRPr="001E4272">
              <w:rPr>
                <w:noProof/>
                <w:webHidden/>
                <w:szCs w:val="24"/>
              </w:rPr>
              <w:instrText xml:space="preserve"> PAGEREF _Toc84517588 \h </w:instrText>
            </w:r>
            <w:r w:rsidR="00F707AF" w:rsidRPr="001E4272">
              <w:rPr>
                <w:noProof/>
                <w:webHidden/>
                <w:szCs w:val="24"/>
              </w:rPr>
            </w:r>
            <w:r w:rsidR="00F707AF" w:rsidRPr="001E4272">
              <w:rPr>
                <w:noProof/>
                <w:webHidden/>
                <w:szCs w:val="24"/>
              </w:rPr>
              <w:fldChar w:fldCharType="separate"/>
            </w:r>
            <w:r w:rsidR="00F707AF" w:rsidRPr="001E4272">
              <w:rPr>
                <w:noProof/>
                <w:webHidden/>
                <w:szCs w:val="24"/>
              </w:rPr>
              <w:t>32</w:t>
            </w:r>
            <w:r w:rsidR="00F707AF" w:rsidRPr="001E4272">
              <w:rPr>
                <w:noProof/>
                <w:webHidden/>
                <w:szCs w:val="24"/>
              </w:rPr>
              <w:fldChar w:fldCharType="end"/>
            </w:r>
          </w:hyperlink>
        </w:p>
        <w:p w14:paraId="6B10D8D7" w14:textId="0BD07C21" w:rsidR="00B44ABF" w:rsidRPr="001E4272" w:rsidRDefault="008C00BA" w:rsidP="00B44ABF">
          <w:pPr>
            <w:pStyle w:val="TOC1"/>
            <w:rPr>
              <w:rFonts w:asciiTheme="minorHAnsi" w:eastAsiaTheme="minorEastAsia" w:hAnsiTheme="minorHAnsi" w:cstheme="minorBidi"/>
              <w:noProof/>
              <w:szCs w:val="24"/>
            </w:rPr>
          </w:pPr>
          <w:hyperlink w:anchor="_Toc84517589" w:history="1">
            <w:r w:rsidR="00F707AF" w:rsidRPr="001E4272">
              <w:rPr>
                <w:rStyle w:val="Hyperlink"/>
                <w:noProof/>
                <w:szCs w:val="24"/>
              </w:rPr>
              <w:t>2.</w:t>
            </w:r>
            <w:r w:rsidR="00F707AF" w:rsidRPr="001E4272">
              <w:rPr>
                <w:noProof/>
              </w:rPr>
              <w:tab/>
            </w:r>
            <w:r w:rsidR="00757E56" w:rsidRPr="001E4272">
              <w:rPr>
                <w:noProof/>
              </w:rPr>
              <w:t>ΜΕΤΡΑ ΔΙΑΧΕΙΡΙΣΗΣ</w:t>
            </w:r>
            <w:r w:rsidR="00F707AF" w:rsidRPr="001E4272">
              <w:rPr>
                <w:noProof/>
              </w:rPr>
              <w:tab/>
            </w:r>
            <w:r w:rsidR="00F707AF" w:rsidRPr="001E4272">
              <w:rPr>
                <w:noProof/>
                <w:webHidden/>
                <w:szCs w:val="24"/>
              </w:rPr>
              <w:fldChar w:fldCharType="begin" w:fldLock="1"/>
            </w:r>
            <w:r w:rsidR="00F707AF" w:rsidRPr="001E4272">
              <w:rPr>
                <w:noProof/>
                <w:webHidden/>
                <w:szCs w:val="24"/>
              </w:rPr>
              <w:instrText xml:space="preserve"> PAGEREF _Toc84517589 \h </w:instrText>
            </w:r>
            <w:r w:rsidR="00F707AF" w:rsidRPr="001E4272">
              <w:rPr>
                <w:noProof/>
                <w:webHidden/>
                <w:szCs w:val="24"/>
              </w:rPr>
            </w:r>
            <w:r w:rsidR="00F707AF" w:rsidRPr="001E4272">
              <w:rPr>
                <w:noProof/>
                <w:webHidden/>
                <w:szCs w:val="24"/>
              </w:rPr>
              <w:fldChar w:fldCharType="separate"/>
            </w:r>
            <w:r w:rsidR="00F707AF" w:rsidRPr="001E4272">
              <w:rPr>
                <w:noProof/>
                <w:webHidden/>
                <w:szCs w:val="24"/>
              </w:rPr>
              <w:t>33</w:t>
            </w:r>
            <w:r w:rsidR="00F707AF" w:rsidRPr="001E4272">
              <w:rPr>
                <w:noProof/>
                <w:webHidden/>
                <w:szCs w:val="24"/>
              </w:rPr>
              <w:fldChar w:fldCharType="end"/>
            </w:r>
          </w:hyperlink>
        </w:p>
        <w:p w14:paraId="005BB03D" w14:textId="7A37B94C" w:rsidR="00B44ABF" w:rsidRPr="001E4272" w:rsidRDefault="008C00BA" w:rsidP="00B44ABF">
          <w:pPr>
            <w:pStyle w:val="TOC2"/>
            <w:rPr>
              <w:rFonts w:asciiTheme="minorHAnsi" w:eastAsiaTheme="minorEastAsia" w:hAnsiTheme="minorHAnsi" w:cstheme="minorBidi"/>
              <w:noProof/>
              <w:szCs w:val="24"/>
            </w:rPr>
          </w:pPr>
          <w:hyperlink w:anchor="_Toc84517590" w:history="1">
            <w:r w:rsidR="00F707AF" w:rsidRPr="001E4272">
              <w:rPr>
                <w:rStyle w:val="Hyperlink"/>
                <w:noProof/>
                <w:szCs w:val="24"/>
              </w:rPr>
              <w:t>2.1.</w:t>
            </w:r>
            <w:r w:rsidR="00F707AF" w:rsidRPr="001E4272">
              <w:rPr>
                <w:noProof/>
              </w:rPr>
              <w:tab/>
            </w:r>
            <w:r w:rsidR="00757E56" w:rsidRPr="001E4272">
              <w:rPr>
                <w:noProof/>
              </w:rPr>
              <w:t>Κανόνες παρακολούθησης και υποβολής εκθέσεων</w:t>
            </w:r>
            <w:r w:rsidR="00F707AF" w:rsidRPr="001E4272">
              <w:rPr>
                <w:noProof/>
              </w:rPr>
              <w:tab/>
            </w:r>
            <w:r w:rsidR="00F707AF" w:rsidRPr="001E4272">
              <w:rPr>
                <w:noProof/>
                <w:webHidden/>
                <w:szCs w:val="24"/>
              </w:rPr>
              <w:fldChar w:fldCharType="begin" w:fldLock="1"/>
            </w:r>
            <w:r w:rsidR="00F707AF" w:rsidRPr="001E4272">
              <w:rPr>
                <w:noProof/>
                <w:webHidden/>
                <w:szCs w:val="24"/>
              </w:rPr>
              <w:instrText xml:space="preserve"> PAGEREF _Toc84517590 \h </w:instrText>
            </w:r>
            <w:r w:rsidR="00F707AF" w:rsidRPr="001E4272">
              <w:rPr>
                <w:noProof/>
                <w:webHidden/>
                <w:szCs w:val="24"/>
              </w:rPr>
            </w:r>
            <w:r w:rsidR="00F707AF" w:rsidRPr="001E4272">
              <w:rPr>
                <w:noProof/>
                <w:webHidden/>
                <w:szCs w:val="24"/>
              </w:rPr>
              <w:fldChar w:fldCharType="separate"/>
            </w:r>
            <w:r w:rsidR="00F707AF" w:rsidRPr="001E4272">
              <w:rPr>
                <w:noProof/>
                <w:webHidden/>
                <w:szCs w:val="24"/>
              </w:rPr>
              <w:t>33</w:t>
            </w:r>
            <w:r w:rsidR="00F707AF" w:rsidRPr="001E4272">
              <w:rPr>
                <w:noProof/>
                <w:webHidden/>
                <w:szCs w:val="24"/>
              </w:rPr>
              <w:fldChar w:fldCharType="end"/>
            </w:r>
          </w:hyperlink>
        </w:p>
        <w:p w14:paraId="5884B8A6" w14:textId="255B4F03" w:rsidR="00B44ABF" w:rsidRPr="001E4272" w:rsidRDefault="008C00BA" w:rsidP="00B44ABF">
          <w:pPr>
            <w:pStyle w:val="TOC2"/>
            <w:rPr>
              <w:rFonts w:asciiTheme="minorHAnsi" w:eastAsiaTheme="minorEastAsia" w:hAnsiTheme="minorHAnsi" w:cstheme="minorBidi"/>
              <w:noProof/>
              <w:szCs w:val="24"/>
            </w:rPr>
          </w:pPr>
          <w:hyperlink w:anchor="_Toc84517591" w:history="1">
            <w:r w:rsidR="00F707AF" w:rsidRPr="001E4272">
              <w:rPr>
                <w:rStyle w:val="Hyperlink"/>
                <w:noProof/>
                <w:szCs w:val="24"/>
              </w:rPr>
              <w:t>2.2.</w:t>
            </w:r>
            <w:r w:rsidR="00F707AF" w:rsidRPr="001E4272">
              <w:rPr>
                <w:noProof/>
              </w:rPr>
              <w:tab/>
            </w:r>
            <w:r w:rsidR="00757E56" w:rsidRPr="001E4272">
              <w:rPr>
                <w:noProof/>
              </w:rPr>
              <w:t>Συστήματα διαχείρισης και ελέγχου</w:t>
            </w:r>
            <w:r w:rsidR="00F707AF" w:rsidRPr="001E4272">
              <w:rPr>
                <w:noProof/>
              </w:rPr>
              <w:tab/>
            </w:r>
            <w:r w:rsidR="00F707AF" w:rsidRPr="001E4272">
              <w:rPr>
                <w:noProof/>
                <w:webHidden/>
                <w:szCs w:val="24"/>
              </w:rPr>
              <w:fldChar w:fldCharType="begin" w:fldLock="1"/>
            </w:r>
            <w:r w:rsidR="00F707AF" w:rsidRPr="001E4272">
              <w:rPr>
                <w:noProof/>
                <w:webHidden/>
                <w:szCs w:val="24"/>
              </w:rPr>
              <w:instrText xml:space="preserve"> PAGEREF _Toc84517591 \h </w:instrText>
            </w:r>
            <w:r w:rsidR="00F707AF" w:rsidRPr="001E4272">
              <w:rPr>
                <w:noProof/>
                <w:webHidden/>
                <w:szCs w:val="24"/>
              </w:rPr>
            </w:r>
            <w:r w:rsidR="00F707AF" w:rsidRPr="001E4272">
              <w:rPr>
                <w:noProof/>
                <w:webHidden/>
                <w:szCs w:val="24"/>
              </w:rPr>
              <w:fldChar w:fldCharType="separate"/>
            </w:r>
            <w:r w:rsidR="00F707AF" w:rsidRPr="001E4272">
              <w:rPr>
                <w:noProof/>
                <w:webHidden/>
                <w:szCs w:val="24"/>
              </w:rPr>
              <w:t>33</w:t>
            </w:r>
            <w:r w:rsidR="00F707AF" w:rsidRPr="001E4272">
              <w:rPr>
                <w:noProof/>
                <w:webHidden/>
                <w:szCs w:val="24"/>
              </w:rPr>
              <w:fldChar w:fldCharType="end"/>
            </w:r>
          </w:hyperlink>
        </w:p>
        <w:p w14:paraId="76ACA3C0" w14:textId="2ADE5110" w:rsidR="00B44ABF" w:rsidRPr="001E4272" w:rsidRDefault="008C00BA" w:rsidP="00B44ABF">
          <w:pPr>
            <w:pStyle w:val="TOC3"/>
            <w:rPr>
              <w:rFonts w:asciiTheme="minorHAnsi" w:eastAsiaTheme="minorEastAsia" w:hAnsiTheme="minorHAnsi" w:cstheme="minorBidi"/>
              <w:noProof/>
              <w:szCs w:val="24"/>
            </w:rPr>
          </w:pPr>
          <w:hyperlink w:anchor="_Toc84517592" w:history="1">
            <w:r w:rsidR="00F707AF" w:rsidRPr="001E4272">
              <w:rPr>
                <w:rStyle w:val="Hyperlink"/>
                <w:noProof/>
                <w:szCs w:val="24"/>
              </w:rPr>
              <w:t>2.2.1.</w:t>
            </w:r>
            <w:r w:rsidR="00F707AF" w:rsidRPr="001E4272">
              <w:rPr>
                <w:noProof/>
              </w:rPr>
              <w:tab/>
            </w:r>
            <w:r w:rsidR="00757E56" w:rsidRPr="001E4272">
              <w:rPr>
                <w:noProof/>
              </w:rPr>
              <w:t>Αιτιολόγηση των τρόπων διαχείρισης, των μηχανισμών εκτέλεσης της χρηματοδότησης, των όρων πληρωμής και της προτεινόμενης στρατηγικής ελέγχου</w:t>
            </w:r>
            <w:r w:rsidR="00F707AF" w:rsidRPr="001E4272">
              <w:rPr>
                <w:noProof/>
              </w:rPr>
              <w:tab/>
            </w:r>
            <w:r w:rsidR="00F707AF" w:rsidRPr="001E4272">
              <w:rPr>
                <w:noProof/>
                <w:webHidden/>
                <w:szCs w:val="24"/>
              </w:rPr>
              <w:fldChar w:fldCharType="begin" w:fldLock="1"/>
            </w:r>
            <w:r w:rsidR="00F707AF" w:rsidRPr="001E4272">
              <w:rPr>
                <w:noProof/>
                <w:webHidden/>
                <w:szCs w:val="24"/>
              </w:rPr>
              <w:instrText xml:space="preserve"> PAGEREF _Toc84517592 \h </w:instrText>
            </w:r>
            <w:r w:rsidR="00F707AF" w:rsidRPr="001E4272">
              <w:rPr>
                <w:noProof/>
                <w:webHidden/>
                <w:szCs w:val="24"/>
              </w:rPr>
            </w:r>
            <w:r w:rsidR="00F707AF" w:rsidRPr="001E4272">
              <w:rPr>
                <w:noProof/>
                <w:webHidden/>
                <w:szCs w:val="24"/>
              </w:rPr>
              <w:fldChar w:fldCharType="separate"/>
            </w:r>
            <w:r w:rsidR="00F707AF" w:rsidRPr="001E4272">
              <w:rPr>
                <w:noProof/>
                <w:webHidden/>
                <w:szCs w:val="24"/>
              </w:rPr>
              <w:t>33</w:t>
            </w:r>
            <w:r w:rsidR="00F707AF" w:rsidRPr="001E4272">
              <w:rPr>
                <w:noProof/>
                <w:webHidden/>
                <w:szCs w:val="24"/>
              </w:rPr>
              <w:fldChar w:fldCharType="end"/>
            </w:r>
          </w:hyperlink>
        </w:p>
        <w:p w14:paraId="5812F71B" w14:textId="3284E0DA" w:rsidR="00B44ABF" w:rsidRPr="001E4272" w:rsidRDefault="008C00BA" w:rsidP="00B44ABF">
          <w:pPr>
            <w:pStyle w:val="TOC3"/>
            <w:rPr>
              <w:rFonts w:asciiTheme="minorHAnsi" w:eastAsiaTheme="minorEastAsia" w:hAnsiTheme="minorHAnsi" w:cstheme="minorBidi"/>
              <w:noProof/>
              <w:szCs w:val="24"/>
            </w:rPr>
          </w:pPr>
          <w:hyperlink w:anchor="_Toc84517593" w:history="1">
            <w:r w:rsidR="00F707AF" w:rsidRPr="001E4272">
              <w:rPr>
                <w:rStyle w:val="Hyperlink"/>
                <w:noProof/>
                <w:szCs w:val="24"/>
              </w:rPr>
              <w:t>2.2.2.</w:t>
            </w:r>
            <w:r w:rsidR="00F707AF" w:rsidRPr="001E4272">
              <w:rPr>
                <w:noProof/>
              </w:rPr>
              <w:tab/>
            </w:r>
            <w:r w:rsidR="00CA1728" w:rsidRPr="001E4272">
              <w:rPr>
                <w:noProof/>
              </w:rPr>
              <w:t>Πληροφορίες σχετικά με τους κινδύνους που έχουν εντοπιστεί και τα συστήματα εσωτερικού ελέγχου που έχουν δημιουργηθεί για τον μετριασμό τους</w:t>
            </w:r>
            <w:r w:rsidR="00F707AF" w:rsidRPr="001E4272">
              <w:rPr>
                <w:noProof/>
              </w:rPr>
              <w:tab/>
            </w:r>
            <w:r w:rsidR="00F707AF" w:rsidRPr="001E4272">
              <w:rPr>
                <w:noProof/>
                <w:webHidden/>
                <w:szCs w:val="24"/>
              </w:rPr>
              <w:fldChar w:fldCharType="begin" w:fldLock="1"/>
            </w:r>
            <w:r w:rsidR="00F707AF" w:rsidRPr="001E4272">
              <w:rPr>
                <w:noProof/>
                <w:webHidden/>
                <w:szCs w:val="24"/>
              </w:rPr>
              <w:instrText xml:space="preserve"> PAGEREF _Toc84517593 \h </w:instrText>
            </w:r>
            <w:r w:rsidR="00F707AF" w:rsidRPr="001E4272">
              <w:rPr>
                <w:noProof/>
                <w:webHidden/>
                <w:szCs w:val="24"/>
              </w:rPr>
            </w:r>
            <w:r w:rsidR="00F707AF" w:rsidRPr="001E4272">
              <w:rPr>
                <w:noProof/>
                <w:webHidden/>
                <w:szCs w:val="24"/>
              </w:rPr>
              <w:fldChar w:fldCharType="separate"/>
            </w:r>
            <w:r w:rsidR="00F707AF" w:rsidRPr="001E4272">
              <w:rPr>
                <w:noProof/>
                <w:webHidden/>
                <w:szCs w:val="24"/>
              </w:rPr>
              <w:t>34</w:t>
            </w:r>
            <w:r w:rsidR="00F707AF" w:rsidRPr="001E4272">
              <w:rPr>
                <w:noProof/>
                <w:webHidden/>
                <w:szCs w:val="24"/>
              </w:rPr>
              <w:fldChar w:fldCharType="end"/>
            </w:r>
          </w:hyperlink>
        </w:p>
        <w:p w14:paraId="6A9EB879" w14:textId="2285EB05" w:rsidR="00B44ABF" w:rsidRPr="001E4272" w:rsidRDefault="008C00BA" w:rsidP="00B44ABF">
          <w:pPr>
            <w:pStyle w:val="TOC3"/>
            <w:rPr>
              <w:rFonts w:asciiTheme="minorHAnsi" w:eastAsiaTheme="minorEastAsia" w:hAnsiTheme="minorHAnsi" w:cstheme="minorBidi"/>
              <w:noProof/>
              <w:szCs w:val="24"/>
            </w:rPr>
          </w:pPr>
          <w:hyperlink w:anchor="_Toc84517594" w:history="1">
            <w:r w:rsidR="00F707AF" w:rsidRPr="001E4272">
              <w:rPr>
                <w:rStyle w:val="Hyperlink"/>
                <w:noProof/>
                <w:szCs w:val="24"/>
              </w:rPr>
              <w:t>2.2.3.</w:t>
            </w:r>
            <w:r w:rsidR="00F707AF" w:rsidRPr="001E4272">
              <w:rPr>
                <w:noProof/>
              </w:rPr>
              <w:tab/>
            </w:r>
            <w:r w:rsidR="00CA1728" w:rsidRPr="001E4272">
              <w:rPr>
                <w:noProof/>
              </w:rPr>
              <w:t>Εκτίμηση και αιτιολόγηση της οικονομικής αποδοτικότητας των ελέγχων (λόγος του κόστους του ελέγχου προς την αξία των σχετικών κονδυλίων που αποτελούν αντικείμενο διαχείρισης) και αξιολόγηση του εκτιμώμενου επιπέδου κινδύνου σφάλματος (κατά την πληρωμή και κατά το κλείσιμο)</w:t>
            </w:r>
            <w:r w:rsidR="00F707AF" w:rsidRPr="001E4272">
              <w:rPr>
                <w:noProof/>
              </w:rPr>
              <w:tab/>
            </w:r>
            <w:r w:rsidR="00F707AF" w:rsidRPr="001E4272">
              <w:rPr>
                <w:noProof/>
                <w:webHidden/>
                <w:szCs w:val="24"/>
              </w:rPr>
              <w:fldChar w:fldCharType="begin" w:fldLock="1"/>
            </w:r>
            <w:r w:rsidR="00F707AF" w:rsidRPr="001E4272">
              <w:rPr>
                <w:noProof/>
                <w:webHidden/>
                <w:szCs w:val="24"/>
              </w:rPr>
              <w:instrText xml:space="preserve"> PAGEREF _Toc84517594 \h </w:instrText>
            </w:r>
            <w:r w:rsidR="00F707AF" w:rsidRPr="001E4272">
              <w:rPr>
                <w:noProof/>
                <w:webHidden/>
                <w:szCs w:val="24"/>
              </w:rPr>
            </w:r>
            <w:r w:rsidR="00F707AF" w:rsidRPr="001E4272">
              <w:rPr>
                <w:noProof/>
                <w:webHidden/>
                <w:szCs w:val="24"/>
              </w:rPr>
              <w:fldChar w:fldCharType="separate"/>
            </w:r>
            <w:r w:rsidR="00F707AF" w:rsidRPr="001E4272">
              <w:rPr>
                <w:noProof/>
                <w:webHidden/>
                <w:szCs w:val="24"/>
              </w:rPr>
              <w:t>34</w:t>
            </w:r>
            <w:r w:rsidR="00F707AF" w:rsidRPr="001E4272">
              <w:rPr>
                <w:noProof/>
                <w:webHidden/>
                <w:szCs w:val="24"/>
              </w:rPr>
              <w:fldChar w:fldCharType="end"/>
            </w:r>
          </w:hyperlink>
        </w:p>
        <w:p w14:paraId="6617E8D9" w14:textId="5C2C9712" w:rsidR="00B44ABF" w:rsidRPr="001E4272" w:rsidRDefault="008C00BA" w:rsidP="00B44ABF">
          <w:pPr>
            <w:pStyle w:val="TOC2"/>
            <w:rPr>
              <w:rFonts w:asciiTheme="minorHAnsi" w:eastAsiaTheme="minorEastAsia" w:hAnsiTheme="minorHAnsi" w:cstheme="minorBidi"/>
              <w:noProof/>
              <w:szCs w:val="24"/>
            </w:rPr>
          </w:pPr>
          <w:hyperlink w:anchor="_Toc84517595" w:history="1">
            <w:r w:rsidR="00F707AF" w:rsidRPr="001E4272">
              <w:rPr>
                <w:rStyle w:val="Hyperlink"/>
                <w:noProof/>
                <w:szCs w:val="24"/>
              </w:rPr>
              <w:t>2.3.</w:t>
            </w:r>
            <w:r w:rsidR="00F707AF" w:rsidRPr="001E4272">
              <w:rPr>
                <w:noProof/>
              </w:rPr>
              <w:tab/>
            </w:r>
            <w:r w:rsidR="00CB5122" w:rsidRPr="001E4272">
              <w:rPr>
                <w:noProof/>
              </w:rPr>
              <w:t>Μέτρα για την πρόληψη περιπτώσεων απάτης και παρατυπίας</w:t>
            </w:r>
            <w:r w:rsidR="00F707AF" w:rsidRPr="001E4272">
              <w:rPr>
                <w:noProof/>
              </w:rPr>
              <w:tab/>
            </w:r>
            <w:r w:rsidR="00F707AF" w:rsidRPr="001E4272">
              <w:rPr>
                <w:noProof/>
                <w:webHidden/>
                <w:szCs w:val="24"/>
              </w:rPr>
              <w:fldChar w:fldCharType="begin" w:fldLock="1"/>
            </w:r>
            <w:r w:rsidR="00F707AF" w:rsidRPr="001E4272">
              <w:rPr>
                <w:noProof/>
                <w:webHidden/>
                <w:szCs w:val="24"/>
              </w:rPr>
              <w:instrText xml:space="preserve"> PAGEREF _Toc84517595 \h </w:instrText>
            </w:r>
            <w:r w:rsidR="00F707AF" w:rsidRPr="001E4272">
              <w:rPr>
                <w:noProof/>
                <w:webHidden/>
                <w:szCs w:val="24"/>
              </w:rPr>
            </w:r>
            <w:r w:rsidR="00F707AF" w:rsidRPr="001E4272">
              <w:rPr>
                <w:noProof/>
                <w:webHidden/>
                <w:szCs w:val="24"/>
              </w:rPr>
              <w:fldChar w:fldCharType="separate"/>
            </w:r>
            <w:r w:rsidR="00F707AF" w:rsidRPr="001E4272">
              <w:rPr>
                <w:noProof/>
                <w:webHidden/>
                <w:szCs w:val="24"/>
              </w:rPr>
              <w:t>34</w:t>
            </w:r>
            <w:r w:rsidR="00F707AF" w:rsidRPr="001E4272">
              <w:rPr>
                <w:noProof/>
                <w:webHidden/>
                <w:szCs w:val="24"/>
              </w:rPr>
              <w:fldChar w:fldCharType="end"/>
            </w:r>
          </w:hyperlink>
        </w:p>
        <w:p w14:paraId="3E4CC671" w14:textId="7E2B480E" w:rsidR="00B44ABF" w:rsidRPr="001E4272" w:rsidRDefault="008C00BA" w:rsidP="00B44ABF">
          <w:pPr>
            <w:pStyle w:val="TOC1"/>
            <w:rPr>
              <w:rFonts w:asciiTheme="minorHAnsi" w:eastAsiaTheme="minorEastAsia" w:hAnsiTheme="minorHAnsi" w:cstheme="minorBidi"/>
              <w:noProof/>
              <w:szCs w:val="24"/>
            </w:rPr>
          </w:pPr>
          <w:hyperlink w:anchor="_Toc84517596" w:history="1">
            <w:r w:rsidR="00F707AF" w:rsidRPr="001E4272">
              <w:rPr>
                <w:rStyle w:val="Hyperlink"/>
                <w:noProof/>
                <w:szCs w:val="24"/>
              </w:rPr>
              <w:t>3.</w:t>
            </w:r>
            <w:r w:rsidR="00F707AF" w:rsidRPr="001E4272">
              <w:rPr>
                <w:noProof/>
              </w:rPr>
              <w:tab/>
            </w:r>
            <w:r w:rsidR="00CB5122" w:rsidRPr="001E4272">
              <w:rPr>
                <w:noProof/>
              </w:rPr>
              <w:t>ΕΚΤΙΜΩΜΕΝΕΣ ΔΗΜΟΣΙΟΝΟΜΙΚΕΣ ΕΠΙΠΤΩΣΕΙΣ ΤΗΣ ΠΡΟΤΑΣΗΣ/ΠΡΩΤΟΒΟΥΛΙΑΣ</w:t>
            </w:r>
            <w:r w:rsidR="00F707AF" w:rsidRPr="001E4272">
              <w:rPr>
                <w:noProof/>
              </w:rPr>
              <w:tab/>
            </w:r>
            <w:r w:rsidR="00F707AF" w:rsidRPr="001E4272">
              <w:rPr>
                <w:noProof/>
                <w:webHidden/>
                <w:szCs w:val="24"/>
              </w:rPr>
              <w:fldChar w:fldCharType="begin" w:fldLock="1"/>
            </w:r>
            <w:r w:rsidR="00F707AF" w:rsidRPr="001E4272">
              <w:rPr>
                <w:noProof/>
                <w:webHidden/>
                <w:szCs w:val="24"/>
              </w:rPr>
              <w:instrText xml:space="preserve"> PAGEREF _Toc84517596 \h </w:instrText>
            </w:r>
            <w:r w:rsidR="00F707AF" w:rsidRPr="001E4272">
              <w:rPr>
                <w:noProof/>
                <w:webHidden/>
                <w:szCs w:val="24"/>
              </w:rPr>
            </w:r>
            <w:r w:rsidR="00F707AF" w:rsidRPr="001E4272">
              <w:rPr>
                <w:noProof/>
                <w:webHidden/>
                <w:szCs w:val="24"/>
              </w:rPr>
              <w:fldChar w:fldCharType="separate"/>
            </w:r>
            <w:r w:rsidR="00F707AF" w:rsidRPr="001E4272">
              <w:rPr>
                <w:noProof/>
                <w:webHidden/>
                <w:szCs w:val="24"/>
              </w:rPr>
              <w:t>35</w:t>
            </w:r>
            <w:r w:rsidR="00F707AF" w:rsidRPr="001E4272">
              <w:rPr>
                <w:noProof/>
                <w:webHidden/>
                <w:szCs w:val="24"/>
              </w:rPr>
              <w:fldChar w:fldCharType="end"/>
            </w:r>
          </w:hyperlink>
        </w:p>
        <w:p w14:paraId="2265AF53" w14:textId="7490D955" w:rsidR="00B44ABF" w:rsidRPr="001E4272" w:rsidRDefault="008C00BA" w:rsidP="00B44ABF">
          <w:pPr>
            <w:pStyle w:val="TOC2"/>
            <w:rPr>
              <w:rFonts w:asciiTheme="minorHAnsi" w:eastAsiaTheme="minorEastAsia" w:hAnsiTheme="minorHAnsi" w:cstheme="minorBidi"/>
              <w:noProof/>
              <w:szCs w:val="24"/>
            </w:rPr>
          </w:pPr>
          <w:hyperlink w:anchor="_Toc84517597" w:history="1">
            <w:r w:rsidR="00F707AF" w:rsidRPr="001E4272">
              <w:rPr>
                <w:rStyle w:val="Hyperlink"/>
                <w:noProof/>
                <w:szCs w:val="24"/>
              </w:rPr>
              <w:t>3.1.</w:t>
            </w:r>
            <w:r w:rsidR="00F707AF" w:rsidRPr="001E4272">
              <w:rPr>
                <w:noProof/>
              </w:rPr>
              <w:tab/>
            </w:r>
            <w:r w:rsidR="00CB5122" w:rsidRPr="001E4272">
              <w:rPr>
                <w:noProof/>
              </w:rPr>
              <w:t>Τομείς του πολυετούς δημοσιονομικού πλαισίου και γραμμές δαπανών του προϋπολογισμού που επηρεάζονται</w:t>
            </w:r>
            <w:r w:rsidR="00F707AF" w:rsidRPr="001E4272">
              <w:rPr>
                <w:noProof/>
              </w:rPr>
              <w:tab/>
            </w:r>
            <w:r w:rsidR="00F707AF" w:rsidRPr="001E4272">
              <w:rPr>
                <w:noProof/>
                <w:webHidden/>
                <w:szCs w:val="24"/>
              </w:rPr>
              <w:fldChar w:fldCharType="begin" w:fldLock="1"/>
            </w:r>
            <w:r w:rsidR="00F707AF" w:rsidRPr="001E4272">
              <w:rPr>
                <w:noProof/>
                <w:webHidden/>
                <w:szCs w:val="24"/>
              </w:rPr>
              <w:instrText xml:space="preserve"> PAGEREF _Toc84517597 \h </w:instrText>
            </w:r>
            <w:r w:rsidR="00F707AF" w:rsidRPr="001E4272">
              <w:rPr>
                <w:noProof/>
                <w:webHidden/>
                <w:szCs w:val="24"/>
              </w:rPr>
            </w:r>
            <w:r w:rsidR="00F707AF" w:rsidRPr="001E4272">
              <w:rPr>
                <w:noProof/>
                <w:webHidden/>
                <w:szCs w:val="24"/>
              </w:rPr>
              <w:fldChar w:fldCharType="separate"/>
            </w:r>
            <w:r w:rsidR="00F707AF" w:rsidRPr="001E4272">
              <w:rPr>
                <w:noProof/>
                <w:webHidden/>
                <w:szCs w:val="24"/>
              </w:rPr>
              <w:t>35</w:t>
            </w:r>
            <w:r w:rsidR="00F707AF" w:rsidRPr="001E4272">
              <w:rPr>
                <w:noProof/>
                <w:webHidden/>
                <w:szCs w:val="24"/>
              </w:rPr>
              <w:fldChar w:fldCharType="end"/>
            </w:r>
          </w:hyperlink>
        </w:p>
        <w:p w14:paraId="3203C790" w14:textId="6EFFD6CF" w:rsidR="00B44ABF" w:rsidRPr="001E4272" w:rsidRDefault="008C00BA" w:rsidP="00B44ABF">
          <w:pPr>
            <w:pStyle w:val="TOC2"/>
            <w:rPr>
              <w:rFonts w:asciiTheme="minorHAnsi" w:eastAsiaTheme="minorEastAsia" w:hAnsiTheme="minorHAnsi" w:cstheme="minorBidi"/>
              <w:noProof/>
              <w:szCs w:val="24"/>
            </w:rPr>
          </w:pPr>
          <w:hyperlink w:anchor="_Toc84517598" w:history="1">
            <w:r w:rsidR="00F707AF" w:rsidRPr="001E4272">
              <w:rPr>
                <w:rStyle w:val="Hyperlink"/>
                <w:noProof/>
                <w:szCs w:val="24"/>
              </w:rPr>
              <w:t>3.2.</w:t>
            </w:r>
            <w:r w:rsidR="00F707AF" w:rsidRPr="001E4272">
              <w:rPr>
                <w:noProof/>
              </w:rPr>
              <w:tab/>
            </w:r>
            <w:r w:rsidR="00923224" w:rsidRPr="001E4272">
              <w:rPr>
                <w:noProof/>
              </w:rPr>
              <w:t>Εκτιμώμενες δημοσιονομικές επιπτώσεις της πρότασης στις πιστώσεις</w:t>
            </w:r>
            <w:r w:rsidR="00F707AF" w:rsidRPr="001E4272">
              <w:rPr>
                <w:noProof/>
              </w:rPr>
              <w:tab/>
            </w:r>
            <w:r w:rsidR="00F707AF" w:rsidRPr="001E4272">
              <w:rPr>
                <w:noProof/>
                <w:webHidden/>
                <w:szCs w:val="24"/>
              </w:rPr>
              <w:fldChar w:fldCharType="begin" w:fldLock="1"/>
            </w:r>
            <w:r w:rsidR="00F707AF" w:rsidRPr="001E4272">
              <w:rPr>
                <w:noProof/>
                <w:webHidden/>
                <w:szCs w:val="24"/>
              </w:rPr>
              <w:instrText xml:space="preserve"> PAGEREF _Toc84517598 \h </w:instrText>
            </w:r>
            <w:r w:rsidR="00F707AF" w:rsidRPr="001E4272">
              <w:rPr>
                <w:noProof/>
                <w:webHidden/>
                <w:szCs w:val="24"/>
              </w:rPr>
            </w:r>
            <w:r w:rsidR="00F707AF" w:rsidRPr="001E4272">
              <w:rPr>
                <w:noProof/>
                <w:webHidden/>
                <w:szCs w:val="24"/>
              </w:rPr>
              <w:fldChar w:fldCharType="separate"/>
            </w:r>
            <w:r w:rsidR="00F707AF" w:rsidRPr="001E4272">
              <w:rPr>
                <w:noProof/>
                <w:webHidden/>
                <w:szCs w:val="24"/>
              </w:rPr>
              <w:t>36</w:t>
            </w:r>
            <w:r w:rsidR="00F707AF" w:rsidRPr="001E4272">
              <w:rPr>
                <w:noProof/>
                <w:webHidden/>
                <w:szCs w:val="24"/>
              </w:rPr>
              <w:fldChar w:fldCharType="end"/>
            </w:r>
          </w:hyperlink>
        </w:p>
        <w:p w14:paraId="560BB2EE" w14:textId="68EAA914" w:rsidR="00B44ABF" w:rsidRPr="001E4272" w:rsidRDefault="008C00BA" w:rsidP="00B44ABF">
          <w:pPr>
            <w:pStyle w:val="TOC3"/>
            <w:rPr>
              <w:rFonts w:asciiTheme="minorHAnsi" w:eastAsiaTheme="minorEastAsia" w:hAnsiTheme="minorHAnsi" w:cstheme="minorBidi"/>
              <w:noProof/>
              <w:szCs w:val="24"/>
            </w:rPr>
          </w:pPr>
          <w:hyperlink w:anchor="_Toc84517599" w:history="1">
            <w:r w:rsidR="00F707AF" w:rsidRPr="001E4272">
              <w:rPr>
                <w:rStyle w:val="Hyperlink"/>
                <w:noProof/>
                <w:szCs w:val="24"/>
              </w:rPr>
              <w:t>3.2.1.</w:t>
            </w:r>
            <w:r w:rsidR="00F707AF" w:rsidRPr="001E4272">
              <w:rPr>
                <w:noProof/>
              </w:rPr>
              <w:tab/>
            </w:r>
            <w:r w:rsidR="00923224" w:rsidRPr="001E4272">
              <w:rPr>
                <w:noProof/>
              </w:rPr>
              <w:t>Συνοπτική παρουσίαση των εκτιμώμενων επιπτώσεων στις επιχειρησιακές πιστώσεις</w:t>
            </w:r>
            <w:r w:rsidR="00F707AF" w:rsidRPr="001E4272">
              <w:rPr>
                <w:noProof/>
              </w:rPr>
              <w:tab/>
            </w:r>
            <w:r w:rsidR="00F707AF" w:rsidRPr="001E4272">
              <w:rPr>
                <w:noProof/>
                <w:webHidden/>
                <w:szCs w:val="24"/>
              </w:rPr>
              <w:fldChar w:fldCharType="begin" w:fldLock="1"/>
            </w:r>
            <w:r w:rsidR="00F707AF" w:rsidRPr="001E4272">
              <w:rPr>
                <w:noProof/>
                <w:webHidden/>
                <w:szCs w:val="24"/>
              </w:rPr>
              <w:instrText xml:space="preserve"> PAGEREF _Toc84517599 \h </w:instrText>
            </w:r>
            <w:r w:rsidR="00F707AF" w:rsidRPr="001E4272">
              <w:rPr>
                <w:noProof/>
                <w:webHidden/>
                <w:szCs w:val="24"/>
              </w:rPr>
            </w:r>
            <w:r w:rsidR="00F707AF" w:rsidRPr="001E4272">
              <w:rPr>
                <w:noProof/>
                <w:webHidden/>
                <w:szCs w:val="24"/>
              </w:rPr>
              <w:fldChar w:fldCharType="separate"/>
            </w:r>
            <w:r w:rsidR="00F707AF" w:rsidRPr="001E4272">
              <w:rPr>
                <w:noProof/>
                <w:webHidden/>
                <w:szCs w:val="24"/>
              </w:rPr>
              <w:t>36</w:t>
            </w:r>
            <w:r w:rsidR="00F707AF" w:rsidRPr="001E4272">
              <w:rPr>
                <w:noProof/>
                <w:webHidden/>
                <w:szCs w:val="24"/>
              </w:rPr>
              <w:fldChar w:fldCharType="end"/>
            </w:r>
          </w:hyperlink>
        </w:p>
        <w:p w14:paraId="19DC4994" w14:textId="29A32B14" w:rsidR="00B44ABF" w:rsidRPr="001E4272" w:rsidRDefault="008C00BA" w:rsidP="00B44ABF">
          <w:pPr>
            <w:pStyle w:val="TOC3"/>
            <w:rPr>
              <w:rFonts w:asciiTheme="minorHAnsi" w:eastAsiaTheme="minorEastAsia" w:hAnsiTheme="minorHAnsi" w:cstheme="minorBidi"/>
              <w:noProof/>
              <w:szCs w:val="24"/>
            </w:rPr>
          </w:pPr>
          <w:hyperlink w:anchor="_Toc84517600" w:history="1">
            <w:r w:rsidR="00F707AF" w:rsidRPr="001E4272">
              <w:rPr>
                <w:rStyle w:val="Hyperlink"/>
                <w:noProof/>
                <w:szCs w:val="24"/>
              </w:rPr>
              <w:t>3.2.2.</w:t>
            </w:r>
            <w:r w:rsidR="00F707AF" w:rsidRPr="001E4272">
              <w:rPr>
                <w:noProof/>
              </w:rPr>
              <w:tab/>
            </w:r>
            <w:r w:rsidR="00923224" w:rsidRPr="001E4272">
              <w:rPr>
                <w:noProof/>
              </w:rPr>
              <w:t>Εκτιμώμενο αποτέλεσμα που χρηματοδοτείται με επιχειρησιακές πιστώσεις</w:t>
            </w:r>
            <w:r w:rsidR="00F707AF" w:rsidRPr="001E4272">
              <w:rPr>
                <w:noProof/>
              </w:rPr>
              <w:tab/>
            </w:r>
            <w:r w:rsidR="00F707AF" w:rsidRPr="001E4272">
              <w:rPr>
                <w:noProof/>
                <w:webHidden/>
                <w:szCs w:val="24"/>
              </w:rPr>
              <w:fldChar w:fldCharType="begin" w:fldLock="1"/>
            </w:r>
            <w:r w:rsidR="00F707AF" w:rsidRPr="001E4272">
              <w:rPr>
                <w:noProof/>
                <w:webHidden/>
                <w:szCs w:val="24"/>
              </w:rPr>
              <w:instrText xml:space="preserve"> PAGEREF _Toc84517600 \h </w:instrText>
            </w:r>
            <w:r w:rsidR="00F707AF" w:rsidRPr="001E4272">
              <w:rPr>
                <w:noProof/>
                <w:webHidden/>
                <w:szCs w:val="24"/>
              </w:rPr>
            </w:r>
            <w:r w:rsidR="00F707AF" w:rsidRPr="001E4272">
              <w:rPr>
                <w:noProof/>
                <w:webHidden/>
                <w:szCs w:val="24"/>
              </w:rPr>
              <w:fldChar w:fldCharType="separate"/>
            </w:r>
            <w:r w:rsidR="00F707AF" w:rsidRPr="001E4272">
              <w:rPr>
                <w:noProof/>
                <w:webHidden/>
                <w:szCs w:val="24"/>
              </w:rPr>
              <w:t>38</w:t>
            </w:r>
            <w:r w:rsidR="00F707AF" w:rsidRPr="001E4272">
              <w:rPr>
                <w:noProof/>
                <w:webHidden/>
                <w:szCs w:val="24"/>
              </w:rPr>
              <w:fldChar w:fldCharType="end"/>
            </w:r>
          </w:hyperlink>
        </w:p>
        <w:p w14:paraId="32FF6292" w14:textId="290696A9" w:rsidR="00B44ABF" w:rsidRPr="001E4272" w:rsidRDefault="008C00BA" w:rsidP="00B44ABF">
          <w:pPr>
            <w:pStyle w:val="TOC3"/>
            <w:rPr>
              <w:rFonts w:asciiTheme="minorHAnsi" w:eastAsiaTheme="minorEastAsia" w:hAnsiTheme="minorHAnsi" w:cstheme="minorBidi"/>
              <w:noProof/>
              <w:szCs w:val="24"/>
            </w:rPr>
          </w:pPr>
          <w:hyperlink w:anchor="_Toc84517601" w:history="1">
            <w:r w:rsidR="00F707AF" w:rsidRPr="001E4272">
              <w:rPr>
                <w:rStyle w:val="Hyperlink"/>
                <w:noProof/>
                <w:szCs w:val="24"/>
              </w:rPr>
              <w:t>3.2.3.</w:t>
            </w:r>
            <w:r w:rsidR="00F707AF" w:rsidRPr="001E4272">
              <w:rPr>
                <w:noProof/>
              </w:rPr>
              <w:tab/>
            </w:r>
            <w:r w:rsidR="00102352" w:rsidRPr="001E4272">
              <w:rPr>
                <w:noProof/>
              </w:rPr>
              <w:t>Συνοπτική παρουσίαση των εκτιμώμενων επιπτώσεων στις διοικητικές πιστώσεις</w:t>
            </w:r>
            <w:r w:rsidR="00F707AF" w:rsidRPr="001E4272">
              <w:rPr>
                <w:noProof/>
              </w:rPr>
              <w:tab/>
            </w:r>
            <w:r w:rsidR="00F707AF" w:rsidRPr="001E4272">
              <w:rPr>
                <w:noProof/>
                <w:webHidden/>
                <w:szCs w:val="24"/>
              </w:rPr>
              <w:fldChar w:fldCharType="begin" w:fldLock="1"/>
            </w:r>
            <w:r w:rsidR="00F707AF" w:rsidRPr="001E4272">
              <w:rPr>
                <w:noProof/>
                <w:webHidden/>
                <w:szCs w:val="24"/>
              </w:rPr>
              <w:instrText xml:space="preserve"> PAGEREF _Toc84517601 \h </w:instrText>
            </w:r>
            <w:r w:rsidR="00F707AF" w:rsidRPr="001E4272">
              <w:rPr>
                <w:noProof/>
                <w:webHidden/>
                <w:szCs w:val="24"/>
              </w:rPr>
            </w:r>
            <w:r w:rsidR="00F707AF" w:rsidRPr="001E4272">
              <w:rPr>
                <w:noProof/>
                <w:webHidden/>
                <w:szCs w:val="24"/>
              </w:rPr>
              <w:fldChar w:fldCharType="separate"/>
            </w:r>
            <w:r w:rsidR="00F707AF" w:rsidRPr="001E4272">
              <w:rPr>
                <w:noProof/>
                <w:webHidden/>
                <w:szCs w:val="24"/>
              </w:rPr>
              <w:t>40</w:t>
            </w:r>
            <w:r w:rsidR="00F707AF" w:rsidRPr="001E4272">
              <w:rPr>
                <w:noProof/>
                <w:webHidden/>
                <w:szCs w:val="24"/>
              </w:rPr>
              <w:fldChar w:fldCharType="end"/>
            </w:r>
          </w:hyperlink>
        </w:p>
        <w:p w14:paraId="0A755089" w14:textId="1939357D" w:rsidR="00B44ABF" w:rsidRPr="001E4272" w:rsidRDefault="008C00BA" w:rsidP="00B44ABF">
          <w:pPr>
            <w:pStyle w:val="TOC3"/>
            <w:rPr>
              <w:rFonts w:asciiTheme="minorHAnsi" w:eastAsiaTheme="minorEastAsia" w:hAnsiTheme="minorHAnsi" w:cstheme="minorBidi"/>
              <w:noProof/>
              <w:szCs w:val="24"/>
            </w:rPr>
          </w:pPr>
          <w:hyperlink w:anchor="_Toc84517602" w:history="1">
            <w:r w:rsidR="00F707AF" w:rsidRPr="001E4272">
              <w:rPr>
                <w:rStyle w:val="Hyperlink"/>
                <w:noProof/>
                <w:szCs w:val="24"/>
              </w:rPr>
              <w:t>3.2.4.</w:t>
            </w:r>
            <w:r w:rsidR="00F707AF" w:rsidRPr="001E4272">
              <w:rPr>
                <w:noProof/>
              </w:rPr>
              <w:tab/>
            </w:r>
            <w:r w:rsidR="00A06659" w:rsidRPr="001E4272">
              <w:rPr>
                <w:noProof/>
              </w:rPr>
              <w:t>Συμβατότητα με το ισχύον πολυετές δημοσιονομικό πλαίσιο</w:t>
            </w:r>
            <w:r w:rsidR="00F707AF" w:rsidRPr="001E4272">
              <w:rPr>
                <w:noProof/>
              </w:rPr>
              <w:tab/>
            </w:r>
            <w:r w:rsidR="00F707AF" w:rsidRPr="001E4272">
              <w:rPr>
                <w:noProof/>
                <w:webHidden/>
                <w:szCs w:val="24"/>
              </w:rPr>
              <w:fldChar w:fldCharType="begin" w:fldLock="1"/>
            </w:r>
            <w:r w:rsidR="00F707AF" w:rsidRPr="001E4272">
              <w:rPr>
                <w:noProof/>
                <w:webHidden/>
                <w:szCs w:val="24"/>
              </w:rPr>
              <w:instrText xml:space="preserve"> PAGEREF _Toc84517602 \h </w:instrText>
            </w:r>
            <w:r w:rsidR="00F707AF" w:rsidRPr="001E4272">
              <w:rPr>
                <w:noProof/>
                <w:webHidden/>
                <w:szCs w:val="24"/>
              </w:rPr>
            </w:r>
            <w:r w:rsidR="00F707AF" w:rsidRPr="001E4272">
              <w:rPr>
                <w:noProof/>
                <w:webHidden/>
                <w:szCs w:val="24"/>
              </w:rPr>
              <w:fldChar w:fldCharType="separate"/>
            </w:r>
            <w:r w:rsidR="00F707AF" w:rsidRPr="001E4272">
              <w:rPr>
                <w:noProof/>
                <w:webHidden/>
                <w:szCs w:val="24"/>
              </w:rPr>
              <w:t>46</w:t>
            </w:r>
            <w:r w:rsidR="00F707AF" w:rsidRPr="001E4272">
              <w:rPr>
                <w:noProof/>
                <w:webHidden/>
                <w:szCs w:val="24"/>
              </w:rPr>
              <w:fldChar w:fldCharType="end"/>
            </w:r>
          </w:hyperlink>
        </w:p>
        <w:p w14:paraId="519F54E9" w14:textId="2FAF184E" w:rsidR="00B44ABF" w:rsidRPr="001E4272" w:rsidRDefault="008C00BA" w:rsidP="00B44ABF">
          <w:pPr>
            <w:pStyle w:val="TOC3"/>
            <w:rPr>
              <w:rFonts w:asciiTheme="minorHAnsi" w:eastAsiaTheme="minorEastAsia" w:hAnsiTheme="minorHAnsi" w:cstheme="minorBidi"/>
              <w:noProof/>
              <w:szCs w:val="24"/>
            </w:rPr>
          </w:pPr>
          <w:hyperlink w:anchor="_Toc84517603" w:history="1">
            <w:r w:rsidR="00F707AF" w:rsidRPr="001E4272">
              <w:rPr>
                <w:rStyle w:val="Hyperlink"/>
                <w:noProof/>
                <w:szCs w:val="24"/>
              </w:rPr>
              <w:t>3.2.5.</w:t>
            </w:r>
            <w:r w:rsidR="00F707AF" w:rsidRPr="001E4272">
              <w:rPr>
                <w:noProof/>
              </w:rPr>
              <w:tab/>
            </w:r>
            <w:r w:rsidR="001630A1" w:rsidRPr="001E4272">
              <w:rPr>
                <w:noProof/>
              </w:rPr>
              <w:t>Συμμετοχή τρίτων στη χρηματοδότηση</w:t>
            </w:r>
            <w:r w:rsidR="00F707AF" w:rsidRPr="001E4272">
              <w:rPr>
                <w:noProof/>
              </w:rPr>
              <w:tab/>
            </w:r>
            <w:r w:rsidR="00F707AF" w:rsidRPr="001E4272">
              <w:rPr>
                <w:noProof/>
                <w:webHidden/>
                <w:szCs w:val="24"/>
              </w:rPr>
              <w:fldChar w:fldCharType="begin" w:fldLock="1"/>
            </w:r>
            <w:r w:rsidR="00F707AF" w:rsidRPr="001E4272">
              <w:rPr>
                <w:noProof/>
                <w:webHidden/>
                <w:szCs w:val="24"/>
              </w:rPr>
              <w:instrText xml:space="preserve"> PAGEREF _Toc84517603 \h </w:instrText>
            </w:r>
            <w:r w:rsidR="00F707AF" w:rsidRPr="001E4272">
              <w:rPr>
                <w:noProof/>
                <w:webHidden/>
                <w:szCs w:val="24"/>
              </w:rPr>
            </w:r>
            <w:r w:rsidR="00F707AF" w:rsidRPr="001E4272">
              <w:rPr>
                <w:noProof/>
                <w:webHidden/>
                <w:szCs w:val="24"/>
              </w:rPr>
              <w:fldChar w:fldCharType="separate"/>
            </w:r>
            <w:r w:rsidR="00F707AF" w:rsidRPr="001E4272">
              <w:rPr>
                <w:noProof/>
                <w:webHidden/>
                <w:szCs w:val="24"/>
              </w:rPr>
              <w:t>46</w:t>
            </w:r>
            <w:r w:rsidR="00F707AF" w:rsidRPr="001E4272">
              <w:rPr>
                <w:noProof/>
                <w:webHidden/>
                <w:szCs w:val="24"/>
              </w:rPr>
              <w:fldChar w:fldCharType="end"/>
            </w:r>
          </w:hyperlink>
        </w:p>
        <w:p w14:paraId="688950E0" w14:textId="4742271D" w:rsidR="00B44ABF" w:rsidRPr="001E4272" w:rsidRDefault="008C00BA" w:rsidP="00B44ABF">
          <w:pPr>
            <w:pStyle w:val="TOC2"/>
            <w:rPr>
              <w:rFonts w:asciiTheme="minorHAnsi" w:eastAsiaTheme="minorEastAsia" w:hAnsiTheme="minorHAnsi" w:cstheme="minorBidi"/>
              <w:noProof/>
              <w:szCs w:val="24"/>
            </w:rPr>
          </w:pPr>
          <w:hyperlink w:anchor="_Toc84517604" w:history="1">
            <w:r w:rsidR="00F707AF" w:rsidRPr="001E4272">
              <w:rPr>
                <w:rStyle w:val="Hyperlink"/>
                <w:noProof/>
                <w:szCs w:val="24"/>
              </w:rPr>
              <w:t>3.3.</w:t>
            </w:r>
            <w:r w:rsidR="00F707AF" w:rsidRPr="001E4272">
              <w:rPr>
                <w:noProof/>
              </w:rPr>
              <w:tab/>
            </w:r>
            <w:r w:rsidR="001630A1" w:rsidRPr="001E4272">
              <w:rPr>
                <w:noProof/>
              </w:rPr>
              <w:t>Εκτιμώμενες επιπτώσεις στα έσοδα</w:t>
            </w:r>
            <w:r w:rsidR="00F707AF" w:rsidRPr="001E4272">
              <w:rPr>
                <w:noProof/>
              </w:rPr>
              <w:tab/>
            </w:r>
            <w:r w:rsidR="00F707AF" w:rsidRPr="001E4272">
              <w:rPr>
                <w:noProof/>
                <w:webHidden/>
                <w:szCs w:val="24"/>
              </w:rPr>
              <w:fldChar w:fldCharType="begin" w:fldLock="1"/>
            </w:r>
            <w:r w:rsidR="00F707AF" w:rsidRPr="001E4272">
              <w:rPr>
                <w:noProof/>
                <w:webHidden/>
                <w:szCs w:val="24"/>
              </w:rPr>
              <w:instrText xml:space="preserve"> PAGEREF _Toc84517604 \h </w:instrText>
            </w:r>
            <w:r w:rsidR="00F707AF" w:rsidRPr="001E4272">
              <w:rPr>
                <w:noProof/>
                <w:webHidden/>
                <w:szCs w:val="24"/>
              </w:rPr>
            </w:r>
            <w:r w:rsidR="00F707AF" w:rsidRPr="001E4272">
              <w:rPr>
                <w:noProof/>
                <w:webHidden/>
                <w:szCs w:val="24"/>
              </w:rPr>
              <w:fldChar w:fldCharType="separate"/>
            </w:r>
            <w:r w:rsidR="00F707AF" w:rsidRPr="001E4272">
              <w:rPr>
                <w:noProof/>
                <w:webHidden/>
                <w:szCs w:val="24"/>
              </w:rPr>
              <w:t>47</w:t>
            </w:r>
            <w:r w:rsidR="00F707AF" w:rsidRPr="001E4272">
              <w:rPr>
                <w:noProof/>
                <w:webHidden/>
                <w:szCs w:val="24"/>
              </w:rPr>
              <w:fldChar w:fldCharType="end"/>
            </w:r>
          </w:hyperlink>
        </w:p>
        <w:p w14:paraId="76F0803B" w14:textId="77777777" w:rsidR="00B44ABF" w:rsidRPr="001E4272" w:rsidRDefault="00B44ABF" w:rsidP="00B44ABF">
          <w:pPr>
            <w:jc w:val="left"/>
            <w:rPr>
              <w:noProof/>
            </w:rPr>
          </w:pPr>
          <w:r w:rsidRPr="001E4272">
            <w:rPr>
              <w:bCs/>
              <w:noProof/>
              <w:szCs w:val="24"/>
            </w:rPr>
            <w:fldChar w:fldCharType="end"/>
          </w:r>
        </w:p>
      </w:sdtContent>
    </w:sdt>
    <w:p w14:paraId="037455FE" w14:textId="77777777" w:rsidR="00B44ABF" w:rsidRPr="001E4272" w:rsidRDefault="00B44ABF" w:rsidP="00B44ABF">
      <w:pPr>
        <w:rPr>
          <w:noProof/>
        </w:rPr>
      </w:pPr>
    </w:p>
    <w:p w14:paraId="21139CCF" w14:textId="77777777" w:rsidR="00B44ABF" w:rsidRPr="001E4272" w:rsidRDefault="00B44ABF" w:rsidP="00B44ABF">
      <w:pPr>
        <w:rPr>
          <w:noProof/>
        </w:rPr>
      </w:pPr>
    </w:p>
    <w:p w14:paraId="08737922" w14:textId="77777777" w:rsidR="00B44ABF" w:rsidRPr="001E4272" w:rsidRDefault="00B44ABF" w:rsidP="00B44ABF">
      <w:pPr>
        <w:rPr>
          <w:noProof/>
        </w:rPr>
      </w:pPr>
    </w:p>
    <w:p w14:paraId="50FACF36" w14:textId="77777777" w:rsidR="00B44ABF" w:rsidRPr="001E4272" w:rsidRDefault="00B44ABF">
      <w:pPr>
        <w:spacing w:before="0" w:after="200" w:line="276" w:lineRule="auto"/>
        <w:jc w:val="left"/>
        <w:rPr>
          <w:noProof/>
        </w:rPr>
      </w:pPr>
      <w:r w:rsidRPr="001E4272">
        <w:rPr>
          <w:noProof/>
        </w:rPr>
        <w:br w:type="page"/>
      </w:r>
    </w:p>
    <w:p w14:paraId="40EC3DDB" w14:textId="77777777" w:rsidR="00B44ABF" w:rsidRPr="001E4272" w:rsidRDefault="00B44ABF" w:rsidP="00B44ABF">
      <w:pPr>
        <w:rPr>
          <w:noProof/>
        </w:rPr>
      </w:pPr>
    </w:p>
    <w:p w14:paraId="420DE256" w14:textId="3652A764" w:rsidR="00436363" w:rsidRPr="001E4272" w:rsidRDefault="00F27BFA" w:rsidP="00F27BFA">
      <w:pPr>
        <w:pStyle w:val="ManualHeading1"/>
        <w:rPr>
          <w:noProof/>
        </w:rPr>
      </w:pPr>
      <w:bookmarkStart w:id="34" w:name="_Toc514938007"/>
      <w:bookmarkStart w:id="35" w:name="_Toc520485025"/>
      <w:bookmarkStart w:id="36" w:name="_Toc84517572"/>
      <w:r w:rsidRPr="00F27BFA">
        <w:t>1.</w:t>
      </w:r>
      <w:r w:rsidRPr="00F27BFA">
        <w:tab/>
      </w:r>
      <w:r w:rsidR="00436363" w:rsidRPr="001E4272">
        <w:rPr>
          <w:noProof/>
        </w:rPr>
        <w:t>ΠΛΑΙΣΙΟ ΤΗΣ ΠΡΟΤΑΣΗΣ/ΠΡΩΤΟΒΟΥΛΙΑΣ</w:t>
      </w:r>
      <w:bookmarkEnd w:id="34"/>
      <w:bookmarkEnd w:id="35"/>
      <w:bookmarkEnd w:id="36"/>
      <w:r w:rsidR="00436363" w:rsidRPr="001E4272">
        <w:rPr>
          <w:noProof/>
        </w:rPr>
        <w:t xml:space="preserve"> </w:t>
      </w:r>
    </w:p>
    <w:p w14:paraId="29B0C6AC" w14:textId="2E4208A6" w:rsidR="00436363" w:rsidRPr="001E4272" w:rsidRDefault="00F27BFA" w:rsidP="00F27BFA">
      <w:pPr>
        <w:pStyle w:val="ManualHeading2"/>
        <w:rPr>
          <w:noProof/>
        </w:rPr>
      </w:pPr>
      <w:bookmarkStart w:id="37" w:name="_Toc514938008"/>
      <w:bookmarkStart w:id="38" w:name="_Toc520485026"/>
      <w:bookmarkStart w:id="39" w:name="_Toc84517573"/>
      <w:r w:rsidRPr="00F27BFA">
        <w:t>1.1.</w:t>
      </w:r>
      <w:r w:rsidRPr="00F27BFA">
        <w:tab/>
      </w:r>
      <w:r w:rsidR="00436363" w:rsidRPr="001E4272">
        <w:rPr>
          <w:noProof/>
        </w:rPr>
        <w:t>Τίτλος της πρότασης/πρωτοβουλίας</w:t>
      </w:r>
      <w:bookmarkEnd w:id="37"/>
      <w:bookmarkEnd w:id="38"/>
      <w:bookmarkEnd w:id="39"/>
    </w:p>
    <w:p w14:paraId="7DC28E9F" w14:textId="097E271A" w:rsidR="00436363" w:rsidRPr="001E4272" w:rsidRDefault="00436363" w:rsidP="00436363">
      <w:pPr>
        <w:pStyle w:val="Text1"/>
        <w:pBdr>
          <w:top w:val="single" w:sz="4" w:space="1" w:color="auto"/>
          <w:left w:val="single" w:sz="4" w:space="4" w:color="auto"/>
          <w:bottom w:val="single" w:sz="4" w:space="1" w:color="auto"/>
          <w:right w:val="single" w:sz="4" w:space="4" w:color="auto"/>
        </w:pBdr>
        <w:rPr>
          <w:noProof/>
          <w:color w:val="0000FF"/>
        </w:rPr>
      </w:pPr>
      <w:bookmarkStart w:id="40" w:name="_Toc514938011"/>
      <w:bookmarkStart w:id="41" w:name="_Toc520485027"/>
      <w:r w:rsidRPr="001E4272">
        <w:rPr>
          <w:noProof/>
          <w:color w:val="0000FF"/>
        </w:rPr>
        <w:t xml:space="preserve">Πρόταση κανονισμού του Ευρωπαϊκού Κοινοβουλίου και του Συμβουλίου για την τροποποίηση του κανονισμού (ΕΕ) 2017/1727 και της απόφασης 2005/671/ΔΕΥ του Συμβουλίου όσον αφορά την ψηφιακή ανταλλαγή πληροφοριών σε υποθέσεις τρομοκρατίας </w:t>
      </w:r>
    </w:p>
    <w:p w14:paraId="2BE6574F" w14:textId="7F670544" w:rsidR="00436363" w:rsidRPr="001E4272" w:rsidRDefault="00F27BFA" w:rsidP="00F27BFA">
      <w:pPr>
        <w:pStyle w:val="ManualHeading2"/>
        <w:rPr>
          <w:i/>
          <w:noProof/>
        </w:rPr>
      </w:pPr>
      <w:bookmarkStart w:id="42" w:name="_Toc84517574"/>
      <w:r w:rsidRPr="00F27BFA">
        <w:t>1.2.</w:t>
      </w:r>
      <w:r w:rsidRPr="00F27BFA">
        <w:tab/>
      </w:r>
      <w:r w:rsidR="00436363" w:rsidRPr="001E4272">
        <w:rPr>
          <w:noProof/>
        </w:rPr>
        <w:t>Σχετικοί τομείς πολιτικής</w:t>
      </w:r>
      <w:bookmarkEnd w:id="40"/>
      <w:bookmarkEnd w:id="41"/>
      <w:bookmarkEnd w:id="42"/>
      <w:r w:rsidR="00436363" w:rsidRPr="001E4272">
        <w:rPr>
          <w:i/>
          <w:noProof/>
        </w:rPr>
        <w:t xml:space="preserve"> </w:t>
      </w:r>
    </w:p>
    <w:p w14:paraId="3EB03AC1" w14:textId="77777777" w:rsidR="00436363" w:rsidRPr="001E4272" w:rsidRDefault="00436363" w:rsidP="00436363">
      <w:pPr>
        <w:pStyle w:val="Text1"/>
        <w:pBdr>
          <w:top w:val="single" w:sz="4" w:space="1" w:color="auto"/>
          <w:left w:val="single" w:sz="4" w:space="4" w:color="auto"/>
          <w:bottom w:val="single" w:sz="4" w:space="1" w:color="auto"/>
          <w:right w:val="single" w:sz="4" w:space="4" w:color="auto"/>
        </w:pBdr>
        <w:rPr>
          <w:noProof/>
          <w:color w:val="0000FF"/>
        </w:rPr>
      </w:pPr>
      <w:bookmarkStart w:id="43" w:name="_Toc514938014"/>
      <w:bookmarkStart w:id="44" w:name="_Toc520485028"/>
      <w:r w:rsidRPr="001E4272">
        <w:rPr>
          <w:noProof/>
          <w:color w:val="0000FF"/>
        </w:rPr>
        <w:t>Τομέας πολιτικής: Δικαιοσύνη και θεμελιώδη δικαιώματα</w:t>
      </w:r>
    </w:p>
    <w:p w14:paraId="09CADBC7" w14:textId="77777777" w:rsidR="00436363" w:rsidRPr="001E4272" w:rsidRDefault="00436363" w:rsidP="00436363">
      <w:pPr>
        <w:pStyle w:val="Text1"/>
        <w:pBdr>
          <w:top w:val="single" w:sz="4" w:space="1" w:color="auto"/>
          <w:left w:val="single" w:sz="4" w:space="4" w:color="auto"/>
          <w:bottom w:val="single" w:sz="4" w:space="1" w:color="auto"/>
          <w:right w:val="single" w:sz="4" w:space="4" w:color="auto"/>
        </w:pBdr>
        <w:rPr>
          <w:noProof/>
          <w:color w:val="0000FF"/>
        </w:rPr>
      </w:pPr>
      <w:r w:rsidRPr="001E4272">
        <w:rPr>
          <w:noProof/>
          <w:color w:val="0000FF"/>
        </w:rPr>
        <w:t xml:space="preserve">Δραστηριότητα: Επένδυση στο ανθρώπινο δυναμικό, στην κοινωνική συνοχή και στις αξίες  </w:t>
      </w:r>
    </w:p>
    <w:p w14:paraId="465E16B7" w14:textId="77777777" w:rsidR="00436363" w:rsidRPr="001E4272" w:rsidRDefault="00436363" w:rsidP="00436363">
      <w:pPr>
        <w:pStyle w:val="Text1"/>
        <w:pBdr>
          <w:top w:val="single" w:sz="4" w:space="1" w:color="auto"/>
          <w:left w:val="single" w:sz="4" w:space="4" w:color="auto"/>
          <w:bottom w:val="single" w:sz="4" w:space="1" w:color="auto"/>
          <w:right w:val="single" w:sz="4" w:space="4" w:color="auto"/>
        </w:pBdr>
        <w:rPr>
          <w:noProof/>
          <w:color w:val="0000FF"/>
        </w:rPr>
      </w:pPr>
      <w:r w:rsidRPr="001E4272">
        <w:rPr>
          <w:noProof/>
          <w:color w:val="0000FF"/>
        </w:rPr>
        <w:t>071007: Οργανισμός της Ευρωπαϊκής Ένωσης για τη Συνεργασία στον Τομέα της Ποινικής Δικαιοσύνης (Εurojust)</w:t>
      </w:r>
    </w:p>
    <w:p w14:paraId="229A57E1" w14:textId="0D11D00C" w:rsidR="00436363" w:rsidRPr="001E4272" w:rsidRDefault="00F27BFA" w:rsidP="00F27BFA">
      <w:pPr>
        <w:pStyle w:val="ManualHeading2"/>
        <w:rPr>
          <w:bCs/>
          <w:noProof/>
          <w:szCs w:val="24"/>
        </w:rPr>
      </w:pPr>
      <w:bookmarkStart w:id="45" w:name="_Toc84517575"/>
      <w:r w:rsidRPr="00F27BFA">
        <w:t>1.3.</w:t>
      </w:r>
      <w:r w:rsidRPr="00F27BFA">
        <w:tab/>
      </w:r>
      <w:r w:rsidR="00436363" w:rsidRPr="001E4272">
        <w:rPr>
          <w:noProof/>
        </w:rPr>
        <w:t>Η πρόταση/πρωτοβουλία αφορά:</w:t>
      </w:r>
      <w:bookmarkEnd w:id="43"/>
      <w:bookmarkEnd w:id="44"/>
      <w:bookmarkEnd w:id="45"/>
      <w:r w:rsidR="00436363" w:rsidRPr="001E4272">
        <w:rPr>
          <w:noProof/>
        </w:rPr>
        <w:t xml:space="preserve"> </w:t>
      </w:r>
    </w:p>
    <w:p w14:paraId="162A0DB6" w14:textId="77777777" w:rsidR="00436363" w:rsidRPr="001E4272" w:rsidRDefault="00436363" w:rsidP="00ED2926">
      <w:pPr>
        <w:pStyle w:val="Text1"/>
        <w:rPr>
          <w:b/>
          <w:noProof/>
          <w:sz w:val="22"/>
        </w:rPr>
      </w:pPr>
      <w:r w:rsidRPr="001E4272">
        <w:rPr>
          <w:noProof/>
          <w:sz w:val="22"/>
        </w:rPr>
        <w:sym w:font="Wingdings" w:char="F0A8"/>
      </w:r>
      <w:r w:rsidRPr="001E4272">
        <w:rPr>
          <w:b/>
          <w:i/>
          <w:noProof/>
          <w:sz w:val="22"/>
        </w:rPr>
        <w:t xml:space="preserve"> </w:t>
      </w:r>
      <w:r w:rsidRPr="001E4272">
        <w:rPr>
          <w:b/>
          <w:noProof/>
        </w:rPr>
        <w:t>νέα δράση</w:t>
      </w:r>
      <w:r w:rsidRPr="001E4272">
        <w:rPr>
          <w:b/>
          <w:noProof/>
          <w:sz w:val="22"/>
        </w:rPr>
        <w:t xml:space="preserve"> </w:t>
      </w:r>
    </w:p>
    <w:p w14:paraId="665CB0B8" w14:textId="77777777" w:rsidR="00436363" w:rsidRPr="001E4272" w:rsidRDefault="00436363" w:rsidP="00ED2926">
      <w:pPr>
        <w:pStyle w:val="Text1"/>
        <w:rPr>
          <w:noProof/>
          <w:sz w:val="22"/>
        </w:rPr>
      </w:pPr>
      <w:r w:rsidRPr="001E4272">
        <w:rPr>
          <w:noProof/>
          <w:sz w:val="22"/>
        </w:rPr>
        <w:sym w:font="Wingdings" w:char="F0A8"/>
      </w:r>
      <w:r w:rsidRPr="001E4272">
        <w:rPr>
          <w:i/>
          <w:iCs/>
          <w:noProof/>
          <w:sz w:val="22"/>
        </w:rPr>
        <w:t xml:space="preserve"> </w:t>
      </w:r>
      <w:r w:rsidRPr="001E4272">
        <w:rPr>
          <w:b/>
          <w:bCs/>
          <w:noProof/>
        </w:rPr>
        <w:t>νέα δράση έπειτα από δοκιμαστικό σχέδιο / προπαρασκευαστική ενέργεια</w:t>
      </w:r>
      <w:r w:rsidRPr="001E4272">
        <w:rPr>
          <w:rStyle w:val="FootnoteReference"/>
          <w:b/>
          <w:bCs/>
          <w:noProof/>
        </w:rPr>
        <w:footnoteReference w:id="44"/>
      </w:r>
      <w:r w:rsidRPr="001E4272">
        <w:rPr>
          <w:noProof/>
          <w:sz w:val="22"/>
        </w:rPr>
        <w:t xml:space="preserve"> </w:t>
      </w:r>
    </w:p>
    <w:p w14:paraId="0CF46621" w14:textId="77777777" w:rsidR="00436363" w:rsidRPr="001E4272" w:rsidRDefault="00436363" w:rsidP="00ED2926">
      <w:pPr>
        <w:pStyle w:val="Text1"/>
        <w:rPr>
          <w:noProof/>
          <w:sz w:val="22"/>
        </w:rPr>
      </w:pPr>
      <w:r w:rsidRPr="001E4272">
        <w:rPr>
          <w:noProof/>
        </w:rPr>
        <w:sym w:font="Wingdings" w:char="F0FE"/>
      </w:r>
      <w:r w:rsidRPr="001E4272">
        <w:rPr>
          <w:i/>
          <w:noProof/>
          <w:sz w:val="22"/>
        </w:rPr>
        <w:t xml:space="preserve"> </w:t>
      </w:r>
      <w:r w:rsidRPr="001E4272">
        <w:rPr>
          <w:b/>
          <w:noProof/>
        </w:rPr>
        <w:t>την παράταση υφιστάμενης δράσης</w:t>
      </w:r>
      <w:r w:rsidRPr="001E4272">
        <w:rPr>
          <w:noProof/>
          <w:sz w:val="22"/>
        </w:rPr>
        <w:t xml:space="preserve"> </w:t>
      </w:r>
    </w:p>
    <w:p w14:paraId="16FEA6F4" w14:textId="77777777" w:rsidR="00436363" w:rsidRPr="001E4272" w:rsidRDefault="00436363" w:rsidP="00ED2926">
      <w:pPr>
        <w:pStyle w:val="Text1"/>
        <w:rPr>
          <w:noProof/>
        </w:rPr>
      </w:pPr>
      <w:r w:rsidRPr="001E4272">
        <w:rPr>
          <w:noProof/>
          <w:sz w:val="22"/>
        </w:rPr>
        <w:sym w:font="Wingdings" w:char="F0A8"/>
      </w:r>
      <w:r w:rsidRPr="001E4272">
        <w:rPr>
          <w:i/>
          <w:noProof/>
          <w:sz w:val="22"/>
        </w:rPr>
        <w:t xml:space="preserve"> </w:t>
      </w:r>
      <w:r w:rsidRPr="001E4272">
        <w:rPr>
          <w:b/>
          <w:noProof/>
        </w:rPr>
        <w:t>συγχώνευση ή αναπροσανατολισμό μίας ή περισσότερων δράσεων προς άλλη/νέα δράση</w:t>
      </w:r>
      <w:r w:rsidRPr="001E4272">
        <w:rPr>
          <w:noProof/>
        </w:rPr>
        <w:t xml:space="preserve"> </w:t>
      </w:r>
    </w:p>
    <w:p w14:paraId="4257A380" w14:textId="41C065E5" w:rsidR="00436363" w:rsidRPr="001E4272" w:rsidRDefault="00F27BFA" w:rsidP="00F27BFA">
      <w:pPr>
        <w:pStyle w:val="ManualHeading2"/>
        <w:rPr>
          <w:bCs/>
          <w:noProof/>
          <w:szCs w:val="24"/>
        </w:rPr>
      </w:pPr>
      <w:bookmarkStart w:id="46" w:name="_Toc514938015"/>
      <w:bookmarkStart w:id="47" w:name="_Toc520485029"/>
      <w:bookmarkStart w:id="48" w:name="_Toc84517576"/>
      <w:r w:rsidRPr="00F27BFA">
        <w:t>1.4.</w:t>
      </w:r>
      <w:r w:rsidRPr="00F27BFA">
        <w:tab/>
      </w:r>
      <w:r w:rsidR="00436363" w:rsidRPr="001E4272">
        <w:rPr>
          <w:noProof/>
        </w:rPr>
        <w:t>Στόχοι</w:t>
      </w:r>
      <w:bookmarkEnd w:id="46"/>
      <w:bookmarkEnd w:id="47"/>
      <w:bookmarkEnd w:id="48"/>
    </w:p>
    <w:p w14:paraId="37283C91" w14:textId="2AB01FCB" w:rsidR="00436363" w:rsidRPr="001E4272" w:rsidRDefault="00F27BFA" w:rsidP="00F27BFA">
      <w:pPr>
        <w:pStyle w:val="ManualHeading3"/>
        <w:rPr>
          <w:noProof/>
        </w:rPr>
      </w:pPr>
      <w:bookmarkStart w:id="49" w:name="_Toc514938016"/>
      <w:bookmarkStart w:id="50" w:name="_Toc520485030"/>
      <w:bookmarkStart w:id="51" w:name="_Toc84517577"/>
      <w:r w:rsidRPr="00F27BFA">
        <w:t>1.4.1.</w:t>
      </w:r>
      <w:r w:rsidRPr="00F27BFA">
        <w:tab/>
      </w:r>
      <w:r w:rsidR="00436363" w:rsidRPr="001E4272">
        <w:rPr>
          <w:noProof/>
        </w:rPr>
        <w:t>Γενικοί στόχοι</w:t>
      </w:r>
      <w:bookmarkEnd w:id="49"/>
      <w:bookmarkEnd w:id="50"/>
      <w:bookmarkEnd w:id="51"/>
    </w:p>
    <w:p w14:paraId="1DA86311" w14:textId="77777777" w:rsidR="00436363" w:rsidRPr="001E4272" w:rsidRDefault="00436363" w:rsidP="00436363">
      <w:pPr>
        <w:pStyle w:val="Text1"/>
        <w:pBdr>
          <w:top w:val="single" w:sz="4" w:space="1" w:color="auto"/>
          <w:left w:val="single" w:sz="4" w:space="4" w:color="auto"/>
          <w:bottom w:val="single" w:sz="4" w:space="1" w:color="auto"/>
          <w:right w:val="single" w:sz="4" w:space="4" w:color="auto"/>
        </w:pBdr>
        <w:tabs>
          <w:tab w:val="left" w:pos="3120"/>
        </w:tabs>
        <w:rPr>
          <w:noProof/>
        </w:rPr>
      </w:pPr>
      <w:bookmarkStart w:id="52" w:name="_Toc514938018"/>
      <w:bookmarkStart w:id="53" w:name="_Toc520485031"/>
      <w:r w:rsidRPr="001E4272">
        <w:rPr>
          <w:noProof/>
        </w:rPr>
        <w:t>Η Eurojust συστάθηκε ως διακυβερνητικό όργανο για τον συντονισμό των ερευνών για σοβαρά διασυνοριακά εγκλήματα στην Ευρώπη και εκτός Ευρώπης με την απόφαση 2002/187/ΔΕΥ. Η Συνθήκη της Λισαβόνας κατήργησε τη δομή των πυλώνων της Ευρωπαϊκής Ένωσης και εναρμόνισε τον τομέα της ελευθερίας, της ασφάλειας και της δικαιοσύνης με το κοινοτικό κεκτημένο. Με τον κανονισμό (ΕΕ) 2017/1727 δημιουργήθηκε νέο νομικό πλαίσιο για έναν νέο οργανισμό της Ευρωπαϊκής Ένωσης για τη συνεργασία στον τομέα της ποινικής δικαιοσύνης (Eurojust), όπως απαιτείται βάσει του άρθρου 85 της ΣΛΕΕ.</w:t>
      </w:r>
    </w:p>
    <w:p w14:paraId="5FED353A" w14:textId="07D8FC3E" w:rsidR="00436363" w:rsidRPr="001E4272" w:rsidRDefault="00436363" w:rsidP="00436363">
      <w:pPr>
        <w:pStyle w:val="Text1"/>
        <w:pBdr>
          <w:top w:val="single" w:sz="4" w:space="1" w:color="auto"/>
          <w:left w:val="single" w:sz="4" w:space="4" w:color="auto"/>
          <w:bottom w:val="single" w:sz="4" w:space="1" w:color="auto"/>
          <w:right w:val="single" w:sz="4" w:space="4" w:color="auto"/>
        </w:pBdr>
        <w:tabs>
          <w:tab w:val="left" w:pos="3120"/>
        </w:tabs>
        <w:rPr>
          <w:noProof/>
        </w:rPr>
      </w:pPr>
      <w:r w:rsidRPr="001E4272">
        <w:rPr>
          <w:noProof/>
        </w:rPr>
        <w:t>Η καταπολέμηση της τρομοκρατίας εμπίπτει στην εντολή της Eurojust από τη σύστασή της το 2002. Ένα από τα βασικά στοιχεία του έργου της Eurojust στον τομέα αυτόν ήταν η δημιουργία του ευρωπαϊκού δικαστικού αντιτρομοκρατικού μητρώου τον Σεπτέμβριο του 2019. Η νομική βάση για το αντιτρομοκρατικό μητρώο είναι η απόφαση 2005/671/ΔΕΥ του Συμβουλίου. Δεδομένου ότι ο κανονισμός για την Eurojust σχεδιάστηκε και εγκρίθηκε πριν από τη θέσπιση του αντιτρομοκρατικού μητρώου, το αντιτρομοκρατικό μητρώο και οι λειτουργίες του δεν προβλέφθηκαν στον κανονισμό για την Eurojust. Επιπλέον, το τεχνικά παρωχημένο σύστημα διαχείρισης υποθέσεων δεν είναι σε θέση να ενσωματώσει και να υποστηρίξει ένα προδραστικό εργαλείο όπως το αντιτρομοκρατικό μητρώο.</w:t>
      </w:r>
    </w:p>
    <w:p w14:paraId="2A1FD8CC" w14:textId="77777777" w:rsidR="00436363" w:rsidRPr="001E4272" w:rsidRDefault="00436363" w:rsidP="00436363">
      <w:pPr>
        <w:pStyle w:val="Text1"/>
        <w:pBdr>
          <w:top w:val="single" w:sz="4" w:space="1" w:color="auto"/>
          <w:left w:val="single" w:sz="4" w:space="4" w:color="auto"/>
          <w:bottom w:val="single" w:sz="4" w:space="1" w:color="auto"/>
          <w:right w:val="single" w:sz="4" w:space="4" w:color="auto"/>
        </w:pBdr>
        <w:tabs>
          <w:tab w:val="left" w:pos="3120"/>
        </w:tabs>
        <w:rPr>
          <w:noProof/>
        </w:rPr>
      </w:pPr>
      <w:r w:rsidRPr="001E4272">
        <w:rPr>
          <w:noProof/>
        </w:rPr>
        <w:t xml:space="preserve">Ανταποκρινόμενο σε αυτές τις πιεστικές επιχειρησιακές ανάγκες, το πρόγραμμα εργασίας της Επιτροπής για το 2020 εξήγγειλε νομοθετική πρωτοβουλία για την ψηφιακή ανταλλαγή πληροφοριών σχετικά με διασυνοριακές υποθέσεις τρομοκρατίας στο πλαίσιο της δέσμης μέτρων για την ψηφιακή δικαστική συνεργασία. </w:t>
      </w:r>
    </w:p>
    <w:p w14:paraId="22CCE513" w14:textId="77777777" w:rsidR="00436363" w:rsidRPr="001E4272" w:rsidRDefault="00436363" w:rsidP="00436363">
      <w:pPr>
        <w:pStyle w:val="Text1"/>
        <w:pBdr>
          <w:top w:val="single" w:sz="4" w:space="1" w:color="auto"/>
          <w:left w:val="single" w:sz="4" w:space="4" w:color="auto"/>
          <w:bottom w:val="single" w:sz="4" w:space="1" w:color="auto"/>
          <w:right w:val="single" w:sz="4" w:space="4" w:color="auto"/>
        </w:pBdr>
        <w:tabs>
          <w:tab w:val="left" w:pos="3120"/>
        </w:tabs>
        <w:rPr>
          <w:noProof/>
        </w:rPr>
      </w:pPr>
      <w:r w:rsidRPr="001E4272">
        <w:rPr>
          <w:noProof/>
        </w:rPr>
        <w:t>Ο γενικός στόχος είναι να δοθεί στην Eurojust η δυνατότητα να εκπληρώνει τον ευρύτερο και πιο προδραστικό της ρόλο όσον αφορά την υποστήριξη των κρατών μελών στις έρευνές τους, ιδίως σε υποθέσεις τρομοκρατίας, σύμφωνα με την αποστολή της Eurojust να υποστηρίζει και να ενισχύει τη συνεργασία και τον συντονισμό μεταξύ των αρμόδιων εθνικών αρχών για την έρευνα και τη δίωξη σοβαρών εγκλημάτων.</w:t>
      </w:r>
    </w:p>
    <w:p w14:paraId="297CD103" w14:textId="621A6C0D" w:rsidR="00436363" w:rsidRPr="001E4272" w:rsidRDefault="00F27BFA" w:rsidP="00F27BFA">
      <w:pPr>
        <w:pStyle w:val="ManualHeading3"/>
        <w:rPr>
          <w:bCs/>
          <w:noProof/>
          <w:szCs w:val="24"/>
        </w:rPr>
      </w:pPr>
      <w:bookmarkStart w:id="54" w:name="_Toc84517578"/>
      <w:r w:rsidRPr="00F27BFA">
        <w:t>1.4.2.</w:t>
      </w:r>
      <w:r w:rsidRPr="00F27BFA">
        <w:tab/>
      </w:r>
      <w:r w:rsidR="00436363" w:rsidRPr="001E4272">
        <w:rPr>
          <w:noProof/>
        </w:rPr>
        <w:t>Ειδικοί στόχοι</w:t>
      </w:r>
      <w:bookmarkEnd w:id="52"/>
      <w:bookmarkEnd w:id="53"/>
      <w:bookmarkEnd w:id="54"/>
    </w:p>
    <w:p w14:paraId="346B2207" w14:textId="77777777" w:rsidR="00436363" w:rsidRPr="001E4272" w:rsidRDefault="00436363" w:rsidP="00436363">
      <w:pPr>
        <w:pStyle w:val="Text1"/>
        <w:pBdr>
          <w:top w:val="single" w:sz="4" w:space="1" w:color="auto"/>
          <w:left w:val="single" w:sz="4" w:space="4" w:color="auto"/>
          <w:bottom w:val="single" w:sz="4" w:space="1" w:color="auto"/>
          <w:right w:val="single" w:sz="4" w:space="4" w:color="auto"/>
        </w:pBdr>
        <w:rPr>
          <w:noProof/>
          <w:color w:val="0000FF"/>
        </w:rPr>
      </w:pPr>
      <w:bookmarkStart w:id="55" w:name="_Toc514938019"/>
      <w:bookmarkStart w:id="56" w:name="_Toc520485032"/>
      <w:r w:rsidRPr="001E4272">
        <w:rPr>
          <w:noProof/>
          <w:color w:val="0000FF"/>
        </w:rPr>
        <w:t>Οι ειδικοί στόχοι απορρέουν από τον γενικό στόχο που περιγράφεται ανωτέρω:</w:t>
      </w:r>
    </w:p>
    <w:p w14:paraId="0D053A64" w14:textId="77777777" w:rsidR="00436363" w:rsidRPr="001E4272" w:rsidRDefault="00436363" w:rsidP="00436363">
      <w:pPr>
        <w:pStyle w:val="Text1"/>
        <w:pBdr>
          <w:top w:val="single" w:sz="4" w:space="1" w:color="auto"/>
          <w:left w:val="single" w:sz="4" w:space="4" w:color="auto"/>
          <w:bottom w:val="single" w:sz="4" w:space="1" w:color="auto"/>
          <w:right w:val="single" w:sz="4" w:space="4" w:color="auto"/>
        </w:pBdr>
        <w:rPr>
          <w:noProof/>
          <w:color w:val="0000FF"/>
          <w:u w:val="single"/>
        </w:rPr>
      </w:pPr>
      <w:r w:rsidRPr="001E4272">
        <w:rPr>
          <w:noProof/>
          <w:color w:val="0000FF"/>
          <w:u w:val="single"/>
        </w:rPr>
        <w:t>Ειδικός στόχος αριθ. 1:</w:t>
      </w:r>
    </w:p>
    <w:p w14:paraId="1C9DCB9F" w14:textId="77777777" w:rsidR="00436363" w:rsidRPr="001E4272" w:rsidRDefault="00436363" w:rsidP="00436363">
      <w:pPr>
        <w:pStyle w:val="Text1"/>
        <w:pBdr>
          <w:top w:val="single" w:sz="4" w:space="1" w:color="auto"/>
          <w:left w:val="single" w:sz="4" w:space="4" w:color="auto"/>
          <w:bottom w:val="single" w:sz="4" w:space="1" w:color="auto"/>
          <w:right w:val="single" w:sz="4" w:space="4" w:color="auto"/>
        </w:pBdr>
        <w:rPr>
          <w:noProof/>
          <w:color w:val="0000FF"/>
        </w:rPr>
      </w:pPr>
      <w:r w:rsidRPr="001E4272">
        <w:rPr>
          <w:noProof/>
          <w:color w:val="0000FF"/>
        </w:rPr>
        <w:t xml:space="preserve">Να δοθεί στην Eurojust η δυνατότητα να εντοπίζει δεσμούς πιο αποδοτικά και να παρέχει με προδραστικό τρόπο ανατροφοδότηση στα κράτη μέλη. </w:t>
      </w:r>
    </w:p>
    <w:p w14:paraId="6C995C90" w14:textId="77777777" w:rsidR="00436363" w:rsidRPr="001E4272" w:rsidRDefault="00436363" w:rsidP="00436363">
      <w:pPr>
        <w:pStyle w:val="Text1"/>
        <w:pBdr>
          <w:top w:val="single" w:sz="4" w:space="1" w:color="auto"/>
          <w:left w:val="single" w:sz="4" w:space="4" w:color="auto"/>
          <w:bottom w:val="single" w:sz="4" w:space="1" w:color="auto"/>
          <w:right w:val="single" w:sz="4" w:space="4" w:color="auto"/>
        </w:pBdr>
        <w:rPr>
          <w:noProof/>
          <w:color w:val="0000FF"/>
          <w:u w:val="single"/>
        </w:rPr>
      </w:pPr>
      <w:r w:rsidRPr="001E4272">
        <w:rPr>
          <w:noProof/>
          <w:color w:val="0000FF"/>
          <w:u w:val="single"/>
        </w:rPr>
        <w:t>Ειδικός στόχος αριθ. 2:</w:t>
      </w:r>
    </w:p>
    <w:p w14:paraId="5280FD4B" w14:textId="77777777" w:rsidR="00436363" w:rsidRPr="001E4272" w:rsidRDefault="00436363" w:rsidP="00436363">
      <w:pPr>
        <w:pStyle w:val="Text1"/>
        <w:pBdr>
          <w:top w:val="single" w:sz="4" w:space="1" w:color="auto"/>
          <w:left w:val="single" w:sz="4" w:space="4" w:color="auto"/>
          <w:bottom w:val="single" w:sz="4" w:space="1" w:color="auto"/>
          <w:right w:val="single" w:sz="4" w:space="4" w:color="auto"/>
        </w:pBdr>
        <w:rPr>
          <w:noProof/>
          <w:color w:val="0000FF"/>
        </w:rPr>
      </w:pPr>
      <w:r w:rsidRPr="001E4272">
        <w:rPr>
          <w:noProof/>
          <w:color w:val="0000FF"/>
        </w:rPr>
        <w:t>Να ενισχυθούν η αποδοτικότητα και η ασφάλεια της ανταλλαγής δεδομένων μεταξύ των κρατών μελών, της Eurojust και τρίτων χωρών.</w:t>
      </w:r>
    </w:p>
    <w:p w14:paraId="3981FF30" w14:textId="77777777" w:rsidR="00500A6A" w:rsidRPr="001E4272" w:rsidRDefault="00500A6A" w:rsidP="00500A6A">
      <w:pPr>
        <w:spacing w:before="0" w:after="200" w:line="276" w:lineRule="auto"/>
        <w:jc w:val="left"/>
        <w:rPr>
          <w:rFonts w:eastAsiaTheme="majorEastAsia"/>
          <w:bCs/>
          <w:i/>
          <w:noProof/>
        </w:rPr>
      </w:pPr>
      <w:r w:rsidRPr="001E4272">
        <w:rPr>
          <w:noProof/>
        </w:rPr>
        <w:br w:type="page"/>
      </w:r>
    </w:p>
    <w:p w14:paraId="4B279F37" w14:textId="4850E2D2" w:rsidR="00436363" w:rsidRPr="001E4272" w:rsidRDefault="00F27BFA" w:rsidP="00F27BFA">
      <w:pPr>
        <w:pStyle w:val="ManualHeading3"/>
        <w:rPr>
          <w:noProof/>
        </w:rPr>
      </w:pPr>
      <w:bookmarkStart w:id="57" w:name="_Toc84517579"/>
      <w:r w:rsidRPr="00F27BFA">
        <w:t>1.4.3.</w:t>
      </w:r>
      <w:r w:rsidRPr="00F27BFA">
        <w:tab/>
      </w:r>
      <w:r w:rsidR="00436363" w:rsidRPr="001E4272">
        <w:rPr>
          <w:noProof/>
        </w:rPr>
        <w:t>Αναμενόμενα αποτελέσματα και επιπτώσεις</w:t>
      </w:r>
      <w:bookmarkEnd w:id="55"/>
      <w:bookmarkEnd w:id="56"/>
      <w:bookmarkEnd w:id="57"/>
    </w:p>
    <w:p w14:paraId="4A13E576" w14:textId="77777777" w:rsidR="00436363" w:rsidRPr="001E4272" w:rsidRDefault="00436363" w:rsidP="00ED2926">
      <w:pPr>
        <w:pStyle w:val="Text1"/>
        <w:rPr>
          <w:i/>
          <w:noProof/>
          <w:sz w:val="20"/>
        </w:rPr>
      </w:pPr>
      <w:r w:rsidRPr="001E4272">
        <w:rPr>
          <w:i/>
          <w:noProof/>
          <w:sz w:val="20"/>
        </w:rPr>
        <w:t>Να προσδιοριστούν τα αποτελέσματα που αναμένεται να έχει η πρόταση/πρωτοβουλία όσον αφορά τους/τις στοχευόμενους/-ες δικαιούχους/ομάδες.</w:t>
      </w:r>
    </w:p>
    <w:p w14:paraId="7856A998" w14:textId="6B59C77B" w:rsidR="00436363" w:rsidRPr="001E4272" w:rsidRDefault="00436363" w:rsidP="00436363">
      <w:pPr>
        <w:pStyle w:val="Text1"/>
        <w:pBdr>
          <w:top w:val="single" w:sz="4" w:space="1" w:color="auto"/>
          <w:left w:val="single" w:sz="4" w:space="4" w:color="auto"/>
          <w:bottom w:val="single" w:sz="4" w:space="1" w:color="auto"/>
          <w:right w:val="single" w:sz="4" w:space="4" w:color="auto"/>
        </w:pBdr>
        <w:rPr>
          <w:noProof/>
        </w:rPr>
      </w:pPr>
      <w:bookmarkStart w:id="58" w:name="_Toc514938023"/>
      <w:bookmarkStart w:id="59" w:name="_Toc520485033"/>
      <w:r w:rsidRPr="001E4272">
        <w:rPr>
          <w:noProof/>
        </w:rPr>
        <w:t>Η πρωτοβουλία αναμένεται να ενσωματώσει από νομική και τεχνική άποψη το αντιτρομοκρατικό μητρώο στο σύστημα διαχείρισης υποθέσεων της Eurojust, ώστε η Eurojust να είναι σε θέση να εντοπίζει δεσμούς μεταξύ παράλληλων διασυνοριακών διαδικασιών σε υποθέσεις τρομοκρατίας και σε υποθέσεις άλλων σοβαρών εγκλημάτων και να παρέχει ανατροφοδότηση στα κράτη μέλη.</w:t>
      </w:r>
    </w:p>
    <w:p w14:paraId="2FB5223B" w14:textId="2929EC09" w:rsidR="00500A6A" w:rsidRPr="001E4272" w:rsidRDefault="00F27BFA" w:rsidP="00F27BFA">
      <w:pPr>
        <w:pStyle w:val="ManualHeading3"/>
        <w:rPr>
          <w:noProof/>
          <w:szCs w:val="24"/>
        </w:rPr>
      </w:pPr>
      <w:bookmarkStart w:id="60" w:name="_Toc84517580"/>
      <w:r w:rsidRPr="00F27BFA">
        <w:t>1.4.4.</w:t>
      </w:r>
      <w:r w:rsidRPr="00F27BFA">
        <w:tab/>
      </w:r>
      <w:r w:rsidR="00436363" w:rsidRPr="001E4272">
        <w:rPr>
          <w:noProof/>
        </w:rPr>
        <w:t>Δείκτες επιδόσεων</w:t>
      </w:r>
      <w:bookmarkEnd w:id="58"/>
      <w:bookmarkEnd w:id="59"/>
      <w:bookmarkEnd w:id="60"/>
    </w:p>
    <w:p w14:paraId="52EF0E92" w14:textId="77777777" w:rsidR="00500A6A" w:rsidRPr="001E4272" w:rsidRDefault="00500A6A" w:rsidP="00500A6A">
      <w:pPr>
        <w:pStyle w:val="Text1"/>
        <w:rPr>
          <w:i/>
          <w:noProof/>
          <w:sz w:val="20"/>
        </w:rPr>
      </w:pPr>
      <w:r w:rsidRPr="001E4272">
        <w:rPr>
          <w:i/>
          <w:noProof/>
          <w:sz w:val="20"/>
        </w:rPr>
        <w:t>Να προσδιοριστούν οι δείκτες για την παρακολούθηση της προόδου και των επιτευγμάτων.</w:t>
      </w:r>
    </w:p>
    <w:p w14:paraId="380EC869" w14:textId="353AD381" w:rsidR="00500A6A" w:rsidRPr="001E4272" w:rsidRDefault="00500A6A" w:rsidP="006D1312">
      <w:pPr>
        <w:pStyle w:val="Tiret1"/>
        <w:pBdr>
          <w:top w:val="single" w:sz="4" w:space="1" w:color="auto"/>
          <w:left w:val="single" w:sz="4" w:space="4" w:color="auto"/>
          <w:bottom w:val="single" w:sz="4" w:space="1" w:color="auto"/>
          <w:right w:val="single" w:sz="4" w:space="4" w:color="auto"/>
        </w:pBdr>
        <w:rPr>
          <w:noProof/>
        </w:rPr>
      </w:pPr>
      <w:r w:rsidRPr="001E4272">
        <w:rPr>
          <w:noProof/>
        </w:rPr>
        <w:t>Ο όγκος των πληροφοριών που αποστέλλονται από κάθε κράτος μέλος για το αντιτρομοκρατικό μητρώο σε σχέση με τον συνολικό όγκο και την ποιοτική στάθμη των πληροφοριών που αποστέλλονται από τα κράτη μέλη.</w:t>
      </w:r>
    </w:p>
    <w:p w14:paraId="2A2B4807" w14:textId="6238D0D9" w:rsidR="00500A6A" w:rsidRPr="001E4272" w:rsidRDefault="00500A6A" w:rsidP="006D1312">
      <w:pPr>
        <w:pStyle w:val="Tiret1"/>
        <w:pBdr>
          <w:top w:val="single" w:sz="4" w:space="1" w:color="auto"/>
          <w:left w:val="single" w:sz="4" w:space="4" w:color="auto"/>
          <w:bottom w:val="single" w:sz="4" w:space="1" w:color="auto"/>
          <w:right w:val="single" w:sz="4" w:space="4" w:color="auto"/>
        </w:pBdr>
        <w:rPr>
          <w:noProof/>
        </w:rPr>
      </w:pPr>
      <w:r w:rsidRPr="001E4272">
        <w:rPr>
          <w:noProof/>
        </w:rPr>
        <w:t>Ο αριθμός των δεσμών που διαπιστώνονται σε υποθέσεις καταπολέμησης της τρομοκρατίας και σε υποθέσεις σοβαρών εγκλημάτων.</w:t>
      </w:r>
    </w:p>
    <w:p w14:paraId="5976ECE3" w14:textId="768A709C" w:rsidR="00500A6A" w:rsidRPr="001E4272" w:rsidRDefault="00500A6A" w:rsidP="006D1312">
      <w:pPr>
        <w:pStyle w:val="Tiret1"/>
        <w:pBdr>
          <w:top w:val="single" w:sz="4" w:space="1" w:color="auto"/>
          <w:left w:val="single" w:sz="4" w:space="4" w:color="auto"/>
          <w:bottom w:val="single" w:sz="4" w:space="1" w:color="auto"/>
          <w:right w:val="single" w:sz="4" w:space="4" w:color="auto"/>
        </w:pBdr>
        <w:rPr>
          <w:noProof/>
        </w:rPr>
      </w:pPr>
      <w:r w:rsidRPr="001E4272">
        <w:rPr>
          <w:noProof/>
        </w:rPr>
        <w:t>Ο όγκος της ανατροφοδότησης που αποστέλλεται από την Eurojust στα κράτη μέλη.</w:t>
      </w:r>
    </w:p>
    <w:p w14:paraId="426AB115" w14:textId="35325142" w:rsidR="00500A6A" w:rsidRPr="001E4272" w:rsidRDefault="00500A6A" w:rsidP="006D1312">
      <w:pPr>
        <w:pStyle w:val="Tiret1"/>
        <w:pBdr>
          <w:top w:val="single" w:sz="4" w:space="1" w:color="auto"/>
          <w:left w:val="single" w:sz="4" w:space="4" w:color="auto"/>
          <w:bottom w:val="single" w:sz="4" w:space="1" w:color="auto"/>
          <w:right w:val="single" w:sz="4" w:space="4" w:color="auto"/>
        </w:pBdr>
        <w:rPr>
          <w:noProof/>
        </w:rPr>
      </w:pPr>
      <w:r w:rsidRPr="001E4272">
        <w:rPr>
          <w:noProof/>
        </w:rPr>
        <w:t xml:space="preserve">Ο αριθμός των επιχειρησιακών υποθέσεων που έλαβαν στήριξη με τη συμμετοχή τρίτων κρατών. </w:t>
      </w:r>
    </w:p>
    <w:p w14:paraId="12184CB2" w14:textId="77777777" w:rsidR="00500A6A" w:rsidRPr="001E4272" w:rsidRDefault="00500A6A" w:rsidP="00ED2926">
      <w:pPr>
        <w:pStyle w:val="Text1"/>
        <w:ind w:left="0"/>
        <w:rPr>
          <w:i/>
          <w:noProof/>
          <w:sz w:val="20"/>
        </w:rPr>
      </w:pPr>
    </w:p>
    <w:p w14:paraId="494308E1" w14:textId="7611EFD0" w:rsidR="00436363" w:rsidRPr="001E4272" w:rsidRDefault="00F27BFA" w:rsidP="00F27BFA">
      <w:pPr>
        <w:pStyle w:val="ManualHeading2"/>
        <w:rPr>
          <w:bCs/>
          <w:noProof/>
          <w:szCs w:val="24"/>
        </w:rPr>
      </w:pPr>
      <w:bookmarkStart w:id="61" w:name="_Toc514938025"/>
      <w:bookmarkStart w:id="62" w:name="_Toc520485034"/>
      <w:bookmarkStart w:id="63" w:name="_Toc84517581"/>
      <w:r w:rsidRPr="00F27BFA">
        <w:t>1.5.</w:t>
      </w:r>
      <w:r w:rsidRPr="00F27BFA">
        <w:tab/>
      </w:r>
      <w:r w:rsidR="00436363" w:rsidRPr="001E4272">
        <w:rPr>
          <w:noProof/>
        </w:rPr>
        <w:t>Αιτιολόγηση της πρότασης/πρωτοβουλίας</w:t>
      </w:r>
      <w:bookmarkEnd w:id="61"/>
      <w:bookmarkEnd w:id="62"/>
      <w:bookmarkEnd w:id="63"/>
      <w:r w:rsidR="00436363" w:rsidRPr="001E4272">
        <w:rPr>
          <w:noProof/>
        </w:rPr>
        <w:t xml:space="preserve"> </w:t>
      </w:r>
    </w:p>
    <w:p w14:paraId="2BB86CC4" w14:textId="007726A3" w:rsidR="00500A6A" w:rsidRPr="001E4272" w:rsidRDefault="00F27BFA" w:rsidP="00F27BFA">
      <w:pPr>
        <w:pStyle w:val="ManualHeading3"/>
        <w:rPr>
          <w:noProof/>
        </w:rPr>
      </w:pPr>
      <w:bookmarkStart w:id="64" w:name="_Toc514938026"/>
      <w:bookmarkStart w:id="65" w:name="_Toc520485035"/>
      <w:bookmarkStart w:id="66" w:name="_Toc84517582"/>
      <w:r w:rsidRPr="00F27BFA">
        <w:t>1.5.1.</w:t>
      </w:r>
      <w:r w:rsidRPr="00F27BFA">
        <w:tab/>
      </w:r>
      <w:r w:rsidR="00436363" w:rsidRPr="001E4272">
        <w:rPr>
          <w:noProof/>
        </w:rPr>
        <w:t>Βραχυπρόθεσμη ή μακροπρόθεσμη κάλυψη αναγκών, συμπεριλαμβανομένου λεπτομερούς χρονοδιαγράμματος για τη σταδιακή υλοποίηση της πρωτοβουλίας</w:t>
      </w:r>
      <w:bookmarkEnd w:id="64"/>
      <w:bookmarkEnd w:id="65"/>
      <w:bookmarkEnd w:id="66"/>
    </w:p>
    <w:p w14:paraId="5D316A8D" w14:textId="77777777" w:rsidR="00500A6A" w:rsidRPr="001E4272" w:rsidRDefault="00500A6A" w:rsidP="006D1312">
      <w:pPr>
        <w:pStyle w:val="Text1"/>
        <w:pBdr>
          <w:top w:val="single" w:sz="4" w:space="1" w:color="auto"/>
          <w:left w:val="single" w:sz="4" w:space="1" w:color="auto"/>
          <w:bottom w:val="single" w:sz="4" w:space="1" w:color="auto"/>
          <w:right w:val="single" w:sz="4" w:space="1" w:color="auto"/>
        </w:pBdr>
        <w:rPr>
          <w:noProof/>
          <w:color w:val="0000FF"/>
        </w:rPr>
      </w:pPr>
      <w:r w:rsidRPr="001E4272">
        <w:rPr>
          <w:noProof/>
          <w:color w:val="0000FF"/>
        </w:rPr>
        <w:t xml:space="preserve">Η σταδιακή υλοποίηση της νομοθετικής πρωτοβουλίας απαιτεί τεχνικά και διαδικαστικά μέτρα σε ενωσιακό και εθνικό επίπεδο, τα οποία θα πρέπει να τεθούν σε εφαρμογή μόλις αρχίσει να ισχύει η αναθεωρημένη νομοθεσία. </w:t>
      </w:r>
    </w:p>
    <w:p w14:paraId="4BD18AC6" w14:textId="77777777" w:rsidR="00500A6A" w:rsidRPr="001E4272" w:rsidRDefault="00500A6A" w:rsidP="006D1312">
      <w:pPr>
        <w:pStyle w:val="Text1"/>
        <w:pBdr>
          <w:top w:val="single" w:sz="4" w:space="1" w:color="auto"/>
          <w:left w:val="single" w:sz="4" w:space="1" w:color="auto"/>
          <w:bottom w:val="single" w:sz="4" w:space="1" w:color="auto"/>
          <w:right w:val="single" w:sz="4" w:space="1" w:color="auto"/>
        </w:pBdr>
        <w:rPr>
          <w:noProof/>
        </w:rPr>
      </w:pPr>
      <w:r w:rsidRPr="001E4272">
        <w:rPr>
          <w:noProof/>
        </w:rPr>
        <w:t>Οι βασικές απαιτήσεις μετά την έναρξη ισχύος της πρότασης είναι οι εξής:</w:t>
      </w:r>
    </w:p>
    <w:p w14:paraId="40C5A8D1" w14:textId="3560C170" w:rsidR="00500A6A" w:rsidRPr="001E4272" w:rsidRDefault="00500A6A" w:rsidP="006D1312">
      <w:pPr>
        <w:pStyle w:val="Tiret1"/>
        <w:pBdr>
          <w:top w:val="single" w:sz="4" w:space="1" w:color="auto"/>
          <w:left w:val="single" w:sz="4" w:space="1" w:color="auto"/>
          <w:bottom w:val="single" w:sz="4" w:space="1" w:color="auto"/>
          <w:right w:val="single" w:sz="4" w:space="1" w:color="auto"/>
        </w:pBdr>
        <w:rPr>
          <w:noProof/>
        </w:rPr>
      </w:pPr>
      <w:r w:rsidRPr="001E4272">
        <w:rPr>
          <w:noProof/>
        </w:rPr>
        <w:t xml:space="preserve">Η Eurojust να εφαρμόσει ένα νέο σύγχρονο σύστημα διαχείρισης υποθέσεων της Eurojust, το οποίο να ενσωματώνει το αντιτρομοκρατικό μητρώο και να διασφαλίζει την ικανότητα σύνδεσης με ασφαλείς διαύλους επικοινωνίας και την ικανότητα επεξεργασίας δομημένων δεδομένων. </w:t>
      </w:r>
    </w:p>
    <w:p w14:paraId="79EA406D" w14:textId="7732AEB6" w:rsidR="00500A6A" w:rsidRPr="001E4272" w:rsidRDefault="00500A6A" w:rsidP="006D1312">
      <w:pPr>
        <w:pStyle w:val="Tiret1"/>
        <w:pBdr>
          <w:top w:val="single" w:sz="4" w:space="1" w:color="auto"/>
          <w:left w:val="single" w:sz="4" w:space="1" w:color="auto"/>
          <w:bottom w:val="single" w:sz="4" w:space="1" w:color="auto"/>
          <w:right w:val="single" w:sz="4" w:space="1" w:color="auto"/>
        </w:pBdr>
        <w:rPr>
          <w:noProof/>
        </w:rPr>
      </w:pPr>
      <w:r w:rsidRPr="001E4272">
        <w:rPr>
          <w:noProof/>
        </w:rPr>
        <w:t>Η Eurojust και τα κράτη μέλη να διασφαλίσουν τη διαθεσιμότητα ασφαλών διαύλων επικοινωνίας.</w:t>
      </w:r>
    </w:p>
    <w:p w14:paraId="2AB68205" w14:textId="45765216" w:rsidR="00500A6A" w:rsidRPr="001E4272" w:rsidRDefault="00500A6A" w:rsidP="006D1312">
      <w:pPr>
        <w:pStyle w:val="Tiret1"/>
        <w:pBdr>
          <w:top w:val="single" w:sz="4" w:space="1" w:color="auto"/>
          <w:left w:val="single" w:sz="4" w:space="1" w:color="auto"/>
          <w:bottom w:val="single" w:sz="4" w:space="1" w:color="auto"/>
          <w:right w:val="single" w:sz="4" w:space="1" w:color="auto"/>
        </w:pBdr>
        <w:rPr>
          <w:noProof/>
        </w:rPr>
      </w:pPr>
      <w:r w:rsidRPr="001E4272">
        <w:rPr>
          <w:noProof/>
        </w:rPr>
        <w:t xml:space="preserve">Τα κράτη μέλη να διασφαλίσουν τη διαθεσιμότητα της αναγκαίας υποδομής για την αναφόρτωση δεδομένων με ημιαυτόματο και διαρθρωμένο τρόπο. </w:t>
      </w:r>
    </w:p>
    <w:p w14:paraId="507C720A" w14:textId="5BE9C79E" w:rsidR="001674C8" w:rsidRPr="001E4272" w:rsidRDefault="00500A6A" w:rsidP="006D1312">
      <w:pPr>
        <w:pStyle w:val="Text1"/>
        <w:pBdr>
          <w:top w:val="single" w:sz="4" w:space="1" w:color="auto"/>
          <w:left w:val="single" w:sz="4" w:space="1" w:color="auto"/>
          <w:bottom w:val="single" w:sz="4" w:space="1" w:color="auto"/>
          <w:right w:val="single" w:sz="4" w:space="1" w:color="auto"/>
        </w:pBdr>
        <w:rPr>
          <w:noProof/>
          <w:color w:val="0000FF"/>
        </w:rPr>
      </w:pPr>
      <w:r w:rsidRPr="001E4272">
        <w:rPr>
          <w:noProof/>
          <w:color w:val="0000FF"/>
        </w:rPr>
        <w:t xml:space="preserve">Με βάση τα πορίσματα της μελέτης για την ψηφιακή ποινική δικαιοσύνη και λόγω της επείγουσας ανάγκης για ανανέωση ενός νέου συστήματος διαχείρισης υποθέσεων, η Eurojust έχει ήδη προβεί στις πρώτες προκαταρκτικές ενέργειες για την ανανέωση. Ανέθεσε την εκπόνηση μελέτης ανάλυσης της αγοράς για τη σε βάθος διερεύνηση της καταλληλότερης λύσης. </w:t>
      </w:r>
    </w:p>
    <w:p w14:paraId="36A6CD5D" w14:textId="58D4B23E" w:rsidR="00500A6A" w:rsidRPr="001E4272" w:rsidRDefault="00500A6A" w:rsidP="001674C8">
      <w:pPr>
        <w:pStyle w:val="Text1"/>
        <w:pBdr>
          <w:top w:val="single" w:sz="4" w:space="1" w:color="auto"/>
          <w:left w:val="single" w:sz="4" w:space="1" w:color="auto"/>
          <w:bottom w:val="single" w:sz="4" w:space="1" w:color="auto"/>
          <w:right w:val="single" w:sz="4" w:space="1" w:color="auto"/>
        </w:pBdr>
        <w:rPr>
          <w:noProof/>
          <w:color w:val="0000FF"/>
        </w:rPr>
      </w:pPr>
      <w:r w:rsidRPr="001E4272">
        <w:rPr>
          <w:noProof/>
          <w:color w:val="0000FF"/>
        </w:rPr>
        <w:t>Στο τέλος του 2021 διατέθηκαν στην Eurojust μη δαπανηθέντα κονδύλια ύψους 9,5 εκατ. EUR από την Ευρωπαϊκή Εισαγγελία, τα οποία θα χρησιμοποιηθούν για την προετοιμασία της περαιτέρω ανάπτυξης του συστήματος διαχείρισης υποθέσεων. Η Eurojust θα αναθέσει την παροχή συμβουλευτικών υπηρεσιών για την υποστήριξη της φάσης της ανάλυσης, του σχεδιασμού και της ανάπτυξης. Για τις υπηρεσίες αυτές, η Eurojust προβλέπει δαπάνες ύψους 2,3 εκατ. EUR. Για την ακόλουθη αγορά υποδομής και διαθέσιμου στο εμπόριο λογισμικού και υπηρεσιών εγκατάστασης προβλέπονται δαπάνες ύψους 5,2 εκατ. EUR. Τέλος, η Eurojust έχει υπολογίσει ότι θα δαπανήσει 2 εκατ. EUR για συμβουλευτικές υπηρεσίες διαχείρισης προγραμμάτων και έργων, διοικητικών αλλαγών και διακυβέρνησης.</w:t>
      </w:r>
    </w:p>
    <w:p w14:paraId="38213091" w14:textId="3224DC5F" w:rsidR="00500A6A" w:rsidRPr="001E4272" w:rsidRDefault="00F27BFA" w:rsidP="00F27BFA">
      <w:pPr>
        <w:pStyle w:val="ManualHeading3"/>
        <w:rPr>
          <w:noProof/>
        </w:rPr>
      </w:pPr>
      <w:bookmarkStart w:id="67" w:name="_Toc514938029"/>
      <w:bookmarkStart w:id="68" w:name="_Toc520485036"/>
      <w:bookmarkStart w:id="69" w:name="_Toc84517583"/>
      <w:r w:rsidRPr="00F27BFA">
        <w:t>1.5.2.</w:t>
      </w:r>
      <w:r w:rsidRPr="00F27BFA">
        <w:tab/>
      </w:r>
      <w:r w:rsidR="00436363" w:rsidRPr="001E4272">
        <w:rPr>
          <w:noProof/>
        </w:rPr>
        <w:t>Προστιθέμενη αξία της ενωσιακής παρέμβασης (που μπορεί να προκύπτει από διάφορους παράγοντες, π.χ. οφέλη από τον συντονισμό, ασφάλεια δικαίου, μεγαλύτερη αποτελεσματικότητα ή συμπληρωματικότητα). Για τους σκοπούς του παρόντος σημείου «προστιθέμενη αξία της ενωσιακής παρέμβασης» είναι η αξία που απορρέει από την ενωσιακή παρέμβαση και η οποία προστίθεται στην αξία που θα είχε δημιουργηθεί αν τα κράτη μέλη ενεργούσαν μεμονωμένα.</w:t>
      </w:r>
      <w:bookmarkStart w:id="70" w:name="_Toc514938030"/>
      <w:bookmarkStart w:id="71" w:name="_Toc520485037"/>
      <w:bookmarkEnd w:id="67"/>
      <w:bookmarkEnd w:id="68"/>
      <w:bookmarkEnd w:id="69"/>
    </w:p>
    <w:p w14:paraId="6C5104F6" w14:textId="77777777" w:rsidR="00500A6A" w:rsidRPr="001E4272" w:rsidRDefault="00500A6A" w:rsidP="00500A6A">
      <w:pPr>
        <w:pStyle w:val="Text1"/>
        <w:pBdr>
          <w:top w:val="single" w:sz="4" w:space="1" w:color="auto"/>
          <w:left w:val="single" w:sz="4" w:space="4" w:color="auto"/>
          <w:bottom w:val="single" w:sz="4" w:space="1" w:color="auto"/>
          <w:right w:val="single" w:sz="4" w:space="4" w:color="auto"/>
        </w:pBdr>
        <w:rPr>
          <w:noProof/>
        </w:rPr>
      </w:pPr>
      <w:r w:rsidRPr="001E4272">
        <w:rPr>
          <w:noProof/>
        </w:rPr>
        <w:t>Οι εγκληματικές δραστηριότητες είναι σήμερα πιο σύνθετες, πιο διαφοροποιημένες και πιο παγκοσμιοποιημένες από ποτέ άλλοτε. Τα τρομοκρατικά και τα εγκληματικά δίκτυα μεγάλης κλίμακας αποτελούν σοβαρή απειλή για την εσωτερική ασφάλεια της ΕΕ και των πολιτών της. Η φύση των εγκληματικών δραστηριοτήτων καθίσταται όλο και περισσότερο πολυεγκληματική και διασυνοριακή. Οι εθνικές δικαστικές αρχές δεν μπορούν πλέον να εργάζονται μεμονωμένα, αλλά πρέπει να συνεργάζονται μεταξύ τους και με την Eurojust.</w:t>
      </w:r>
    </w:p>
    <w:p w14:paraId="7B384CD9" w14:textId="77777777" w:rsidR="00500A6A" w:rsidRPr="001E4272" w:rsidRDefault="00500A6A" w:rsidP="00500A6A">
      <w:pPr>
        <w:pStyle w:val="Text1"/>
        <w:pBdr>
          <w:top w:val="single" w:sz="4" w:space="1" w:color="auto"/>
          <w:left w:val="single" w:sz="4" w:space="4" w:color="auto"/>
          <w:bottom w:val="single" w:sz="4" w:space="1" w:color="auto"/>
          <w:right w:val="single" w:sz="4" w:space="4" w:color="auto"/>
        </w:pBdr>
        <w:rPr>
          <w:noProof/>
        </w:rPr>
      </w:pPr>
      <w:r w:rsidRPr="001E4272">
        <w:rPr>
          <w:noProof/>
        </w:rPr>
        <w:t>Για τη δίωξη της τρομοκρατίας, έχει ζωτική σημασία η αποδοτική ανταλλαγή πληροφοριών μεταξύ των αρμόδιων αρχών και των οργανισμών της Ένωσης. Με τη νέα αύξηση των αλλοδαπών τρομοκρατών μαχητών, η σημασία της ανταλλαγής πληροφοριών μεταξύ των κρατών μελών και της Eurojust έχει καταστεί ακόμη πιο εμφανής.</w:t>
      </w:r>
    </w:p>
    <w:p w14:paraId="39E907DC" w14:textId="77777777" w:rsidR="00500A6A" w:rsidRPr="001E4272" w:rsidRDefault="00500A6A" w:rsidP="00500A6A">
      <w:pPr>
        <w:pStyle w:val="Text1"/>
        <w:pBdr>
          <w:top w:val="single" w:sz="4" w:space="1" w:color="auto"/>
          <w:left w:val="single" w:sz="4" w:space="4" w:color="auto"/>
          <w:bottom w:val="single" w:sz="4" w:space="1" w:color="auto"/>
          <w:right w:val="single" w:sz="4" w:space="4" w:color="auto"/>
        </w:pBdr>
        <w:rPr>
          <w:noProof/>
        </w:rPr>
      </w:pPr>
      <w:r w:rsidRPr="001E4272">
        <w:rPr>
          <w:noProof/>
        </w:rPr>
        <w:t>Η σημερινή αποσύνδεση μεταξύ των υποθέσεων που διαχειρίζεται η Eurojust και των πληροφοριών που λαμβάνονται μέσω του αντιτρομοκρατικού μητρώου εμποδίζει την Eurojust να παρέχει έγκαιρη και προδραστική ανατροφοδότηση στις εθνικές αρχές σε διασυνοριακές υποθέσεις, με αποτέλεσμα να μην εντοπίζονται πιθανοί δεσμοί και αλληλεπικαλυπτόμενες έρευνες και διώξεις που θα πρέπει να συνδεθούν. Η αποσύνδεση αυτή μπορεί επίσης να παρεμποδίσει τις προσπάθειες της Eurojust να αποτρέπει συγκρούσεις δικαιοδοσίας και περιπτώσεις εφαρμογής της αρχής ne bis in idem.</w:t>
      </w:r>
    </w:p>
    <w:p w14:paraId="3BDF5378" w14:textId="13AE9CA7" w:rsidR="00500A6A" w:rsidRPr="001E4272" w:rsidRDefault="00500A6A" w:rsidP="00500A6A">
      <w:pPr>
        <w:pStyle w:val="Text1"/>
        <w:pBdr>
          <w:top w:val="single" w:sz="4" w:space="1" w:color="auto"/>
          <w:left w:val="single" w:sz="4" w:space="4" w:color="auto"/>
          <w:bottom w:val="single" w:sz="4" w:space="1" w:color="auto"/>
          <w:right w:val="single" w:sz="4" w:space="4" w:color="auto"/>
        </w:pBdr>
        <w:rPr>
          <w:noProof/>
        </w:rPr>
      </w:pPr>
      <w:bookmarkStart w:id="72" w:name="_Toc514938671"/>
      <w:r w:rsidRPr="001E4272">
        <w:rPr>
          <w:noProof/>
        </w:rPr>
        <w:t xml:space="preserve">Η πρωτοβουλία αναμένεται να δώσει τη δυνατότητα στην Eurojust να εντοπίζει και να δίνει συνέχεια σε δεσμούς μεταξύ υποθέσεων τρομοκρατίας με πιο προδραστικό τρόπο και να παρέχει έγκαιρη ανατροφοδότηση στα κράτη μέλη. Αυτά τα καθήκοντα και οι υπηρεσίες μπορούν να εκτελεστούν μόνο σε επίπεδο ΕΕ λόγω του διακρατικού τους χαρακτήρα. Με αυτόν τον τρόπο, η Eurojust, από κοινού με τα κράτη μέλη και τους διεθνείς εταίρους της, θα καταστήσει την Ευρώπη έναν ασφαλέστερο χώρο για όλους τους πολίτες. </w:t>
      </w:r>
      <w:bookmarkEnd w:id="72"/>
    </w:p>
    <w:p w14:paraId="0192068D" w14:textId="77777777" w:rsidR="00500A6A" w:rsidRPr="001E4272" w:rsidRDefault="00500A6A" w:rsidP="00ED2926">
      <w:pPr>
        <w:pStyle w:val="Text1"/>
        <w:pBdr>
          <w:top w:val="single" w:sz="4" w:space="1" w:color="auto"/>
          <w:left w:val="single" w:sz="4" w:space="4" w:color="auto"/>
          <w:bottom w:val="single" w:sz="4" w:space="1" w:color="auto"/>
          <w:right w:val="single" w:sz="4" w:space="4" w:color="auto"/>
        </w:pBdr>
        <w:rPr>
          <w:noProof/>
          <w:color w:val="0000FF"/>
        </w:rPr>
      </w:pPr>
      <w:r w:rsidRPr="001E4272">
        <w:rPr>
          <w:noProof/>
          <w:color w:val="0000FF"/>
        </w:rPr>
        <w:t xml:space="preserve">Η πρόταση βασίζεται στην ανάγκη να αντιμετωπιστούν οι συνεχώς εξελισσόμενες διακρατικές προκλήσεις στον τομέα της ασφάλειας, πέραν του εθνικού επιπέδου. </w:t>
      </w:r>
      <w:r w:rsidRPr="001E4272">
        <w:rPr>
          <w:noProof/>
        </w:rPr>
        <w:t>Έχει φανεί στην πράξη ότι για την αποτελεσματική ποινική δικαιοσύνη, η ταχεία και ασφαλής ανταλλαγή δεδομένων έχει ζωτική σημασία. Χωρίς την κατάλληλη υποδομή ΤΠ δεν είναι δυνατή ούτε η ασφαλής, διαρθρωμένη ανταλλαγή δεδομένων ούτε η ορθή διασταύρωση δεδομένων. Ως εκ τούτου, χωρίς ασφαλείς διαύλους επικοινωνίας και σύγχρονο σύστημα διαχείρισης υποθέσεων, δεν είναι δυνατός ούτε ο διαρθρωμένος εντοπισμός δεσμών μεταξύ διασυνοριακών υποθέσεων.</w:t>
      </w:r>
      <w:r w:rsidRPr="001E4272">
        <w:rPr>
          <w:noProof/>
          <w:color w:val="0000FF"/>
        </w:rPr>
        <w:t xml:space="preserve"> Η παρούσα πρόταση βασίζεται επίσης στα διδάγματα που έχουν αντληθεί και στην πρόοδο που έχει επιτευχθεί από την έναρξη εφαρμογής του κανονισμού για την Eurojust το 2019. Αυτό επηρεάζει κυρίως τον ολοένα και πιο σημαντικό ρόλο που διαδραματίζει η Eurojust ως συνομιλητής μεταξύ των κρατών μελών και των τρίτων χωρών στον τομέα της δικαστικής συνεργασίας. </w:t>
      </w:r>
    </w:p>
    <w:p w14:paraId="5A120E89" w14:textId="0105B69A" w:rsidR="00ED2926" w:rsidRPr="001E4272" w:rsidRDefault="00F27BFA" w:rsidP="00F27BFA">
      <w:pPr>
        <w:pStyle w:val="ManualHeading3"/>
        <w:rPr>
          <w:noProof/>
        </w:rPr>
      </w:pPr>
      <w:bookmarkStart w:id="73" w:name="_Toc84517584"/>
      <w:r w:rsidRPr="00F27BFA">
        <w:t>1.5.3.</w:t>
      </w:r>
      <w:r w:rsidRPr="00F27BFA">
        <w:tab/>
      </w:r>
      <w:r w:rsidR="00436363" w:rsidRPr="001E4272">
        <w:rPr>
          <w:noProof/>
        </w:rPr>
        <w:t>Διδάγματα από ανάλογες εμπειρίες του παρελθόντος</w:t>
      </w:r>
      <w:bookmarkStart w:id="74" w:name="_Toc514938033"/>
      <w:bookmarkStart w:id="75" w:name="_Toc520485038"/>
      <w:bookmarkEnd w:id="70"/>
      <w:bookmarkEnd w:id="71"/>
      <w:bookmarkEnd w:id="73"/>
    </w:p>
    <w:p w14:paraId="01C48A45" w14:textId="77777777" w:rsidR="00ED2926" w:rsidRPr="001E4272" w:rsidRDefault="00ED2926" w:rsidP="00ED2926">
      <w:pPr>
        <w:pStyle w:val="Text1"/>
        <w:pBdr>
          <w:top w:val="single" w:sz="4" w:space="1" w:color="auto"/>
          <w:left w:val="single" w:sz="4" w:space="4" w:color="auto"/>
          <w:bottom w:val="single" w:sz="4" w:space="1" w:color="auto"/>
          <w:right w:val="single" w:sz="4" w:space="4" w:color="auto"/>
        </w:pBdr>
        <w:rPr>
          <w:noProof/>
        </w:rPr>
      </w:pPr>
      <w:r w:rsidRPr="001E4272">
        <w:rPr>
          <w:noProof/>
        </w:rPr>
        <w:t xml:space="preserve">Η πρόταση βασίζεται στην ανάγκη συντονισμού της δικαστικής αντίδρασης στο συνεχώς εξελισσόμενο διακρατικό έγκλημα πέραν του αποκλειστικά εθνικού επιπέδου. </w:t>
      </w:r>
    </w:p>
    <w:p w14:paraId="6BF9389A" w14:textId="77777777" w:rsidR="00ED2926" w:rsidRPr="001E4272" w:rsidRDefault="00ED2926" w:rsidP="00ED2926">
      <w:pPr>
        <w:pStyle w:val="Text1"/>
        <w:pBdr>
          <w:top w:val="single" w:sz="4" w:space="1" w:color="auto"/>
          <w:left w:val="single" w:sz="4" w:space="4" w:color="auto"/>
          <w:bottom w:val="single" w:sz="4" w:space="1" w:color="auto"/>
          <w:right w:val="single" w:sz="4" w:space="4" w:color="auto"/>
        </w:pBdr>
        <w:rPr>
          <w:noProof/>
        </w:rPr>
      </w:pPr>
      <w:r w:rsidRPr="001E4272">
        <w:rPr>
          <w:noProof/>
        </w:rPr>
        <w:t>Η Ευρώπη βρίσκεται αντιμέτωπη με ένα ρευστό τοπίο στον τομέα της ασφάλειας, όπου οι απειλές εξελίσσονται και γίνονται διαρκώς πιο σύνθετες. Οι εγκληματίες εκμεταλλεύονται τα πλεονεκτήματα που προσφέρουν ο ψηφιακός μετασχηματισμός, οι νέες τεχνολογίες, η παγκοσμιοποίηση και η κινητικότητα, όπως τη διασυνδεσιμότητα και το γεγονός ότι τα όρια μεταξύ του φυσικού και του ψηφιακού κόσμου είναι δυσδιάκριτα. Η κρίση της νόσου COVID-19 απλώς επιδείνωσε αυτήν την κατάσταση, καθώς οι εγκληματίες άδραξαν γρήγορα τις ευκαιρίες για εκμετάλλευση της κρίσης, προσαρμόζοντας τους τρόπους λειτουργίας τους ή αναπτύσσοντας νέες εγκληματικές δραστηριότητες.</w:t>
      </w:r>
    </w:p>
    <w:p w14:paraId="2C4D0287" w14:textId="7FC7BC8D" w:rsidR="002710AC" w:rsidRPr="001E4272" w:rsidRDefault="00ED2926" w:rsidP="00ED2926">
      <w:pPr>
        <w:pStyle w:val="Text1"/>
        <w:pBdr>
          <w:top w:val="single" w:sz="4" w:space="1" w:color="auto"/>
          <w:left w:val="single" w:sz="4" w:space="4" w:color="auto"/>
          <w:bottom w:val="single" w:sz="4" w:space="1" w:color="auto"/>
          <w:right w:val="single" w:sz="4" w:space="4" w:color="auto"/>
        </w:pBdr>
        <w:rPr>
          <w:noProof/>
        </w:rPr>
      </w:pPr>
      <w:r w:rsidRPr="001E4272">
        <w:rPr>
          <w:noProof/>
        </w:rPr>
        <w:t>Η πανδημία κατέδειξε τη συνολική σημασία της ψηφιοποίησης της δικαστικής συνεργασίας για τη λειτουργία της δικαιοσύνης. Επιπλέον, η δικαστική συνεργασία με τρίτες χώρες στο πλαίσιο ποινικών ερευνών για τρομοκρατικά εγκλήματα και άλλα διεθνή βασικά</w:t>
      </w:r>
    </w:p>
    <w:p w14:paraId="5F58D469" w14:textId="77777777" w:rsidR="00ED2926" w:rsidRPr="001E4272" w:rsidRDefault="00ED2926">
      <w:pPr>
        <w:pStyle w:val="Text1"/>
        <w:pBdr>
          <w:top w:val="single" w:sz="4" w:space="1" w:color="auto"/>
          <w:left w:val="single" w:sz="4" w:space="4" w:color="auto"/>
          <w:bottom w:val="single" w:sz="4" w:space="1" w:color="auto"/>
          <w:right w:val="single" w:sz="4" w:space="4" w:color="auto"/>
        </w:pBdr>
        <w:rPr>
          <w:noProof/>
        </w:rPr>
      </w:pPr>
      <w:r w:rsidRPr="001E4272">
        <w:rPr>
          <w:noProof/>
        </w:rPr>
        <w:t xml:space="preserve">εγκλήματα κατέστη πιο σημαντική, ιδίως όσον αφορά τα εγκλήματα της Ντάες. </w:t>
      </w:r>
    </w:p>
    <w:p w14:paraId="6DD99B41" w14:textId="77777777" w:rsidR="00ED2926" w:rsidRPr="001E4272" w:rsidRDefault="00ED2926" w:rsidP="00ED2926">
      <w:pPr>
        <w:pStyle w:val="Text1"/>
        <w:pBdr>
          <w:top w:val="single" w:sz="4" w:space="1" w:color="auto"/>
          <w:left w:val="single" w:sz="4" w:space="4" w:color="auto"/>
          <w:bottom w:val="single" w:sz="4" w:space="1" w:color="auto"/>
          <w:right w:val="single" w:sz="4" w:space="4" w:color="auto"/>
        </w:pBdr>
        <w:rPr>
          <w:noProof/>
          <w:color w:val="0000FF"/>
        </w:rPr>
      </w:pPr>
      <w:r w:rsidRPr="001E4272">
        <w:rPr>
          <w:noProof/>
        </w:rPr>
        <w:t>Οι εξελισσόμενες εγκληματικές δραστηριότητες απαιτούν την αποτελεσματική στήριξη του έργου των εθνικών δικαστικών αρχών σε επίπεδο ΕΕ. Οι δικαστικές αρχές των κρατών μελών χρησιμοποιούν όλο και περισσότερο τη στήριξη και την εμπειρογνωσία που προσφέρει η Eurojust για την καταπολέμηση του σοβαρού εγκλήματος και της τρομοκρατίας. Η παρούσα πρόταση βασίζεται επίσης στα διδάγματα που έχουν αντληθεί και στην πρόοδο που έχει επιτευχθεί από την έναρξη εφαρμογής του κανονισμού του 2018 για την Eurojust και τη δημιουργία του αντιτρομοκρατικού μητρώου. Ο ρόλος που θα διαδραμάτιζαν οι τρίτες χώρες δεν μπορούσε να προβλεφθεί όταν οι συννομοθέτες διαπραγματεύθηκαν τον ισχύοντα κανονισμό για την Eurojust.</w:t>
      </w:r>
    </w:p>
    <w:p w14:paraId="50260805" w14:textId="265E19DB" w:rsidR="00ED2926" w:rsidRPr="001E4272" w:rsidRDefault="00F27BFA" w:rsidP="00F27BFA">
      <w:pPr>
        <w:pStyle w:val="ManualHeading3"/>
        <w:rPr>
          <w:noProof/>
        </w:rPr>
      </w:pPr>
      <w:bookmarkStart w:id="76" w:name="_Toc84517585"/>
      <w:r w:rsidRPr="00F27BFA">
        <w:t>1.5.4.</w:t>
      </w:r>
      <w:r w:rsidRPr="00F27BFA">
        <w:tab/>
      </w:r>
      <w:r w:rsidR="00436363" w:rsidRPr="001E4272">
        <w:rPr>
          <w:noProof/>
        </w:rPr>
        <w:t>Συμβατότητα με το πολυετές δημοσιονομικό πλαίσιο και ενδεχόμενες συνέργειες με άλλα κατάλληλα μέσα</w:t>
      </w:r>
      <w:bookmarkStart w:id="77" w:name="_Toc514938036"/>
      <w:bookmarkStart w:id="78" w:name="_Toc520485039"/>
      <w:bookmarkEnd w:id="74"/>
      <w:bookmarkEnd w:id="75"/>
      <w:bookmarkEnd w:id="76"/>
    </w:p>
    <w:p w14:paraId="5E0E87F3" w14:textId="77777777" w:rsidR="00ED2926" w:rsidRPr="001E4272" w:rsidRDefault="00ED2926" w:rsidP="00ED2926">
      <w:pPr>
        <w:pStyle w:val="Text1"/>
        <w:pBdr>
          <w:top w:val="single" w:sz="4" w:space="1" w:color="auto"/>
          <w:left w:val="single" w:sz="4" w:space="4" w:color="auto"/>
          <w:bottom w:val="single" w:sz="4" w:space="1" w:color="auto"/>
          <w:right w:val="single" w:sz="4" w:space="4" w:color="auto"/>
        </w:pBdr>
        <w:rPr>
          <w:noProof/>
        </w:rPr>
      </w:pPr>
      <w:r w:rsidRPr="001E4272">
        <w:rPr>
          <w:noProof/>
        </w:rPr>
        <w:t xml:space="preserve">Η ενίσχυση της δικαστικής συνεργασίας σε ποινικές υποθέσεις αποτελεί βασική συνιστώσα της δημιουργίας ενός χώρου ελευθερίας, ασφάλειας και δικαιοσύνης. </w:t>
      </w:r>
    </w:p>
    <w:p w14:paraId="6E8250D6" w14:textId="2C995932" w:rsidR="00ED2926" w:rsidRPr="001E4272" w:rsidRDefault="00ED2926" w:rsidP="00ED2926">
      <w:pPr>
        <w:pStyle w:val="Text1"/>
        <w:pBdr>
          <w:top w:val="single" w:sz="4" w:space="1" w:color="auto"/>
          <w:left w:val="single" w:sz="4" w:space="4" w:color="auto"/>
          <w:bottom w:val="single" w:sz="4" w:space="1" w:color="auto"/>
          <w:right w:val="single" w:sz="4" w:space="4" w:color="auto"/>
        </w:pBdr>
        <w:rPr>
          <w:noProof/>
        </w:rPr>
      </w:pPr>
      <w:r w:rsidRPr="001E4272">
        <w:rPr>
          <w:noProof/>
        </w:rPr>
        <w:t>Η βελτίωση της ψηφιακής ανταλλαγής δεδομένων σχετικά με υποθέσεις τρομοκρατίας και ο εκσυγχρονισμός του συστήματος διαχείρισης υποθέσεων της Eurojust συνάδουν με τη στρατηγική της ΕΕ για την Ένωση Ασφάλειας</w:t>
      </w:r>
      <w:r w:rsidRPr="001E4272">
        <w:rPr>
          <w:rStyle w:val="FootnoteReference"/>
          <w:noProof/>
          <w:color w:val="0000FF"/>
        </w:rPr>
        <w:footnoteReference w:id="45"/>
      </w:r>
      <w:r w:rsidRPr="001E4272">
        <w:rPr>
          <w:noProof/>
        </w:rPr>
        <w:t>, το θεματολόγιο της ΕΕ για την καταπολέμηση της τρομοκρατίας,</w:t>
      </w:r>
      <w:r w:rsidRPr="001E4272">
        <w:rPr>
          <w:rStyle w:val="FootnoteReference"/>
          <w:noProof/>
          <w:color w:val="0000FF"/>
        </w:rPr>
        <w:footnoteReference w:id="46"/>
      </w:r>
      <w:r w:rsidRPr="001E4272">
        <w:rPr>
          <w:noProof/>
        </w:rPr>
        <w:t xml:space="preserve"> την ανακοίνωση της Επιτροπής για την ψηφιοποίηση της δικαιοσύνης</w:t>
      </w:r>
      <w:r w:rsidRPr="001E4272">
        <w:rPr>
          <w:rStyle w:val="FootnoteReference"/>
          <w:noProof/>
          <w:color w:val="0000FF"/>
        </w:rPr>
        <w:footnoteReference w:id="47"/>
      </w:r>
      <w:r w:rsidRPr="001E4272">
        <w:rPr>
          <w:noProof/>
        </w:rPr>
        <w:t xml:space="preserve"> και τη στρατηγική της ΕΕ για την αντιμετώπιση του οργανωμένου εγκλήματος</w:t>
      </w:r>
      <w:r w:rsidRPr="001E4272">
        <w:rPr>
          <w:rStyle w:val="FootnoteReference"/>
          <w:noProof/>
          <w:color w:val="0000FF"/>
        </w:rPr>
        <w:footnoteReference w:id="48"/>
      </w:r>
      <w:r w:rsidRPr="001E4272">
        <w:rPr>
          <w:noProof/>
        </w:rPr>
        <w:t>.</w:t>
      </w:r>
    </w:p>
    <w:p w14:paraId="18642099" w14:textId="77777777" w:rsidR="00ED2926" w:rsidRPr="001E4272" w:rsidRDefault="00ED2926" w:rsidP="00ED2926">
      <w:pPr>
        <w:pStyle w:val="Text1"/>
        <w:pBdr>
          <w:top w:val="single" w:sz="4" w:space="1" w:color="auto"/>
          <w:left w:val="single" w:sz="4" w:space="4" w:color="auto"/>
          <w:bottom w:val="single" w:sz="4" w:space="1" w:color="auto"/>
          <w:right w:val="single" w:sz="4" w:space="4" w:color="auto"/>
        </w:pBdr>
        <w:rPr>
          <w:noProof/>
        </w:rPr>
      </w:pPr>
      <w:r w:rsidRPr="001E4272">
        <w:rPr>
          <w:noProof/>
        </w:rPr>
        <w:t xml:space="preserve">Η ανακοίνωση της Επιτροπής σχετικά με τη στρατηγική της ΕΕ για την Ένωση Ασφάλειας, η οποία δημοσιεύτηκε τον Ιούλιο του 2020, υπογράμμισε τη σύνδεση μεταξύ εσωτερικής και εξωτερικής ασφάλειας και τη σημασία της συνεργασίας για την αποτελεσματική προστασία των δικαιωμάτων των πολιτών. Το πρόσφατο θεματολόγιο της ΕΕ για την καταπολέμηση της τρομοκρατίας επιβεβαίωσε ότι τα τρομοκρατικά εγκλήματα εξακολουθούν να αποτελούν μείζονα πρόκληση για τις αρχές επιβολής του νόμου και τις εισαγγελικές αρχές των κρατών μελών και ότι απαιτούνται περαιτέρω προσπάθειες για την ενίσχυση της μεταξύ τους συνεργασίας, με την υποστήριξη της Ευρωπόλ και της Eurojust. Στην ανακοίνωση σχετικά με τη στρατηγική της ΕΕ για την αντιμετώπιση του οργανωμένου εγκλήματος, η Επιτροπή εξέφρασε επίσης τη στήριξή της στον εκσυγχρονισμό του συστήματος διαχείρισης υποθέσεων της Eurojust, ώστε η Eurojust να βοηθηθεί να παρέχει στοιχεία ανατροφοδότησης στις εθνικές αρχές και να αναπτύσσει δικαστικούς δεσμούς μεταξύ ερευνών που βρίσκονται σε εξέλιξη. </w:t>
      </w:r>
    </w:p>
    <w:p w14:paraId="544354FD" w14:textId="77777777" w:rsidR="00ED2926" w:rsidRPr="001E4272" w:rsidRDefault="00ED2926" w:rsidP="00ED2926">
      <w:pPr>
        <w:pStyle w:val="Text1"/>
        <w:pBdr>
          <w:top w:val="single" w:sz="4" w:space="1" w:color="auto"/>
          <w:left w:val="single" w:sz="4" w:space="4" w:color="auto"/>
          <w:bottom w:val="single" w:sz="4" w:space="1" w:color="auto"/>
          <w:right w:val="single" w:sz="4" w:space="4" w:color="auto"/>
        </w:pBdr>
        <w:rPr>
          <w:noProof/>
          <w:color w:val="0000FF"/>
        </w:rPr>
      </w:pPr>
      <w:r w:rsidRPr="001E4272">
        <w:rPr>
          <w:noProof/>
        </w:rPr>
        <w:t xml:space="preserve">Η ανακοίνωση της Επιτροπής για την ψηφιοποίηση της δικαιοσύνης αναφέρεται στην παρούσα πρόταση ως τμήμα της συνολικής εργαλειοθήκης ευκαιριών για την περαιτέρω ψηφιοποίηση της δικαιοσύνης. Η παρούσα πρόταση περιλαμβάνεται στο πρόγραμμα εργασίας της Επιτροπής για το 2021. Η πρόταση σχετίζεται επίσης με την τρέχουσα πρόταση της Επιτροπής για τη θέσπιση κανονισμού σχετικά με ένα μηχανοργανωμένο σύστημα επικοινωνίας σε διασυνοριακές αστικές και ποινικές διαδικασίες (e-CODEX) και για την τροποποίηση του κανονισμού (ΕΕ) 2018/1726, η οποία επί του παρόντος βρίσκεται υπό διαπραγμάτευση μεταξύ των συννομοθετών. </w:t>
      </w:r>
    </w:p>
    <w:p w14:paraId="36204BB9" w14:textId="2E810308" w:rsidR="00436363" w:rsidRPr="001E4272" w:rsidRDefault="00F27BFA" w:rsidP="00F27BFA">
      <w:pPr>
        <w:pStyle w:val="ManualHeading3"/>
        <w:rPr>
          <w:noProof/>
        </w:rPr>
      </w:pPr>
      <w:bookmarkStart w:id="79" w:name="_Toc84517586"/>
      <w:r w:rsidRPr="00F27BFA">
        <w:t>1.5.5.</w:t>
      </w:r>
      <w:r w:rsidRPr="00F27BFA">
        <w:tab/>
      </w:r>
      <w:r w:rsidR="00436363" w:rsidRPr="001E4272">
        <w:rPr>
          <w:noProof/>
        </w:rPr>
        <w:t>Αξιολόγηση των διάφορων διαθέσιμων επιλογών χρηματοδότησης, συμπεριλαμβανομένων των δυνατοτήτων ανακατανομής</w:t>
      </w:r>
      <w:bookmarkEnd w:id="77"/>
      <w:bookmarkEnd w:id="78"/>
      <w:bookmarkEnd w:id="79"/>
    </w:p>
    <w:p w14:paraId="1005BB92" w14:textId="11FFA344" w:rsidR="00ED2926" w:rsidRPr="001E4272" w:rsidRDefault="00ED2926" w:rsidP="00ED2926">
      <w:pPr>
        <w:pStyle w:val="Text1"/>
        <w:pBdr>
          <w:top w:val="single" w:sz="4" w:space="1" w:color="auto"/>
          <w:left w:val="single" w:sz="4" w:space="4" w:color="auto"/>
          <w:bottom w:val="single" w:sz="4" w:space="1" w:color="auto"/>
          <w:right w:val="single" w:sz="4" w:space="4" w:color="auto"/>
        </w:pBdr>
        <w:rPr>
          <w:noProof/>
        </w:rPr>
      </w:pPr>
      <w:r w:rsidRPr="001E4272">
        <w:rPr>
          <w:noProof/>
        </w:rPr>
        <w:t xml:space="preserve">Από την έναρξη ισχύος του κανονισμού για την Eurojust, η τάση είναι προς την αύξηση των ροών δεδομένων του οργανισμού και της ζήτησης των υπηρεσιών του. Ωστόσο, οι προηγούμενοι προϋπολογισμοί δεν είχαν ποτέ συμπεριλάβει οικονομικούς πόρους για την αναμόρφωση του παρωχημένου συστήματος διαχείρισης υποθέσεων της Eurojust. </w:t>
      </w:r>
    </w:p>
    <w:p w14:paraId="42004E73" w14:textId="534A59DF" w:rsidR="001674C8" w:rsidRPr="001E4272" w:rsidRDefault="00ED2926" w:rsidP="00ED2926">
      <w:pPr>
        <w:pStyle w:val="Text1"/>
        <w:pBdr>
          <w:top w:val="single" w:sz="4" w:space="1" w:color="auto"/>
          <w:left w:val="single" w:sz="4" w:space="4" w:color="auto"/>
          <w:bottom w:val="single" w:sz="4" w:space="1" w:color="auto"/>
          <w:right w:val="single" w:sz="4" w:space="4" w:color="auto"/>
        </w:pBdr>
        <w:rPr>
          <w:noProof/>
        </w:rPr>
      </w:pPr>
      <w:r w:rsidRPr="001E4272">
        <w:rPr>
          <w:noProof/>
          <w:color w:val="0000FF"/>
        </w:rPr>
        <w:t>Η πρόταση θα εισαγάγει νέα καθήκοντα στον κανονισμό για την Eurojust και επίσης θα αποσαφηνίσει άλλα καθήκοντα, ώστε η Eurojust να είναι έτοιμη για την ψηφιακή εποχή. Η υλοποίηση της ψηφιοποίησης της δικαστικής συνεργασίας δεν θα είναι δυνατή χωρίς ένα νέο σύστημα διαχείρισης υποθέσεων, υποστηριζόμενο από ενισχύσεις σε οικονομικούς και ανθρώπινους πόρους.</w:t>
      </w:r>
      <w:r w:rsidRPr="001E4272">
        <w:rPr>
          <w:noProof/>
        </w:rPr>
        <w:t xml:space="preserve"> </w:t>
      </w:r>
    </w:p>
    <w:p w14:paraId="46F98ED4" w14:textId="28B71C3D" w:rsidR="00ED2926" w:rsidRPr="001E4272" w:rsidRDefault="001674C8" w:rsidP="00ED2926">
      <w:pPr>
        <w:pStyle w:val="Text1"/>
        <w:pBdr>
          <w:top w:val="single" w:sz="4" w:space="1" w:color="auto"/>
          <w:left w:val="single" w:sz="4" w:space="4" w:color="auto"/>
          <w:bottom w:val="single" w:sz="4" w:space="1" w:color="auto"/>
          <w:right w:val="single" w:sz="4" w:space="4" w:color="auto"/>
        </w:pBdr>
        <w:rPr>
          <w:noProof/>
        </w:rPr>
      </w:pPr>
      <w:r w:rsidRPr="001E4272">
        <w:rPr>
          <w:noProof/>
          <w:color w:val="0000FF"/>
        </w:rPr>
        <w:t xml:space="preserve">Στο τέλος του 2021 διατέθηκαν στην Eurojust μη δαπανηθέντα κονδύλια ύψους 9,5 εκατ. EUR από την Ευρωπαϊκή Εισαγγελία, για την προετοιμασία της ανάπτυξης και της εφαρμογής του νέου συστήματος διαχείρισης υποθέσεων. Οι υπόλοιπες δαπάνες θα χρηματοδοτηθούν από το περιθώριο του τομέα 2β του ΠΔΠ. </w:t>
      </w:r>
    </w:p>
    <w:p w14:paraId="6EE93D18" w14:textId="76C1135B" w:rsidR="00ED2926" w:rsidRPr="001E4272" w:rsidRDefault="00ED2926" w:rsidP="00B2088F">
      <w:pPr>
        <w:rPr>
          <w:noProof/>
        </w:rPr>
      </w:pPr>
    </w:p>
    <w:p w14:paraId="04D9B902" w14:textId="5407136C" w:rsidR="00436363" w:rsidRPr="001E4272" w:rsidRDefault="00436363" w:rsidP="00F27BFA">
      <w:pPr>
        <w:pStyle w:val="ManualHeading2"/>
        <w:rPr>
          <w:bCs/>
          <w:noProof/>
          <w:szCs w:val="24"/>
        </w:rPr>
      </w:pPr>
      <w:r w:rsidRPr="001E4272">
        <w:rPr>
          <w:noProof/>
        </w:rPr>
        <w:br w:type="page"/>
      </w:r>
      <w:bookmarkStart w:id="80" w:name="_Toc514938039"/>
      <w:bookmarkStart w:id="81" w:name="_Toc520485040"/>
      <w:bookmarkStart w:id="82" w:name="_Toc84517587"/>
      <w:r w:rsidR="00F27BFA" w:rsidRPr="00F27BFA">
        <w:t>1.6.</w:t>
      </w:r>
      <w:r w:rsidR="00F27BFA" w:rsidRPr="00F27BFA">
        <w:tab/>
      </w:r>
      <w:r w:rsidRPr="001E4272">
        <w:rPr>
          <w:noProof/>
        </w:rPr>
        <w:t>Διάρκεια και δημοσιονομικές επιπτώσεις της πρότασης/πρωτοβουλίας</w:t>
      </w:r>
      <w:bookmarkEnd w:id="80"/>
      <w:bookmarkEnd w:id="81"/>
      <w:bookmarkEnd w:id="82"/>
    </w:p>
    <w:p w14:paraId="2F9B3BCC" w14:textId="77777777" w:rsidR="00436363" w:rsidRPr="001E4272" w:rsidRDefault="00436363" w:rsidP="00ED2926">
      <w:pPr>
        <w:pStyle w:val="Text1"/>
        <w:rPr>
          <w:noProof/>
        </w:rPr>
      </w:pPr>
      <w:r w:rsidRPr="001E4272">
        <w:rPr>
          <w:noProof/>
        </w:rPr>
        <w:sym w:font="Wingdings" w:char="F0A8"/>
      </w:r>
      <w:r w:rsidRPr="001E4272">
        <w:rPr>
          <w:b/>
          <w:i/>
          <w:noProof/>
        </w:rPr>
        <w:t xml:space="preserve"> </w:t>
      </w:r>
      <w:r w:rsidRPr="001E4272">
        <w:rPr>
          <w:b/>
          <w:noProof/>
        </w:rPr>
        <w:t xml:space="preserve">περιορισμένη διάρκεια </w:t>
      </w:r>
    </w:p>
    <w:p w14:paraId="7151D22E" w14:textId="7BEB30CA" w:rsidR="00436363" w:rsidRPr="001E4272" w:rsidRDefault="00436363" w:rsidP="00917AAD">
      <w:pPr>
        <w:pStyle w:val="ListDash2"/>
        <w:rPr>
          <w:noProof/>
        </w:rPr>
      </w:pPr>
      <w:r w:rsidRPr="001E4272">
        <w:rPr>
          <w:noProof/>
        </w:rPr>
        <w:sym w:font="Wingdings" w:char="F0A8"/>
      </w:r>
      <w:r w:rsidRPr="001E4272">
        <w:rPr>
          <w:noProof/>
        </w:rPr>
        <w:tab/>
      </w:r>
      <w:r w:rsidR="00CE007F" w:rsidRPr="001E4272">
        <w:rPr>
          <w:noProof/>
        </w:rPr>
        <w:t>Μ</w:t>
      </w:r>
      <w:r w:rsidRPr="001E4272">
        <w:rPr>
          <w:noProof/>
        </w:rPr>
        <w:t xml:space="preserve">ε ισχύ από [ΗΗ/MM]ΕΕΕΕ έως [ΗΗ/MM]ΕΕΕΕ </w:t>
      </w:r>
    </w:p>
    <w:p w14:paraId="6AF91D14" w14:textId="77777777" w:rsidR="00436363" w:rsidRPr="001E4272" w:rsidRDefault="00436363" w:rsidP="00917AAD">
      <w:pPr>
        <w:pStyle w:val="ListDash2"/>
        <w:rPr>
          <w:noProof/>
        </w:rPr>
      </w:pPr>
      <w:r w:rsidRPr="001E4272">
        <w:rPr>
          <w:noProof/>
        </w:rPr>
        <w:sym w:font="Wingdings" w:char="F0A8"/>
      </w:r>
      <w:r w:rsidRPr="001E4272">
        <w:rPr>
          <w:noProof/>
        </w:rPr>
        <w:tab/>
        <w:t xml:space="preserve">Δημοσιονομικές επιπτώσεις από το ΕΕΕΕ έως το ΕΕΕΕ </w:t>
      </w:r>
    </w:p>
    <w:p w14:paraId="71DD7788" w14:textId="77777777" w:rsidR="00436363" w:rsidRPr="001E4272" w:rsidRDefault="00ED2926" w:rsidP="00ED2926">
      <w:pPr>
        <w:pStyle w:val="Text1"/>
        <w:rPr>
          <w:noProof/>
        </w:rPr>
      </w:pPr>
      <w:r w:rsidRPr="001E4272">
        <w:rPr>
          <w:noProof/>
        </w:rPr>
        <w:sym w:font="Wingdings" w:char="F0FE"/>
      </w:r>
      <w:r w:rsidRPr="001E4272">
        <w:rPr>
          <w:b/>
          <w:i/>
          <w:noProof/>
        </w:rPr>
        <w:t xml:space="preserve"> </w:t>
      </w:r>
      <w:r w:rsidRPr="001E4272">
        <w:rPr>
          <w:b/>
          <w:noProof/>
        </w:rPr>
        <w:t>απεριόριστη διάρκεια</w:t>
      </w:r>
    </w:p>
    <w:p w14:paraId="583F9291" w14:textId="77777777" w:rsidR="00436363" w:rsidRPr="001E4272" w:rsidRDefault="00436363" w:rsidP="00917AAD">
      <w:pPr>
        <w:pStyle w:val="ListDash1"/>
        <w:rPr>
          <w:noProof/>
        </w:rPr>
      </w:pPr>
      <w:r w:rsidRPr="001E4272">
        <w:rPr>
          <w:noProof/>
        </w:rPr>
        <w:t>Περίοδος σταδιακής εφαρμογής από το ΕΕΕΕ έως το ΕΕΕΕ,</w:t>
      </w:r>
    </w:p>
    <w:p w14:paraId="19E6AFC0" w14:textId="77777777" w:rsidR="00436363" w:rsidRPr="001E4272" w:rsidRDefault="00436363" w:rsidP="00917AAD">
      <w:pPr>
        <w:pStyle w:val="ListDash1"/>
        <w:rPr>
          <w:noProof/>
        </w:rPr>
      </w:pPr>
      <w:r w:rsidRPr="001E4272">
        <w:rPr>
          <w:noProof/>
        </w:rPr>
        <w:t>και στη συνέχεια πλήρης εφαρμογή.</w:t>
      </w:r>
    </w:p>
    <w:p w14:paraId="41F121E1" w14:textId="2F726E88" w:rsidR="00436363" w:rsidRPr="001E4272" w:rsidRDefault="00F27BFA" w:rsidP="00F27BFA">
      <w:pPr>
        <w:pStyle w:val="ManualHeading2"/>
        <w:rPr>
          <w:noProof/>
        </w:rPr>
      </w:pPr>
      <w:bookmarkStart w:id="83" w:name="_Toc514938040"/>
      <w:bookmarkStart w:id="84" w:name="_Toc520485041"/>
      <w:bookmarkStart w:id="85" w:name="_Toc84517588"/>
      <w:r w:rsidRPr="00F27BFA">
        <w:t>1.7.</w:t>
      </w:r>
      <w:r w:rsidRPr="00F27BFA">
        <w:tab/>
      </w:r>
      <w:r w:rsidR="00436363" w:rsidRPr="001E4272">
        <w:rPr>
          <w:noProof/>
        </w:rPr>
        <w:t>Προβλεπόμενοι τρόποι διαχείρισης</w:t>
      </w:r>
      <w:r w:rsidR="00436363" w:rsidRPr="001E4272">
        <w:rPr>
          <w:rStyle w:val="FootnoteReference"/>
          <w:noProof/>
        </w:rPr>
        <w:footnoteReference w:id="49"/>
      </w:r>
      <w:r w:rsidR="00436363" w:rsidRPr="001E4272">
        <w:rPr>
          <w:rStyle w:val="FootnoteReference"/>
          <w:noProof/>
        </w:rPr>
        <w:t xml:space="preserve"> </w:t>
      </w:r>
      <w:bookmarkEnd w:id="83"/>
      <w:bookmarkEnd w:id="84"/>
      <w:bookmarkEnd w:id="85"/>
      <w:r w:rsidR="00436363" w:rsidRPr="001E4272">
        <w:rPr>
          <w:rStyle w:val="FootnoteReference"/>
          <w:noProof/>
        </w:rPr>
        <w:t xml:space="preserve"> </w:t>
      </w:r>
    </w:p>
    <w:p w14:paraId="5AAD995E" w14:textId="77777777" w:rsidR="00ED2926" w:rsidRPr="001E4272" w:rsidRDefault="00ED2926" w:rsidP="00ED2926">
      <w:pPr>
        <w:pStyle w:val="Text1"/>
        <w:rPr>
          <w:noProof/>
        </w:rPr>
      </w:pPr>
      <w:r w:rsidRPr="001E4272">
        <w:rPr>
          <w:noProof/>
        </w:rPr>
        <w:sym w:font="Wingdings" w:char="F0A8"/>
      </w:r>
      <w:r w:rsidRPr="001E4272">
        <w:rPr>
          <w:i/>
          <w:noProof/>
        </w:rPr>
        <w:t xml:space="preserve"> </w:t>
      </w:r>
      <w:r w:rsidRPr="001E4272">
        <w:rPr>
          <w:b/>
          <w:noProof/>
        </w:rPr>
        <w:t>Άμεση διαχείριση</w:t>
      </w:r>
      <w:r w:rsidRPr="001E4272">
        <w:rPr>
          <w:noProof/>
        </w:rPr>
        <w:t xml:space="preserve"> από την Επιτροπή</w:t>
      </w:r>
    </w:p>
    <w:p w14:paraId="50E182D0" w14:textId="77777777" w:rsidR="00ED2926" w:rsidRPr="001E4272" w:rsidRDefault="00ED2926" w:rsidP="00ED2926">
      <w:pPr>
        <w:pStyle w:val="ListDash2"/>
        <w:rPr>
          <w:noProof/>
        </w:rPr>
      </w:pPr>
      <w:r w:rsidRPr="001E4272">
        <w:rPr>
          <w:noProof/>
        </w:rPr>
        <w:sym w:font="Wingdings" w:char="F0A8"/>
      </w:r>
      <w:r w:rsidRPr="001E4272">
        <w:rPr>
          <w:noProof/>
        </w:rPr>
        <w:tab/>
        <w:t xml:space="preserve">από τους εκτελεστικούς οργανισμούς </w:t>
      </w:r>
    </w:p>
    <w:p w14:paraId="76645354" w14:textId="77777777" w:rsidR="00ED2926" w:rsidRPr="001E4272" w:rsidRDefault="00ED2926" w:rsidP="00ED2926">
      <w:pPr>
        <w:pStyle w:val="Text1"/>
        <w:rPr>
          <w:noProof/>
        </w:rPr>
      </w:pPr>
      <w:r w:rsidRPr="001E4272">
        <w:rPr>
          <w:noProof/>
        </w:rPr>
        <w:sym w:font="Wingdings" w:char="F0A8"/>
      </w:r>
      <w:r w:rsidRPr="001E4272">
        <w:rPr>
          <w:b/>
          <w:i/>
          <w:noProof/>
        </w:rPr>
        <w:t xml:space="preserve"> </w:t>
      </w:r>
      <w:r w:rsidRPr="001E4272">
        <w:rPr>
          <w:b/>
          <w:noProof/>
        </w:rPr>
        <w:t>Επιμερισμένη διαχείριση</w:t>
      </w:r>
      <w:r w:rsidRPr="001E4272">
        <w:rPr>
          <w:noProof/>
        </w:rPr>
        <w:t xml:space="preserve"> με τα κράτη μέλη </w:t>
      </w:r>
    </w:p>
    <w:p w14:paraId="01DDC1B1" w14:textId="77777777" w:rsidR="00ED2926" w:rsidRPr="001E4272" w:rsidRDefault="00ED2926" w:rsidP="00ED2926">
      <w:pPr>
        <w:pStyle w:val="Text1"/>
        <w:rPr>
          <w:noProof/>
        </w:rPr>
      </w:pPr>
      <w:r w:rsidRPr="001E4272">
        <w:rPr>
          <w:noProof/>
        </w:rPr>
        <w:sym w:font="Wingdings" w:char="F0FE"/>
      </w:r>
      <w:r w:rsidRPr="001E4272">
        <w:rPr>
          <w:i/>
          <w:noProof/>
        </w:rPr>
        <w:t xml:space="preserve"> </w:t>
      </w:r>
      <w:r w:rsidRPr="001E4272">
        <w:rPr>
          <w:b/>
          <w:noProof/>
        </w:rPr>
        <w:t>Έμμεση διαχείριση</w:t>
      </w:r>
      <w:r w:rsidRPr="001E4272">
        <w:rPr>
          <w:noProof/>
        </w:rPr>
        <w:t xml:space="preserve"> με ανάθεση καθηκόντων εκτέλεσης του προϋπολογισμού:</w:t>
      </w:r>
    </w:p>
    <w:p w14:paraId="335C66AA" w14:textId="77777777" w:rsidR="00ED2926" w:rsidRPr="001E4272" w:rsidRDefault="00ED2926" w:rsidP="00ED2926">
      <w:pPr>
        <w:pStyle w:val="Text1"/>
        <w:rPr>
          <w:noProof/>
        </w:rPr>
      </w:pPr>
      <w:r w:rsidRPr="001E4272">
        <w:rPr>
          <w:noProof/>
        </w:rPr>
        <w:sym w:font="Wingdings" w:char="F0A8"/>
      </w:r>
      <w:r w:rsidRPr="001E4272">
        <w:rPr>
          <w:noProof/>
        </w:rPr>
        <w:t xml:space="preserve"> σε διεθνείς οργανισμούς και στις οργανώσεις τους (να προσδιοριστούν)</w:t>
      </w:r>
    </w:p>
    <w:p w14:paraId="7ADB468C" w14:textId="77777777" w:rsidR="00ED2926" w:rsidRPr="001E4272" w:rsidRDefault="00ED2926" w:rsidP="00ED2926">
      <w:pPr>
        <w:pStyle w:val="Text1"/>
        <w:rPr>
          <w:noProof/>
        </w:rPr>
      </w:pPr>
      <w:r w:rsidRPr="001E4272">
        <w:rPr>
          <w:noProof/>
        </w:rPr>
        <w:sym w:font="Wingdings" w:char="F0A8"/>
      </w:r>
      <w:r w:rsidRPr="001E4272">
        <w:rPr>
          <w:noProof/>
        </w:rPr>
        <w:t>στην ΕΤΕπ και στο Ευρωπαϊκό Ταμείο Επενδύσεων</w:t>
      </w:r>
    </w:p>
    <w:p w14:paraId="492E61F1" w14:textId="77777777" w:rsidR="00ED2926" w:rsidRPr="001E4272" w:rsidRDefault="00ED2926" w:rsidP="00ED2926">
      <w:pPr>
        <w:pStyle w:val="Text1"/>
        <w:rPr>
          <w:noProof/>
        </w:rPr>
      </w:pPr>
      <w:r w:rsidRPr="001E4272">
        <w:rPr>
          <w:noProof/>
        </w:rPr>
        <w:sym w:font="Wingdings" w:char="F0FE"/>
      </w:r>
      <w:r w:rsidRPr="001E4272">
        <w:rPr>
          <w:noProof/>
        </w:rPr>
        <w:t xml:space="preserve"> στους οργανισμούς που αναφέρονται στα άρθρα 70 και 71</w:t>
      </w:r>
    </w:p>
    <w:p w14:paraId="137048C6" w14:textId="77777777" w:rsidR="00ED2926" w:rsidRPr="001E4272" w:rsidRDefault="00ED2926" w:rsidP="00ED2926">
      <w:pPr>
        <w:pStyle w:val="Text1"/>
        <w:rPr>
          <w:noProof/>
        </w:rPr>
      </w:pPr>
      <w:r w:rsidRPr="001E4272">
        <w:rPr>
          <w:noProof/>
        </w:rPr>
        <w:sym w:font="Wingdings" w:char="F0A8"/>
      </w:r>
      <w:r w:rsidRPr="001E4272">
        <w:rPr>
          <w:noProof/>
        </w:rPr>
        <w:t xml:space="preserve"> σε οργανισμούς δημοσίου δικαίου</w:t>
      </w:r>
    </w:p>
    <w:p w14:paraId="55A48ED3" w14:textId="77777777" w:rsidR="00ED2926" w:rsidRPr="001E4272" w:rsidRDefault="00ED2926" w:rsidP="00ED2926">
      <w:pPr>
        <w:pStyle w:val="Text1"/>
        <w:rPr>
          <w:noProof/>
        </w:rPr>
      </w:pPr>
      <w:r w:rsidRPr="001E4272">
        <w:rPr>
          <w:noProof/>
        </w:rPr>
        <w:sym w:font="Wingdings" w:char="F0A8"/>
      </w:r>
      <w:r w:rsidRPr="001E4272">
        <w:rPr>
          <w:noProof/>
        </w:rPr>
        <w:t xml:space="preserve"> σε οργανισμούς που διέπονται από ιδιωτικό δίκαιο και έχουν αποστολή δημόσιας υπηρεσίας, στον βαθμό που παρέχουν επαρκείς οικονομικές εγγυήσεις</w:t>
      </w:r>
    </w:p>
    <w:p w14:paraId="250805A7" w14:textId="77777777" w:rsidR="00ED2926" w:rsidRPr="001E4272" w:rsidRDefault="00ED2926" w:rsidP="00ED2926">
      <w:pPr>
        <w:pStyle w:val="Text1"/>
        <w:rPr>
          <w:noProof/>
        </w:rPr>
      </w:pPr>
      <w:r w:rsidRPr="001E4272">
        <w:rPr>
          <w:noProof/>
        </w:rPr>
        <w:sym w:font="Wingdings" w:char="F0A8"/>
      </w:r>
      <w:r w:rsidRPr="001E4272">
        <w:rPr>
          <w:noProof/>
        </w:rPr>
        <w:t xml:space="preserve"> σε οργανισμούς που διέπονται από το ιδιωτικό δίκαιο κράτους μέλους, στους οποίους έχει ανατεθεί η εκτέλεση σύμπραξης δημόσιου και ιδιωτικού τομέα και οι οποίοι παρέχουν επαρκείς οικονομικές εγγυήσεις</w:t>
      </w:r>
    </w:p>
    <w:p w14:paraId="3FCD98B5" w14:textId="77777777" w:rsidR="00ED2926" w:rsidRPr="001E4272" w:rsidRDefault="00ED2926" w:rsidP="00ED2926">
      <w:pPr>
        <w:pStyle w:val="Text1"/>
        <w:rPr>
          <w:noProof/>
        </w:rPr>
      </w:pPr>
      <w:r w:rsidRPr="001E4272">
        <w:rPr>
          <w:noProof/>
        </w:rPr>
        <w:sym w:font="Wingdings" w:char="F0A8"/>
      </w:r>
      <w:r w:rsidRPr="001E4272">
        <w:rPr>
          <w:noProof/>
        </w:rPr>
        <w:t xml:space="preserve"> σε πρόσωπα επιφορτισμένα με την εκτέλεση συγκεκριμένων δράσεων στην ΚΕΠΠΑ βάσει του τίτλου V της ΣΕΕ και τα οποία προσδιορίζονται στην αντίστοιχη βασική πράξη.</w:t>
      </w:r>
    </w:p>
    <w:p w14:paraId="4D6824B4" w14:textId="77777777" w:rsidR="00ED2926" w:rsidRPr="001E4272" w:rsidRDefault="00436363" w:rsidP="00ED2926">
      <w:pPr>
        <w:rPr>
          <w:noProof/>
        </w:rPr>
      </w:pPr>
      <w:r w:rsidRPr="001E4272">
        <w:rPr>
          <w:noProof/>
        </w:rPr>
        <w:t xml:space="preserve">Παρατηρήσεις </w:t>
      </w:r>
    </w:p>
    <w:p w14:paraId="2F54FC23" w14:textId="4F5900C0" w:rsidR="00ED2926" w:rsidRPr="001E4272" w:rsidRDefault="00ED2926" w:rsidP="00ED2926">
      <w:pPr>
        <w:pBdr>
          <w:top w:val="single" w:sz="4" w:space="1" w:color="auto"/>
          <w:left w:val="single" w:sz="4" w:space="4" w:color="auto"/>
          <w:bottom w:val="single" w:sz="4" w:space="1" w:color="auto"/>
          <w:right w:val="single" w:sz="4" w:space="4" w:color="auto"/>
        </w:pBdr>
        <w:rPr>
          <w:noProof/>
        </w:rPr>
      </w:pPr>
      <w:r w:rsidRPr="001E4272">
        <w:rPr>
          <w:noProof/>
        </w:rPr>
        <w:t>Τα αριθμητικά στοιχεία για τους οικονομικούς και ανθρώπινους πόρους συνδυάζουν το προβλεπόμενο συνολικό ποσό για την εφαρμογή του αντιτρομοκρατικού μητρώου, του νέου συστήματος διαχείρισης υποθέσεων και άλλων απαιτήσεων που απορρέουν από την ψηφιακή ποινική δικαιοσύνη, το οποίο έχει προγραμματιστεί για την περίοδο 2024-2027, μείον το ποσό των 9,5 εκατ. EUR που διατέθηκε ήδη στην Eurojust κατά το δεύτερο εξάμηνο του 2021. Περιλαμβάνει πρόσθετες χρηματοδοτικές ανάγκες για την τεχνική εφαρμογή (συμπεριλαμβανομένων των δαπανών λειτουργίας και συντήρησης), καθώς και τις απαιτήσεις σε προσωπικό.</w:t>
      </w:r>
      <w:r w:rsidRPr="001E4272">
        <w:rPr>
          <w:noProof/>
          <w:color w:val="00B050"/>
        </w:rPr>
        <w:t xml:space="preserve"> </w:t>
      </w:r>
      <w:r w:rsidRPr="001E4272">
        <w:rPr>
          <w:noProof/>
          <w:color w:val="0000FF"/>
        </w:rPr>
        <w:t>Οι δαπάνες για το σύστημα διαχείρισης υποθέσεων περιλαμβάνουν το αντιτρομοκρατικό μητρώο, διότι το μητρώο αυτό πρόκειται να αποτελέσει αναπόσπαστο μέρος του συστήματος διαχείρισης υποθέσεων. Αυτή η τεχνική ενσωμάτωση του αντιτρομοκρατικού μητρώου είναι ένας από τους στόχους της πρωτοβουλίας. Επιπλέον, το νέο σύστημα διαχείρισης υποθέσεων θα πρέπει να περιλαμβάνει π.χ. ένα επίπεδο ενσωμάτωσης το οποίο εξασφαλίζει τη διαλειτουργικότητα, όπως απαιτείται από τη μελέτη για την ψηφιακή ποινική δικαιοσύνη.</w:t>
      </w:r>
    </w:p>
    <w:p w14:paraId="08F710B2" w14:textId="2CE2B811" w:rsidR="00ED2926" w:rsidRPr="001E4272" w:rsidRDefault="00ED2926" w:rsidP="000F0981">
      <w:pPr>
        <w:rPr>
          <w:noProof/>
        </w:rPr>
      </w:pPr>
    </w:p>
    <w:p w14:paraId="09484054" w14:textId="77777777" w:rsidR="00436363" w:rsidRPr="001E4272" w:rsidRDefault="00ED2926" w:rsidP="00ED2926">
      <w:pPr>
        <w:tabs>
          <w:tab w:val="left" w:pos="768"/>
        </w:tabs>
        <w:rPr>
          <w:noProof/>
        </w:rPr>
        <w:sectPr w:rsidR="00436363" w:rsidRPr="001E4272" w:rsidSect="00C51A3C">
          <w:pgSz w:w="11907" w:h="16840" w:code="9"/>
          <w:pgMar w:top="1134" w:right="1418" w:bottom="1134" w:left="1418" w:header="709" w:footer="709" w:gutter="0"/>
          <w:cols w:space="708"/>
          <w:docGrid w:linePitch="360"/>
        </w:sectPr>
      </w:pPr>
      <w:r w:rsidRPr="001E4272">
        <w:rPr>
          <w:noProof/>
        </w:rPr>
        <w:tab/>
      </w:r>
    </w:p>
    <w:p w14:paraId="33D88AD1" w14:textId="16CC1C9D" w:rsidR="00436363" w:rsidRPr="001E4272" w:rsidRDefault="00F27BFA" w:rsidP="00F27BFA">
      <w:pPr>
        <w:pStyle w:val="ManualHeading1"/>
        <w:rPr>
          <w:bCs/>
          <w:noProof/>
          <w:szCs w:val="24"/>
        </w:rPr>
      </w:pPr>
      <w:bookmarkStart w:id="86" w:name="_Toc514938041"/>
      <w:bookmarkStart w:id="87" w:name="_Toc520485042"/>
      <w:bookmarkStart w:id="88" w:name="_Toc84517589"/>
      <w:r w:rsidRPr="00F27BFA">
        <w:t>2.</w:t>
      </w:r>
      <w:r w:rsidRPr="00F27BFA">
        <w:tab/>
      </w:r>
      <w:r w:rsidR="00436363" w:rsidRPr="001E4272">
        <w:rPr>
          <w:noProof/>
        </w:rPr>
        <w:t>ΜΕΤΡΑ ΔΙΑΧΕΙΡΙΣΗΣ</w:t>
      </w:r>
      <w:bookmarkEnd w:id="86"/>
      <w:bookmarkEnd w:id="87"/>
      <w:bookmarkEnd w:id="88"/>
      <w:r w:rsidR="00436363" w:rsidRPr="001E4272">
        <w:rPr>
          <w:noProof/>
        </w:rPr>
        <w:t xml:space="preserve"> </w:t>
      </w:r>
    </w:p>
    <w:p w14:paraId="15524587" w14:textId="4437412C" w:rsidR="00436363" w:rsidRPr="001E4272" w:rsidRDefault="00F27BFA" w:rsidP="00F27BFA">
      <w:pPr>
        <w:pStyle w:val="ManualHeading2"/>
        <w:rPr>
          <w:noProof/>
        </w:rPr>
      </w:pPr>
      <w:bookmarkStart w:id="89" w:name="_Toc514938042"/>
      <w:bookmarkStart w:id="90" w:name="_Toc520485043"/>
      <w:bookmarkStart w:id="91" w:name="_Toc84517590"/>
      <w:r w:rsidRPr="00F27BFA">
        <w:t>2.1.</w:t>
      </w:r>
      <w:r w:rsidRPr="00F27BFA">
        <w:tab/>
      </w:r>
      <w:r w:rsidR="00436363" w:rsidRPr="001E4272">
        <w:rPr>
          <w:noProof/>
        </w:rPr>
        <w:t>Κανόνες παρακολούθησης και υποβολής εκθέσεων</w:t>
      </w:r>
      <w:bookmarkEnd w:id="89"/>
      <w:bookmarkEnd w:id="90"/>
      <w:bookmarkEnd w:id="91"/>
      <w:r w:rsidR="00436363" w:rsidRPr="001E4272">
        <w:rPr>
          <w:noProof/>
        </w:rPr>
        <w:t xml:space="preserve"> </w:t>
      </w:r>
    </w:p>
    <w:p w14:paraId="1041F81B" w14:textId="77777777" w:rsidR="004D3101" w:rsidRPr="001E4272" w:rsidRDefault="00436363" w:rsidP="004D3101">
      <w:pPr>
        <w:pStyle w:val="Text1"/>
        <w:rPr>
          <w:i/>
          <w:noProof/>
          <w:sz w:val="20"/>
        </w:rPr>
      </w:pPr>
      <w:r w:rsidRPr="001E4272">
        <w:rPr>
          <w:i/>
          <w:noProof/>
          <w:sz w:val="20"/>
        </w:rPr>
        <w:t>Να προσδιοριστούν η συχνότητα και οι όροι.</w:t>
      </w:r>
    </w:p>
    <w:p w14:paraId="4DD7CFCA" w14:textId="77777777" w:rsidR="004D3101" w:rsidRPr="001E4272" w:rsidRDefault="004D3101" w:rsidP="004D3101">
      <w:pPr>
        <w:pStyle w:val="Text1"/>
        <w:pBdr>
          <w:top w:val="single" w:sz="4" w:space="1" w:color="auto"/>
          <w:left w:val="single" w:sz="4" w:space="4" w:color="auto"/>
          <w:bottom w:val="single" w:sz="4" w:space="1" w:color="auto"/>
          <w:right w:val="single" w:sz="4" w:space="4" w:color="auto"/>
        </w:pBdr>
        <w:rPr>
          <w:noProof/>
        </w:rPr>
      </w:pPr>
      <w:r w:rsidRPr="001E4272">
        <w:rPr>
          <w:noProof/>
          <w:color w:val="0000FF"/>
        </w:rPr>
        <w:t>Η παρακολούθηση και η αξιολόγηση της εφαρμογής της ψηφιοποίησης της ανταλλαγής δεδομένων του οργανισμού θα είναι σημαντικές για τη διασφάλιση της αποτελεσματικότητας της Eurojust. Η παρακολούθηση της πρότασης και η σχετική υποβολή εκθέσεων θα ακολουθούν τις αρχές που περιγράφονται στον κανονισμό για την Eurojust</w:t>
      </w:r>
      <w:r w:rsidRPr="001E4272">
        <w:rPr>
          <w:rStyle w:val="FootnoteReference"/>
          <w:noProof/>
          <w:color w:val="0000FF"/>
        </w:rPr>
        <w:footnoteReference w:id="50"/>
      </w:r>
      <w:r w:rsidRPr="001E4272">
        <w:rPr>
          <w:noProof/>
          <w:color w:val="0000FF"/>
        </w:rPr>
        <w:t xml:space="preserve"> και θα πραγματοποιούνται σύμφωνα με την κοινή προσέγγιση για τους αποκεντρωμένους οργανισμούς</w:t>
      </w:r>
      <w:r w:rsidRPr="001E4272">
        <w:rPr>
          <w:rStyle w:val="FootnoteReference"/>
          <w:noProof/>
          <w:color w:val="0000FF"/>
        </w:rPr>
        <w:footnoteReference w:id="51"/>
      </w:r>
      <w:r w:rsidRPr="001E4272">
        <w:rPr>
          <w:noProof/>
          <w:color w:val="0000FF"/>
        </w:rPr>
        <w:t>.</w:t>
      </w:r>
    </w:p>
    <w:p w14:paraId="6B4B6A1F" w14:textId="6768C15B" w:rsidR="004D3101" w:rsidRPr="001E4272" w:rsidRDefault="004D3101" w:rsidP="004D3101">
      <w:pPr>
        <w:pStyle w:val="Text1"/>
        <w:pBdr>
          <w:top w:val="single" w:sz="4" w:space="1" w:color="auto"/>
          <w:left w:val="single" w:sz="4" w:space="4" w:color="auto"/>
          <w:bottom w:val="single" w:sz="4" w:space="1" w:color="auto"/>
          <w:right w:val="single" w:sz="4" w:space="4" w:color="auto"/>
        </w:pBdr>
        <w:rPr>
          <w:noProof/>
          <w:color w:val="0000FF"/>
        </w:rPr>
      </w:pPr>
      <w:r w:rsidRPr="001E4272">
        <w:rPr>
          <w:noProof/>
          <w:color w:val="0000FF"/>
        </w:rPr>
        <w:t xml:space="preserve">Πέραν των οριζόντιων κανόνων διακυβέρνησης που ισχύουν για τους οργανισμούς, η Eurojust πρέπει ιδίως να αποστέλλει σε ετήσια βάση στην Επιτροπή, το Ευρωπαϊκό Κοινοβούλιο και το Συμβούλιο ένα ενιαίο έγγραφο προγραμματισμού, το οποίο περιέχει τα πολυετή και ετήσια προγράμματα εργασίας, καθώς και τον προγραμματισμό των πόρων. Το ενιαίο έγγραφο προγραμματισμού καθορίζει τους στόχους, τα αναμενόμενα αποτελέσματα και τους δείκτες επιδόσεων για την παρακολούθηση της επίτευξης των στόχων και των αποτελεσμάτων. </w:t>
      </w:r>
    </w:p>
    <w:p w14:paraId="47331D20" w14:textId="77777777" w:rsidR="004D3101" w:rsidRPr="001E4272" w:rsidRDefault="004D3101" w:rsidP="004D3101">
      <w:pPr>
        <w:pStyle w:val="Text1"/>
        <w:pBdr>
          <w:top w:val="single" w:sz="4" w:space="1" w:color="auto"/>
          <w:left w:val="single" w:sz="4" w:space="4" w:color="auto"/>
          <w:bottom w:val="single" w:sz="4" w:space="1" w:color="auto"/>
          <w:right w:val="single" w:sz="4" w:space="4" w:color="auto"/>
        </w:pBdr>
        <w:rPr>
          <w:noProof/>
        </w:rPr>
      </w:pPr>
      <w:r w:rsidRPr="001E4272">
        <w:rPr>
          <w:noProof/>
          <w:color w:val="0000FF"/>
        </w:rPr>
        <w:t>Η Eurojust υποβάλλει επίσης στοιχεία σχετικά με τις εργασίες της σε εμπεριστατωμένη ετήσια έκθεση. Η Eurojust διαβιβάζει την εν λόγω ετήσια έκθεση στο Ευρωπαϊκό Κοινοβούλιο</w:t>
      </w:r>
      <w:r w:rsidRPr="001E4272">
        <w:rPr>
          <w:noProof/>
        </w:rPr>
        <w:t xml:space="preserve">, στο Συμβούλιο και στα εθνικά κοινοβούλια. Επιπλέον, η Eurojust ενημερώνει το Ευρωπαϊκό Κοινοβούλιο και τα εθνικά κοινοβούλια σχετικά με τις συμφωνίες συνεργασίας που συνάπτονται με τρίτους. </w:t>
      </w:r>
    </w:p>
    <w:p w14:paraId="0EF123D4" w14:textId="77777777" w:rsidR="004D3101" w:rsidRPr="001E4272" w:rsidRDefault="004D3101" w:rsidP="004D3101">
      <w:pPr>
        <w:pStyle w:val="Text1"/>
        <w:pBdr>
          <w:top w:val="single" w:sz="4" w:space="1" w:color="auto"/>
          <w:left w:val="single" w:sz="4" w:space="4" w:color="auto"/>
          <w:bottom w:val="single" w:sz="4" w:space="1" w:color="auto"/>
          <w:right w:val="single" w:sz="4" w:space="4" w:color="auto"/>
        </w:pBdr>
        <w:rPr>
          <w:noProof/>
        </w:rPr>
      </w:pPr>
      <w:r w:rsidRPr="001E4272">
        <w:rPr>
          <w:noProof/>
        </w:rPr>
        <w:t>Η Επιτροπή αναθέτει τη διενέργεια ανεξάρτητης αξιολόγησης της εφαρμογής του κανονισμού και των δραστηριοτήτων της Eurojust έως τις 13 Δεκεμβρίου 2024 και στη συνέχεια ανά πενταετία, προκειμένου να αξιολογούνται η εφαρμογή και ο αντίκτυπος του κανονισμού και η αποτελεσματικότητα και η αποδοτικότητα της Eurojust, σύμφωνα με το άρθρο 69 παράγραφος 1 του κανονισμού για την Eurojust.</w:t>
      </w:r>
    </w:p>
    <w:p w14:paraId="53F82F44" w14:textId="77777777" w:rsidR="004D3101" w:rsidRPr="001E4272" w:rsidRDefault="004D3101" w:rsidP="004D3101">
      <w:pPr>
        <w:pStyle w:val="Text1"/>
        <w:ind w:left="0"/>
        <w:rPr>
          <w:i/>
          <w:noProof/>
          <w:sz w:val="20"/>
        </w:rPr>
      </w:pPr>
    </w:p>
    <w:p w14:paraId="733A26D5" w14:textId="207F06DE" w:rsidR="00436363" w:rsidRPr="001E4272" w:rsidRDefault="00F27BFA" w:rsidP="00F27BFA">
      <w:pPr>
        <w:pStyle w:val="ManualHeading2"/>
        <w:rPr>
          <w:bCs/>
          <w:noProof/>
          <w:szCs w:val="24"/>
        </w:rPr>
      </w:pPr>
      <w:bookmarkStart w:id="92" w:name="_Toc514938045"/>
      <w:bookmarkStart w:id="93" w:name="_Toc520485044"/>
      <w:bookmarkStart w:id="94" w:name="_Toc84517591"/>
      <w:r w:rsidRPr="00F27BFA">
        <w:t>2.2.</w:t>
      </w:r>
      <w:r w:rsidRPr="00F27BFA">
        <w:tab/>
      </w:r>
      <w:r w:rsidR="00436363" w:rsidRPr="001E4272">
        <w:rPr>
          <w:noProof/>
        </w:rPr>
        <w:t>Συστήματα διαχείρισης και ελέγχου</w:t>
      </w:r>
      <w:bookmarkEnd w:id="92"/>
      <w:bookmarkEnd w:id="93"/>
      <w:bookmarkEnd w:id="94"/>
      <w:r w:rsidR="00436363" w:rsidRPr="001E4272">
        <w:rPr>
          <w:noProof/>
        </w:rPr>
        <w:t xml:space="preserve"> </w:t>
      </w:r>
    </w:p>
    <w:p w14:paraId="18F09F22" w14:textId="44854DC3" w:rsidR="004D3101" w:rsidRPr="001E4272" w:rsidRDefault="00F27BFA" w:rsidP="00F27BFA">
      <w:pPr>
        <w:pStyle w:val="ManualHeading3"/>
        <w:rPr>
          <w:noProof/>
        </w:rPr>
      </w:pPr>
      <w:bookmarkStart w:id="95" w:name="_Toc514938046"/>
      <w:bookmarkStart w:id="96" w:name="_Toc520485045"/>
      <w:bookmarkStart w:id="97" w:name="_Toc84517592"/>
      <w:r w:rsidRPr="00F27BFA">
        <w:t>2.2.1.</w:t>
      </w:r>
      <w:r w:rsidRPr="00F27BFA">
        <w:tab/>
      </w:r>
      <w:r w:rsidR="00436363" w:rsidRPr="001E4272">
        <w:rPr>
          <w:noProof/>
        </w:rPr>
        <w:t>Αιτιολόγηση των τρόπων διαχείρισης, των μηχανισμών εκτέλεσης της χρηματοδότησης, των όρων πληρωμής και της προτεινόμενης στρατηγικής ελέγχου</w:t>
      </w:r>
      <w:bookmarkStart w:id="98" w:name="_Toc514938047"/>
      <w:bookmarkStart w:id="99" w:name="_Toc520485046"/>
      <w:bookmarkEnd w:id="95"/>
      <w:bookmarkEnd w:id="96"/>
      <w:bookmarkEnd w:id="97"/>
    </w:p>
    <w:p w14:paraId="6215A89A" w14:textId="77777777" w:rsidR="004D3101" w:rsidRPr="001E4272" w:rsidRDefault="004D3101" w:rsidP="004D3101">
      <w:pPr>
        <w:pStyle w:val="Text1"/>
        <w:pBdr>
          <w:top w:val="single" w:sz="4" w:space="1" w:color="auto"/>
          <w:left w:val="single" w:sz="4" w:space="4" w:color="auto"/>
          <w:bottom w:val="single" w:sz="4" w:space="1" w:color="auto"/>
          <w:right w:val="single" w:sz="4" w:space="4" w:color="auto"/>
        </w:pBdr>
        <w:rPr>
          <w:noProof/>
          <w:color w:val="0000FF"/>
        </w:rPr>
      </w:pPr>
      <w:r w:rsidRPr="001E4272">
        <w:rPr>
          <w:noProof/>
          <w:color w:val="0000FF"/>
        </w:rPr>
        <w:t xml:space="preserve">Δεδομένου ότι η πρόταση επηρεάζει την ετήσια συνεισφορά της ΕΕ στην Eurojust, ο προϋπολογισμός της ΕΕ θα εκτελείται μέσω έμμεσης διαχείρισης. </w:t>
      </w:r>
    </w:p>
    <w:p w14:paraId="73F20032" w14:textId="77777777" w:rsidR="004D3101" w:rsidRPr="001E4272" w:rsidRDefault="004D3101" w:rsidP="004D3101">
      <w:pPr>
        <w:pStyle w:val="Text1"/>
        <w:pBdr>
          <w:top w:val="single" w:sz="4" w:space="1" w:color="auto"/>
          <w:left w:val="single" w:sz="4" w:space="4" w:color="auto"/>
          <w:bottom w:val="single" w:sz="4" w:space="1" w:color="auto"/>
          <w:right w:val="single" w:sz="4" w:space="4" w:color="auto"/>
        </w:pBdr>
        <w:rPr>
          <w:noProof/>
          <w:color w:val="0000FF"/>
        </w:rPr>
      </w:pPr>
      <w:r w:rsidRPr="001E4272">
        <w:rPr>
          <w:noProof/>
          <w:color w:val="0000FF"/>
        </w:rPr>
        <w:t xml:space="preserve">Σύμφωνα με την αρχή της χρηστής δημοσιονομικής διαχείρισης, ο προϋπολογισμός της Eurojust εκτελείται βάσει αποτελεσματικού και αποδοτικού εσωτερικού ελέγχου. </w:t>
      </w:r>
    </w:p>
    <w:p w14:paraId="25FE7FB8" w14:textId="77777777" w:rsidR="004D3101" w:rsidRPr="001E4272" w:rsidRDefault="004D3101" w:rsidP="004D3101">
      <w:pPr>
        <w:pStyle w:val="Text1"/>
        <w:pBdr>
          <w:top w:val="single" w:sz="4" w:space="1" w:color="auto"/>
          <w:left w:val="single" w:sz="4" w:space="4" w:color="auto"/>
          <w:bottom w:val="single" w:sz="4" w:space="1" w:color="auto"/>
          <w:right w:val="single" w:sz="4" w:space="4" w:color="auto"/>
        </w:pBdr>
        <w:rPr>
          <w:noProof/>
          <w:color w:val="0000FF"/>
        </w:rPr>
      </w:pPr>
      <w:r w:rsidRPr="001E4272">
        <w:rPr>
          <w:noProof/>
          <w:color w:val="0000FF"/>
        </w:rPr>
        <w:t xml:space="preserve">Όσον αφορά τους εκ των υστέρων ελέγχους, η Eurojust, ως αποκεντρωμένος οργανισμός, υπόκειται κυρίως: </w:t>
      </w:r>
    </w:p>
    <w:p w14:paraId="2F766B92" w14:textId="591EAFF7" w:rsidR="004D3101" w:rsidRPr="001E4272" w:rsidRDefault="004D3101" w:rsidP="006D1312">
      <w:pPr>
        <w:pStyle w:val="Tiret1"/>
        <w:pBdr>
          <w:top w:val="single" w:sz="4" w:space="1" w:color="auto"/>
          <w:left w:val="single" w:sz="4" w:space="4" w:color="auto"/>
          <w:bottom w:val="single" w:sz="4" w:space="1" w:color="auto"/>
          <w:right w:val="single" w:sz="4" w:space="4" w:color="auto"/>
        </w:pBdr>
        <w:rPr>
          <w:noProof/>
          <w:color w:val="0000FF"/>
        </w:rPr>
      </w:pPr>
      <w:r w:rsidRPr="001E4272">
        <w:rPr>
          <w:noProof/>
          <w:color w:val="0000FF"/>
        </w:rPr>
        <w:t>σε εσωτερικό έλεγχο από την Υπηρεσία Εσωτερικού Ελέγχου της Επιτροπής·</w:t>
      </w:r>
    </w:p>
    <w:p w14:paraId="6D097C94" w14:textId="63DC33A4" w:rsidR="004D3101" w:rsidRPr="001E4272" w:rsidRDefault="004D3101" w:rsidP="006D1312">
      <w:pPr>
        <w:pStyle w:val="Tiret1"/>
        <w:pBdr>
          <w:top w:val="single" w:sz="4" w:space="1" w:color="auto"/>
          <w:left w:val="single" w:sz="4" w:space="4" w:color="auto"/>
          <w:bottom w:val="single" w:sz="4" w:space="1" w:color="auto"/>
          <w:right w:val="single" w:sz="4" w:space="4" w:color="auto"/>
        </w:pBdr>
        <w:rPr>
          <w:noProof/>
          <w:color w:val="0000FF"/>
        </w:rPr>
      </w:pPr>
      <w:r w:rsidRPr="001E4272">
        <w:rPr>
          <w:noProof/>
          <w:color w:val="0000FF"/>
        </w:rPr>
        <w:t>στην έκδοση ετήσιων εκθέσεων του Ευρωπαϊκού Ελεγκτικού Συνεδρίου, οι οποίες περιλαμβάνουν δήλωση τόσο ως προς την αξιοπιστία των ετήσιων λογαριασμών όσο και ως προς τη νομιμότητα και κανονικότητα των πράξεων στις οποίες αυτοί βασίζονται·</w:t>
      </w:r>
    </w:p>
    <w:p w14:paraId="1FFD30FB" w14:textId="33CF749B" w:rsidR="004D3101" w:rsidRPr="001E4272" w:rsidRDefault="004D3101" w:rsidP="006D1312">
      <w:pPr>
        <w:pStyle w:val="Tiret1"/>
        <w:pBdr>
          <w:top w:val="single" w:sz="4" w:space="1" w:color="auto"/>
          <w:left w:val="single" w:sz="4" w:space="4" w:color="auto"/>
          <w:bottom w:val="single" w:sz="4" w:space="1" w:color="auto"/>
          <w:right w:val="single" w:sz="4" w:space="4" w:color="auto"/>
        </w:pBdr>
        <w:rPr>
          <w:noProof/>
          <w:color w:val="0000FF"/>
        </w:rPr>
      </w:pPr>
      <w:r w:rsidRPr="001E4272">
        <w:rPr>
          <w:noProof/>
          <w:color w:val="0000FF"/>
        </w:rPr>
        <w:t>σε ετήσια απαλλαγή που χορηγείται από το Ευρωπαϊκό Κοινοβούλιο·</w:t>
      </w:r>
    </w:p>
    <w:p w14:paraId="4F4CC05C" w14:textId="16240198" w:rsidR="004D3101" w:rsidRPr="001E4272" w:rsidRDefault="004D3101" w:rsidP="006D1312">
      <w:pPr>
        <w:pStyle w:val="Tiret1"/>
        <w:pBdr>
          <w:top w:val="single" w:sz="4" w:space="1" w:color="auto"/>
          <w:left w:val="single" w:sz="4" w:space="4" w:color="auto"/>
          <w:bottom w:val="single" w:sz="4" w:space="1" w:color="auto"/>
          <w:right w:val="single" w:sz="4" w:space="4" w:color="auto"/>
        </w:pBdr>
        <w:rPr>
          <w:noProof/>
          <w:color w:val="0000FF"/>
        </w:rPr>
      </w:pPr>
      <w:r w:rsidRPr="001E4272">
        <w:rPr>
          <w:noProof/>
          <w:color w:val="0000FF"/>
        </w:rPr>
        <w:t>σε πιθανές έρευνες που διεξάγει η OLAF για να διασφαλίσει, ιδίως, την ορθή χρήση των πόρων που διατίθενται στους οργανισμούς·</w:t>
      </w:r>
    </w:p>
    <w:p w14:paraId="4E7C6595" w14:textId="42995DD5" w:rsidR="004D3101" w:rsidRPr="001E4272" w:rsidRDefault="004D3101" w:rsidP="006D1312">
      <w:pPr>
        <w:pStyle w:val="Tiret1"/>
        <w:pBdr>
          <w:top w:val="single" w:sz="4" w:space="1" w:color="auto"/>
          <w:left w:val="single" w:sz="4" w:space="4" w:color="auto"/>
          <w:bottom w:val="single" w:sz="4" w:space="1" w:color="auto"/>
          <w:right w:val="single" w:sz="4" w:space="4" w:color="auto"/>
        </w:pBdr>
        <w:rPr>
          <w:noProof/>
          <w:color w:val="0000FF"/>
        </w:rPr>
      </w:pPr>
      <w:r w:rsidRPr="001E4272">
        <w:rPr>
          <w:noProof/>
          <w:color w:val="0000FF"/>
        </w:rPr>
        <w:t>τέλος, ο Ευρωπαίος Διαμεσολαβητής παρέχει ένα περαιτέρω επίπεδο ελέγχου και λογοδοσίας της Eurojust.</w:t>
      </w:r>
    </w:p>
    <w:p w14:paraId="1551EF01" w14:textId="77D514A1" w:rsidR="007D50BA" w:rsidRPr="001E4272" w:rsidRDefault="00F27BFA" w:rsidP="00F27BFA">
      <w:pPr>
        <w:pStyle w:val="ManualHeading3"/>
        <w:rPr>
          <w:noProof/>
        </w:rPr>
      </w:pPr>
      <w:bookmarkStart w:id="100" w:name="_Toc84517593"/>
      <w:r w:rsidRPr="00F27BFA">
        <w:t>2.2.2.</w:t>
      </w:r>
      <w:r w:rsidRPr="00F27BFA">
        <w:tab/>
      </w:r>
      <w:r w:rsidR="00436363" w:rsidRPr="001E4272">
        <w:rPr>
          <w:noProof/>
        </w:rPr>
        <w:t>Πληροφορίες σχετικά με τους κινδύνους που έχουν εντοπιστεί και τα συστήματα εσωτερικού ελέγχου που έχουν δημιουργηθεί για τον μετριασμό τους</w:t>
      </w:r>
      <w:bookmarkEnd w:id="98"/>
      <w:bookmarkEnd w:id="99"/>
      <w:bookmarkEnd w:id="100"/>
    </w:p>
    <w:p w14:paraId="034AC618" w14:textId="77777777" w:rsidR="007D50BA" w:rsidRPr="001E4272" w:rsidRDefault="007D50BA" w:rsidP="007D50BA">
      <w:pPr>
        <w:pStyle w:val="Text1"/>
        <w:pBdr>
          <w:top w:val="single" w:sz="4" w:space="1" w:color="auto"/>
          <w:left w:val="single" w:sz="4" w:space="4" w:color="auto"/>
          <w:bottom w:val="single" w:sz="4" w:space="0" w:color="auto"/>
          <w:right w:val="single" w:sz="4" w:space="4" w:color="auto"/>
        </w:pBdr>
        <w:rPr>
          <w:noProof/>
          <w:color w:val="0000FF"/>
        </w:rPr>
      </w:pPr>
      <w:r w:rsidRPr="001E4272">
        <w:rPr>
          <w:noProof/>
        </w:rPr>
        <w:t>Στο παρόν στάδιο δεν έχει εντοπιστεί κανένας συγκεκριμένος κίνδυνος στα συστήματα διαχείρισης και ελέγχου. Η Eurojust υπόκειται σε διοικητικούς ελέγχους, συμπεριλαμβανομένου του δημοσιονομικού ελέγχου, σε εσωτερικό έλεγχο, στην έκδοση ετήσιων εκθέσεων του Ευρωπαϊκού Ελεγκτικού Συνεδρίου και στην ετήσια απαλλαγή για την εκτέλεση του προϋπολογισμού, όπως αναφέρεται ανωτέρω.</w:t>
      </w:r>
    </w:p>
    <w:p w14:paraId="669E3A31" w14:textId="715C2A71" w:rsidR="00436363" w:rsidRPr="001E4272" w:rsidRDefault="00F27BFA" w:rsidP="00F27BFA">
      <w:pPr>
        <w:pStyle w:val="ManualHeading3"/>
        <w:rPr>
          <w:noProof/>
        </w:rPr>
      </w:pPr>
      <w:bookmarkStart w:id="101" w:name="_Toc514938048"/>
      <w:bookmarkStart w:id="102" w:name="_Toc520485047"/>
      <w:bookmarkStart w:id="103" w:name="_Toc84517594"/>
      <w:r w:rsidRPr="00F27BFA">
        <w:t>2.2.3.</w:t>
      </w:r>
      <w:r w:rsidRPr="00F27BFA">
        <w:tab/>
      </w:r>
      <w:r w:rsidR="00436363" w:rsidRPr="001E4272">
        <w:rPr>
          <w:noProof/>
        </w:rPr>
        <w:t>Εκτίμηση και αιτιολόγηση της οικονομικής αποδοτικότητας των ελέγχων (λόγος του κόστους του ελέγχου προς την αξία των σχετικών κονδυλίων που αποτελούν αντικείμενο διαχείρισης) και αξιολόγηση του εκτιμώμενου επιπέδου κινδύνου σφάλματος (κατά την πληρωμή και κατά το κλείσιμο)</w:t>
      </w:r>
      <w:bookmarkEnd w:id="101"/>
      <w:bookmarkEnd w:id="102"/>
      <w:bookmarkEnd w:id="103"/>
      <w:r w:rsidR="00436363" w:rsidRPr="001E4272">
        <w:rPr>
          <w:noProof/>
        </w:rPr>
        <w:t xml:space="preserve"> </w:t>
      </w:r>
    </w:p>
    <w:p w14:paraId="5F2B61D6" w14:textId="77777777" w:rsidR="007D50BA" w:rsidRPr="001E4272" w:rsidRDefault="007D50BA" w:rsidP="007D50BA">
      <w:pPr>
        <w:pBdr>
          <w:top w:val="single" w:sz="4" w:space="1" w:color="auto"/>
          <w:left w:val="single" w:sz="4" w:space="4" w:color="auto"/>
          <w:bottom w:val="single" w:sz="4" w:space="1" w:color="auto"/>
          <w:right w:val="single" w:sz="4" w:space="4" w:color="auto"/>
        </w:pBdr>
        <w:rPr>
          <w:noProof/>
          <w:color w:val="0000FF"/>
        </w:rPr>
      </w:pPr>
      <w:r w:rsidRPr="001E4272">
        <w:rPr>
          <w:noProof/>
          <w:color w:val="0000FF"/>
        </w:rPr>
        <w:t>Ο λόγος του κόστους του ελέγχου προς την καταβολή των σχετικών κονδυλίων που αποτελούν αντικείμενο διαχείρισης δηλώνεται από την Επιτροπή. Στην ετήσια έκθεση δραστηριοτήτων της ΓΔ Δικαιοσύνης για το 2020 αναφέρεται ποσοστό 0,74 % για τον συγκεκριμένο λόγο σε σχέση με τις εντεταλμένες οντότητες και τους αποκεντρωμένους οργανισμούς έμμεσης διαχείρισης, συμπεριλαμβανομένης της Eurojust.</w:t>
      </w:r>
    </w:p>
    <w:p w14:paraId="1E553F23" w14:textId="77777777" w:rsidR="007D50BA" w:rsidRPr="001E4272" w:rsidRDefault="007D50BA" w:rsidP="007D50BA">
      <w:pPr>
        <w:pBdr>
          <w:top w:val="single" w:sz="4" w:space="1" w:color="auto"/>
          <w:left w:val="single" w:sz="4" w:space="4" w:color="auto"/>
          <w:bottom w:val="single" w:sz="4" w:space="1" w:color="auto"/>
          <w:right w:val="single" w:sz="4" w:space="4" w:color="auto"/>
        </w:pBdr>
        <w:rPr>
          <w:noProof/>
          <w:color w:val="0000FF"/>
        </w:rPr>
      </w:pPr>
    </w:p>
    <w:p w14:paraId="4763E6E0" w14:textId="77777777" w:rsidR="007D50BA" w:rsidRPr="001E4272" w:rsidRDefault="007D50BA" w:rsidP="002F68FE">
      <w:pPr>
        <w:pBdr>
          <w:top w:val="single" w:sz="4" w:space="1" w:color="auto"/>
          <w:left w:val="single" w:sz="4" w:space="4" w:color="auto"/>
          <w:bottom w:val="single" w:sz="4" w:space="1" w:color="auto"/>
          <w:right w:val="single" w:sz="4" w:space="4" w:color="auto"/>
        </w:pBdr>
        <w:rPr>
          <w:noProof/>
          <w:color w:val="0000FF"/>
        </w:rPr>
      </w:pPr>
      <w:r w:rsidRPr="001E4272">
        <w:rPr>
          <w:noProof/>
          <w:color w:val="0000FF"/>
        </w:rPr>
        <w:t>Το Ευρωπαϊκό Ελεγκτικό Συνέδριο επιβεβαίωσε τη νομιμότητα και την κανονικότητα των ετήσιων λογαριασμών της Eurojust για το 2019, γεγονός που σημαίνει ποσοστό σφάλματος κάτω του 2 %. Δεν υπάρχουν ενδείξεις ότι το ποσοστό σφάλματος θα αυξηθεί τα προσεχή έτη. Για το 2020 επιβεβαιώνεται επίσης προσωρινά με βάση την επαλήθευση των ετήσιων λογαριασμών της Eurojust από ανεξάρτητο εξωτερικό ελεγκτή. Η γνώμη του Ευρωπαϊκού Ελεγκτικού Συνεδρίου σχετικά με την αξιοπιστία των λογαριασμών υπόκειται στην επιβεβαίωση από το Ευρωπαϊκό Ελεγκτικό Συνέδριο της αξιοπιστίας των αποτελεσμάτων του ανεξάρτητου ελεγκτή και εξακολουθεί να εκκρεμεί.</w:t>
      </w:r>
    </w:p>
    <w:p w14:paraId="5E9CEBF3" w14:textId="77777777" w:rsidR="007D50BA" w:rsidRPr="001E4272" w:rsidRDefault="007D50BA" w:rsidP="007D50BA">
      <w:pPr>
        <w:pStyle w:val="Text1"/>
        <w:rPr>
          <w:noProof/>
        </w:rPr>
      </w:pPr>
    </w:p>
    <w:p w14:paraId="4514BB8B" w14:textId="2BFF047E" w:rsidR="00436363" w:rsidRPr="001E4272" w:rsidRDefault="00F27BFA" w:rsidP="00F27BFA">
      <w:pPr>
        <w:pStyle w:val="ManualHeading2"/>
        <w:rPr>
          <w:bCs/>
          <w:noProof/>
          <w:szCs w:val="24"/>
        </w:rPr>
      </w:pPr>
      <w:bookmarkStart w:id="104" w:name="_Toc514938049"/>
      <w:bookmarkStart w:id="105" w:name="_Toc520485048"/>
      <w:bookmarkStart w:id="106" w:name="_Toc84517595"/>
      <w:r w:rsidRPr="00F27BFA">
        <w:t>2.3.</w:t>
      </w:r>
      <w:r w:rsidRPr="00F27BFA">
        <w:tab/>
      </w:r>
      <w:r w:rsidR="00436363" w:rsidRPr="001E4272">
        <w:rPr>
          <w:noProof/>
        </w:rPr>
        <w:t>Μέτρα για την πρόληψη περιπτώσεων απάτης και παρατυπίας</w:t>
      </w:r>
      <w:bookmarkEnd w:id="104"/>
      <w:bookmarkEnd w:id="105"/>
      <w:bookmarkEnd w:id="106"/>
      <w:r w:rsidR="00436363" w:rsidRPr="001E4272">
        <w:rPr>
          <w:noProof/>
        </w:rPr>
        <w:t xml:space="preserve"> </w:t>
      </w:r>
    </w:p>
    <w:p w14:paraId="476B9D69" w14:textId="77777777" w:rsidR="00436363" w:rsidRPr="001E4272" w:rsidRDefault="00436363" w:rsidP="00ED2926">
      <w:pPr>
        <w:pStyle w:val="Text1"/>
        <w:rPr>
          <w:i/>
          <w:noProof/>
          <w:sz w:val="20"/>
        </w:rPr>
      </w:pPr>
      <w:r w:rsidRPr="001E4272">
        <w:rPr>
          <w:i/>
          <w:noProof/>
          <w:sz w:val="20"/>
        </w:rPr>
        <w:t>Να προσδιοριστούν τα ισχύοντα ή τα προβλεπόμενα μέτρα πρόληψης και προστασίας, π.χ. στη στρατηγική για την καταπολέμηση της απάτης.</w:t>
      </w:r>
    </w:p>
    <w:p w14:paraId="06829DCA" w14:textId="77777777" w:rsidR="007D50BA" w:rsidRPr="001E4272" w:rsidRDefault="007D50BA" w:rsidP="007D50BA">
      <w:pPr>
        <w:pStyle w:val="Text1"/>
        <w:pBdr>
          <w:top w:val="single" w:sz="4" w:space="1" w:color="auto"/>
          <w:left w:val="single" w:sz="4" w:space="31" w:color="auto"/>
          <w:bottom w:val="single" w:sz="4" w:space="1" w:color="auto"/>
          <w:right w:val="single" w:sz="4" w:space="4" w:color="auto"/>
        </w:pBdr>
        <w:ind w:left="720"/>
        <w:rPr>
          <w:noProof/>
        </w:rPr>
      </w:pPr>
      <w:r w:rsidRPr="001E4272">
        <w:rPr>
          <w:noProof/>
        </w:rPr>
        <w:t xml:space="preserve">Τα μέτρα που σχετίζονται με την καταπολέμηση της απάτης, της διαφθοράς και άλλων παράνομων δραστηριοτήτων περιγράφονται, μεταξύ άλλων, στο άρθρο 75 του κανονισμού για την Eurojust. </w:t>
      </w:r>
      <w:r w:rsidRPr="001E4272">
        <w:rPr>
          <w:noProof/>
          <w:color w:val="0000FF"/>
        </w:rPr>
        <w:t>Η Eurojust συμμετέχει ιδίως στις δραστηριότητες για την πρόληψη της απάτης τις οποίες αναλαμβάνει η Ευρωπαϊκή Υπηρεσία Καταπολέμησης της Απάτης, και ενημερώνει χωρίς καθυστέρηση την Επιτροπή για τις περιπτώσεις εικαζόμενης απάτης και άλλων οικονομικών παρατυπιών.</w:t>
      </w:r>
    </w:p>
    <w:p w14:paraId="5BEBFD49" w14:textId="77777777" w:rsidR="00436363" w:rsidRPr="001E4272" w:rsidRDefault="00436363" w:rsidP="00ED2926">
      <w:pPr>
        <w:rPr>
          <w:noProof/>
        </w:rPr>
        <w:sectPr w:rsidR="00436363" w:rsidRPr="001E4272" w:rsidSect="00C51A3C">
          <w:pgSz w:w="11907" w:h="16840" w:code="9"/>
          <w:pgMar w:top="1134" w:right="1418" w:bottom="1134" w:left="1418" w:header="709" w:footer="709" w:gutter="0"/>
          <w:cols w:space="708"/>
          <w:docGrid w:linePitch="360"/>
        </w:sectPr>
      </w:pPr>
    </w:p>
    <w:p w14:paraId="0760CE7D" w14:textId="66E9A22A" w:rsidR="00436363" w:rsidRPr="001E4272" w:rsidRDefault="00F27BFA" w:rsidP="00F27BFA">
      <w:pPr>
        <w:pStyle w:val="ManualHeading1"/>
        <w:rPr>
          <w:bCs/>
          <w:noProof/>
          <w:szCs w:val="24"/>
        </w:rPr>
      </w:pPr>
      <w:bookmarkStart w:id="107" w:name="_Toc514938050"/>
      <w:bookmarkStart w:id="108" w:name="_Toc520485049"/>
      <w:bookmarkStart w:id="109" w:name="_Toc84517596"/>
      <w:r w:rsidRPr="00F27BFA">
        <w:t>3.</w:t>
      </w:r>
      <w:r w:rsidRPr="00F27BFA">
        <w:tab/>
      </w:r>
      <w:r w:rsidR="00436363" w:rsidRPr="001E4272">
        <w:rPr>
          <w:noProof/>
        </w:rPr>
        <w:t>ΕΚΤΙΜΩΜΕΝΕΣ ΔΗΜΟΣΙΟΝΟΜΙΚΕΣ ΕΠΙΠΤΩΣΕΙΣ ΤΗΣ ΠΡΟΤΑΣΗΣ/ΠΡΩΤΟΒΟΥΛΙΑΣ</w:t>
      </w:r>
      <w:bookmarkEnd w:id="107"/>
      <w:bookmarkEnd w:id="108"/>
      <w:bookmarkEnd w:id="109"/>
      <w:r w:rsidR="00436363" w:rsidRPr="001E4272">
        <w:rPr>
          <w:noProof/>
        </w:rPr>
        <w:t xml:space="preserve"> </w:t>
      </w:r>
    </w:p>
    <w:p w14:paraId="27DE3348" w14:textId="09D5B767" w:rsidR="00436363" w:rsidRPr="001E4272" w:rsidRDefault="00F27BFA" w:rsidP="00F27BFA">
      <w:pPr>
        <w:pStyle w:val="ManualHeading2"/>
        <w:rPr>
          <w:noProof/>
        </w:rPr>
      </w:pPr>
      <w:bookmarkStart w:id="110" w:name="_Toc514938051"/>
      <w:bookmarkStart w:id="111" w:name="_Toc520485050"/>
      <w:bookmarkStart w:id="112" w:name="_Toc84517597"/>
      <w:r w:rsidRPr="00F27BFA">
        <w:t>3.1.</w:t>
      </w:r>
      <w:r w:rsidRPr="00F27BFA">
        <w:tab/>
      </w:r>
      <w:r w:rsidR="00436363" w:rsidRPr="001E4272">
        <w:rPr>
          <w:noProof/>
        </w:rPr>
        <w:t>Τομείς του πολυετούς δημοσιονομικού πλαισίου και γραμμές δαπανών του προϋπολογισμού που επηρεάζονται</w:t>
      </w:r>
      <w:bookmarkEnd w:id="110"/>
      <w:bookmarkEnd w:id="111"/>
      <w:bookmarkEnd w:id="112"/>
      <w:r w:rsidR="00436363" w:rsidRPr="001E4272">
        <w:rPr>
          <w:noProof/>
        </w:rPr>
        <w:t xml:space="preserve"> </w:t>
      </w:r>
    </w:p>
    <w:p w14:paraId="12620888" w14:textId="77777777" w:rsidR="00436363" w:rsidRPr="001E4272" w:rsidRDefault="00436363" w:rsidP="00917AAD">
      <w:pPr>
        <w:pStyle w:val="ListBullet1"/>
        <w:rPr>
          <w:noProof/>
        </w:rPr>
      </w:pPr>
      <w:r w:rsidRPr="001E4272">
        <w:rPr>
          <w:noProof/>
        </w:rPr>
        <w:t xml:space="preserve">Υφιστάμενες γραμμές του προϋπολογισμού </w:t>
      </w:r>
    </w:p>
    <w:p w14:paraId="55EE05CC" w14:textId="77777777" w:rsidR="00436363" w:rsidRPr="001E4272" w:rsidRDefault="00436363" w:rsidP="00ED2926">
      <w:pPr>
        <w:pStyle w:val="Text1"/>
        <w:rPr>
          <w:i/>
          <w:noProof/>
        </w:rPr>
      </w:pPr>
      <w:r w:rsidRPr="001E4272">
        <w:rPr>
          <w:i/>
          <w:noProof/>
          <w:u w:val="single"/>
        </w:rPr>
        <w:t>Κατά σειρά</w:t>
      </w:r>
      <w:r w:rsidRPr="001E4272">
        <w:rPr>
          <w:i/>
          <w:noProof/>
        </w:rPr>
        <w:t xml:space="preserve"> τομέων του πολυετούς δημοσιονομικού πλαισίου και γραμμών του προϋπολογισμού</w:t>
      </w:r>
    </w:p>
    <w:p w14:paraId="27614C63" w14:textId="77777777" w:rsidR="00436363" w:rsidRPr="001E4272" w:rsidRDefault="00436363" w:rsidP="00ED2926">
      <w:pPr>
        <w:pStyle w:val="Text1"/>
        <w:rPr>
          <w:i/>
          <w:noProof/>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746"/>
      </w:tblGrid>
      <w:tr w:rsidR="00436363" w:rsidRPr="001E4272" w14:paraId="1D97BB16" w14:textId="77777777" w:rsidTr="006A0D14">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5ABC2D4F" w14:textId="77777777" w:rsidR="00436363" w:rsidRPr="001E4272" w:rsidRDefault="00436363" w:rsidP="00ED2926">
            <w:pPr>
              <w:spacing w:before="60" w:after="60" w:line="276" w:lineRule="auto"/>
              <w:jc w:val="center"/>
              <w:rPr>
                <w:noProof/>
                <w:sz w:val="18"/>
              </w:rPr>
            </w:pPr>
            <w:r w:rsidRPr="001E4272">
              <w:rPr>
                <w:noProof/>
                <w:sz w:val="18"/>
              </w:rPr>
              <w:t>Τομέας του πολυετούς δημοσιονομικού πλαισίου</w:t>
            </w:r>
          </w:p>
        </w:tc>
        <w:tc>
          <w:tcPr>
            <w:tcW w:w="3960" w:type="dxa"/>
            <w:tcBorders>
              <w:top w:val="single" w:sz="4" w:space="0" w:color="auto"/>
              <w:left w:val="single" w:sz="4" w:space="0" w:color="auto"/>
              <w:bottom w:val="single" w:sz="4" w:space="0" w:color="auto"/>
              <w:right w:val="single" w:sz="4" w:space="0" w:color="auto"/>
            </w:tcBorders>
            <w:vAlign w:val="center"/>
            <w:hideMark/>
          </w:tcPr>
          <w:p w14:paraId="00230426" w14:textId="77777777" w:rsidR="00436363" w:rsidRPr="001E4272" w:rsidRDefault="00436363" w:rsidP="00ED2926">
            <w:pPr>
              <w:spacing w:before="60" w:after="60" w:line="276" w:lineRule="auto"/>
              <w:jc w:val="center"/>
              <w:rPr>
                <w:noProof/>
              </w:rPr>
            </w:pPr>
            <w:r w:rsidRPr="001E4272">
              <w:rPr>
                <w:noProof/>
                <w:sz w:val="20"/>
              </w:rPr>
              <w:t>Γραμμή του προϋπολογισμού</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62CE1D" w14:textId="77777777" w:rsidR="00436363" w:rsidRPr="001E4272" w:rsidRDefault="00436363" w:rsidP="00ED2926">
            <w:pPr>
              <w:spacing w:before="60" w:after="60" w:line="276" w:lineRule="auto"/>
              <w:jc w:val="center"/>
              <w:rPr>
                <w:noProof/>
              </w:rPr>
            </w:pPr>
            <w:r w:rsidRPr="001E4272">
              <w:rPr>
                <w:noProof/>
                <w:sz w:val="18"/>
              </w:rPr>
              <w:t xml:space="preserve">Είδος </w:t>
            </w:r>
            <w:r w:rsidRPr="001E4272">
              <w:rPr>
                <w:noProof/>
              </w:rPr>
              <w:t xml:space="preserve"> </w:t>
            </w:r>
            <w:r w:rsidRPr="001E4272">
              <w:rPr>
                <w:noProof/>
              </w:rPr>
              <w:br/>
            </w:r>
            <w:r w:rsidRPr="001E4272">
              <w:rPr>
                <w:noProof/>
                <w:sz w:val="18"/>
              </w:rPr>
              <w:t>δαπάνης</w:t>
            </w:r>
          </w:p>
        </w:tc>
        <w:tc>
          <w:tcPr>
            <w:tcW w:w="3738" w:type="dxa"/>
            <w:gridSpan w:val="4"/>
            <w:tcBorders>
              <w:top w:val="single" w:sz="4" w:space="0" w:color="auto"/>
              <w:left w:val="single" w:sz="4" w:space="0" w:color="auto"/>
              <w:bottom w:val="single" w:sz="4" w:space="0" w:color="auto"/>
              <w:right w:val="single" w:sz="4" w:space="0" w:color="auto"/>
            </w:tcBorders>
            <w:vAlign w:val="center"/>
            <w:hideMark/>
          </w:tcPr>
          <w:p w14:paraId="1B8A241A" w14:textId="77777777" w:rsidR="00436363" w:rsidRPr="001E4272" w:rsidRDefault="00436363" w:rsidP="00ED2926">
            <w:pPr>
              <w:spacing w:before="60" w:after="60" w:line="276" w:lineRule="auto"/>
              <w:jc w:val="center"/>
              <w:rPr>
                <w:noProof/>
              </w:rPr>
            </w:pPr>
            <w:r w:rsidRPr="001E4272">
              <w:rPr>
                <w:noProof/>
                <w:sz w:val="20"/>
              </w:rPr>
              <w:t xml:space="preserve">Συμμετοχή </w:t>
            </w:r>
          </w:p>
        </w:tc>
      </w:tr>
      <w:tr w:rsidR="00436363" w:rsidRPr="001E4272" w14:paraId="32F74CA3" w14:textId="77777777" w:rsidTr="006A0D14">
        <w:tc>
          <w:tcPr>
            <w:tcW w:w="1080" w:type="dxa"/>
            <w:vMerge/>
            <w:tcBorders>
              <w:top w:val="single" w:sz="4" w:space="0" w:color="auto"/>
              <w:left w:val="single" w:sz="4" w:space="0" w:color="auto"/>
              <w:bottom w:val="single" w:sz="4" w:space="0" w:color="auto"/>
              <w:right w:val="single" w:sz="4" w:space="0" w:color="auto"/>
            </w:tcBorders>
            <w:vAlign w:val="center"/>
            <w:hideMark/>
          </w:tcPr>
          <w:p w14:paraId="60F0F2F6" w14:textId="77777777" w:rsidR="00436363" w:rsidRPr="001E4272" w:rsidRDefault="00436363" w:rsidP="00ED2926">
            <w:pPr>
              <w:spacing w:before="0" w:after="0" w:line="276" w:lineRule="auto"/>
              <w:jc w:val="left"/>
              <w:rPr>
                <w:noProof/>
                <w:sz w:val="18"/>
                <w:lang w:eastAsia="en-GB"/>
              </w:rPr>
            </w:pPr>
          </w:p>
        </w:tc>
        <w:tc>
          <w:tcPr>
            <w:tcW w:w="3960" w:type="dxa"/>
            <w:tcBorders>
              <w:top w:val="single" w:sz="4" w:space="0" w:color="auto"/>
              <w:left w:val="single" w:sz="4" w:space="0" w:color="auto"/>
              <w:bottom w:val="single" w:sz="4" w:space="0" w:color="auto"/>
              <w:right w:val="single" w:sz="4" w:space="0" w:color="auto"/>
            </w:tcBorders>
            <w:vAlign w:val="center"/>
            <w:hideMark/>
          </w:tcPr>
          <w:p w14:paraId="16A5BB82" w14:textId="77777777" w:rsidR="00436363" w:rsidRPr="001E4272" w:rsidRDefault="00436363" w:rsidP="00ED2926">
            <w:pPr>
              <w:spacing w:line="276" w:lineRule="auto"/>
              <w:rPr>
                <w:noProof/>
              </w:rPr>
            </w:pPr>
            <w:r w:rsidRPr="001E4272">
              <w:rPr>
                <w:noProof/>
                <w:sz w:val="20"/>
              </w:rPr>
              <w:t xml:space="preserve">Αριθμός </w:t>
            </w:r>
            <w:r w:rsidRPr="001E4272">
              <w:rPr>
                <w:noProof/>
              </w:rPr>
              <w:t xml:space="preserve"> </w:t>
            </w:r>
            <w:r w:rsidRPr="001E4272">
              <w:rPr>
                <w:noProof/>
              </w:rPr>
              <w:br/>
            </w:r>
          </w:p>
        </w:tc>
        <w:tc>
          <w:tcPr>
            <w:tcW w:w="1080" w:type="dxa"/>
            <w:tcBorders>
              <w:top w:val="single" w:sz="4" w:space="0" w:color="auto"/>
              <w:left w:val="single" w:sz="4" w:space="0" w:color="auto"/>
              <w:bottom w:val="single" w:sz="4" w:space="0" w:color="auto"/>
              <w:right w:val="single" w:sz="4" w:space="0" w:color="auto"/>
            </w:tcBorders>
            <w:vAlign w:val="center"/>
            <w:hideMark/>
          </w:tcPr>
          <w:p w14:paraId="6F173288" w14:textId="77777777" w:rsidR="00436363" w:rsidRPr="001E4272" w:rsidRDefault="00436363" w:rsidP="00ED2926">
            <w:pPr>
              <w:spacing w:line="276" w:lineRule="auto"/>
              <w:jc w:val="center"/>
              <w:rPr>
                <w:noProof/>
              </w:rPr>
            </w:pPr>
            <w:r w:rsidRPr="001E4272">
              <w:rPr>
                <w:noProof/>
                <w:sz w:val="18"/>
                <w:szCs w:val="18"/>
              </w:rPr>
              <w:t>ΔΠ/ΜΔΠ</w:t>
            </w:r>
            <w:r w:rsidRPr="001E4272">
              <w:rPr>
                <w:rStyle w:val="FootnoteReference"/>
                <w:noProof/>
                <w:sz w:val="18"/>
                <w:szCs w:val="18"/>
              </w:rPr>
              <w:footnoteReference w:id="52"/>
            </w:r>
            <w:r w:rsidRPr="001E4272">
              <w:rPr>
                <w:noProof/>
              </w:rPr>
              <w:t>.</w:t>
            </w:r>
          </w:p>
        </w:tc>
        <w:tc>
          <w:tcPr>
            <w:tcW w:w="956" w:type="dxa"/>
            <w:tcBorders>
              <w:top w:val="single" w:sz="4" w:space="0" w:color="auto"/>
              <w:left w:val="single" w:sz="4" w:space="0" w:color="auto"/>
              <w:bottom w:val="single" w:sz="4" w:space="0" w:color="auto"/>
              <w:right w:val="single" w:sz="4" w:space="0" w:color="auto"/>
            </w:tcBorders>
            <w:vAlign w:val="center"/>
            <w:hideMark/>
          </w:tcPr>
          <w:p w14:paraId="67FA701C" w14:textId="77777777" w:rsidR="00436363" w:rsidRPr="001E4272" w:rsidRDefault="00436363" w:rsidP="00ED2926">
            <w:pPr>
              <w:spacing w:line="276" w:lineRule="auto"/>
              <w:jc w:val="center"/>
              <w:rPr>
                <w:noProof/>
              </w:rPr>
            </w:pPr>
            <w:r w:rsidRPr="001E4272">
              <w:rPr>
                <w:noProof/>
                <w:sz w:val="18"/>
                <w:szCs w:val="18"/>
              </w:rPr>
              <w:t>χωρών ΕΖΕΣ</w:t>
            </w:r>
            <w:r w:rsidRPr="001E4272">
              <w:rPr>
                <w:rStyle w:val="FootnoteReference"/>
                <w:noProof/>
                <w:sz w:val="18"/>
                <w:szCs w:val="18"/>
              </w:rPr>
              <w:footnoteReference w:id="53"/>
            </w:r>
          </w:p>
        </w:tc>
        <w:tc>
          <w:tcPr>
            <w:tcW w:w="1080" w:type="dxa"/>
            <w:tcBorders>
              <w:top w:val="single" w:sz="4" w:space="0" w:color="auto"/>
              <w:left w:val="single" w:sz="4" w:space="0" w:color="auto"/>
              <w:bottom w:val="single" w:sz="4" w:space="0" w:color="auto"/>
              <w:right w:val="single" w:sz="4" w:space="0" w:color="auto"/>
            </w:tcBorders>
            <w:vAlign w:val="center"/>
            <w:hideMark/>
          </w:tcPr>
          <w:p w14:paraId="0DABC0CF" w14:textId="77777777" w:rsidR="00436363" w:rsidRPr="001E4272" w:rsidRDefault="00436363" w:rsidP="00ED2926">
            <w:pPr>
              <w:spacing w:line="276" w:lineRule="auto"/>
              <w:jc w:val="center"/>
              <w:rPr>
                <w:noProof/>
                <w:sz w:val="18"/>
              </w:rPr>
            </w:pPr>
            <w:r w:rsidRPr="001E4272">
              <w:rPr>
                <w:noProof/>
                <w:sz w:val="18"/>
                <w:szCs w:val="18"/>
              </w:rPr>
              <w:t>υποψηφίων για ένταξη χωρών</w:t>
            </w:r>
            <w:r w:rsidRPr="001E4272">
              <w:rPr>
                <w:rStyle w:val="FootnoteReference"/>
                <w:noProof/>
                <w:sz w:val="18"/>
                <w:szCs w:val="18"/>
              </w:rPr>
              <w:footnoteReference w:id="54"/>
            </w:r>
          </w:p>
        </w:tc>
        <w:tc>
          <w:tcPr>
            <w:tcW w:w="956" w:type="dxa"/>
            <w:tcBorders>
              <w:top w:val="single" w:sz="4" w:space="0" w:color="auto"/>
              <w:left w:val="single" w:sz="4" w:space="0" w:color="auto"/>
              <w:bottom w:val="single" w:sz="4" w:space="0" w:color="auto"/>
              <w:right w:val="single" w:sz="4" w:space="0" w:color="auto"/>
            </w:tcBorders>
            <w:vAlign w:val="center"/>
            <w:hideMark/>
          </w:tcPr>
          <w:p w14:paraId="1110887D" w14:textId="77777777" w:rsidR="00436363" w:rsidRPr="001E4272" w:rsidRDefault="00436363" w:rsidP="00ED2926">
            <w:pPr>
              <w:spacing w:line="276" w:lineRule="auto"/>
              <w:jc w:val="center"/>
              <w:rPr>
                <w:noProof/>
                <w:sz w:val="18"/>
              </w:rPr>
            </w:pPr>
            <w:r w:rsidRPr="001E4272">
              <w:rPr>
                <w:noProof/>
                <w:sz w:val="18"/>
              </w:rPr>
              <w:t>τρίτων χωρών</w:t>
            </w:r>
          </w:p>
        </w:tc>
        <w:tc>
          <w:tcPr>
            <w:tcW w:w="746" w:type="dxa"/>
            <w:tcBorders>
              <w:top w:val="single" w:sz="4" w:space="0" w:color="auto"/>
              <w:left w:val="single" w:sz="4" w:space="0" w:color="auto"/>
              <w:bottom w:val="single" w:sz="4" w:space="0" w:color="auto"/>
              <w:right w:val="single" w:sz="4" w:space="0" w:color="auto"/>
            </w:tcBorders>
            <w:vAlign w:val="center"/>
            <w:hideMark/>
          </w:tcPr>
          <w:p w14:paraId="4250DB3B" w14:textId="77777777" w:rsidR="00436363" w:rsidRPr="001E4272" w:rsidRDefault="00436363" w:rsidP="00ED2926">
            <w:pPr>
              <w:spacing w:line="276" w:lineRule="auto"/>
              <w:jc w:val="center"/>
              <w:rPr>
                <w:noProof/>
                <w:sz w:val="16"/>
                <w:szCs w:val="16"/>
              </w:rPr>
            </w:pPr>
            <w:r w:rsidRPr="001E4272">
              <w:rPr>
                <w:noProof/>
                <w:sz w:val="16"/>
                <w:szCs w:val="16"/>
              </w:rPr>
              <w:t xml:space="preserve">κατά την έννοια του άρθρου 21 παράγραφος 2 στοιχείο β) του δημοσιονομικού κανονισμού </w:t>
            </w:r>
          </w:p>
        </w:tc>
      </w:tr>
      <w:tr w:rsidR="00436363" w:rsidRPr="001E4272" w14:paraId="092F114D" w14:textId="77777777" w:rsidTr="006A0D14">
        <w:tc>
          <w:tcPr>
            <w:tcW w:w="1080" w:type="dxa"/>
            <w:tcBorders>
              <w:top w:val="single" w:sz="4" w:space="0" w:color="auto"/>
              <w:left w:val="single" w:sz="4" w:space="0" w:color="auto"/>
              <w:bottom w:val="single" w:sz="4" w:space="0" w:color="auto"/>
              <w:right w:val="single" w:sz="4" w:space="0" w:color="auto"/>
            </w:tcBorders>
            <w:vAlign w:val="center"/>
            <w:hideMark/>
          </w:tcPr>
          <w:p w14:paraId="5443D9C3" w14:textId="5C7AD902" w:rsidR="00436363" w:rsidRPr="001E4272" w:rsidRDefault="00A838BB" w:rsidP="00ED2926">
            <w:pPr>
              <w:spacing w:line="276" w:lineRule="auto"/>
              <w:jc w:val="center"/>
              <w:rPr>
                <w:noProof/>
                <w:color w:val="0000FF"/>
              </w:rPr>
            </w:pPr>
            <w:r w:rsidRPr="001E4272">
              <w:rPr>
                <w:noProof/>
                <w:color w:val="0000FF"/>
              </w:rPr>
              <w:t>2β</w:t>
            </w:r>
          </w:p>
        </w:tc>
        <w:tc>
          <w:tcPr>
            <w:tcW w:w="3960" w:type="dxa"/>
            <w:tcBorders>
              <w:top w:val="single" w:sz="4" w:space="0" w:color="auto"/>
              <w:left w:val="single" w:sz="4" w:space="0" w:color="auto"/>
              <w:bottom w:val="single" w:sz="4" w:space="0" w:color="auto"/>
              <w:right w:val="single" w:sz="4" w:space="0" w:color="auto"/>
            </w:tcBorders>
            <w:vAlign w:val="center"/>
          </w:tcPr>
          <w:p w14:paraId="4A05F1CB" w14:textId="77777777" w:rsidR="00436363" w:rsidRPr="001E4272" w:rsidRDefault="00436363" w:rsidP="00ED2926">
            <w:pPr>
              <w:spacing w:before="60" w:line="276" w:lineRule="auto"/>
              <w:rPr>
                <w:noProof/>
              </w:rPr>
            </w:pPr>
            <w:r w:rsidRPr="001E4272">
              <w:rPr>
                <w:noProof/>
              </w:rPr>
              <w:t>071007</w:t>
            </w:r>
          </w:p>
          <w:p w14:paraId="6119DE6C" w14:textId="77777777" w:rsidR="00436363" w:rsidRPr="001E4272" w:rsidRDefault="00436363" w:rsidP="00ED2926">
            <w:pPr>
              <w:spacing w:after="60" w:line="276" w:lineRule="auto"/>
              <w:rPr>
                <w:noProof/>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3876C1BB" w14:textId="77777777" w:rsidR="00436363" w:rsidRPr="001E4272" w:rsidRDefault="00436363" w:rsidP="00ED2926">
            <w:pPr>
              <w:spacing w:line="276" w:lineRule="auto"/>
              <w:jc w:val="center"/>
              <w:rPr>
                <w:noProof/>
                <w:color w:val="0000FF"/>
              </w:rPr>
            </w:pPr>
            <w:r w:rsidRPr="001E4272">
              <w:rPr>
                <w:noProof/>
                <w:sz w:val="18"/>
              </w:rPr>
              <w:t>ΔΠ/ΜΔΠ</w:t>
            </w:r>
          </w:p>
        </w:tc>
        <w:tc>
          <w:tcPr>
            <w:tcW w:w="956" w:type="dxa"/>
            <w:tcBorders>
              <w:top w:val="single" w:sz="4" w:space="0" w:color="auto"/>
              <w:left w:val="single" w:sz="4" w:space="0" w:color="auto"/>
              <w:bottom w:val="single" w:sz="4" w:space="0" w:color="auto"/>
              <w:right w:val="single" w:sz="4" w:space="0" w:color="auto"/>
            </w:tcBorders>
            <w:vAlign w:val="center"/>
            <w:hideMark/>
          </w:tcPr>
          <w:p w14:paraId="3EF2FD5F" w14:textId="77777777" w:rsidR="00436363" w:rsidRPr="001E4272" w:rsidRDefault="00436363" w:rsidP="006A0D14">
            <w:pPr>
              <w:spacing w:line="276" w:lineRule="auto"/>
              <w:jc w:val="center"/>
              <w:rPr>
                <w:noProof/>
                <w:sz w:val="20"/>
                <w:szCs w:val="20"/>
              </w:rPr>
            </w:pPr>
            <w:r w:rsidRPr="001E4272">
              <w:rPr>
                <w:noProof/>
                <w:sz w:val="20"/>
                <w:szCs w:val="20"/>
              </w:rPr>
              <w:t>ΟΧΙ</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AEF0892" w14:textId="77777777" w:rsidR="00436363" w:rsidRPr="001E4272" w:rsidRDefault="00436363" w:rsidP="006A0D14">
            <w:pPr>
              <w:spacing w:line="276" w:lineRule="auto"/>
              <w:jc w:val="center"/>
              <w:rPr>
                <w:noProof/>
                <w:sz w:val="20"/>
                <w:szCs w:val="20"/>
              </w:rPr>
            </w:pPr>
            <w:r w:rsidRPr="001E4272">
              <w:rPr>
                <w:noProof/>
                <w:sz w:val="20"/>
                <w:szCs w:val="20"/>
              </w:rPr>
              <w:t>ΟΧΙ</w:t>
            </w:r>
          </w:p>
        </w:tc>
        <w:tc>
          <w:tcPr>
            <w:tcW w:w="956" w:type="dxa"/>
            <w:tcBorders>
              <w:top w:val="single" w:sz="4" w:space="0" w:color="auto"/>
              <w:left w:val="single" w:sz="4" w:space="0" w:color="auto"/>
              <w:bottom w:val="single" w:sz="4" w:space="0" w:color="auto"/>
              <w:right w:val="single" w:sz="4" w:space="0" w:color="auto"/>
            </w:tcBorders>
            <w:vAlign w:val="center"/>
            <w:hideMark/>
          </w:tcPr>
          <w:p w14:paraId="0F288177" w14:textId="77777777" w:rsidR="00436363" w:rsidRPr="001E4272" w:rsidRDefault="00436363" w:rsidP="006A0D14">
            <w:pPr>
              <w:spacing w:line="276" w:lineRule="auto"/>
              <w:jc w:val="center"/>
              <w:rPr>
                <w:noProof/>
                <w:sz w:val="20"/>
                <w:szCs w:val="20"/>
              </w:rPr>
            </w:pPr>
            <w:r w:rsidRPr="001E4272">
              <w:rPr>
                <w:noProof/>
                <w:sz w:val="20"/>
                <w:szCs w:val="20"/>
              </w:rPr>
              <w:t>ΝΑΙ</w:t>
            </w:r>
          </w:p>
        </w:tc>
        <w:tc>
          <w:tcPr>
            <w:tcW w:w="746" w:type="dxa"/>
            <w:tcBorders>
              <w:top w:val="single" w:sz="4" w:space="0" w:color="auto"/>
              <w:left w:val="single" w:sz="4" w:space="0" w:color="auto"/>
              <w:bottom w:val="single" w:sz="4" w:space="0" w:color="auto"/>
              <w:right w:val="single" w:sz="4" w:space="0" w:color="auto"/>
            </w:tcBorders>
            <w:vAlign w:val="center"/>
            <w:hideMark/>
          </w:tcPr>
          <w:p w14:paraId="1FFB5D17" w14:textId="77777777" w:rsidR="00436363" w:rsidRPr="001E4272" w:rsidRDefault="00436363" w:rsidP="006A0D14">
            <w:pPr>
              <w:spacing w:line="276" w:lineRule="auto"/>
              <w:jc w:val="center"/>
              <w:rPr>
                <w:noProof/>
                <w:sz w:val="20"/>
                <w:szCs w:val="20"/>
              </w:rPr>
            </w:pPr>
            <w:r w:rsidRPr="001E4272">
              <w:rPr>
                <w:noProof/>
                <w:sz w:val="20"/>
                <w:szCs w:val="20"/>
              </w:rPr>
              <w:t>ΟΧΙ</w:t>
            </w:r>
          </w:p>
        </w:tc>
      </w:tr>
    </w:tbl>
    <w:p w14:paraId="6DB7778F" w14:textId="77777777" w:rsidR="00436363" w:rsidRPr="001E4272" w:rsidRDefault="00436363" w:rsidP="00ED2926">
      <w:pPr>
        <w:pStyle w:val="Text1"/>
        <w:rPr>
          <w:noProof/>
        </w:rPr>
      </w:pPr>
    </w:p>
    <w:p w14:paraId="327298D1" w14:textId="77777777" w:rsidR="00436363" w:rsidRPr="001E4272" w:rsidRDefault="00436363" w:rsidP="00917AAD">
      <w:pPr>
        <w:pStyle w:val="ListBullet1"/>
        <w:rPr>
          <w:noProof/>
        </w:rPr>
      </w:pPr>
      <w:r w:rsidRPr="001E4272">
        <w:rPr>
          <w:noProof/>
        </w:rPr>
        <w:t xml:space="preserve">Νέες γραμμές του προϋπολογισμού, των οποίων έχει ζητηθεί η δημιουργία </w:t>
      </w:r>
    </w:p>
    <w:p w14:paraId="715D6B1B" w14:textId="77777777" w:rsidR="000217AE" w:rsidRPr="001E4272" w:rsidRDefault="000217AE" w:rsidP="000217AE">
      <w:pPr>
        <w:pStyle w:val="Text1"/>
        <w:rPr>
          <w:i/>
          <w:noProof/>
          <w:sz w:val="20"/>
        </w:rPr>
      </w:pPr>
      <w:r w:rsidRPr="001E4272">
        <w:rPr>
          <w:noProof/>
          <w:u w:val="single"/>
        </w:rPr>
        <w:t>Κατά σειρά</w:t>
      </w:r>
      <w:r w:rsidRPr="001E4272">
        <w:rPr>
          <w:noProof/>
        </w:rPr>
        <w:t xml:space="preserve"> τομέων του πολυετούς δημοσιονομικού πλαισίου και γραμμών του προϋπολογισμού</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887"/>
      </w:tblGrid>
      <w:tr w:rsidR="000217AE" w:rsidRPr="001E4272" w14:paraId="3072DE4A" w14:textId="77777777" w:rsidTr="006A0D14">
        <w:tc>
          <w:tcPr>
            <w:tcW w:w="1080" w:type="dxa"/>
            <w:vMerge w:val="restart"/>
            <w:vAlign w:val="center"/>
          </w:tcPr>
          <w:p w14:paraId="27E2DB34" w14:textId="77777777" w:rsidR="000217AE" w:rsidRPr="001E4272" w:rsidRDefault="000217AE" w:rsidP="00B2088F">
            <w:pPr>
              <w:spacing w:before="60" w:after="60"/>
              <w:jc w:val="center"/>
              <w:rPr>
                <w:noProof/>
              </w:rPr>
            </w:pPr>
            <w:r w:rsidRPr="001E4272">
              <w:rPr>
                <w:noProof/>
                <w:sz w:val="18"/>
              </w:rPr>
              <w:t>Τομέας του πολυετούς δημοσιονομικού πλαισίου</w:t>
            </w:r>
          </w:p>
        </w:tc>
        <w:tc>
          <w:tcPr>
            <w:tcW w:w="3960" w:type="dxa"/>
            <w:vAlign w:val="center"/>
          </w:tcPr>
          <w:p w14:paraId="45001F0D" w14:textId="77777777" w:rsidR="000217AE" w:rsidRPr="001E4272" w:rsidRDefault="000217AE" w:rsidP="00B2088F">
            <w:pPr>
              <w:spacing w:before="60" w:after="60"/>
              <w:jc w:val="center"/>
              <w:rPr>
                <w:noProof/>
              </w:rPr>
            </w:pPr>
            <w:r w:rsidRPr="001E4272">
              <w:rPr>
                <w:noProof/>
                <w:sz w:val="20"/>
              </w:rPr>
              <w:t>Γραμμή του προϋπολογισμού</w:t>
            </w:r>
          </w:p>
        </w:tc>
        <w:tc>
          <w:tcPr>
            <w:tcW w:w="1080" w:type="dxa"/>
            <w:vAlign w:val="center"/>
          </w:tcPr>
          <w:p w14:paraId="30B4024D" w14:textId="77777777" w:rsidR="000217AE" w:rsidRPr="001E4272" w:rsidRDefault="000217AE" w:rsidP="00B2088F">
            <w:pPr>
              <w:spacing w:before="60" w:after="60"/>
              <w:jc w:val="center"/>
              <w:rPr>
                <w:noProof/>
              </w:rPr>
            </w:pPr>
            <w:r w:rsidRPr="001E4272">
              <w:rPr>
                <w:noProof/>
                <w:sz w:val="18"/>
              </w:rPr>
              <w:t>Είδος</w:t>
            </w:r>
            <w:r w:rsidRPr="001E4272">
              <w:rPr>
                <w:noProof/>
              </w:rPr>
              <w:t xml:space="preserve"> </w:t>
            </w:r>
            <w:r w:rsidRPr="001E4272">
              <w:rPr>
                <w:noProof/>
              </w:rPr>
              <w:br/>
            </w:r>
            <w:r w:rsidRPr="001E4272">
              <w:rPr>
                <w:noProof/>
                <w:sz w:val="18"/>
              </w:rPr>
              <w:t>δαπάνης</w:t>
            </w:r>
          </w:p>
        </w:tc>
        <w:tc>
          <w:tcPr>
            <w:tcW w:w="3879" w:type="dxa"/>
            <w:gridSpan w:val="4"/>
            <w:vAlign w:val="center"/>
          </w:tcPr>
          <w:p w14:paraId="04C90FE1" w14:textId="77777777" w:rsidR="000217AE" w:rsidRPr="001E4272" w:rsidRDefault="000217AE" w:rsidP="00B2088F">
            <w:pPr>
              <w:spacing w:before="60" w:after="60"/>
              <w:jc w:val="center"/>
              <w:rPr>
                <w:noProof/>
              </w:rPr>
            </w:pPr>
            <w:r w:rsidRPr="001E4272">
              <w:rPr>
                <w:noProof/>
                <w:sz w:val="20"/>
              </w:rPr>
              <w:t xml:space="preserve">Συμμετοχή </w:t>
            </w:r>
          </w:p>
        </w:tc>
      </w:tr>
      <w:tr w:rsidR="000217AE" w:rsidRPr="001E4272" w14:paraId="5AE3AA54" w14:textId="77777777" w:rsidTr="006A0D14">
        <w:tc>
          <w:tcPr>
            <w:tcW w:w="1080" w:type="dxa"/>
            <w:vMerge/>
            <w:vAlign w:val="center"/>
          </w:tcPr>
          <w:p w14:paraId="41C69586" w14:textId="77777777" w:rsidR="000217AE" w:rsidRPr="001E4272" w:rsidRDefault="000217AE" w:rsidP="00B2088F">
            <w:pPr>
              <w:rPr>
                <w:noProof/>
              </w:rPr>
            </w:pPr>
          </w:p>
        </w:tc>
        <w:tc>
          <w:tcPr>
            <w:tcW w:w="3960" w:type="dxa"/>
            <w:vAlign w:val="center"/>
          </w:tcPr>
          <w:p w14:paraId="7A630AF2" w14:textId="77777777" w:rsidR="000217AE" w:rsidRPr="001E4272" w:rsidRDefault="000217AE" w:rsidP="00B2088F">
            <w:pPr>
              <w:rPr>
                <w:noProof/>
              </w:rPr>
            </w:pPr>
            <w:r w:rsidRPr="001E4272">
              <w:rPr>
                <w:noProof/>
                <w:sz w:val="20"/>
              </w:rPr>
              <w:t xml:space="preserve">Αριθμός </w:t>
            </w:r>
            <w:r w:rsidRPr="001E4272">
              <w:rPr>
                <w:noProof/>
              </w:rPr>
              <w:t xml:space="preserve"> </w:t>
            </w:r>
            <w:r w:rsidRPr="001E4272">
              <w:rPr>
                <w:noProof/>
              </w:rPr>
              <w:br/>
            </w:r>
          </w:p>
        </w:tc>
        <w:tc>
          <w:tcPr>
            <w:tcW w:w="1080" w:type="dxa"/>
            <w:vAlign w:val="center"/>
          </w:tcPr>
          <w:p w14:paraId="44A7DAE1" w14:textId="77777777" w:rsidR="000217AE" w:rsidRPr="001E4272" w:rsidRDefault="000217AE" w:rsidP="00B2088F">
            <w:pPr>
              <w:jc w:val="center"/>
              <w:rPr>
                <w:noProof/>
              </w:rPr>
            </w:pPr>
            <w:r w:rsidRPr="001E4272">
              <w:rPr>
                <w:noProof/>
                <w:sz w:val="18"/>
              </w:rPr>
              <w:t>ΔΠ/ΜΔΠ</w:t>
            </w:r>
          </w:p>
        </w:tc>
        <w:tc>
          <w:tcPr>
            <w:tcW w:w="956" w:type="dxa"/>
            <w:vAlign w:val="center"/>
          </w:tcPr>
          <w:p w14:paraId="7684B20B" w14:textId="77777777" w:rsidR="000217AE" w:rsidRPr="001E4272" w:rsidRDefault="000217AE" w:rsidP="00B2088F">
            <w:pPr>
              <w:jc w:val="center"/>
              <w:rPr>
                <w:noProof/>
                <w:sz w:val="18"/>
              </w:rPr>
            </w:pPr>
            <w:r w:rsidRPr="001E4272">
              <w:rPr>
                <w:noProof/>
                <w:sz w:val="18"/>
              </w:rPr>
              <w:t>χωρών ΕΖΕΣ</w:t>
            </w:r>
          </w:p>
        </w:tc>
        <w:tc>
          <w:tcPr>
            <w:tcW w:w="1080" w:type="dxa"/>
            <w:vAlign w:val="center"/>
          </w:tcPr>
          <w:p w14:paraId="5BAF34B3" w14:textId="77777777" w:rsidR="000217AE" w:rsidRPr="001E4272" w:rsidRDefault="000217AE" w:rsidP="00B2088F">
            <w:pPr>
              <w:jc w:val="center"/>
              <w:rPr>
                <w:noProof/>
                <w:sz w:val="18"/>
              </w:rPr>
            </w:pPr>
            <w:r w:rsidRPr="001E4272">
              <w:rPr>
                <w:noProof/>
                <w:sz w:val="18"/>
              </w:rPr>
              <w:t>υποψηφίων για ένταξη χωρών</w:t>
            </w:r>
          </w:p>
        </w:tc>
        <w:tc>
          <w:tcPr>
            <w:tcW w:w="956" w:type="dxa"/>
            <w:vAlign w:val="center"/>
          </w:tcPr>
          <w:p w14:paraId="6B8595A9" w14:textId="77777777" w:rsidR="000217AE" w:rsidRPr="001E4272" w:rsidRDefault="000217AE" w:rsidP="00B2088F">
            <w:pPr>
              <w:jc w:val="center"/>
              <w:rPr>
                <w:noProof/>
                <w:sz w:val="18"/>
              </w:rPr>
            </w:pPr>
            <w:r w:rsidRPr="001E4272">
              <w:rPr>
                <w:noProof/>
                <w:sz w:val="18"/>
              </w:rPr>
              <w:t>τρίτων χωρών</w:t>
            </w:r>
          </w:p>
        </w:tc>
        <w:tc>
          <w:tcPr>
            <w:tcW w:w="887" w:type="dxa"/>
            <w:vAlign w:val="center"/>
          </w:tcPr>
          <w:p w14:paraId="7ECB5E0A" w14:textId="77777777" w:rsidR="000217AE" w:rsidRPr="001E4272" w:rsidRDefault="000217AE" w:rsidP="00B2088F">
            <w:pPr>
              <w:jc w:val="center"/>
              <w:rPr>
                <w:noProof/>
              </w:rPr>
            </w:pPr>
            <w:r w:rsidRPr="001E4272">
              <w:rPr>
                <w:noProof/>
                <w:sz w:val="16"/>
              </w:rPr>
              <w:t xml:space="preserve">κατά την έννοια του άρθρου 21 παράγραφος 2 στοιχείο β) του δημοσιονομικού κανονισμού </w:t>
            </w:r>
          </w:p>
        </w:tc>
      </w:tr>
      <w:tr w:rsidR="000217AE" w:rsidRPr="001E4272" w14:paraId="5679B0CC" w14:textId="77777777" w:rsidTr="006A0D14">
        <w:tc>
          <w:tcPr>
            <w:tcW w:w="1080" w:type="dxa"/>
            <w:vAlign w:val="center"/>
          </w:tcPr>
          <w:p w14:paraId="6B0A4CBA" w14:textId="77777777" w:rsidR="000217AE" w:rsidRPr="001E4272" w:rsidRDefault="000217AE" w:rsidP="00B2088F">
            <w:pPr>
              <w:jc w:val="center"/>
              <w:rPr>
                <w:noProof/>
                <w:color w:val="0000FF"/>
              </w:rPr>
            </w:pPr>
          </w:p>
        </w:tc>
        <w:tc>
          <w:tcPr>
            <w:tcW w:w="3960" w:type="dxa"/>
            <w:vAlign w:val="center"/>
          </w:tcPr>
          <w:p w14:paraId="052E7136" w14:textId="77777777" w:rsidR="000217AE" w:rsidRPr="001E4272" w:rsidRDefault="000217AE" w:rsidP="00B2088F">
            <w:pPr>
              <w:spacing w:before="60"/>
              <w:rPr>
                <w:noProof/>
              </w:rPr>
            </w:pPr>
            <w:r w:rsidRPr="001E4272">
              <w:rPr>
                <w:noProof/>
              </w:rPr>
              <w:t>[XX.YY.YY.YY]</w:t>
            </w:r>
          </w:p>
          <w:p w14:paraId="61B9DEFC" w14:textId="77777777" w:rsidR="000217AE" w:rsidRPr="001E4272" w:rsidRDefault="000217AE" w:rsidP="00B2088F">
            <w:pPr>
              <w:spacing w:after="60"/>
              <w:rPr>
                <w:noProof/>
              </w:rPr>
            </w:pPr>
          </w:p>
        </w:tc>
        <w:tc>
          <w:tcPr>
            <w:tcW w:w="1080" w:type="dxa"/>
            <w:vAlign w:val="center"/>
          </w:tcPr>
          <w:p w14:paraId="32AC567E" w14:textId="77777777" w:rsidR="000217AE" w:rsidRPr="001E4272" w:rsidRDefault="000217AE" w:rsidP="00B2088F">
            <w:pPr>
              <w:jc w:val="center"/>
              <w:rPr>
                <w:noProof/>
                <w:color w:val="0000FF"/>
              </w:rPr>
            </w:pPr>
          </w:p>
        </w:tc>
        <w:tc>
          <w:tcPr>
            <w:tcW w:w="956" w:type="dxa"/>
            <w:vAlign w:val="center"/>
          </w:tcPr>
          <w:p w14:paraId="187EFDA9" w14:textId="77777777" w:rsidR="000217AE" w:rsidRPr="001E4272" w:rsidRDefault="000217AE">
            <w:pPr>
              <w:jc w:val="center"/>
              <w:rPr>
                <w:noProof/>
                <w:sz w:val="20"/>
                <w:szCs w:val="20"/>
              </w:rPr>
            </w:pPr>
            <w:r w:rsidRPr="001E4272">
              <w:rPr>
                <w:noProof/>
                <w:sz w:val="20"/>
                <w:szCs w:val="20"/>
              </w:rPr>
              <w:t>ΝΑΙ/ΟΧΙ</w:t>
            </w:r>
          </w:p>
        </w:tc>
        <w:tc>
          <w:tcPr>
            <w:tcW w:w="1080" w:type="dxa"/>
            <w:vAlign w:val="center"/>
          </w:tcPr>
          <w:p w14:paraId="5AD606B9" w14:textId="77777777" w:rsidR="000217AE" w:rsidRPr="001E4272" w:rsidRDefault="000217AE">
            <w:pPr>
              <w:jc w:val="center"/>
              <w:rPr>
                <w:noProof/>
                <w:color w:val="0000FF"/>
                <w:sz w:val="20"/>
                <w:szCs w:val="20"/>
              </w:rPr>
            </w:pPr>
            <w:r w:rsidRPr="001E4272">
              <w:rPr>
                <w:noProof/>
                <w:sz w:val="20"/>
                <w:szCs w:val="20"/>
              </w:rPr>
              <w:t>ΝΑΙ/ΟΧΙ</w:t>
            </w:r>
          </w:p>
        </w:tc>
        <w:tc>
          <w:tcPr>
            <w:tcW w:w="956" w:type="dxa"/>
            <w:vAlign w:val="center"/>
          </w:tcPr>
          <w:p w14:paraId="5FCCC83D" w14:textId="77777777" w:rsidR="000217AE" w:rsidRPr="001E4272" w:rsidRDefault="000217AE">
            <w:pPr>
              <w:jc w:val="center"/>
              <w:rPr>
                <w:noProof/>
                <w:color w:val="0000FF"/>
                <w:sz w:val="20"/>
                <w:szCs w:val="20"/>
              </w:rPr>
            </w:pPr>
            <w:r w:rsidRPr="001E4272">
              <w:rPr>
                <w:noProof/>
                <w:sz w:val="20"/>
                <w:szCs w:val="20"/>
              </w:rPr>
              <w:t>ΝΑΙ/ΟΧΙ</w:t>
            </w:r>
          </w:p>
        </w:tc>
        <w:tc>
          <w:tcPr>
            <w:tcW w:w="887" w:type="dxa"/>
            <w:vAlign w:val="center"/>
          </w:tcPr>
          <w:p w14:paraId="4E2AAE9E" w14:textId="77777777" w:rsidR="000217AE" w:rsidRPr="001E4272" w:rsidRDefault="000217AE">
            <w:pPr>
              <w:jc w:val="center"/>
              <w:rPr>
                <w:noProof/>
                <w:sz w:val="20"/>
                <w:szCs w:val="20"/>
              </w:rPr>
            </w:pPr>
            <w:r w:rsidRPr="001E4272">
              <w:rPr>
                <w:noProof/>
                <w:sz w:val="20"/>
                <w:szCs w:val="20"/>
              </w:rPr>
              <w:t>ΝΑΙ/ΟΧΙ</w:t>
            </w:r>
          </w:p>
        </w:tc>
      </w:tr>
    </w:tbl>
    <w:p w14:paraId="1580744E" w14:textId="77777777" w:rsidR="00436363" w:rsidRPr="001E4272" w:rsidRDefault="00436363" w:rsidP="00ED2926">
      <w:pPr>
        <w:rPr>
          <w:noProof/>
        </w:rPr>
        <w:sectPr w:rsidR="00436363" w:rsidRPr="001E4272" w:rsidSect="00C51A3C">
          <w:pgSz w:w="11907" w:h="16840" w:code="1"/>
          <w:pgMar w:top="1134" w:right="1418" w:bottom="1134" w:left="1418" w:header="709" w:footer="709" w:gutter="0"/>
          <w:cols w:space="708"/>
          <w:docGrid w:linePitch="360"/>
        </w:sectPr>
      </w:pPr>
    </w:p>
    <w:p w14:paraId="7BFA80EA" w14:textId="5261B7D1" w:rsidR="00436363" w:rsidRPr="001E4272" w:rsidRDefault="00F27BFA" w:rsidP="00F27BFA">
      <w:pPr>
        <w:pStyle w:val="ManualHeading2"/>
        <w:rPr>
          <w:bCs/>
          <w:noProof/>
          <w:szCs w:val="24"/>
        </w:rPr>
      </w:pPr>
      <w:bookmarkStart w:id="113" w:name="_Toc514938052"/>
      <w:bookmarkStart w:id="114" w:name="_Toc520485051"/>
      <w:bookmarkStart w:id="115" w:name="_Toc84517598"/>
      <w:r w:rsidRPr="00F27BFA">
        <w:t>3.2.</w:t>
      </w:r>
      <w:r w:rsidRPr="00F27BFA">
        <w:tab/>
      </w:r>
      <w:r w:rsidR="00436363" w:rsidRPr="001E4272">
        <w:rPr>
          <w:noProof/>
        </w:rPr>
        <w:t>Εκτιμώμενες δημοσιονομικές επιπτώσεις της πρότασης στις πιστώσεις</w:t>
      </w:r>
      <w:bookmarkEnd w:id="113"/>
      <w:bookmarkEnd w:id="114"/>
      <w:bookmarkEnd w:id="115"/>
      <w:r w:rsidR="00436363" w:rsidRPr="001E4272">
        <w:rPr>
          <w:noProof/>
        </w:rPr>
        <w:t xml:space="preserve"> </w:t>
      </w:r>
    </w:p>
    <w:p w14:paraId="54309422" w14:textId="55CDC740" w:rsidR="00436363" w:rsidRPr="001E4272" w:rsidRDefault="00F27BFA" w:rsidP="00F27BFA">
      <w:pPr>
        <w:pStyle w:val="ManualHeading3"/>
        <w:rPr>
          <w:noProof/>
        </w:rPr>
      </w:pPr>
      <w:bookmarkStart w:id="116" w:name="_Toc514938053"/>
      <w:bookmarkStart w:id="117" w:name="_Toc520485052"/>
      <w:bookmarkStart w:id="118" w:name="_Toc84517599"/>
      <w:r w:rsidRPr="00F27BFA">
        <w:t>3.2.1.</w:t>
      </w:r>
      <w:r w:rsidRPr="00F27BFA">
        <w:tab/>
      </w:r>
      <w:r w:rsidR="00436363" w:rsidRPr="001E4272">
        <w:rPr>
          <w:noProof/>
        </w:rPr>
        <w:t>Συνοπτική παρουσίαση των εκτιμώμενων επιπτώσεων στις επιχειρησιακές πιστώσεις</w:t>
      </w:r>
      <w:bookmarkEnd w:id="116"/>
      <w:bookmarkEnd w:id="117"/>
      <w:bookmarkEnd w:id="118"/>
      <w:r w:rsidR="00436363" w:rsidRPr="001E4272">
        <w:rPr>
          <w:noProof/>
        </w:rPr>
        <w:t xml:space="preserve"> </w:t>
      </w:r>
    </w:p>
    <w:p w14:paraId="66AFB165" w14:textId="77777777" w:rsidR="00436363" w:rsidRPr="001E4272" w:rsidRDefault="00436363" w:rsidP="00917AAD">
      <w:pPr>
        <w:pStyle w:val="ListDash1"/>
        <w:rPr>
          <w:noProof/>
        </w:rPr>
      </w:pPr>
      <w:r w:rsidRPr="001E4272">
        <w:rPr>
          <w:noProof/>
        </w:rPr>
        <w:sym w:font="Wingdings" w:char="F0A8"/>
      </w:r>
      <w:r w:rsidRPr="001E4272">
        <w:rPr>
          <w:noProof/>
        </w:rPr>
        <w:tab/>
        <w:t xml:space="preserve">Η πρόταση/πρωτοβουλία δεν συνεπάγεται τη χρησιμοποίηση επιχειρησιακών πιστώσεων </w:t>
      </w:r>
    </w:p>
    <w:p w14:paraId="7D354FBF" w14:textId="6B208523" w:rsidR="00436363" w:rsidRPr="001E4272" w:rsidRDefault="002B3C40" w:rsidP="00917AAD">
      <w:pPr>
        <w:pStyle w:val="ListDash1"/>
        <w:rPr>
          <w:noProof/>
        </w:rPr>
      </w:pPr>
      <w:r w:rsidRPr="001E4272">
        <w:rPr>
          <w:noProof/>
        </w:rPr>
        <w:sym w:font="Wingdings" w:char="F0FE"/>
      </w:r>
      <w:r w:rsidRPr="001E4272">
        <w:rPr>
          <w:noProof/>
        </w:rPr>
        <w:t>Η πρόταση/πρωτοβουλία συνεπάγεται τη χρησιμοποίηση επιχειρησιακών πιστώσεων, όπως εξηγείται κατωτέρω:</w:t>
      </w:r>
    </w:p>
    <w:p w14:paraId="01414D59" w14:textId="77777777" w:rsidR="00436363" w:rsidRPr="001E4272" w:rsidRDefault="00436363" w:rsidP="00ED2926">
      <w:pPr>
        <w:jc w:val="right"/>
        <w:rPr>
          <w:noProof/>
          <w:sz w:val="18"/>
          <w:szCs w:val="18"/>
        </w:rPr>
      </w:pPr>
      <w:r w:rsidRPr="001E4272">
        <w:rPr>
          <w:noProof/>
          <w:sz w:val="18"/>
          <w:szCs w:val="18"/>
        </w:rPr>
        <w:t>σε εκατ. EUR (με τρία δεκαδικά ψηφία)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462"/>
      </w:tblGrid>
      <w:tr w:rsidR="00436363" w:rsidRPr="001E4272" w14:paraId="6A4CB58F" w14:textId="77777777" w:rsidTr="006A0D14">
        <w:trPr>
          <w:jc w:val="center"/>
        </w:trPr>
        <w:tc>
          <w:tcPr>
            <w:tcW w:w="4744" w:type="dxa"/>
            <w:shd w:val="clear" w:color="auto" w:fill="auto"/>
            <w:vAlign w:val="center"/>
          </w:tcPr>
          <w:p w14:paraId="414105A8" w14:textId="77777777" w:rsidR="00436363" w:rsidRPr="001E4272" w:rsidRDefault="00436363" w:rsidP="00ED2926">
            <w:pPr>
              <w:spacing w:before="60" w:after="60"/>
              <w:jc w:val="center"/>
              <w:rPr>
                <w:b/>
                <w:noProof/>
              </w:rPr>
            </w:pPr>
            <w:r w:rsidRPr="001E4272">
              <w:rPr>
                <w:b/>
                <w:noProof/>
                <w:sz w:val="22"/>
              </w:rPr>
              <w:t>Τομέας του πολυετούς δημοσιονομικού</w:t>
            </w:r>
            <w:r w:rsidRPr="001E4272">
              <w:rPr>
                <w:noProof/>
              </w:rPr>
              <w:t xml:space="preserve"> </w:t>
            </w:r>
            <w:r w:rsidRPr="001E4272">
              <w:rPr>
                <w:noProof/>
              </w:rPr>
              <w:br/>
            </w:r>
            <w:r w:rsidRPr="001E4272">
              <w:rPr>
                <w:b/>
                <w:noProof/>
                <w:sz w:val="22"/>
              </w:rPr>
              <w:t xml:space="preserve">πλαισίου </w:t>
            </w:r>
          </w:p>
        </w:tc>
        <w:tc>
          <w:tcPr>
            <w:tcW w:w="1080" w:type="dxa"/>
            <w:vAlign w:val="center"/>
          </w:tcPr>
          <w:p w14:paraId="7682CBF4" w14:textId="77777777" w:rsidR="00436363" w:rsidRPr="001E4272" w:rsidRDefault="00436363" w:rsidP="00ED2926">
            <w:pPr>
              <w:spacing w:before="60" w:after="60"/>
              <w:jc w:val="center"/>
              <w:rPr>
                <w:noProof/>
              </w:rPr>
            </w:pPr>
            <w:r w:rsidRPr="001E4272">
              <w:rPr>
                <w:noProof/>
                <w:sz w:val="22"/>
              </w:rPr>
              <w:t>Αριθμός</w:t>
            </w:r>
          </w:p>
        </w:tc>
        <w:tc>
          <w:tcPr>
            <w:tcW w:w="7462" w:type="dxa"/>
            <w:vAlign w:val="center"/>
          </w:tcPr>
          <w:p w14:paraId="12D757B7" w14:textId="77777777" w:rsidR="00436363" w:rsidRPr="001E4272" w:rsidRDefault="000217AE" w:rsidP="00ED2926">
            <w:pPr>
              <w:spacing w:before="60" w:after="60"/>
              <w:rPr>
                <w:noProof/>
              </w:rPr>
            </w:pPr>
            <w:r w:rsidRPr="001E4272">
              <w:rPr>
                <w:noProof/>
              </w:rPr>
              <w:t>Τομέας 7 — Επένδυση στο ανθρώπινο δυναμικό, στην κοινωνική συνοχή και στις αξίες</w:t>
            </w:r>
          </w:p>
        </w:tc>
      </w:tr>
    </w:tbl>
    <w:p w14:paraId="1BDE23FD" w14:textId="77777777" w:rsidR="00436363" w:rsidRPr="001E4272" w:rsidRDefault="00436363" w:rsidP="00ED2926">
      <w:pPr>
        <w:rPr>
          <w:noProof/>
          <w:sz w:val="16"/>
        </w:rPr>
      </w:pPr>
    </w:p>
    <w:tbl>
      <w:tblPr>
        <w:tblW w:w="133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3"/>
        <w:gridCol w:w="1440"/>
        <w:gridCol w:w="35"/>
        <w:gridCol w:w="619"/>
        <w:gridCol w:w="1369"/>
        <w:gridCol w:w="1369"/>
        <w:gridCol w:w="1369"/>
        <w:gridCol w:w="1369"/>
        <w:gridCol w:w="2551"/>
      </w:tblGrid>
      <w:tr w:rsidR="009A3AD8" w:rsidRPr="001E4272" w14:paraId="7C32E8C4" w14:textId="77777777" w:rsidTr="006A0D14">
        <w:tc>
          <w:tcPr>
            <w:tcW w:w="3203" w:type="dxa"/>
            <w:vAlign w:val="center"/>
          </w:tcPr>
          <w:p w14:paraId="3417701C" w14:textId="77777777" w:rsidR="009A3AD8" w:rsidRPr="001E4272" w:rsidRDefault="009A3AD8" w:rsidP="000217AE">
            <w:pPr>
              <w:jc w:val="center"/>
              <w:rPr>
                <w:noProof/>
              </w:rPr>
            </w:pPr>
            <w:r w:rsidRPr="001E4272">
              <w:rPr>
                <w:noProof/>
                <w:sz w:val="22"/>
              </w:rPr>
              <w:t xml:space="preserve">[Οργανισμός]: </w:t>
            </w:r>
            <w:r w:rsidRPr="001E4272">
              <w:rPr>
                <w:noProof/>
              </w:rPr>
              <w:t>Eurojust</w:t>
            </w:r>
          </w:p>
        </w:tc>
        <w:tc>
          <w:tcPr>
            <w:tcW w:w="1475" w:type="dxa"/>
            <w:gridSpan w:val="2"/>
          </w:tcPr>
          <w:p w14:paraId="0234BBCA" w14:textId="77777777" w:rsidR="009A3AD8" w:rsidRPr="001E4272" w:rsidRDefault="009A3AD8" w:rsidP="000217AE">
            <w:pPr>
              <w:rPr>
                <w:noProof/>
                <w:sz w:val="20"/>
                <w:lang w:eastAsia="en-GB"/>
              </w:rPr>
            </w:pPr>
          </w:p>
        </w:tc>
        <w:tc>
          <w:tcPr>
            <w:tcW w:w="619" w:type="dxa"/>
          </w:tcPr>
          <w:p w14:paraId="3C14F126" w14:textId="77777777" w:rsidR="009A3AD8" w:rsidRPr="001E4272" w:rsidRDefault="009A3AD8" w:rsidP="000217AE">
            <w:pPr>
              <w:jc w:val="center"/>
              <w:rPr>
                <w:noProof/>
                <w:sz w:val="20"/>
                <w:lang w:eastAsia="en-GB"/>
              </w:rPr>
            </w:pPr>
          </w:p>
        </w:tc>
        <w:tc>
          <w:tcPr>
            <w:tcW w:w="1369" w:type="dxa"/>
            <w:vAlign w:val="center"/>
          </w:tcPr>
          <w:p w14:paraId="0A742490" w14:textId="77777777" w:rsidR="009A3AD8" w:rsidRPr="001E4272" w:rsidRDefault="009A3AD8" w:rsidP="000217AE">
            <w:pPr>
              <w:jc w:val="center"/>
              <w:rPr>
                <w:noProof/>
                <w:sz w:val="20"/>
              </w:rPr>
            </w:pPr>
            <w:r w:rsidRPr="001E4272">
              <w:rPr>
                <w:noProof/>
                <w:sz w:val="20"/>
              </w:rPr>
              <w:t>Έτος</w:t>
            </w:r>
            <w:r w:rsidRPr="001E4272">
              <w:rPr>
                <w:noProof/>
              </w:rPr>
              <w:t xml:space="preserve"> </w:t>
            </w:r>
            <w:r w:rsidRPr="001E4272">
              <w:rPr>
                <w:noProof/>
              </w:rPr>
              <w:br/>
            </w:r>
            <w:r w:rsidRPr="001E4272">
              <w:rPr>
                <w:b/>
                <w:noProof/>
                <w:sz w:val="20"/>
              </w:rPr>
              <w:t>2024</w:t>
            </w:r>
          </w:p>
        </w:tc>
        <w:tc>
          <w:tcPr>
            <w:tcW w:w="1369" w:type="dxa"/>
            <w:vAlign w:val="center"/>
          </w:tcPr>
          <w:p w14:paraId="24AB660E" w14:textId="77777777" w:rsidR="009A3AD8" w:rsidRPr="001E4272" w:rsidRDefault="009A3AD8" w:rsidP="000217AE">
            <w:pPr>
              <w:jc w:val="center"/>
              <w:rPr>
                <w:noProof/>
                <w:sz w:val="20"/>
              </w:rPr>
            </w:pPr>
            <w:r w:rsidRPr="001E4272">
              <w:rPr>
                <w:noProof/>
                <w:sz w:val="20"/>
              </w:rPr>
              <w:t>Έτος</w:t>
            </w:r>
            <w:r w:rsidRPr="001E4272">
              <w:rPr>
                <w:noProof/>
              </w:rPr>
              <w:t xml:space="preserve"> </w:t>
            </w:r>
            <w:r w:rsidRPr="001E4272">
              <w:rPr>
                <w:noProof/>
              </w:rPr>
              <w:br/>
            </w:r>
            <w:r w:rsidRPr="001E4272">
              <w:rPr>
                <w:b/>
                <w:noProof/>
                <w:sz w:val="20"/>
              </w:rPr>
              <w:t>2025</w:t>
            </w:r>
          </w:p>
        </w:tc>
        <w:tc>
          <w:tcPr>
            <w:tcW w:w="1369" w:type="dxa"/>
            <w:vAlign w:val="center"/>
          </w:tcPr>
          <w:p w14:paraId="5E76F456" w14:textId="77777777" w:rsidR="009A3AD8" w:rsidRPr="001E4272" w:rsidRDefault="009A3AD8" w:rsidP="000217AE">
            <w:pPr>
              <w:jc w:val="center"/>
              <w:rPr>
                <w:noProof/>
                <w:sz w:val="20"/>
              </w:rPr>
            </w:pPr>
            <w:r w:rsidRPr="001E4272">
              <w:rPr>
                <w:noProof/>
                <w:sz w:val="20"/>
              </w:rPr>
              <w:t>Έτος</w:t>
            </w:r>
            <w:r w:rsidRPr="001E4272">
              <w:rPr>
                <w:noProof/>
              </w:rPr>
              <w:t xml:space="preserve"> </w:t>
            </w:r>
            <w:r w:rsidRPr="001E4272">
              <w:rPr>
                <w:noProof/>
              </w:rPr>
              <w:br/>
            </w:r>
            <w:r w:rsidRPr="001E4272">
              <w:rPr>
                <w:b/>
                <w:noProof/>
                <w:sz w:val="20"/>
              </w:rPr>
              <w:t>2026</w:t>
            </w:r>
          </w:p>
        </w:tc>
        <w:tc>
          <w:tcPr>
            <w:tcW w:w="1369" w:type="dxa"/>
            <w:vAlign w:val="center"/>
          </w:tcPr>
          <w:p w14:paraId="14886B80" w14:textId="77777777" w:rsidR="009A3AD8" w:rsidRPr="001E4272" w:rsidRDefault="009A3AD8" w:rsidP="000217AE">
            <w:pPr>
              <w:jc w:val="center"/>
              <w:rPr>
                <w:noProof/>
                <w:sz w:val="20"/>
              </w:rPr>
            </w:pPr>
            <w:r w:rsidRPr="001E4272">
              <w:rPr>
                <w:noProof/>
                <w:sz w:val="20"/>
              </w:rPr>
              <w:t>Έτος</w:t>
            </w:r>
            <w:r w:rsidRPr="001E4272">
              <w:rPr>
                <w:noProof/>
              </w:rPr>
              <w:t xml:space="preserve"> </w:t>
            </w:r>
            <w:r w:rsidRPr="001E4272">
              <w:rPr>
                <w:noProof/>
              </w:rPr>
              <w:br/>
            </w:r>
            <w:r w:rsidRPr="001E4272">
              <w:rPr>
                <w:b/>
                <w:noProof/>
                <w:sz w:val="20"/>
              </w:rPr>
              <w:t>2027</w:t>
            </w:r>
          </w:p>
        </w:tc>
        <w:tc>
          <w:tcPr>
            <w:tcW w:w="2551" w:type="dxa"/>
            <w:vAlign w:val="center"/>
          </w:tcPr>
          <w:p w14:paraId="27B59571" w14:textId="77777777" w:rsidR="009A3AD8" w:rsidRPr="001E4272" w:rsidRDefault="009A3AD8" w:rsidP="000217AE">
            <w:pPr>
              <w:jc w:val="center"/>
              <w:rPr>
                <w:b/>
                <w:noProof/>
                <w:sz w:val="20"/>
              </w:rPr>
            </w:pPr>
            <w:r w:rsidRPr="001E4272">
              <w:rPr>
                <w:b/>
                <w:noProof/>
                <w:sz w:val="20"/>
              </w:rPr>
              <w:t>ΣΥΝΟΛΟ</w:t>
            </w:r>
          </w:p>
        </w:tc>
      </w:tr>
      <w:tr w:rsidR="009A3AD8" w:rsidRPr="001E4272" w14:paraId="5CDE7D4A" w14:textId="77777777" w:rsidTr="006A0D14">
        <w:trPr>
          <w:trHeight w:val="277"/>
        </w:trPr>
        <w:tc>
          <w:tcPr>
            <w:tcW w:w="3203" w:type="dxa"/>
            <w:vMerge w:val="restart"/>
            <w:vAlign w:val="center"/>
          </w:tcPr>
          <w:p w14:paraId="48188EF1" w14:textId="77777777" w:rsidR="009A3AD8" w:rsidRPr="001E4272" w:rsidRDefault="009A3AD8" w:rsidP="000217AE">
            <w:pPr>
              <w:rPr>
                <w:noProof/>
                <w:sz w:val="20"/>
              </w:rPr>
            </w:pPr>
            <w:r w:rsidRPr="001E4272">
              <w:rPr>
                <w:noProof/>
                <w:sz w:val="20"/>
              </w:rPr>
              <w:t>Τίτλος 1</w:t>
            </w:r>
            <w:r w:rsidRPr="001E4272">
              <w:rPr>
                <w:noProof/>
              </w:rPr>
              <w:t xml:space="preserve"> </w:t>
            </w:r>
            <w:r w:rsidRPr="001E4272">
              <w:rPr>
                <w:noProof/>
                <w:sz w:val="20"/>
              </w:rPr>
              <w:t>Δαπάνες προσωπικού</w:t>
            </w:r>
          </w:p>
        </w:tc>
        <w:tc>
          <w:tcPr>
            <w:tcW w:w="1440" w:type="dxa"/>
            <w:vAlign w:val="center"/>
          </w:tcPr>
          <w:p w14:paraId="71308CCA" w14:textId="77777777" w:rsidR="009A3AD8" w:rsidRPr="001E4272" w:rsidRDefault="009A3AD8" w:rsidP="000217AE">
            <w:pPr>
              <w:spacing w:before="20" w:after="20"/>
              <w:rPr>
                <w:noProof/>
              </w:rPr>
            </w:pPr>
            <w:r w:rsidRPr="001E4272">
              <w:rPr>
                <w:noProof/>
                <w:sz w:val="18"/>
              </w:rPr>
              <w:t>Αναλήψεις υποχρεώσεων</w:t>
            </w:r>
          </w:p>
        </w:tc>
        <w:tc>
          <w:tcPr>
            <w:tcW w:w="654" w:type="dxa"/>
            <w:gridSpan w:val="2"/>
            <w:vAlign w:val="center"/>
          </w:tcPr>
          <w:p w14:paraId="6E960808" w14:textId="77777777" w:rsidR="009A3AD8" w:rsidRPr="001E4272" w:rsidRDefault="009A3AD8" w:rsidP="000217AE">
            <w:pPr>
              <w:spacing w:before="20" w:after="20"/>
              <w:jc w:val="center"/>
              <w:rPr>
                <w:noProof/>
                <w:sz w:val="14"/>
              </w:rPr>
            </w:pPr>
            <w:r w:rsidRPr="001E4272">
              <w:rPr>
                <w:noProof/>
                <w:sz w:val="14"/>
              </w:rPr>
              <w:t>(1)</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BF156B" w14:textId="77777777" w:rsidR="009A3AD8" w:rsidRPr="001E4272" w:rsidRDefault="009A3AD8" w:rsidP="006A0D14">
            <w:pPr>
              <w:spacing w:before="20" w:after="20"/>
              <w:jc w:val="right"/>
              <w:rPr>
                <w:noProof/>
                <w:sz w:val="20"/>
                <w:szCs w:val="20"/>
              </w:rPr>
            </w:pPr>
            <w:r w:rsidRPr="001E4272">
              <w:rPr>
                <w:noProof/>
                <w:color w:val="000000"/>
                <w:sz w:val="20"/>
                <w:szCs w:val="20"/>
              </w:rPr>
              <w:t>1,125</w:t>
            </w:r>
          </w:p>
        </w:tc>
        <w:tc>
          <w:tcPr>
            <w:tcW w:w="1369" w:type="dxa"/>
            <w:tcBorders>
              <w:top w:val="single" w:sz="4" w:space="0" w:color="auto"/>
              <w:left w:val="nil"/>
              <w:bottom w:val="single" w:sz="4" w:space="0" w:color="auto"/>
              <w:right w:val="single" w:sz="4" w:space="0" w:color="auto"/>
            </w:tcBorders>
            <w:shd w:val="clear" w:color="auto" w:fill="FFFFFF" w:themeFill="background1"/>
            <w:vAlign w:val="bottom"/>
          </w:tcPr>
          <w:p w14:paraId="19A55CC0" w14:textId="77777777" w:rsidR="009A3AD8" w:rsidRPr="001E4272" w:rsidRDefault="009A3AD8" w:rsidP="006A0D14">
            <w:pPr>
              <w:spacing w:before="20" w:after="20"/>
              <w:jc w:val="right"/>
              <w:rPr>
                <w:noProof/>
                <w:sz w:val="20"/>
                <w:szCs w:val="20"/>
              </w:rPr>
            </w:pPr>
            <w:r w:rsidRPr="001E4272">
              <w:rPr>
                <w:noProof/>
                <w:color w:val="000000"/>
                <w:sz w:val="20"/>
                <w:szCs w:val="20"/>
              </w:rPr>
              <w:t>2,683</w:t>
            </w:r>
          </w:p>
        </w:tc>
        <w:tc>
          <w:tcPr>
            <w:tcW w:w="1369" w:type="dxa"/>
            <w:tcBorders>
              <w:top w:val="single" w:sz="4" w:space="0" w:color="auto"/>
              <w:left w:val="nil"/>
              <w:bottom w:val="single" w:sz="4" w:space="0" w:color="auto"/>
              <w:right w:val="single" w:sz="4" w:space="0" w:color="auto"/>
            </w:tcBorders>
            <w:shd w:val="clear" w:color="auto" w:fill="FFFFFF" w:themeFill="background1"/>
            <w:vAlign w:val="bottom"/>
          </w:tcPr>
          <w:p w14:paraId="77E3F209" w14:textId="77777777" w:rsidR="009A3AD8" w:rsidRPr="001E4272" w:rsidRDefault="009A3AD8" w:rsidP="006A0D14">
            <w:pPr>
              <w:spacing w:before="20" w:after="20"/>
              <w:jc w:val="right"/>
              <w:rPr>
                <w:noProof/>
                <w:sz w:val="20"/>
                <w:szCs w:val="20"/>
              </w:rPr>
            </w:pPr>
            <w:r w:rsidRPr="001E4272">
              <w:rPr>
                <w:noProof/>
                <w:color w:val="000000"/>
                <w:sz w:val="20"/>
                <w:szCs w:val="20"/>
              </w:rPr>
              <w:t>3,376</w:t>
            </w:r>
          </w:p>
        </w:tc>
        <w:tc>
          <w:tcPr>
            <w:tcW w:w="1369" w:type="dxa"/>
            <w:tcBorders>
              <w:top w:val="single" w:sz="4" w:space="0" w:color="auto"/>
              <w:left w:val="nil"/>
              <w:bottom w:val="single" w:sz="4" w:space="0" w:color="auto"/>
              <w:right w:val="single" w:sz="4" w:space="0" w:color="auto"/>
            </w:tcBorders>
            <w:shd w:val="clear" w:color="auto" w:fill="FFFFFF" w:themeFill="background1"/>
            <w:vAlign w:val="bottom"/>
          </w:tcPr>
          <w:p w14:paraId="7EC93DA0" w14:textId="669192ED" w:rsidR="009A3AD8" w:rsidRPr="001E4272" w:rsidRDefault="007A7A43" w:rsidP="006A0D14">
            <w:pPr>
              <w:spacing w:before="20" w:after="20"/>
              <w:jc w:val="right"/>
              <w:rPr>
                <w:noProof/>
                <w:sz w:val="20"/>
                <w:szCs w:val="20"/>
              </w:rPr>
            </w:pPr>
            <w:r w:rsidRPr="001E4272">
              <w:rPr>
                <w:bCs/>
                <w:noProof/>
                <w:color w:val="000000"/>
                <w:sz w:val="20"/>
                <w:szCs w:val="20"/>
              </w:rPr>
              <w:t>3,981</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3F0CE5" w14:textId="1A949D9E" w:rsidR="009A3AD8" w:rsidRPr="001E4272" w:rsidRDefault="009A3AD8" w:rsidP="006A0D14">
            <w:pPr>
              <w:spacing w:before="20" w:after="20"/>
              <w:jc w:val="right"/>
              <w:rPr>
                <w:b/>
                <w:bCs/>
                <w:noProof/>
                <w:sz w:val="20"/>
                <w:szCs w:val="20"/>
              </w:rPr>
            </w:pPr>
            <w:r w:rsidRPr="001E4272">
              <w:rPr>
                <w:b/>
                <w:bCs/>
                <w:noProof/>
                <w:color w:val="000000"/>
                <w:sz w:val="20"/>
                <w:szCs w:val="20"/>
              </w:rPr>
              <w:t>11,165</w:t>
            </w:r>
          </w:p>
        </w:tc>
      </w:tr>
      <w:tr w:rsidR="009A3AD8" w:rsidRPr="001E4272" w14:paraId="7FF1CA9A" w14:textId="77777777" w:rsidTr="006A0D14">
        <w:tc>
          <w:tcPr>
            <w:tcW w:w="3203" w:type="dxa"/>
            <w:vMerge/>
            <w:vAlign w:val="center"/>
          </w:tcPr>
          <w:p w14:paraId="5E796064" w14:textId="77777777" w:rsidR="009A3AD8" w:rsidRPr="001E4272" w:rsidRDefault="009A3AD8" w:rsidP="000217AE">
            <w:pPr>
              <w:rPr>
                <w:noProof/>
                <w:lang w:eastAsia="en-GB"/>
              </w:rPr>
            </w:pPr>
          </w:p>
        </w:tc>
        <w:tc>
          <w:tcPr>
            <w:tcW w:w="1440" w:type="dxa"/>
            <w:vAlign w:val="center"/>
          </w:tcPr>
          <w:p w14:paraId="7173B45E" w14:textId="77777777" w:rsidR="009A3AD8" w:rsidRPr="001E4272" w:rsidRDefault="009A3AD8" w:rsidP="000217AE">
            <w:pPr>
              <w:spacing w:before="20" w:after="20"/>
              <w:rPr>
                <w:noProof/>
                <w:sz w:val="18"/>
              </w:rPr>
            </w:pPr>
            <w:r w:rsidRPr="001E4272">
              <w:rPr>
                <w:noProof/>
                <w:sz w:val="18"/>
              </w:rPr>
              <w:t>Πληρωμές</w:t>
            </w:r>
          </w:p>
        </w:tc>
        <w:tc>
          <w:tcPr>
            <w:tcW w:w="654" w:type="dxa"/>
            <w:gridSpan w:val="2"/>
            <w:vAlign w:val="center"/>
          </w:tcPr>
          <w:p w14:paraId="7EDB6465" w14:textId="77777777" w:rsidR="009A3AD8" w:rsidRPr="001E4272" w:rsidRDefault="009A3AD8" w:rsidP="000217AE">
            <w:pPr>
              <w:spacing w:before="20" w:after="20"/>
              <w:jc w:val="center"/>
              <w:rPr>
                <w:noProof/>
                <w:sz w:val="14"/>
              </w:rPr>
            </w:pPr>
            <w:r w:rsidRPr="001E4272">
              <w:rPr>
                <w:noProof/>
                <w:sz w:val="14"/>
              </w:rPr>
              <w:t>(2)</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A76669" w14:textId="77777777" w:rsidR="009A3AD8" w:rsidRPr="001E4272" w:rsidRDefault="009A3AD8" w:rsidP="006A0D14">
            <w:pPr>
              <w:spacing w:before="20" w:after="20"/>
              <w:jc w:val="right"/>
              <w:rPr>
                <w:noProof/>
                <w:sz w:val="20"/>
                <w:szCs w:val="20"/>
              </w:rPr>
            </w:pPr>
            <w:r w:rsidRPr="001E4272">
              <w:rPr>
                <w:noProof/>
                <w:color w:val="000000"/>
                <w:sz w:val="20"/>
                <w:szCs w:val="20"/>
              </w:rPr>
              <w:t>1,125</w:t>
            </w:r>
          </w:p>
        </w:tc>
        <w:tc>
          <w:tcPr>
            <w:tcW w:w="1369" w:type="dxa"/>
            <w:tcBorders>
              <w:top w:val="single" w:sz="4" w:space="0" w:color="auto"/>
              <w:left w:val="nil"/>
              <w:bottom w:val="single" w:sz="4" w:space="0" w:color="auto"/>
              <w:right w:val="single" w:sz="4" w:space="0" w:color="auto"/>
            </w:tcBorders>
            <w:shd w:val="clear" w:color="auto" w:fill="FFFFFF" w:themeFill="background1"/>
            <w:vAlign w:val="bottom"/>
          </w:tcPr>
          <w:p w14:paraId="4E109D64" w14:textId="77777777" w:rsidR="009A3AD8" w:rsidRPr="001E4272" w:rsidRDefault="009A3AD8" w:rsidP="006A0D14">
            <w:pPr>
              <w:spacing w:before="20" w:after="20"/>
              <w:jc w:val="right"/>
              <w:rPr>
                <w:noProof/>
                <w:sz w:val="20"/>
                <w:szCs w:val="20"/>
              </w:rPr>
            </w:pPr>
            <w:r w:rsidRPr="001E4272">
              <w:rPr>
                <w:noProof/>
                <w:color w:val="000000"/>
                <w:sz w:val="20"/>
                <w:szCs w:val="20"/>
              </w:rPr>
              <w:t>2,683</w:t>
            </w:r>
          </w:p>
        </w:tc>
        <w:tc>
          <w:tcPr>
            <w:tcW w:w="1369" w:type="dxa"/>
            <w:tcBorders>
              <w:top w:val="single" w:sz="4" w:space="0" w:color="auto"/>
              <w:left w:val="nil"/>
              <w:bottom w:val="single" w:sz="4" w:space="0" w:color="auto"/>
              <w:right w:val="single" w:sz="4" w:space="0" w:color="auto"/>
            </w:tcBorders>
            <w:shd w:val="clear" w:color="auto" w:fill="FFFFFF" w:themeFill="background1"/>
            <w:vAlign w:val="bottom"/>
          </w:tcPr>
          <w:p w14:paraId="6E72D799" w14:textId="77777777" w:rsidR="009A3AD8" w:rsidRPr="001E4272" w:rsidRDefault="009A3AD8" w:rsidP="006A0D14">
            <w:pPr>
              <w:spacing w:before="20" w:after="20"/>
              <w:jc w:val="right"/>
              <w:rPr>
                <w:noProof/>
                <w:sz w:val="20"/>
                <w:szCs w:val="20"/>
              </w:rPr>
            </w:pPr>
            <w:r w:rsidRPr="001E4272">
              <w:rPr>
                <w:noProof/>
                <w:color w:val="000000"/>
                <w:sz w:val="20"/>
                <w:szCs w:val="20"/>
              </w:rPr>
              <w:t>3,376</w:t>
            </w:r>
          </w:p>
        </w:tc>
        <w:tc>
          <w:tcPr>
            <w:tcW w:w="1369" w:type="dxa"/>
            <w:tcBorders>
              <w:top w:val="single" w:sz="4" w:space="0" w:color="auto"/>
              <w:left w:val="nil"/>
              <w:bottom w:val="single" w:sz="4" w:space="0" w:color="auto"/>
              <w:right w:val="single" w:sz="4" w:space="0" w:color="auto"/>
            </w:tcBorders>
            <w:shd w:val="clear" w:color="auto" w:fill="FFFFFF" w:themeFill="background1"/>
            <w:vAlign w:val="bottom"/>
          </w:tcPr>
          <w:p w14:paraId="46C5F35B" w14:textId="27640282" w:rsidR="009A3AD8" w:rsidRPr="001E4272" w:rsidRDefault="007A7A43" w:rsidP="006A0D14">
            <w:pPr>
              <w:spacing w:before="20" w:after="20"/>
              <w:jc w:val="right"/>
              <w:rPr>
                <w:noProof/>
                <w:sz w:val="20"/>
                <w:szCs w:val="20"/>
              </w:rPr>
            </w:pPr>
            <w:r w:rsidRPr="001E4272">
              <w:rPr>
                <w:bCs/>
                <w:noProof/>
                <w:color w:val="000000"/>
                <w:sz w:val="20"/>
                <w:szCs w:val="20"/>
              </w:rPr>
              <w:t>3,981</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25CB36" w14:textId="7FF678AD" w:rsidR="009A3AD8" w:rsidRPr="001E4272" w:rsidRDefault="009A3AD8" w:rsidP="006A0D14">
            <w:pPr>
              <w:spacing w:before="20" w:after="20"/>
              <w:jc w:val="right"/>
              <w:rPr>
                <w:b/>
                <w:bCs/>
                <w:noProof/>
                <w:sz w:val="20"/>
                <w:szCs w:val="20"/>
              </w:rPr>
            </w:pPr>
            <w:r w:rsidRPr="001E4272">
              <w:rPr>
                <w:b/>
                <w:bCs/>
                <w:noProof/>
                <w:color w:val="000000"/>
                <w:sz w:val="20"/>
                <w:szCs w:val="20"/>
              </w:rPr>
              <w:t>11,165</w:t>
            </w:r>
          </w:p>
        </w:tc>
      </w:tr>
      <w:tr w:rsidR="009A3AD8" w:rsidRPr="001E4272" w14:paraId="42CFF0B6" w14:textId="77777777" w:rsidTr="006A0D14">
        <w:tc>
          <w:tcPr>
            <w:tcW w:w="3203" w:type="dxa"/>
            <w:vMerge w:val="restart"/>
            <w:vAlign w:val="center"/>
          </w:tcPr>
          <w:p w14:paraId="79F67D0A" w14:textId="77777777" w:rsidR="009A3AD8" w:rsidRPr="001E4272" w:rsidRDefault="009A3AD8" w:rsidP="000217AE">
            <w:pPr>
              <w:rPr>
                <w:noProof/>
              </w:rPr>
            </w:pPr>
            <w:r w:rsidRPr="001E4272">
              <w:rPr>
                <w:noProof/>
                <w:sz w:val="20"/>
              </w:rPr>
              <w:t>Τίτλος 2:</w:t>
            </w:r>
            <w:r w:rsidRPr="001E4272">
              <w:rPr>
                <w:noProof/>
              </w:rPr>
              <w:t xml:space="preserve"> </w:t>
            </w:r>
            <w:r w:rsidRPr="001E4272">
              <w:rPr>
                <w:noProof/>
                <w:sz w:val="20"/>
              </w:rPr>
              <w:t>Δαπάνες υποδομών και λειτουργίας</w:t>
            </w:r>
          </w:p>
        </w:tc>
        <w:tc>
          <w:tcPr>
            <w:tcW w:w="1440" w:type="dxa"/>
            <w:vAlign w:val="center"/>
          </w:tcPr>
          <w:p w14:paraId="0027D5A8" w14:textId="77777777" w:rsidR="009A3AD8" w:rsidRPr="001E4272" w:rsidRDefault="009A3AD8" w:rsidP="000217AE">
            <w:pPr>
              <w:spacing w:before="20" w:after="20"/>
              <w:rPr>
                <w:noProof/>
                <w:sz w:val="18"/>
              </w:rPr>
            </w:pPr>
            <w:r w:rsidRPr="001E4272">
              <w:rPr>
                <w:noProof/>
                <w:sz w:val="18"/>
              </w:rPr>
              <w:t>Αναλήψεις υποχρεώσεων</w:t>
            </w:r>
          </w:p>
        </w:tc>
        <w:tc>
          <w:tcPr>
            <w:tcW w:w="654" w:type="dxa"/>
            <w:gridSpan w:val="2"/>
            <w:vAlign w:val="center"/>
          </w:tcPr>
          <w:p w14:paraId="133C4C99" w14:textId="77777777" w:rsidR="009A3AD8" w:rsidRPr="001E4272" w:rsidRDefault="009A3AD8" w:rsidP="000217AE">
            <w:pPr>
              <w:spacing w:before="20" w:after="20"/>
              <w:jc w:val="center"/>
              <w:rPr>
                <w:noProof/>
                <w:sz w:val="14"/>
              </w:rPr>
            </w:pPr>
            <w:r w:rsidRPr="001E4272">
              <w:rPr>
                <w:noProof/>
                <w:sz w:val="14"/>
              </w:rPr>
              <w:t>(1α)</w:t>
            </w:r>
          </w:p>
        </w:tc>
        <w:tc>
          <w:tcPr>
            <w:tcW w:w="1369" w:type="dxa"/>
            <w:tcBorders>
              <w:top w:val="single" w:sz="4" w:space="0" w:color="auto"/>
              <w:left w:val="single" w:sz="4" w:space="0" w:color="auto"/>
              <w:bottom w:val="single" w:sz="4" w:space="0" w:color="auto"/>
              <w:right w:val="single" w:sz="4" w:space="0" w:color="auto"/>
            </w:tcBorders>
            <w:vAlign w:val="center"/>
          </w:tcPr>
          <w:p w14:paraId="0B5356C3" w14:textId="77777777" w:rsidR="009A3AD8" w:rsidRPr="001E4272" w:rsidRDefault="009A3AD8" w:rsidP="000217AE">
            <w:pPr>
              <w:spacing w:before="20" w:after="20"/>
              <w:jc w:val="right"/>
              <w:rPr>
                <w:noProof/>
                <w:sz w:val="20"/>
                <w:lang w:eastAsia="en-GB"/>
              </w:rPr>
            </w:pPr>
          </w:p>
        </w:tc>
        <w:tc>
          <w:tcPr>
            <w:tcW w:w="1369" w:type="dxa"/>
            <w:tcBorders>
              <w:top w:val="single" w:sz="4" w:space="0" w:color="auto"/>
              <w:left w:val="single" w:sz="4" w:space="0" w:color="auto"/>
              <w:bottom w:val="single" w:sz="4" w:space="0" w:color="auto"/>
              <w:right w:val="single" w:sz="4" w:space="0" w:color="auto"/>
            </w:tcBorders>
            <w:vAlign w:val="center"/>
          </w:tcPr>
          <w:p w14:paraId="17343C22" w14:textId="77777777" w:rsidR="009A3AD8" w:rsidRPr="001E4272" w:rsidRDefault="009A3AD8" w:rsidP="000217AE">
            <w:pPr>
              <w:spacing w:before="20" w:after="20"/>
              <w:jc w:val="right"/>
              <w:rPr>
                <w:noProof/>
                <w:sz w:val="20"/>
                <w:lang w:eastAsia="en-GB"/>
              </w:rPr>
            </w:pPr>
          </w:p>
        </w:tc>
        <w:tc>
          <w:tcPr>
            <w:tcW w:w="1369" w:type="dxa"/>
            <w:tcBorders>
              <w:top w:val="single" w:sz="4" w:space="0" w:color="auto"/>
              <w:left w:val="single" w:sz="4" w:space="0" w:color="auto"/>
              <w:bottom w:val="single" w:sz="4" w:space="0" w:color="auto"/>
              <w:right w:val="single" w:sz="4" w:space="0" w:color="auto"/>
            </w:tcBorders>
            <w:vAlign w:val="center"/>
          </w:tcPr>
          <w:p w14:paraId="49F3A05A" w14:textId="77777777" w:rsidR="009A3AD8" w:rsidRPr="001E4272" w:rsidRDefault="009A3AD8" w:rsidP="000217AE">
            <w:pPr>
              <w:spacing w:before="20" w:after="20"/>
              <w:jc w:val="right"/>
              <w:rPr>
                <w:noProof/>
                <w:sz w:val="20"/>
                <w:lang w:eastAsia="en-GB"/>
              </w:rPr>
            </w:pPr>
          </w:p>
        </w:tc>
        <w:tc>
          <w:tcPr>
            <w:tcW w:w="1369" w:type="dxa"/>
            <w:tcBorders>
              <w:top w:val="single" w:sz="4" w:space="0" w:color="auto"/>
              <w:left w:val="single" w:sz="4" w:space="0" w:color="auto"/>
              <w:bottom w:val="single" w:sz="4" w:space="0" w:color="auto"/>
              <w:right w:val="single" w:sz="4" w:space="0" w:color="auto"/>
            </w:tcBorders>
            <w:vAlign w:val="center"/>
          </w:tcPr>
          <w:p w14:paraId="225B6AFB" w14:textId="77777777" w:rsidR="009A3AD8" w:rsidRPr="001E4272" w:rsidRDefault="009A3AD8" w:rsidP="000217AE">
            <w:pPr>
              <w:spacing w:before="20" w:after="20"/>
              <w:jc w:val="right"/>
              <w:rPr>
                <w:noProof/>
                <w:sz w:val="20"/>
                <w:lang w:eastAsia="en-GB"/>
              </w:rPr>
            </w:pPr>
          </w:p>
        </w:tc>
        <w:tc>
          <w:tcPr>
            <w:tcW w:w="2551" w:type="dxa"/>
            <w:tcBorders>
              <w:top w:val="single" w:sz="4" w:space="0" w:color="auto"/>
              <w:left w:val="single" w:sz="4" w:space="0" w:color="auto"/>
              <w:bottom w:val="single" w:sz="4" w:space="0" w:color="auto"/>
              <w:right w:val="single" w:sz="4" w:space="0" w:color="auto"/>
            </w:tcBorders>
            <w:vAlign w:val="center"/>
          </w:tcPr>
          <w:p w14:paraId="133DBEDD" w14:textId="77777777" w:rsidR="009A3AD8" w:rsidRPr="001E4272" w:rsidRDefault="009A3AD8" w:rsidP="000217AE">
            <w:pPr>
              <w:spacing w:before="20" w:after="20"/>
              <w:jc w:val="right"/>
              <w:rPr>
                <w:b/>
                <w:noProof/>
                <w:sz w:val="20"/>
                <w:lang w:eastAsia="en-GB"/>
              </w:rPr>
            </w:pPr>
          </w:p>
        </w:tc>
      </w:tr>
      <w:tr w:rsidR="009A3AD8" w:rsidRPr="001E4272" w14:paraId="0109B371" w14:textId="77777777" w:rsidTr="006A0D14">
        <w:tc>
          <w:tcPr>
            <w:tcW w:w="3203" w:type="dxa"/>
            <w:vMerge/>
            <w:vAlign w:val="center"/>
          </w:tcPr>
          <w:p w14:paraId="3E525A72" w14:textId="77777777" w:rsidR="009A3AD8" w:rsidRPr="001E4272" w:rsidRDefault="009A3AD8" w:rsidP="000217AE">
            <w:pPr>
              <w:rPr>
                <w:noProof/>
                <w:lang w:eastAsia="en-GB"/>
              </w:rPr>
            </w:pPr>
          </w:p>
        </w:tc>
        <w:tc>
          <w:tcPr>
            <w:tcW w:w="1440" w:type="dxa"/>
            <w:vAlign w:val="center"/>
          </w:tcPr>
          <w:p w14:paraId="7864A991" w14:textId="77777777" w:rsidR="009A3AD8" w:rsidRPr="001E4272" w:rsidRDefault="009A3AD8" w:rsidP="000217AE">
            <w:pPr>
              <w:spacing w:before="20" w:after="20"/>
              <w:rPr>
                <w:noProof/>
                <w:sz w:val="18"/>
              </w:rPr>
            </w:pPr>
            <w:r w:rsidRPr="001E4272">
              <w:rPr>
                <w:noProof/>
                <w:sz w:val="18"/>
              </w:rPr>
              <w:t>Πληρωμές</w:t>
            </w:r>
          </w:p>
        </w:tc>
        <w:tc>
          <w:tcPr>
            <w:tcW w:w="654" w:type="dxa"/>
            <w:gridSpan w:val="2"/>
            <w:vAlign w:val="center"/>
          </w:tcPr>
          <w:p w14:paraId="48CA1DEE" w14:textId="77777777" w:rsidR="009A3AD8" w:rsidRPr="001E4272" w:rsidRDefault="009A3AD8" w:rsidP="000217AE">
            <w:pPr>
              <w:spacing w:before="20" w:after="20"/>
              <w:jc w:val="center"/>
              <w:rPr>
                <w:noProof/>
                <w:sz w:val="14"/>
              </w:rPr>
            </w:pPr>
            <w:r w:rsidRPr="001E4272">
              <w:rPr>
                <w:noProof/>
                <w:sz w:val="14"/>
              </w:rPr>
              <w:t>(2α)</w:t>
            </w:r>
          </w:p>
        </w:tc>
        <w:tc>
          <w:tcPr>
            <w:tcW w:w="1369" w:type="dxa"/>
            <w:tcBorders>
              <w:top w:val="single" w:sz="4" w:space="0" w:color="auto"/>
              <w:left w:val="single" w:sz="4" w:space="0" w:color="auto"/>
              <w:bottom w:val="single" w:sz="4" w:space="0" w:color="auto"/>
              <w:right w:val="single" w:sz="4" w:space="0" w:color="auto"/>
            </w:tcBorders>
            <w:vAlign w:val="center"/>
          </w:tcPr>
          <w:p w14:paraId="0CEB0FDA" w14:textId="77777777" w:rsidR="009A3AD8" w:rsidRPr="001E4272" w:rsidRDefault="009A3AD8" w:rsidP="000217AE">
            <w:pPr>
              <w:spacing w:before="20" w:after="20"/>
              <w:jc w:val="right"/>
              <w:rPr>
                <w:noProof/>
                <w:sz w:val="20"/>
                <w:lang w:eastAsia="en-GB"/>
              </w:rPr>
            </w:pPr>
          </w:p>
        </w:tc>
        <w:tc>
          <w:tcPr>
            <w:tcW w:w="1369" w:type="dxa"/>
            <w:tcBorders>
              <w:top w:val="single" w:sz="4" w:space="0" w:color="auto"/>
              <w:left w:val="single" w:sz="4" w:space="0" w:color="auto"/>
              <w:bottom w:val="single" w:sz="4" w:space="0" w:color="auto"/>
              <w:right w:val="single" w:sz="4" w:space="0" w:color="auto"/>
            </w:tcBorders>
            <w:vAlign w:val="center"/>
          </w:tcPr>
          <w:p w14:paraId="30CBD040" w14:textId="77777777" w:rsidR="009A3AD8" w:rsidRPr="001E4272" w:rsidRDefault="009A3AD8" w:rsidP="000217AE">
            <w:pPr>
              <w:spacing w:before="20" w:after="20"/>
              <w:jc w:val="right"/>
              <w:rPr>
                <w:noProof/>
                <w:sz w:val="20"/>
                <w:lang w:eastAsia="en-GB"/>
              </w:rPr>
            </w:pPr>
          </w:p>
        </w:tc>
        <w:tc>
          <w:tcPr>
            <w:tcW w:w="1369" w:type="dxa"/>
            <w:tcBorders>
              <w:top w:val="single" w:sz="4" w:space="0" w:color="auto"/>
              <w:left w:val="single" w:sz="4" w:space="0" w:color="auto"/>
              <w:bottom w:val="single" w:sz="4" w:space="0" w:color="auto"/>
              <w:right w:val="single" w:sz="4" w:space="0" w:color="auto"/>
            </w:tcBorders>
            <w:vAlign w:val="center"/>
          </w:tcPr>
          <w:p w14:paraId="1600E79E" w14:textId="77777777" w:rsidR="009A3AD8" w:rsidRPr="001E4272" w:rsidRDefault="009A3AD8" w:rsidP="000217AE">
            <w:pPr>
              <w:spacing w:before="20" w:after="20"/>
              <w:jc w:val="right"/>
              <w:rPr>
                <w:noProof/>
                <w:sz w:val="20"/>
                <w:lang w:eastAsia="en-GB"/>
              </w:rPr>
            </w:pPr>
          </w:p>
        </w:tc>
        <w:tc>
          <w:tcPr>
            <w:tcW w:w="1369" w:type="dxa"/>
            <w:tcBorders>
              <w:top w:val="single" w:sz="4" w:space="0" w:color="auto"/>
              <w:left w:val="single" w:sz="4" w:space="0" w:color="auto"/>
              <w:bottom w:val="single" w:sz="4" w:space="0" w:color="auto"/>
              <w:right w:val="single" w:sz="4" w:space="0" w:color="auto"/>
            </w:tcBorders>
            <w:vAlign w:val="center"/>
          </w:tcPr>
          <w:p w14:paraId="3BC24D00" w14:textId="77777777" w:rsidR="009A3AD8" w:rsidRPr="001E4272" w:rsidRDefault="009A3AD8" w:rsidP="000217AE">
            <w:pPr>
              <w:spacing w:before="20" w:after="20"/>
              <w:jc w:val="right"/>
              <w:rPr>
                <w:noProof/>
                <w:sz w:val="20"/>
                <w:lang w:eastAsia="en-GB"/>
              </w:rPr>
            </w:pPr>
          </w:p>
        </w:tc>
        <w:tc>
          <w:tcPr>
            <w:tcW w:w="2551" w:type="dxa"/>
            <w:tcBorders>
              <w:top w:val="single" w:sz="4" w:space="0" w:color="auto"/>
              <w:left w:val="single" w:sz="4" w:space="0" w:color="auto"/>
              <w:bottom w:val="single" w:sz="4" w:space="0" w:color="auto"/>
              <w:right w:val="single" w:sz="4" w:space="0" w:color="auto"/>
            </w:tcBorders>
            <w:vAlign w:val="center"/>
          </w:tcPr>
          <w:p w14:paraId="10329EFB" w14:textId="77777777" w:rsidR="009A3AD8" w:rsidRPr="001E4272" w:rsidRDefault="009A3AD8" w:rsidP="000217AE">
            <w:pPr>
              <w:spacing w:before="20" w:after="20"/>
              <w:jc w:val="right"/>
              <w:rPr>
                <w:b/>
                <w:noProof/>
                <w:sz w:val="20"/>
                <w:lang w:eastAsia="en-GB"/>
              </w:rPr>
            </w:pPr>
          </w:p>
        </w:tc>
      </w:tr>
      <w:tr w:rsidR="009A3AD8" w:rsidRPr="001E4272" w14:paraId="141597AB" w14:textId="77777777" w:rsidTr="006A0D14">
        <w:trPr>
          <w:trHeight w:val="319"/>
        </w:trPr>
        <w:tc>
          <w:tcPr>
            <w:tcW w:w="3203" w:type="dxa"/>
            <w:vAlign w:val="center"/>
          </w:tcPr>
          <w:p w14:paraId="6C35A8A0" w14:textId="77777777" w:rsidR="009A3AD8" w:rsidRPr="001E4272" w:rsidRDefault="009A3AD8" w:rsidP="000217AE">
            <w:pPr>
              <w:spacing w:before="60" w:after="60"/>
              <w:rPr>
                <w:noProof/>
              </w:rPr>
            </w:pPr>
            <w:r w:rsidRPr="001E4272">
              <w:rPr>
                <w:noProof/>
                <w:sz w:val="20"/>
                <w:szCs w:val="20"/>
              </w:rPr>
              <w:t>Τίτλος 3:</w:t>
            </w:r>
            <w:r w:rsidRPr="001E4272">
              <w:rPr>
                <w:noProof/>
              </w:rPr>
              <w:t xml:space="preserve"> </w:t>
            </w:r>
            <w:r w:rsidRPr="001E4272">
              <w:rPr>
                <w:noProof/>
                <w:sz w:val="20"/>
                <w:szCs w:val="20"/>
              </w:rPr>
              <w:t>Επιχειρησιακές δαπάνες</w:t>
            </w:r>
            <w:r w:rsidRPr="001E4272">
              <w:rPr>
                <w:rStyle w:val="FootnoteReference"/>
                <w:noProof/>
              </w:rPr>
              <w:footnoteReference w:id="55"/>
            </w:r>
          </w:p>
        </w:tc>
        <w:tc>
          <w:tcPr>
            <w:tcW w:w="1440" w:type="dxa"/>
            <w:vAlign w:val="center"/>
          </w:tcPr>
          <w:p w14:paraId="6192F344" w14:textId="77777777" w:rsidR="009A3AD8" w:rsidRPr="001E4272" w:rsidRDefault="009A3AD8" w:rsidP="000217AE">
            <w:pPr>
              <w:spacing w:before="40" w:after="40"/>
              <w:rPr>
                <w:noProof/>
                <w:sz w:val="18"/>
              </w:rPr>
            </w:pPr>
            <w:r w:rsidRPr="001E4272">
              <w:rPr>
                <w:noProof/>
                <w:sz w:val="18"/>
              </w:rPr>
              <w:t>Αναλήψεις υποχρεώσεων</w:t>
            </w:r>
          </w:p>
        </w:tc>
        <w:tc>
          <w:tcPr>
            <w:tcW w:w="654" w:type="dxa"/>
            <w:gridSpan w:val="2"/>
            <w:vAlign w:val="center"/>
          </w:tcPr>
          <w:p w14:paraId="5D8B67B8" w14:textId="77777777" w:rsidR="009A3AD8" w:rsidRPr="001E4272" w:rsidRDefault="009A3AD8" w:rsidP="000217AE">
            <w:pPr>
              <w:spacing w:before="40" w:after="40"/>
              <w:jc w:val="center"/>
              <w:rPr>
                <w:noProof/>
                <w:sz w:val="14"/>
              </w:rPr>
            </w:pPr>
            <w:r w:rsidRPr="001E4272">
              <w:rPr>
                <w:noProof/>
                <w:sz w:val="14"/>
              </w:rPr>
              <w:t>(3α)</w:t>
            </w:r>
          </w:p>
        </w:tc>
        <w:tc>
          <w:tcPr>
            <w:tcW w:w="1369" w:type="dxa"/>
            <w:tcBorders>
              <w:top w:val="single" w:sz="4" w:space="0" w:color="auto"/>
              <w:left w:val="single" w:sz="4" w:space="0" w:color="auto"/>
              <w:bottom w:val="single" w:sz="4" w:space="0" w:color="auto"/>
              <w:right w:val="single" w:sz="4" w:space="0" w:color="auto"/>
            </w:tcBorders>
            <w:vAlign w:val="bottom"/>
          </w:tcPr>
          <w:p w14:paraId="4816ECE3" w14:textId="6DEB22B5" w:rsidR="009A3AD8" w:rsidRPr="001E4272" w:rsidRDefault="008E168D" w:rsidP="006A0D14">
            <w:pPr>
              <w:spacing w:before="40" w:after="40"/>
              <w:jc w:val="right"/>
              <w:rPr>
                <w:b/>
                <w:bCs/>
                <w:noProof/>
                <w:sz w:val="20"/>
                <w:szCs w:val="20"/>
              </w:rPr>
            </w:pPr>
            <w:r w:rsidRPr="001E4272">
              <w:rPr>
                <w:noProof/>
                <w:color w:val="000000"/>
                <w:sz w:val="20"/>
                <w:szCs w:val="20"/>
              </w:rPr>
              <w:t>1,033</w:t>
            </w:r>
          </w:p>
        </w:tc>
        <w:tc>
          <w:tcPr>
            <w:tcW w:w="1369" w:type="dxa"/>
            <w:tcBorders>
              <w:top w:val="single" w:sz="4" w:space="0" w:color="auto"/>
              <w:left w:val="nil"/>
              <w:bottom w:val="single" w:sz="4" w:space="0" w:color="auto"/>
              <w:right w:val="single" w:sz="4" w:space="0" w:color="auto"/>
            </w:tcBorders>
            <w:vAlign w:val="bottom"/>
          </w:tcPr>
          <w:p w14:paraId="328AA1A6" w14:textId="766E4F7D" w:rsidR="009A3AD8" w:rsidRPr="001E4272" w:rsidRDefault="009A3AD8" w:rsidP="008E168D">
            <w:pPr>
              <w:spacing w:before="40" w:after="40"/>
              <w:jc w:val="right"/>
              <w:rPr>
                <w:b/>
                <w:bCs/>
                <w:noProof/>
                <w:sz w:val="20"/>
                <w:szCs w:val="20"/>
              </w:rPr>
            </w:pPr>
            <w:r w:rsidRPr="001E4272">
              <w:rPr>
                <w:noProof/>
                <w:color w:val="000000"/>
                <w:sz w:val="20"/>
                <w:szCs w:val="20"/>
              </w:rPr>
              <w:t>8,128</w:t>
            </w:r>
          </w:p>
        </w:tc>
        <w:tc>
          <w:tcPr>
            <w:tcW w:w="1369" w:type="dxa"/>
            <w:tcBorders>
              <w:top w:val="single" w:sz="4" w:space="0" w:color="auto"/>
              <w:left w:val="nil"/>
              <w:bottom w:val="single" w:sz="4" w:space="0" w:color="auto"/>
              <w:right w:val="single" w:sz="4" w:space="0" w:color="auto"/>
            </w:tcBorders>
            <w:vAlign w:val="bottom"/>
          </w:tcPr>
          <w:p w14:paraId="0B682756" w14:textId="77777777" w:rsidR="009A3AD8" w:rsidRPr="001E4272" w:rsidRDefault="009A3AD8" w:rsidP="006A0D14">
            <w:pPr>
              <w:spacing w:before="40" w:after="40"/>
              <w:jc w:val="right"/>
              <w:rPr>
                <w:b/>
                <w:bCs/>
                <w:noProof/>
                <w:sz w:val="20"/>
                <w:szCs w:val="20"/>
              </w:rPr>
            </w:pPr>
            <w:r w:rsidRPr="001E4272">
              <w:rPr>
                <w:noProof/>
                <w:color w:val="000000"/>
                <w:sz w:val="20"/>
                <w:szCs w:val="20"/>
              </w:rPr>
              <w:t>7,027</w:t>
            </w:r>
          </w:p>
        </w:tc>
        <w:tc>
          <w:tcPr>
            <w:tcW w:w="1369" w:type="dxa"/>
            <w:tcBorders>
              <w:top w:val="single" w:sz="4" w:space="0" w:color="auto"/>
              <w:left w:val="nil"/>
              <w:bottom w:val="single" w:sz="4" w:space="0" w:color="auto"/>
              <w:right w:val="single" w:sz="4" w:space="0" w:color="auto"/>
            </w:tcBorders>
            <w:vAlign w:val="bottom"/>
          </w:tcPr>
          <w:p w14:paraId="35B9D367" w14:textId="77777777" w:rsidR="009A3AD8" w:rsidRPr="001E4272" w:rsidRDefault="009A3AD8" w:rsidP="006A0D14">
            <w:pPr>
              <w:spacing w:before="40" w:after="40"/>
              <w:jc w:val="right"/>
              <w:rPr>
                <w:b/>
                <w:bCs/>
                <w:noProof/>
                <w:sz w:val="20"/>
                <w:szCs w:val="20"/>
              </w:rPr>
            </w:pPr>
            <w:r w:rsidRPr="001E4272">
              <w:rPr>
                <w:noProof/>
                <w:color w:val="000000"/>
                <w:sz w:val="20"/>
                <w:szCs w:val="20"/>
              </w:rPr>
              <w:t>5,390</w:t>
            </w:r>
          </w:p>
        </w:tc>
        <w:tc>
          <w:tcPr>
            <w:tcW w:w="2551" w:type="dxa"/>
            <w:tcBorders>
              <w:top w:val="single" w:sz="4" w:space="0" w:color="auto"/>
              <w:left w:val="single" w:sz="4" w:space="0" w:color="auto"/>
              <w:bottom w:val="single" w:sz="4" w:space="0" w:color="auto"/>
              <w:right w:val="single" w:sz="4" w:space="0" w:color="auto"/>
            </w:tcBorders>
            <w:vAlign w:val="bottom"/>
          </w:tcPr>
          <w:p w14:paraId="25ED1A45" w14:textId="268D7481" w:rsidR="009A3AD8" w:rsidRPr="001E4272" w:rsidRDefault="008E168D" w:rsidP="006A0D14">
            <w:pPr>
              <w:spacing w:before="40" w:after="40"/>
              <w:jc w:val="right"/>
              <w:rPr>
                <w:b/>
                <w:bCs/>
                <w:noProof/>
                <w:sz w:val="20"/>
                <w:szCs w:val="20"/>
              </w:rPr>
            </w:pPr>
            <w:r w:rsidRPr="001E4272">
              <w:rPr>
                <w:b/>
                <w:bCs/>
                <w:noProof/>
                <w:sz w:val="20"/>
                <w:szCs w:val="20"/>
              </w:rPr>
              <w:t>21,577</w:t>
            </w:r>
          </w:p>
        </w:tc>
      </w:tr>
      <w:tr w:rsidR="009A3AD8" w:rsidRPr="001E4272" w14:paraId="50FC07B9" w14:textId="77777777" w:rsidTr="006A0D14">
        <w:trPr>
          <w:trHeight w:val="319"/>
        </w:trPr>
        <w:tc>
          <w:tcPr>
            <w:tcW w:w="3203" w:type="dxa"/>
            <w:vAlign w:val="center"/>
          </w:tcPr>
          <w:p w14:paraId="1B68435B" w14:textId="77777777" w:rsidR="009A3AD8" w:rsidRPr="001E4272" w:rsidRDefault="009A3AD8" w:rsidP="000217AE">
            <w:pPr>
              <w:spacing w:before="60" w:after="60"/>
              <w:rPr>
                <w:b/>
                <w:noProof/>
                <w:sz w:val="20"/>
                <w:lang w:eastAsia="en-GB"/>
              </w:rPr>
            </w:pPr>
          </w:p>
        </w:tc>
        <w:tc>
          <w:tcPr>
            <w:tcW w:w="1440" w:type="dxa"/>
            <w:vAlign w:val="center"/>
          </w:tcPr>
          <w:p w14:paraId="09ECB16F" w14:textId="77777777" w:rsidR="009A3AD8" w:rsidRPr="001E4272" w:rsidRDefault="009A3AD8" w:rsidP="000217AE">
            <w:pPr>
              <w:spacing w:before="40" w:after="40"/>
              <w:rPr>
                <w:noProof/>
                <w:sz w:val="18"/>
              </w:rPr>
            </w:pPr>
            <w:r w:rsidRPr="001E4272">
              <w:rPr>
                <w:noProof/>
                <w:sz w:val="18"/>
              </w:rPr>
              <w:t>Πληρωμές</w:t>
            </w:r>
          </w:p>
        </w:tc>
        <w:tc>
          <w:tcPr>
            <w:tcW w:w="654" w:type="dxa"/>
            <w:gridSpan w:val="2"/>
            <w:vAlign w:val="center"/>
          </w:tcPr>
          <w:p w14:paraId="585FABB7" w14:textId="77777777" w:rsidR="009A3AD8" w:rsidRPr="001E4272" w:rsidRDefault="009A3AD8" w:rsidP="000217AE">
            <w:pPr>
              <w:spacing w:before="40" w:after="40"/>
              <w:jc w:val="center"/>
              <w:rPr>
                <w:noProof/>
                <w:sz w:val="14"/>
              </w:rPr>
            </w:pPr>
            <w:r w:rsidRPr="001E4272">
              <w:rPr>
                <w:noProof/>
                <w:sz w:val="14"/>
              </w:rPr>
              <w:t>(3β)</w:t>
            </w:r>
          </w:p>
        </w:tc>
        <w:tc>
          <w:tcPr>
            <w:tcW w:w="1369" w:type="dxa"/>
            <w:tcBorders>
              <w:top w:val="nil"/>
              <w:left w:val="single" w:sz="4" w:space="0" w:color="auto"/>
              <w:bottom w:val="single" w:sz="4" w:space="0" w:color="auto"/>
              <w:right w:val="single" w:sz="4" w:space="0" w:color="auto"/>
            </w:tcBorders>
            <w:vAlign w:val="bottom"/>
          </w:tcPr>
          <w:p w14:paraId="694B74C1" w14:textId="69964B04" w:rsidR="009A3AD8" w:rsidRPr="001E4272" w:rsidRDefault="00900A33" w:rsidP="006A0D14">
            <w:pPr>
              <w:spacing w:before="40" w:after="40"/>
              <w:jc w:val="right"/>
              <w:rPr>
                <w:b/>
                <w:bCs/>
                <w:noProof/>
                <w:sz w:val="20"/>
                <w:szCs w:val="20"/>
              </w:rPr>
            </w:pPr>
            <w:r w:rsidRPr="001E4272">
              <w:rPr>
                <w:noProof/>
                <w:color w:val="000000"/>
                <w:sz w:val="20"/>
                <w:szCs w:val="20"/>
              </w:rPr>
              <w:t>0,578</w:t>
            </w:r>
          </w:p>
        </w:tc>
        <w:tc>
          <w:tcPr>
            <w:tcW w:w="1369" w:type="dxa"/>
            <w:tcBorders>
              <w:top w:val="nil"/>
              <w:left w:val="nil"/>
              <w:bottom w:val="single" w:sz="4" w:space="0" w:color="auto"/>
              <w:right w:val="single" w:sz="4" w:space="0" w:color="auto"/>
            </w:tcBorders>
            <w:vAlign w:val="bottom"/>
          </w:tcPr>
          <w:p w14:paraId="0ECAF1D3" w14:textId="29FF38E8" w:rsidR="009A3AD8" w:rsidRPr="001E4272" w:rsidRDefault="008E168D" w:rsidP="008E168D">
            <w:pPr>
              <w:spacing w:before="40" w:after="40"/>
              <w:jc w:val="right"/>
              <w:rPr>
                <w:b/>
                <w:bCs/>
                <w:noProof/>
                <w:sz w:val="20"/>
                <w:szCs w:val="20"/>
              </w:rPr>
            </w:pPr>
            <w:r w:rsidRPr="001E4272">
              <w:rPr>
                <w:noProof/>
                <w:color w:val="000000"/>
                <w:sz w:val="20"/>
                <w:szCs w:val="20"/>
              </w:rPr>
              <w:t>4,780</w:t>
            </w:r>
          </w:p>
        </w:tc>
        <w:tc>
          <w:tcPr>
            <w:tcW w:w="1369" w:type="dxa"/>
            <w:tcBorders>
              <w:top w:val="nil"/>
              <w:left w:val="nil"/>
              <w:bottom w:val="single" w:sz="4" w:space="0" w:color="auto"/>
              <w:right w:val="single" w:sz="4" w:space="0" w:color="auto"/>
            </w:tcBorders>
            <w:vAlign w:val="bottom"/>
          </w:tcPr>
          <w:p w14:paraId="1AABD9BC" w14:textId="007D72C1" w:rsidR="009A3AD8" w:rsidRPr="001E4272" w:rsidRDefault="009A3AD8" w:rsidP="008E168D">
            <w:pPr>
              <w:spacing w:before="40" w:after="40"/>
              <w:jc w:val="right"/>
              <w:rPr>
                <w:b/>
                <w:bCs/>
                <w:noProof/>
                <w:sz w:val="20"/>
                <w:szCs w:val="20"/>
              </w:rPr>
            </w:pPr>
            <w:r w:rsidRPr="001E4272">
              <w:rPr>
                <w:noProof/>
                <w:color w:val="000000"/>
                <w:sz w:val="20"/>
                <w:szCs w:val="20"/>
              </w:rPr>
              <w:t>6,458</w:t>
            </w:r>
          </w:p>
        </w:tc>
        <w:tc>
          <w:tcPr>
            <w:tcW w:w="1369" w:type="dxa"/>
            <w:tcBorders>
              <w:top w:val="nil"/>
              <w:left w:val="nil"/>
              <w:bottom w:val="single" w:sz="4" w:space="0" w:color="auto"/>
              <w:right w:val="single" w:sz="4" w:space="0" w:color="auto"/>
            </w:tcBorders>
            <w:vAlign w:val="bottom"/>
          </w:tcPr>
          <w:p w14:paraId="4DCCCFF9" w14:textId="734E9638" w:rsidR="009A3AD8" w:rsidRPr="001E4272" w:rsidRDefault="009A3AD8" w:rsidP="008E168D">
            <w:pPr>
              <w:spacing w:before="40" w:after="40"/>
              <w:jc w:val="right"/>
              <w:rPr>
                <w:b/>
                <w:bCs/>
                <w:noProof/>
                <w:sz w:val="20"/>
                <w:szCs w:val="20"/>
              </w:rPr>
            </w:pPr>
            <w:r w:rsidRPr="001E4272">
              <w:rPr>
                <w:noProof/>
                <w:color w:val="000000"/>
                <w:sz w:val="20"/>
                <w:szCs w:val="20"/>
              </w:rPr>
              <w:t>9,771</w:t>
            </w:r>
          </w:p>
        </w:tc>
        <w:tc>
          <w:tcPr>
            <w:tcW w:w="2551" w:type="dxa"/>
            <w:tcBorders>
              <w:top w:val="single" w:sz="4" w:space="0" w:color="auto"/>
              <w:left w:val="single" w:sz="4" w:space="0" w:color="auto"/>
              <w:bottom w:val="single" w:sz="4" w:space="0" w:color="auto"/>
              <w:right w:val="single" w:sz="4" w:space="0" w:color="auto"/>
            </w:tcBorders>
            <w:vAlign w:val="bottom"/>
          </w:tcPr>
          <w:p w14:paraId="0635975A" w14:textId="61BB4573" w:rsidR="009A3AD8" w:rsidRPr="001E4272" w:rsidRDefault="008E168D" w:rsidP="006A0D14">
            <w:pPr>
              <w:spacing w:before="40" w:after="40"/>
              <w:jc w:val="right"/>
              <w:rPr>
                <w:b/>
                <w:bCs/>
                <w:noProof/>
                <w:sz w:val="20"/>
                <w:szCs w:val="20"/>
              </w:rPr>
            </w:pPr>
            <w:r w:rsidRPr="001E4272">
              <w:rPr>
                <w:b/>
                <w:bCs/>
                <w:noProof/>
                <w:sz w:val="20"/>
                <w:szCs w:val="20"/>
              </w:rPr>
              <w:t>21,577</w:t>
            </w:r>
          </w:p>
        </w:tc>
      </w:tr>
      <w:tr w:rsidR="009A3AD8" w:rsidRPr="001E4272" w14:paraId="0AFD01F6" w14:textId="77777777" w:rsidTr="006A0D14">
        <w:tc>
          <w:tcPr>
            <w:tcW w:w="3203" w:type="dxa"/>
            <w:vMerge w:val="restart"/>
            <w:vAlign w:val="center"/>
          </w:tcPr>
          <w:p w14:paraId="6FC12E9A" w14:textId="77777777" w:rsidR="009A3AD8" w:rsidRPr="001E4272" w:rsidRDefault="009A3AD8" w:rsidP="000217AE">
            <w:pPr>
              <w:jc w:val="center"/>
              <w:rPr>
                <w:noProof/>
              </w:rPr>
            </w:pPr>
            <w:r w:rsidRPr="001E4272">
              <w:rPr>
                <w:b/>
                <w:noProof/>
                <w:sz w:val="22"/>
              </w:rPr>
              <w:t>ΣΥΝΟΛΟ πιστώσεων</w:t>
            </w:r>
            <w:r w:rsidRPr="001E4272">
              <w:rPr>
                <w:noProof/>
              </w:rPr>
              <w:t xml:space="preserve"> </w:t>
            </w:r>
            <w:r w:rsidRPr="001E4272">
              <w:rPr>
                <w:noProof/>
              </w:rPr>
              <w:br/>
            </w:r>
            <w:r w:rsidRPr="001E4272">
              <w:rPr>
                <w:b/>
                <w:noProof/>
                <w:sz w:val="22"/>
              </w:rPr>
              <w:t>για την Eurojust</w:t>
            </w:r>
          </w:p>
        </w:tc>
        <w:tc>
          <w:tcPr>
            <w:tcW w:w="1440" w:type="dxa"/>
            <w:vAlign w:val="center"/>
          </w:tcPr>
          <w:p w14:paraId="6125C773" w14:textId="77777777" w:rsidR="009A3AD8" w:rsidRPr="001E4272" w:rsidRDefault="009A3AD8" w:rsidP="000217AE">
            <w:pPr>
              <w:rPr>
                <w:noProof/>
                <w:sz w:val="18"/>
              </w:rPr>
            </w:pPr>
            <w:r w:rsidRPr="001E4272">
              <w:rPr>
                <w:noProof/>
                <w:sz w:val="18"/>
              </w:rPr>
              <w:t>Αναλήψεις υποχρεώσεων</w:t>
            </w:r>
          </w:p>
        </w:tc>
        <w:tc>
          <w:tcPr>
            <w:tcW w:w="654" w:type="dxa"/>
            <w:gridSpan w:val="2"/>
            <w:vAlign w:val="center"/>
          </w:tcPr>
          <w:p w14:paraId="01616A36" w14:textId="77777777" w:rsidR="009A3AD8" w:rsidRPr="001E4272" w:rsidRDefault="009A3AD8" w:rsidP="000217AE">
            <w:pPr>
              <w:jc w:val="center"/>
              <w:rPr>
                <w:noProof/>
                <w:sz w:val="14"/>
              </w:rPr>
            </w:pPr>
            <w:r w:rsidRPr="001E4272">
              <w:rPr>
                <w:noProof/>
                <w:sz w:val="14"/>
              </w:rPr>
              <w:t>=1+1α+3α</w:t>
            </w:r>
          </w:p>
        </w:tc>
        <w:tc>
          <w:tcPr>
            <w:tcW w:w="1369" w:type="dxa"/>
            <w:tcBorders>
              <w:top w:val="single" w:sz="4" w:space="0" w:color="auto"/>
              <w:left w:val="nil"/>
              <w:bottom w:val="single" w:sz="4" w:space="0" w:color="auto"/>
              <w:right w:val="single" w:sz="4" w:space="0" w:color="auto"/>
            </w:tcBorders>
            <w:vAlign w:val="bottom"/>
          </w:tcPr>
          <w:p w14:paraId="11344E85" w14:textId="0D01E25B" w:rsidR="009A3AD8" w:rsidRPr="001E4272" w:rsidRDefault="008E168D" w:rsidP="006A0D14">
            <w:pPr>
              <w:spacing w:before="20" w:after="20"/>
              <w:jc w:val="right"/>
              <w:rPr>
                <w:noProof/>
                <w:sz w:val="20"/>
                <w:szCs w:val="20"/>
              </w:rPr>
            </w:pPr>
            <w:r w:rsidRPr="001E4272">
              <w:rPr>
                <w:noProof/>
                <w:color w:val="000000"/>
                <w:sz w:val="20"/>
                <w:szCs w:val="20"/>
              </w:rPr>
              <w:t>2,158</w:t>
            </w:r>
          </w:p>
        </w:tc>
        <w:tc>
          <w:tcPr>
            <w:tcW w:w="1369" w:type="dxa"/>
            <w:tcBorders>
              <w:top w:val="single" w:sz="4" w:space="0" w:color="auto"/>
              <w:left w:val="single" w:sz="4" w:space="0" w:color="auto"/>
              <w:bottom w:val="single" w:sz="4" w:space="0" w:color="auto"/>
              <w:right w:val="single" w:sz="4" w:space="0" w:color="auto"/>
            </w:tcBorders>
            <w:vAlign w:val="bottom"/>
          </w:tcPr>
          <w:p w14:paraId="1EB500F0" w14:textId="72F9D343" w:rsidR="009A3AD8" w:rsidRPr="001E4272" w:rsidRDefault="008E168D" w:rsidP="006A0D14">
            <w:pPr>
              <w:spacing w:before="20" w:after="20"/>
              <w:jc w:val="right"/>
              <w:rPr>
                <w:noProof/>
                <w:sz w:val="20"/>
                <w:szCs w:val="20"/>
              </w:rPr>
            </w:pPr>
            <w:r w:rsidRPr="001E4272">
              <w:rPr>
                <w:noProof/>
                <w:color w:val="000000"/>
                <w:sz w:val="20"/>
                <w:szCs w:val="20"/>
              </w:rPr>
              <w:t>10,811</w:t>
            </w:r>
          </w:p>
        </w:tc>
        <w:tc>
          <w:tcPr>
            <w:tcW w:w="1369" w:type="dxa"/>
            <w:tcBorders>
              <w:top w:val="single" w:sz="4" w:space="0" w:color="auto"/>
              <w:left w:val="single" w:sz="4" w:space="0" w:color="auto"/>
              <w:bottom w:val="single" w:sz="4" w:space="0" w:color="auto"/>
              <w:right w:val="single" w:sz="4" w:space="0" w:color="auto"/>
            </w:tcBorders>
            <w:vAlign w:val="bottom"/>
          </w:tcPr>
          <w:p w14:paraId="20F1B425" w14:textId="77777777" w:rsidR="009A3AD8" w:rsidRPr="001E4272" w:rsidRDefault="009A3AD8" w:rsidP="006A0D14">
            <w:pPr>
              <w:spacing w:before="20" w:after="20"/>
              <w:jc w:val="right"/>
              <w:rPr>
                <w:noProof/>
                <w:sz w:val="20"/>
                <w:szCs w:val="20"/>
              </w:rPr>
            </w:pPr>
            <w:r w:rsidRPr="001E4272">
              <w:rPr>
                <w:noProof/>
                <w:color w:val="000000"/>
                <w:sz w:val="20"/>
                <w:szCs w:val="20"/>
              </w:rPr>
              <w:t>10,403</w:t>
            </w:r>
          </w:p>
        </w:tc>
        <w:tc>
          <w:tcPr>
            <w:tcW w:w="1369" w:type="dxa"/>
            <w:tcBorders>
              <w:top w:val="single" w:sz="4" w:space="0" w:color="auto"/>
              <w:left w:val="single" w:sz="4" w:space="0" w:color="auto"/>
              <w:bottom w:val="single" w:sz="4" w:space="0" w:color="auto"/>
              <w:right w:val="single" w:sz="4" w:space="0" w:color="auto"/>
            </w:tcBorders>
            <w:vAlign w:val="bottom"/>
          </w:tcPr>
          <w:p w14:paraId="7398AD11" w14:textId="19690D0B" w:rsidR="009A3AD8" w:rsidRPr="001E4272" w:rsidRDefault="009A3AD8" w:rsidP="006A0D14">
            <w:pPr>
              <w:spacing w:before="20" w:after="20"/>
              <w:jc w:val="right"/>
              <w:rPr>
                <w:noProof/>
                <w:sz w:val="20"/>
                <w:szCs w:val="20"/>
              </w:rPr>
            </w:pPr>
            <w:r w:rsidRPr="001E4272">
              <w:rPr>
                <w:noProof/>
                <w:color w:val="000000"/>
                <w:sz w:val="20"/>
                <w:szCs w:val="20"/>
              </w:rPr>
              <w:t>9,371</w:t>
            </w:r>
          </w:p>
        </w:tc>
        <w:tc>
          <w:tcPr>
            <w:tcW w:w="2551" w:type="dxa"/>
            <w:tcBorders>
              <w:top w:val="single" w:sz="4" w:space="0" w:color="auto"/>
              <w:left w:val="single" w:sz="4" w:space="0" w:color="auto"/>
              <w:bottom w:val="single" w:sz="4" w:space="0" w:color="auto"/>
              <w:right w:val="single" w:sz="4" w:space="0" w:color="auto"/>
            </w:tcBorders>
            <w:vAlign w:val="bottom"/>
          </w:tcPr>
          <w:p w14:paraId="73CFEE7C" w14:textId="17D4DA17" w:rsidR="009A3AD8" w:rsidRPr="001E4272" w:rsidRDefault="008E168D" w:rsidP="006A0D14">
            <w:pPr>
              <w:spacing w:before="20" w:after="20"/>
              <w:jc w:val="right"/>
              <w:rPr>
                <w:b/>
                <w:bCs/>
                <w:noProof/>
                <w:sz w:val="20"/>
                <w:szCs w:val="20"/>
              </w:rPr>
            </w:pPr>
            <w:r w:rsidRPr="001E4272">
              <w:rPr>
                <w:b/>
                <w:bCs/>
                <w:noProof/>
                <w:color w:val="000000"/>
                <w:sz w:val="20"/>
                <w:szCs w:val="20"/>
              </w:rPr>
              <w:t>32,743</w:t>
            </w:r>
          </w:p>
        </w:tc>
      </w:tr>
      <w:tr w:rsidR="009A3AD8" w:rsidRPr="001E4272" w14:paraId="04A06BB0" w14:textId="77777777" w:rsidTr="006A0D14">
        <w:tc>
          <w:tcPr>
            <w:tcW w:w="3203" w:type="dxa"/>
            <w:vMerge/>
            <w:vAlign w:val="center"/>
          </w:tcPr>
          <w:p w14:paraId="2740F809" w14:textId="77777777" w:rsidR="009A3AD8" w:rsidRPr="001E4272" w:rsidRDefault="009A3AD8" w:rsidP="000217AE">
            <w:pPr>
              <w:rPr>
                <w:b/>
                <w:noProof/>
                <w:lang w:eastAsia="en-GB"/>
              </w:rPr>
            </w:pPr>
          </w:p>
        </w:tc>
        <w:tc>
          <w:tcPr>
            <w:tcW w:w="1440" w:type="dxa"/>
            <w:vAlign w:val="center"/>
          </w:tcPr>
          <w:p w14:paraId="0278378E" w14:textId="77777777" w:rsidR="009A3AD8" w:rsidRPr="001E4272" w:rsidRDefault="009A3AD8" w:rsidP="000217AE">
            <w:pPr>
              <w:rPr>
                <w:noProof/>
                <w:sz w:val="18"/>
              </w:rPr>
            </w:pPr>
            <w:r w:rsidRPr="001E4272">
              <w:rPr>
                <w:noProof/>
                <w:sz w:val="18"/>
              </w:rPr>
              <w:t>Πληρωμές</w:t>
            </w:r>
          </w:p>
        </w:tc>
        <w:tc>
          <w:tcPr>
            <w:tcW w:w="654" w:type="dxa"/>
            <w:gridSpan w:val="2"/>
            <w:vAlign w:val="center"/>
          </w:tcPr>
          <w:p w14:paraId="58F80499" w14:textId="77777777" w:rsidR="009A3AD8" w:rsidRPr="001E4272" w:rsidRDefault="009A3AD8" w:rsidP="000217AE">
            <w:pPr>
              <w:jc w:val="center"/>
              <w:rPr>
                <w:noProof/>
                <w:sz w:val="14"/>
              </w:rPr>
            </w:pPr>
            <w:r w:rsidRPr="001E4272">
              <w:rPr>
                <w:noProof/>
                <w:sz w:val="14"/>
              </w:rPr>
              <w:t>=2+2α</w:t>
            </w:r>
          </w:p>
          <w:p w14:paraId="3DD53C66" w14:textId="77777777" w:rsidR="009A3AD8" w:rsidRPr="001E4272" w:rsidRDefault="009A3AD8" w:rsidP="000217AE">
            <w:pPr>
              <w:jc w:val="center"/>
              <w:rPr>
                <w:noProof/>
                <w:sz w:val="14"/>
              </w:rPr>
            </w:pPr>
            <w:r w:rsidRPr="001E4272">
              <w:rPr>
                <w:noProof/>
                <w:sz w:val="14"/>
              </w:rPr>
              <w:t>+3β</w:t>
            </w:r>
          </w:p>
        </w:tc>
        <w:tc>
          <w:tcPr>
            <w:tcW w:w="1369" w:type="dxa"/>
            <w:tcBorders>
              <w:top w:val="single" w:sz="4" w:space="0" w:color="auto"/>
              <w:left w:val="nil"/>
              <w:bottom w:val="single" w:sz="4" w:space="0" w:color="auto"/>
              <w:right w:val="single" w:sz="4" w:space="0" w:color="auto"/>
            </w:tcBorders>
            <w:vAlign w:val="bottom"/>
          </w:tcPr>
          <w:p w14:paraId="387AE53B" w14:textId="6D4536BE" w:rsidR="009A3AD8" w:rsidRPr="001E4272" w:rsidRDefault="008E168D" w:rsidP="006A0D14">
            <w:pPr>
              <w:spacing w:before="20" w:after="20"/>
              <w:jc w:val="right"/>
              <w:rPr>
                <w:noProof/>
                <w:sz w:val="20"/>
                <w:szCs w:val="20"/>
              </w:rPr>
            </w:pPr>
            <w:r w:rsidRPr="001E4272">
              <w:rPr>
                <w:noProof/>
                <w:color w:val="000000"/>
                <w:sz w:val="20"/>
                <w:szCs w:val="20"/>
              </w:rPr>
              <w:t>1,693</w:t>
            </w:r>
          </w:p>
        </w:tc>
        <w:tc>
          <w:tcPr>
            <w:tcW w:w="1369" w:type="dxa"/>
            <w:tcBorders>
              <w:top w:val="single" w:sz="4" w:space="0" w:color="auto"/>
              <w:left w:val="single" w:sz="4" w:space="0" w:color="auto"/>
              <w:bottom w:val="single" w:sz="4" w:space="0" w:color="auto"/>
              <w:right w:val="single" w:sz="4" w:space="0" w:color="auto"/>
            </w:tcBorders>
            <w:vAlign w:val="bottom"/>
          </w:tcPr>
          <w:p w14:paraId="5DB8C98B" w14:textId="232B2E96" w:rsidR="009A3AD8" w:rsidRPr="001E4272" w:rsidRDefault="008E168D" w:rsidP="006A0D14">
            <w:pPr>
              <w:spacing w:before="20" w:after="20"/>
              <w:jc w:val="right"/>
              <w:rPr>
                <w:noProof/>
                <w:sz w:val="20"/>
                <w:szCs w:val="20"/>
              </w:rPr>
            </w:pPr>
            <w:r w:rsidRPr="001E4272">
              <w:rPr>
                <w:noProof/>
                <w:color w:val="000000"/>
                <w:sz w:val="20"/>
                <w:szCs w:val="20"/>
              </w:rPr>
              <w:t>7,463</w:t>
            </w:r>
          </w:p>
        </w:tc>
        <w:tc>
          <w:tcPr>
            <w:tcW w:w="1369" w:type="dxa"/>
            <w:tcBorders>
              <w:top w:val="single" w:sz="4" w:space="0" w:color="auto"/>
              <w:left w:val="single" w:sz="4" w:space="0" w:color="auto"/>
              <w:bottom w:val="single" w:sz="4" w:space="0" w:color="auto"/>
              <w:right w:val="single" w:sz="4" w:space="0" w:color="auto"/>
            </w:tcBorders>
            <w:vAlign w:val="bottom"/>
          </w:tcPr>
          <w:p w14:paraId="1518D3C8" w14:textId="3E0580D5" w:rsidR="009A3AD8" w:rsidRPr="001E4272" w:rsidRDefault="008E168D" w:rsidP="006A0D14">
            <w:pPr>
              <w:spacing w:before="20" w:after="20"/>
              <w:jc w:val="right"/>
              <w:rPr>
                <w:noProof/>
                <w:sz w:val="20"/>
                <w:szCs w:val="20"/>
              </w:rPr>
            </w:pPr>
            <w:r w:rsidRPr="001E4272">
              <w:rPr>
                <w:noProof/>
                <w:color w:val="000000"/>
                <w:sz w:val="20"/>
                <w:szCs w:val="20"/>
              </w:rPr>
              <w:t>9,834</w:t>
            </w:r>
          </w:p>
        </w:tc>
        <w:tc>
          <w:tcPr>
            <w:tcW w:w="1369" w:type="dxa"/>
            <w:tcBorders>
              <w:top w:val="single" w:sz="4" w:space="0" w:color="auto"/>
              <w:left w:val="single" w:sz="4" w:space="0" w:color="auto"/>
              <w:bottom w:val="single" w:sz="4" w:space="0" w:color="auto"/>
              <w:right w:val="single" w:sz="4" w:space="0" w:color="auto"/>
            </w:tcBorders>
            <w:vAlign w:val="bottom"/>
          </w:tcPr>
          <w:p w14:paraId="748163EA" w14:textId="5004B7A0" w:rsidR="009A3AD8" w:rsidRPr="001E4272" w:rsidRDefault="002C7C73" w:rsidP="008E168D">
            <w:pPr>
              <w:spacing w:before="20" w:after="20"/>
              <w:jc w:val="right"/>
              <w:rPr>
                <w:noProof/>
                <w:sz w:val="20"/>
                <w:szCs w:val="20"/>
              </w:rPr>
            </w:pPr>
            <w:r w:rsidRPr="001E4272">
              <w:rPr>
                <w:noProof/>
                <w:color w:val="000000"/>
                <w:sz w:val="20"/>
                <w:szCs w:val="20"/>
              </w:rPr>
              <w:t>13,752</w:t>
            </w:r>
          </w:p>
        </w:tc>
        <w:tc>
          <w:tcPr>
            <w:tcW w:w="2551" w:type="dxa"/>
            <w:tcBorders>
              <w:top w:val="single" w:sz="4" w:space="0" w:color="auto"/>
              <w:left w:val="single" w:sz="4" w:space="0" w:color="auto"/>
              <w:bottom w:val="single" w:sz="4" w:space="0" w:color="auto"/>
              <w:right w:val="single" w:sz="4" w:space="0" w:color="auto"/>
            </w:tcBorders>
            <w:vAlign w:val="bottom"/>
          </w:tcPr>
          <w:p w14:paraId="3557CEAC" w14:textId="5916CB46" w:rsidR="009A3AD8" w:rsidRPr="001E4272" w:rsidRDefault="008E168D" w:rsidP="006A0D14">
            <w:pPr>
              <w:spacing w:before="20" w:after="20"/>
              <w:jc w:val="right"/>
              <w:rPr>
                <w:b/>
                <w:bCs/>
                <w:noProof/>
                <w:sz w:val="20"/>
                <w:szCs w:val="20"/>
              </w:rPr>
            </w:pPr>
            <w:r w:rsidRPr="001E4272">
              <w:rPr>
                <w:b/>
                <w:bCs/>
                <w:noProof/>
                <w:color w:val="000000"/>
                <w:sz w:val="20"/>
                <w:szCs w:val="20"/>
              </w:rPr>
              <w:t>32,743</w:t>
            </w:r>
          </w:p>
        </w:tc>
      </w:tr>
    </w:tbl>
    <w:p w14:paraId="194FF231" w14:textId="77777777" w:rsidR="000217AE" w:rsidRPr="001E4272" w:rsidRDefault="000217AE" w:rsidP="00ED2926">
      <w:pPr>
        <w:rPr>
          <w:noProof/>
        </w:rPr>
      </w:pPr>
    </w:p>
    <w:p w14:paraId="2B0AFE92" w14:textId="77777777" w:rsidR="000217AE" w:rsidRPr="001E4272" w:rsidRDefault="000217AE" w:rsidP="00ED2926">
      <w:pPr>
        <w:rPr>
          <w:noProof/>
        </w:rPr>
      </w:pPr>
    </w:p>
    <w:p w14:paraId="5FD4E66D" w14:textId="124AF414" w:rsidR="000217AE" w:rsidRPr="001E4272" w:rsidRDefault="000217AE" w:rsidP="00ED2926">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0217AE" w:rsidRPr="001E4272" w14:paraId="116B9423" w14:textId="77777777" w:rsidTr="00B2088F">
        <w:trPr>
          <w:jc w:val="center"/>
        </w:trPr>
        <w:tc>
          <w:tcPr>
            <w:tcW w:w="4744" w:type="dxa"/>
            <w:shd w:val="thinDiagStripe" w:color="C0C0C0" w:fill="auto"/>
            <w:vAlign w:val="center"/>
          </w:tcPr>
          <w:p w14:paraId="0598D711" w14:textId="77777777" w:rsidR="000217AE" w:rsidRPr="001E4272" w:rsidRDefault="000217AE" w:rsidP="000217AE">
            <w:pPr>
              <w:spacing w:before="60" w:after="60"/>
              <w:jc w:val="center"/>
              <w:rPr>
                <w:b/>
                <w:noProof/>
              </w:rPr>
            </w:pPr>
            <w:r w:rsidRPr="001E4272">
              <w:rPr>
                <w:noProof/>
              </w:rPr>
              <w:br w:type="page"/>
            </w:r>
            <w:r w:rsidRPr="001E4272">
              <w:rPr>
                <w:b/>
                <w:noProof/>
                <w:sz w:val="22"/>
              </w:rPr>
              <w:t>Τομέας του πολυετούς δημοσιονομικού</w:t>
            </w:r>
            <w:r w:rsidRPr="001E4272">
              <w:rPr>
                <w:noProof/>
              </w:rPr>
              <w:t xml:space="preserve"> </w:t>
            </w:r>
            <w:r w:rsidRPr="001E4272">
              <w:rPr>
                <w:noProof/>
              </w:rPr>
              <w:br/>
            </w:r>
            <w:r w:rsidRPr="001E4272">
              <w:rPr>
                <w:b/>
                <w:noProof/>
                <w:sz w:val="22"/>
              </w:rPr>
              <w:t xml:space="preserve">πλαισίου </w:t>
            </w:r>
          </w:p>
        </w:tc>
        <w:tc>
          <w:tcPr>
            <w:tcW w:w="1080" w:type="dxa"/>
            <w:shd w:val="thinDiagStripe" w:color="C0C0C0" w:fill="auto"/>
            <w:vAlign w:val="center"/>
          </w:tcPr>
          <w:p w14:paraId="537F5721" w14:textId="77777777" w:rsidR="000217AE" w:rsidRPr="001E4272" w:rsidRDefault="000217AE" w:rsidP="000217AE">
            <w:pPr>
              <w:spacing w:before="60" w:after="60"/>
              <w:jc w:val="center"/>
              <w:rPr>
                <w:noProof/>
              </w:rPr>
            </w:pPr>
            <w:r w:rsidRPr="001E4272">
              <w:rPr>
                <w:b/>
                <w:noProof/>
                <w:sz w:val="22"/>
              </w:rPr>
              <w:t>7</w:t>
            </w:r>
          </w:p>
        </w:tc>
        <w:tc>
          <w:tcPr>
            <w:tcW w:w="7817" w:type="dxa"/>
            <w:vAlign w:val="center"/>
          </w:tcPr>
          <w:p w14:paraId="573E706B" w14:textId="77777777" w:rsidR="000217AE" w:rsidRPr="001E4272" w:rsidRDefault="000217AE" w:rsidP="000217AE">
            <w:pPr>
              <w:spacing w:before="60" w:after="60"/>
              <w:rPr>
                <w:noProof/>
              </w:rPr>
            </w:pPr>
            <w:r w:rsidRPr="001E4272">
              <w:rPr>
                <w:noProof/>
                <w:sz w:val="22"/>
              </w:rPr>
              <w:t>«Διοικητικές δαπάνες»</w:t>
            </w:r>
          </w:p>
        </w:tc>
      </w:tr>
    </w:tbl>
    <w:p w14:paraId="671EBF54" w14:textId="77777777" w:rsidR="000217AE" w:rsidRPr="001E4272" w:rsidRDefault="000217AE" w:rsidP="000217AE">
      <w:pPr>
        <w:jc w:val="right"/>
        <w:rPr>
          <w:noProof/>
          <w:sz w:val="20"/>
        </w:rPr>
      </w:pPr>
      <w:r w:rsidRPr="001E4272">
        <w:rPr>
          <w:noProof/>
        </w:rPr>
        <w:tab/>
      </w:r>
      <w:r w:rsidRPr="001E4272">
        <w:rPr>
          <w:noProof/>
          <w:sz w:val="20"/>
        </w:rPr>
        <w:t>σε εκατ. EUR (με τρία δεκαδικά ψηφία)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868"/>
        <w:gridCol w:w="692"/>
        <w:gridCol w:w="176"/>
        <w:gridCol w:w="358"/>
        <w:gridCol w:w="1425"/>
        <w:gridCol w:w="1134"/>
        <w:gridCol w:w="1276"/>
        <w:gridCol w:w="1418"/>
        <w:gridCol w:w="2551"/>
      </w:tblGrid>
      <w:tr w:rsidR="001F14ED" w:rsidRPr="001E4272" w14:paraId="3A703853" w14:textId="77777777" w:rsidTr="006A0D14">
        <w:tc>
          <w:tcPr>
            <w:tcW w:w="3960" w:type="dxa"/>
            <w:tcBorders>
              <w:top w:val="nil"/>
              <w:left w:val="nil"/>
              <w:right w:val="nil"/>
            </w:tcBorders>
            <w:vAlign w:val="center"/>
          </w:tcPr>
          <w:p w14:paraId="219EF7B2" w14:textId="77777777" w:rsidR="001F14ED" w:rsidRPr="001E4272" w:rsidRDefault="001F14ED" w:rsidP="000217AE">
            <w:pPr>
              <w:jc w:val="center"/>
              <w:rPr>
                <w:noProof/>
                <w:lang w:eastAsia="en-GB"/>
              </w:rPr>
            </w:pPr>
          </w:p>
        </w:tc>
        <w:tc>
          <w:tcPr>
            <w:tcW w:w="1560" w:type="dxa"/>
            <w:gridSpan w:val="2"/>
            <w:tcBorders>
              <w:top w:val="nil"/>
              <w:left w:val="nil"/>
              <w:right w:val="nil"/>
            </w:tcBorders>
          </w:tcPr>
          <w:p w14:paraId="6A913D01" w14:textId="77777777" w:rsidR="001F14ED" w:rsidRPr="001E4272" w:rsidRDefault="001F14ED" w:rsidP="000217AE">
            <w:pPr>
              <w:rPr>
                <w:noProof/>
                <w:sz w:val="20"/>
                <w:lang w:eastAsia="en-GB"/>
              </w:rPr>
            </w:pPr>
          </w:p>
        </w:tc>
        <w:tc>
          <w:tcPr>
            <w:tcW w:w="534" w:type="dxa"/>
            <w:gridSpan w:val="2"/>
            <w:tcBorders>
              <w:top w:val="nil"/>
              <w:left w:val="nil"/>
            </w:tcBorders>
          </w:tcPr>
          <w:p w14:paraId="60DE4B4B" w14:textId="77777777" w:rsidR="001F14ED" w:rsidRPr="001E4272" w:rsidRDefault="001F14ED" w:rsidP="000217AE">
            <w:pPr>
              <w:jc w:val="center"/>
              <w:rPr>
                <w:noProof/>
                <w:sz w:val="20"/>
                <w:lang w:eastAsia="en-GB"/>
              </w:rPr>
            </w:pPr>
          </w:p>
        </w:tc>
        <w:tc>
          <w:tcPr>
            <w:tcW w:w="1425" w:type="dxa"/>
            <w:vAlign w:val="center"/>
          </w:tcPr>
          <w:p w14:paraId="4AFB66B8" w14:textId="77777777" w:rsidR="001F14ED" w:rsidRPr="001E4272" w:rsidRDefault="001F14ED" w:rsidP="000217AE">
            <w:pPr>
              <w:jc w:val="center"/>
              <w:rPr>
                <w:noProof/>
                <w:sz w:val="20"/>
              </w:rPr>
            </w:pPr>
            <w:r w:rsidRPr="001E4272">
              <w:rPr>
                <w:noProof/>
                <w:sz w:val="20"/>
              </w:rPr>
              <w:t>Έτος</w:t>
            </w:r>
            <w:r w:rsidRPr="001E4272">
              <w:rPr>
                <w:noProof/>
              </w:rPr>
              <w:t xml:space="preserve"> </w:t>
            </w:r>
            <w:r w:rsidRPr="001E4272">
              <w:rPr>
                <w:noProof/>
              </w:rPr>
              <w:br/>
            </w:r>
            <w:r w:rsidRPr="001E4272">
              <w:rPr>
                <w:b/>
                <w:noProof/>
                <w:sz w:val="20"/>
              </w:rPr>
              <w:t>2024</w:t>
            </w:r>
          </w:p>
        </w:tc>
        <w:tc>
          <w:tcPr>
            <w:tcW w:w="1134" w:type="dxa"/>
            <w:tcBorders>
              <w:bottom w:val="single" w:sz="4" w:space="0" w:color="auto"/>
            </w:tcBorders>
            <w:vAlign w:val="center"/>
          </w:tcPr>
          <w:p w14:paraId="29A07EF5" w14:textId="77777777" w:rsidR="001F14ED" w:rsidRPr="001E4272" w:rsidRDefault="001F14ED" w:rsidP="000217AE">
            <w:pPr>
              <w:jc w:val="center"/>
              <w:rPr>
                <w:noProof/>
                <w:sz w:val="20"/>
              </w:rPr>
            </w:pPr>
            <w:r w:rsidRPr="001E4272">
              <w:rPr>
                <w:noProof/>
                <w:sz w:val="20"/>
              </w:rPr>
              <w:t>Έτος</w:t>
            </w:r>
            <w:r w:rsidRPr="001E4272">
              <w:rPr>
                <w:noProof/>
              </w:rPr>
              <w:t xml:space="preserve"> </w:t>
            </w:r>
            <w:r w:rsidRPr="001E4272">
              <w:rPr>
                <w:noProof/>
              </w:rPr>
              <w:br/>
            </w:r>
            <w:r w:rsidRPr="001E4272">
              <w:rPr>
                <w:b/>
                <w:noProof/>
                <w:sz w:val="20"/>
              </w:rPr>
              <w:t>2025</w:t>
            </w:r>
          </w:p>
        </w:tc>
        <w:tc>
          <w:tcPr>
            <w:tcW w:w="1276" w:type="dxa"/>
            <w:tcBorders>
              <w:bottom w:val="single" w:sz="4" w:space="0" w:color="auto"/>
            </w:tcBorders>
            <w:vAlign w:val="center"/>
          </w:tcPr>
          <w:p w14:paraId="0D3335E1" w14:textId="77777777" w:rsidR="001F14ED" w:rsidRPr="001E4272" w:rsidRDefault="001F14ED" w:rsidP="000217AE">
            <w:pPr>
              <w:jc w:val="center"/>
              <w:rPr>
                <w:noProof/>
                <w:sz w:val="20"/>
              </w:rPr>
            </w:pPr>
            <w:r w:rsidRPr="001E4272">
              <w:rPr>
                <w:noProof/>
                <w:sz w:val="20"/>
              </w:rPr>
              <w:t>Έτος</w:t>
            </w:r>
            <w:r w:rsidRPr="001E4272">
              <w:rPr>
                <w:noProof/>
              </w:rPr>
              <w:t xml:space="preserve"> </w:t>
            </w:r>
            <w:r w:rsidRPr="001E4272">
              <w:rPr>
                <w:noProof/>
              </w:rPr>
              <w:br/>
            </w:r>
            <w:r w:rsidRPr="001E4272">
              <w:rPr>
                <w:b/>
                <w:noProof/>
                <w:sz w:val="20"/>
              </w:rPr>
              <w:t>2026</w:t>
            </w:r>
          </w:p>
        </w:tc>
        <w:tc>
          <w:tcPr>
            <w:tcW w:w="1418" w:type="dxa"/>
            <w:tcBorders>
              <w:bottom w:val="single" w:sz="4" w:space="0" w:color="auto"/>
            </w:tcBorders>
          </w:tcPr>
          <w:p w14:paraId="00A6A70C" w14:textId="77777777" w:rsidR="001F14ED" w:rsidRPr="001E4272" w:rsidRDefault="001F14ED" w:rsidP="000217AE">
            <w:pPr>
              <w:jc w:val="center"/>
              <w:rPr>
                <w:noProof/>
                <w:sz w:val="20"/>
              </w:rPr>
            </w:pPr>
            <w:r w:rsidRPr="001E4272">
              <w:rPr>
                <w:noProof/>
                <w:sz w:val="20"/>
              </w:rPr>
              <w:t>Έτος</w:t>
            </w:r>
            <w:r w:rsidRPr="001E4272">
              <w:rPr>
                <w:noProof/>
              </w:rPr>
              <w:t xml:space="preserve"> </w:t>
            </w:r>
            <w:r w:rsidRPr="001E4272">
              <w:rPr>
                <w:noProof/>
              </w:rPr>
              <w:br/>
            </w:r>
            <w:r w:rsidRPr="001E4272">
              <w:rPr>
                <w:b/>
                <w:noProof/>
                <w:sz w:val="20"/>
              </w:rPr>
              <w:t>2027</w:t>
            </w:r>
          </w:p>
        </w:tc>
        <w:tc>
          <w:tcPr>
            <w:tcW w:w="2551" w:type="dxa"/>
            <w:tcBorders>
              <w:bottom w:val="single" w:sz="4" w:space="0" w:color="auto"/>
            </w:tcBorders>
            <w:vAlign w:val="center"/>
          </w:tcPr>
          <w:p w14:paraId="31BCFE30" w14:textId="77777777" w:rsidR="001F14ED" w:rsidRPr="001E4272" w:rsidRDefault="001F14ED" w:rsidP="000217AE">
            <w:pPr>
              <w:jc w:val="center"/>
              <w:rPr>
                <w:b/>
                <w:noProof/>
                <w:sz w:val="20"/>
              </w:rPr>
            </w:pPr>
            <w:r w:rsidRPr="001E4272">
              <w:rPr>
                <w:b/>
                <w:noProof/>
                <w:sz w:val="20"/>
              </w:rPr>
              <w:t>ΣΥΝΟΛΟ</w:t>
            </w:r>
          </w:p>
        </w:tc>
      </w:tr>
      <w:tr w:rsidR="001F14ED" w:rsidRPr="001E4272" w14:paraId="5BE214C9" w14:textId="77777777" w:rsidTr="006A0D14">
        <w:trPr>
          <w:gridAfter w:val="6"/>
          <w:wAfter w:w="8162" w:type="dxa"/>
        </w:trPr>
        <w:tc>
          <w:tcPr>
            <w:tcW w:w="3960" w:type="dxa"/>
            <w:vAlign w:val="center"/>
          </w:tcPr>
          <w:p w14:paraId="7E2DAD87" w14:textId="77777777" w:rsidR="001F14ED" w:rsidRPr="001E4272" w:rsidRDefault="001F14ED" w:rsidP="000217AE">
            <w:pPr>
              <w:spacing w:before="60" w:after="60"/>
              <w:jc w:val="center"/>
              <w:rPr>
                <w:noProof/>
              </w:rPr>
            </w:pPr>
            <w:r w:rsidRPr="001E4272">
              <w:rPr>
                <w:noProof/>
                <w:sz w:val="22"/>
              </w:rPr>
              <w:t xml:space="preserve">ΓΔ: </w:t>
            </w:r>
            <w:r w:rsidRPr="001E4272">
              <w:rPr>
                <w:noProof/>
              </w:rPr>
              <w:t>JUST</w:t>
            </w:r>
          </w:p>
        </w:tc>
        <w:tc>
          <w:tcPr>
            <w:tcW w:w="868" w:type="dxa"/>
          </w:tcPr>
          <w:p w14:paraId="39670B08" w14:textId="77777777" w:rsidR="001F14ED" w:rsidRPr="001E4272" w:rsidRDefault="001F14ED" w:rsidP="000217AE">
            <w:pPr>
              <w:spacing w:before="60" w:after="60"/>
              <w:jc w:val="center"/>
              <w:rPr>
                <w:noProof/>
                <w:sz w:val="22"/>
                <w:lang w:eastAsia="en-GB"/>
              </w:rPr>
            </w:pPr>
          </w:p>
        </w:tc>
        <w:tc>
          <w:tcPr>
            <w:tcW w:w="868" w:type="dxa"/>
            <w:gridSpan w:val="2"/>
          </w:tcPr>
          <w:p w14:paraId="411EF677" w14:textId="77777777" w:rsidR="001F14ED" w:rsidRPr="001E4272" w:rsidRDefault="001F14ED" w:rsidP="000217AE">
            <w:pPr>
              <w:spacing w:before="60" w:after="60"/>
              <w:jc w:val="center"/>
              <w:rPr>
                <w:noProof/>
                <w:sz w:val="22"/>
                <w:lang w:eastAsia="en-GB"/>
              </w:rPr>
            </w:pPr>
          </w:p>
        </w:tc>
      </w:tr>
      <w:tr w:rsidR="001F14ED" w:rsidRPr="001E4272" w14:paraId="0FF98B4E" w14:textId="77777777" w:rsidTr="006A0D14">
        <w:trPr>
          <w:trHeight w:val="313"/>
        </w:trPr>
        <w:tc>
          <w:tcPr>
            <w:tcW w:w="6054" w:type="dxa"/>
            <w:gridSpan w:val="5"/>
            <w:vAlign w:val="center"/>
          </w:tcPr>
          <w:p w14:paraId="0B444FE5" w14:textId="77777777" w:rsidR="001F14ED" w:rsidRPr="001E4272" w:rsidRDefault="001F14ED" w:rsidP="000217AE">
            <w:pPr>
              <w:spacing w:before="20" w:after="20"/>
              <w:rPr>
                <w:noProof/>
              </w:rPr>
            </w:pPr>
            <w:r w:rsidRPr="001E4272">
              <w:rPr>
                <w:noProof/>
                <w:sz w:val="22"/>
              </w:rPr>
              <w:sym w:font="Wingdings" w:char="F09F"/>
            </w:r>
            <w:r w:rsidRPr="001E4272">
              <w:rPr>
                <w:noProof/>
                <w:sz w:val="22"/>
              </w:rPr>
              <w:t xml:space="preserve"> Ανθρώπινοι πόροι </w:t>
            </w:r>
          </w:p>
        </w:tc>
        <w:tc>
          <w:tcPr>
            <w:tcW w:w="1425" w:type="dxa"/>
            <w:vAlign w:val="center"/>
          </w:tcPr>
          <w:p w14:paraId="56B9B4BE" w14:textId="60824D39" w:rsidR="001F14ED" w:rsidRPr="001E4272" w:rsidRDefault="001F14ED" w:rsidP="006A0D14">
            <w:pPr>
              <w:spacing w:before="20" w:after="20"/>
              <w:jc w:val="right"/>
              <w:rPr>
                <w:noProof/>
                <w:sz w:val="20"/>
                <w:szCs w:val="20"/>
              </w:rPr>
            </w:pPr>
            <w:r w:rsidRPr="001E4272">
              <w:rPr>
                <w:noProof/>
                <w:sz w:val="20"/>
                <w:szCs w:val="20"/>
              </w:rPr>
              <w:t>0,238</w:t>
            </w:r>
          </w:p>
        </w:tc>
        <w:tc>
          <w:tcPr>
            <w:tcW w:w="1134" w:type="dxa"/>
            <w:vAlign w:val="center"/>
          </w:tcPr>
          <w:p w14:paraId="2D57D1D7" w14:textId="01D97920" w:rsidR="001F14ED" w:rsidRPr="001E4272" w:rsidRDefault="001F14ED" w:rsidP="006A0D14">
            <w:pPr>
              <w:spacing w:before="20" w:after="20"/>
              <w:jc w:val="right"/>
              <w:rPr>
                <w:noProof/>
                <w:sz w:val="20"/>
                <w:szCs w:val="20"/>
              </w:rPr>
            </w:pPr>
            <w:r w:rsidRPr="001E4272">
              <w:rPr>
                <w:noProof/>
                <w:sz w:val="20"/>
                <w:szCs w:val="20"/>
              </w:rPr>
              <w:t>0,238</w:t>
            </w:r>
          </w:p>
        </w:tc>
        <w:tc>
          <w:tcPr>
            <w:tcW w:w="1276" w:type="dxa"/>
            <w:vAlign w:val="center"/>
          </w:tcPr>
          <w:p w14:paraId="1D19DF67" w14:textId="0F0865F1" w:rsidR="001F14ED" w:rsidRPr="001E4272" w:rsidRDefault="001F14ED" w:rsidP="006A0D14">
            <w:pPr>
              <w:spacing w:before="20" w:after="20"/>
              <w:jc w:val="right"/>
              <w:rPr>
                <w:noProof/>
                <w:sz w:val="20"/>
                <w:szCs w:val="20"/>
              </w:rPr>
            </w:pPr>
            <w:r w:rsidRPr="001E4272">
              <w:rPr>
                <w:noProof/>
                <w:sz w:val="20"/>
                <w:szCs w:val="20"/>
              </w:rPr>
              <w:t>0,238</w:t>
            </w:r>
          </w:p>
        </w:tc>
        <w:tc>
          <w:tcPr>
            <w:tcW w:w="1418" w:type="dxa"/>
          </w:tcPr>
          <w:p w14:paraId="049C3209" w14:textId="503B9390" w:rsidR="001F14ED" w:rsidRPr="001E4272" w:rsidRDefault="001F14ED" w:rsidP="006A0D14">
            <w:pPr>
              <w:spacing w:before="20" w:after="20"/>
              <w:jc w:val="right"/>
              <w:rPr>
                <w:noProof/>
                <w:sz w:val="20"/>
                <w:szCs w:val="20"/>
              </w:rPr>
            </w:pPr>
            <w:r w:rsidRPr="001E4272">
              <w:rPr>
                <w:noProof/>
                <w:sz w:val="20"/>
                <w:szCs w:val="20"/>
              </w:rPr>
              <w:t>0,238</w:t>
            </w:r>
          </w:p>
        </w:tc>
        <w:tc>
          <w:tcPr>
            <w:tcW w:w="2551" w:type="dxa"/>
            <w:vAlign w:val="center"/>
          </w:tcPr>
          <w:p w14:paraId="78DEA1FE" w14:textId="39951215" w:rsidR="001F14ED" w:rsidRPr="001E4272" w:rsidRDefault="00E845AC" w:rsidP="006A0D14">
            <w:pPr>
              <w:spacing w:before="20" w:after="20"/>
              <w:jc w:val="right"/>
              <w:rPr>
                <w:b/>
                <w:bCs/>
                <w:noProof/>
                <w:sz w:val="20"/>
                <w:szCs w:val="20"/>
              </w:rPr>
            </w:pPr>
            <w:r w:rsidRPr="001E4272">
              <w:rPr>
                <w:b/>
                <w:bCs/>
                <w:noProof/>
                <w:sz w:val="20"/>
                <w:szCs w:val="20"/>
              </w:rPr>
              <w:t>0,952</w:t>
            </w:r>
          </w:p>
        </w:tc>
      </w:tr>
      <w:tr w:rsidR="001F14ED" w:rsidRPr="001E4272" w14:paraId="24F5AA1B" w14:textId="77777777" w:rsidTr="006A0D14">
        <w:trPr>
          <w:trHeight w:val="351"/>
        </w:trPr>
        <w:tc>
          <w:tcPr>
            <w:tcW w:w="6054" w:type="dxa"/>
            <w:gridSpan w:val="5"/>
            <w:vAlign w:val="center"/>
          </w:tcPr>
          <w:p w14:paraId="7361F6E4" w14:textId="77777777" w:rsidR="001F14ED" w:rsidRPr="001E4272" w:rsidRDefault="001F14ED" w:rsidP="000217AE">
            <w:pPr>
              <w:spacing w:before="20" w:after="20"/>
              <w:rPr>
                <w:noProof/>
              </w:rPr>
            </w:pPr>
            <w:r w:rsidRPr="001E4272">
              <w:rPr>
                <w:noProof/>
                <w:sz w:val="22"/>
              </w:rPr>
              <w:sym w:font="Wingdings" w:char="F09F"/>
            </w:r>
            <w:r w:rsidRPr="001E4272">
              <w:rPr>
                <w:noProof/>
                <w:sz w:val="22"/>
              </w:rPr>
              <w:t xml:space="preserve"> Άλλες διοικητικές δαπάνες </w:t>
            </w:r>
          </w:p>
        </w:tc>
        <w:tc>
          <w:tcPr>
            <w:tcW w:w="1425" w:type="dxa"/>
            <w:vAlign w:val="center"/>
          </w:tcPr>
          <w:p w14:paraId="10497494" w14:textId="77777777" w:rsidR="001F14ED" w:rsidRPr="001E4272" w:rsidRDefault="001F14ED" w:rsidP="000217AE">
            <w:pPr>
              <w:spacing w:before="20" w:after="20"/>
              <w:jc w:val="right"/>
              <w:rPr>
                <w:b/>
                <w:noProof/>
                <w:sz w:val="20"/>
              </w:rPr>
            </w:pPr>
            <w:r w:rsidRPr="001E4272">
              <w:rPr>
                <w:b/>
                <w:noProof/>
                <w:sz w:val="20"/>
              </w:rPr>
              <w:t>0</w:t>
            </w:r>
          </w:p>
        </w:tc>
        <w:tc>
          <w:tcPr>
            <w:tcW w:w="1134" w:type="dxa"/>
            <w:vAlign w:val="center"/>
          </w:tcPr>
          <w:p w14:paraId="6D0A0D08" w14:textId="77777777" w:rsidR="001F14ED" w:rsidRPr="001E4272" w:rsidRDefault="001F14ED" w:rsidP="000217AE">
            <w:pPr>
              <w:spacing w:before="20" w:after="20"/>
              <w:jc w:val="right"/>
              <w:rPr>
                <w:b/>
                <w:noProof/>
                <w:sz w:val="20"/>
              </w:rPr>
            </w:pPr>
            <w:r w:rsidRPr="001E4272">
              <w:rPr>
                <w:b/>
                <w:noProof/>
                <w:sz w:val="20"/>
              </w:rPr>
              <w:t>0</w:t>
            </w:r>
          </w:p>
        </w:tc>
        <w:tc>
          <w:tcPr>
            <w:tcW w:w="1276" w:type="dxa"/>
            <w:vAlign w:val="center"/>
          </w:tcPr>
          <w:p w14:paraId="35A2DFBF" w14:textId="77777777" w:rsidR="001F14ED" w:rsidRPr="001E4272" w:rsidRDefault="001F14ED" w:rsidP="000217AE">
            <w:pPr>
              <w:spacing w:before="20" w:after="20"/>
              <w:jc w:val="right"/>
              <w:rPr>
                <w:b/>
                <w:noProof/>
                <w:sz w:val="20"/>
              </w:rPr>
            </w:pPr>
            <w:r w:rsidRPr="001E4272">
              <w:rPr>
                <w:b/>
                <w:noProof/>
                <w:sz w:val="20"/>
              </w:rPr>
              <w:t>0</w:t>
            </w:r>
          </w:p>
        </w:tc>
        <w:tc>
          <w:tcPr>
            <w:tcW w:w="1418" w:type="dxa"/>
          </w:tcPr>
          <w:p w14:paraId="446E7555" w14:textId="77777777" w:rsidR="001F14ED" w:rsidRPr="001E4272" w:rsidRDefault="001F14ED" w:rsidP="000217AE">
            <w:pPr>
              <w:spacing w:before="20" w:after="20"/>
              <w:jc w:val="right"/>
              <w:rPr>
                <w:b/>
                <w:noProof/>
                <w:sz w:val="20"/>
              </w:rPr>
            </w:pPr>
            <w:r w:rsidRPr="001E4272">
              <w:rPr>
                <w:b/>
                <w:noProof/>
                <w:sz w:val="20"/>
              </w:rPr>
              <w:t>0</w:t>
            </w:r>
          </w:p>
        </w:tc>
        <w:tc>
          <w:tcPr>
            <w:tcW w:w="2551" w:type="dxa"/>
            <w:vAlign w:val="center"/>
          </w:tcPr>
          <w:p w14:paraId="69C42614" w14:textId="77777777" w:rsidR="001F14ED" w:rsidRPr="001E4272" w:rsidRDefault="001F14ED" w:rsidP="000217AE">
            <w:pPr>
              <w:spacing w:before="20" w:after="20"/>
              <w:jc w:val="right"/>
              <w:rPr>
                <w:b/>
                <w:noProof/>
                <w:sz w:val="20"/>
              </w:rPr>
            </w:pPr>
            <w:r w:rsidRPr="001E4272">
              <w:rPr>
                <w:b/>
                <w:noProof/>
                <w:sz w:val="20"/>
              </w:rPr>
              <w:t>0</w:t>
            </w:r>
          </w:p>
        </w:tc>
      </w:tr>
      <w:tr w:rsidR="001F14ED" w:rsidRPr="001E4272" w14:paraId="116774F9" w14:textId="77777777" w:rsidTr="006A0D14">
        <w:tc>
          <w:tcPr>
            <w:tcW w:w="3960" w:type="dxa"/>
            <w:vAlign w:val="center"/>
          </w:tcPr>
          <w:p w14:paraId="7F8B834E" w14:textId="77777777" w:rsidR="001F14ED" w:rsidRPr="001E4272" w:rsidRDefault="001F14ED">
            <w:pPr>
              <w:jc w:val="center"/>
              <w:rPr>
                <w:b/>
                <w:bCs/>
                <w:noProof/>
              </w:rPr>
            </w:pPr>
            <w:r w:rsidRPr="001E4272">
              <w:rPr>
                <w:b/>
                <w:bCs/>
                <w:noProof/>
                <w:sz w:val="22"/>
              </w:rPr>
              <w:t xml:space="preserve">ΣΥΝΟΛΟ ΓΔ </w:t>
            </w:r>
            <w:r w:rsidRPr="001E4272">
              <w:rPr>
                <w:noProof/>
              </w:rPr>
              <w:t>JUST</w:t>
            </w:r>
          </w:p>
        </w:tc>
        <w:tc>
          <w:tcPr>
            <w:tcW w:w="2094" w:type="dxa"/>
            <w:gridSpan w:val="4"/>
            <w:vAlign w:val="center"/>
          </w:tcPr>
          <w:p w14:paraId="26393BB4" w14:textId="77777777" w:rsidR="001F14ED" w:rsidRPr="001E4272" w:rsidRDefault="001F14ED" w:rsidP="000217AE">
            <w:pPr>
              <w:rPr>
                <w:noProof/>
                <w:sz w:val="14"/>
              </w:rPr>
            </w:pPr>
            <w:r w:rsidRPr="001E4272">
              <w:rPr>
                <w:noProof/>
                <w:sz w:val="18"/>
              </w:rPr>
              <w:t xml:space="preserve">Πιστώσεις </w:t>
            </w:r>
          </w:p>
        </w:tc>
        <w:tc>
          <w:tcPr>
            <w:tcW w:w="1425" w:type="dxa"/>
            <w:vAlign w:val="center"/>
          </w:tcPr>
          <w:p w14:paraId="7CB41F4F" w14:textId="77777777" w:rsidR="001F14ED" w:rsidRPr="001E4272" w:rsidRDefault="001F14ED" w:rsidP="000217AE">
            <w:pPr>
              <w:spacing w:before="60" w:after="60"/>
              <w:jc w:val="right"/>
              <w:rPr>
                <w:noProof/>
                <w:sz w:val="20"/>
                <w:lang w:eastAsia="en-GB"/>
              </w:rPr>
            </w:pPr>
          </w:p>
        </w:tc>
        <w:tc>
          <w:tcPr>
            <w:tcW w:w="1134" w:type="dxa"/>
            <w:vAlign w:val="center"/>
          </w:tcPr>
          <w:p w14:paraId="25221F60" w14:textId="77777777" w:rsidR="001F14ED" w:rsidRPr="001E4272" w:rsidRDefault="001F14ED" w:rsidP="000217AE">
            <w:pPr>
              <w:spacing w:before="20" w:after="20"/>
              <w:jc w:val="right"/>
              <w:rPr>
                <w:noProof/>
                <w:sz w:val="20"/>
                <w:lang w:eastAsia="en-GB"/>
              </w:rPr>
            </w:pPr>
          </w:p>
        </w:tc>
        <w:tc>
          <w:tcPr>
            <w:tcW w:w="1276" w:type="dxa"/>
            <w:vAlign w:val="center"/>
          </w:tcPr>
          <w:p w14:paraId="291A5B27" w14:textId="77777777" w:rsidR="001F14ED" w:rsidRPr="001E4272" w:rsidRDefault="001F14ED" w:rsidP="000217AE">
            <w:pPr>
              <w:spacing w:before="20" w:after="20"/>
              <w:jc w:val="right"/>
              <w:rPr>
                <w:noProof/>
                <w:sz w:val="20"/>
                <w:lang w:eastAsia="en-GB"/>
              </w:rPr>
            </w:pPr>
          </w:p>
        </w:tc>
        <w:tc>
          <w:tcPr>
            <w:tcW w:w="1418" w:type="dxa"/>
          </w:tcPr>
          <w:p w14:paraId="7327A043" w14:textId="77777777" w:rsidR="001F14ED" w:rsidRPr="001E4272" w:rsidRDefault="001F14ED" w:rsidP="000217AE">
            <w:pPr>
              <w:spacing w:before="20" w:after="20"/>
              <w:jc w:val="right"/>
              <w:rPr>
                <w:noProof/>
                <w:sz w:val="20"/>
                <w:lang w:eastAsia="en-GB"/>
              </w:rPr>
            </w:pPr>
          </w:p>
        </w:tc>
        <w:tc>
          <w:tcPr>
            <w:tcW w:w="2551" w:type="dxa"/>
            <w:vAlign w:val="center"/>
          </w:tcPr>
          <w:p w14:paraId="302187E7" w14:textId="77777777" w:rsidR="001F14ED" w:rsidRPr="001E4272" w:rsidRDefault="001F14ED" w:rsidP="000217AE">
            <w:pPr>
              <w:spacing w:before="20" w:after="20"/>
              <w:jc w:val="right"/>
              <w:rPr>
                <w:b/>
                <w:noProof/>
                <w:sz w:val="20"/>
                <w:lang w:eastAsia="en-GB"/>
              </w:rPr>
            </w:pPr>
          </w:p>
        </w:tc>
      </w:tr>
    </w:tbl>
    <w:p w14:paraId="48FF35F2" w14:textId="77777777" w:rsidR="000217AE" w:rsidRPr="001E4272" w:rsidRDefault="000217AE" w:rsidP="00ED2926">
      <w:pPr>
        <w:rPr>
          <w:noProof/>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1425"/>
        <w:gridCol w:w="1134"/>
        <w:gridCol w:w="1276"/>
        <w:gridCol w:w="1418"/>
        <w:gridCol w:w="2551"/>
      </w:tblGrid>
      <w:tr w:rsidR="001F14ED" w:rsidRPr="001E4272" w14:paraId="5C4C61B8" w14:textId="77777777" w:rsidTr="006A0D14">
        <w:tc>
          <w:tcPr>
            <w:tcW w:w="3960" w:type="dxa"/>
            <w:shd w:val="clear" w:color="auto" w:fill="auto"/>
            <w:vAlign w:val="center"/>
          </w:tcPr>
          <w:p w14:paraId="01C55551" w14:textId="77777777" w:rsidR="001F14ED" w:rsidRPr="001E4272" w:rsidRDefault="001F14ED" w:rsidP="00B2088F">
            <w:pPr>
              <w:jc w:val="center"/>
              <w:rPr>
                <w:b/>
                <w:noProof/>
              </w:rPr>
            </w:pPr>
            <w:r w:rsidRPr="001E4272">
              <w:rPr>
                <w:b/>
                <w:noProof/>
                <w:sz w:val="22"/>
              </w:rPr>
              <w:t>ΣΥΝΟΛΟ πιστώσεων</w:t>
            </w:r>
            <w:r w:rsidRPr="001E4272">
              <w:rPr>
                <w:noProof/>
              </w:rPr>
              <w:t xml:space="preserve"> </w:t>
            </w:r>
            <w:r w:rsidRPr="001E4272">
              <w:rPr>
                <w:noProof/>
              </w:rPr>
              <w:br/>
            </w:r>
            <w:r w:rsidRPr="001E4272">
              <w:rPr>
                <w:b/>
                <w:noProof/>
                <w:sz w:val="22"/>
              </w:rPr>
              <w:t>του ΤΟΜΕΑ 7</w:t>
            </w:r>
            <w:r w:rsidRPr="001E4272">
              <w:rPr>
                <w:noProof/>
              </w:rPr>
              <w:t xml:space="preserve"> </w:t>
            </w:r>
            <w:r w:rsidRPr="001E4272">
              <w:rPr>
                <w:noProof/>
              </w:rPr>
              <w:br/>
            </w:r>
            <w:r w:rsidRPr="001E4272">
              <w:rPr>
                <w:noProof/>
                <w:sz w:val="22"/>
              </w:rPr>
              <w:t>του πολυετούς δημοσιονομικού πλαισίου</w:t>
            </w:r>
            <w:r w:rsidRPr="001E4272">
              <w:rPr>
                <w:b/>
                <w:noProof/>
                <w:sz w:val="22"/>
              </w:rPr>
              <w:t xml:space="preserve"> </w:t>
            </w:r>
          </w:p>
        </w:tc>
        <w:tc>
          <w:tcPr>
            <w:tcW w:w="2094" w:type="dxa"/>
            <w:vAlign w:val="center"/>
          </w:tcPr>
          <w:p w14:paraId="0A66B415" w14:textId="77777777" w:rsidR="001F14ED" w:rsidRPr="001E4272" w:rsidRDefault="001F14ED" w:rsidP="00B2088F">
            <w:pPr>
              <w:spacing w:before="40" w:after="40"/>
              <w:rPr>
                <w:noProof/>
              </w:rPr>
            </w:pPr>
            <w:r w:rsidRPr="001E4272">
              <w:rPr>
                <w:noProof/>
                <w:sz w:val="18"/>
              </w:rPr>
              <w:t>(Σύνολο αναλήψεων υποχρεώσεων = Σύνολο πληρωμών)</w:t>
            </w:r>
          </w:p>
        </w:tc>
        <w:tc>
          <w:tcPr>
            <w:tcW w:w="1425" w:type="dxa"/>
            <w:vAlign w:val="center"/>
          </w:tcPr>
          <w:p w14:paraId="21175131" w14:textId="26E3899F" w:rsidR="001F14ED" w:rsidRPr="001E4272" w:rsidRDefault="001F14ED" w:rsidP="006A0D14">
            <w:pPr>
              <w:spacing w:before="20" w:after="20"/>
              <w:jc w:val="right"/>
              <w:rPr>
                <w:noProof/>
                <w:sz w:val="20"/>
                <w:szCs w:val="20"/>
              </w:rPr>
            </w:pPr>
            <w:r w:rsidRPr="001E4272">
              <w:rPr>
                <w:noProof/>
                <w:sz w:val="20"/>
                <w:szCs w:val="20"/>
              </w:rPr>
              <w:t>0,238</w:t>
            </w:r>
          </w:p>
        </w:tc>
        <w:tc>
          <w:tcPr>
            <w:tcW w:w="1134" w:type="dxa"/>
            <w:vAlign w:val="center"/>
          </w:tcPr>
          <w:p w14:paraId="16927AD1" w14:textId="02235203" w:rsidR="001F14ED" w:rsidRPr="001E4272" w:rsidRDefault="001F14ED" w:rsidP="006A0D14">
            <w:pPr>
              <w:spacing w:before="20" w:after="20"/>
              <w:jc w:val="right"/>
              <w:rPr>
                <w:noProof/>
                <w:sz w:val="20"/>
                <w:szCs w:val="20"/>
              </w:rPr>
            </w:pPr>
            <w:r w:rsidRPr="001E4272">
              <w:rPr>
                <w:noProof/>
                <w:sz w:val="20"/>
                <w:szCs w:val="20"/>
              </w:rPr>
              <w:t>0,238</w:t>
            </w:r>
          </w:p>
        </w:tc>
        <w:tc>
          <w:tcPr>
            <w:tcW w:w="1276" w:type="dxa"/>
            <w:vAlign w:val="center"/>
          </w:tcPr>
          <w:p w14:paraId="0C7E6D19" w14:textId="200DE7E0" w:rsidR="001F14ED" w:rsidRPr="001E4272" w:rsidRDefault="001F14ED" w:rsidP="006A0D14">
            <w:pPr>
              <w:spacing w:before="20" w:after="20"/>
              <w:jc w:val="right"/>
              <w:rPr>
                <w:noProof/>
                <w:sz w:val="20"/>
                <w:szCs w:val="20"/>
              </w:rPr>
            </w:pPr>
            <w:r w:rsidRPr="001E4272">
              <w:rPr>
                <w:noProof/>
                <w:sz w:val="20"/>
                <w:szCs w:val="20"/>
              </w:rPr>
              <w:t>0,238</w:t>
            </w:r>
          </w:p>
        </w:tc>
        <w:tc>
          <w:tcPr>
            <w:tcW w:w="1418" w:type="dxa"/>
            <w:vAlign w:val="center"/>
          </w:tcPr>
          <w:p w14:paraId="692C06A6" w14:textId="50854B5A" w:rsidR="001F14ED" w:rsidRPr="001E4272" w:rsidRDefault="001F14ED" w:rsidP="006A0D14">
            <w:pPr>
              <w:spacing w:before="20" w:after="20"/>
              <w:jc w:val="right"/>
              <w:rPr>
                <w:noProof/>
                <w:sz w:val="20"/>
                <w:szCs w:val="20"/>
              </w:rPr>
            </w:pPr>
            <w:r w:rsidRPr="001E4272">
              <w:rPr>
                <w:noProof/>
                <w:sz w:val="20"/>
                <w:szCs w:val="20"/>
              </w:rPr>
              <w:t>0,238</w:t>
            </w:r>
          </w:p>
        </w:tc>
        <w:tc>
          <w:tcPr>
            <w:tcW w:w="2551" w:type="dxa"/>
            <w:vAlign w:val="center"/>
          </w:tcPr>
          <w:p w14:paraId="6FE9180B" w14:textId="72C55735" w:rsidR="001F14ED" w:rsidRPr="001E4272" w:rsidRDefault="00E845AC" w:rsidP="006A0D14">
            <w:pPr>
              <w:spacing w:before="20" w:after="20"/>
              <w:jc w:val="right"/>
              <w:rPr>
                <w:b/>
                <w:bCs/>
                <w:noProof/>
                <w:sz w:val="20"/>
                <w:szCs w:val="20"/>
              </w:rPr>
            </w:pPr>
            <w:r w:rsidRPr="001E4272">
              <w:rPr>
                <w:b/>
                <w:bCs/>
                <w:noProof/>
                <w:sz w:val="20"/>
                <w:szCs w:val="20"/>
              </w:rPr>
              <w:t>0,952</w:t>
            </w:r>
          </w:p>
        </w:tc>
      </w:tr>
    </w:tbl>
    <w:p w14:paraId="794DB644" w14:textId="77777777" w:rsidR="007270A0" w:rsidRPr="001E4272" w:rsidRDefault="007270A0" w:rsidP="00ED2926">
      <w:pPr>
        <w:rPr>
          <w:noProof/>
        </w:rPr>
      </w:pPr>
    </w:p>
    <w:p w14:paraId="35565A85" w14:textId="77777777" w:rsidR="007270A0" w:rsidRPr="001E4272" w:rsidRDefault="007270A0" w:rsidP="007270A0">
      <w:pPr>
        <w:jc w:val="right"/>
        <w:rPr>
          <w:noProof/>
          <w:sz w:val="20"/>
        </w:rPr>
      </w:pPr>
      <w:r w:rsidRPr="001E4272">
        <w:rPr>
          <w:noProof/>
        </w:rPr>
        <w:tab/>
      </w:r>
      <w:r w:rsidRPr="001E4272">
        <w:rPr>
          <w:noProof/>
          <w:sz w:val="20"/>
        </w:rPr>
        <w:t>σε εκατ. EUR (με τρία δεκαδικά ψηφία)</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1425"/>
        <w:gridCol w:w="1134"/>
        <w:gridCol w:w="1276"/>
        <w:gridCol w:w="1418"/>
        <w:gridCol w:w="2551"/>
      </w:tblGrid>
      <w:tr w:rsidR="00A838BB" w:rsidRPr="001E4272" w14:paraId="4C223C84" w14:textId="77777777" w:rsidTr="00F707AF">
        <w:tc>
          <w:tcPr>
            <w:tcW w:w="3960" w:type="dxa"/>
            <w:tcBorders>
              <w:top w:val="nil"/>
              <w:left w:val="nil"/>
              <w:right w:val="nil"/>
            </w:tcBorders>
            <w:vAlign w:val="center"/>
          </w:tcPr>
          <w:p w14:paraId="4CDB780F" w14:textId="77777777" w:rsidR="00A838BB" w:rsidRPr="001E4272" w:rsidRDefault="00A838BB" w:rsidP="00B2088F">
            <w:pPr>
              <w:jc w:val="center"/>
              <w:rPr>
                <w:noProof/>
              </w:rPr>
            </w:pPr>
          </w:p>
        </w:tc>
        <w:tc>
          <w:tcPr>
            <w:tcW w:w="1560" w:type="dxa"/>
            <w:tcBorders>
              <w:top w:val="nil"/>
              <w:left w:val="nil"/>
              <w:right w:val="nil"/>
            </w:tcBorders>
          </w:tcPr>
          <w:p w14:paraId="1A99A5D4" w14:textId="77777777" w:rsidR="00A838BB" w:rsidRPr="001E4272" w:rsidRDefault="00A838BB" w:rsidP="00B2088F">
            <w:pPr>
              <w:rPr>
                <w:noProof/>
                <w:sz w:val="20"/>
              </w:rPr>
            </w:pPr>
          </w:p>
        </w:tc>
        <w:tc>
          <w:tcPr>
            <w:tcW w:w="534" w:type="dxa"/>
            <w:tcBorders>
              <w:top w:val="nil"/>
              <w:left w:val="nil"/>
            </w:tcBorders>
          </w:tcPr>
          <w:p w14:paraId="137B6958" w14:textId="77777777" w:rsidR="00A838BB" w:rsidRPr="001E4272" w:rsidRDefault="00A838BB" w:rsidP="00B2088F">
            <w:pPr>
              <w:jc w:val="center"/>
              <w:rPr>
                <w:noProof/>
                <w:sz w:val="20"/>
              </w:rPr>
            </w:pPr>
          </w:p>
        </w:tc>
        <w:tc>
          <w:tcPr>
            <w:tcW w:w="1425" w:type="dxa"/>
            <w:vAlign w:val="center"/>
          </w:tcPr>
          <w:p w14:paraId="008518B5" w14:textId="77777777" w:rsidR="00A838BB" w:rsidRPr="001E4272" w:rsidRDefault="00A838BB" w:rsidP="00B2088F">
            <w:pPr>
              <w:jc w:val="center"/>
              <w:rPr>
                <w:noProof/>
                <w:sz w:val="20"/>
              </w:rPr>
            </w:pPr>
            <w:r w:rsidRPr="001E4272">
              <w:rPr>
                <w:noProof/>
                <w:sz w:val="20"/>
                <w:szCs w:val="20"/>
              </w:rPr>
              <w:t>Έτος</w:t>
            </w:r>
            <w:r w:rsidRPr="001E4272">
              <w:rPr>
                <w:noProof/>
              </w:rPr>
              <w:t xml:space="preserve"> </w:t>
            </w:r>
            <w:r w:rsidRPr="001E4272">
              <w:rPr>
                <w:noProof/>
              </w:rPr>
              <w:br/>
            </w:r>
            <w:r w:rsidRPr="001E4272">
              <w:rPr>
                <w:b/>
                <w:bCs/>
                <w:noProof/>
                <w:sz w:val="20"/>
                <w:szCs w:val="20"/>
              </w:rPr>
              <w:t>2024</w:t>
            </w:r>
            <w:r w:rsidRPr="001E4272">
              <w:rPr>
                <w:rStyle w:val="FootnoteReference"/>
                <w:b/>
                <w:bCs/>
                <w:noProof/>
                <w:sz w:val="20"/>
                <w:szCs w:val="20"/>
              </w:rPr>
              <w:footnoteReference w:id="56"/>
            </w:r>
          </w:p>
        </w:tc>
        <w:tc>
          <w:tcPr>
            <w:tcW w:w="1134" w:type="dxa"/>
            <w:vAlign w:val="center"/>
          </w:tcPr>
          <w:p w14:paraId="0D119307" w14:textId="6FE411F7" w:rsidR="00A838BB" w:rsidRPr="001E4272" w:rsidRDefault="00A838BB" w:rsidP="00B2088F">
            <w:pPr>
              <w:jc w:val="center"/>
              <w:rPr>
                <w:noProof/>
                <w:sz w:val="20"/>
              </w:rPr>
            </w:pPr>
            <w:r w:rsidRPr="001E4272">
              <w:rPr>
                <w:noProof/>
                <w:sz w:val="20"/>
              </w:rPr>
              <w:t>Έτος</w:t>
            </w:r>
            <w:r w:rsidRPr="001E4272">
              <w:rPr>
                <w:noProof/>
              </w:rPr>
              <w:t xml:space="preserve"> </w:t>
            </w:r>
            <w:r w:rsidRPr="001E4272">
              <w:rPr>
                <w:noProof/>
              </w:rPr>
              <w:br/>
            </w:r>
            <w:r w:rsidRPr="001E4272">
              <w:rPr>
                <w:b/>
                <w:noProof/>
                <w:sz w:val="20"/>
              </w:rPr>
              <w:t>2025</w:t>
            </w:r>
          </w:p>
        </w:tc>
        <w:tc>
          <w:tcPr>
            <w:tcW w:w="1276" w:type="dxa"/>
            <w:vAlign w:val="center"/>
          </w:tcPr>
          <w:p w14:paraId="76421AA7" w14:textId="1B9234AF" w:rsidR="00A838BB" w:rsidRPr="001E4272" w:rsidRDefault="00A838BB" w:rsidP="00B2088F">
            <w:pPr>
              <w:jc w:val="center"/>
              <w:rPr>
                <w:noProof/>
                <w:sz w:val="20"/>
              </w:rPr>
            </w:pPr>
            <w:r w:rsidRPr="001E4272">
              <w:rPr>
                <w:noProof/>
                <w:sz w:val="20"/>
              </w:rPr>
              <w:t>Έτος</w:t>
            </w:r>
            <w:r w:rsidRPr="001E4272">
              <w:rPr>
                <w:noProof/>
              </w:rPr>
              <w:t xml:space="preserve"> </w:t>
            </w:r>
            <w:r w:rsidRPr="001E4272">
              <w:rPr>
                <w:noProof/>
              </w:rPr>
              <w:br/>
            </w:r>
            <w:r w:rsidRPr="001E4272">
              <w:rPr>
                <w:b/>
                <w:noProof/>
                <w:sz w:val="20"/>
              </w:rPr>
              <w:t>2026</w:t>
            </w:r>
          </w:p>
        </w:tc>
        <w:tc>
          <w:tcPr>
            <w:tcW w:w="1418" w:type="dxa"/>
            <w:vAlign w:val="center"/>
          </w:tcPr>
          <w:p w14:paraId="61057D54" w14:textId="52FBCC1B" w:rsidR="00A838BB" w:rsidRPr="001E4272" w:rsidRDefault="00A838BB" w:rsidP="00A838BB">
            <w:pPr>
              <w:jc w:val="center"/>
              <w:rPr>
                <w:noProof/>
                <w:sz w:val="20"/>
              </w:rPr>
            </w:pPr>
            <w:r w:rsidRPr="001E4272">
              <w:rPr>
                <w:noProof/>
                <w:sz w:val="20"/>
              </w:rPr>
              <w:t>Έτος</w:t>
            </w:r>
            <w:r w:rsidRPr="001E4272">
              <w:rPr>
                <w:noProof/>
              </w:rPr>
              <w:t xml:space="preserve"> </w:t>
            </w:r>
            <w:r w:rsidRPr="001E4272">
              <w:rPr>
                <w:noProof/>
              </w:rPr>
              <w:br/>
            </w:r>
            <w:r w:rsidRPr="001E4272">
              <w:rPr>
                <w:b/>
                <w:noProof/>
                <w:sz w:val="20"/>
              </w:rPr>
              <w:t>2027</w:t>
            </w:r>
          </w:p>
        </w:tc>
        <w:tc>
          <w:tcPr>
            <w:tcW w:w="2551" w:type="dxa"/>
            <w:vAlign w:val="center"/>
          </w:tcPr>
          <w:p w14:paraId="3F2A12DB" w14:textId="77777777" w:rsidR="00A838BB" w:rsidRPr="001E4272" w:rsidRDefault="00A838BB" w:rsidP="00B2088F">
            <w:pPr>
              <w:jc w:val="center"/>
              <w:rPr>
                <w:b/>
                <w:noProof/>
                <w:sz w:val="20"/>
              </w:rPr>
            </w:pPr>
            <w:r w:rsidRPr="001E4272">
              <w:rPr>
                <w:b/>
                <w:noProof/>
                <w:sz w:val="20"/>
              </w:rPr>
              <w:t>ΣΥΝΟΛΟ</w:t>
            </w:r>
          </w:p>
        </w:tc>
      </w:tr>
      <w:tr w:rsidR="00A838BB" w:rsidRPr="001E4272" w14:paraId="4099E2A0" w14:textId="77777777" w:rsidTr="00F707AF">
        <w:tc>
          <w:tcPr>
            <w:tcW w:w="3960" w:type="dxa"/>
            <w:vMerge w:val="restart"/>
            <w:shd w:val="clear" w:color="auto" w:fill="C0C0C0"/>
            <w:vAlign w:val="center"/>
          </w:tcPr>
          <w:p w14:paraId="58786F70" w14:textId="77777777" w:rsidR="00A838BB" w:rsidRPr="001E4272" w:rsidRDefault="00A838BB" w:rsidP="00B2088F">
            <w:pPr>
              <w:jc w:val="center"/>
              <w:rPr>
                <w:b/>
                <w:noProof/>
              </w:rPr>
            </w:pPr>
            <w:r w:rsidRPr="001E4272">
              <w:rPr>
                <w:b/>
                <w:noProof/>
                <w:sz w:val="22"/>
              </w:rPr>
              <w:t xml:space="preserve">ΣΥΝΟΛΟ πιστώσεων </w:t>
            </w:r>
            <w:r w:rsidRPr="001E4272">
              <w:rPr>
                <w:noProof/>
              </w:rPr>
              <w:t xml:space="preserve"> </w:t>
            </w:r>
            <w:r w:rsidRPr="001E4272">
              <w:rPr>
                <w:noProof/>
              </w:rPr>
              <w:br/>
            </w:r>
            <w:r w:rsidRPr="001E4272">
              <w:rPr>
                <w:b/>
                <w:noProof/>
                <w:sz w:val="22"/>
              </w:rPr>
              <w:t>των ΤΟΜΕΩΝ 1 έως 7</w:t>
            </w:r>
            <w:r w:rsidRPr="001E4272">
              <w:rPr>
                <w:noProof/>
              </w:rPr>
              <w:t xml:space="preserve"> </w:t>
            </w:r>
            <w:r w:rsidRPr="001E4272">
              <w:rPr>
                <w:noProof/>
              </w:rPr>
              <w:br/>
            </w:r>
            <w:r w:rsidRPr="001E4272">
              <w:rPr>
                <w:noProof/>
                <w:sz w:val="22"/>
              </w:rPr>
              <w:t>του πολυετούς δημοσιονομικού πλαισίου</w:t>
            </w:r>
            <w:r w:rsidRPr="001E4272">
              <w:rPr>
                <w:b/>
                <w:noProof/>
                <w:sz w:val="22"/>
              </w:rPr>
              <w:t xml:space="preserve"> </w:t>
            </w:r>
          </w:p>
        </w:tc>
        <w:tc>
          <w:tcPr>
            <w:tcW w:w="2094" w:type="dxa"/>
            <w:gridSpan w:val="2"/>
            <w:vAlign w:val="center"/>
          </w:tcPr>
          <w:p w14:paraId="1F581393" w14:textId="77777777" w:rsidR="00A838BB" w:rsidRPr="001E4272" w:rsidRDefault="00A838BB" w:rsidP="00B2088F">
            <w:pPr>
              <w:rPr>
                <w:noProof/>
                <w:sz w:val="14"/>
              </w:rPr>
            </w:pPr>
            <w:r w:rsidRPr="001E4272">
              <w:rPr>
                <w:noProof/>
                <w:sz w:val="18"/>
              </w:rPr>
              <w:t>Αναλήψεις υποχρεώσεων</w:t>
            </w:r>
          </w:p>
        </w:tc>
        <w:tc>
          <w:tcPr>
            <w:tcW w:w="1425" w:type="dxa"/>
            <w:vAlign w:val="center"/>
          </w:tcPr>
          <w:p w14:paraId="10F3B9DC" w14:textId="149A36CA" w:rsidR="00A838BB" w:rsidRPr="001E4272" w:rsidRDefault="00A838BB" w:rsidP="00B2088F">
            <w:pPr>
              <w:spacing w:before="60" w:after="60"/>
              <w:jc w:val="right"/>
              <w:rPr>
                <w:noProof/>
                <w:sz w:val="20"/>
              </w:rPr>
            </w:pPr>
            <w:r w:rsidRPr="001E4272">
              <w:rPr>
                <w:noProof/>
                <w:sz w:val="20"/>
              </w:rPr>
              <w:t>2,396</w:t>
            </w:r>
          </w:p>
        </w:tc>
        <w:tc>
          <w:tcPr>
            <w:tcW w:w="1134" w:type="dxa"/>
            <w:vAlign w:val="center"/>
          </w:tcPr>
          <w:p w14:paraId="712DDD06" w14:textId="03BF15F8" w:rsidR="00A838BB" w:rsidRPr="001E4272" w:rsidRDefault="00A838BB" w:rsidP="00B2088F">
            <w:pPr>
              <w:spacing w:before="60" w:after="60"/>
              <w:jc w:val="right"/>
              <w:rPr>
                <w:noProof/>
                <w:sz w:val="20"/>
              </w:rPr>
            </w:pPr>
            <w:r w:rsidRPr="001E4272">
              <w:rPr>
                <w:noProof/>
                <w:sz w:val="20"/>
              </w:rPr>
              <w:t>11,049</w:t>
            </w:r>
          </w:p>
        </w:tc>
        <w:tc>
          <w:tcPr>
            <w:tcW w:w="1276" w:type="dxa"/>
            <w:vAlign w:val="center"/>
          </w:tcPr>
          <w:p w14:paraId="0785208D" w14:textId="62B53BCC" w:rsidR="00A838BB" w:rsidRPr="001E4272" w:rsidRDefault="00A838BB" w:rsidP="00B2088F">
            <w:pPr>
              <w:spacing w:before="60" w:after="60"/>
              <w:jc w:val="right"/>
              <w:rPr>
                <w:noProof/>
                <w:sz w:val="20"/>
              </w:rPr>
            </w:pPr>
            <w:r w:rsidRPr="001E4272">
              <w:rPr>
                <w:noProof/>
                <w:sz w:val="20"/>
              </w:rPr>
              <w:t>10,641</w:t>
            </w:r>
          </w:p>
        </w:tc>
        <w:tc>
          <w:tcPr>
            <w:tcW w:w="1418" w:type="dxa"/>
            <w:vAlign w:val="center"/>
          </w:tcPr>
          <w:p w14:paraId="193E6DF5" w14:textId="02F92E29" w:rsidR="00A838BB" w:rsidRPr="001E4272" w:rsidRDefault="00A838BB" w:rsidP="00B2088F">
            <w:pPr>
              <w:spacing w:before="60" w:after="60"/>
              <w:jc w:val="right"/>
              <w:rPr>
                <w:noProof/>
                <w:sz w:val="20"/>
              </w:rPr>
            </w:pPr>
            <w:r w:rsidRPr="001E4272">
              <w:rPr>
                <w:noProof/>
                <w:sz w:val="20"/>
              </w:rPr>
              <w:t>9,609</w:t>
            </w:r>
          </w:p>
        </w:tc>
        <w:tc>
          <w:tcPr>
            <w:tcW w:w="2551" w:type="dxa"/>
            <w:vAlign w:val="center"/>
          </w:tcPr>
          <w:p w14:paraId="0A4628DA" w14:textId="773585A8" w:rsidR="00A838BB" w:rsidRPr="001E4272" w:rsidRDefault="00A838BB" w:rsidP="00B2088F">
            <w:pPr>
              <w:spacing w:before="60" w:after="60"/>
              <w:jc w:val="right"/>
              <w:rPr>
                <w:b/>
                <w:noProof/>
                <w:sz w:val="20"/>
              </w:rPr>
            </w:pPr>
            <w:r w:rsidRPr="001E4272">
              <w:rPr>
                <w:b/>
                <w:noProof/>
                <w:sz w:val="20"/>
              </w:rPr>
              <w:t>33,695</w:t>
            </w:r>
          </w:p>
        </w:tc>
      </w:tr>
      <w:tr w:rsidR="00A838BB" w:rsidRPr="001E4272" w14:paraId="739038D5" w14:textId="77777777" w:rsidTr="00F707AF">
        <w:tc>
          <w:tcPr>
            <w:tcW w:w="3960" w:type="dxa"/>
            <w:vMerge/>
            <w:vAlign w:val="center"/>
          </w:tcPr>
          <w:p w14:paraId="6A97ED23" w14:textId="77777777" w:rsidR="00A838BB" w:rsidRPr="001E4272" w:rsidRDefault="00A838BB" w:rsidP="00B2088F">
            <w:pPr>
              <w:rPr>
                <w:b/>
                <w:noProof/>
              </w:rPr>
            </w:pPr>
          </w:p>
        </w:tc>
        <w:tc>
          <w:tcPr>
            <w:tcW w:w="2094" w:type="dxa"/>
            <w:gridSpan w:val="2"/>
            <w:vAlign w:val="center"/>
          </w:tcPr>
          <w:p w14:paraId="61714FD3" w14:textId="77777777" w:rsidR="00A838BB" w:rsidRPr="001E4272" w:rsidRDefault="00A838BB" w:rsidP="00B2088F">
            <w:pPr>
              <w:rPr>
                <w:noProof/>
                <w:sz w:val="14"/>
              </w:rPr>
            </w:pPr>
            <w:r w:rsidRPr="001E4272">
              <w:rPr>
                <w:noProof/>
                <w:sz w:val="18"/>
              </w:rPr>
              <w:t>Πληρωμές</w:t>
            </w:r>
          </w:p>
        </w:tc>
        <w:tc>
          <w:tcPr>
            <w:tcW w:w="1425" w:type="dxa"/>
            <w:vAlign w:val="center"/>
          </w:tcPr>
          <w:p w14:paraId="53103202" w14:textId="77C15916" w:rsidR="00A838BB" w:rsidRPr="001E4272" w:rsidRDefault="00A838BB" w:rsidP="00B2088F">
            <w:pPr>
              <w:spacing w:before="60" w:after="60"/>
              <w:jc w:val="right"/>
              <w:rPr>
                <w:noProof/>
                <w:sz w:val="20"/>
              </w:rPr>
            </w:pPr>
            <w:r w:rsidRPr="001E4272">
              <w:rPr>
                <w:noProof/>
                <w:sz w:val="20"/>
              </w:rPr>
              <w:t>1,931</w:t>
            </w:r>
          </w:p>
        </w:tc>
        <w:tc>
          <w:tcPr>
            <w:tcW w:w="1134" w:type="dxa"/>
            <w:vAlign w:val="center"/>
          </w:tcPr>
          <w:p w14:paraId="2F5B6732" w14:textId="0361AFA5" w:rsidR="00A838BB" w:rsidRPr="001E4272" w:rsidRDefault="00A838BB" w:rsidP="00B2088F">
            <w:pPr>
              <w:spacing w:before="60" w:after="60"/>
              <w:jc w:val="right"/>
              <w:rPr>
                <w:noProof/>
                <w:sz w:val="20"/>
              </w:rPr>
            </w:pPr>
            <w:r w:rsidRPr="001E4272">
              <w:rPr>
                <w:noProof/>
                <w:sz w:val="20"/>
              </w:rPr>
              <w:t>7,701</w:t>
            </w:r>
          </w:p>
        </w:tc>
        <w:tc>
          <w:tcPr>
            <w:tcW w:w="1276" w:type="dxa"/>
            <w:vAlign w:val="center"/>
          </w:tcPr>
          <w:p w14:paraId="6092B54A" w14:textId="3BF871A6" w:rsidR="00A838BB" w:rsidRPr="001E4272" w:rsidRDefault="00A838BB" w:rsidP="00B2088F">
            <w:pPr>
              <w:spacing w:before="60" w:after="60"/>
              <w:jc w:val="right"/>
              <w:rPr>
                <w:noProof/>
                <w:sz w:val="20"/>
              </w:rPr>
            </w:pPr>
            <w:r w:rsidRPr="001E4272">
              <w:rPr>
                <w:noProof/>
                <w:sz w:val="20"/>
              </w:rPr>
              <w:t>10,072</w:t>
            </w:r>
          </w:p>
        </w:tc>
        <w:tc>
          <w:tcPr>
            <w:tcW w:w="1418" w:type="dxa"/>
            <w:vAlign w:val="center"/>
          </w:tcPr>
          <w:p w14:paraId="7741C6B3" w14:textId="2F8A2537" w:rsidR="00A838BB" w:rsidRPr="001E4272" w:rsidRDefault="00A838BB" w:rsidP="00B2088F">
            <w:pPr>
              <w:spacing w:before="60" w:after="60"/>
              <w:jc w:val="right"/>
              <w:rPr>
                <w:noProof/>
                <w:sz w:val="20"/>
              </w:rPr>
            </w:pPr>
            <w:r w:rsidRPr="001E4272">
              <w:rPr>
                <w:noProof/>
                <w:sz w:val="20"/>
              </w:rPr>
              <w:t>13,99</w:t>
            </w:r>
          </w:p>
        </w:tc>
        <w:tc>
          <w:tcPr>
            <w:tcW w:w="2551" w:type="dxa"/>
            <w:vAlign w:val="center"/>
          </w:tcPr>
          <w:p w14:paraId="4046B4BB" w14:textId="40A6F2E0" w:rsidR="00A838BB" w:rsidRPr="001E4272" w:rsidRDefault="00A838BB" w:rsidP="00B2088F">
            <w:pPr>
              <w:spacing w:before="60" w:after="60"/>
              <w:jc w:val="right"/>
              <w:rPr>
                <w:b/>
                <w:noProof/>
                <w:sz w:val="20"/>
              </w:rPr>
            </w:pPr>
            <w:r w:rsidRPr="001E4272">
              <w:rPr>
                <w:b/>
                <w:noProof/>
                <w:sz w:val="20"/>
              </w:rPr>
              <w:t>33,695</w:t>
            </w:r>
          </w:p>
        </w:tc>
      </w:tr>
    </w:tbl>
    <w:p w14:paraId="0F9D80F1" w14:textId="77777777" w:rsidR="00436363" w:rsidRPr="001E4272" w:rsidRDefault="00436363" w:rsidP="00ED2926">
      <w:pPr>
        <w:rPr>
          <w:noProof/>
        </w:rPr>
      </w:pPr>
    </w:p>
    <w:p w14:paraId="28685958" w14:textId="2064CB08" w:rsidR="007270A0" w:rsidRPr="001E4272" w:rsidRDefault="00F27BFA" w:rsidP="00F27BFA">
      <w:pPr>
        <w:pStyle w:val="ManualHeading3"/>
        <w:rPr>
          <w:noProof/>
        </w:rPr>
      </w:pPr>
      <w:bookmarkStart w:id="119" w:name="_Toc514938054"/>
      <w:bookmarkStart w:id="120" w:name="_Toc520485053"/>
      <w:bookmarkStart w:id="121" w:name="_Toc84517600"/>
      <w:r w:rsidRPr="00F27BFA">
        <w:t>3.2.2.</w:t>
      </w:r>
      <w:r w:rsidRPr="00F27BFA">
        <w:tab/>
      </w:r>
      <w:r w:rsidR="00436363" w:rsidRPr="001E4272">
        <w:rPr>
          <w:noProof/>
        </w:rPr>
        <w:t>Εκτιμώμενο αποτέλεσμα που χρηματοδοτείται με επιχειρησιακές πιστώσεις</w:t>
      </w:r>
      <w:bookmarkEnd w:id="119"/>
      <w:bookmarkEnd w:id="120"/>
      <w:bookmarkEnd w:id="121"/>
      <w:r w:rsidR="00436363" w:rsidRPr="001E4272">
        <w:rPr>
          <w:noProof/>
        </w:rPr>
        <w:t xml:space="preserve"> </w:t>
      </w:r>
    </w:p>
    <w:p w14:paraId="46385CDC" w14:textId="77777777" w:rsidR="007270A0" w:rsidRPr="001E4272" w:rsidRDefault="007270A0" w:rsidP="007270A0">
      <w:pPr>
        <w:pStyle w:val="ListDash1"/>
        <w:tabs>
          <w:tab w:val="clear" w:pos="1134"/>
          <w:tab w:val="num" w:pos="993"/>
        </w:tabs>
        <w:ind w:hanging="425"/>
        <w:rPr>
          <w:noProof/>
        </w:rPr>
      </w:pPr>
      <w:r w:rsidRPr="001E4272">
        <w:rPr>
          <w:noProof/>
        </w:rPr>
        <w:sym w:font="Wingdings" w:char="F0A8"/>
      </w:r>
      <w:r w:rsidRPr="001E4272">
        <w:rPr>
          <w:noProof/>
        </w:rPr>
        <w:tab/>
        <w:t xml:space="preserve">Η πρόταση/πρωτοβουλία δεν συνεπάγεται τη χρησιμοποίηση επιχειρησιακών πιστώσεων </w:t>
      </w:r>
    </w:p>
    <w:p w14:paraId="7B4F403B" w14:textId="77777777" w:rsidR="007270A0" w:rsidRPr="001E4272" w:rsidRDefault="007270A0" w:rsidP="00906BEE">
      <w:pPr>
        <w:pStyle w:val="ListDash1"/>
        <w:tabs>
          <w:tab w:val="clear" w:pos="1134"/>
          <w:tab w:val="num" w:pos="993"/>
        </w:tabs>
        <w:ind w:hanging="425"/>
        <w:rPr>
          <w:noProof/>
        </w:rPr>
      </w:pPr>
      <w:r w:rsidRPr="001E4272">
        <w:rPr>
          <w:noProof/>
        </w:rPr>
        <w:sym w:font="Wingdings" w:char="F0FE"/>
      </w:r>
      <w:r w:rsidRPr="001E4272">
        <w:rPr>
          <w:noProof/>
        </w:rPr>
        <w:tab/>
        <w:t>Η πρόταση/πρωτοβουλία συνεπάγεται τη χρησιμοποίηση επιχειρησιακών πιστώσεων, όπως εξηγείται κατωτέρω:</w:t>
      </w:r>
    </w:p>
    <w:p w14:paraId="2A600F3F" w14:textId="77777777" w:rsidR="007270A0" w:rsidRPr="001E4272" w:rsidRDefault="00436363" w:rsidP="007270A0">
      <w:pPr>
        <w:jc w:val="right"/>
        <w:rPr>
          <w:noProof/>
          <w:sz w:val="20"/>
        </w:rPr>
      </w:pPr>
      <w:r w:rsidRPr="001E4272">
        <w:rPr>
          <w:noProof/>
          <w:sz w:val="20"/>
        </w:rPr>
        <w:t>Πιστώσεις αναλήψεων υποχρεώσεων σε εκατ. EUR (με τρία δεκαδικά ψηφία)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63"/>
        <w:gridCol w:w="708"/>
        <w:gridCol w:w="567"/>
        <w:gridCol w:w="142"/>
        <w:gridCol w:w="616"/>
        <w:gridCol w:w="720"/>
        <w:gridCol w:w="900"/>
      </w:tblGrid>
      <w:tr w:rsidR="001B6792" w:rsidRPr="001E4272" w14:paraId="1F828DA4" w14:textId="77777777" w:rsidTr="006A0D14">
        <w:trPr>
          <w:jc w:val="center"/>
        </w:trPr>
        <w:tc>
          <w:tcPr>
            <w:tcW w:w="1423" w:type="dxa"/>
            <w:vMerge w:val="restart"/>
            <w:vAlign w:val="center"/>
          </w:tcPr>
          <w:p w14:paraId="4235A872" w14:textId="77777777" w:rsidR="001B6792" w:rsidRPr="001E4272" w:rsidRDefault="001B6792" w:rsidP="00B2088F">
            <w:pPr>
              <w:ind w:right="-29"/>
              <w:jc w:val="center"/>
              <w:rPr>
                <w:b/>
                <w:noProof/>
                <w:sz w:val="18"/>
              </w:rPr>
            </w:pPr>
            <w:r w:rsidRPr="001E4272">
              <w:rPr>
                <w:b/>
                <w:noProof/>
                <w:sz w:val="18"/>
              </w:rPr>
              <w:t xml:space="preserve">Να προσδιοριστούν οι στόχοι και τα αποτελέσματα </w:t>
            </w:r>
          </w:p>
          <w:p w14:paraId="1F8BFEF9" w14:textId="77777777" w:rsidR="001B6792" w:rsidRPr="001E4272" w:rsidRDefault="001B6792" w:rsidP="00B2088F">
            <w:pPr>
              <w:ind w:right="-29"/>
              <w:jc w:val="center"/>
              <w:rPr>
                <w:b/>
                <w:noProof/>
                <w:sz w:val="18"/>
              </w:rPr>
            </w:pPr>
          </w:p>
          <w:p w14:paraId="58C15CF7" w14:textId="77777777" w:rsidR="001B6792" w:rsidRPr="001E4272" w:rsidRDefault="001B6792" w:rsidP="00B2088F">
            <w:pPr>
              <w:ind w:right="-29"/>
              <w:jc w:val="center"/>
              <w:rPr>
                <w:noProof/>
                <w:sz w:val="18"/>
              </w:rPr>
            </w:pPr>
            <w:r w:rsidRPr="001E4272">
              <w:rPr>
                <w:noProof/>
                <w:sz w:val="18"/>
              </w:rPr>
              <w:sym w:font="Wingdings" w:char="F0F2"/>
            </w:r>
          </w:p>
        </w:tc>
        <w:tc>
          <w:tcPr>
            <w:tcW w:w="720" w:type="dxa"/>
            <w:vAlign w:val="center"/>
          </w:tcPr>
          <w:p w14:paraId="0D1846A7" w14:textId="77777777" w:rsidR="001B6792" w:rsidRPr="001E4272" w:rsidRDefault="001B6792" w:rsidP="00B2088F">
            <w:pPr>
              <w:ind w:right="-29"/>
              <w:jc w:val="center"/>
              <w:rPr>
                <w:noProof/>
                <w:sz w:val="18"/>
              </w:rPr>
            </w:pPr>
          </w:p>
        </w:tc>
        <w:tc>
          <w:tcPr>
            <w:tcW w:w="701" w:type="dxa"/>
            <w:vAlign w:val="center"/>
          </w:tcPr>
          <w:p w14:paraId="775B1CC0" w14:textId="77777777" w:rsidR="001B6792" w:rsidRPr="001E4272" w:rsidRDefault="001B6792" w:rsidP="00B2088F">
            <w:pPr>
              <w:ind w:right="-29"/>
              <w:jc w:val="center"/>
              <w:rPr>
                <w:noProof/>
                <w:sz w:val="18"/>
              </w:rPr>
            </w:pPr>
          </w:p>
        </w:tc>
        <w:tc>
          <w:tcPr>
            <w:tcW w:w="1224" w:type="dxa"/>
            <w:gridSpan w:val="2"/>
            <w:tcBorders>
              <w:left w:val="nil"/>
            </w:tcBorders>
            <w:vAlign w:val="center"/>
          </w:tcPr>
          <w:p w14:paraId="7D6AF8C4" w14:textId="77777777" w:rsidR="001B6792" w:rsidRPr="001E4272" w:rsidRDefault="001B6792" w:rsidP="00B2088F">
            <w:pPr>
              <w:ind w:right="-29"/>
              <w:jc w:val="center"/>
              <w:rPr>
                <w:noProof/>
                <w:sz w:val="18"/>
              </w:rPr>
            </w:pPr>
            <w:r w:rsidRPr="001E4272">
              <w:rPr>
                <w:noProof/>
                <w:sz w:val="18"/>
              </w:rPr>
              <w:t>Έτος</w:t>
            </w:r>
            <w:r w:rsidRPr="001E4272">
              <w:rPr>
                <w:noProof/>
              </w:rPr>
              <w:t xml:space="preserve"> </w:t>
            </w:r>
            <w:r w:rsidRPr="001E4272">
              <w:rPr>
                <w:noProof/>
              </w:rPr>
              <w:br/>
            </w:r>
            <w:r w:rsidRPr="001E4272">
              <w:rPr>
                <w:b/>
                <w:noProof/>
                <w:sz w:val="18"/>
              </w:rPr>
              <w:t>2024</w:t>
            </w:r>
          </w:p>
        </w:tc>
        <w:tc>
          <w:tcPr>
            <w:tcW w:w="1260" w:type="dxa"/>
            <w:gridSpan w:val="2"/>
            <w:vAlign w:val="center"/>
          </w:tcPr>
          <w:p w14:paraId="0BD683B2" w14:textId="77777777" w:rsidR="001B6792" w:rsidRPr="001E4272" w:rsidRDefault="001B6792" w:rsidP="00B2088F">
            <w:pPr>
              <w:ind w:right="-29"/>
              <w:jc w:val="center"/>
              <w:rPr>
                <w:noProof/>
                <w:sz w:val="18"/>
              </w:rPr>
            </w:pPr>
            <w:r w:rsidRPr="001E4272">
              <w:rPr>
                <w:noProof/>
                <w:sz w:val="18"/>
              </w:rPr>
              <w:t>Έτος</w:t>
            </w:r>
            <w:r w:rsidRPr="001E4272">
              <w:rPr>
                <w:noProof/>
              </w:rPr>
              <w:t xml:space="preserve"> </w:t>
            </w:r>
            <w:r w:rsidRPr="001E4272">
              <w:rPr>
                <w:noProof/>
              </w:rPr>
              <w:br/>
            </w:r>
            <w:r w:rsidRPr="001E4272">
              <w:rPr>
                <w:b/>
                <w:noProof/>
                <w:sz w:val="18"/>
              </w:rPr>
              <w:t>2025</w:t>
            </w:r>
          </w:p>
        </w:tc>
        <w:tc>
          <w:tcPr>
            <w:tcW w:w="1471" w:type="dxa"/>
            <w:gridSpan w:val="2"/>
            <w:vAlign w:val="center"/>
          </w:tcPr>
          <w:p w14:paraId="3F870D52" w14:textId="77777777" w:rsidR="001B6792" w:rsidRPr="001E4272" w:rsidRDefault="001B6792" w:rsidP="00B2088F">
            <w:pPr>
              <w:ind w:right="-29"/>
              <w:jc w:val="center"/>
              <w:rPr>
                <w:noProof/>
                <w:sz w:val="18"/>
              </w:rPr>
            </w:pPr>
            <w:r w:rsidRPr="001E4272">
              <w:rPr>
                <w:noProof/>
                <w:sz w:val="18"/>
              </w:rPr>
              <w:t>Έτος</w:t>
            </w:r>
            <w:r w:rsidRPr="001E4272">
              <w:rPr>
                <w:noProof/>
              </w:rPr>
              <w:t xml:space="preserve"> </w:t>
            </w:r>
            <w:r w:rsidRPr="001E4272">
              <w:rPr>
                <w:noProof/>
              </w:rPr>
              <w:br/>
            </w:r>
            <w:r w:rsidRPr="001E4272">
              <w:rPr>
                <w:b/>
                <w:noProof/>
                <w:sz w:val="18"/>
              </w:rPr>
              <w:t>2026</w:t>
            </w:r>
          </w:p>
        </w:tc>
        <w:tc>
          <w:tcPr>
            <w:tcW w:w="1325" w:type="dxa"/>
            <w:gridSpan w:val="3"/>
            <w:tcBorders>
              <w:bottom w:val="single" w:sz="4" w:space="0" w:color="auto"/>
            </w:tcBorders>
            <w:vAlign w:val="center"/>
          </w:tcPr>
          <w:p w14:paraId="3B16CB78" w14:textId="77777777" w:rsidR="001B6792" w:rsidRPr="001E4272" w:rsidRDefault="001B6792" w:rsidP="00B2088F">
            <w:pPr>
              <w:ind w:right="-29"/>
              <w:jc w:val="center"/>
              <w:rPr>
                <w:noProof/>
                <w:sz w:val="18"/>
              </w:rPr>
            </w:pPr>
            <w:r w:rsidRPr="001E4272">
              <w:rPr>
                <w:noProof/>
                <w:sz w:val="18"/>
              </w:rPr>
              <w:t>Έτος</w:t>
            </w:r>
            <w:r w:rsidRPr="001E4272">
              <w:rPr>
                <w:noProof/>
              </w:rPr>
              <w:t xml:space="preserve"> </w:t>
            </w:r>
            <w:r w:rsidRPr="001E4272">
              <w:rPr>
                <w:noProof/>
              </w:rPr>
              <w:br/>
            </w:r>
            <w:r w:rsidRPr="001E4272">
              <w:rPr>
                <w:b/>
                <w:noProof/>
                <w:sz w:val="18"/>
              </w:rPr>
              <w:t>2027</w:t>
            </w:r>
          </w:p>
        </w:tc>
        <w:tc>
          <w:tcPr>
            <w:tcW w:w="1620" w:type="dxa"/>
            <w:gridSpan w:val="2"/>
            <w:tcBorders>
              <w:left w:val="nil"/>
              <w:bottom w:val="single" w:sz="4" w:space="0" w:color="auto"/>
            </w:tcBorders>
            <w:vAlign w:val="center"/>
          </w:tcPr>
          <w:p w14:paraId="4B6C9450" w14:textId="77777777" w:rsidR="001B6792" w:rsidRPr="001E4272" w:rsidRDefault="001B6792" w:rsidP="00B2088F">
            <w:pPr>
              <w:ind w:right="-29"/>
              <w:jc w:val="center"/>
              <w:rPr>
                <w:noProof/>
                <w:sz w:val="18"/>
              </w:rPr>
            </w:pPr>
            <w:r w:rsidRPr="001E4272">
              <w:rPr>
                <w:b/>
                <w:noProof/>
                <w:sz w:val="18"/>
              </w:rPr>
              <w:t>ΣΥΝΟΛΟ</w:t>
            </w:r>
          </w:p>
        </w:tc>
      </w:tr>
      <w:tr w:rsidR="001B6792" w:rsidRPr="001E4272" w14:paraId="56668099" w14:textId="77777777" w:rsidTr="00B2088F">
        <w:trPr>
          <w:gridAfter w:val="13"/>
          <w:wAfter w:w="8321" w:type="dxa"/>
          <w:trHeight w:val="447"/>
          <w:jc w:val="center"/>
        </w:trPr>
        <w:tc>
          <w:tcPr>
            <w:tcW w:w="1423" w:type="dxa"/>
            <w:vMerge/>
            <w:vAlign w:val="center"/>
          </w:tcPr>
          <w:p w14:paraId="6E80987A" w14:textId="77777777" w:rsidR="001B6792" w:rsidRPr="001E4272" w:rsidRDefault="001B6792" w:rsidP="00B2088F">
            <w:pPr>
              <w:rPr>
                <w:noProof/>
                <w:sz w:val="18"/>
              </w:rPr>
            </w:pPr>
          </w:p>
        </w:tc>
      </w:tr>
      <w:tr w:rsidR="001B6792" w:rsidRPr="001E4272" w14:paraId="046D3087" w14:textId="77777777" w:rsidTr="006A0D14">
        <w:trPr>
          <w:cantSplit/>
          <w:trHeight w:val="1134"/>
          <w:jc w:val="center"/>
        </w:trPr>
        <w:tc>
          <w:tcPr>
            <w:tcW w:w="1423" w:type="dxa"/>
            <w:vMerge/>
            <w:vAlign w:val="center"/>
          </w:tcPr>
          <w:p w14:paraId="35604639" w14:textId="77777777" w:rsidR="001B6792" w:rsidRPr="001E4272" w:rsidRDefault="001B6792" w:rsidP="00B2088F">
            <w:pPr>
              <w:rPr>
                <w:noProof/>
                <w:sz w:val="18"/>
              </w:rPr>
            </w:pPr>
          </w:p>
        </w:tc>
        <w:tc>
          <w:tcPr>
            <w:tcW w:w="720" w:type="dxa"/>
            <w:vAlign w:val="center"/>
          </w:tcPr>
          <w:p w14:paraId="4972CDFA" w14:textId="77777777" w:rsidR="001B6792" w:rsidRPr="001E4272" w:rsidRDefault="001B6792" w:rsidP="00B2088F">
            <w:pPr>
              <w:jc w:val="center"/>
              <w:rPr>
                <w:noProof/>
                <w:sz w:val="18"/>
              </w:rPr>
            </w:pPr>
            <w:r w:rsidRPr="001E4272">
              <w:rPr>
                <w:noProof/>
                <w:sz w:val="18"/>
                <w:szCs w:val="18"/>
              </w:rPr>
              <w:t>Είδος</w:t>
            </w:r>
            <w:r w:rsidRPr="001E4272">
              <w:rPr>
                <w:rStyle w:val="FootnoteReference"/>
                <w:noProof/>
                <w:sz w:val="18"/>
                <w:szCs w:val="18"/>
              </w:rPr>
              <w:footnoteReference w:id="57"/>
            </w:r>
          </w:p>
        </w:tc>
        <w:tc>
          <w:tcPr>
            <w:tcW w:w="701" w:type="dxa"/>
            <w:vAlign w:val="center"/>
          </w:tcPr>
          <w:p w14:paraId="5454BE6B" w14:textId="77777777" w:rsidR="001B6792" w:rsidRPr="001E4272" w:rsidRDefault="001B6792" w:rsidP="00B2088F">
            <w:pPr>
              <w:jc w:val="center"/>
              <w:rPr>
                <w:noProof/>
              </w:rPr>
            </w:pPr>
            <w:r w:rsidRPr="001E4272">
              <w:rPr>
                <w:noProof/>
                <w:sz w:val="18"/>
              </w:rPr>
              <w:t>Μέσο κόστος</w:t>
            </w:r>
          </w:p>
        </w:tc>
        <w:tc>
          <w:tcPr>
            <w:tcW w:w="504" w:type="dxa"/>
            <w:tcBorders>
              <w:left w:val="nil"/>
              <w:right w:val="dashSmallGap" w:sz="4" w:space="0" w:color="auto"/>
            </w:tcBorders>
            <w:shd w:val="clear" w:color="auto" w:fill="auto"/>
            <w:textDirection w:val="btLr"/>
            <w:vAlign w:val="center"/>
          </w:tcPr>
          <w:p w14:paraId="5219FD77" w14:textId="77777777" w:rsidR="001B6792" w:rsidRPr="001E4272" w:rsidRDefault="001B6792" w:rsidP="00B2088F">
            <w:pPr>
              <w:ind w:left="113" w:right="113"/>
              <w:jc w:val="center"/>
              <w:rPr>
                <w:noProof/>
              </w:rPr>
            </w:pPr>
            <w:r w:rsidRPr="001E4272">
              <w:rPr>
                <w:noProof/>
                <w:sz w:val="18"/>
              </w:rPr>
              <w:t>Αριθ.</w:t>
            </w:r>
          </w:p>
        </w:tc>
        <w:tc>
          <w:tcPr>
            <w:tcW w:w="720" w:type="dxa"/>
            <w:tcBorders>
              <w:left w:val="dashSmallGap" w:sz="4" w:space="0" w:color="auto"/>
            </w:tcBorders>
            <w:shd w:val="clear" w:color="auto" w:fill="auto"/>
            <w:vAlign w:val="center"/>
          </w:tcPr>
          <w:p w14:paraId="4A1D9BF7" w14:textId="77777777" w:rsidR="001B6792" w:rsidRPr="001E4272" w:rsidRDefault="001B6792" w:rsidP="00B2088F">
            <w:pPr>
              <w:jc w:val="center"/>
              <w:rPr>
                <w:noProof/>
                <w:sz w:val="18"/>
              </w:rPr>
            </w:pPr>
            <w:r w:rsidRPr="001E4272">
              <w:rPr>
                <w:noProof/>
                <w:sz w:val="18"/>
              </w:rPr>
              <w:t>Κόστος</w:t>
            </w:r>
          </w:p>
        </w:tc>
        <w:tc>
          <w:tcPr>
            <w:tcW w:w="540" w:type="dxa"/>
            <w:tcBorders>
              <w:right w:val="dashSmallGap" w:sz="4" w:space="0" w:color="auto"/>
            </w:tcBorders>
            <w:shd w:val="clear" w:color="auto" w:fill="auto"/>
            <w:textDirection w:val="btLr"/>
            <w:vAlign w:val="center"/>
          </w:tcPr>
          <w:p w14:paraId="6CF5357C" w14:textId="77777777" w:rsidR="001B6792" w:rsidRPr="001E4272" w:rsidRDefault="001B6792" w:rsidP="00B2088F">
            <w:pPr>
              <w:ind w:left="113" w:right="113"/>
              <w:jc w:val="center"/>
              <w:rPr>
                <w:noProof/>
              </w:rPr>
            </w:pPr>
            <w:r w:rsidRPr="001E4272">
              <w:rPr>
                <w:noProof/>
                <w:sz w:val="18"/>
              </w:rPr>
              <w:t>Αριθ.</w:t>
            </w:r>
          </w:p>
        </w:tc>
        <w:tc>
          <w:tcPr>
            <w:tcW w:w="720" w:type="dxa"/>
            <w:tcBorders>
              <w:left w:val="dashSmallGap" w:sz="4" w:space="0" w:color="auto"/>
            </w:tcBorders>
            <w:shd w:val="clear" w:color="auto" w:fill="auto"/>
            <w:vAlign w:val="center"/>
          </w:tcPr>
          <w:p w14:paraId="1611BF53" w14:textId="77777777" w:rsidR="001B6792" w:rsidRPr="001E4272" w:rsidRDefault="001B6792" w:rsidP="00B2088F">
            <w:pPr>
              <w:jc w:val="center"/>
              <w:rPr>
                <w:noProof/>
                <w:sz w:val="18"/>
              </w:rPr>
            </w:pPr>
            <w:r w:rsidRPr="001E4272">
              <w:rPr>
                <w:noProof/>
                <w:sz w:val="18"/>
              </w:rPr>
              <w:t>Κόστος</w:t>
            </w:r>
          </w:p>
        </w:tc>
        <w:tc>
          <w:tcPr>
            <w:tcW w:w="763" w:type="dxa"/>
            <w:tcBorders>
              <w:right w:val="dashSmallGap" w:sz="4" w:space="0" w:color="auto"/>
            </w:tcBorders>
            <w:shd w:val="clear" w:color="auto" w:fill="auto"/>
            <w:textDirection w:val="btLr"/>
            <w:vAlign w:val="center"/>
          </w:tcPr>
          <w:p w14:paraId="41E58E92" w14:textId="77777777" w:rsidR="001B6792" w:rsidRPr="001E4272" w:rsidRDefault="001B6792" w:rsidP="00B2088F">
            <w:pPr>
              <w:ind w:left="113" w:right="113"/>
              <w:jc w:val="center"/>
              <w:rPr>
                <w:noProof/>
              </w:rPr>
            </w:pPr>
            <w:r w:rsidRPr="001E4272">
              <w:rPr>
                <w:noProof/>
                <w:sz w:val="18"/>
              </w:rPr>
              <w:t>Αριθ.</w:t>
            </w:r>
          </w:p>
        </w:tc>
        <w:tc>
          <w:tcPr>
            <w:tcW w:w="708" w:type="dxa"/>
            <w:tcBorders>
              <w:left w:val="dashSmallGap" w:sz="4" w:space="0" w:color="auto"/>
            </w:tcBorders>
            <w:shd w:val="clear" w:color="auto" w:fill="auto"/>
            <w:vAlign w:val="center"/>
          </w:tcPr>
          <w:p w14:paraId="1E9B5274" w14:textId="77777777" w:rsidR="001B6792" w:rsidRPr="001E4272" w:rsidRDefault="001B6792" w:rsidP="00B2088F">
            <w:pPr>
              <w:jc w:val="center"/>
              <w:rPr>
                <w:noProof/>
                <w:sz w:val="18"/>
              </w:rPr>
            </w:pPr>
            <w:r w:rsidRPr="001E4272">
              <w:rPr>
                <w:noProof/>
                <w:sz w:val="18"/>
              </w:rPr>
              <w:t>Κόστος</w:t>
            </w:r>
          </w:p>
        </w:tc>
        <w:tc>
          <w:tcPr>
            <w:tcW w:w="567" w:type="dxa"/>
            <w:tcBorders>
              <w:right w:val="dashSmallGap" w:sz="4" w:space="0" w:color="auto"/>
            </w:tcBorders>
            <w:shd w:val="clear" w:color="auto" w:fill="auto"/>
            <w:textDirection w:val="btLr"/>
            <w:vAlign w:val="center"/>
          </w:tcPr>
          <w:p w14:paraId="47B6F6B2" w14:textId="77777777" w:rsidR="001B6792" w:rsidRPr="001E4272" w:rsidRDefault="001B6792" w:rsidP="00B2088F">
            <w:pPr>
              <w:ind w:left="113" w:right="113"/>
              <w:jc w:val="center"/>
              <w:rPr>
                <w:noProof/>
              </w:rPr>
            </w:pPr>
            <w:r w:rsidRPr="001E4272">
              <w:rPr>
                <w:noProof/>
                <w:sz w:val="18"/>
              </w:rPr>
              <w:t>Αριθ.</w:t>
            </w:r>
          </w:p>
        </w:tc>
        <w:tc>
          <w:tcPr>
            <w:tcW w:w="758" w:type="dxa"/>
            <w:gridSpan w:val="2"/>
            <w:tcBorders>
              <w:left w:val="dashSmallGap" w:sz="4" w:space="0" w:color="auto"/>
            </w:tcBorders>
            <w:shd w:val="clear" w:color="auto" w:fill="auto"/>
            <w:vAlign w:val="center"/>
          </w:tcPr>
          <w:p w14:paraId="5122DA3D" w14:textId="77777777" w:rsidR="001B6792" w:rsidRPr="001E4272" w:rsidRDefault="001B6792" w:rsidP="00B2088F">
            <w:pPr>
              <w:jc w:val="center"/>
              <w:rPr>
                <w:noProof/>
                <w:sz w:val="18"/>
              </w:rPr>
            </w:pPr>
            <w:r w:rsidRPr="001E4272">
              <w:rPr>
                <w:noProof/>
                <w:sz w:val="18"/>
              </w:rPr>
              <w:t>Κόστος</w:t>
            </w:r>
          </w:p>
        </w:tc>
        <w:tc>
          <w:tcPr>
            <w:tcW w:w="720" w:type="dxa"/>
            <w:tcBorders>
              <w:right w:val="dashSmallGap" w:sz="4" w:space="0" w:color="auto"/>
            </w:tcBorders>
            <w:shd w:val="clear" w:color="auto" w:fill="auto"/>
            <w:vAlign w:val="center"/>
          </w:tcPr>
          <w:p w14:paraId="6C6C6E3F" w14:textId="77777777" w:rsidR="001B6792" w:rsidRPr="001E4272" w:rsidRDefault="001B6792" w:rsidP="00B2088F">
            <w:pPr>
              <w:jc w:val="center"/>
              <w:rPr>
                <w:noProof/>
                <w:sz w:val="18"/>
              </w:rPr>
            </w:pPr>
            <w:r w:rsidRPr="001E4272">
              <w:rPr>
                <w:noProof/>
                <w:sz w:val="18"/>
              </w:rPr>
              <w:t>Συνολικός αριθ.</w:t>
            </w:r>
          </w:p>
        </w:tc>
        <w:tc>
          <w:tcPr>
            <w:tcW w:w="900" w:type="dxa"/>
            <w:tcBorders>
              <w:left w:val="dashSmallGap" w:sz="4" w:space="0" w:color="auto"/>
            </w:tcBorders>
            <w:shd w:val="clear" w:color="auto" w:fill="auto"/>
            <w:vAlign w:val="center"/>
          </w:tcPr>
          <w:p w14:paraId="16CE53AF" w14:textId="77777777" w:rsidR="001B6792" w:rsidRPr="001E4272" w:rsidRDefault="001B6792" w:rsidP="00B2088F">
            <w:pPr>
              <w:jc w:val="center"/>
              <w:rPr>
                <w:noProof/>
              </w:rPr>
            </w:pPr>
            <w:r w:rsidRPr="001E4272">
              <w:rPr>
                <w:noProof/>
                <w:sz w:val="18"/>
              </w:rPr>
              <w:t>Συνολικό κόστος</w:t>
            </w:r>
          </w:p>
        </w:tc>
      </w:tr>
      <w:tr w:rsidR="001B6792" w:rsidRPr="001E4272" w14:paraId="21AF9619" w14:textId="77777777" w:rsidTr="006A0D14">
        <w:trPr>
          <w:jc w:val="center"/>
        </w:trPr>
        <w:tc>
          <w:tcPr>
            <w:tcW w:w="2844" w:type="dxa"/>
            <w:gridSpan w:val="3"/>
            <w:vAlign w:val="center"/>
          </w:tcPr>
          <w:p w14:paraId="6BEB5740" w14:textId="77777777" w:rsidR="001B6792" w:rsidRPr="001E4272" w:rsidRDefault="001B6792" w:rsidP="00B2088F">
            <w:pPr>
              <w:spacing w:before="60" w:after="60"/>
              <w:ind w:right="-29"/>
              <w:jc w:val="center"/>
              <w:rPr>
                <w:noProof/>
                <w:sz w:val="18"/>
              </w:rPr>
            </w:pPr>
            <w:r w:rsidRPr="001E4272">
              <w:rPr>
                <w:noProof/>
                <w:sz w:val="18"/>
                <w:szCs w:val="18"/>
              </w:rPr>
              <w:t>ΕΙΔΙΚΟΣ ΣΤΟΧΟΣ αριθ. 1</w:t>
            </w:r>
            <w:r w:rsidRPr="001E4272">
              <w:rPr>
                <w:rStyle w:val="FootnoteReference"/>
                <w:noProof/>
                <w:sz w:val="18"/>
                <w:szCs w:val="18"/>
              </w:rPr>
              <w:footnoteReference w:id="58"/>
            </w:r>
          </w:p>
          <w:p w14:paraId="3E7F1289" w14:textId="77777777" w:rsidR="001B6792" w:rsidRPr="001E4272" w:rsidRDefault="001B6792" w:rsidP="00906BEE">
            <w:pPr>
              <w:spacing w:before="60" w:after="60"/>
              <w:ind w:right="-29"/>
              <w:jc w:val="center"/>
              <w:rPr>
                <w:noProof/>
                <w:sz w:val="18"/>
              </w:rPr>
            </w:pPr>
            <w:r w:rsidRPr="001E4272">
              <w:rPr>
                <w:noProof/>
                <w:sz w:val="18"/>
              </w:rPr>
              <w:t>Να παρασχεθεί στην Eurojust η δυνατότητα να εντοπίζει πιο αποδοτικά δεσμούς μεταξύ παράλληλων διασυνοριακών ερευνών και διώξεων σχετικά με τρομοκρατικά εγκλήματα και να παρέχει ανατροφοδότηση σχετικά με αυτούς τους δεσμούς στα κράτη μέλη</w:t>
            </w:r>
          </w:p>
        </w:tc>
        <w:tc>
          <w:tcPr>
            <w:tcW w:w="504" w:type="dxa"/>
            <w:tcBorders>
              <w:top w:val="nil"/>
              <w:left w:val="nil"/>
              <w:bottom w:val="nil"/>
              <w:right w:val="nil"/>
            </w:tcBorders>
          </w:tcPr>
          <w:p w14:paraId="2BF6D4FB" w14:textId="77777777" w:rsidR="001B6792" w:rsidRPr="001E4272" w:rsidRDefault="001B6792" w:rsidP="00B2088F">
            <w:pPr>
              <w:spacing w:before="60" w:after="60"/>
              <w:ind w:right="-29"/>
              <w:jc w:val="center"/>
              <w:rPr>
                <w:noProof/>
                <w:sz w:val="18"/>
              </w:rPr>
            </w:pPr>
          </w:p>
        </w:tc>
        <w:tc>
          <w:tcPr>
            <w:tcW w:w="720" w:type="dxa"/>
            <w:tcBorders>
              <w:top w:val="nil"/>
              <w:left w:val="nil"/>
              <w:bottom w:val="nil"/>
              <w:right w:val="nil"/>
            </w:tcBorders>
          </w:tcPr>
          <w:p w14:paraId="37557867" w14:textId="77777777" w:rsidR="001B6792" w:rsidRPr="001E4272" w:rsidRDefault="001B6792" w:rsidP="00B2088F">
            <w:pPr>
              <w:spacing w:before="60" w:after="60"/>
              <w:ind w:right="-29"/>
              <w:jc w:val="center"/>
              <w:rPr>
                <w:noProof/>
                <w:sz w:val="18"/>
              </w:rPr>
            </w:pPr>
          </w:p>
        </w:tc>
        <w:tc>
          <w:tcPr>
            <w:tcW w:w="540" w:type="dxa"/>
            <w:tcBorders>
              <w:top w:val="nil"/>
              <w:left w:val="nil"/>
              <w:bottom w:val="nil"/>
              <w:right w:val="nil"/>
            </w:tcBorders>
          </w:tcPr>
          <w:p w14:paraId="64F8CB60" w14:textId="77777777" w:rsidR="001B6792" w:rsidRPr="001E4272" w:rsidRDefault="001B6792" w:rsidP="00B2088F">
            <w:pPr>
              <w:spacing w:before="60" w:after="60"/>
              <w:ind w:right="-29"/>
              <w:jc w:val="center"/>
              <w:rPr>
                <w:noProof/>
                <w:sz w:val="18"/>
              </w:rPr>
            </w:pPr>
          </w:p>
        </w:tc>
        <w:tc>
          <w:tcPr>
            <w:tcW w:w="720" w:type="dxa"/>
            <w:tcBorders>
              <w:top w:val="nil"/>
              <w:left w:val="nil"/>
              <w:bottom w:val="nil"/>
              <w:right w:val="nil"/>
            </w:tcBorders>
          </w:tcPr>
          <w:p w14:paraId="379F186A" w14:textId="77777777" w:rsidR="001B6792" w:rsidRPr="001E4272" w:rsidRDefault="001B6792" w:rsidP="00B2088F">
            <w:pPr>
              <w:spacing w:before="60" w:after="60"/>
              <w:ind w:right="-29"/>
              <w:jc w:val="center"/>
              <w:rPr>
                <w:noProof/>
                <w:sz w:val="18"/>
              </w:rPr>
            </w:pPr>
          </w:p>
        </w:tc>
        <w:tc>
          <w:tcPr>
            <w:tcW w:w="763" w:type="dxa"/>
            <w:tcBorders>
              <w:top w:val="nil"/>
              <w:left w:val="nil"/>
              <w:bottom w:val="nil"/>
              <w:right w:val="nil"/>
            </w:tcBorders>
          </w:tcPr>
          <w:p w14:paraId="6D785B9E" w14:textId="77777777" w:rsidR="001B6792" w:rsidRPr="001E4272" w:rsidRDefault="001B6792" w:rsidP="00B2088F">
            <w:pPr>
              <w:spacing w:before="60" w:after="60"/>
              <w:ind w:right="-29"/>
              <w:jc w:val="center"/>
              <w:rPr>
                <w:noProof/>
                <w:sz w:val="18"/>
              </w:rPr>
            </w:pPr>
          </w:p>
        </w:tc>
        <w:tc>
          <w:tcPr>
            <w:tcW w:w="708" w:type="dxa"/>
            <w:tcBorders>
              <w:top w:val="nil"/>
              <w:left w:val="nil"/>
              <w:bottom w:val="nil"/>
              <w:right w:val="nil"/>
            </w:tcBorders>
          </w:tcPr>
          <w:p w14:paraId="3D5FB6AF" w14:textId="77777777" w:rsidR="001B6792" w:rsidRPr="001E4272" w:rsidRDefault="001B6792" w:rsidP="00B2088F">
            <w:pPr>
              <w:spacing w:before="60" w:after="60"/>
              <w:ind w:right="-29"/>
              <w:jc w:val="center"/>
              <w:rPr>
                <w:noProof/>
                <w:sz w:val="18"/>
              </w:rPr>
            </w:pPr>
          </w:p>
        </w:tc>
        <w:tc>
          <w:tcPr>
            <w:tcW w:w="567" w:type="dxa"/>
            <w:tcBorders>
              <w:top w:val="nil"/>
              <w:left w:val="nil"/>
              <w:bottom w:val="nil"/>
              <w:right w:val="nil"/>
            </w:tcBorders>
          </w:tcPr>
          <w:p w14:paraId="1BF01BD6" w14:textId="77777777" w:rsidR="001B6792" w:rsidRPr="001E4272" w:rsidRDefault="001B6792" w:rsidP="00B2088F">
            <w:pPr>
              <w:spacing w:before="60" w:after="60"/>
              <w:ind w:right="-29"/>
              <w:jc w:val="center"/>
              <w:rPr>
                <w:noProof/>
                <w:sz w:val="18"/>
              </w:rPr>
            </w:pPr>
          </w:p>
        </w:tc>
        <w:tc>
          <w:tcPr>
            <w:tcW w:w="758" w:type="dxa"/>
            <w:gridSpan w:val="2"/>
            <w:tcBorders>
              <w:top w:val="nil"/>
              <w:left w:val="nil"/>
              <w:bottom w:val="nil"/>
              <w:right w:val="nil"/>
            </w:tcBorders>
          </w:tcPr>
          <w:p w14:paraId="6568A66C" w14:textId="77777777" w:rsidR="001B6792" w:rsidRPr="001E4272" w:rsidRDefault="001B6792" w:rsidP="00B2088F">
            <w:pPr>
              <w:spacing w:before="60" w:after="60"/>
              <w:ind w:right="-29"/>
              <w:jc w:val="center"/>
              <w:rPr>
                <w:noProof/>
                <w:sz w:val="18"/>
              </w:rPr>
            </w:pPr>
          </w:p>
        </w:tc>
        <w:tc>
          <w:tcPr>
            <w:tcW w:w="720" w:type="dxa"/>
            <w:tcBorders>
              <w:top w:val="nil"/>
              <w:left w:val="nil"/>
              <w:bottom w:val="nil"/>
              <w:right w:val="nil"/>
            </w:tcBorders>
          </w:tcPr>
          <w:p w14:paraId="3B27CF44" w14:textId="77777777" w:rsidR="001B6792" w:rsidRPr="001E4272" w:rsidRDefault="001B6792" w:rsidP="00B2088F">
            <w:pPr>
              <w:spacing w:before="60" w:after="60"/>
              <w:ind w:right="-29"/>
              <w:jc w:val="center"/>
              <w:rPr>
                <w:noProof/>
                <w:sz w:val="18"/>
              </w:rPr>
            </w:pPr>
          </w:p>
        </w:tc>
        <w:tc>
          <w:tcPr>
            <w:tcW w:w="900" w:type="dxa"/>
            <w:tcBorders>
              <w:top w:val="nil"/>
              <w:left w:val="nil"/>
              <w:bottom w:val="nil"/>
              <w:right w:val="nil"/>
            </w:tcBorders>
          </w:tcPr>
          <w:p w14:paraId="014726FE" w14:textId="77777777" w:rsidR="001B6792" w:rsidRPr="001E4272" w:rsidRDefault="001B6792" w:rsidP="00B2088F">
            <w:pPr>
              <w:spacing w:before="60" w:after="60"/>
              <w:ind w:right="-29"/>
              <w:jc w:val="center"/>
              <w:rPr>
                <w:noProof/>
                <w:sz w:val="18"/>
              </w:rPr>
            </w:pPr>
          </w:p>
        </w:tc>
      </w:tr>
      <w:tr w:rsidR="001B6792" w:rsidRPr="001E4272" w14:paraId="13238EFB" w14:textId="77777777" w:rsidTr="00CE007F">
        <w:trPr>
          <w:trHeight w:hRule="exact" w:val="1576"/>
          <w:jc w:val="center"/>
        </w:trPr>
        <w:tc>
          <w:tcPr>
            <w:tcW w:w="1423" w:type="dxa"/>
          </w:tcPr>
          <w:p w14:paraId="681DFCEC" w14:textId="77777777" w:rsidR="001B6792" w:rsidRPr="001E4272" w:rsidRDefault="001B6792" w:rsidP="00B2088F">
            <w:pPr>
              <w:ind w:right="-29"/>
              <w:jc w:val="center"/>
              <w:rPr>
                <w:noProof/>
                <w:sz w:val="18"/>
              </w:rPr>
            </w:pPr>
            <w:r w:rsidRPr="001E4272">
              <w:rPr>
                <w:noProof/>
                <w:sz w:val="18"/>
              </w:rPr>
              <w:t>- Αποτέλεσμα</w:t>
            </w:r>
          </w:p>
        </w:tc>
        <w:tc>
          <w:tcPr>
            <w:tcW w:w="1421" w:type="dxa"/>
            <w:gridSpan w:val="2"/>
          </w:tcPr>
          <w:p w14:paraId="617CC5C8" w14:textId="77777777" w:rsidR="001B6792" w:rsidRPr="001E4272" w:rsidRDefault="001B6792" w:rsidP="00B2088F">
            <w:pPr>
              <w:ind w:right="-29"/>
              <w:jc w:val="center"/>
              <w:rPr>
                <w:noProof/>
                <w:sz w:val="18"/>
              </w:rPr>
            </w:pPr>
            <w:r w:rsidRPr="001E4272">
              <w:rPr>
                <w:noProof/>
                <w:sz w:val="18"/>
              </w:rPr>
              <w:t>Εντοπισμός δεσμών μεταξύ διασυνοριακών υποθέσεων που διαπιστώνονται από την Eurojust</w:t>
            </w:r>
          </w:p>
        </w:tc>
        <w:tc>
          <w:tcPr>
            <w:tcW w:w="504" w:type="dxa"/>
            <w:tcBorders>
              <w:top w:val="single" w:sz="4" w:space="0" w:color="auto"/>
              <w:left w:val="single" w:sz="4" w:space="0" w:color="auto"/>
              <w:bottom w:val="single" w:sz="4" w:space="0" w:color="auto"/>
              <w:right w:val="dashSmallGap" w:sz="4" w:space="0" w:color="auto"/>
            </w:tcBorders>
          </w:tcPr>
          <w:p w14:paraId="0ABC7C4D" w14:textId="77777777" w:rsidR="001B6792" w:rsidRPr="001E4272" w:rsidRDefault="001B6792" w:rsidP="00B2088F">
            <w:pPr>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7BF94600" w14:textId="34076C4F" w:rsidR="001B6792" w:rsidRPr="001E4272" w:rsidRDefault="00900A33" w:rsidP="00B2088F">
            <w:pPr>
              <w:ind w:right="-29"/>
              <w:jc w:val="center"/>
              <w:rPr>
                <w:noProof/>
                <w:sz w:val="18"/>
              </w:rPr>
            </w:pPr>
            <w:r w:rsidRPr="001E4272">
              <w:rPr>
                <w:noProof/>
                <w:sz w:val="18"/>
              </w:rPr>
              <w:t>1,835</w:t>
            </w:r>
          </w:p>
        </w:tc>
        <w:tc>
          <w:tcPr>
            <w:tcW w:w="540" w:type="dxa"/>
            <w:tcBorders>
              <w:top w:val="single" w:sz="4" w:space="0" w:color="auto"/>
              <w:left w:val="single" w:sz="4" w:space="0" w:color="auto"/>
              <w:bottom w:val="single" w:sz="4" w:space="0" w:color="auto"/>
              <w:right w:val="dashSmallGap" w:sz="4" w:space="0" w:color="auto"/>
            </w:tcBorders>
          </w:tcPr>
          <w:p w14:paraId="24FF5866" w14:textId="77777777" w:rsidR="001B6792" w:rsidRPr="001E4272" w:rsidRDefault="001B6792" w:rsidP="00B2088F">
            <w:pPr>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tcPr>
          <w:p w14:paraId="72EF1832" w14:textId="7D421C71" w:rsidR="001B6792" w:rsidRPr="001E4272" w:rsidRDefault="001B6792" w:rsidP="00900A33">
            <w:pPr>
              <w:ind w:right="-29"/>
              <w:jc w:val="center"/>
              <w:rPr>
                <w:noProof/>
                <w:sz w:val="18"/>
              </w:rPr>
            </w:pPr>
            <w:r w:rsidRPr="001E4272">
              <w:rPr>
                <w:noProof/>
                <w:sz w:val="18"/>
              </w:rPr>
              <w:t>9,190</w:t>
            </w:r>
          </w:p>
        </w:tc>
        <w:tc>
          <w:tcPr>
            <w:tcW w:w="763" w:type="dxa"/>
            <w:tcBorders>
              <w:top w:val="single" w:sz="4" w:space="0" w:color="auto"/>
              <w:left w:val="single" w:sz="4" w:space="0" w:color="auto"/>
              <w:bottom w:val="single" w:sz="4" w:space="0" w:color="auto"/>
              <w:right w:val="dashSmallGap" w:sz="4" w:space="0" w:color="auto"/>
            </w:tcBorders>
          </w:tcPr>
          <w:p w14:paraId="59801985" w14:textId="77777777" w:rsidR="001B6792" w:rsidRPr="001E4272" w:rsidRDefault="001B6792" w:rsidP="00B2088F">
            <w:pPr>
              <w:ind w:right="-29"/>
              <w:jc w:val="center"/>
              <w:rPr>
                <w:noProof/>
                <w:sz w:val="18"/>
              </w:rPr>
            </w:pPr>
          </w:p>
        </w:tc>
        <w:tc>
          <w:tcPr>
            <w:tcW w:w="708" w:type="dxa"/>
            <w:tcBorders>
              <w:top w:val="single" w:sz="4" w:space="0" w:color="auto"/>
              <w:left w:val="dashSmallGap" w:sz="4" w:space="0" w:color="auto"/>
              <w:bottom w:val="single" w:sz="4" w:space="0" w:color="auto"/>
              <w:right w:val="single" w:sz="4" w:space="0" w:color="auto"/>
            </w:tcBorders>
          </w:tcPr>
          <w:p w14:paraId="225FD7C3" w14:textId="77777777" w:rsidR="001B6792" w:rsidRPr="001E4272" w:rsidRDefault="001B6792" w:rsidP="00B2088F">
            <w:pPr>
              <w:ind w:right="-29"/>
              <w:jc w:val="center"/>
              <w:rPr>
                <w:noProof/>
                <w:sz w:val="18"/>
              </w:rPr>
            </w:pPr>
            <w:r w:rsidRPr="001E4272">
              <w:rPr>
                <w:noProof/>
                <w:sz w:val="18"/>
              </w:rPr>
              <w:t>8,843</w:t>
            </w:r>
          </w:p>
        </w:tc>
        <w:tc>
          <w:tcPr>
            <w:tcW w:w="709" w:type="dxa"/>
            <w:gridSpan w:val="2"/>
            <w:tcBorders>
              <w:top w:val="single" w:sz="4" w:space="0" w:color="auto"/>
              <w:left w:val="single" w:sz="4" w:space="0" w:color="auto"/>
              <w:bottom w:val="single" w:sz="4" w:space="0" w:color="auto"/>
              <w:right w:val="dashSmallGap" w:sz="4" w:space="0" w:color="auto"/>
            </w:tcBorders>
          </w:tcPr>
          <w:p w14:paraId="51E52284" w14:textId="77777777" w:rsidR="001B6792" w:rsidRPr="001E4272" w:rsidRDefault="001B6792" w:rsidP="00B2088F">
            <w:pPr>
              <w:ind w:right="-29"/>
              <w:jc w:val="center"/>
              <w:rPr>
                <w:noProof/>
                <w:sz w:val="18"/>
              </w:rPr>
            </w:pPr>
          </w:p>
        </w:tc>
        <w:tc>
          <w:tcPr>
            <w:tcW w:w="616" w:type="dxa"/>
            <w:tcBorders>
              <w:top w:val="single" w:sz="4" w:space="0" w:color="auto"/>
              <w:left w:val="dashSmallGap" w:sz="4" w:space="0" w:color="auto"/>
              <w:bottom w:val="single" w:sz="4" w:space="0" w:color="auto"/>
              <w:right w:val="single" w:sz="4" w:space="0" w:color="auto"/>
            </w:tcBorders>
          </w:tcPr>
          <w:p w14:paraId="5E69F127" w14:textId="2EF29A7F" w:rsidR="001B6792" w:rsidRPr="001E4272" w:rsidRDefault="00900A33" w:rsidP="00D051F5">
            <w:pPr>
              <w:ind w:right="-29"/>
              <w:jc w:val="center"/>
              <w:rPr>
                <w:noProof/>
                <w:sz w:val="18"/>
                <w:szCs w:val="18"/>
              </w:rPr>
            </w:pPr>
            <w:r w:rsidRPr="001E4272">
              <w:rPr>
                <w:noProof/>
                <w:sz w:val="18"/>
              </w:rPr>
              <w:t>7,965</w:t>
            </w:r>
          </w:p>
        </w:tc>
        <w:tc>
          <w:tcPr>
            <w:tcW w:w="720" w:type="dxa"/>
            <w:tcBorders>
              <w:top w:val="single" w:sz="4" w:space="0" w:color="auto"/>
              <w:left w:val="single" w:sz="4" w:space="0" w:color="auto"/>
              <w:bottom w:val="single" w:sz="4" w:space="0" w:color="auto"/>
              <w:right w:val="single" w:sz="4" w:space="0" w:color="auto"/>
            </w:tcBorders>
          </w:tcPr>
          <w:p w14:paraId="20A4073A" w14:textId="77777777" w:rsidR="001B6792" w:rsidRPr="001E4272" w:rsidRDefault="001B6792" w:rsidP="00B2088F">
            <w:pPr>
              <w:ind w:right="-29"/>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4FB5F923" w14:textId="6733FE3A" w:rsidR="001B6792" w:rsidRPr="001E4272" w:rsidRDefault="00900A33">
            <w:pPr>
              <w:ind w:right="-29"/>
              <w:jc w:val="center"/>
              <w:rPr>
                <w:noProof/>
                <w:sz w:val="18"/>
                <w:szCs w:val="18"/>
              </w:rPr>
            </w:pPr>
            <w:r w:rsidRPr="001E4272">
              <w:rPr>
                <w:noProof/>
                <w:sz w:val="18"/>
              </w:rPr>
              <w:t>27,832</w:t>
            </w:r>
          </w:p>
        </w:tc>
      </w:tr>
      <w:tr w:rsidR="001B6792" w:rsidRPr="001E4272" w14:paraId="22690312" w14:textId="77777777" w:rsidTr="006A0D14">
        <w:trPr>
          <w:jc w:val="center"/>
        </w:trPr>
        <w:tc>
          <w:tcPr>
            <w:tcW w:w="2844" w:type="dxa"/>
            <w:gridSpan w:val="3"/>
            <w:vAlign w:val="center"/>
          </w:tcPr>
          <w:p w14:paraId="5630EFCD" w14:textId="77777777" w:rsidR="001B6792" w:rsidRPr="001E4272" w:rsidRDefault="001B6792" w:rsidP="00B2088F">
            <w:pPr>
              <w:spacing w:before="60" w:after="60"/>
              <w:ind w:right="-29"/>
              <w:jc w:val="center"/>
              <w:rPr>
                <w:noProof/>
                <w:sz w:val="18"/>
              </w:rPr>
            </w:pPr>
            <w:r w:rsidRPr="001E4272">
              <w:rPr>
                <w:noProof/>
                <w:sz w:val="18"/>
              </w:rPr>
              <w:t xml:space="preserve">ΕΙΔΙΚΟΣ ΣΤΟΧΟΣ αριθ. 2 </w:t>
            </w:r>
          </w:p>
          <w:p w14:paraId="2E6C634A" w14:textId="77777777" w:rsidR="001B6792" w:rsidRPr="001E4272" w:rsidRDefault="001B6792" w:rsidP="00906BEE">
            <w:pPr>
              <w:spacing w:before="60" w:after="60"/>
              <w:ind w:right="-29"/>
              <w:jc w:val="center"/>
              <w:rPr>
                <w:noProof/>
                <w:sz w:val="18"/>
              </w:rPr>
            </w:pPr>
            <w:r w:rsidRPr="001E4272">
              <w:rPr>
                <w:noProof/>
                <w:sz w:val="18"/>
              </w:rPr>
              <w:t>Να ενισχυθούν η αποδοτικότητα και η ασφάλεια της ανταλλαγής δεδομένων μεταξύ των κρατών μελών, της Eurojust και τρίτων χωρών.</w:t>
            </w:r>
          </w:p>
        </w:tc>
        <w:tc>
          <w:tcPr>
            <w:tcW w:w="504" w:type="dxa"/>
            <w:tcBorders>
              <w:top w:val="nil"/>
              <w:left w:val="nil"/>
              <w:bottom w:val="nil"/>
              <w:right w:val="nil"/>
            </w:tcBorders>
          </w:tcPr>
          <w:p w14:paraId="0F29E33B" w14:textId="77777777" w:rsidR="001B6792" w:rsidRPr="001E4272" w:rsidRDefault="001B6792" w:rsidP="00B2088F">
            <w:pPr>
              <w:spacing w:before="60" w:after="60"/>
              <w:ind w:right="-29"/>
              <w:jc w:val="center"/>
              <w:rPr>
                <w:noProof/>
                <w:sz w:val="18"/>
              </w:rPr>
            </w:pPr>
          </w:p>
        </w:tc>
        <w:tc>
          <w:tcPr>
            <w:tcW w:w="720" w:type="dxa"/>
            <w:tcBorders>
              <w:top w:val="nil"/>
              <w:left w:val="nil"/>
              <w:bottom w:val="nil"/>
              <w:right w:val="nil"/>
            </w:tcBorders>
          </w:tcPr>
          <w:p w14:paraId="54FEFDA3" w14:textId="77777777" w:rsidR="001B6792" w:rsidRPr="001E4272" w:rsidRDefault="001B6792" w:rsidP="00B2088F">
            <w:pPr>
              <w:spacing w:before="60" w:after="60"/>
              <w:ind w:right="-29"/>
              <w:jc w:val="center"/>
              <w:rPr>
                <w:noProof/>
                <w:sz w:val="18"/>
              </w:rPr>
            </w:pPr>
          </w:p>
        </w:tc>
        <w:tc>
          <w:tcPr>
            <w:tcW w:w="540" w:type="dxa"/>
            <w:tcBorders>
              <w:top w:val="nil"/>
              <w:left w:val="nil"/>
              <w:bottom w:val="nil"/>
              <w:right w:val="nil"/>
            </w:tcBorders>
          </w:tcPr>
          <w:p w14:paraId="555540B0" w14:textId="77777777" w:rsidR="001B6792" w:rsidRPr="001E4272" w:rsidRDefault="001B6792" w:rsidP="00B2088F">
            <w:pPr>
              <w:spacing w:before="60" w:after="60"/>
              <w:ind w:right="-29"/>
              <w:jc w:val="center"/>
              <w:rPr>
                <w:noProof/>
                <w:sz w:val="18"/>
              </w:rPr>
            </w:pPr>
          </w:p>
        </w:tc>
        <w:tc>
          <w:tcPr>
            <w:tcW w:w="720" w:type="dxa"/>
            <w:tcBorders>
              <w:top w:val="nil"/>
              <w:left w:val="nil"/>
              <w:bottom w:val="nil"/>
              <w:right w:val="nil"/>
            </w:tcBorders>
          </w:tcPr>
          <w:p w14:paraId="429F7E0C" w14:textId="77777777" w:rsidR="001B6792" w:rsidRPr="001E4272" w:rsidRDefault="001B6792" w:rsidP="00B2088F">
            <w:pPr>
              <w:spacing w:before="60" w:after="60"/>
              <w:ind w:right="-29"/>
              <w:jc w:val="center"/>
              <w:rPr>
                <w:noProof/>
                <w:sz w:val="18"/>
              </w:rPr>
            </w:pPr>
          </w:p>
        </w:tc>
        <w:tc>
          <w:tcPr>
            <w:tcW w:w="763" w:type="dxa"/>
            <w:tcBorders>
              <w:top w:val="nil"/>
              <w:left w:val="nil"/>
              <w:bottom w:val="nil"/>
              <w:right w:val="nil"/>
            </w:tcBorders>
          </w:tcPr>
          <w:p w14:paraId="7BB37197" w14:textId="77777777" w:rsidR="001B6792" w:rsidRPr="001E4272" w:rsidRDefault="001B6792" w:rsidP="00B2088F">
            <w:pPr>
              <w:spacing w:before="60" w:after="60"/>
              <w:ind w:right="-29"/>
              <w:jc w:val="center"/>
              <w:rPr>
                <w:noProof/>
                <w:sz w:val="18"/>
              </w:rPr>
            </w:pPr>
          </w:p>
        </w:tc>
        <w:tc>
          <w:tcPr>
            <w:tcW w:w="708" w:type="dxa"/>
            <w:tcBorders>
              <w:top w:val="nil"/>
              <w:left w:val="nil"/>
              <w:bottom w:val="nil"/>
              <w:right w:val="nil"/>
            </w:tcBorders>
          </w:tcPr>
          <w:p w14:paraId="2E19A8E4" w14:textId="77777777" w:rsidR="001B6792" w:rsidRPr="001E4272" w:rsidRDefault="001B6792" w:rsidP="00B2088F">
            <w:pPr>
              <w:spacing w:before="60" w:after="60"/>
              <w:ind w:right="-29"/>
              <w:jc w:val="center"/>
              <w:rPr>
                <w:noProof/>
                <w:sz w:val="18"/>
              </w:rPr>
            </w:pPr>
          </w:p>
        </w:tc>
        <w:tc>
          <w:tcPr>
            <w:tcW w:w="567" w:type="dxa"/>
            <w:tcBorders>
              <w:top w:val="nil"/>
              <w:left w:val="nil"/>
              <w:bottom w:val="nil"/>
              <w:right w:val="nil"/>
            </w:tcBorders>
          </w:tcPr>
          <w:p w14:paraId="2970F032" w14:textId="77777777" w:rsidR="001B6792" w:rsidRPr="001E4272" w:rsidRDefault="001B6792" w:rsidP="00B2088F">
            <w:pPr>
              <w:spacing w:before="60" w:after="60"/>
              <w:ind w:right="-29"/>
              <w:jc w:val="center"/>
              <w:rPr>
                <w:noProof/>
                <w:sz w:val="18"/>
              </w:rPr>
            </w:pPr>
          </w:p>
        </w:tc>
        <w:tc>
          <w:tcPr>
            <w:tcW w:w="758" w:type="dxa"/>
            <w:gridSpan w:val="2"/>
            <w:tcBorders>
              <w:top w:val="nil"/>
              <w:left w:val="nil"/>
              <w:bottom w:val="nil"/>
              <w:right w:val="nil"/>
            </w:tcBorders>
          </w:tcPr>
          <w:p w14:paraId="6CBB7EEF" w14:textId="77777777" w:rsidR="001B6792" w:rsidRPr="001E4272" w:rsidRDefault="001B6792" w:rsidP="00B2088F">
            <w:pPr>
              <w:spacing w:before="60" w:after="60"/>
              <w:ind w:right="-29"/>
              <w:jc w:val="center"/>
              <w:rPr>
                <w:noProof/>
                <w:sz w:val="18"/>
              </w:rPr>
            </w:pPr>
          </w:p>
        </w:tc>
        <w:tc>
          <w:tcPr>
            <w:tcW w:w="720" w:type="dxa"/>
            <w:tcBorders>
              <w:top w:val="nil"/>
              <w:left w:val="nil"/>
              <w:bottom w:val="nil"/>
              <w:right w:val="nil"/>
            </w:tcBorders>
          </w:tcPr>
          <w:p w14:paraId="29C4B459" w14:textId="77777777" w:rsidR="001B6792" w:rsidRPr="001E4272" w:rsidRDefault="001B6792" w:rsidP="00B2088F">
            <w:pPr>
              <w:spacing w:before="60" w:after="60"/>
              <w:ind w:right="-29"/>
              <w:jc w:val="center"/>
              <w:rPr>
                <w:noProof/>
                <w:sz w:val="18"/>
              </w:rPr>
            </w:pPr>
          </w:p>
        </w:tc>
        <w:tc>
          <w:tcPr>
            <w:tcW w:w="900" w:type="dxa"/>
            <w:tcBorders>
              <w:top w:val="nil"/>
              <w:left w:val="nil"/>
              <w:bottom w:val="nil"/>
              <w:right w:val="nil"/>
            </w:tcBorders>
          </w:tcPr>
          <w:p w14:paraId="7A477539" w14:textId="77777777" w:rsidR="001B6792" w:rsidRPr="001E4272" w:rsidRDefault="001B6792" w:rsidP="00B2088F">
            <w:pPr>
              <w:spacing w:before="60" w:after="60"/>
              <w:ind w:right="-29"/>
              <w:jc w:val="center"/>
              <w:rPr>
                <w:noProof/>
                <w:sz w:val="18"/>
              </w:rPr>
            </w:pPr>
          </w:p>
        </w:tc>
      </w:tr>
      <w:tr w:rsidR="001B6792" w:rsidRPr="001E4272" w14:paraId="7E077A55" w14:textId="77777777" w:rsidTr="00CE007F">
        <w:trPr>
          <w:trHeight w:hRule="exact" w:val="2188"/>
          <w:jc w:val="center"/>
        </w:trPr>
        <w:tc>
          <w:tcPr>
            <w:tcW w:w="1423" w:type="dxa"/>
          </w:tcPr>
          <w:p w14:paraId="31A78AA7" w14:textId="77777777" w:rsidR="001B6792" w:rsidRPr="001E4272" w:rsidRDefault="001B6792" w:rsidP="00B2088F">
            <w:pPr>
              <w:ind w:right="-29"/>
              <w:jc w:val="center"/>
              <w:rPr>
                <w:noProof/>
                <w:sz w:val="18"/>
              </w:rPr>
            </w:pPr>
            <w:r w:rsidRPr="001E4272">
              <w:rPr>
                <w:noProof/>
                <w:sz w:val="18"/>
              </w:rPr>
              <w:t>- Αποτέλεσμα</w:t>
            </w:r>
          </w:p>
        </w:tc>
        <w:tc>
          <w:tcPr>
            <w:tcW w:w="1421" w:type="dxa"/>
            <w:gridSpan w:val="2"/>
          </w:tcPr>
          <w:p w14:paraId="037EFC97" w14:textId="77777777" w:rsidR="001B6792" w:rsidRPr="001E4272" w:rsidRDefault="001B6792" w:rsidP="00B2088F">
            <w:pPr>
              <w:ind w:right="-29"/>
              <w:jc w:val="center"/>
              <w:rPr>
                <w:noProof/>
                <w:sz w:val="18"/>
              </w:rPr>
            </w:pPr>
            <w:r w:rsidRPr="001E4272">
              <w:rPr>
                <w:noProof/>
                <w:sz w:val="18"/>
              </w:rPr>
              <w:t>Ασφαλής λήψη δεδομένων προσωπικού χαρακτήρα τα οποία αποστέλλονται από τα κράτη μέλη στην Eurojust</w:t>
            </w:r>
          </w:p>
        </w:tc>
        <w:tc>
          <w:tcPr>
            <w:tcW w:w="504" w:type="dxa"/>
            <w:tcBorders>
              <w:top w:val="single" w:sz="4" w:space="0" w:color="auto"/>
              <w:left w:val="single" w:sz="4" w:space="0" w:color="auto"/>
              <w:bottom w:val="single" w:sz="4" w:space="0" w:color="auto"/>
              <w:right w:val="single" w:sz="4" w:space="0" w:color="auto"/>
            </w:tcBorders>
          </w:tcPr>
          <w:p w14:paraId="39ACF11E" w14:textId="77777777" w:rsidR="001B6792" w:rsidRPr="001E4272" w:rsidRDefault="001B6792" w:rsidP="00B2088F">
            <w:pPr>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3AAAD195" w14:textId="7373ADA4" w:rsidR="001B6792" w:rsidRPr="001E4272" w:rsidRDefault="00900A33" w:rsidP="00B2088F">
            <w:pPr>
              <w:ind w:right="-29"/>
              <w:jc w:val="center"/>
              <w:rPr>
                <w:noProof/>
                <w:sz w:val="18"/>
              </w:rPr>
            </w:pPr>
            <w:r w:rsidRPr="001E4272">
              <w:rPr>
                <w:noProof/>
                <w:sz w:val="18"/>
              </w:rPr>
              <w:t>0,108</w:t>
            </w:r>
          </w:p>
        </w:tc>
        <w:tc>
          <w:tcPr>
            <w:tcW w:w="540" w:type="dxa"/>
            <w:tcBorders>
              <w:top w:val="single" w:sz="4" w:space="0" w:color="auto"/>
              <w:left w:val="single" w:sz="4" w:space="0" w:color="auto"/>
              <w:bottom w:val="single" w:sz="4" w:space="0" w:color="auto"/>
              <w:right w:val="single" w:sz="4" w:space="0" w:color="auto"/>
            </w:tcBorders>
          </w:tcPr>
          <w:p w14:paraId="4637181F" w14:textId="77777777" w:rsidR="001B6792" w:rsidRPr="001E4272" w:rsidRDefault="001B6792" w:rsidP="00B2088F">
            <w:pPr>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4AA532AE" w14:textId="0FDECF68" w:rsidR="001B6792" w:rsidRPr="001E4272" w:rsidRDefault="001B6792" w:rsidP="00900A33">
            <w:pPr>
              <w:ind w:right="-29"/>
              <w:jc w:val="center"/>
              <w:rPr>
                <w:noProof/>
                <w:sz w:val="18"/>
              </w:rPr>
            </w:pPr>
            <w:r w:rsidRPr="001E4272">
              <w:rPr>
                <w:noProof/>
                <w:sz w:val="18"/>
              </w:rPr>
              <w:t>0,541</w:t>
            </w:r>
          </w:p>
        </w:tc>
        <w:tc>
          <w:tcPr>
            <w:tcW w:w="763" w:type="dxa"/>
            <w:tcBorders>
              <w:top w:val="single" w:sz="4" w:space="0" w:color="auto"/>
              <w:left w:val="single" w:sz="4" w:space="0" w:color="auto"/>
              <w:bottom w:val="single" w:sz="4" w:space="0" w:color="auto"/>
              <w:right w:val="single" w:sz="4" w:space="0" w:color="auto"/>
            </w:tcBorders>
          </w:tcPr>
          <w:p w14:paraId="3E9619BF" w14:textId="77777777" w:rsidR="001B6792" w:rsidRPr="001E4272" w:rsidRDefault="001B6792" w:rsidP="00B2088F">
            <w:pPr>
              <w:ind w:right="-29"/>
              <w:jc w:val="center"/>
              <w:rPr>
                <w:noProof/>
                <w:sz w:val="18"/>
              </w:rPr>
            </w:pPr>
          </w:p>
        </w:tc>
        <w:tc>
          <w:tcPr>
            <w:tcW w:w="708" w:type="dxa"/>
            <w:tcBorders>
              <w:top w:val="single" w:sz="4" w:space="0" w:color="auto"/>
              <w:left w:val="single" w:sz="4" w:space="0" w:color="auto"/>
              <w:bottom w:val="single" w:sz="4" w:space="0" w:color="auto"/>
              <w:right w:val="single" w:sz="4" w:space="0" w:color="auto"/>
            </w:tcBorders>
          </w:tcPr>
          <w:p w14:paraId="1F669ABE" w14:textId="77777777" w:rsidR="001B6792" w:rsidRPr="001E4272" w:rsidRDefault="001B6792" w:rsidP="00B2088F">
            <w:pPr>
              <w:ind w:right="-29"/>
              <w:jc w:val="center"/>
              <w:rPr>
                <w:noProof/>
                <w:sz w:val="18"/>
              </w:rPr>
            </w:pPr>
            <w:r w:rsidRPr="001E4272">
              <w:rPr>
                <w:noProof/>
                <w:sz w:val="18"/>
              </w:rPr>
              <w:t>0,520</w:t>
            </w:r>
          </w:p>
        </w:tc>
        <w:tc>
          <w:tcPr>
            <w:tcW w:w="567" w:type="dxa"/>
            <w:tcBorders>
              <w:top w:val="single" w:sz="4" w:space="0" w:color="auto"/>
              <w:left w:val="single" w:sz="4" w:space="0" w:color="auto"/>
              <w:bottom w:val="single" w:sz="4" w:space="0" w:color="auto"/>
              <w:right w:val="single" w:sz="4" w:space="0" w:color="auto"/>
            </w:tcBorders>
          </w:tcPr>
          <w:p w14:paraId="3E4B2325" w14:textId="77777777" w:rsidR="001B6792" w:rsidRPr="001E4272" w:rsidRDefault="001B6792" w:rsidP="00B2088F">
            <w:pPr>
              <w:ind w:right="-29"/>
              <w:jc w:val="center"/>
              <w:rPr>
                <w:noProof/>
                <w:sz w:val="18"/>
              </w:rPr>
            </w:pPr>
          </w:p>
        </w:tc>
        <w:tc>
          <w:tcPr>
            <w:tcW w:w="758" w:type="dxa"/>
            <w:gridSpan w:val="2"/>
            <w:tcBorders>
              <w:top w:val="single" w:sz="4" w:space="0" w:color="auto"/>
              <w:left w:val="single" w:sz="4" w:space="0" w:color="auto"/>
              <w:bottom w:val="single" w:sz="4" w:space="0" w:color="auto"/>
              <w:right w:val="single" w:sz="4" w:space="0" w:color="auto"/>
            </w:tcBorders>
          </w:tcPr>
          <w:p w14:paraId="63901E27" w14:textId="60201C6C" w:rsidR="001B6792" w:rsidRPr="001E4272" w:rsidRDefault="00D03B63" w:rsidP="00B2088F">
            <w:pPr>
              <w:ind w:right="-29"/>
              <w:jc w:val="center"/>
              <w:rPr>
                <w:noProof/>
                <w:sz w:val="18"/>
              </w:rPr>
            </w:pPr>
            <w:r w:rsidRPr="001E4272">
              <w:rPr>
                <w:noProof/>
                <w:sz w:val="18"/>
              </w:rPr>
              <w:t>0,469</w:t>
            </w:r>
          </w:p>
        </w:tc>
        <w:tc>
          <w:tcPr>
            <w:tcW w:w="720" w:type="dxa"/>
            <w:tcBorders>
              <w:top w:val="single" w:sz="4" w:space="0" w:color="auto"/>
              <w:left w:val="single" w:sz="4" w:space="0" w:color="auto"/>
              <w:bottom w:val="single" w:sz="4" w:space="0" w:color="auto"/>
              <w:right w:val="single" w:sz="4" w:space="0" w:color="auto"/>
            </w:tcBorders>
          </w:tcPr>
          <w:p w14:paraId="71778C52" w14:textId="77777777" w:rsidR="001B6792" w:rsidRPr="001E4272" w:rsidRDefault="001B6792" w:rsidP="00B2088F">
            <w:pPr>
              <w:ind w:right="-29"/>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124F0F37" w14:textId="2B2F72A1" w:rsidR="001B6792" w:rsidRPr="001E4272" w:rsidRDefault="00E47757" w:rsidP="00D03B63">
            <w:pPr>
              <w:ind w:right="-29"/>
              <w:jc w:val="center"/>
              <w:rPr>
                <w:noProof/>
                <w:sz w:val="18"/>
                <w:szCs w:val="18"/>
              </w:rPr>
            </w:pPr>
            <w:r w:rsidRPr="001E4272">
              <w:rPr>
                <w:noProof/>
                <w:sz w:val="18"/>
                <w:szCs w:val="18"/>
              </w:rPr>
              <w:t>1,637</w:t>
            </w:r>
          </w:p>
        </w:tc>
      </w:tr>
      <w:tr w:rsidR="001B6792" w:rsidRPr="001E4272" w14:paraId="14A24E71" w14:textId="77777777" w:rsidTr="00CE007F">
        <w:trPr>
          <w:trHeight w:hRule="exact" w:val="1576"/>
          <w:jc w:val="center"/>
        </w:trPr>
        <w:tc>
          <w:tcPr>
            <w:tcW w:w="1423" w:type="dxa"/>
          </w:tcPr>
          <w:p w14:paraId="7FED0869" w14:textId="77777777" w:rsidR="001B6792" w:rsidRPr="001E4272" w:rsidRDefault="001B6792" w:rsidP="00B2088F">
            <w:pPr>
              <w:ind w:right="-29"/>
              <w:jc w:val="center"/>
              <w:rPr>
                <w:noProof/>
                <w:sz w:val="18"/>
              </w:rPr>
            </w:pPr>
            <w:r w:rsidRPr="001E4272">
              <w:rPr>
                <w:noProof/>
                <w:sz w:val="18"/>
              </w:rPr>
              <w:t>- Αποτέλεσμα</w:t>
            </w:r>
          </w:p>
        </w:tc>
        <w:tc>
          <w:tcPr>
            <w:tcW w:w="1421" w:type="dxa"/>
            <w:gridSpan w:val="2"/>
          </w:tcPr>
          <w:p w14:paraId="436895F6" w14:textId="77777777" w:rsidR="001B6792" w:rsidRPr="001E4272" w:rsidRDefault="001B6792" w:rsidP="00B2088F">
            <w:pPr>
              <w:ind w:right="-29"/>
              <w:jc w:val="center"/>
              <w:rPr>
                <w:noProof/>
                <w:sz w:val="18"/>
              </w:rPr>
            </w:pPr>
            <w:r w:rsidRPr="001E4272">
              <w:rPr>
                <w:noProof/>
                <w:sz w:val="18"/>
              </w:rPr>
              <w:t>Διαβίβαση δεδομένων προσωπικού χαρακτήρα με διαρθρωμένο, ημιαυτόματο τρόπο</w:t>
            </w:r>
          </w:p>
        </w:tc>
        <w:tc>
          <w:tcPr>
            <w:tcW w:w="504" w:type="dxa"/>
            <w:tcBorders>
              <w:top w:val="single" w:sz="4" w:space="0" w:color="auto"/>
              <w:left w:val="single" w:sz="4" w:space="0" w:color="auto"/>
              <w:bottom w:val="single" w:sz="4" w:space="0" w:color="auto"/>
              <w:right w:val="single" w:sz="4" w:space="0" w:color="auto"/>
            </w:tcBorders>
          </w:tcPr>
          <w:p w14:paraId="1E4DD4E9" w14:textId="77777777" w:rsidR="001B6792" w:rsidRPr="001E4272" w:rsidRDefault="001B6792" w:rsidP="00B2088F">
            <w:pPr>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2AEDC09E" w14:textId="3EF0429F" w:rsidR="001B6792" w:rsidRPr="001E4272" w:rsidRDefault="00900A33" w:rsidP="00B2088F">
            <w:pPr>
              <w:ind w:right="-29"/>
              <w:jc w:val="center"/>
              <w:rPr>
                <w:noProof/>
                <w:sz w:val="18"/>
              </w:rPr>
            </w:pPr>
            <w:r w:rsidRPr="001E4272">
              <w:rPr>
                <w:noProof/>
                <w:sz w:val="18"/>
              </w:rPr>
              <w:t>0,108</w:t>
            </w:r>
          </w:p>
        </w:tc>
        <w:tc>
          <w:tcPr>
            <w:tcW w:w="540" w:type="dxa"/>
            <w:tcBorders>
              <w:top w:val="single" w:sz="4" w:space="0" w:color="auto"/>
              <w:left w:val="single" w:sz="4" w:space="0" w:color="auto"/>
              <w:bottom w:val="single" w:sz="4" w:space="0" w:color="auto"/>
              <w:right w:val="single" w:sz="4" w:space="0" w:color="auto"/>
            </w:tcBorders>
          </w:tcPr>
          <w:p w14:paraId="7E033C4B" w14:textId="77777777" w:rsidR="001B6792" w:rsidRPr="001E4272" w:rsidRDefault="001B6792" w:rsidP="00B2088F">
            <w:pPr>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5D2D13B6" w14:textId="6BB03D45" w:rsidR="001B6792" w:rsidRPr="001E4272" w:rsidRDefault="001B6792" w:rsidP="00900A33">
            <w:pPr>
              <w:ind w:right="-29"/>
              <w:jc w:val="center"/>
              <w:rPr>
                <w:noProof/>
                <w:sz w:val="18"/>
              </w:rPr>
            </w:pPr>
            <w:r w:rsidRPr="001E4272">
              <w:rPr>
                <w:noProof/>
                <w:sz w:val="18"/>
              </w:rPr>
              <w:t>0,541</w:t>
            </w:r>
          </w:p>
        </w:tc>
        <w:tc>
          <w:tcPr>
            <w:tcW w:w="763" w:type="dxa"/>
            <w:tcBorders>
              <w:top w:val="single" w:sz="4" w:space="0" w:color="auto"/>
              <w:left w:val="single" w:sz="4" w:space="0" w:color="auto"/>
              <w:bottom w:val="single" w:sz="4" w:space="0" w:color="auto"/>
              <w:right w:val="single" w:sz="4" w:space="0" w:color="auto"/>
            </w:tcBorders>
          </w:tcPr>
          <w:p w14:paraId="255A20BC" w14:textId="77777777" w:rsidR="001B6792" w:rsidRPr="001E4272" w:rsidRDefault="001B6792" w:rsidP="00B2088F">
            <w:pPr>
              <w:ind w:right="-29"/>
              <w:jc w:val="center"/>
              <w:rPr>
                <w:noProof/>
                <w:sz w:val="18"/>
              </w:rPr>
            </w:pPr>
          </w:p>
        </w:tc>
        <w:tc>
          <w:tcPr>
            <w:tcW w:w="708" w:type="dxa"/>
            <w:tcBorders>
              <w:top w:val="single" w:sz="4" w:space="0" w:color="auto"/>
              <w:left w:val="single" w:sz="4" w:space="0" w:color="auto"/>
              <w:bottom w:val="single" w:sz="4" w:space="0" w:color="auto"/>
              <w:right w:val="single" w:sz="4" w:space="0" w:color="auto"/>
            </w:tcBorders>
          </w:tcPr>
          <w:p w14:paraId="0DA68A31" w14:textId="77777777" w:rsidR="001B6792" w:rsidRPr="001E4272" w:rsidRDefault="001B6792" w:rsidP="00B2088F">
            <w:pPr>
              <w:ind w:right="-29"/>
              <w:jc w:val="center"/>
              <w:rPr>
                <w:noProof/>
                <w:sz w:val="18"/>
              </w:rPr>
            </w:pPr>
            <w:r w:rsidRPr="001E4272">
              <w:rPr>
                <w:noProof/>
                <w:sz w:val="18"/>
              </w:rPr>
              <w:t>0,520</w:t>
            </w:r>
          </w:p>
        </w:tc>
        <w:tc>
          <w:tcPr>
            <w:tcW w:w="567" w:type="dxa"/>
            <w:tcBorders>
              <w:top w:val="single" w:sz="4" w:space="0" w:color="auto"/>
              <w:left w:val="single" w:sz="4" w:space="0" w:color="auto"/>
              <w:bottom w:val="single" w:sz="4" w:space="0" w:color="auto"/>
              <w:right w:val="single" w:sz="4" w:space="0" w:color="auto"/>
            </w:tcBorders>
          </w:tcPr>
          <w:p w14:paraId="49102EA0" w14:textId="77777777" w:rsidR="001B6792" w:rsidRPr="001E4272" w:rsidRDefault="001B6792" w:rsidP="00B2088F">
            <w:pPr>
              <w:ind w:right="-29"/>
              <w:jc w:val="center"/>
              <w:rPr>
                <w:noProof/>
                <w:sz w:val="18"/>
              </w:rPr>
            </w:pPr>
          </w:p>
        </w:tc>
        <w:tc>
          <w:tcPr>
            <w:tcW w:w="758" w:type="dxa"/>
            <w:gridSpan w:val="2"/>
            <w:tcBorders>
              <w:top w:val="single" w:sz="4" w:space="0" w:color="auto"/>
              <w:left w:val="single" w:sz="4" w:space="0" w:color="auto"/>
              <w:bottom w:val="single" w:sz="4" w:space="0" w:color="auto"/>
              <w:right w:val="single" w:sz="4" w:space="0" w:color="auto"/>
            </w:tcBorders>
          </w:tcPr>
          <w:p w14:paraId="0CD98C24" w14:textId="77E14350" w:rsidR="001B6792" w:rsidRPr="001E4272" w:rsidRDefault="00D03B63" w:rsidP="00B2088F">
            <w:pPr>
              <w:ind w:right="-29"/>
              <w:jc w:val="center"/>
              <w:rPr>
                <w:noProof/>
                <w:sz w:val="18"/>
              </w:rPr>
            </w:pPr>
            <w:r w:rsidRPr="001E4272">
              <w:rPr>
                <w:noProof/>
                <w:sz w:val="18"/>
              </w:rPr>
              <w:t>0,469</w:t>
            </w:r>
          </w:p>
        </w:tc>
        <w:tc>
          <w:tcPr>
            <w:tcW w:w="720" w:type="dxa"/>
            <w:tcBorders>
              <w:top w:val="single" w:sz="4" w:space="0" w:color="auto"/>
              <w:left w:val="single" w:sz="4" w:space="0" w:color="auto"/>
              <w:bottom w:val="single" w:sz="4" w:space="0" w:color="auto"/>
              <w:right w:val="single" w:sz="4" w:space="0" w:color="auto"/>
            </w:tcBorders>
          </w:tcPr>
          <w:p w14:paraId="3489A6F6" w14:textId="77777777" w:rsidR="001B6792" w:rsidRPr="001E4272" w:rsidRDefault="001B6792" w:rsidP="00B2088F">
            <w:pPr>
              <w:ind w:right="-29"/>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1FD6F5D9" w14:textId="795A11C8" w:rsidR="001B6792" w:rsidRPr="001E4272" w:rsidRDefault="00E47757" w:rsidP="00D03B63">
            <w:pPr>
              <w:ind w:right="-29"/>
              <w:jc w:val="center"/>
              <w:rPr>
                <w:noProof/>
                <w:sz w:val="18"/>
                <w:szCs w:val="18"/>
              </w:rPr>
            </w:pPr>
            <w:r w:rsidRPr="001E4272">
              <w:rPr>
                <w:noProof/>
                <w:sz w:val="18"/>
                <w:szCs w:val="18"/>
              </w:rPr>
              <w:t>1,637</w:t>
            </w:r>
          </w:p>
        </w:tc>
      </w:tr>
      <w:tr w:rsidR="001B6792" w:rsidRPr="001E4272" w14:paraId="3A697551" w14:textId="77777777" w:rsidTr="006A0D14">
        <w:trPr>
          <w:trHeight w:hRule="exact" w:val="1329"/>
          <w:jc w:val="center"/>
        </w:trPr>
        <w:tc>
          <w:tcPr>
            <w:tcW w:w="1423" w:type="dxa"/>
          </w:tcPr>
          <w:p w14:paraId="31A7F8E7" w14:textId="77777777" w:rsidR="001B6792" w:rsidRPr="001E4272" w:rsidRDefault="001B6792" w:rsidP="00B2088F">
            <w:pPr>
              <w:ind w:right="-29"/>
              <w:jc w:val="center"/>
              <w:rPr>
                <w:noProof/>
                <w:sz w:val="18"/>
              </w:rPr>
            </w:pPr>
            <w:r w:rsidRPr="001E4272">
              <w:rPr>
                <w:noProof/>
                <w:sz w:val="18"/>
              </w:rPr>
              <w:t>- Αποτέλεσμα</w:t>
            </w:r>
          </w:p>
        </w:tc>
        <w:tc>
          <w:tcPr>
            <w:tcW w:w="1421" w:type="dxa"/>
            <w:gridSpan w:val="2"/>
          </w:tcPr>
          <w:p w14:paraId="14048412" w14:textId="77777777" w:rsidR="001B6792" w:rsidRPr="001E4272" w:rsidRDefault="001B6792" w:rsidP="00B2088F">
            <w:pPr>
              <w:ind w:right="-29"/>
              <w:jc w:val="center"/>
              <w:rPr>
                <w:noProof/>
                <w:sz w:val="18"/>
              </w:rPr>
            </w:pPr>
            <w:r w:rsidRPr="001E4272">
              <w:rPr>
                <w:noProof/>
                <w:sz w:val="18"/>
              </w:rPr>
              <w:t>Ανταλλαγή πληροφοριών με τρίτες χώρες</w:t>
            </w:r>
          </w:p>
        </w:tc>
        <w:tc>
          <w:tcPr>
            <w:tcW w:w="504" w:type="dxa"/>
            <w:tcBorders>
              <w:top w:val="single" w:sz="4" w:space="0" w:color="auto"/>
              <w:left w:val="single" w:sz="4" w:space="0" w:color="auto"/>
              <w:bottom w:val="single" w:sz="4" w:space="0" w:color="auto"/>
              <w:right w:val="single" w:sz="4" w:space="0" w:color="auto"/>
            </w:tcBorders>
          </w:tcPr>
          <w:p w14:paraId="0C4B6B54" w14:textId="77777777" w:rsidR="001B6792" w:rsidRPr="001E4272" w:rsidRDefault="001B6792" w:rsidP="00B2088F">
            <w:pPr>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44611F40" w14:textId="1BD1BF46" w:rsidR="001B6792" w:rsidRPr="001E4272" w:rsidRDefault="00900A33" w:rsidP="00B2088F">
            <w:pPr>
              <w:ind w:right="-29"/>
              <w:jc w:val="center"/>
              <w:rPr>
                <w:noProof/>
                <w:sz w:val="18"/>
              </w:rPr>
            </w:pPr>
            <w:r w:rsidRPr="001E4272">
              <w:rPr>
                <w:noProof/>
                <w:sz w:val="18"/>
              </w:rPr>
              <w:t>0,108</w:t>
            </w:r>
          </w:p>
        </w:tc>
        <w:tc>
          <w:tcPr>
            <w:tcW w:w="540" w:type="dxa"/>
            <w:tcBorders>
              <w:top w:val="single" w:sz="4" w:space="0" w:color="auto"/>
              <w:left w:val="single" w:sz="4" w:space="0" w:color="auto"/>
              <w:bottom w:val="single" w:sz="4" w:space="0" w:color="auto"/>
              <w:right w:val="single" w:sz="4" w:space="0" w:color="auto"/>
            </w:tcBorders>
          </w:tcPr>
          <w:p w14:paraId="5CF8BAC2" w14:textId="77777777" w:rsidR="001B6792" w:rsidRPr="001E4272" w:rsidRDefault="001B6792" w:rsidP="00B2088F">
            <w:pPr>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tcPr>
          <w:p w14:paraId="4D217C84" w14:textId="3C149A86" w:rsidR="001B6792" w:rsidRPr="001E4272" w:rsidRDefault="001B6792" w:rsidP="00900A33">
            <w:pPr>
              <w:ind w:right="-29"/>
              <w:jc w:val="center"/>
              <w:rPr>
                <w:noProof/>
                <w:sz w:val="18"/>
              </w:rPr>
            </w:pPr>
            <w:r w:rsidRPr="001E4272">
              <w:rPr>
                <w:noProof/>
                <w:sz w:val="18"/>
              </w:rPr>
              <w:t>0,541</w:t>
            </w:r>
          </w:p>
        </w:tc>
        <w:tc>
          <w:tcPr>
            <w:tcW w:w="763" w:type="dxa"/>
            <w:tcBorders>
              <w:top w:val="single" w:sz="4" w:space="0" w:color="auto"/>
              <w:left w:val="single" w:sz="4" w:space="0" w:color="auto"/>
              <w:bottom w:val="single" w:sz="4" w:space="0" w:color="auto"/>
              <w:right w:val="single" w:sz="4" w:space="0" w:color="auto"/>
            </w:tcBorders>
          </w:tcPr>
          <w:p w14:paraId="18B2BE34" w14:textId="77777777" w:rsidR="001B6792" w:rsidRPr="001E4272" w:rsidRDefault="001B6792" w:rsidP="00B2088F">
            <w:pPr>
              <w:ind w:right="-29"/>
              <w:jc w:val="center"/>
              <w:rPr>
                <w:noProof/>
                <w:sz w:val="18"/>
              </w:rPr>
            </w:pPr>
          </w:p>
        </w:tc>
        <w:tc>
          <w:tcPr>
            <w:tcW w:w="708" w:type="dxa"/>
            <w:tcBorders>
              <w:top w:val="single" w:sz="4" w:space="0" w:color="auto"/>
              <w:left w:val="single" w:sz="4" w:space="0" w:color="auto"/>
              <w:bottom w:val="single" w:sz="4" w:space="0" w:color="auto"/>
              <w:right w:val="single" w:sz="4" w:space="0" w:color="auto"/>
            </w:tcBorders>
          </w:tcPr>
          <w:p w14:paraId="1C379A19" w14:textId="77777777" w:rsidR="001B6792" w:rsidRPr="001E4272" w:rsidRDefault="001B6792" w:rsidP="00B2088F">
            <w:pPr>
              <w:ind w:right="-29"/>
              <w:jc w:val="center"/>
              <w:rPr>
                <w:noProof/>
                <w:sz w:val="18"/>
              </w:rPr>
            </w:pPr>
            <w:r w:rsidRPr="001E4272">
              <w:rPr>
                <w:noProof/>
                <w:sz w:val="18"/>
              </w:rPr>
              <w:t>0,520</w:t>
            </w:r>
          </w:p>
        </w:tc>
        <w:tc>
          <w:tcPr>
            <w:tcW w:w="567" w:type="dxa"/>
            <w:tcBorders>
              <w:top w:val="single" w:sz="4" w:space="0" w:color="auto"/>
              <w:left w:val="single" w:sz="4" w:space="0" w:color="auto"/>
              <w:bottom w:val="single" w:sz="4" w:space="0" w:color="auto"/>
              <w:right w:val="single" w:sz="4" w:space="0" w:color="auto"/>
            </w:tcBorders>
          </w:tcPr>
          <w:p w14:paraId="1C1F7651" w14:textId="77777777" w:rsidR="001B6792" w:rsidRPr="001E4272" w:rsidRDefault="001B6792" w:rsidP="00B2088F">
            <w:pPr>
              <w:ind w:right="-29"/>
              <w:jc w:val="center"/>
              <w:rPr>
                <w:noProof/>
                <w:sz w:val="18"/>
              </w:rPr>
            </w:pPr>
          </w:p>
        </w:tc>
        <w:tc>
          <w:tcPr>
            <w:tcW w:w="758" w:type="dxa"/>
            <w:gridSpan w:val="2"/>
            <w:tcBorders>
              <w:top w:val="single" w:sz="4" w:space="0" w:color="auto"/>
              <w:left w:val="single" w:sz="4" w:space="0" w:color="auto"/>
              <w:bottom w:val="single" w:sz="4" w:space="0" w:color="auto"/>
              <w:right w:val="single" w:sz="4" w:space="0" w:color="auto"/>
            </w:tcBorders>
          </w:tcPr>
          <w:p w14:paraId="7E0AD4F8" w14:textId="37909939" w:rsidR="001B6792" w:rsidRPr="001E4272" w:rsidRDefault="00D03B63" w:rsidP="00B2088F">
            <w:pPr>
              <w:ind w:right="-29"/>
              <w:jc w:val="center"/>
              <w:rPr>
                <w:noProof/>
                <w:sz w:val="18"/>
              </w:rPr>
            </w:pPr>
            <w:r w:rsidRPr="001E4272">
              <w:rPr>
                <w:noProof/>
                <w:sz w:val="18"/>
              </w:rPr>
              <w:t>0,469</w:t>
            </w:r>
          </w:p>
        </w:tc>
        <w:tc>
          <w:tcPr>
            <w:tcW w:w="720" w:type="dxa"/>
            <w:tcBorders>
              <w:top w:val="single" w:sz="4" w:space="0" w:color="auto"/>
              <w:left w:val="single" w:sz="4" w:space="0" w:color="auto"/>
              <w:bottom w:val="single" w:sz="4" w:space="0" w:color="auto"/>
              <w:right w:val="single" w:sz="4" w:space="0" w:color="auto"/>
            </w:tcBorders>
          </w:tcPr>
          <w:p w14:paraId="196ACB60" w14:textId="77777777" w:rsidR="001B6792" w:rsidRPr="001E4272" w:rsidRDefault="001B6792" w:rsidP="00B2088F">
            <w:pPr>
              <w:ind w:right="-29"/>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14:paraId="3108D1E8" w14:textId="4E4FF536" w:rsidR="001B6792" w:rsidRPr="001E4272" w:rsidRDefault="00E47757" w:rsidP="00D03B63">
            <w:pPr>
              <w:ind w:right="-29"/>
              <w:jc w:val="center"/>
              <w:rPr>
                <w:noProof/>
                <w:sz w:val="18"/>
                <w:szCs w:val="18"/>
              </w:rPr>
            </w:pPr>
            <w:r w:rsidRPr="001E4272">
              <w:rPr>
                <w:noProof/>
                <w:sz w:val="18"/>
                <w:szCs w:val="18"/>
              </w:rPr>
              <w:t>1,637</w:t>
            </w:r>
          </w:p>
        </w:tc>
      </w:tr>
      <w:tr w:rsidR="001B6792" w:rsidRPr="001E4272" w14:paraId="0B04F63B" w14:textId="77777777" w:rsidTr="006A0D14">
        <w:trPr>
          <w:jc w:val="center"/>
        </w:trPr>
        <w:tc>
          <w:tcPr>
            <w:tcW w:w="2844" w:type="dxa"/>
            <w:gridSpan w:val="3"/>
            <w:tcBorders>
              <w:bottom w:val="single" w:sz="12" w:space="0" w:color="auto"/>
            </w:tcBorders>
            <w:vAlign w:val="center"/>
          </w:tcPr>
          <w:p w14:paraId="7AC67B90" w14:textId="77777777" w:rsidR="001B6792" w:rsidRPr="001E4272" w:rsidRDefault="001B6792" w:rsidP="00B2088F">
            <w:pPr>
              <w:jc w:val="center"/>
              <w:rPr>
                <w:noProof/>
                <w:sz w:val="18"/>
              </w:rPr>
            </w:pPr>
            <w:r w:rsidRPr="001E4272">
              <w:rPr>
                <w:noProof/>
                <w:sz w:val="18"/>
              </w:rPr>
              <w:t>Μερικό σύνολο για τον ειδικό στόχο αριθ. 2</w:t>
            </w:r>
          </w:p>
        </w:tc>
        <w:tc>
          <w:tcPr>
            <w:tcW w:w="504" w:type="dxa"/>
            <w:tcBorders>
              <w:bottom w:val="single" w:sz="12" w:space="0" w:color="auto"/>
            </w:tcBorders>
          </w:tcPr>
          <w:p w14:paraId="2B7F4D08" w14:textId="77777777" w:rsidR="001B6792" w:rsidRPr="001E4272" w:rsidRDefault="001B6792" w:rsidP="00B2088F">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4DBB005A" w14:textId="2DBC7E19" w:rsidR="001B6792" w:rsidRPr="001E4272" w:rsidRDefault="00900A33" w:rsidP="00B2088F">
            <w:pPr>
              <w:ind w:right="-29"/>
              <w:jc w:val="center"/>
              <w:rPr>
                <w:noProof/>
                <w:sz w:val="18"/>
              </w:rPr>
            </w:pPr>
            <w:r w:rsidRPr="001E4272">
              <w:rPr>
                <w:noProof/>
                <w:sz w:val="18"/>
              </w:rPr>
              <w:t>0,324</w:t>
            </w:r>
          </w:p>
        </w:tc>
        <w:tc>
          <w:tcPr>
            <w:tcW w:w="540" w:type="dxa"/>
            <w:tcBorders>
              <w:top w:val="single" w:sz="4" w:space="0" w:color="auto"/>
              <w:left w:val="single" w:sz="4" w:space="0" w:color="auto"/>
              <w:bottom w:val="single" w:sz="12" w:space="0" w:color="auto"/>
              <w:right w:val="single" w:sz="4" w:space="0" w:color="auto"/>
            </w:tcBorders>
          </w:tcPr>
          <w:p w14:paraId="1A094B5F" w14:textId="77777777" w:rsidR="001B6792" w:rsidRPr="001E4272" w:rsidRDefault="001B6792" w:rsidP="00B2088F">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14:paraId="719D4AB5" w14:textId="0C8712C0" w:rsidR="001B6792" w:rsidRPr="001E4272" w:rsidRDefault="001B6792" w:rsidP="00900A33">
            <w:pPr>
              <w:ind w:right="-29"/>
              <w:jc w:val="center"/>
              <w:rPr>
                <w:noProof/>
                <w:sz w:val="18"/>
              </w:rPr>
            </w:pPr>
            <w:r w:rsidRPr="001E4272">
              <w:rPr>
                <w:noProof/>
                <w:sz w:val="18"/>
              </w:rPr>
              <w:t>1,622</w:t>
            </w:r>
          </w:p>
        </w:tc>
        <w:tc>
          <w:tcPr>
            <w:tcW w:w="763" w:type="dxa"/>
            <w:tcBorders>
              <w:top w:val="single" w:sz="4" w:space="0" w:color="auto"/>
              <w:left w:val="single" w:sz="4" w:space="0" w:color="auto"/>
              <w:bottom w:val="single" w:sz="12" w:space="0" w:color="auto"/>
              <w:right w:val="single" w:sz="4" w:space="0" w:color="auto"/>
            </w:tcBorders>
          </w:tcPr>
          <w:p w14:paraId="3A4801BB" w14:textId="77777777" w:rsidR="001B6792" w:rsidRPr="001E4272" w:rsidRDefault="001B6792" w:rsidP="00B2088F">
            <w:pPr>
              <w:ind w:right="-29"/>
              <w:jc w:val="center"/>
              <w:rPr>
                <w:noProof/>
                <w:sz w:val="18"/>
              </w:rPr>
            </w:pPr>
          </w:p>
        </w:tc>
        <w:tc>
          <w:tcPr>
            <w:tcW w:w="708" w:type="dxa"/>
            <w:tcBorders>
              <w:top w:val="single" w:sz="4" w:space="0" w:color="auto"/>
              <w:left w:val="single" w:sz="4" w:space="0" w:color="auto"/>
              <w:bottom w:val="single" w:sz="12" w:space="0" w:color="auto"/>
              <w:right w:val="single" w:sz="4" w:space="0" w:color="auto"/>
            </w:tcBorders>
          </w:tcPr>
          <w:p w14:paraId="77774610" w14:textId="77777777" w:rsidR="001B6792" w:rsidRPr="001E4272" w:rsidRDefault="001B6792" w:rsidP="00B2088F">
            <w:pPr>
              <w:ind w:right="-29"/>
              <w:jc w:val="center"/>
              <w:rPr>
                <w:noProof/>
                <w:sz w:val="18"/>
              </w:rPr>
            </w:pPr>
            <w:r w:rsidRPr="001E4272">
              <w:rPr>
                <w:noProof/>
                <w:sz w:val="18"/>
              </w:rPr>
              <w:t>1,560</w:t>
            </w:r>
          </w:p>
        </w:tc>
        <w:tc>
          <w:tcPr>
            <w:tcW w:w="567" w:type="dxa"/>
            <w:tcBorders>
              <w:top w:val="single" w:sz="4" w:space="0" w:color="auto"/>
              <w:left w:val="single" w:sz="4" w:space="0" w:color="auto"/>
              <w:bottom w:val="single" w:sz="12" w:space="0" w:color="auto"/>
              <w:right w:val="single" w:sz="4" w:space="0" w:color="auto"/>
            </w:tcBorders>
          </w:tcPr>
          <w:p w14:paraId="35C7B991" w14:textId="77777777" w:rsidR="001B6792" w:rsidRPr="001E4272" w:rsidRDefault="001B6792" w:rsidP="00B2088F">
            <w:pPr>
              <w:ind w:right="-29"/>
              <w:jc w:val="center"/>
              <w:rPr>
                <w:noProof/>
                <w:sz w:val="18"/>
              </w:rPr>
            </w:pPr>
          </w:p>
        </w:tc>
        <w:tc>
          <w:tcPr>
            <w:tcW w:w="758" w:type="dxa"/>
            <w:gridSpan w:val="2"/>
            <w:tcBorders>
              <w:top w:val="single" w:sz="4" w:space="0" w:color="auto"/>
              <w:left w:val="single" w:sz="4" w:space="0" w:color="auto"/>
              <w:bottom w:val="single" w:sz="12" w:space="0" w:color="auto"/>
              <w:right w:val="single" w:sz="4" w:space="0" w:color="auto"/>
            </w:tcBorders>
          </w:tcPr>
          <w:p w14:paraId="4A26BCED" w14:textId="39DDA9EB" w:rsidR="001B6792" w:rsidRPr="001E4272" w:rsidRDefault="00D03B63" w:rsidP="00B2088F">
            <w:pPr>
              <w:ind w:right="-29"/>
              <w:jc w:val="center"/>
              <w:rPr>
                <w:noProof/>
                <w:sz w:val="18"/>
              </w:rPr>
            </w:pPr>
            <w:r w:rsidRPr="001E4272">
              <w:rPr>
                <w:noProof/>
                <w:sz w:val="18"/>
              </w:rPr>
              <w:t>1,406</w:t>
            </w:r>
          </w:p>
        </w:tc>
        <w:tc>
          <w:tcPr>
            <w:tcW w:w="720" w:type="dxa"/>
            <w:tcBorders>
              <w:top w:val="single" w:sz="4" w:space="0" w:color="auto"/>
              <w:left w:val="single" w:sz="4" w:space="0" w:color="auto"/>
              <w:bottom w:val="single" w:sz="12" w:space="0" w:color="auto"/>
              <w:right w:val="single" w:sz="4" w:space="0" w:color="auto"/>
            </w:tcBorders>
          </w:tcPr>
          <w:p w14:paraId="77DD8BEC" w14:textId="77777777" w:rsidR="001B6792" w:rsidRPr="001E4272" w:rsidRDefault="001B6792" w:rsidP="00B2088F">
            <w:pPr>
              <w:ind w:right="-29"/>
              <w:jc w:val="center"/>
              <w:rPr>
                <w:noProof/>
                <w:sz w:val="18"/>
              </w:rPr>
            </w:pPr>
          </w:p>
        </w:tc>
        <w:tc>
          <w:tcPr>
            <w:tcW w:w="900" w:type="dxa"/>
            <w:tcBorders>
              <w:top w:val="single" w:sz="4" w:space="0" w:color="auto"/>
              <w:left w:val="single" w:sz="4" w:space="0" w:color="auto"/>
              <w:bottom w:val="single" w:sz="12" w:space="0" w:color="auto"/>
              <w:right w:val="single" w:sz="4" w:space="0" w:color="auto"/>
            </w:tcBorders>
          </w:tcPr>
          <w:p w14:paraId="094DDC31" w14:textId="56F36107" w:rsidR="001B6792" w:rsidRPr="001E4272" w:rsidRDefault="00D03B63">
            <w:pPr>
              <w:ind w:right="-29"/>
              <w:jc w:val="center"/>
              <w:rPr>
                <w:noProof/>
                <w:sz w:val="18"/>
                <w:szCs w:val="18"/>
              </w:rPr>
            </w:pPr>
            <w:r w:rsidRPr="001E4272">
              <w:rPr>
                <w:noProof/>
                <w:sz w:val="18"/>
                <w:szCs w:val="18"/>
              </w:rPr>
              <w:t>4,911</w:t>
            </w:r>
          </w:p>
        </w:tc>
      </w:tr>
      <w:tr w:rsidR="001B6792" w:rsidRPr="001E4272" w14:paraId="4D9B4B3F" w14:textId="77777777" w:rsidTr="006A0D14">
        <w:trPr>
          <w:jc w:val="center"/>
        </w:trPr>
        <w:tc>
          <w:tcPr>
            <w:tcW w:w="2844" w:type="dxa"/>
            <w:gridSpan w:val="3"/>
            <w:tcBorders>
              <w:top w:val="single" w:sz="12" w:space="0" w:color="auto"/>
              <w:left w:val="single" w:sz="12" w:space="0" w:color="auto"/>
              <w:bottom w:val="single" w:sz="12" w:space="0" w:color="auto"/>
            </w:tcBorders>
            <w:vAlign w:val="center"/>
          </w:tcPr>
          <w:p w14:paraId="5866F246" w14:textId="77777777" w:rsidR="001B6792" w:rsidRPr="001E4272" w:rsidRDefault="001B6792" w:rsidP="00B2088F">
            <w:pPr>
              <w:ind w:right="-29"/>
              <w:jc w:val="center"/>
              <w:rPr>
                <w:noProof/>
                <w:sz w:val="18"/>
              </w:rPr>
            </w:pPr>
            <w:r w:rsidRPr="001E4272">
              <w:rPr>
                <w:b/>
                <w:noProof/>
                <w:sz w:val="18"/>
              </w:rPr>
              <w:t>ΣΥΝΟΛΙΚΟ ΚΟΣΤΟΣ</w:t>
            </w:r>
          </w:p>
        </w:tc>
        <w:tc>
          <w:tcPr>
            <w:tcW w:w="504" w:type="dxa"/>
            <w:tcBorders>
              <w:top w:val="single" w:sz="12" w:space="0" w:color="auto"/>
              <w:bottom w:val="single" w:sz="12" w:space="0" w:color="auto"/>
            </w:tcBorders>
          </w:tcPr>
          <w:p w14:paraId="00695428" w14:textId="77777777" w:rsidR="001B6792" w:rsidRPr="001E4272" w:rsidRDefault="001B6792" w:rsidP="00B2088F">
            <w:pPr>
              <w:spacing w:before="180" w:after="180"/>
              <w:ind w:right="-29"/>
              <w:jc w:val="center"/>
              <w:rPr>
                <w:noProof/>
                <w:sz w:val="18"/>
              </w:rPr>
            </w:pPr>
          </w:p>
        </w:tc>
        <w:tc>
          <w:tcPr>
            <w:tcW w:w="720" w:type="dxa"/>
            <w:tcBorders>
              <w:top w:val="single" w:sz="12" w:space="0" w:color="auto"/>
              <w:left w:val="single" w:sz="4" w:space="0" w:color="auto"/>
              <w:bottom w:val="single" w:sz="12" w:space="0" w:color="auto"/>
              <w:right w:val="single" w:sz="4" w:space="0" w:color="auto"/>
            </w:tcBorders>
          </w:tcPr>
          <w:p w14:paraId="63CE2525" w14:textId="0950268F" w:rsidR="001B6792" w:rsidRPr="001E4272" w:rsidRDefault="00900A33" w:rsidP="00B2088F">
            <w:pPr>
              <w:spacing w:before="180" w:after="180"/>
              <w:ind w:right="-29"/>
              <w:jc w:val="center"/>
              <w:rPr>
                <w:noProof/>
                <w:sz w:val="18"/>
              </w:rPr>
            </w:pPr>
            <w:r w:rsidRPr="001E4272">
              <w:rPr>
                <w:b/>
                <w:noProof/>
                <w:sz w:val="18"/>
              </w:rPr>
              <w:t>2,158</w:t>
            </w:r>
          </w:p>
        </w:tc>
        <w:tc>
          <w:tcPr>
            <w:tcW w:w="540" w:type="dxa"/>
            <w:tcBorders>
              <w:top w:val="single" w:sz="12" w:space="0" w:color="auto"/>
              <w:left w:val="single" w:sz="4" w:space="0" w:color="auto"/>
              <w:bottom w:val="single" w:sz="12" w:space="0" w:color="auto"/>
              <w:right w:val="single" w:sz="4" w:space="0" w:color="auto"/>
            </w:tcBorders>
          </w:tcPr>
          <w:p w14:paraId="7673F97F" w14:textId="77777777" w:rsidR="001B6792" w:rsidRPr="001E4272" w:rsidRDefault="001B6792" w:rsidP="00B2088F">
            <w:pPr>
              <w:spacing w:before="180" w:after="180"/>
              <w:ind w:right="-29"/>
              <w:jc w:val="center"/>
              <w:rPr>
                <w:noProof/>
                <w:sz w:val="18"/>
              </w:rPr>
            </w:pPr>
          </w:p>
        </w:tc>
        <w:tc>
          <w:tcPr>
            <w:tcW w:w="720" w:type="dxa"/>
            <w:tcBorders>
              <w:top w:val="single" w:sz="12" w:space="0" w:color="auto"/>
              <w:left w:val="single" w:sz="4" w:space="0" w:color="auto"/>
              <w:bottom w:val="single" w:sz="12" w:space="0" w:color="auto"/>
              <w:right w:val="single" w:sz="4" w:space="0" w:color="auto"/>
            </w:tcBorders>
          </w:tcPr>
          <w:p w14:paraId="5A376B6E" w14:textId="5F27400D" w:rsidR="001B6792" w:rsidRPr="001E4272" w:rsidRDefault="00900A33" w:rsidP="00B2088F">
            <w:pPr>
              <w:spacing w:before="180" w:after="180"/>
              <w:ind w:right="-29"/>
              <w:jc w:val="center"/>
              <w:rPr>
                <w:noProof/>
                <w:sz w:val="18"/>
              </w:rPr>
            </w:pPr>
            <w:r w:rsidRPr="001E4272">
              <w:rPr>
                <w:b/>
                <w:noProof/>
                <w:sz w:val="18"/>
              </w:rPr>
              <w:t>10,811</w:t>
            </w:r>
          </w:p>
        </w:tc>
        <w:tc>
          <w:tcPr>
            <w:tcW w:w="763" w:type="dxa"/>
            <w:tcBorders>
              <w:top w:val="single" w:sz="12" w:space="0" w:color="auto"/>
              <w:left w:val="single" w:sz="4" w:space="0" w:color="auto"/>
              <w:bottom w:val="single" w:sz="12" w:space="0" w:color="auto"/>
              <w:right w:val="single" w:sz="4" w:space="0" w:color="auto"/>
            </w:tcBorders>
          </w:tcPr>
          <w:p w14:paraId="1B214330" w14:textId="77777777" w:rsidR="001B6792" w:rsidRPr="001E4272" w:rsidRDefault="001B6792" w:rsidP="00B2088F">
            <w:pPr>
              <w:spacing w:before="180" w:after="180"/>
              <w:ind w:right="-29"/>
              <w:jc w:val="center"/>
              <w:rPr>
                <w:noProof/>
                <w:sz w:val="18"/>
              </w:rPr>
            </w:pPr>
          </w:p>
        </w:tc>
        <w:tc>
          <w:tcPr>
            <w:tcW w:w="708" w:type="dxa"/>
            <w:tcBorders>
              <w:top w:val="single" w:sz="12" w:space="0" w:color="auto"/>
              <w:left w:val="single" w:sz="4" w:space="0" w:color="auto"/>
              <w:bottom w:val="single" w:sz="12" w:space="0" w:color="auto"/>
              <w:right w:val="single" w:sz="4" w:space="0" w:color="auto"/>
            </w:tcBorders>
          </w:tcPr>
          <w:p w14:paraId="661B5550" w14:textId="77777777" w:rsidR="001B6792" w:rsidRPr="001E4272" w:rsidRDefault="001B6792" w:rsidP="00B2088F">
            <w:pPr>
              <w:spacing w:before="180" w:after="180"/>
              <w:ind w:right="-29"/>
              <w:jc w:val="center"/>
              <w:rPr>
                <w:noProof/>
                <w:sz w:val="18"/>
              </w:rPr>
            </w:pPr>
            <w:r w:rsidRPr="001E4272">
              <w:rPr>
                <w:b/>
                <w:noProof/>
                <w:sz w:val="18"/>
              </w:rPr>
              <w:t>10,403</w:t>
            </w:r>
          </w:p>
        </w:tc>
        <w:tc>
          <w:tcPr>
            <w:tcW w:w="567" w:type="dxa"/>
            <w:tcBorders>
              <w:top w:val="single" w:sz="12" w:space="0" w:color="auto"/>
              <w:left w:val="single" w:sz="4" w:space="0" w:color="auto"/>
              <w:bottom w:val="single" w:sz="12" w:space="0" w:color="auto"/>
              <w:right w:val="single" w:sz="4" w:space="0" w:color="auto"/>
            </w:tcBorders>
          </w:tcPr>
          <w:p w14:paraId="41A4C5D7" w14:textId="77777777" w:rsidR="001B6792" w:rsidRPr="001E4272" w:rsidRDefault="001B6792" w:rsidP="00B2088F">
            <w:pPr>
              <w:spacing w:before="180" w:after="180"/>
              <w:ind w:right="-29"/>
              <w:jc w:val="center"/>
              <w:rPr>
                <w:noProof/>
                <w:sz w:val="18"/>
              </w:rPr>
            </w:pPr>
          </w:p>
        </w:tc>
        <w:tc>
          <w:tcPr>
            <w:tcW w:w="758" w:type="dxa"/>
            <w:gridSpan w:val="2"/>
            <w:tcBorders>
              <w:top w:val="single" w:sz="12" w:space="0" w:color="auto"/>
              <w:left w:val="single" w:sz="4" w:space="0" w:color="auto"/>
              <w:bottom w:val="single" w:sz="12" w:space="0" w:color="auto"/>
              <w:right w:val="single" w:sz="4" w:space="0" w:color="auto"/>
            </w:tcBorders>
          </w:tcPr>
          <w:p w14:paraId="69469288" w14:textId="17A698F0" w:rsidR="001B6792" w:rsidRPr="001E4272" w:rsidRDefault="001B6792" w:rsidP="006A0D14">
            <w:pPr>
              <w:spacing w:before="180" w:after="180"/>
              <w:ind w:right="-29"/>
              <w:jc w:val="center"/>
              <w:rPr>
                <w:noProof/>
                <w:sz w:val="18"/>
                <w:szCs w:val="18"/>
              </w:rPr>
            </w:pPr>
            <w:r w:rsidRPr="001E4272">
              <w:rPr>
                <w:b/>
                <w:bCs/>
                <w:noProof/>
                <w:sz w:val="18"/>
                <w:szCs w:val="18"/>
              </w:rPr>
              <w:t>9,371</w:t>
            </w:r>
          </w:p>
        </w:tc>
        <w:tc>
          <w:tcPr>
            <w:tcW w:w="720" w:type="dxa"/>
            <w:tcBorders>
              <w:top w:val="single" w:sz="12" w:space="0" w:color="auto"/>
              <w:left w:val="single" w:sz="4" w:space="0" w:color="auto"/>
              <w:bottom w:val="single" w:sz="12" w:space="0" w:color="auto"/>
              <w:right w:val="single" w:sz="4" w:space="0" w:color="auto"/>
            </w:tcBorders>
          </w:tcPr>
          <w:p w14:paraId="766B4A88" w14:textId="77777777" w:rsidR="001B6792" w:rsidRPr="001E4272" w:rsidRDefault="001B6792" w:rsidP="00B2088F">
            <w:pPr>
              <w:spacing w:before="180" w:after="180"/>
              <w:ind w:right="-29"/>
              <w:jc w:val="center"/>
              <w:rPr>
                <w:noProof/>
                <w:sz w:val="18"/>
              </w:rPr>
            </w:pPr>
          </w:p>
        </w:tc>
        <w:tc>
          <w:tcPr>
            <w:tcW w:w="900" w:type="dxa"/>
            <w:tcBorders>
              <w:top w:val="single" w:sz="12" w:space="0" w:color="auto"/>
              <w:left w:val="single" w:sz="4" w:space="0" w:color="auto"/>
              <w:bottom w:val="single" w:sz="12" w:space="0" w:color="auto"/>
              <w:right w:val="single" w:sz="12" w:space="0" w:color="auto"/>
            </w:tcBorders>
          </w:tcPr>
          <w:p w14:paraId="0D17300E" w14:textId="54B037C8" w:rsidR="001B6792" w:rsidRPr="001E4272" w:rsidRDefault="00D03B63" w:rsidP="006A0D14">
            <w:pPr>
              <w:spacing w:before="180" w:after="180"/>
              <w:ind w:right="-29"/>
              <w:jc w:val="center"/>
              <w:rPr>
                <w:noProof/>
                <w:sz w:val="18"/>
                <w:szCs w:val="18"/>
              </w:rPr>
            </w:pPr>
            <w:r w:rsidRPr="001E4272">
              <w:rPr>
                <w:b/>
                <w:bCs/>
                <w:noProof/>
                <w:sz w:val="18"/>
                <w:szCs w:val="18"/>
              </w:rPr>
              <w:t>32,743</w:t>
            </w:r>
          </w:p>
        </w:tc>
      </w:tr>
    </w:tbl>
    <w:p w14:paraId="59A298A3" w14:textId="77777777" w:rsidR="007270A0" w:rsidRPr="001E4272" w:rsidRDefault="007270A0" w:rsidP="007270A0">
      <w:pPr>
        <w:tabs>
          <w:tab w:val="left" w:pos="973"/>
        </w:tabs>
        <w:rPr>
          <w:noProof/>
        </w:rPr>
      </w:pPr>
    </w:p>
    <w:p w14:paraId="4DC67C81" w14:textId="77777777" w:rsidR="00436363" w:rsidRPr="001E4272" w:rsidRDefault="007270A0" w:rsidP="007270A0">
      <w:pPr>
        <w:tabs>
          <w:tab w:val="left" w:pos="973"/>
        </w:tabs>
        <w:rPr>
          <w:noProof/>
        </w:rPr>
        <w:sectPr w:rsidR="00436363" w:rsidRPr="001E4272" w:rsidSect="00C51A3C">
          <w:headerReference w:type="default" r:id="rId15"/>
          <w:footerReference w:type="default" r:id="rId16"/>
          <w:headerReference w:type="first" r:id="rId17"/>
          <w:footerReference w:type="first" r:id="rId18"/>
          <w:pgSz w:w="16840" w:h="11907" w:orient="landscape" w:code="9"/>
          <w:pgMar w:top="1134" w:right="1418" w:bottom="567" w:left="1418" w:header="709" w:footer="709" w:gutter="0"/>
          <w:cols w:space="708"/>
          <w:docGrid w:linePitch="360"/>
        </w:sectPr>
      </w:pPr>
      <w:r w:rsidRPr="001E4272">
        <w:rPr>
          <w:noProof/>
        </w:rPr>
        <w:tab/>
      </w:r>
    </w:p>
    <w:p w14:paraId="52A35227" w14:textId="7B3E4EDF" w:rsidR="00436363" w:rsidRPr="001E4272" w:rsidRDefault="00F27BFA" w:rsidP="00F27BFA">
      <w:pPr>
        <w:pStyle w:val="ManualHeading3"/>
        <w:rPr>
          <w:noProof/>
        </w:rPr>
      </w:pPr>
      <w:bookmarkStart w:id="122" w:name="_Toc514938055"/>
      <w:bookmarkStart w:id="123" w:name="_Toc520485054"/>
      <w:bookmarkStart w:id="124" w:name="_Toc84517601"/>
      <w:r w:rsidRPr="00F27BFA">
        <w:t>3.2.3.</w:t>
      </w:r>
      <w:r w:rsidRPr="00F27BFA">
        <w:tab/>
      </w:r>
      <w:r w:rsidR="00436363" w:rsidRPr="001E4272">
        <w:rPr>
          <w:noProof/>
        </w:rPr>
        <w:t>Συνοπτική παρουσίαση των εκτιμώμενων επιπτώσεων στις διοικητικές πιστώσεις</w:t>
      </w:r>
      <w:bookmarkEnd w:id="122"/>
      <w:bookmarkEnd w:id="123"/>
      <w:bookmarkEnd w:id="124"/>
      <w:r w:rsidR="00436363" w:rsidRPr="001E4272">
        <w:rPr>
          <w:noProof/>
        </w:rPr>
        <w:t xml:space="preserve"> </w:t>
      </w:r>
    </w:p>
    <w:p w14:paraId="5E939495" w14:textId="0098A6A9" w:rsidR="00906BEE" w:rsidRPr="001E4272" w:rsidRDefault="00F27BFA" w:rsidP="00F27BFA">
      <w:pPr>
        <w:pStyle w:val="ManualHeading4"/>
        <w:rPr>
          <w:bCs/>
          <w:noProof/>
          <w:szCs w:val="24"/>
        </w:rPr>
      </w:pPr>
      <w:r w:rsidRPr="00F27BFA">
        <w:t>3.2.3.1.</w:t>
      </w:r>
      <w:r w:rsidRPr="00F27BFA">
        <w:tab/>
      </w:r>
      <w:r w:rsidR="00906BEE" w:rsidRPr="001E4272">
        <w:rPr>
          <w:noProof/>
        </w:rPr>
        <w:t xml:space="preserve">Συνοπτική παρουσίαση </w:t>
      </w:r>
    </w:p>
    <w:p w14:paraId="5EB7FFFA" w14:textId="77777777" w:rsidR="00906BEE" w:rsidRPr="001E4272" w:rsidRDefault="00906BEE" w:rsidP="00906BEE">
      <w:pPr>
        <w:pStyle w:val="ListDash1"/>
        <w:rPr>
          <w:noProof/>
        </w:rPr>
      </w:pPr>
      <w:r w:rsidRPr="001E4272">
        <w:rPr>
          <w:noProof/>
        </w:rPr>
        <w:sym w:font="Wingdings" w:char="F0A8"/>
      </w:r>
      <w:r w:rsidRPr="001E4272">
        <w:rPr>
          <w:noProof/>
        </w:rPr>
        <w:tab/>
        <w:t xml:space="preserve">Η πρόταση/πρωτοβουλία δεν συνεπάγεται τη χρησιμοποίηση πιστώσεων διοικητικού χαρακτήρα. </w:t>
      </w:r>
    </w:p>
    <w:p w14:paraId="53E41095" w14:textId="77777777" w:rsidR="00906BEE" w:rsidRPr="001E4272" w:rsidRDefault="00906BEE" w:rsidP="00906BEE">
      <w:pPr>
        <w:pStyle w:val="ListDash1"/>
        <w:rPr>
          <w:noProof/>
        </w:rPr>
      </w:pPr>
      <w:r w:rsidRPr="001E4272">
        <w:rPr>
          <w:noProof/>
        </w:rPr>
        <w:sym w:font="Wingdings" w:char="F0FE"/>
      </w:r>
      <w:r w:rsidRPr="001E4272">
        <w:rPr>
          <w:noProof/>
        </w:rPr>
        <w:tab/>
        <w:t>Η πρόταση/πρωτοβουλία συνεπάγεται τη χρησιμοποίηση πιστώσεων διοικητικού χαρακτήρα, όπως εξηγείται κατωτέρω</w:t>
      </w:r>
      <w:r w:rsidRPr="001E4272">
        <w:rPr>
          <w:rStyle w:val="FootnoteReference"/>
          <w:noProof/>
        </w:rPr>
        <w:footnoteReference w:id="59"/>
      </w:r>
      <w:r w:rsidRPr="001E4272">
        <w:rPr>
          <w:noProof/>
        </w:rPr>
        <w:t>:</w:t>
      </w:r>
    </w:p>
    <w:p w14:paraId="6F5CFA25" w14:textId="77777777" w:rsidR="00436363" w:rsidRPr="001E4272" w:rsidRDefault="00436363" w:rsidP="00906BEE">
      <w:pPr>
        <w:jc w:val="right"/>
        <w:rPr>
          <w:noProof/>
          <w:sz w:val="20"/>
        </w:rPr>
      </w:pPr>
      <w:r w:rsidRPr="001E4272">
        <w:rPr>
          <w:noProof/>
          <w:sz w:val="20"/>
        </w:rPr>
        <w:t>σε εκατ. EUR (με τρία δεκαδικά ψηφία)</w:t>
      </w:r>
    </w:p>
    <w:tbl>
      <w:tblPr>
        <w:tblW w:w="9651"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351"/>
      </w:tblGrid>
      <w:tr w:rsidR="008911CF" w:rsidRPr="001E4272" w14:paraId="0DE05ED2" w14:textId="77777777" w:rsidTr="006A0D14">
        <w:trPr>
          <w:trHeight w:val="585"/>
        </w:trPr>
        <w:tc>
          <w:tcPr>
            <w:tcW w:w="1980" w:type="dxa"/>
          </w:tcPr>
          <w:p w14:paraId="5CF54B5C" w14:textId="77777777" w:rsidR="008911CF" w:rsidRPr="001E4272" w:rsidRDefault="008911CF" w:rsidP="00B2088F">
            <w:pPr>
              <w:spacing w:before="60" w:after="60"/>
              <w:rPr>
                <w:noProof/>
                <w:sz w:val="20"/>
              </w:rPr>
            </w:pPr>
          </w:p>
        </w:tc>
        <w:tc>
          <w:tcPr>
            <w:tcW w:w="1080" w:type="dxa"/>
            <w:vAlign w:val="center"/>
          </w:tcPr>
          <w:p w14:paraId="4958F43E" w14:textId="77777777" w:rsidR="008911CF" w:rsidRPr="001E4272" w:rsidRDefault="008911CF" w:rsidP="00B2088F">
            <w:pPr>
              <w:spacing w:before="60" w:after="60"/>
              <w:jc w:val="center"/>
              <w:rPr>
                <w:noProof/>
                <w:sz w:val="20"/>
              </w:rPr>
            </w:pPr>
            <w:r w:rsidRPr="001E4272">
              <w:rPr>
                <w:noProof/>
                <w:sz w:val="20"/>
              </w:rPr>
              <w:t>Έτος</w:t>
            </w:r>
            <w:r w:rsidRPr="001E4272">
              <w:rPr>
                <w:noProof/>
              </w:rPr>
              <w:t xml:space="preserve"> </w:t>
            </w:r>
            <w:r w:rsidRPr="001E4272">
              <w:rPr>
                <w:noProof/>
              </w:rPr>
              <w:br/>
            </w:r>
            <w:r w:rsidRPr="001E4272">
              <w:rPr>
                <w:b/>
                <w:noProof/>
                <w:sz w:val="20"/>
              </w:rPr>
              <w:t xml:space="preserve">2024 </w:t>
            </w:r>
          </w:p>
        </w:tc>
        <w:tc>
          <w:tcPr>
            <w:tcW w:w="1080" w:type="dxa"/>
            <w:vAlign w:val="center"/>
          </w:tcPr>
          <w:p w14:paraId="749ED6F8" w14:textId="77777777" w:rsidR="008911CF" w:rsidRPr="001E4272" w:rsidRDefault="008911CF" w:rsidP="00B2088F">
            <w:pPr>
              <w:spacing w:before="60" w:after="60"/>
              <w:jc w:val="center"/>
              <w:rPr>
                <w:noProof/>
                <w:sz w:val="20"/>
              </w:rPr>
            </w:pPr>
            <w:r w:rsidRPr="001E4272">
              <w:rPr>
                <w:noProof/>
                <w:sz w:val="20"/>
              </w:rPr>
              <w:t>Έτος</w:t>
            </w:r>
            <w:r w:rsidRPr="001E4272">
              <w:rPr>
                <w:noProof/>
              </w:rPr>
              <w:t xml:space="preserve"> </w:t>
            </w:r>
            <w:r w:rsidRPr="001E4272">
              <w:rPr>
                <w:noProof/>
              </w:rPr>
              <w:br/>
            </w:r>
            <w:r w:rsidRPr="001E4272">
              <w:rPr>
                <w:b/>
                <w:noProof/>
                <w:sz w:val="20"/>
              </w:rPr>
              <w:t>2025</w:t>
            </w:r>
          </w:p>
        </w:tc>
        <w:tc>
          <w:tcPr>
            <w:tcW w:w="1080" w:type="dxa"/>
            <w:vAlign w:val="center"/>
          </w:tcPr>
          <w:p w14:paraId="0CA9F03E" w14:textId="77777777" w:rsidR="008911CF" w:rsidRPr="001E4272" w:rsidRDefault="008911CF" w:rsidP="00B2088F">
            <w:pPr>
              <w:spacing w:before="60" w:after="60"/>
              <w:jc w:val="center"/>
              <w:rPr>
                <w:noProof/>
                <w:sz w:val="20"/>
              </w:rPr>
            </w:pPr>
            <w:r w:rsidRPr="001E4272">
              <w:rPr>
                <w:noProof/>
                <w:sz w:val="20"/>
              </w:rPr>
              <w:t>Έτος</w:t>
            </w:r>
            <w:r w:rsidRPr="001E4272">
              <w:rPr>
                <w:noProof/>
              </w:rPr>
              <w:t xml:space="preserve"> </w:t>
            </w:r>
            <w:r w:rsidRPr="001E4272">
              <w:rPr>
                <w:noProof/>
              </w:rPr>
              <w:br/>
            </w:r>
            <w:r w:rsidRPr="001E4272">
              <w:rPr>
                <w:b/>
                <w:noProof/>
                <w:sz w:val="20"/>
              </w:rPr>
              <w:t>2026</w:t>
            </w:r>
          </w:p>
        </w:tc>
        <w:tc>
          <w:tcPr>
            <w:tcW w:w="1080" w:type="dxa"/>
            <w:vAlign w:val="center"/>
          </w:tcPr>
          <w:p w14:paraId="6E722FA5" w14:textId="77777777" w:rsidR="008911CF" w:rsidRPr="001E4272" w:rsidRDefault="008911CF" w:rsidP="00B2088F">
            <w:pPr>
              <w:spacing w:before="60" w:after="60"/>
              <w:jc w:val="center"/>
              <w:rPr>
                <w:noProof/>
                <w:sz w:val="20"/>
              </w:rPr>
            </w:pPr>
            <w:r w:rsidRPr="001E4272">
              <w:rPr>
                <w:noProof/>
                <w:sz w:val="20"/>
              </w:rPr>
              <w:t>Έτος</w:t>
            </w:r>
            <w:r w:rsidRPr="001E4272">
              <w:rPr>
                <w:noProof/>
              </w:rPr>
              <w:t xml:space="preserve"> </w:t>
            </w:r>
            <w:r w:rsidRPr="001E4272">
              <w:rPr>
                <w:noProof/>
              </w:rPr>
              <w:br/>
            </w:r>
            <w:r w:rsidRPr="001E4272">
              <w:rPr>
                <w:b/>
                <w:noProof/>
                <w:sz w:val="20"/>
              </w:rPr>
              <w:t>2027</w:t>
            </w:r>
          </w:p>
        </w:tc>
        <w:tc>
          <w:tcPr>
            <w:tcW w:w="3351" w:type="dxa"/>
            <w:vAlign w:val="center"/>
          </w:tcPr>
          <w:p w14:paraId="64E7060F" w14:textId="77777777" w:rsidR="008911CF" w:rsidRPr="001E4272" w:rsidRDefault="008911CF" w:rsidP="00B2088F">
            <w:pPr>
              <w:spacing w:before="60" w:after="60"/>
              <w:jc w:val="center"/>
              <w:rPr>
                <w:b/>
                <w:noProof/>
                <w:sz w:val="20"/>
              </w:rPr>
            </w:pPr>
            <w:r w:rsidRPr="001E4272">
              <w:rPr>
                <w:b/>
                <w:noProof/>
                <w:sz w:val="20"/>
              </w:rPr>
              <w:t>ΣΥΝΟΛΟ</w:t>
            </w:r>
          </w:p>
        </w:tc>
      </w:tr>
    </w:tbl>
    <w:p w14:paraId="73A24AF2" w14:textId="77777777" w:rsidR="00906BEE" w:rsidRPr="001E4272" w:rsidRDefault="00906BEE" w:rsidP="00906BEE">
      <w:pPr>
        <w:rPr>
          <w:noProof/>
          <w:sz w:val="18"/>
        </w:rPr>
      </w:pPr>
    </w:p>
    <w:tbl>
      <w:tblPr>
        <w:tblW w:w="9651"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351"/>
      </w:tblGrid>
      <w:tr w:rsidR="008911CF" w:rsidRPr="001E4272" w14:paraId="0B469F0B" w14:textId="77777777" w:rsidTr="006A0D14">
        <w:trPr>
          <w:trHeight w:val="585"/>
        </w:trPr>
        <w:tc>
          <w:tcPr>
            <w:tcW w:w="1980" w:type="dxa"/>
            <w:shd w:val="clear" w:color="auto" w:fill="D9D9D9" w:themeFill="background1" w:themeFillShade="D9"/>
            <w:vAlign w:val="center"/>
          </w:tcPr>
          <w:p w14:paraId="342209A5" w14:textId="77777777" w:rsidR="008911CF" w:rsidRPr="001E4272" w:rsidRDefault="008911CF" w:rsidP="00B2088F">
            <w:pPr>
              <w:spacing w:before="60" w:after="60"/>
              <w:jc w:val="center"/>
              <w:rPr>
                <w:noProof/>
              </w:rPr>
            </w:pPr>
            <w:r w:rsidRPr="001E4272">
              <w:rPr>
                <w:noProof/>
                <w:sz w:val="18"/>
              </w:rPr>
              <w:t>Έκτακτοι υπάλληλοι (βαθμοί AD)</w:t>
            </w:r>
          </w:p>
        </w:tc>
        <w:tc>
          <w:tcPr>
            <w:tcW w:w="1080" w:type="dxa"/>
            <w:tcBorders>
              <w:top w:val="single" w:sz="4" w:space="0" w:color="auto"/>
              <w:left w:val="single" w:sz="4" w:space="0" w:color="auto"/>
              <w:bottom w:val="single" w:sz="4" w:space="0" w:color="auto"/>
              <w:right w:val="single" w:sz="4" w:space="0" w:color="auto"/>
            </w:tcBorders>
            <w:vAlign w:val="bottom"/>
          </w:tcPr>
          <w:p w14:paraId="18D8CFCB" w14:textId="77777777" w:rsidR="008911CF" w:rsidRPr="001E4272" w:rsidRDefault="008911CF" w:rsidP="006A0D14">
            <w:pPr>
              <w:spacing w:before="60" w:after="60"/>
              <w:jc w:val="right"/>
              <w:rPr>
                <w:noProof/>
                <w:sz w:val="20"/>
                <w:szCs w:val="20"/>
              </w:rPr>
            </w:pPr>
            <w:r w:rsidRPr="001E4272">
              <w:rPr>
                <w:noProof/>
                <w:color w:val="000000"/>
                <w:sz w:val="18"/>
                <w:szCs w:val="18"/>
              </w:rPr>
              <w:t>0,952</w:t>
            </w:r>
          </w:p>
        </w:tc>
        <w:tc>
          <w:tcPr>
            <w:tcW w:w="1080" w:type="dxa"/>
            <w:tcBorders>
              <w:top w:val="single" w:sz="4" w:space="0" w:color="auto"/>
              <w:left w:val="nil"/>
              <w:bottom w:val="single" w:sz="4" w:space="0" w:color="auto"/>
              <w:right w:val="single" w:sz="4" w:space="0" w:color="auto"/>
            </w:tcBorders>
            <w:vAlign w:val="bottom"/>
          </w:tcPr>
          <w:p w14:paraId="50A851D9" w14:textId="77777777" w:rsidR="008911CF" w:rsidRPr="001E4272" w:rsidRDefault="008911CF" w:rsidP="006A0D14">
            <w:pPr>
              <w:spacing w:before="60" w:after="60"/>
              <w:jc w:val="right"/>
              <w:rPr>
                <w:noProof/>
                <w:sz w:val="20"/>
                <w:szCs w:val="20"/>
              </w:rPr>
            </w:pPr>
            <w:r w:rsidRPr="001E4272">
              <w:rPr>
                <w:noProof/>
                <w:color w:val="000000"/>
                <w:sz w:val="18"/>
                <w:szCs w:val="18"/>
              </w:rPr>
              <w:t>2,337</w:t>
            </w:r>
          </w:p>
        </w:tc>
        <w:tc>
          <w:tcPr>
            <w:tcW w:w="1080" w:type="dxa"/>
            <w:tcBorders>
              <w:top w:val="single" w:sz="4" w:space="0" w:color="auto"/>
              <w:left w:val="nil"/>
              <w:bottom w:val="single" w:sz="4" w:space="0" w:color="auto"/>
              <w:right w:val="single" w:sz="4" w:space="0" w:color="auto"/>
            </w:tcBorders>
            <w:vAlign w:val="bottom"/>
          </w:tcPr>
          <w:p w14:paraId="6458C706" w14:textId="77777777" w:rsidR="008911CF" w:rsidRPr="001E4272" w:rsidRDefault="008911CF" w:rsidP="006A0D14">
            <w:pPr>
              <w:spacing w:before="60" w:after="60"/>
              <w:jc w:val="right"/>
              <w:rPr>
                <w:noProof/>
                <w:sz w:val="20"/>
                <w:szCs w:val="20"/>
              </w:rPr>
            </w:pPr>
            <w:r w:rsidRPr="001E4272">
              <w:rPr>
                <w:noProof/>
                <w:color w:val="000000"/>
                <w:sz w:val="18"/>
                <w:szCs w:val="18"/>
              </w:rPr>
              <w:t>2,943</w:t>
            </w:r>
          </w:p>
        </w:tc>
        <w:tc>
          <w:tcPr>
            <w:tcW w:w="1080" w:type="dxa"/>
            <w:tcBorders>
              <w:top w:val="single" w:sz="4" w:space="0" w:color="auto"/>
              <w:left w:val="nil"/>
              <w:bottom w:val="single" w:sz="4" w:space="0" w:color="auto"/>
              <w:right w:val="single" w:sz="4" w:space="0" w:color="auto"/>
            </w:tcBorders>
            <w:vAlign w:val="bottom"/>
          </w:tcPr>
          <w:p w14:paraId="3CD81F2D" w14:textId="77777777" w:rsidR="008911CF" w:rsidRPr="001E4272" w:rsidRDefault="008911CF" w:rsidP="006A0D14">
            <w:pPr>
              <w:spacing w:before="60" w:after="60"/>
              <w:jc w:val="right"/>
              <w:rPr>
                <w:noProof/>
                <w:sz w:val="20"/>
                <w:szCs w:val="20"/>
              </w:rPr>
            </w:pPr>
            <w:r w:rsidRPr="001E4272">
              <w:rPr>
                <w:noProof/>
                <w:color w:val="000000"/>
                <w:sz w:val="18"/>
                <w:szCs w:val="18"/>
              </w:rPr>
              <w:t>3,289</w:t>
            </w:r>
          </w:p>
        </w:tc>
        <w:tc>
          <w:tcPr>
            <w:tcW w:w="3351" w:type="dxa"/>
            <w:tcBorders>
              <w:top w:val="single" w:sz="4" w:space="0" w:color="auto"/>
              <w:left w:val="nil"/>
              <w:bottom w:val="single" w:sz="4" w:space="0" w:color="auto"/>
              <w:right w:val="single" w:sz="4" w:space="0" w:color="auto"/>
            </w:tcBorders>
            <w:vAlign w:val="bottom"/>
          </w:tcPr>
          <w:p w14:paraId="1750A13F" w14:textId="25E1D541" w:rsidR="008911CF" w:rsidRPr="001E4272" w:rsidRDefault="009A3AD8" w:rsidP="006A0D14">
            <w:pPr>
              <w:spacing w:before="60" w:after="60"/>
              <w:jc w:val="right"/>
              <w:rPr>
                <w:b/>
                <w:bCs/>
                <w:noProof/>
                <w:sz w:val="20"/>
                <w:szCs w:val="20"/>
              </w:rPr>
            </w:pPr>
            <w:r w:rsidRPr="001E4272">
              <w:rPr>
                <w:b/>
                <w:bCs/>
                <w:noProof/>
                <w:color w:val="000000"/>
                <w:sz w:val="18"/>
                <w:szCs w:val="18"/>
              </w:rPr>
              <w:t>9,521</w:t>
            </w:r>
          </w:p>
        </w:tc>
      </w:tr>
      <w:tr w:rsidR="008911CF" w:rsidRPr="001E4272" w14:paraId="718B9458" w14:textId="77777777" w:rsidTr="006A0D14">
        <w:trPr>
          <w:trHeight w:val="585"/>
        </w:trPr>
        <w:tc>
          <w:tcPr>
            <w:tcW w:w="1980" w:type="dxa"/>
            <w:shd w:val="clear" w:color="auto" w:fill="BFBFBF" w:themeFill="background1" w:themeFillShade="BF"/>
            <w:vAlign w:val="center"/>
          </w:tcPr>
          <w:p w14:paraId="2F502278" w14:textId="77777777" w:rsidR="008911CF" w:rsidRPr="001E4272" w:rsidRDefault="008911CF" w:rsidP="00B2088F">
            <w:pPr>
              <w:spacing w:before="60" w:after="60"/>
              <w:ind w:left="72"/>
              <w:rPr>
                <w:noProof/>
              </w:rPr>
            </w:pPr>
            <w:r w:rsidRPr="001E4272">
              <w:rPr>
                <w:noProof/>
                <w:sz w:val="20"/>
              </w:rPr>
              <w:t>Έκτακτοι υπάλληλοι (βαθμοί AST)</w:t>
            </w:r>
          </w:p>
        </w:tc>
        <w:tc>
          <w:tcPr>
            <w:tcW w:w="1080" w:type="dxa"/>
            <w:tcBorders>
              <w:top w:val="nil"/>
              <w:left w:val="single" w:sz="4" w:space="0" w:color="auto"/>
              <w:bottom w:val="single" w:sz="4" w:space="0" w:color="auto"/>
              <w:right w:val="single" w:sz="4" w:space="0" w:color="auto"/>
            </w:tcBorders>
            <w:vAlign w:val="bottom"/>
          </w:tcPr>
          <w:p w14:paraId="30471549" w14:textId="77777777" w:rsidR="008911CF" w:rsidRPr="001E4272" w:rsidRDefault="008911CF" w:rsidP="006A0D14">
            <w:pPr>
              <w:spacing w:before="60" w:after="60"/>
              <w:jc w:val="right"/>
              <w:rPr>
                <w:noProof/>
                <w:sz w:val="20"/>
                <w:szCs w:val="20"/>
              </w:rPr>
            </w:pPr>
            <w:r w:rsidRPr="001E4272">
              <w:rPr>
                <w:noProof/>
                <w:color w:val="000000"/>
                <w:sz w:val="18"/>
                <w:szCs w:val="18"/>
              </w:rPr>
              <w:t>0,173</w:t>
            </w:r>
          </w:p>
        </w:tc>
        <w:tc>
          <w:tcPr>
            <w:tcW w:w="1080" w:type="dxa"/>
            <w:tcBorders>
              <w:top w:val="nil"/>
              <w:left w:val="nil"/>
              <w:bottom w:val="single" w:sz="4" w:space="0" w:color="auto"/>
              <w:right w:val="single" w:sz="4" w:space="0" w:color="auto"/>
            </w:tcBorders>
            <w:vAlign w:val="bottom"/>
          </w:tcPr>
          <w:p w14:paraId="32085422" w14:textId="77777777" w:rsidR="008911CF" w:rsidRPr="001E4272" w:rsidRDefault="008911CF" w:rsidP="006A0D14">
            <w:pPr>
              <w:spacing w:before="60" w:after="60"/>
              <w:jc w:val="right"/>
              <w:rPr>
                <w:noProof/>
                <w:sz w:val="20"/>
                <w:szCs w:val="20"/>
              </w:rPr>
            </w:pPr>
            <w:r w:rsidRPr="001E4272">
              <w:rPr>
                <w:noProof/>
                <w:color w:val="000000"/>
                <w:sz w:val="18"/>
                <w:szCs w:val="18"/>
              </w:rPr>
              <w:t>0,346</w:t>
            </w:r>
          </w:p>
        </w:tc>
        <w:tc>
          <w:tcPr>
            <w:tcW w:w="1080" w:type="dxa"/>
            <w:tcBorders>
              <w:top w:val="nil"/>
              <w:left w:val="nil"/>
              <w:bottom w:val="single" w:sz="4" w:space="0" w:color="auto"/>
              <w:right w:val="single" w:sz="4" w:space="0" w:color="auto"/>
            </w:tcBorders>
            <w:vAlign w:val="bottom"/>
          </w:tcPr>
          <w:p w14:paraId="04906230" w14:textId="77777777" w:rsidR="008911CF" w:rsidRPr="001E4272" w:rsidRDefault="008911CF" w:rsidP="006A0D14">
            <w:pPr>
              <w:spacing w:before="60" w:after="60"/>
              <w:jc w:val="right"/>
              <w:rPr>
                <w:noProof/>
                <w:sz w:val="20"/>
                <w:szCs w:val="20"/>
              </w:rPr>
            </w:pPr>
            <w:r w:rsidRPr="001E4272">
              <w:rPr>
                <w:noProof/>
                <w:color w:val="000000"/>
                <w:sz w:val="18"/>
                <w:szCs w:val="18"/>
              </w:rPr>
              <w:t>0,433</w:t>
            </w:r>
          </w:p>
        </w:tc>
        <w:tc>
          <w:tcPr>
            <w:tcW w:w="1080" w:type="dxa"/>
            <w:tcBorders>
              <w:top w:val="nil"/>
              <w:left w:val="nil"/>
              <w:bottom w:val="single" w:sz="4" w:space="0" w:color="auto"/>
              <w:right w:val="single" w:sz="4" w:space="0" w:color="auto"/>
            </w:tcBorders>
            <w:vAlign w:val="bottom"/>
          </w:tcPr>
          <w:p w14:paraId="32138A01" w14:textId="2B0FE836" w:rsidR="008911CF" w:rsidRPr="001E4272" w:rsidRDefault="008911CF" w:rsidP="006A0D14">
            <w:pPr>
              <w:spacing w:before="60" w:after="60"/>
              <w:jc w:val="right"/>
              <w:rPr>
                <w:noProof/>
                <w:sz w:val="20"/>
                <w:szCs w:val="20"/>
              </w:rPr>
            </w:pPr>
            <w:r w:rsidRPr="001E4272">
              <w:rPr>
                <w:noProof/>
                <w:color w:val="000000"/>
                <w:sz w:val="18"/>
                <w:szCs w:val="18"/>
              </w:rPr>
              <w:t>0,0,692</w:t>
            </w:r>
          </w:p>
        </w:tc>
        <w:tc>
          <w:tcPr>
            <w:tcW w:w="3351" w:type="dxa"/>
            <w:tcBorders>
              <w:top w:val="nil"/>
              <w:left w:val="nil"/>
              <w:bottom w:val="single" w:sz="4" w:space="0" w:color="auto"/>
              <w:right w:val="single" w:sz="4" w:space="0" w:color="auto"/>
            </w:tcBorders>
            <w:vAlign w:val="bottom"/>
          </w:tcPr>
          <w:p w14:paraId="06B1E42F" w14:textId="764AF014" w:rsidR="008911CF" w:rsidRPr="001E4272" w:rsidRDefault="009A3AD8" w:rsidP="006A0D14">
            <w:pPr>
              <w:spacing w:before="60" w:after="60"/>
              <w:jc w:val="right"/>
              <w:rPr>
                <w:b/>
                <w:bCs/>
                <w:noProof/>
                <w:sz w:val="20"/>
                <w:szCs w:val="20"/>
              </w:rPr>
            </w:pPr>
            <w:r w:rsidRPr="001E4272">
              <w:rPr>
                <w:b/>
                <w:bCs/>
                <w:noProof/>
                <w:color w:val="000000"/>
                <w:sz w:val="18"/>
                <w:szCs w:val="18"/>
              </w:rPr>
              <w:t>1,644</w:t>
            </w:r>
          </w:p>
        </w:tc>
      </w:tr>
      <w:tr w:rsidR="008911CF" w:rsidRPr="001E4272" w14:paraId="1C9EA698" w14:textId="77777777" w:rsidTr="006A0D14">
        <w:trPr>
          <w:trHeight w:val="585"/>
        </w:trPr>
        <w:tc>
          <w:tcPr>
            <w:tcW w:w="1980" w:type="dxa"/>
            <w:shd w:val="clear" w:color="auto" w:fill="BFBFBF" w:themeFill="background1" w:themeFillShade="BF"/>
            <w:vAlign w:val="center"/>
          </w:tcPr>
          <w:p w14:paraId="12C6F9CB" w14:textId="77777777" w:rsidR="008911CF" w:rsidRPr="001E4272" w:rsidRDefault="008911CF" w:rsidP="00B2088F">
            <w:pPr>
              <w:spacing w:before="60" w:after="60"/>
              <w:ind w:left="72"/>
              <w:rPr>
                <w:noProof/>
              </w:rPr>
            </w:pPr>
            <w:r w:rsidRPr="001E4272">
              <w:rPr>
                <w:noProof/>
                <w:sz w:val="20"/>
              </w:rPr>
              <w:t>Συμβασιούχοι υπάλληλοι</w:t>
            </w:r>
          </w:p>
        </w:tc>
        <w:tc>
          <w:tcPr>
            <w:tcW w:w="1080" w:type="dxa"/>
            <w:tcBorders>
              <w:top w:val="nil"/>
              <w:left w:val="single" w:sz="4" w:space="0" w:color="auto"/>
              <w:bottom w:val="single" w:sz="4" w:space="0" w:color="auto"/>
              <w:right w:val="single" w:sz="4" w:space="0" w:color="auto"/>
            </w:tcBorders>
            <w:vAlign w:val="bottom"/>
          </w:tcPr>
          <w:p w14:paraId="7669A41B" w14:textId="77777777" w:rsidR="008911CF" w:rsidRPr="001E4272" w:rsidRDefault="008911CF" w:rsidP="00B2088F">
            <w:pPr>
              <w:spacing w:before="60" w:after="60"/>
              <w:jc w:val="right"/>
              <w:rPr>
                <w:noProof/>
                <w:sz w:val="20"/>
              </w:rPr>
            </w:pPr>
          </w:p>
        </w:tc>
        <w:tc>
          <w:tcPr>
            <w:tcW w:w="1080" w:type="dxa"/>
            <w:tcBorders>
              <w:top w:val="nil"/>
              <w:left w:val="nil"/>
              <w:bottom w:val="single" w:sz="4" w:space="0" w:color="auto"/>
              <w:right w:val="single" w:sz="4" w:space="0" w:color="auto"/>
            </w:tcBorders>
            <w:vAlign w:val="bottom"/>
          </w:tcPr>
          <w:p w14:paraId="4DC984F6" w14:textId="77777777" w:rsidR="008911CF" w:rsidRPr="001E4272" w:rsidRDefault="008911CF" w:rsidP="00B2088F">
            <w:pPr>
              <w:spacing w:before="60" w:after="60"/>
              <w:jc w:val="right"/>
              <w:rPr>
                <w:noProof/>
                <w:sz w:val="20"/>
              </w:rPr>
            </w:pPr>
          </w:p>
        </w:tc>
        <w:tc>
          <w:tcPr>
            <w:tcW w:w="1080" w:type="dxa"/>
            <w:tcBorders>
              <w:top w:val="nil"/>
              <w:left w:val="nil"/>
              <w:bottom w:val="single" w:sz="4" w:space="0" w:color="auto"/>
              <w:right w:val="single" w:sz="4" w:space="0" w:color="auto"/>
            </w:tcBorders>
            <w:vAlign w:val="bottom"/>
          </w:tcPr>
          <w:p w14:paraId="46FEB399" w14:textId="77777777" w:rsidR="008911CF" w:rsidRPr="001E4272" w:rsidRDefault="008911CF" w:rsidP="00B2088F">
            <w:pPr>
              <w:spacing w:before="60" w:after="60"/>
              <w:jc w:val="right"/>
              <w:rPr>
                <w:noProof/>
                <w:sz w:val="20"/>
              </w:rPr>
            </w:pPr>
          </w:p>
        </w:tc>
        <w:tc>
          <w:tcPr>
            <w:tcW w:w="1080" w:type="dxa"/>
            <w:tcBorders>
              <w:top w:val="nil"/>
              <w:left w:val="nil"/>
              <w:bottom w:val="single" w:sz="4" w:space="0" w:color="auto"/>
              <w:right w:val="single" w:sz="4" w:space="0" w:color="auto"/>
            </w:tcBorders>
            <w:vAlign w:val="bottom"/>
          </w:tcPr>
          <w:p w14:paraId="343CD371" w14:textId="77777777" w:rsidR="008911CF" w:rsidRPr="001E4272" w:rsidRDefault="008911CF" w:rsidP="00B2088F">
            <w:pPr>
              <w:spacing w:before="60" w:after="60"/>
              <w:jc w:val="right"/>
              <w:rPr>
                <w:noProof/>
                <w:sz w:val="20"/>
              </w:rPr>
            </w:pPr>
          </w:p>
        </w:tc>
        <w:tc>
          <w:tcPr>
            <w:tcW w:w="3351" w:type="dxa"/>
            <w:tcBorders>
              <w:top w:val="nil"/>
              <w:left w:val="nil"/>
              <w:bottom w:val="single" w:sz="4" w:space="0" w:color="auto"/>
              <w:right w:val="single" w:sz="4" w:space="0" w:color="auto"/>
            </w:tcBorders>
            <w:vAlign w:val="bottom"/>
          </w:tcPr>
          <w:p w14:paraId="6C9EA14B" w14:textId="77777777" w:rsidR="008911CF" w:rsidRPr="001E4272" w:rsidRDefault="008911CF" w:rsidP="00B2088F">
            <w:pPr>
              <w:spacing w:before="60" w:after="60"/>
              <w:jc w:val="center"/>
              <w:rPr>
                <w:b/>
                <w:noProof/>
                <w:sz w:val="20"/>
              </w:rPr>
            </w:pPr>
          </w:p>
        </w:tc>
      </w:tr>
      <w:tr w:rsidR="008911CF" w:rsidRPr="001E4272" w14:paraId="49449C39" w14:textId="77777777" w:rsidTr="006A0D14">
        <w:trPr>
          <w:trHeight w:val="585"/>
        </w:trPr>
        <w:tc>
          <w:tcPr>
            <w:tcW w:w="1980" w:type="dxa"/>
            <w:shd w:val="clear" w:color="auto" w:fill="CCCCCC"/>
            <w:vAlign w:val="center"/>
          </w:tcPr>
          <w:p w14:paraId="0D69E1E0" w14:textId="77777777" w:rsidR="008911CF" w:rsidRPr="001E4272" w:rsidRDefault="008911CF" w:rsidP="00B2088F">
            <w:pPr>
              <w:spacing w:before="60" w:after="60"/>
              <w:jc w:val="center"/>
              <w:rPr>
                <w:noProof/>
              </w:rPr>
            </w:pPr>
            <w:r w:rsidRPr="001E4272">
              <w:rPr>
                <w:noProof/>
                <w:sz w:val="18"/>
              </w:rPr>
              <w:t>Αποσπασμένοι εθνικοί εμπειρογνώμονες</w:t>
            </w:r>
          </w:p>
        </w:tc>
        <w:tc>
          <w:tcPr>
            <w:tcW w:w="1080" w:type="dxa"/>
            <w:tcBorders>
              <w:top w:val="single" w:sz="2" w:space="0" w:color="auto"/>
              <w:left w:val="single" w:sz="2" w:space="0" w:color="auto"/>
              <w:bottom w:val="single" w:sz="2" w:space="0" w:color="auto"/>
              <w:right w:val="single" w:sz="2" w:space="0" w:color="auto"/>
            </w:tcBorders>
            <w:vAlign w:val="center"/>
          </w:tcPr>
          <w:p w14:paraId="320AFAE2" w14:textId="77777777" w:rsidR="008911CF" w:rsidRPr="001E4272" w:rsidRDefault="008911CF" w:rsidP="00B2088F">
            <w:pPr>
              <w:spacing w:before="60" w:after="60"/>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6A4785E4" w14:textId="77777777" w:rsidR="008911CF" w:rsidRPr="001E4272" w:rsidRDefault="008911CF" w:rsidP="00B2088F">
            <w:pPr>
              <w:spacing w:before="60" w:after="60"/>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54E87B35" w14:textId="77777777" w:rsidR="008911CF" w:rsidRPr="001E4272" w:rsidRDefault="008911CF" w:rsidP="00B2088F">
            <w:pPr>
              <w:spacing w:before="60" w:after="60"/>
              <w:jc w:val="right"/>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75CB71FF" w14:textId="77777777" w:rsidR="008911CF" w:rsidRPr="001E4272" w:rsidRDefault="008911CF" w:rsidP="00B2088F">
            <w:pPr>
              <w:spacing w:before="60" w:after="60"/>
              <w:jc w:val="right"/>
              <w:rPr>
                <w:noProof/>
                <w:sz w:val="20"/>
              </w:rPr>
            </w:pPr>
          </w:p>
        </w:tc>
        <w:tc>
          <w:tcPr>
            <w:tcW w:w="3351" w:type="dxa"/>
            <w:tcBorders>
              <w:top w:val="single" w:sz="2" w:space="0" w:color="auto"/>
              <w:left w:val="single" w:sz="2" w:space="0" w:color="auto"/>
              <w:bottom w:val="single" w:sz="2" w:space="0" w:color="auto"/>
              <w:right w:val="single" w:sz="2" w:space="0" w:color="auto"/>
            </w:tcBorders>
            <w:vAlign w:val="center"/>
          </w:tcPr>
          <w:p w14:paraId="782547E9" w14:textId="77777777" w:rsidR="008911CF" w:rsidRPr="001E4272" w:rsidRDefault="008911CF" w:rsidP="00B2088F">
            <w:pPr>
              <w:spacing w:before="60" w:after="60"/>
              <w:jc w:val="right"/>
              <w:rPr>
                <w:b/>
                <w:noProof/>
                <w:sz w:val="20"/>
              </w:rPr>
            </w:pPr>
          </w:p>
        </w:tc>
      </w:tr>
    </w:tbl>
    <w:p w14:paraId="682A03CE" w14:textId="77777777" w:rsidR="00906BEE" w:rsidRPr="001E4272" w:rsidRDefault="00906BEE" w:rsidP="00906BEE">
      <w:pPr>
        <w:tabs>
          <w:tab w:val="left" w:pos="2573"/>
        </w:tabs>
        <w:rPr>
          <w:noProof/>
          <w:sz w:val="18"/>
        </w:rPr>
      </w:pPr>
    </w:p>
    <w:tbl>
      <w:tblPr>
        <w:tblW w:w="9651" w:type="dxa"/>
        <w:tblInd w:w="-612" w:type="dxa"/>
        <w:tblLayout w:type="fixed"/>
        <w:tblLook w:val="01E0" w:firstRow="1" w:lastRow="1" w:firstColumn="1" w:lastColumn="1" w:noHBand="0" w:noVBand="0"/>
      </w:tblPr>
      <w:tblGrid>
        <w:gridCol w:w="1980"/>
        <w:gridCol w:w="1080"/>
        <w:gridCol w:w="1080"/>
        <w:gridCol w:w="1080"/>
        <w:gridCol w:w="1080"/>
        <w:gridCol w:w="3351"/>
      </w:tblGrid>
      <w:tr w:rsidR="008911CF" w:rsidRPr="001E4272" w14:paraId="7F8F7FF4" w14:textId="77777777" w:rsidTr="006A0D14">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2EE0F285" w14:textId="77777777" w:rsidR="008911CF" w:rsidRPr="001E4272" w:rsidRDefault="008911CF" w:rsidP="00B2088F">
            <w:pPr>
              <w:spacing w:before="60" w:after="60"/>
              <w:jc w:val="center"/>
              <w:rPr>
                <w:noProof/>
                <w:sz w:val="20"/>
              </w:rPr>
            </w:pPr>
            <w:r w:rsidRPr="001E4272">
              <w:rPr>
                <w:b/>
                <w:noProof/>
                <w:sz w:val="20"/>
              </w:rPr>
              <w:t>ΣΥΝΟΛΟ</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6C49563" w14:textId="7E149A89" w:rsidR="008911CF" w:rsidRPr="001E4272" w:rsidRDefault="008911CF" w:rsidP="006A0D14">
            <w:pPr>
              <w:spacing w:before="60" w:after="60"/>
              <w:jc w:val="right"/>
              <w:rPr>
                <w:b/>
                <w:bCs/>
                <w:noProof/>
                <w:sz w:val="20"/>
                <w:szCs w:val="20"/>
              </w:rPr>
            </w:pPr>
            <w:r w:rsidRPr="001E4272">
              <w:rPr>
                <w:b/>
                <w:bCs/>
                <w:noProof/>
                <w:color w:val="000000"/>
                <w:sz w:val="18"/>
                <w:szCs w:val="18"/>
              </w:rPr>
              <w:t>1,125</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EA3ABDD" w14:textId="5CA0571A" w:rsidR="008911CF" w:rsidRPr="001E4272" w:rsidRDefault="008911CF" w:rsidP="006A0D14">
            <w:pPr>
              <w:spacing w:before="60" w:after="60"/>
              <w:jc w:val="right"/>
              <w:rPr>
                <w:b/>
                <w:bCs/>
                <w:noProof/>
                <w:sz w:val="20"/>
                <w:szCs w:val="20"/>
              </w:rPr>
            </w:pPr>
            <w:r w:rsidRPr="001E4272">
              <w:rPr>
                <w:b/>
                <w:bCs/>
                <w:noProof/>
                <w:color w:val="000000"/>
                <w:sz w:val="18"/>
                <w:szCs w:val="18"/>
              </w:rPr>
              <w:t>2,683</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8052044" w14:textId="47786ACE" w:rsidR="008911CF" w:rsidRPr="001E4272" w:rsidRDefault="008911CF" w:rsidP="006A0D14">
            <w:pPr>
              <w:spacing w:before="60" w:after="60"/>
              <w:jc w:val="right"/>
              <w:rPr>
                <w:b/>
                <w:bCs/>
                <w:noProof/>
                <w:sz w:val="20"/>
                <w:szCs w:val="20"/>
              </w:rPr>
            </w:pPr>
            <w:r w:rsidRPr="001E4272">
              <w:rPr>
                <w:b/>
                <w:bCs/>
                <w:noProof/>
                <w:color w:val="000000"/>
                <w:sz w:val="18"/>
                <w:szCs w:val="18"/>
              </w:rPr>
              <w:t>3,376</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7B3A884" w14:textId="57B0C7B4" w:rsidR="008911CF" w:rsidRPr="001E4272" w:rsidRDefault="00F1149B" w:rsidP="006A0D14">
            <w:pPr>
              <w:spacing w:before="60" w:after="60"/>
              <w:jc w:val="right"/>
              <w:rPr>
                <w:b/>
                <w:bCs/>
                <w:noProof/>
                <w:sz w:val="20"/>
                <w:szCs w:val="20"/>
              </w:rPr>
            </w:pPr>
            <w:r w:rsidRPr="001E4272">
              <w:rPr>
                <w:b/>
                <w:bCs/>
                <w:noProof/>
                <w:color w:val="000000"/>
                <w:sz w:val="18"/>
                <w:szCs w:val="18"/>
              </w:rPr>
              <w:t>3,981</w:t>
            </w:r>
          </w:p>
        </w:tc>
        <w:tc>
          <w:tcPr>
            <w:tcW w:w="335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570B2FD" w14:textId="3734D381" w:rsidR="008911CF" w:rsidRPr="001E4272" w:rsidRDefault="009A3AD8" w:rsidP="006A0D14">
            <w:pPr>
              <w:spacing w:before="60" w:after="60"/>
              <w:jc w:val="right"/>
              <w:rPr>
                <w:b/>
                <w:bCs/>
                <w:noProof/>
                <w:sz w:val="20"/>
                <w:szCs w:val="20"/>
              </w:rPr>
            </w:pPr>
            <w:r w:rsidRPr="001E4272">
              <w:rPr>
                <w:b/>
                <w:bCs/>
                <w:noProof/>
                <w:color w:val="000000"/>
                <w:sz w:val="18"/>
                <w:szCs w:val="18"/>
              </w:rPr>
              <w:t>11,165</w:t>
            </w:r>
          </w:p>
        </w:tc>
      </w:tr>
    </w:tbl>
    <w:p w14:paraId="3F2CB125" w14:textId="77777777" w:rsidR="00906BEE" w:rsidRPr="001E4272" w:rsidRDefault="00906BEE" w:rsidP="00906BEE">
      <w:pPr>
        <w:rPr>
          <w:noProof/>
          <w:sz w:val="20"/>
        </w:rPr>
      </w:pPr>
    </w:p>
    <w:p w14:paraId="3094BBDF" w14:textId="77777777" w:rsidR="00906BEE" w:rsidRPr="001E4272" w:rsidRDefault="00906BEE" w:rsidP="00906BEE">
      <w:pPr>
        <w:rPr>
          <w:noProof/>
          <w:sz w:val="20"/>
        </w:rPr>
      </w:pPr>
      <w:r w:rsidRPr="001E4272">
        <w:rPr>
          <w:noProof/>
          <w:sz w:val="20"/>
          <w:szCs w:val="20"/>
        </w:rPr>
        <w:t>Απαιτήσεις σε προσωπικό</w:t>
      </w:r>
      <w:r w:rsidRPr="001E4272">
        <w:rPr>
          <w:rStyle w:val="FootnoteReference"/>
          <w:noProof/>
          <w:sz w:val="20"/>
          <w:szCs w:val="20"/>
        </w:rPr>
        <w:footnoteReference w:id="60"/>
      </w:r>
      <w:r w:rsidRPr="001E4272">
        <w:rPr>
          <w:noProof/>
          <w:sz w:val="20"/>
          <w:szCs w:val="20"/>
        </w:rPr>
        <w:t xml:space="preserve"> (ΙΠΑ):</w:t>
      </w:r>
    </w:p>
    <w:tbl>
      <w:tblPr>
        <w:tblW w:w="9651"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351"/>
      </w:tblGrid>
      <w:tr w:rsidR="008911CF" w:rsidRPr="001E4272" w14:paraId="0C33360F" w14:textId="77777777" w:rsidTr="006A0D14">
        <w:trPr>
          <w:trHeight w:val="585"/>
        </w:trPr>
        <w:tc>
          <w:tcPr>
            <w:tcW w:w="1980" w:type="dxa"/>
          </w:tcPr>
          <w:p w14:paraId="54F83546" w14:textId="77777777" w:rsidR="008911CF" w:rsidRPr="001E4272" w:rsidRDefault="008911CF" w:rsidP="00B2088F">
            <w:pPr>
              <w:spacing w:before="60" w:after="60"/>
              <w:rPr>
                <w:noProof/>
                <w:sz w:val="20"/>
              </w:rPr>
            </w:pPr>
          </w:p>
        </w:tc>
        <w:tc>
          <w:tcPr>
            <w:tcW w:w="1080" w:type="dxa"/>
            <w:vAlign w:val="center"/>
          </w:tcPr>
          <w:p w14:paraId="5120A169" w14:textId="77777777" w:rsidR="008911CF" w:rsidRPr="001E4272" w:rsidRDefault="008911CF" w:rsidP="00B2088F">
            <w:pPr>
              <w:spacing w:before="60" w:after="60"/>
              <w:jc w:val="center"/>
              <w:rPr>
                <w:noProof/>
                <w:sz w:val="20"/>
              </w:rPr>
            </w:pPr>
            <w:r w:rsidRPr="001E4272">
              <w:rPr>
                <w:noProof/>
                <w:sz w:val="20"/>
              </w:rPr>
              <w:t>Έτος</w:t>
            </w:r>
            <w:r w:rsidRPr="001E4272">
              <w:rPr>
                <w:noProof/>
              </w:rPr>
              <w:t xml:space="preserve"> </w:t>
            </w:r>
            <w:r w:rsidRPr="001E4272">
              <w:rPr>
                <w:noProof/>
              </w:rPr>
              <w:br/>
            </w:r>
            <w:r w:rsidRPr="001E4272">
              <w:rPr>
                <w:b/>
                <w:noProof/>
                <w:sz w:val="20"/>
              </w:rPr>
              <w:t xml:space="preserve">2024 </w:t>
            </w:r>
          </w:p>
        </w:tc>
        <w:tc>
          <w:tcPr>
            <w:tcW w:w="1080" w:type="dxa"/>
            <w:vAlign w:val="center"/>
          </w:tcPr>
          <w:p w14:paraId="6BDD10F5" w14:textId="77777777" w:rsidR="008911CF" w:rsidRPr="001E4272" w:rsidRDefault="008911CF" w:rsidP="00B2088F">
            <w:pPr>
              <w:spacing w:before="60" w:after="60"/>
              <w:jc w:val="center"/>
              <w:rPr>
                <w:noProof/>
                <w:sz w:val="20"/>
              </w:rPr>
            </w:pPr>
            <w:r w:rsidRPr="001E4272">
              <w:rPr>
                <w:noProof/>
                <w:sz w:val="20"/>
              </w:rPr>
              <w:t>Έτος</w:t>
            </w:r>
            <w:r w:rsidRPr="001E4272">
              <w:rPr>
                <w:noProof/>
              </w:rPr>
              <w:t xml:space="preserve"> </w:t>
            </w:r>
            <w:r w:rsidRPr="001E4272">
              <w:rPr>
                <w:noProof/>
              </w:rPr>
              <w:br/>
            </w:r>
            <w:r w:rsidRPr="001E4272">
              <w:rPr>
                <w:b/>
                <w:noProof/>
                <w:sz w:val="20"/>
              </w:rPr>
              <w:t>2025</w:t>
            </w:r>
          </w:p>
        </w:tc>
        <w:tc>
          <w:tcPr>
            <w:tcW w:w="1080" w:type="dxa"/>
            <w:vAlign w:val="center"/>
          </w:tcPr>
          <w:p w14:paraId="1AE082B7" w14:textId="77777777" w:rsidR="008911CF" w:rsidRPr="001E4272" w:rsidRDefault="008911CF" w:rsidP="00B2088F">
            <w:pPr>
              <w:spacing w:before="60" w:after="60"/>
              <w:jc w:val="center"/>
              <w:rPr>
                <w:noProof/>
                <w:sz w:val="20"/>
              </w:rPr>
            </w:pPr>
            <w:r w:rsidRPr="001E4272">
              <w:rPr>
                <w:noProof/>
                <w:sz w:val="20"/>
              </w:rPr>
              <w:t>Έτος</w:t>
            </w:r>
            <w:r w:rsidRPr="001E4272">
              <w:rPr>
                <w:noProof/>
              </w:rPr>
              <w:t xml:space="preserve"> </w:t>
            </w:r>
            <w:r w:rsidRPr="001E4272">
              <w:rPr>
                <w:noProof/>
              </w:rPr>
              <w:br/>
            </w:r>
            <w:r w:rsidRPr="001E4272">
              <w:rPr>
                <w:b/>
                <w:noProof/>
                <w:sz w:val="20"/>
              </w:rPr>
              <w:t>2026</w:t>
            </w:r>
          </w:p>
        </w:tc>
        <w:tc>
          <w:tcPr>
            <w:tcW w:w="1080" w:type="dxa"/>
            <w:vAlign w:val="center"/>
          </w:tcPr>
          <w:p w14:paraId="320355C3" w14:textId="77777777" w:rsidR="008911CF" w:rsidRPr="001E4272" w:rsidRDefault="008911CF" w:rsidP="00B2088F">
            <w:pPr>
              <w:spacing w:before="60" w:after="60"/>
              <w:jc w:val="center"/>
              <w:rPr>
                <w:noProof/>
                <w:sz w:val="20"/>
              </w:rPr>
            </w:pPr>
            <w:r w:rsidRPr="001E4272">
              <w:rPr>
                <w:noProof/>
                <w:sz w:val="20"/>
              </w:rPr>
              <w:t>Έτος</w:t>
            </w:r>
            <w:r w:rsidRPr="001E4272">
              <w:rPr>
                <w:noProof/>
              </w:rPr>
              <w:t xml:space="preserve"> </w:t>
            </w:r>
            <w:r w:rsidRPr="001E4272">
              <w:rPr>
                <w:noProof/>
              </w:rPr>
              <w:br/>
            </w:r>
            <w:r w:rsidRPr="001E4272">
              <w:rPr>
                <w:b/>
                <w:noProof/>
                <w:sz w:val="20"/>
              </w:rPr>
              <w:t>2027</w:t>
            </w:r>
          </w:p>
        </w:tc>
        <w:tc>
          <w:tcPr>
            <w:tcW w:w="3351" w:type="dxa"/>
            <w:vAlign w:val="center"/>
          </w:tcPr>
          <w:p w14:paraId="56C2DA08" w14:textId="77777777" w:rsidR="008911CF" w:rsidRPr="001E4272" w:rsidRDefault="008911CF" w:rsidP="00B2088F">
            <w:pPr>
              <w:spacing w:before="60" w:after="60"/>
              <w:jc w:val="center"/>
              <w:rPr>
                <w:b/>
                <w:noProof/>
                <w:sz w:val="20"/>
              </w:rPr>
            </w:pPr>
            <w:r w:rsidRPr="001E4272">
              <w:rPr>
                <w:b/>
                <w:noProof/>
                <w:sz w:val="20"/>
              </w:rPr>
              <w:t>ΣΥΝΟΛΟ</w:t>
            </w:r>
          </w:p>
        </w:tc>
      </w:tr>
    </w:tbl>
    <w:p w14:paraId="23AD8610" w14:textId="77777777" w:rsidR="00906BEE" w:rsidRPr="001E4272" w:rsidRDefault="00906BEE" w:rsidP="00906BEE">
      <w:pPr>
        <w:tabs>
          <w:tab w:val="left" w:pos="2573"/>
        </w:tabs>
        <w:rPr>
          <w:noProof/>
          <w:sz w:val="18"/>
        </w:rPr>
      </w:pPr>
    </w:p>
    <w:tbl>
      <w:tblPr>
        <w:tblW w:w="9651"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351"/>
      </w:tblGrid>
      <w:tr w:rsidR="008911CF" w:rsidRPr="001E4272" w14:paraId="095AFF78" w14:textId="77777777" w:rsidTr="006A0D14">
        <w:trPr>
          <w:trHeight w:val="585"/>
        </w:trPr>
        <w:tc>
          <w:tcPr>
            <w:tcW w:w="1980" w:type="dxa"/>
            <w:shd w:val="clear" w:color="auto" w:fill="D9D9D9" w:themeFill="background1" w:themeFillShade="D9"/>
            <w:vAlign w:val="center"/>
          </w:tcPr>
          <w:p w14:paraId="52FCD885" w14:textId="77777777" w:rsidR="008911CF" w:rsidRPr="001E4272" w:rsidRDefault="008911CF" w:rsidP="00B2088F">
            <w:pPr>
              <w:spacing w:before="60" w:after="60"/>
              <w:jc w:val="center"/>
              <w:rPr>
                <w:noProof/>
              </w:rPr>
            </w:pPr>
            <w:r w:rsidRPr="001E4272">
              <w:rPr>
                <w:noProof/>
                <w:sz w:val="18"/>
              </w:rPr>
              <w:t>Έκτακτοι υπάλληλοι (βαθμοί AD)</w:t>
            </w:r>
          </w:p>
        </w:tc>
        <w:tc>
          <w:tcPr>
            <w:tcW w:w="1080" w:type="dxa"/>
            <w:tcBorders>
              <w:top w:val="single" w:sz="4" w:space="0" w:color="auto"/>
              <w:left w:val="single" w:sz="4" w:space="0" w:color="auto"/>
              <w:bottom w:val="single" w:sz="4" w:space="0" w:color="auto"/>
              <w:right w:val="single" w:sz="4" w:space="0" w:color="auto"/>
            </w:tcBorders>
            <w:vAlign w:val="center"/>
          </w:tcPr>
          <w:p w14:paraId="490B55CF" w14:textId="77777777" w:rsidR="008911CF" w:rsidRPr="001E4272" w:rsidRDefault="008911CF" w:rsidP="006A0D14">
            <w:pPr>
              <w:spacing w:before="60" w:after="60"/>
              <w:jc w:val="center"/>
              <w:rPr>
                <w:noProof/>
                <w:sz w:val="20"/>
                <w:szCs w:val="20"/>
              </w:rPr>
            </w:pPr>
            <w:r w:rsidRPr="001E4272">
              <w:rPr>
                <w:noProof/>
                <w:color w:val="000000"/>
                <w:sz w:val="20"/>
                <w:szCs w:val="20"/>
              </w:rPr>
              <w:t>11</w:t>
            </w:r>
          </w:p>
        </w:tc>
        <w:tc>
          <w:tcPr>
            <w:tcW w:w="1080" w:type="dxa"/>
            <w:tcBorders>
              <w:top w:val="single" w:sz="4" w:space="0" w:color="auto"/>
              <w:left w:val="single" w:sz="4" w:space="0" w:color="auto"/>
              <w:bottom w:val="single" w:sz="4" w:space="0" w:color="auto"/>
              <w:right w:val="single" w:sz="4" w:space="0" w:color="auto"/>
            </w:tcBorders>
            <w:vAlign w:val="center"/>
          </w:tcPr>
          <w:p w14:paraId="52E7CAD4" w14:textId="00A2C7EB" w:rsidR="008911CF" w:rsidRPr="001E4272" w:rsidRDefault="008911CF" w:rsidP="006A0D14">
            <w:pPr>
              <w:spacing w:before="60" w:after="60"/>
              <w:jc w:val="center"/>
              <w:rPr>
                <w:noProof/>
                <w:sz w:val="20"/>
                <w:szCs w:val="20"/>
              </w:rPr>
            </w:pPr>
            <w:r w:rsidRPr="001E4272">
              <w:rPr>
                <w:noProof/>
                <w:color w:val="000000"/>
                <w:sz w:val="20"/>
                <w:szCs w:val="20"/>
              </w:rPr>
              <w:t>16</w:t>
            </w:r>
          </w:p>
        </w:tc>
        <w:tc>
          <w:tcPr>
            <w:tcW w:w="1080" w:type="dxa"/>
            <w:tcBorders>
              <w:top w:val="single" w:sz="4" w:space="0" w:color="auto"/>
              <w:left w:val="single" w:sz="4" w:space="0" w:color="auto"/>
              <w:bottom w:val="single" w:sz="4" w:space="0" w:color="auto"/>
              <w:right w:val="single" w:sz="4" w:space="0" w:color="auto"/>
            </w:tcBorders>
            <w:vAlign w:val="center"/>
          </w:tcPr>
          <w:p w14:paraId="215CFEAF" w14:textId="7FDC43DB" w:rsidR="008911CF" w:rsidRPr="001E4272" w:rsidRDefault="008911CF" w:rsidP="006A0D14">
            <w:pPr>
              <w:spacing w:before="60" w:after="60"/>
              <w:jc w:val="right"/>
              <w:rPr>
                <w:noProof/>
                <w:sz w:val="20"/>
                <w:szCs w:val="20"/>
              </w:rPr>
            </w:pPr>
            <w:r w:rsidRPr="001E4272">
              <w:rPr>
                <w:noProof/>
                <w:sz w:val="20"/>
                <w:szCs w:val="20"/>
              </w:rPr>
              <w:t>18</w:t>
            </w:r>
          </w:p>
        </w:tc>
        <w:tc>
          <w:tcPr>
            <w:tcW w:w="1080" w:type="dxa"/>
            <w:tcBorders>
              <w:top w:val="single" w:sz="4" w:space="0" w:color="auto"/>
              <w:left w:val="single" w:sz="4" w:space="0" w:color="auto"/>
              <w:bottom w:val="single" w:sz="4" w:space="0" w:color="auto"/>
              <w:right w:val="single" w:sz="4" w:space="0" w:color="auto"/>
            </w:tcBorders>
            <w:vAlign w:val="center"/>
          </w:tcPr>
          <w:p w14:paraId="07A346FC" w14:textId="40241F52" w:rsidR="008911CF" w:rsidRPr="001E4272" w:rsidRDefault="008911CF" w:rsidP="006A0D14">
            <w:pPr>
              <w:spacing w:before="60" w:after="60"/>
              <w:jc w:val="right"/>
              <w:rPr>
                <w:noProof/>
                <w:sz w:val="20"/>
                <w:szCs w:val="20"/>
              </w:rPr>
            </w:pPr>
            <w:r w:rsidRPr="001E4272">
              <w:rPr>
                <w:noProof/>
                <w:sz w:val="20"/>
                <w:szCs w:val="20"/>
              </w:rPr>
              <w:t>20</w:t>
            </w:r>
          </w:p>
        </w:tc>
        <w:tc>
          <w:tcPr>
            <w:tcW w:w="3351" w:type="dxa"/>
            <w:tcBorders>
              <w:top w:val="single" w:sz="4" w:space="0" w:color="auto"/>
              <w:left w:val="single" w:sz="4" w:space="0" w:color="auto"/>
              <w:bottom w:val="single" w:sz="4" w:space="0" w:color="auto"/>
              <w:right w:val="single" w:sz="4" w:space="0" w:color="auto"/>
            </w:tcBorders>
            <w:vAlign w:val="center"/>
          </w:tcPr>
          <w:p w14:paraId="1941B8CB" w14:textId="77777777" w:rsidR="008911CF" w:rsidRPr="001E4272" w:rsidRDefault="008911CF" w:rsidP="00B2088F">
            <w:pPr>
              <w:spacing w:before="60" w:after="60"/>
              <w:jc w:val="right"/>
              <w:rPr>
                <w:b/>
                <w:noProof/>
                <w:sz w:val="20"/>
              </w:rPr>
            </w:pPr>
            <w:r w:rsidRPr="001E4272">
              <w:rPr>
                <w:noProof/>
                <w:sz w:val="20"/>
                <w:szCs w:val="20"/>
              </w:rPr>
              <w:t>20</w:t>
            </w:r>
          </w:p>
        </w:tc>
      </w:tr>
      <w:tr w:rsidR="008911CF" w:rsidRPr="001E4272" w14:paraId="1529AFBC" w14:textId="77777777" w:rsidTr="006A0D14">
        <w:trPr>
          <w:trHeight w:val="585"/>
        </w:trPr>
        <w:tc>
          <w:tcPr>
            <w:tcW w:w="1980" w:type="dxa"/>
            <w:shd w:val="clear" w:color="auto" w:fill="BFBFBF" w:themeFill="background1" w:themeFillShade="BF"/>
            <w:vAlign w:val="center"/>
          </w:tcPr>
          <w:p w14:paraId="03074928" w14:textId="77777777" w:rsidR="008911CF" w:rsidRPr="001E4272" w:rsidRDefault="008911CF" w:rsidP="00B2088F">
            <w:pPr>
              <w:spacing w:before="60" w:after="60"/>
              <w:ind w:left="72"/>
              <w:rPr>
                <w:noProof/>
              </w:rPr>
            </w:pPr>
            <w:r w:rsidRPr="001E4272">
              <w:rPr>
                <w:noProof/>
                <w:sz w:val="20"/>
              </w:rPr>
              <w:t>Έκτακτοι υπάλληλοι (βαθμοί AST)</w:t>
            </w:r>
          </w:p>
        </w:tc>
        <w:tc>
          <w:tcPr>
            <w:tcW w:w="1080" w:type="dxa"/>
            <w:tcBorders>
              <w:top w:val="single" w:sz="4" w:space="0" w:color="auto"/>
              <w:left w:val="single" w:sz="4" w:space="0" w:color="auto"/>
              <w:bottom w:val="single" w:sz="4" w:space="0" w:color="auto"/>
              <w:right w:val="single" w:sz="4" w:space="0" w:color="auto"/>
            </w:tcBorders>
            <w:vAlign w:val="center"/>
          </w:tcPr>
          <w:p w14:paraId="498E3D9A" w14:textId="77777777" w:rsidR="008911CF" w:rsidRPr="001E4272" w:rsidRDefault="008911CF" w:rsidP="00B2088F">
            <w:pPr>
              <w:spacing w:before="60" w:after="60"/>
              <w:jc w:val="right"/>
              <w:rPr>
                <w:noProof/>
                <w:sz w:val="20"/>
              </w:rPr>
            </w:pPr>
            <w:r w:rsidRPr="001E4272">
              <w:rPr>
                <w:noProof/>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tcPr>
          <w:p w14:paraId="70DE0E04" w14:textId="28FD39E6" w:rsidR="008911CF" w:rsidRPr="001E4272" w:rsidRDefault="008911CF" w:rsidP="006A0D14">
            <w:pPr>
              <w:spacing w:before="60" w:after="60"/>
              <w:jc w:val="right"/>
              <w:rPr>
                <w:noProof/>
                <w:sz w:val="20"/>
                <w:szCs w:val="20"/>
              </w:rPr>
            </w:pPr>
            <w:r w:rsidRPr="001E4272">
              <w:rPr>
                <w:noProof/>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tcPr>
          <w:p w14:paraId="11CCB4D4" w14:textId="44D26E6C" w:rsidR="008911CF" w:rsidRPr="001E4272" w:rsidRDefault="008911CF" w:rsidP="006A0D14">
            <w:pPr>
              <w:spacing w:before="60" w:after="60"/>
              <w:jc w:val="right"/>
              <w:rPr>
                <w:noProof/>
                <w:sz w:val="20"/>
                <w:szCs w:val="20"/>
              </w:rPr>
            </w:pPr>
            <w:r w:rsidRPr="001E4272">
              <w:rPr>
                <w:noProof/>
                <w:sz w:val="20"/>
                <w:szCs w:val="20"/>
              </w:rPr>
              <w:t>3</w:t>
            </w:r>
          </w:p>
        </w:tc>
        <w:tc>
          <w:tcPr>
            <w:tcW w:w="1080" w:type="dxa"/>
            <w:tcBorders>
              <w:top w:val="single" w:sz="4" w:space="0" w:color="auto"/>
              <w:left w:val="single" w:sz="4" w:space="0" w:color="auto"/>
              <w:bottom w:val="single" w:sz="4" w:space="0" w:color="auto"/>
              <w:right w:val="single" w:sz="4" w:space="0" w:color="auto"/>
            </w:tcBorders>
            <w:vAlign w:val="center"/>
          </w:tcPr>
          <w:p w14:paraId="7541E8C7" w14:textId="57E2F2B6" w:rsidR="008911CF" w:rsidRPr="001E4272" w:rsidRDefault="008911CF" w:rsidP="006A0D14">
            <w:pPr>
              <w:spacing w:before="60" w:after="60"/>
              <w:jc w:val="center"/>
              <w:rPr>
                <w:noProof/>
                <w:sz w:val="20"/>
                <w:szCs w:val="20"/>
              </w:rPr>
            </w:pPr>
            <w:r w:rsidRPr="001E4272">
              <w:rPr>
                <w:noProof/>
                <w:sz w:val="20"/>
                <w:szCs w:val="20"/>
              </w:rPr>
              <w:t>5</w:t>
            </w:r>
          </w:p>
        </w:tc>
        <w:tc>
          <w:tcPr>
            <w:tcW w:w="3351" w:type="dxa"/>
            <w:tcBorders>
              <w:top w:val="single" w:sz="4" w:space="0" w:color="auto"/>
              <w:left w:val="single" w:sz="4" w:space="0" w:color="auto"/>
              <w:bottom w:val="single" w:sz="4" w:space="0" w:color="auto"/>
              <w:right w:val="single" w:sz="4" w:space="0" w:color="auto"/>
            </w:tcBorders>
            <w:vAlign w:val="center"/>
          </w:tcPr>
          <w:p w14:paraId="557C1B21" w14:textId="77777777" w:rsidR="008911CF" w:rsidRPr="001E4272" w:rsidRDefault="008911CF" w:rsidP="00B2088F">
            <w:pPr>
              <w:spacing w:before="60" w:after="60"/>
              <w:jc w:val="right"/>
              <w:rPr>
                <w:b/>
                <w:noProof/>
                <w:sz w:val="20"/>
              </w:rPr>
            </w:pPr>
            <w:r w:rsidRPr="001E4272">
              <w:rPr>
                <w:noProof/>
                <w:sz w:val="20"/>
                <w:szCs w:val="20"/>
              </w:rPr>
              <w:t>5</w:t>
            </w:r>
          </w:p>
        </w:tc>
      </w:tr>
      <w:tr w:rsidR="008911CF" w:rsidRPr="001E4272" w14:paraId="7757E98B" w14:textId="77777777" w:rsidTr="006A0D14">
        <w:trPr>
          <w:trHeight w:val="585"/>
        </w:trPr>
        <w:tc>
          <w:tcPr>
            <w:tcW w:w="1980" w:type="dxa"/>
            <w:shd w:val="clear" w:color="auto" w:fill="BFBFBF" w:themeFill="background1" w:themeFillShade="BF"/>
            <w:vAlign w:val="center"/>
          </w:tcPr>
          <w:p w14:paraId="7B47849A" w14:textId="77777777" w:rsidR="008911CF" w:rsidRPr="001E4272" w:rsidRDefault="008911CF" w:rsidP="00B2088F">
            <w:pPr>
              <w:spacing w:before="60" w:after="60"/>
              <w:ind w:left="72"/>
              <w:rPr>
                <w:noProof/>
              </w:rPr>
            </w:pPr>
            <w:r w:rsidRPr="001E4272">
              <w:rPr>
                <w:noProof/>
                <w:sz w:val="20"/>
              </w:rPr>
              <w:t>Συμβασιούχοι υπάλληλοι</w:t>
            </w:r>
          </w:p>
        </w:tc>
        <w:tc>
          <w:tcPr>
            <w:tcW w:w="1080" w:type="dxa"/>
            <w:shd w:val="clear" w:color="auto" w:fill="BFBFBF" w:themeFill="background1" w:themeFillShade="BF"/>
            <w:vAlign w:val="center"/>
          </w:tcPr>
          <w:p w14:paraId="01B708D3" w14:textId="77777777" w:rsidR="008911CF" w:rsidRPr="001E4272" w:rsidRDefault="008911CF" w:rsidP="00B2088F">
            <w:pPr>
              <w:spacing w:before="60" w:after="60"/>
              <w:jc w:val="center"/>
              <w:rPr>
                <w:noProof/>
                <w:sz w:val="20"/>
              </w:rPr>
            </w:pPr>
          </w:p>
        </w:tc>
        <w:tc>
          <w:tcPr>
            <w:tcW w:w="1080" w:type="dxa"/>
            <w:shd w:val="clear" w:color="auto" w:fill="BFBFBF" w:themeFill="background1" w:themeFillShade="BF"/>
            <w:vAlign w:val="center"/>
          </w:tcPr>
          <w:p w14:paraId="65DA4A50" w14:textId="77777777" w:rsidR="008911CF" w:rsidRPr="001E4272" w:rsidRDefault="008911CF" w:rsidP="00B2088F">
            <w:pPr>
              <w:spacing w:before="60" w:after="60"/>
              <w:jc w:val="right"/>
              <w:rPr>
                <w:noProof/>
                <w:sz w:val="20"/>
              </w:rPr>
            </w:pPr>
          </w:p>
        </w:tc>
        <w:tc>
          <w:tcPr>
            <w:tcW w:w="1080" w:type="dxa"/>
            <w:shd w:val="clear" w:color="auto" w:fill="BFBFBF" w:themeFill="background1" w:themeFillShade="BF"/>
            <w:vAlign w:val="center"/>
          </w:tcPr>
          <w:p w14:paraId="0261B9BB" w14:textId="77777777" w:rsidR="008911CF" w:rsidRPr="001E4272" w:rsidRDefault="008911CF" w:rsidP="00B2088F">
            <w:pPr>
              <w:spacing w:before="60" w:after="60"/>
              <w:jc w:val="right"/>
              <w:rPr>
                <w:noProof/>
                <w:sz w:val="20"/>
              </w:rPr>
            </w:pPr>
          </w:p>
        </w:tc>
        <w:tc>
          <w:tcPr>
            <w:tcW w:w="1080" w:type="dxa"/>
            <w:shd w:val="clear" w:color="auto" w:fill="BFBFBF" w:themeFill="background1" w:themeFillShade="BF"/>
            <w:vAlign w:val="center"/>
          </w:tcPr>
          <w:p w14:paraId="7A1EFD2B" w14:textId="77777777" w:rsidR="008911CF" w:rsidRPr="001E4272" w:rsidRDefault="008911CF" w:rsidP="00B2088F">
            <w:pPr>
              <w:spacing w:before="60" w:after="60"/>
              <w:jc w:val="right"/>
              <w:rPr>
                <w:noProof/>
                <w:sz w:val="20"/>
              </w:rPr>
            </w:pPr>
          </w:p>
        </w:tc>
        <w:tc>
          <w:tcPr>
            <w:tcW w:w="3351" w:type="dxa"/>
            <w:shd w:val="clear" w:color="auto" w:fill="BFBFBF" w:themeFill="background1" w:themeFillShade="BF"/>
            <w:vAlign w:val="center"/>
          </w:tcPr>
          <w:p w14:paraId="5CC11BE4" w14:textId="77777777" w:rsidR="008911CF" w:rsidRPr="001E4272" w:rsidRDefault="008911CF" w:rsidP="00B2088F">
            <w:pPr>
              <w:spacing w:before="60" w:after="60"/>
              <w:jc w:val="right"/>
              <w:rPr>
                <w:b/>
                <w:noProof/>
                <w:sz w:val="20"/>
              </w:rPr>
            </w:pPr>
          </w:p>
        </w:tc>
      </w:tr>
      <w:tr w:rsidR="008911CF" w:rsidRPr="001E4272" w14:paraId="1D244B06" w14:textId="77777777" w:rsidTr="006A0D14">
        <w:trPr>
          <w:trHeight w:val="585"/>
        </w:trPr>
        <w:tc>
          <w:tcPr>
            <w:tcW w:w="1980" w:type="dxa"/>
            <w:shd w:val="clear" w:color="auto" w:fill="CCCCCC"/>
            <w:vAlign w:val="center"/>
          </w:tcPr>
          <w:p w14:paraId="02A77309" w14:textId="77777777" w:rsidR="008911CF" w:rsidRPr="001E4272" w:rsidRDefault="008911CF" w:rsidP="00B2088F">
            <w:pPr>
              <w:spacing w:before="60" w:after="60"/>
              <w:jc w:val="center"/>
              <w:rPr>
                <w:noProof/>
              </w:rPr>
            </w:pPr>
            <w:r w:rsidRPr="001E4272">
              <w:rPr>
                <w:noProof/>
                <w:sz w:val="18"/>
              </w:rPr>
              <w:t>Αποσπασμένοι εθνικοί εμπειρογνώμονες</w:t>
            </w:r>
          </w:p>
        </w:tc>
        <w:tc>
          <w:tcPr>
            <w:tcW w:w="1080" w:type="dxa"/>
            <w:vAlign w:val="center"/>
          </w:tcPr>
          <w:p w14:paraId="6CF4C55B" w14:textId="77777777" w:rsidR="008911CF" w:rsidRPr="001E4272" w:rsidRDefault="008911CF" w:rsidP="00B2088F">
            <w:pPr>
              <w:spacing w:before="60" w:after="60"/>
              <w:jc w:val="right"/>
              <w:rPr>
                <w:noProof/>
                <w:sz w:val="20"/>
              </w:rPr>
            </w:pPr>
          </w:p>
        </w:tc>
        <w:tc>
          <w:tcPr>
            <w:tcW w:w="1080" w:type="dxa"/>
            <w:vAlign w:val="center"/>
          </w:tcPr>
          <w:p w14:paraId="054430E5" w14:textId="77777777" w:rsidR="008911CF" w:rsidRPr="001E4272" w:rsidRDefault="008911CF" w:rsidP="00B2088F">
            <w:pPr>
              <w:spacing w:before="60" w:after="60"/>
              <w:jc w:val="right"/>
              <w:rPr>
                <w:noProof/>
                <w:sz w:val="20"/>
              </w:rPr>
            </w:pPr>
          </w:p>
        </w:tc>
        <w:tc>
          <w:tcPr>
            <w:tcW w:w="1080" w:type="dxa"/>
            <w:vAlign w:val="center"/>
          </w:tcPr>
          <w:p w14:paraId="24147CE9" w14:textId="77777777" w:rsidR="008911CF" w:rsidRPr="001E4272" w:rsidRDefault="008911CF" w:rsidP="00B2088F">
            <w:pPr>
              <w:spacing w:before="60" w:after="60"/>
              <w:jc w:val="right"/>
              <w:rPr>
                <w:noProof/>
                <w:sz w:val="20"/>
              </w:rPr>
            </w:pPr>
          </w:p>
        </w:tc>
        <w:tc>
          <w:tcPr>
            <w:tcW w:w="1080" w:type="dxa"/>
            <w:vAlign w:val="center"/>
          </w:tcPr>
          <w:p w14:paraId="4108C791" w14:textId="77777777" w:rsidR="008911CF" w:rsidRPr="001E4272" w:rsidRDefault="008911CF" w:rsidP="00B2088F">
            <w:pPr>
              <w:spacing w:before="60" w:after="60"/>
              <w:jc w:val="right"/>
              <w:rPr>
                <w:noProof/>
                <w:sz w:val="20"/>
              </w:rPr>
            </w:pPr>
          </w:p>
        </w:tc>
        <w:tc>
          <w:tcPr>
            <w:tcW w:w="3351" w:type="dxa"/>
            <w:vAlign w:val="center"/>
          </w:tcPr>
          <w:p w14:paraId="1BF4E5E5" w14:textId="77777777" w:rsidR="008911CF" w:rsidRPr="001E4272" w:rsidRDefault="008911CF" w:rsidP="00B2088F">
            <w:pPr>
              <w:spacing w:before="60" w:after="60"/>
              <w:jc w:val="right"/>
              <w:rPr>
                <w:b/>
                <w:noProof/>
                <w:sz w:val="20"/>
              </w:rPr>
            </w:pPr>
          </w:p>
        </w:tc>
      </w:tr>
    </w:tbl>
    <w:p w14:paraId="145EEDF0" w14:textId="77777777" w:rsidR="00906BEE" w:rsidRPr="001E4272" w:rsidRDefault="00906BEE" w:rsidP="00906BEE">
      <w:pPr>
        <w:tabs>
          <w:tab w:val="left" w:pos="2573"/>
        </w:tabs>
        <w:rPr>
          <w:noProof/>
          <w:sz w:val="18"/>
        </w:rPr>
      </w:pPr>
    </w:p>
    <w:tbl>
      <w:tblPr>
        <w:tblW w:w="9651" w:type="dxa"/>
        <w:tblInd w:w="-612" w:type="dxa"/>
        <w:tblLayout w:type="fixed"/>
        <w:tblLook w:val="01E0" w:firstRow="1" w:lastRow="1" w:firstColumn="1" w:lastColumn="1" w:noHBand="0" w:noVBand="0"/>
      </w:tblPr>
      <w:tblGrid>
        <w:gridCol w:w="1980"/>
        <w:gridCol w:w="1080"/>
        <w:gridCol w:w="1080"/>
        <w:gridCol w:w="1080"/>
        <w:gridCol w:w="1080"/>
        <w:gridCol w:w="3351"/>
      </w:tblGrid>
      <w:tr w:rsidR="008911CF" w:rsidRPr="001E4272" w14:paraId="780DDD4B" w14:textId="77777777" w:rsidTr="006A0D14">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18DAD1FA" w14:textId="77777777" w:rsidR="008911CF" w:rsidRPr="001E4272" w:rsidRDefault="008911CF" w:rsidP="00B2088F">
            <w:pPr>
              <w:spacing w:before="60" w:after="60"/>
              <w:jc w:val="center"/>
              <w:rPr>
                <w:noProof/>
                <w:sz w:val="20"/>
              </w:rPr>
            </w:pPr>
            <w:r w:rsidRPr="001E4272">
              <w:rPr>
                <w:b/>
                <w:noProof/>
                <w:sz w:val="20"/>
              </w:rPr>
              <w:t>ΣΥΝΟΛΟ</w:t>
            </w:r>
          </w:p>
        </w:tc>
        <w:tc>
          <w:tcPr>
            <w:tcW w:w="1080" w:type="dxa"/>
            <w:tcBorders>
              <w:top w:val="single" w:sz="12" w:space="0" w:color="auto"/>
              <w:left w:val="single" w:sz="2" w:space="0" w:color="auto"/>
              <w:bottom w:val="single" w:sz="12" w:space="0" w:color="auto"/>
              <w:right w:val="single" w:sz="2" w:space="0" w:color="auto"/>
            </w:tcBorders>
            <w:vAlign w:val="center"/>
          </w:tcPr>
          <w:p w14:paraId="1DB629BB" w14:textId="77777777" w:rsidR="008911CF" w:rsidRPr="001E4272" w:rsidRDefault="008911CF" w:rsidP="00B2088F">
            <w:pPr>
              <w:spacing w:before="60" w:after="60"/>
              <w:jc w:val="right"/>
              <w:rPr>
                <w:b/>
                <w:noProof/>
                <w:sz w:val="20"/>
              </w:rPr>
            </w:pPr>
            <w:r w:rsidRPr="001E4272">
              <w:rPr>
                <w:b/>
                <w:noProof/>
                <w:sz w:val="20"/>
                <w:szCs w:val="20"/>
              </w:rPr>
              <w:t>13</w:t>
            </w:r>
          </w:p>
        </w:tc>
        <w:tc>
          <w:tcPr>
            <w:tcW w:w="1080" w:type="dxa"/>
            <w:tcBorders>
              <w:top w:val="single" w:sz="12" w:space="0" w:color="auto"/>
              <w:left w:val="single" w:sz="2" w:space="0" w:color="auto"/>
              <w:bottom w:val="single" w:sz="12" w:space="0" w:color="auto"/>
              <w:right w:val="single" w:sz="2" w:space="0" w:color="auto"/>
            </w:tcBorders>
            <w:vAlign w:val="center"/>
          </w:tcPr>
          <w:p w14:paraId="706BB077" w14:textId="388602EA" w:rsidR="008911CF" w:rsidRPr="001E4272" w:rsidRDefault="008911CF" w:rsidP="006A0D14">
            <w:pPr>
              <w:spacing w:before="60" w:after="60"/>
              <w:jc w:val="right"/>
              <w:rPr>
                <w:b/>
                <w:bCs/>
                <w:noProof/>
                <w:sz w:val="20"/>
                <w:szCs w:val="20"/>
              </w:rPr>
            </w:pPr>
            <w:r w:rsidRPr="001E4272">
              <w:rPr>
                <w:b/>
                <w:bCs/>
                <w:noProof/>
                <w:sz w:val="20"/>
                <w:szCs w:val="20"/>
              </w:rPr>
              <w:t>18</w:t>
            </w:r>
          </w:p>
        </w:tc>
        <w:tc>
          <w:tcPr>
            <w:tcW w:w="1080" w:type="dxa"/>
            <w:tcBorders>
              <w:top w:val="single" w:sz="12" w:space="0" w:color="auto"/>
              <w:left w:val="single" w:sz="2" w:space="0" w:color="auto"/>
              <w:bottom w:val="single" w:sz="12" w:space="0" w:color="auto"/>
              <w:right w:val="single" w:sz="2" w:space="0" w:color="auto"/>
            </w:tcBorders>
            <w:vAlign w:val="center"/>
          </w:tcPr>
          <w:p w14:paraId="6E5DB4A5" w14:textId="082A99D6" w:rsidR="008911CF" w:rsidRPr="001E4272" w:rsidRDefault="008911CF" w:rsidP="006A0D14">
            <w:pPr>
              <w:spacing w:before="60" w:after="60"/>
              <w:jc w:val="right"/>
              <w:rPr>
                <w:b/>
                <w:bCs/>
                <w:noProof/>
                <w:sz w:val="20"/>
                <w:szCs w:val="20"/>
              </w:rPr>
            </w:pPr>
            <w:r w:rsidRPr="001E4272">
              <w:rPr>
                <w:b/>
                <w:bCs/>
                <w:noProof/>
                <w:sz w:val="20"/>
                <w:szCs w:val="20"/>
              </w:rPr>
              <w:t>21</w:t>
            </w:r>
          </w:p>
        </w:tc>
        <w:tc>
          <w:tcPr>
            <w:tcW w:w="1080" w:type="dxa"/>
            <w:tcBorders>
              <w:top w:val="single" w:sz="12" w:space="0" w:color="auto"/>
              <w:left w:val="single" w:sz="2" w:space="0" w:color="auto"/>
              <w:bottom w:val="single" w:sz="12" w:space="0" w:color="auto"/>
              <w:right w:val="single" w:sz="2" w:space="0" w:color="auto"/>
            </w:tcBorders>
            <w:vAlign w:val="center"/>
          </w:tcPr>
          <w:p w14:paraId="1BE8220B" w14:textId="655C5D83" w:rsidR="008911CF" w:rsidRPr="001E4272" w:rsidRDefault="008911CF" w:rsidP="006A0D14">
            <w:pPr>
              <w:spacing w:before="60" w:after="60"/>
              <w:jc w:val="right"/>
              <w:rPr>
                <w:b/>
                <w:bCs/>
                <w:noProof/>
                <w:sz w:val="20"/>
                <w:szCs w:val="20"/>
              </w:rPr>
            </w:pPr>
            <w:r w:rsidRPr="001E4272">
              <w:rPr>
                <w:b/>
                <w:bCs/>
                <w:noProof/>
                <w:sz w:val="20"/>
                <w:szCs w:val="20"/>
              </w:rPr>
              <w:t>25</w:t>
            </w:r>
          </w:p>
        </w:tc>
        <w:tc>
          <w:tcPr>
            <w:tcW w:w="3351" w:type="dxa"/>
            <w:tcBorders>
              <w:top w:val="single" w:sz="12" w:space="0" w:color="auto"/>
              <w:left w:val="single" w:sz="2" w:space="0" w:color="auto"/>
              <w:bottom w:val="single" w:sz="12" w:space="0" w:color="auto"/>
              <w:right w:val="single" w:sz="12" w:space="0" w:color="auto"/>
            </w:tcBorders>
            <w:vAlign w:val="center"/>
          </w:tcPr>
          <w:p w14:paraId="67886EC1" w14:textId="77777777" w:rsidR="008911CF" w:rsidRPr="001E4272" w:rsidRDefault="008911CF" w:rsidP="00B2088F">
            <w:pPr>
              <w:spacing w:before="60" w:after="60"/>
              <w:jc w:val="right"/>
              <w:rPr>
                <w:b/>
                <w:noProof/>
                <w:sz w:val="20"/>
              </w:rPr>
            </w:pPr>
            <w:r w:rsidRPr="001E4272">
              <w:rPr>
                <w:b/>
                <w:noProof/>
                <w:sz w:val="20"/>
                <w:szCs w:val="20"/>
              </w:rPr>
              <w:t>25</w:t>
            </w:r>
          </w:p>
        </w:tc>
      </w:tr>
    </w:tbl>
    <w:p w14:paraId="46EF77C3" w14:textId="77777777" w:rsidR="00D42205" w:rsidRPr="001E4272" w:rsidRDefault="00D42205" w:rsidP="002F68FE">
      <w:pPr>
        <w:rPr>
          <w:noProof/>
          <w:szCs w:val="24"/>
          <w:u w:val="single"/>
        </w:rPr>
      </w:pPr>
      <w:r w:rsidRPr="001E4272">
        <w:rPr>
          <w:noProof/>
        </w:rPr>
        <w:t xml:space="preserve">Οι ημερομηνίες πρόσληψης έχουν προγραμματιστεί για τα μέσα του έτους. Για κάθε νέο έτος, υπολογίστηκε το 50 % των δαπανών για το νεοπροσληφθέν προσωπικό. Δεν έχουν γίνει παραδοχές για πιθανή αύξηση της τιμαριθμικής αναπροσαρμογής των μισθών ή του διορθωτικού συντελεστή που εφαρμόζεται στις Κάτω Χώρες. </w:t>
      </w:r>
    </w:p>
    <w:p w14:paraId="6BD254DF" w14:textId="77777777" w:rsidR="002F68FE" w:rsidRPr="001E4272" w:rsidRDefault="002F68FE" w:rsidP="002F68FE">
      <w:pPr>
        <w:rPr>
          <w:noProof/>
          <w:szCs w:val="24"/>
          <w:u w:val="single"/>
        </w:rPr>
      </w:pPr>
    </w:p>
    <w:p w14:paraId="7F0ED177" w14:textId="77777777" w:rsidR="00D42205" w:rsidRPr="001E4272" w:rsidRDefault="00D42205" w:rsidP="00D42205">
      <w:pPr>
        <w:rPr>
          <w:noProof/>
          <w:u w:val="single"/>
        </w:rPr>
      </w:pPr>
      <w:r w:rsidRPr="001E4272">
        <w:rPr>
          <w:noProof/>
          <w:u w:val="single"/>
        </w:rPr>
        <w:t xml:space="preserve">Λεπτομέρειες σχετικά με την αύξηση του προσωπικού: </w:t>
      </w:r>
    </w:p>
    <w:tbl>
      <w:tblPr>
        <w:tblStyle w:val="TableGrid"/>
        <w:tblW w:w="9209" w:type="dxa"/>
        <w:tblLook w:val="04A0" w:firstRow="1" w:lastRow="0" w:firstColumn="1" w:lastColumn="0" w:noHBand="0" w:noVBand="1"/>
      </w:tblPr>
      <w:tblGrid>
        <w:gridCol w:w="1881"/>
        <w:gridCol w:w="7328"/>
      </w:tblGrid>
      <w:tr w:rsidR="00D42205" w:rsidRPr="001E4272" w14:paraId="79E732E6" w14:textId="77777777" w:rsidTr="160710AA">
        <w:tc>
          <w:tcPr>
            <w:tcW w:w="1556" w:type="dxa"/>
            <w:shd w:val="clear" w:color="auto" w:fill="BFBFBF" w:themeFill="background1" w:themeFillShade="BF"/>
          </w:tcPr>
          <w:p w14:paraId="7686B624" w14:textId="77777777" w:rsidR="00D42205" w:rsidRPr="001E4272" w:rsidRDefault="00D42205" w:rsidP="00B2088F">
            <w:pPr>
              <w:spacing w:before="0" w:after="0"/>
              <w:jc w:val="left"/>
              <w:rPr>
                <w:noProof/>
                <w:szCs w:val="24"/>
              </w:rPr>
            </w:pPr>
            <w:r w:rsidRPr="001E4272">
              <w:rPr>
                <w:noProof/>
              </w:rPr>
              <w:t>Ειδικός στόχος</w:t>
            </w:r>
          </w:p>
        </w:tc>
        <w:tc>
          <w:tcPr>
            <w:tcW w:w="7653" w:type="dxa"/>
            <w:shd w:val="clear" w:color="auto" w:fill="BFBFBF" w:themeFill="background1" w:themeFillShade="BF"/>
          </w:tcPr>
          <w:p w14:paraId="29068348" w14:textId="77777777" w:rsidR="00D42205" w:rsidRPr="001E4272" w:rsidRDefault="00D42205" w:rsidP="160710AA">
            <w:pPr>
              <w:spacing w:before="0" w:after="0"/>
              <w:jc w:val="left"/>
              <w:rPr>
                <w:noProof/>
                <w:szCs w:val="24"/>
              </w:rPr>
            </w:pPr>
            <w:r w:rsidRPr="001E4272">
              <w:rPr>
                <w:noProof/>
              </w:rPr>
              <w:t>Πρόσθετο προσωπικό</w:t>
            </w:r>
          </w:p>
        </w:tc>
      </w:tr>
      <w:tr w:rsidR="00D42205" w:rsidRPr="001E4272" w14:paraId="6E529934" w14:textId="77777777" w:rsidTr="006A0D14">
        <w:tc>
          <w:tcPr>
            <w:tcW w:w="1556" w:type="dxa"/>
            <w:vMerge w:val="restart"/>
          </w:tcPr>
          <w:p w14:paraId="3598A847" w14:textId="77777777" w:rsidR="00D42205" w:rsidRPr="001E4272" w:rsidRDefault="00D42205" w:rsidP="00B2088F">
            <w:pPr>
              <w:spacing w:before="0" w:after="0"/>
              <w:jc w:val="left"/>
              <w:rPr>
                <w:noProof/>
                <w:szCs w:val="24"/>
              </w:rPr>
            </w:pPr>
            <w:r w:rsidRPr="001E4272">
              <w:rPr>
                <w:noProof/>
              </w:rPr>
              <w:t>Ειδικός στόχος αριθ. 1:  Να δοθεί στην Eurojust η δυνατότητα να εντοπίζει δεσμούς πιο αποδοτικά και να παρέχει προδραστική ανατροφοδότηση στα κράτη μέλη.</w:t>
            </w:r>
          </w:p>
        </w:tc>
        <w:tc>
          <w:tcPr>
            <w:tcW w:w="7653" w:type="dxa"/>
            <w:tcBorders>
              <w:top w:val="single" w:sz="4" w:space="0" w:color="auto"/>
              <w:left w:val="single" w:sz="4" w:space="0" w:color="auto"/>
              <w:bottom w:val="single" w:sz="4" w:space="0" w:color="auto"/>
              <w:right w:val="single" w:sz="4" w:space="0" w:color="auto"/>
            </w:tcBorders>
          </w:tcPr>
          <w:p w14:paraId="3C7C760C" w14:textId="77777777" w:rsidR="00D42205" w:rsidRPr="001E4272" w:rsidRDefault="00D42205" w:rsidP="160710AA">
            <w:pPr>
              <w:spacing w:before="0" w:after="0"/>
              <w:rPr>
                <w:noProof/>
                <w:szCs w:val="24"/>
              </w:rPr>
            </w:pPr>
            <w:r w:rsidRPr="001E4272">
              <w:rPr>
                <w:noProof/>
              </w:rPr>
              <w:t>Απαιτούνται 2* αναλυτές δεδομένων υποθέσεων για να διασφαλιστεί η συμμόρφωση του συστήματος διαχείρισης υποθέσεων με τον κανονισμό για την Eurojust και τις σχετικές συμφωνίες (με κράτη μέλη, τρίτες χώρες, οργανισμούς) και με το υφιστάμενο νομικό πλαίσιο της ΕΕ για την ανταλλαγή πληροφοριών, την ψηφιοποίηση και τη διαλειτουργικότητα</w:t>
            </w:r>
          </w:p>
          <w:p w14:paraId="0DC9846D" w14:textId="77777777" w:rsidR="00D42205" w:rsidRPr="001E4272" w:rsidRDefault="00D42205" w:rsidP="00B2088F">
            <w:pPr>
              <w:spacing w:before="0" w:after="0"/>
              <w:rPr>
                <w:noProof/>
                <w:szCs w:val="24"/>
              </w:rPr>
            </w:pPr>
          </w:p>
          <w:p w14:paraId="06EA09D1" w14:textId="77777777" w:rsidR="00D42205" w:rsidRPr="001E4272" w:rsidRDefault="00D42205" w:rsidP="006A0D14">
            <w:pPr>
              <w:spacing w:before="0" w:after="0"/>
              <w:rPr>
                <w:i/>
                <w:iCs/>
                <w:noProof/>
              </w:rPr>
            </w:pPr>
            <w:r w:rsidRPr="001E4272">
              <w:rPr>
                <w:i/>
                <w:iCs/>
                <w:noProof/>
              </w:rPr>
              <w:t xml:space="preserve">Εκτιμώμενα απαιτούμενα ΙΠΑ — Πρόσθετα ΙΠΑ που θα προσλαμβάνονται ετησίως (μη σωρευτικά): </w:t>
            </w:r>
          </w:p>
          <w:p w14:paraId="5B873D96" w14:textId="77777777" w:rsidR="00D42205" w:rsidRPr="001E4272" w:rsidRDefault="00D42205" w:rsidP="160710AA">
            <w:pPr>
              <w:spacing w:before="0" w:after="0"/>
              <w:rPr>
                <w:noProof/>
                <w:szCs w:val="24"/>
              </w:rPr>
            </w:pPr>
            <w:r w:rsidRPr="001E4272">
              <w:rPr>
                <w:i/>
                <w:iCs/>
                <w:noProof/>
              </w:rPr>
              <w:t>2024: +1· 2025: +1</w:t>
            </w:r>
          </w:p>
        </w:tc>
      </w:tr>
      <w:tr w:rsidR="00D42205" w:rsidRPr="001E4272" w14:paraId="4D1654F5" w14:textId="77777777" w:rsidTr="006A0D14">
        <w:tc>
          <w:tcPr>
            <w:tcW w:w="1556" w:type="dxa"/>
            <w:vMerge/>
          </w:tcPr>
          <w:p w14:paraId="71CC4770" w14:textId="77777777" w:rsidR="00D42205" w:rsidRPr="001E4272" w:rsidRDefault="00D42205" w:rsidP="00B2088F">
            <w:pPr>
              <w:spacing w:before="0" w:after="0"/>
              <w:jc w:val="left"/>
              <w:rPr>
                <w:noProof/>
                <w:szCs w:val="24"/>
              </w:rPr>
            </w:pPr>
          </w:p>
        </w:tc>
        <w:tc>
          <w:tcPr>
            <w:tcW w:w="7653" w:type="dxa"/>
            <w:tcBorders>
              <w:top w:val="single" w:sz="4" w:space="0" w:color="auto"/>
              <w:left w:val="single" w:sz="4" w:space="0" w:color="auto"/>
              <w:bottom w:val="single" w:sz="4" w:space="0" w:color="auto"/>
              <w:right w:val="single" w:sz="4" w:space="0" w:color="auto"/>
            </w:tcBorders>
          </w:tcPr>
          <w:p w14:paraId="44DD9517" w14:textId="77777777" w:rsidR="00D42205" w:rsidRPr="001E4272" w:rsidRDefault="00D42205" w:rsidP="160710AA">
            <w:pPr>
              <w:spacing w:before="0" w:after="0"/>
              <w:rPr>
                <w:noProof/>
                <w:szCs w:val="24"/>
              </w:rPr>
            </w:pPr>
            <w:r w:rsidRPr="001E4272">
              <w:rPr>
                <w:noProof/>
              </w:rPr>
              <w:t>Απαιτούνται 2* υπεύθυνοι διαχείρισης δεδομένων για να συμμετάσχουν στην αξιολόγηση και την επιλογή του συστήματος διαχείρισης υποθέσεων, να υποστηρίξουν τον επιχειρηματικό μετασχηματισμό, τις φάσεις ανάλυσης και σχεδιασμού των απαιτήσεων, την εφαρμογή και την αποδοχή του νέου συστήματος διαχείρισης υποθέσεων και την ενοποίηση με άλλα συστήματα (π.χ. σύστημα αντιστοιχίας / μη αντιστοιχίας), έργα (π.χ. e-CODEX, e-EDES) και τα έργα του πλαισίου διαλειτουργικότητας (SIS II κ.λπ.) και για να διασφαλίσουν την εφαρμογή ορθών πολιτικών και διαδικασιών για τη διακυβέρνηση των δεδομένων που δημιουργούνται με την εφαρμογή νέων συστημάτων</w:t>
            </w:r>
          </w:p>
          <w:p w14:paraId="03AD6182" w14:textId="77777777" w:rsidR="00D42205" w:rsidRPr="001E4272" w:rsidRDefault="00D42205" w:rsidP="00B2088F">
            <w:pPr>
              <w:spacing w:before="0" w:after="0"/>
              <w:rPr>
                <w:noProof/>
                <w:szCs w:val="24"/>
              </w:rPr>
            </w:pPr>
          </w:p>
          <w:p w14:paraId="2D827D03" w14:textId="77777777" w:rsidR="00D42205" w:rsidRPr="001E4272" w:rsidRDefault="00D42205" w:rsidP="006A0D14">
            <w:pPr>
              <w:spacing w:before="0" w:after="0"/>
              <w:rPr>
                <w:i/>
                <w:iCs/>
                <w:noProof/>
              </w:rPr>
            </w:pPr>
            <w:r w:rsidRPr="001E4272">
              <w:rPr>
                <w:i/>
                <w:iCs/>
                <w:noProof/>
              </w:rPr>
              <w:t xml:space="preserve">Εκτιμώμενα απαιτούμενα ΙΠΑ — Πρόσθετα ΙΠΑ που θα προσλαμβάνονται ετησίως (μη σωρευτικά): </w:t>
            </w:r>
          </w:p>
          <w:p w14:paraId="0202AC31" w14:textId="77777777" w:rsidR="00D42205" w:rsidRPr="001E4272" w:rsidRDefault="00D42205" w:rsidP="006A0D14">
            <w:pPr>
              <w:spacing w:before="0" w:after="0"/>
              <w:rPr>
                <w:i/>
                <w:iCs/>
                <w:noProof/>
              </w:rPr>
            </w:pPr>
            <w:r w:rsidRPr="001E4272">
              <w:rPr>
                <w:i/>
                <w:iCs/>
                <w:noProof/>
              </w:rPr>
              <w:t>2024: +1· 2025: +1</w:t>
            </w:r>
          </w:p>
          <w:p w14:paraId="3B948DF2" w14:textId="77777777" w:rsidR="002F68FE" w:rsidRPr="001E4272" w:rsidRDefault="002F68FE" w:rsidP="00B2088F">
            <w:pPr>
              <w:spacing w:before="0" w:after="0"/>
              <w:rPr>
                <w:noProof/>
                <w:szCs w:val="24"/>
              </w:rPr>
            </w:pPr>
          </w:p>
        </w:tc>
      </w:tr>
      <w:tr w:rsidR="00D42205" w:rsidRPr="001E4272" w14:paraId="007389AB" w14:textId="77777777" w:rsidTr="006A0D14">
        <w:tc>
          <w:tcPr>
            <w:tcW w:w="1556" w:type="dxa"/>
            <w:vMerge/>
          </w:tcPr>
          <w:p w14:paraId="6CC615E4" w14:textId="77777777" w:rsidR="00D42205" w:rsidRPr="001E4272" w:rsidRDefault="00D42205" w:rsidP="00B2088F">
            <w:pPr>
              <w:spacing w:before="0" w:after="0"/>
              <w:jc w:val="left"/>
              <w:rPr>
                <w:noProof/>
                <w:szCs w:val="24"/>
              </w:rPr>
            </w:pPr>
          </w:p>
        </w:tc>
        <w:tc>
          <w:tcPr>
            <w:tcW w:w="7653" w:type="dxa"/>
            <w:tcBorders>
              <w:top w:val="single" w:sz="4" w:space="0" w:color="auto"/>
              <w:left w:val="single" w:sz="4" w:space="0" w:color="auto"/>
              <w:bottom w:val="single" w:sz="4" w:space="0" w:color="auto"/>
              <w:right w:val="single" w:sz="4" w:space="0" w:color="auto"/>
            </w:tcBorders>
          </w:tcPr>
          <w:p w14:paraId="0642B255" w14:textId="77777777" w:rsidR="00D42205" w:rsidRPr="001E4272" w:rsidRDefault="00D42205" w:rsidP="006A0D14">
            <w:pPr>
              <w:autoSpaceDE w:val="0"/>
              <w:autoSpaceDN w:val="0"/>
              <w:adjustRightInd w:val="0"/>
              <w:spacing w:before="0" w:after="0"/>
              <w:rPr>
                <w:noProof/>
                <w:color w:val="000000" w:themeColor="text1"/>
              </w:rPr>
            </w:pPr>
            <w:r w:rsidRPr="001E4272">
              <w:rPr>
                <w:noProof/>
                <w:color w:val="000000"/>
              </w:rPr>
              <w:t>Απαιτούνται 2* βοηθοί υποστήριξης υποθέσεων για τη διαχείριση της σημαντικής αύξησης του όγκου δεδομένων που αναμένεται, για την εκτέλεση της επεξεργασίας επιχειρησιακών δεδομένων στο σύστημα διαχείρισης υποθέσεων (συμπεριλαμβανομένων των μεταφράσεων), για τη διαχείριση της επισκόπησης του κύκλου ζωής των ανοικτών υποθέσεων και για την κατάρτιση ad hoc και τακτικών εκθέσεων (μηνιαίες, ετήσιες) και την παραγωγή στατιστικών στοιχείων</w:t>
            </w:r>
          </w:p>
          <w:p w14:paraId="47C02CF0" w14:textId="77777777" w:rsidR="00D42205" w:rsidRPr="001E4272" w:rsidRDefault="00D42205" w:rsidP="00B2088F">
            <w:pPr>
              <w:autoSpaceDE w:val="0"/>
              <w:autoSpaceDN w:val="0"/>
              <w:adjustRightInd w:val="0"/>
              <w:spacing w:before="0" w:after="0"/>
              <w:rPr>
                <w:noProof/>
                <w:color w:val="000000"/>
                <w:szCs w:val="24"/>
              </w:rPr>
            </w:pPr>
          </w:p>
          <w:p w14:paraId="3288C6A9" w14:textId="77777777" w:rsidR="00D42205" w:rsidRPr="001E4272" w:rsidRDefault="00D42205" w:rsidP="006A0D14">
            <w:pPr>
              <w:autoSpaceDE w:val="0"/>
              <w:autoSpaceDN w:val="0"/>
              <w:adjustRightInd w:val="0"/>
              <w:spacing w:before="0" w:after="0"/>
              <w:rPr>
                <w:i/>
                <w:iCs/>
                <w:noProof/>
                <w:color w:val="000000" w:themeColor="text1"/>
              </w:rPr>
            </w:pPr>
            <w:r w:rsidRPr="001E4272">
              <w:rPr>
                <w:i/>
                <w:iCs/>
                <w:noProof/>
                <w:color w:val="000000"/>
              </w:rPr>
              <w:t xml:space="preserve">Εκτιμώμενα απαιτούμενα ΙΠΑ — Πρόσθετα ΙΠΑ που θα προσλαμβάνονται ετησίως (μη σωρευτικά): </w:t>
            </w:r>
          </w:p>
          <w:p w14:paraId="443A0235" w14:textId="237C6254" w:rsidR="00D42205" w:rsidRPr="001E4272" w:rsidRDefault="00D42205" w:rsidP="160710AA">
            <w:pPr>
              <w:spacing w:before="0" w:after="0"/>
              <w:rPr>
                <w:noProof/>
                <w:szCs w:val="24"/>
              </w:rPr>
            </w:pPr>
            <w:r w:rsidRPr="001E4272">
              <w:rPr>
                <w:i/>
                <w:iCs/>
                <w:noProof/>
              </w:rPr>
              <w:t>2026: +1· 2027: +1</w:t>
            </w:r>
          </w:p>
        </w:tc>
      </w:tr>
      <w:tr w:rsidR="00D42205" w:rsidRPr="001E4272" w14:paraId="4CFD2361" w14:textId="77777777" w:rsidTr="006A0D14">
        <w:tc>
          <w:tcPr>
            <w:tcW w:w="1556" w:type="dxa"/>
            <w:vMerge/>
          </w:tcPr>
          <w:p w14:paraId="6B751380" w14:textId="77777777" w:rsidR="00D42205" w:rsidRPr="001E4272" w:rsidRDefault="00D42205" w:rsidP="00B2088F">
            <w:pPr>
              <w:spacing w:before="0" w:after="0"/>
              <w:jc w:val="left"/>
              <w:rPr>
                <w:noProof/>
                <w:szCs w:val="24"/>
              </w:rPr>
            </w:pPr>
          </w:p>
        </w:tc>
        <w:tc>
          <w:tcPr>
            <w:tcW w:w="7653" w:type="dxa"/>
            <w:tcBorders>
              <w:top w:val="single" w:sz="4" w:space="0" w:color="auto"/>
              <w:left w:val="single" w:sz="4" w:space="0" w:color="auto"/>
              <w:bottom w:val="single" w:sz="4" w:space="0" w:color="auto"/>
              <w:right w:val="single" w:sz="4" w:space="0" w:color="auto"/>
            </w:tcBorders>
          </w:tcPr>
          <w:p w14:paraId="057A000E" w14:textId="77777777" w:rsidR="00D42205" w:rsidRPr="001E4272" w:rsidRDefault="00D42205" w:rsidP="160710AA">
            <w:pPr>
              <w:spacing w:before="0" w:after="0"/>
              <w:rPr>
                <w:noProof/>
                <w:szCs w:val="24"/>
              </w:rPr>
            </w:pPr>
            <w:r w:rsidRPr="001E4272">
              <w:rPr>
                <w:noProof/>
              </w:rPr>
              <w:t>Απαιτείται 1* υπεύθυνος διαχείρισης δεδομένων για τη διεξαγωγή διαδικασιών ελέγχου της ποιότητας των δεδομένων με στόχο να διασφαλίζεται ότι τα δεδομένα της Eurojust είναι υψηλής ποιότητας, επίκαιρα, πλήρη, σαφώς κατανοητά, συνεπή και διαθέσιμα όταν απαιτείται</w:t>
            </w:r>
          </w:p>
          <w:p w14:paraId="3460BCFA" w14:textId="77777777" w:rsidR="00D42205" w:rsidRPr="001E4272" w:rsidRDefault="00D42205" w:rsidP="00B2088F">
            <w:pPr>
              <w:spacing w:before="0" w:after="0"/>
              <w:rPr>
                <w:noProof/>
                <w:szCs w:val="24"/>
              </w:rPr>
            </w:pPr>
          </w:p>
          <w:p w14:paraId="7E3E9CE1" w14:textId="77777777" w:rsidR="00D42205" w:rsidRPr="001E4272" w:rsidRDefault="00D42205" w:rsidP="006A0D14">
            <w:pPr>
              <w:spacing w:before="0" w:after="0"/>
              <w:rPr>
                <w:i/>
                <w:iCs/>
                <w:noProof/>
              </w:rPr>
            </w:pPr>
            <w:r w:rsidRPr="001E4272">
              <w:rPr>
                <w:i/>
                <w:iCs/>
                <w:noProof/>
              </w:rPr>
              <w:t xml:space="preserve">Εκτιμώμενα απαιτούμενα ΙΠΑ — Πρόσθετα ΙΠΑ που θα προσλαμβάνονται ετησίως (μη σωρευτικά): </w:t>
            </w:r>
          </w:p>
          <w:p w14:paraId="431570AE" w14:textId="77777777" w:rsidR="00D42205" w:rsidRPr="001E4272" w:rsidRDefault="00D42205" w:rsidP="00B2088F">
            <w:pPr>
              <w:spacing w:before="0" w:after="0"/>
              <w:rPr>
                <w:i/>
                <w:noProof/>
                <w:szCs w:val="24"/>
              </w:rPr>
            </w:pPr>
            <w:r w:rsidRPr="001E4272">
              <w:rPr>
                <w:i/>
                <w:noProof/>
                <w:szCs w:val="24"/>
              </w:rPr>
              <w:t>2026: +1</w:t>
            </w:r>
          </w:p>
          <w:p w14:paraId="28909050" w14:textId="77777777" w:rsidR="002F68FE" w:rsidRPr="001E4272" w:rsidRDefault="002F68FE" w:rsidP="00B2088F">
            <w:pPr>
              <w:spacing w:before="0" w:after="0"/>
              <w:rPr>
                <w:i/>
                <w:noProof/>
                <w:szCs w:val="24"/>
              </w:rPr>
            </w:pPr>
          </w:p>
        </w:tc>
      </w:tr>
      <w:tr w:rsidR="00D42205" w:rsidRPr="001E4272" w14:paraId="7FA1A76F" w14:textId="77777777" w:rsidTr="006A0D14">
        <w:tc>
          <w:tcPr>
            <w:tcW w:w="1556" w:type="dxa"/>
            <w:vMerge/>
          </w:tcPr>
          <w:p w14:paraId="264323AC" w14:textId="77777777" w:rsidR="00D42205" w:rsidRPr="001E4272" w:rsidRDefault="00D42205" w:rsidP="00B2088F">
            <w:pPr>
              <w:spacing w:before="0" w:after="0"/>
              <w:jc w:val="left"/>
              <w:rPr>
                <w:noProof/>
                <w:szCs w:val="24"/>
              </w:rPr>
            </w:pPr>
          </w:p>
        </w:tc>
        <w:tc>
          <w:tcPr>
            <w:tcW w:w="7653" w:type="dxa"/>
            <w:tcBorders>
              <w:top w:val="single" w:sz="4" w:space="0" w:color="auto"/>
              <w:left w:val="single" w:sz="4" w:space="0" w:color="auto"/>
              <w:bottom w:val="single" w:sz="4" w:space="0" w:color="auto"/>
              <w:right w:val="single" w:sz="4" w:space="0" w:color="auto"/>
            </w:tcBorders>
          </w:tcPr>
          <w:p w14:paraId="78BC3261" w14:textId="77777777" w:rsidR="00D42205" w:rsidRPr="001E4272" w:rsidRDefault="00D42205" w:rsidP="00B2088F">
            <w:pPr>
              <w:spacing w:before="0" w:after="0"/>
              <w:rPr>
                <w:noProof/>
                <w:szCs w:val="24"/>
              </w:rPr>
            </w:pPr>
            <w:r w:rsidRPr="001E4272">
              <w:rPr>
                <w:noProof/>
              </w:rPr>
              <w:t>Απαιτείται 1* αναλυτής δεδομένων υποθέσεων λόγω της αναμενόμενης αύξησης των κοινοποιήσεων που θα αποστέλλονται στην Eurojust για τον εντοπισμό δεσμών μεταξύ διεξαγόμενων δικαστικών διαδικασιών με βάση την ανάλυση των πληροφοριών που θα λαμβάνει η Eurojust από την Ευρωπόλ, την OLAF, την Ευρωπαϊκή Εισαγγελία και τις εθνικές αρχές, και για την ανάλυση μεγάλου όγκου δεδομένων για σκοπούς δικαστικού συντονισμού</w:t>
            </w:r>
          </w:p>
          <w:p w14:paraId="66E5BC94" w14:textId="77777777" w:rsidR="00D42205" w:rsidRPr="001E4272" w:rsidRDefault="00D42205" w:rsidP="00B2088F">
            <w:pPr>
              <w:autoSpaceDE w:val="0"/>
              <w:autoSpaceDN w:val="0"/>
              <w:adjustRightInd w:val="0"/>
              <w:spacing w:before="0" w:after="0"/>
              <w:rPr>
                <w:i/>
                <w:noProof/>
                <w:color w:val="000000"/>
                <w:szCs w:val="24"/>
              </w:rPr>
            </w:pPr>
          </w:p>
          <w:p w14:paraId="16807806" w14:textId="77777777" w:rsidR="00D42205" w:rsidRPr="001E4272" w:rsidRDefault="00D42205" w:rsidP="006A0D14">
            <w:pPr>
              <w:autoSpaceDE w:val="0"/>
              <w:autoSpaceDN w:val="0"/>
              <w:adjustRightInd w:val="0"/>
              <w:spacing w:before="0" w:after="0"/>
              <w:rPr>
                <w:i/>
                <w:iCs/>
                <w:noProof/>
                <w:color w:val="000000" w:themeColor="text1"/>
              </w:rPr>
            </w:pPr>
            <w:r w:rsidRPr="001E4272">
              <w:rPr>
                <w:i/>
                <w:iCs/>
                <w:noProof/>
                <w:color w:val="000000"/>
              </w:rPr>
              <w:t xml:space="preserve">Εκτιμώμενα απαιτούμενα ΙΠΑ — Πρόσθετα ΙΠΑ που θα προσλαμβάνονται ετησίως (μη σωρευτικά): </w:t>
            </w:r>
          </w:p>
          <w:p w14:paraId="59893420" w14:textId="77777777" w:rsidR="00D42205" w:rsidRPr="001E4272" w:rsidRDefault="00D42205" w:rsidP="00B2088F">
            <w:pPr>
              <w:spacing w:before="0" w:after="0"/>
              <w:rPr>
                <w:i/>
                <w:noProof/>
                <w:szCs w:val="24"/>
              </w:rPr>
            </w:pPr>
            <w:r w:rsidRPr="001E4272">
              <w:rPr>
                <w:i/>
                <w:noProof/>
                <w:szCs w:val="24"/>
              </w:rPr>
              <w:t>2026: +1</w:t>
            </w:r>
          </w:p>
        </w:tc>
      </w:tr>
      <w:tr w:rsidR="00D42205" w:rsidRPr="001E4272" w14:paraId="7221ECC6" w14:textId="77777777" w:rsidTr="006A0D14">
        <w:tc>
          <w:tcPr>
            <w:tcW w:w="1556" w:type="dxa"/>
            <w:vMerge/>
          </w:tcPr>
          <w:p w14:paraId="77A1382B" w14:textId="77777777" w:rsidR="00D42205" w:rsidRPr="001E4272" w:rsidRDefault="00D42205" w:rsidP="00B2088F">
            <w:pPr>
              <w:spacing w:before="0" w:after="0"/>
              <w:jc w:val="left"/>
              <w:rPr>
                <w:noProof/>
                <w:szCs w:val="24"/>
              </w:rPr>
            </w:pPr>
          </w:p>
        </w:tc>
        <w:tc>
          <w:tcPr>
            <w:tcW w:w="7653" w:type="dxa"/>
            <w:tcBorders>
              <w:top w:val="single" w:sz="4" w:space="0" w:color="auto"/>
              <w:left w:val="single" w:sz="4" w:space="0" w:color="auto"/>
              <w:bottom w:val="single" w:sz="4" w:space="0" w:color="auto"/>
              <w:right w:val="single" w:sz="4" w:space="0" w:color="auto"/>
            </w:tcBorders>
          </w:tcPr>
          <w:p w14:paraId="7EF4CAB8" w14:textId="77777777" w:rsidR="00D42205" w:rsidRPr="001E4272" w:rsidRDefault="00D42205" w:rsidP="160710AA">
            <w:pPr>
              <w:spacing w:before="0" w:after="0"/>
              <w:rPr>
                <w:noProof/>
                <w:szCs w:val="24"/>
              </w:rPr>
            </w:pPr>
            <w:r w:rsidRPr="001E4272">
              <w:rPr>
                <w:noProof/>
              </w:rPr>
              <w:t>Απαιτείται 1* αναλυτής δεδομένων υποθέσεων για τη σύνταξη (κοινών) αιτήσεων προς τα κράτη μέλη με βάση την ανάλυση των πληροφοριών που θα ανταλλάσσονται και θα καλύπτουν όλες τις επιχειρησιακές λειτουργίες που απαριθμούνται στο άρθρο 4 παράγραφος 2 του κανονισμού για την Eurojust, για τον εντοπισμό επαναλαμβανόμενων ζητημάτων όσον αφορά τη χρήση εργαλείων δικαστικής συνεργασίας, τη διατύπωση προτάσεων για την επέκταση υποθέσεων σε άλλα κράτη μέλη και την έκδοση γνωμοδοτήσεων σχετικά με επαναλαμβανόμενες περιπτώσεις άρνησης ή δυσκολίες στη δικαστική συνεργασία και σχετικά με τον καλύτερο τόπο για την άσκησης δίωξης</w:t>
            </w:r>
          </w:p>
          <w:p w14:paraId="1011F3DA" w14:textId="77777777" w:rsidR="00D42205" w:rsidRPr="001E4272" w:rsidRDefault="00D42205" w:rsidP="006A0D14">
            <w:pPr>
              <w:spacing w:before="0" w:after="0"/>
              <w:rPr>
                <w:i/>
                <w:iCs/>
                <w:noProof/>
              </w:rPr>
            </w:pPr>
            <w:r w:rsidRPr="001E4272">
              <w:rPr>
                <w:i/>
                <w:iCs/>
                <w:noProof/>
              </w:rPr>
              <w:t xml:space="preserve">Εκτιμώμενα απαιτούμενα ΙΠΑ — Πρόσθετα ΙΠΑ που θα προσλαμβάνονται ετησίως (μη σωρευτικά): </w:t>
            </w:r>
          </w:p>
          <w:p w14:paraId="1BC4A12E" w14:textId="77777777" w:rsidR="00D42205" w:rsidRPr="001E4272" w:rsidRDefault="00D42205" w:rsidP="006A0D14">
            <w:pPr>
              <w:spacing w:before="0" w:after="0"/>
              <w:rPr>
                <w:i/>
                <w:iCs/>
                <w:noProof/>
              </w:rPr>
            </w:pPr>
            <w:r w:rsidRPr="001E4272">
              <w:rPr>
                <w:i/>
                <w:iCs/>
                <w:noProof/>
              </w:rPr>
              <w:t>2027: +1</w:t>
            </w:r>
          </w:p>
          <w:p w14:paraId="616810EA" w14:textId="77777777" w:rsidR="00D42205" w:rsidRPr="001E4272" w:rsidRDefault="00D42205" w:rsidP="00B2088F">
            <w:pPr>
              <w:spacing w:before="0" w:after="0"/>
              <w:rPr>
                <w:i/>
                <w:noProof/>
                <w:szCs w:val="24"/>
              </w:rPr>
            </w:pPr>
          </w:p>
          <w:p w14:paraId="705DCB7A" w14:textId="77777777" w:rsidR="00D42205" w:rsidRPr="001E4272" w:rsidRDefault="00D42205" w:rsidP="160710AA">
            <w:pPr>
              <w:spacing w:before="0" w:after="0"/>
              <w:rPr>
                <w:noProof/>
                <w:szCs w:val="24"/>
              </w:rPr>
            </w:pPr>
            <w:r w:rsidRPr="001E4272">
              <w:rPr>
                <w:noProof/>
              </w:rPr>
              <w:t>Απαιτούνται 1* διαχειριστής προγράμματος και 1* διαχειριστής έργου για τον καθορισμό της διακυβέρνησης και της διαχείρισης του προγράμματος (συμπεριλαμβανομένων της επικοινωνίας και της διαχείρισης κινδύνων, της παρακολούθησης και της υποβολής εκθέσεων προόδου στο συμβούλιο του προγράμματος και τα ενδιαφερόμενα μέρη) από την έναρξη έως το κλείσιμο και για την υποστήριξη προληπτικής και αξιολογικής συντήρησης του νέου συστήματος</w:t>
            </w:r>
          </w:p>
          <w:p w14:paraId="59540BCB" w14:textId="77777777" w:rsidR="00D42205" w:rsidRPr="001E4272" w:rsidRDefault="00D42205" w:rsidP="00B2088F">
            <w:pPr>
              <w:spacing w:before="0" w:after="0"/>
              <w:rPr>
                <w:i/>
                <w:noProof/>
                <w:szCs w:val="24"/>
              </w:rPr>
            </w:pPr>
          </w:p>
          <w:p w14:paraId="085549FC" w14:textId="77777777" w:rsidR="00D42205" w:rsidRPr="001E4272" w:rsidRDefault="00D42205" w:rsidP="006A0D14">
            <w:pPr>
              <w:spacing w:before="0" w:after="0"/>
              <w:rPr>
                <w:i/>
                <w:iCs/>
                <w:noProof/>
              </w:rPr>
            </w:pPr>
            <w:r w:rsidRPr="001E4272">
              <w:rPr>
                <w:i/>
                <w:iCs/>
                <w:noProof/>
              </w:rPr>
              <w:t xml:space="preserve">Εκτιμώμενα απαιτούμενα ΙΠΑ — Πρόσθετα ΙΠΑ που θα προσλαμβάνονται ετησίως (μη σωρευτικά): </w:t>
            </w:r>
          </w:p>
          <w:p w14:paraId="4B03F6DA" w14:textId="77777777" w:rsidR="00D42205" w:rsidRPr="001E4272" w:rsidRDefault="00D42205" w:rsidP="006A0D14">
            <w:pPr>
              <w:spacing w:before="0" w:after="0"/>
              <w:rPr>
                <w:i/>
                <w:iCs/>
                <w:noProof/>
              </w:rPr>
            </w:pPr>
            <w:r w:rsidRPr="001E4272">
              <w:rPr>
                <w:i/>
                <w:iCs/>
                <w:noProof/>
              </w:rPr>
              <w:t>2024: +2</w:t>
            </w:r>
          </w:p>
        </w:tc>
      </w:tr>
      <w:tr w:rsidR="00D42205" w:rsidRPr="001E4272" w14:paraId="79D01833" w14:textId="77777777" w:rsidTr="006A0D14">
        <w:tc>
          <w:tcPr>
            <w:tcW w:w="1556" w:type="dxa"/>
            <w:vMerge/>
          </w:tcPr>
          <w:p w14:paraId="1A855122" w14:textId="77777777" w:rsidR="00D42205" w:rsidRPr="001E4272" w:rsidRDefault="00D42205" w:rsidP="00B2088F">
            <w:pPr>
              <w:spacing w:before="0" w:after="0"/>
              <w:jc w:val="left"/>
              <w:rPr>
                <w:noProof/>
                <w:szCs w:val="24"/>
              </w:rPr>
            </w:pPr>
          </w:p>
        </w:tc>
        <w:tc>
          <w:tcPr>
            <w:tcW w:w="7653" w:type="dxa"/>
            <w:tcBorders>
              <w:top w:val="single" w:sz="4" w:space="0" w:color="auto"/>
              <w:left w:val="single" w:sz="4" w:space="0" w:color="auto"/>
              <w:bottom w:val="single" w:sz="4" w:space="0" w:color="auto"/>
              <w:right w:val="single" w:sz="4" w:space="0" w:color="auto"/>
            </w:tcBorders>
          </w:tcPr>
          <w:p w14:paraId="078639BB" w14:textId="77777777" w:rsidR="00D42205" w:rsidRPr="001E4272" w:rsidRDefault="00D42205" w:rsidP="160710AA">
            <w:pPr>
              <w:spacing w:before="0" w:after="0"/>
              <w:rPr>
                <w:noProof/>
                <w:szCs w:val="24"/>
              </w:rPr>
            </w:pPr>
            <w:r w:rsidRPr="001E4272">
              <w:rPr>
                <w:noProof/>
              </w:rPr>
              <w:t>Απαιτείται 1* αρχιτέκτονας ΤΠ για τον καθορισμό της αρχιτεκτονικής υψηλού επιπέδου, τον σχεδιασμό και τη δημιουργία της υποδομής για την εφαρμογή του νέου συστήματος διαχείρισης υποθέσεων και για τη συντήρηση της τεχνικής αρχιτεκτονικής, των συνδέσεων και των συστημάτων που θα υποστηρίζουν το νέο σύστημα διαχείρισης υποθέσεων</w:t>
            </w:r>
          </w:p>
          <w:p w14:paraId="43616D23" w14:textId="77777777" w:rsidR="00D42205" w:rsidRPr="001E4272" w:rsidRDefault="00D42205" w:rsidP="00B2088F">
            <w:pPr>
              <w:spacing w:before="0" w:after="0"/>
              <w:rPr>
                <w:i/>
                <w:noProof/>
                <w:szCs w:val="24"/>
              </w:rPr>
            </w:pPr>
          </w:p>
          <w:p w14:paraId="0BA4A605" w14:textId="77777777" w:rsidR="00D42205" w:rsidRPr="001E4272" w:rsidRDefault="00D42205" w:rsidP="006A0D14">
            <w:pPr>
              <w:spacing w:before="0" w:after="0"/>
              <w:rPr>
                <w:i/>
                <w:iCs/>
                <w:noProof/>
              </w:rPr>
            </w:pPr>
            <w:r w:rsidRPr="001E4272">
              <w:rPr>
                <w:i/>
                <w:iCs/>
                <w:noProof/>
              </w:rPr>
              <w:t xml:space="preserve">Εκτιμώμενα απαιτούμενα ΙΠΑ — Πρόσθετα ΙΠΑ που θα προσλαμβάνονται ετησίως (μη σωρευτικά): </w:t>
            </w:r>
          </w:p>
          <w:p w14:paraId="4681BA2D" w14:textId="77777777" w:rsidR="00D42205" w:rsidRPr="001E4272" w:rsidRDefault="00D42205" w:rsidP="006A0D14">
            <w:pPr>
              <w:spacing w:before="0" w:after="0"/>
              <w:rPr>
                <w:i/>
                <w:iCs/>
                <w:noProof/>
              </w:rPr>
            </w:pPr>
            <w:r w:rsidRPr="001E4272">
              <w:rPr>
                <w:i/>
                <w:iCs/>
                <w:noProof/>
              </w:rPr>
              <w:t xml:space="preserve">2024: +1 </w:t>
            </w:r>
          </w:p>
        </w:tc>
      </w:tr>
      <w:tr w:rsidR="00D42205" w:rsidRPr="001E4272" w14:paraId="082BB09B" w14:textId="77777777" w:rsidTr="006A0D14">
        <w:tc>
          <w:tcPr>
            <w:tcW w:w="1556" w:type="dxa"/>
            <w:vMerge/>
          </w:tcPr>
          <w:p w14:paraId="3F3D6426" w14:textId="77777777" w:rsidR="00D42205" w:rsidRPr="001E4272" w:rsidRDefault="00D42205" w:rsidP="00B2088F">
            <w:pPr>
              <w:spacing w:before="0" w:after="0"/>
              <w:jc w:val="left"/>
              <w:rPr>
                <w:noProof/>
                <w:szCs w:val="24"/>
              </w:rPr>
            </w:pPr>
          </w:p>
        </w:tc>
        <w:tc>
          <w:tcPr>
            <w:tcW w:w="7653" w:type="dxa"/>
            <w:tcBorders>
              <w:top w:val="single" w:sz="4" w:space="0" w:color="auto"/>
              <w:left w:val="single" w:sz="4" w:space="0" w:color="auto"/>
              <w:bottom w:val="single" w:sz="4" w:space="0" w:color="auto"/>
              <w:right w:val="single" w:sz="4" w:space="0" w:color="auto"/>
            </w:tcBorders>
          </w:tcPr>
          <w:p w14:paraId="3137D6F4" w14:textId="77777777" w:rsidR="00D42205" w:rsidRPr="001E4272" w:rsidRDefault="00D42205" w:rsidP="006A0D14">
            <w:pPr>
              <w:autoSpaceDE w:val="0"/>
              <w:autoSpaceDN w:val="0"/>
              <w:adjustRightInd w:val="0"/>
              <w:spacing w:before="0" w:after="0"/>
              <w:rPr>
                <w:noProof/>
                <w:color w:val="000000" w:themeColor="text1"/>
              </w:rPr>
            </w:pPr>
            <w:r w:rsidRPr="001E4272">
              <w:rPr>
                <w:noProof/>
                <w:color w:val="000000"/>
              </w:rPr>
              <w:t>Απαιτείται 1* επιχειρηματικός αναλυτής για τη διενέργεια της ανάλυσης απαιτήσεων, συμπεριλαμβανομένης της απόδειξης αρχών ανά τεχνική λύση</w:t>
            </w:r>
            <w:r w:rsidRPr="001E4272">
              <w:rPr>
                <w:noProof/>
              </w:rPr>
              <w:t>, και για την υποστήριξη της προληπτικής και αξιολογικής συντήρησης του νέου συστήματος</w:t>
            </w:r>
            <w:r w:rsidRPr="001E4272">
              <w:rPr>
                <w:noProof/>
                <w:color w:val="000000"/>
              </w:rPr>
              <w:t xml:space="preserve"> </w:t>
            </w:r>
          </w:p>
          <w:p w14:paraId="463E1D9D" w14:textId="77777777" w:rsidR="00D42205" w:rsidRPr="001E4272" w:rsidRDefault="00D42205" w:rsidP="00B2088F">
            <w:pPr>
              <w:autoSpaceDE w:val="0"/>
              <w:autoSpaceDN w:val="0"/>
              <w:adjustRightInd w:val="0"/>
              <w:spacing w:before="0" w:after="0"/>
              <w:rPr>
                <w:noProof/>
                <w:color w:val="000000"/>
                <w:szCs w:val="24"/>
              </w:rPr>
            </w:pPr>
          </w:p>
          <w:p w14:paraId="5802FB1B" w14:textId="77777777" w:rsidR="00D42205" w:rsidRPr="001E4272" w:rsidRDefault="00D42205" w:rsidP="006A0D14">
            <w:pPr>
              <w:spacing w:before="0" w:after="0"/>
              <w:rPr>
                <w:i/>
                <w:iCs/>
                <w:noProof/>
              </w:rPr>
            </w:pPr>
            <w:r w:rsidRPr="001E4272">
              <w:rPr>
                <w:i/>
                <w:iCs/>
                <w:noProof/>
              </w:rPr>
              <w:t xml:space="preserve">Εκτιμώμενα απαιτούμενα ΙΠΑ — Πρόσθετα ΙΠΑ που θα προσλαμβάνονται ετησίως (μη σωρευτικά): </w:t>
            </w:r>
          </w:p>
          <w:p w14:paraId="05682A4E" w14:textId="77777777" w:rsidR="00D42205" w:rsidRPr="001E4272" w:rsidRDefault="00D42205" w:rsidP="006A0D14">
            <w:pPr>
              <w:spacing w:before="0" w:after="0"/>
              <w:rPr>
                <w:i/>
                <w:iCs/>
                <w:noProof/>
              </w:rPr>
            </w:pPr>
            <w:r w:rsidRPr="001E4272">
              <w:rPr>
                <w:i/>
                <w:iCs/>
                <w:noProof/>
              </w:rPr>
              <w:t>2024: +1</w:t>
            </w:r>
          </w:p>
        </w:tc>
      </w:tr>
      <w:tr w:rsidR="00D42205" w:rsidRPr="001E4272" w14:paraId="0F8B4FCE" w14:textId="77777777" w:rsidTr="006A0D14">
        <w:tc>
          <w:tcPr>
            <w:tcW w:w="1556" w:type="dxa"/>
            <w:vMerge/>
          </w:tcPr>
          <w:p w14:paraId="0F22DB9D" w14:textId="77777777" w:rsidR="00D42205" w:rsidRPr="001E4272" w:rsidRDefault="00D42205" w:rsidP="00B2088F">
            <w:pPr>
              <w:spacing w:before="0" w:after="0"/>
              <w:jc w:val="left"/>
              <w:rPr>
                <w:noProof/>
                <w:szCs w:val="24"/>
              </w:rPr>
            </w:pPr>
          </w:p>
        </w:tc>
        <w:tc>
          <w:tcPr>
            <w:tcW w:w="7653" w:type="dxa"/>
            <w:tcBorders>
              <w:top w:val="single" w:sz="4" w:space="0" w:color="auto"/>
              <w:left w:val="single" w:sz="4" w:space="0" w:color="auto"/>
              <w:bottom w:val="single" w:sz="4" w:space="0" w:color="auto"/>
              <w:right w:val="single" w:sz="4" w:space="0" w:color="auto"/>
            </w:tcBorders>
          </w:tcPr>
          <w:p w14:paraId="474FDD71" w14:textId="77777777" w:rsidR="00D42205" w:rsidRPr="001E4272" w:rsidRDefault="00D42205" w:rsidP="006A0D14">
            <w:pPr>
              <w:autoSpaceDE w:val="0"/>
              <w:autoSpaceDN w:val="0"/>
              <w:adjustRightInd w:val="0"/>
              <w:spacing w:before="0" w:after="0"/>
              <w:rPr>
                <w:noProof/>
                <w:color w:val="000000" w:themeColor="text1"/>
              </w:rPr>
            </w:pPr>
            <w:r w:rsidRPr="001E4272">
              <w:rPr>
                <w:noProof/>
                <w:color w:val="000000"/>
              </w:rPr>
              <w:t>Απαιτείται 1* υπεύθυνος ασφάλειας ΤΠΕ για τη διασφάλιση του ασφαλούς σχεδιασμού, εφαρμογής και λειτουργίας του συστήματος διαχείρισης υποθέσεων και της ασφαλούς ανταλλαγής δεδομένων με εξωτερικά συστήματα</w:t>
            </w:r>
          </w:p>
          <w:p w14:paraId="5DEF15DC" w14:textId="77777777" w:rsidR="00D42205" w:rsidRPr="001E4272" w:rsidRDefault="00D42205" w:rsidP="00B2088F">
            <w:pPr>
              <w:autoSpaceDE w:val="0"/>
              <w:autoSpaceDN w:val="0"/>
              <w:adjustRightInd w:val="0"/>
              <w:spacing w:before="0" w:after="0"/>
              <w:rPr>
                <w:noProof/>
                <w:color w:val="000000"/>
                <w:szCs w:val="24"/>
              </w:rPr>
            </w:pPr>
          </w:p>
          <w:p w14:paraId="382682A6" w14:textId="77777777" w:rsidR="00D42205" w:rsidRPr="001E4272" w:rsidRDefault="00D42205" w:rsidP="006A0D14">
            <w:pPr>
              <w:spacing w:before="0" w:after="0"/>
              <w:rPr>
                <w:i/>
                <w:iCs/>
                <w:noProof/>
              </w:rPr>
            </w:pPr>
            <w:r w:rsidRPr="001E4272">
              <w:rPr>
                <w:i/>
                <w:iCs/>
                <w:noProof/>
              </w:rPr>
              <w:t xml:space="preserve">Εκτιμώμενα απαιτούμενα ΙΠΑ — Πρόσθετα ΙΠΑ που θα προσλαμβάνονται ετησίως (μη σωρευτικά): </w:t>
            </w:r>
          </w:p>
          <w:p w14:paraId="386ED918" w14:textId="77777777" w:rsidR="00D42205" w:rsidRPr="001E4272" w:rsidRDefault="00D42205" w:rsidP="160710AA">
            <w:pPr>
              <w:spacing w:before="0" w:after="0"/>
              <w:rPr>
                <w:noProof/>
                <w:szCs w:val="24"/>
              </w:rPr>
            </w:pPr>
            <w:r w:rsidRPr="001E4272">
              <w:rPr>
                <w:i/>
                <w:iCs/>
                <w:noProof/>
              </w:rPr>
              <w:t>2024: +1</w:t>
            </w:r>
          </w:p>
        </w:tc>
      </w:tr>
      <w:tr w:rsidR="00D42205" w:rsidRPr="001E4272" w14:paraId="5059804B" w14:textId="77777777" w:rsidTr="006A0D14">
        <w:tc>
          <w:tcPr>
            <w:tcW w:w="1556" w:type="dxa"/>
            <w:vMerge/>
          </w:tcPr>
          <w:p w14:paraId="6E813C65" w14:textId="77777777" w:rsidR="00D42205" w:rsidRPr="001E4272" w:rsidRDefault="00D42205" w:rsidP="00B2088F">
            <w:pPr>
              <w:spacing w:before="0" w:after="0"/>
              <w:jc w:val="left"/>
              <w:rPr>
                <w:noProof/>
                <w:szCs w:val="24"/>
              </w:rPr>
            </w:pPr>
          </w:p>
        </w:tc>
        <w:tc>
          <w:tcPr>
            <w:tcW w:w="7653" w:type="dxa"/>
            <w:tcBorders>
              <w:top w:val="single" w:sz="4" w:space="0" w:color="auto"/>
              <w:left w:val="single" w:sz="4" w:space="0" w:color="auto"/>
              <w:bottom w:val="single" w:sz="4" w:space="0" w:color="auto"/>
              <w:right w:val="single" w:sz="4" w:space="0" w:color="auto"/>
            </w:tcBorders>
          </w:tcPr>
          <w:p w14:paraId="6EF6CF1F" w14:textId="77777777" w:rsidR="00D42205" w:rsidRPr="001E4272" w:rsidRDefault="00D42205" w:rsidP="006A0D14">
            <w:pPr>
              <w:autoSpaceDE w:val="0"/>
              <w:autoSpaceDN w:val="0"/>
              <w:adjustRightInd w:val="0"/>
              <w:spacing w:before="0" w:after="0"/>
              <w:rPr>
                <w:noProof/>
                <w:color w:val="000000" w:themeColor="text1"/>
              </w:rPr>
            </w:pPr>
            <w:r w:rsidRPr="001E4272">
              <w:rPr>
                <w:noProof/>
                <w:color w:val="000000"/>
              </w:rPr>
              <w:t>Απαιτείται 1* ειδικός προστασίας δεδομένων για τη διασφάλιση της προστασίας των δεδομένων ήδη από τον σχεδιασμό και της εφαρμογής των κανόνων για την προστασία των δεδομένων στα επιχειρησιακά δεδομένα</w:t>
            </w:r>
          </w:p>
          <w:p w14:paraId="0D74CFC7" w14:textId="77777777" w:rsidR="00D42205" w:rsidRPr="001E4272" w:rsidRDefault="00D42205" w:rsidP="00B2088F">
            <w:pPr>
              <w:autoSpaceDE w:val="0"/>
              <w:autoSpaceDN w:val="0"/>
              <w:adjustRightInd w:val="0"/>
              <w:spacing w:before="0" w:after="0"/>
              <w:rPr>
                <w:noProof/>
                <w:color w:val="000000"/>
                <w:szCs w:val="24"/>
              </w:rPr>
            </w:pPr>
          </w:p>
          <w:p w14:paraId="5553ADFA" w14:textId="77777777" w:rsidR="00D42205" w:rsidRPr="001E4272" w:rsidRDefault="00D42205" w:rsidP="006A0D14">
            <w:pPr>
              <w:spacing w:before="0" w:after="0"/>
              <w:rPr>
                <w:i/>
                <w:iCs/>
                <w:noProof/>
              </w:rPr>
            </w:pPr>
            <w:r w:rsidRPr="001E4272">
              <w:rPr>
                <w:i/>
                <w:iCs/>
                <w:noProof/>
              </w:rPr>
              <w:t xml:space="preserve">Εκτιμώμενα απαιτούμενα ΙΠΑ — Πρόσθετα ΙΠΑ που θα προσλαμβάνονται ετησίως (μη σωρευτικά): </w:t>
            </w:r>
          </w:p>
          <w:p w14:paraId="064641DD" w14:textId="77777777" w:rsidR="00D42205" w:rsidRPr="001E4272" w:rsidRDefault="00D42205" w:rsidP="160710AA">
            <w:pPr>
              <w:spacing w:before="0" w:after="0"/>
              <w:rPr>
                <w:noProof/>
                <w:szCs w:val="24"/>
              </w:rPr>
            </w:pPr>
            <w:r w:rsidRPr="001E4272">
              <w:rPr>
                <w:i/>
                <w:iCs/>
                <w:noProof/>
              </w:rPr>
              <w:t>2024: +1</w:t>
            </w:r>
          </w:p>
        </w:tc>
      </w:tr>
      <w:tr w:rsidR="00D42205" w:rsidRPr="001E4272" w14:paraId="1ED3ED6F" w14:textId="77777777" w:rsidTr="006A0D14">
        <w:tc>
          <w:tcPr>
            <w:tcW w:w="1556" w:type="dxa"/>
            <w:vMerge/>
          </w:tcPr>
          <w:p w14:paraId="149BA241" w14:textId="77777777" w:rsidR="00D42205" w:rsidRPr="001E4272" w:rsidRDefault="00D42205" w:rsidP="00B2088F">
            <w:pPr>
              <w:spacing w:before="0" w:after="0"/>
              <w:jc w:val="left"/>
              <w:rPr>
                <w:noProof/>
                <w:szCs w:val="24"/>
              </w:rPr>
            </w:pPr>
          </w:p>
        </w:tc>
        <w:tc>
          <w:tcPr>
            <w:tcW w:w="7653" w:type="dxa"/>
            <w:tcBorders>
              <w:top w:val="single" w:sz="4" w:space="0" w:color="auto"/>
              <w:left w:val="single" w:sz="4" w:space="0" w:color="auto"/>
              <w:bottom w:val="single" w:sz="4" w:space="0" w:color="auto"/>
              <w:right w:val="single" w:sz="4" w:space="0" w:color="auto"/>
            </w:tcBorders>
          </w:tcPr>
          <w:p w14:paraId="31AC4565" w14:textId="77777777" w:rsidR="00D42205" w:rsidRPr="001E4272" w:rsidRDefault="00D42205" w:rsidP="006A0D14">
            <w:pPr>
              <w:autoSpaceDE w:val="0"/>
              <w:autoSpaceDN w:val="0"/>
              <w:adjustRightInd w:val="0"/>
              <w:spacing w:before="0" w:after="0"/>
              <w:rPr>
                <w:noProof/>
                <w:color w:val="000000" w:themeColor="text1"/>
              </w:rPr>
            </w:pPr>
            <w:r w:rsidRPr="001E4272">
              <w:rPr>
                <w:noProof/>
                <w:color w:val="000000"/>
              </w:rPr>
              <w:t>Απαιτούνται 3* υπεύθυνοι επιχειρήσεων ΤΠΕ για τη διαχείριση των εφαρμογών και της πολιτικής ΤΠ, για τον επιχειρηματικό μετασχηματισμό των διαδικασιών της Eurojust, την εκπόνηση εγχειριδίων (συμπεριλαμβανομένης της παροχής κατάρτισης στους χρήστες) και για τη διαχείριση των δικτύων, των βάσεων δεδομένων, των συστημάτων, των πλατφορμών εικονικοποίησης και των εφαρμογών της Eurojust</w:t>
            </w:r>
          </w:p>
          <w:p w14:paraId="38EF0CDB" w14:textId="77777777" w:rsidR="00D42205" w:rsidRPr="001E4272" w:rsidRDefault="00D42205" w:rsidP="00B2088F">
            <w:pPr>
              <w:autoSpaceDE w:val="0"/>
              <w:autoSpaceDN w:val="0"/>
              <w:adjustRightInd w:val="0"/>
              <w:spacing w:before="0" w:after="0"/>
              <w:rPr>
                <w:noProof/>
                <w:color w:val="000000"/>
                <w:szCs w:val="24"/>
              </w:rPr>
            </w:pPr>
          </w:p>
          <w:p w14:paraId="45CD0D3E" w14:textId="77777777" w:rsidR="00D42205" w:rsidRPr="001E4272" w:rsidRDefault="00D42205" w:rsidP="006A0D14">
            <w:pPr>
              <w:spacing w:before="0" w:after="0"/>
              <w:rPr>
                <w:i/>
                <w:iCs/>
                <w:noProof/>
              </w:rPr>
            </w:pPr>
            <w:r w:rsidRPr="001E4272">
              <w:rPr>
                <w:i/>
                <w:iCs/>
                <w:noProof/>
              </w:rPr>
              <w:t xml:space="preserve">Εκτιμώμενα απαιτούμενα ΙΠΑ — Πρόσθετα ΙΠΑ που θα προσλαμβάνονται ετησίως (μη σωρευτικά): </w:t>
            </w:r>
          </w:p>
          <w:p w14:paraId="6681DBA3" w14:textId="77777777" w:rsidR="00D42205" w:rsidRPr="001E4272" w:rsidRDefault="00D42205" w:rsidP="160710AA">
            <w:pPr>
              <w:spacing w:before="0" w:after="0"/>
              <w:rPr>
                <w:noProof/>
                <w:szCs w:val="24"/>
              </w:rPr>
            </w:pPr>
            <w:r w:rsidRPr="001E4272">
              <w:rPr>
                <w:i/>
                <w:iCs/>
                <w:noProof/>
              </w:rPr>
              <w:t>2024: +1· 2025: +2</w:t>
            </w:r>
          </w:p>
        </w:tc>
      </w:tr>
      <w:tr w:rsidR="00D42205" w:rsidRPr="001E4272" w14:paraId="2AFE7FCE" w14:textId="77777777" w:rsidTr="006A0D14">
        <w:tc>
          <w:tcPr>
            <w:tcW w:w="1556" w:type="dxa"/>
            <w:vMerge/>
          </w:tcPr>
          <w:p w14:paraId="43488069" w14:textId="77777777" w:rsidR="00D42205" w:rsidRPr="001E4272" w:rsidRDefault="00D42205" w:rsidP="00B2088F">
            <w:pPr>
              <w:spacing w:before="0" w:after="0"/>
              <w:jc w:val="left"/>
              <w:rPr>
                <w:noProof/>
                <w:szCs w:val="24"/>
              </w:rPr>
            </w:pPr>
          </w:p>
        </w:tc>
        <w:tc>
          <w:tcPr>
            <w:tcW w:w="7653" w:type="dxa"/>
            <w:tcBorders>
              <w:top w:val="single" w:sz="4" w:space="0" w:color="auto"/>
              <w:left w:val="single" w:sz="4" w:space="0" w:color="auto"/>
              <w:bottom w:val="single" w:sz="4" w:space="0" w:color="auto"/>
              <w:right w:val="single" w:sz="4" w:space="0" w:color="auto"/>
            </w:tcBorders>
          </w:tcPr>
          <w:p w14:paraId="4F7301C1" w14:textId="77777777" w:rsidR="00D42205" w:rsidRPr="001E4272" w:rsidRDefault="00D42205" w:rsidP="006A0D14">
            <w:pPr>
              <w:autoSpaceDE w:val="0"/>
              <w:autoSpaceDN w:val="0"/>
              <w:adjustRightInd w:val="0"/>
              <w:spacing w:before="0" w:after="0"/>
              <w:rPr>
                <w:noProof/>
                <w:color w:val="000000" w:themeColor="text1"/>
              </w:rPr>
            </w:pPr>
            <w:r w:rsidRPr="001E4272">
              <w:rPr>
                <w:noProof/>
                <w:color w:val="000000"/>
              </w:rPr>
              <w:t>Απαιτούνται 2* διοικητικοί υπάλληλοι για την κατάρτιση των περιγραφών καθηκόντων, τη διενέργεια των επιλογών και τη διαχείριση της ενσωμάτωσης των νέων υπαλλήλων, των αναγκών κατάρτισης και των δικαιωμάτων των νέων υπαλλήλων, για τη διαχείριση των διαδικασιών υποβολής προσφορών και για τη διασφάλιση της εκτέλεσης του προϋπολογισμού, του ελέγχου και της υποβολής εκθέσεων σχετικά με τα κονδύλια που εισπράττονται</w:t>
            </w:r>
          </w:p>
          <w:p w14:paraId="0A171924" w14:textId="77777777" w:rsidR="00D42205" w:rsidRPr="001E4272" w:rsidRDefault="00D42205" w:rsidP="00B2088F">
            <w:pPr>
              <w:autoSpaceDE w:val="0"/>
              <w:autoSpaceDN w:val="0"/>
              <w:adjustRightInd w:val="0"/>
              <w:spacing w:before="0" w:after="0"/>
              <w:rPr>
                <w:noProof/>
                <w:color w:val="000000"/>
                <w:szCs w:val="24"/>
              </w:rPr>
            </w:pPr>
          </w:p>
          <w:p w14:paraId="332C2D41" w14:textId="77777777" w:rsidR="00D42205" w:rsidRPr="001E4272" w:rsidRDefault="00D42205" w:rsidP="006A0D14">
            <w:pPr>
              <w:autoSpaceDE w:val="0"/>
              <w:autoSpaceDN w:val="0"/>
              <w:adjustRightInd w:val="0"/>
              <w:spacing w:before="0" w:after="0"/>
              <w:rPr>
                <w:i/>
                <w:iCs/>
                <w:noProof/>
                <w:color w:val="000000" w:themeColor="text1"/>
              </w:rPr>
            </w:pPr>
            <w:r w:rsidRPr="001E4272">
              <w:rPr>
                <w:i/>
                <w:iCs/>
                <w:noProof/>
                <w:color w:val="000000"/>
              </w:rPr>
              <w:t xml:space="preserve">Εκτιμώμενα απαιτούμενα ΙΠΑ — Πρόσθετα ΙΠΑ που θα προσλαμβάνονται ετησίως (μη σωρευτικά): </w:t>
            </w:r>
          </w:p>
          <w:p w14:paraId="40D0F2C6" w14:textId="77777777" w:rsidR="00D42205" w:rsidRPr="001E4272" w:rsidRDefault="00D42205" w:rsidP="160710AA">
            <w:pPr>
              <w:spacing w:before="0" w:after="0"/>
              <w:rPr>
                <w:noProof/>
                <w:szCs w:val="24"/>
              </w:rPr>
            </w:pPr>
            <w:r w:rsidRPr="001E4272">
              <w:rPr>
                <w:i/>
                <w:iCs/>
                <w:noProof/>
                <w:color w:val="000000"/>
              </w:rPr>
              <w:t>2024: +2</w:t>
            </w:r>
          </w:p>
        </w:tc>
      </w:tr>
      <w:tr w:rsidR="00D42205" w:rsidRPr="001E4272" w14:paraId="7242ECE2" w14:textId="77777777" w:rsidTr="006A0D14">
        <w:tc>
          <w:tcPr>
            <w:tcW w:w="1556" w:type="dxa"/>
            <w:vMerge w:val="restart"/>
          </w:tcPr>
          <w:p w14:paraId="0079CE91" w14:textId="77777777" w:rsidR="00D42205" w:rsidRPr="001E4272" w:rsidRDefault="00D42205" w:rsidP="00B2088F">
            <w:pPr>
              <w:spacing w:before="0" w:after="0"/>
              <w:jc w:val="left"/>
              <w:rPr>
                <w:noProof/>
                <w:szCs w:val="24"/>
              </w:rPr>
            </w:pPr>
            <w:r w:rsidRPr="001E4272">
              <w:rPr>
                <w:noProof/>
              </w:rPr>
              <w:t>Ειδικός στόχος αριθ. 2: Να ενισχυθούν η αποδοτικότητα και η ασφάλεια της ανταλλαγής δεδομένων μεταξύ των κρατών μελών, της Eurojust και τρίτων χωρών.</w:t>
            </w:r>
          </w:p>
        </w:tc>
        <w:tc>
          <w:tcPr>
            <w:tcW w:w="7653" w:type="dxa"/>
          </w:tcPr>
          <w:p w14:paraId="5BF64426" w14:textId="77777777" w:rsidR="00D42205" w:rsidRPr="001E4272" w:rsidRDefault="00D42205" w:rsidP="160710AA">
            <w:pPr>
              <w:spacing w:before="0" w:after="0"/>
              <w:rPr>
                <w:noProof/>
                <w:szCs w:val="24"/>
              </w:rPr>
            </w:pPr>
            <w:r w:rsidRPr="001E4272">
              <w:rPr>
                <w:noProof/>
              </w:rPr>
              <w:t xml:space="preserve"> Απαιτείται 1* βοηθός υποστήριξης υποθέσεων για τη διαχείριση της σημαντικής αύξησης του όγκου δεδομένων που αναμένεται, για την εκτέλεση της επεξεργασίας επιχειρησιακών δεδομένων στο σύστημα διαχείρισης υποθέσεων (συμπεριλαμβανομένων των μεταφράσεων), για τη διαχείριση της επισκόπησης του κύκλου ζωής των ανοικτών υποθέσεων και για την κατάρτιση ad hoc και τακτικών εκθέσεων (μηνιαίες, ετήσιες) και την παραγωγή στατιστικών στοιχείων</w:t>
            </w:r>
          </w:p>
          <w:p w14:paraId="11A15DD8" w14:textId="77777777" w:rsidR="00D42205" w:rsidRPr="001E4272" w:rsidRDefault="00D42205" w:rsidP="00B2088F">
            <w:pPr>
              <w:spacing w:before="0" w:after="0"/>
              <w:rPr>
                <w:noProof/>
                <w:szCs w:val="24"/>
              </w:rPr>
            </w:pPr>
          </w:p>
          <w:p w14:paraId="7699E5F5" w14:textId="77777777" w:rsidR="00D42205" w:rsidRPr="001E4272" w:rsidRDefault="00D42205" w:rsidP="006A0D14">
            <w:pPr>
              <w:spacing w:before="0" w:after="0"/>
              <w:rPr>
                <w:i/>
                <w:iCs/>
                <w:noProof/>
              </w:rPr>
            </w:pPr>
            <w:r w:rsidRPr="001E4272">
              <w:rPr>
                <w:i/>
                <w:iCs/>
                <w:noProof/>
              </w:rPr>
              <w:t xml:space="preserve">Εκτιμώμενα απαιτούμενα ΙΠΑ — Πρόσθετα ΙΠΑ που θα προσλαμβάνονται ετησίως (μη σωρευτικά): </w:t>
            </w:r>
          </w:p>
          <w:p w14:paraId="0917D494" w14:textId="77777777" w:rsidR="00D42205" w:rsidRPr="001E4272" w:rsidRDefault="00D42205" w:rsidP="160710AA">
            <w:pPr>
              <w:spacing w:before="0" w:after="0"/>
              <w:rPr>
                <w:noProof/>
                <w:szCs w:val="24"/>
              </w:rPr>
            </w:pPr>
            <w:r w:rsidRPr="001E4272">
              <w:rPr>
                <w:i/>
                <w:iCs/>
                <w:noProof/>
              </w:rPr>
              <w:t>2027: +1·</w:t>
            </w:r>
          </w:p>
        </w:tc>
      </w:tr>
      <w:tr w:rsidR="00D42205" w:rsidRPr="001E4272" w14:paraId="3A1B3AED" w14:textId="77777777" w:rsidTr="160710AA">
        <w:tc>
          <w:tcPr>
            <w:tcW w:w="1556" w:type="dxa"/>
            <w:vMerge/>
          </w:tcPr>
          <w:p w14:paraId="0C868002" w14:textId="77777777" w:rsidR="00D42205" w:rsidRPr="001E4272" w:rsidRDefault="00D42205" w:rsidP="00B2088F">
            <w:pPr>
              <w:spacing w:before="0" w:after="0"/>
              <w:jc w:val="left"/>
              <w:rPr>
                <w:noProof/>
                <w:szCs w:val="24"/>
              </w:rPr>
            </w:pPr>
          </w:p>
        </w:tc>
        <w:tc>
          <w:tcPr>
            <w:tcW w:w="7653" w:type="dxa"/>
          </w:tcPr>
          <w:p w14:paraId="1EE98167" w14:textId="77777777" w:rsidR="00D42205" w:rsidRPr="001E4272" w:rsidRDefault="00D42205" w:rsidP="160710AA">
            <w:pPr>
              <w:spacing w:before="0" w:after="0"/>
              <w:rPr>
                <w:noProof/>
                <w:szCs w:val="24"/>
              </w:rPr>
            </w:pPr>
            <w:r w:rsidRPr="001E4272">
              <w:rPr>
                <w:noProof/>
              </w:rPr>
              <w:t>Απαιτείται 1* υπεύθυνος διαχείρισης δεδομένων για τη διεξαγωγή διαδικασιών ελέγχου της ποιότητας των δεδομένων με στόχο να διασφαλίζεται ότι τα δεδομένα της Eurojust είναι υψηλής ποιότητας, επίκαιρα, πλήρη, σαφώς κατανοητά, συνεπή και διαθέσιμα όταν απαιτείται</w:t>
            </w:r>
          </w:p>
          <w:p w14:paraId="7F161A7D" w14:textId="77777777" w:rsidR="00D42205" w:rsidRPr="001E4272" w:rsidRDefault="00D42205" w:rsidP="00B2088F">
            <w:pPr>
              <w:spacing w:before="0" w:after="0"/>
              <w:rPr>
                <w:noProof/>
                <w:szCs w:val="24"/>
              </w:rPr>
            </w:pPr>
          </w:p>
          <w:p w14:paraId="0E0337F5" w14:textId="77777777" w:rsidR="00D42205" w:rsidRPr="001E4272" w:rsidRDefault="00D42205" w:rsidP="006A0D14">
            <w:pPr>
              <w:spacing w:before="0" w:after="0"/>
              <w:rPr>
                <w:i/>
                <w:iCs/>
                <w:noProof/>
              </w:rPr>
            </w:pPr>
            <w:r w:rsidRPr="001E4272">
              <w:rPr>
                <w:i/>
                <w:iCs/>
                <w:noProof/>
              </w:rPr>
              <w:t xml:space="preserve">Εκτιμώμενα απαιτούμενα ΙΠΑ — Πρόσθετα ΙΠΑ που θα προσλαμβάνονται ετησίως (μη σωρευτικά): </w:t>
            </w:r>
          </w:p>
          <w:p w14:paraId="2C865FF0" w14:textId="77777777" w:rsidR="00D42205" w:rsidRPr="001E4272" w:rsidRDefault="00D42205" w:rsidP="160710AA">
            <w:pPr>
              <w:spacing w:before="0" w:after="0"/>
              <w:rPr>
                <w:noProof/>
                <w:szCs w:val="24"/>
              </w:rPr>
            </w:pPr>
            <w:r w:rsidRPr="001E4272">
              <w:rPr>
                <w:i/>
                <w:iCs/>
                <w:noProof/>
              </w:rPr>
              <w:t>2027: +1</w:t>
            </w:r>
          </w:p>
        </w:tc>
      </w:tr>
      <w:tr w:rsidR="00D42205" w:rsidRPr="001E4272" w14:paraId="383F7930" w14:textId="77777777" w:rsidTr="160710AA">
        <w:tc>
          <w:tcPr>
            <w:tcW w:w="1556" w:type="dxa"/>
            <w:vMerge/>
          </w:tcPr>
          <w:p w14:paraId="41B06D8A" w14:textId="77777777" w:rsidR="00D42205" w:rsidRPr="001E4272" w:rsidRDefault="00D42205" w:rsidP="00B2088F">
            <w:pPr>
              <w:spacing w:before="0" w:after="0"/>
              <w:jc w:val="left"/>
              <w:rPr>
                <w:noProof/>
                <w:szCs w:val="24"/>
              </w:rPr>
            </w:pPr>
          </w:p>
        </w:tc>
        <w:tc>
          <w:tcPr>
            <w:tcW w:w="7653" w:type="dxa"/>
          </w:tcPr>
          <w:p w14:paraId="28672000" w14:textId="77777777" w:rsidR="00D42205" w:rsidRPr="001E4272" w:rsidRDefault="00D42205" w:rsidP="006A0D14">
            <w:pPr>
              <w:autoSpaceDE w:val="0"/>
              <w:autoSpaceDN w:val="0"/>
              <w:adjustRightInd w:val="0"/>
              <w:spacing w:before="0" w:after="0"/>
              <w:rPr>
                <w:noProof/>
                <w:color w:val="000000" w:themeColor="text1"/>
              </w:rPr>
            </w:pPr>
            <w:r w:rsidRPr="001E4272">
              <w:rPr>
                <w:noProof/>
                <w:color w:val="000000"/>
              </w:rPr>
              <w:t>Απαιτούνται 1* νομικός σύμβουλος και 1*υπεύθυνος πολιτικής για να συμμετέχουν στη διαπραγμάτευση διεθνών συμφωνιών από την Επιτροπή και για να διαπραγματεύονται και να εκπονούν στρατηγικές και/ή εκτελεστικές συμφωνίες συνεργασίας με τρίτες χώρες</w:t>
            </w:r>
          </w:p>
          <w:p w14:paraId="174363D0" w14:textId="77777777" w:rsidR="00D42205" w:rsidRPr="001E4272" w:rsidRDefault="00D42205" w:rsidP="00B2088F">
            <w:pPr>
              <w:autoSpaceDE w:val="0"/>
              <w:autoSpaceDN w:val="0"/>
              <w:adjustRightInd w:val="0"/>
              <w:spacing w:before="0" w:after="0"/>
              <w:rPr>
                <w:noProof/>
                <w:color w:val="000000"/>
                <w:szCs w:val="24"/>
              </w:rPr>
            </w:pPr>
          </w:p>
          <w:p w14:paraId="0F58E4CD" w14:textId="77777777" w:rsidR="00D42205" w:rsidRPr="001E4272" w:rsidRDefault="00D42205" w:rsidP="006A0D14">
            <w:pPr>
              <w:autoSpaceDE w:val="0"/>
              <w:autoSpaceDN w:val="0"/>
              <w:adjustRightInd w:val="0"/>
              <w:spacing w:before="0" w:after="0"/>
              <w:rPr>
                <w:i/>
                <w:iCs/>
                <w:noProof/>
                <w:color w:val="000000" w:themeColor="text1"/>
              </w:rPr>
            </w:pPr>
            <w:r w:rsidRPr="001E4272">
              <w:rPr>
                <w:i/>
                <w:iCs/>
                <w:noProof/>
                <w:color w:val="000000"/>
              </w:rPr>
              <w:t xml:space="preserve">Εκτιμώμενα απαιτούμενα ΙΠΑ — Πρόσθετα ΙΠΑ που θα προσλαμβάνονται ετησίως (μη σωρευτικά): </w:t>
            </w:r>
          </w:p>
          <w:p w14:paraId="604E55D3" w14:textId="77777777" w:rsidR="00D42205" w:rsidRPr="001E4272" w:rsidRDefault="00D42205" w:rsidP="006A0D14">
            <w:pPr>
              <w:autoSpaceDE w:val="0"/>
              <w:autoSpaceDN w:val="0"/>
              <w:adjustRightInd w:val="0"/>
              <w:spacing w:before="0" w:after="0"/>
              <w:rPr>
                <w:noProof/>
                <w:color w:val="000000" w:themeColor="text1"/>
              </w:rPr>
            </w:pPr>
            <w:r w:rsidRPr="001E4272">
              <w:rPr>
                <w:i/>
                <w:iCs/>
                <w:noProof/>
                <w:color w:val="000000"/>
              </w:rPr>
              <w:t>2024: +2·</w:t>
            </w:r>
          </w:p>
        </w:tc>
      </w:tr>
      <w:tr w:rsidR="00D42205" w:rsidRPr="001E4272" w14:paraId="6878A6E2" w14:textId="77777777" w:rsidTr="160710AA">
        <w:tc>
          <w:tcPr>
            <w:tcW w:w="1556" w:type="dxa"/>
            <w:vMerge/>
          </w:tcPr>
          <w:p w14:paraId="7618F1BD" w14:textId="77777777" w:rsidR="00D42205" w:rsidRPr="001E4272" w:rsidRDefault="00D42205" w:rsidP="00B2088F">
            <w:pPr>
              <w:spacing w:before="0" w:after="0"/>
              <w:jc w:val="left"/>
              <w:rPr>
                <w:noProof/>
                <w:szCs w:val="24"/>
              </w:rPr>
            </w:pPr>
          </w:p>
        </w:tc>
        <w:tc>
          <w:tcPr>
            <w:tcW w:w="7653" w:type="dxa"/>
          </w:tcPr>
          <w:p w14:paraId="35FECE8E" w14:textId="77777777" w:rsidR="00D42205" w:rsidRPr="001E4272" w:rsidRDefault="00D42205" w:rsidP="006A0D14">
            <w:pPr>
              <w:autoSpaceDE w:val="0"/>
              <w:autoSpaceDN w:val="0"/>
              <w:adjustRightInd w:val="0"/>
              <w:spacing w:before="0" w:after="0"/>
              <w:rPr>
                <w:noProof/>
                <w:color w:val="000000" w:themeColor="text1"/>
              </w:rPr>
            </w:pPr>
            <w:r w:rsidRPr="001E4272">
              <w:rPr>
                <w:noProof/>
                <w:color w:val="000000"/>
              </w:rPr>
              <w:t>Απαιτείται 1* νομικός σύμβουλος για τη διαπραγμάτευση, την κατάρτιση, την αξιολόγηση και την επανεξέταση των μέσων συνεργασίας / συμφωνιών συνεργασίας / μνημονίων συμφωνίας με οργανισμούς και φορείς-εταίρους</w:t>
            </w:r>
          </w:p>
          <w:p w14:paraId="0B46F0D6" w14:textId="77777777" w:rsidR="00D42205" w:rsidRPr="001E4272" w:rsidRDefault="00D42205" w:rsidP="00B2088F">
            <w:pPr>
              <w:autoSpaceDE w:val="0"/>
              <w:autoSpaceDN w:val="0"/>
              <w:adjustRightInd w:val="0"/>
              <w:spacing w:before="0" w:after="0"/>
              <w:rPr>
                <w:i/>
                <w:noProof/>
                <w:color w:val="000000"/>
                <w:szCs w:val="24"/>
              </w:rPr>
            </w:pPr>
          </w:p>
          <w:p w14:paraId="3B91EDA7" w14:textId="77777777" w:rsidR="00D42205" w:rsidRPr="001E4272" w:rsidRDefault="00D42205" w:rsidP="006A0D14">
            <w:pPr>
              <w:autoSpaceDE w:val="0"/>
              <w:autoSpaceDN w:val="0"/>
              <w:adjustRightInd w:val="0"/>
              <w:spacing w:before="0" w:after="0"/>
              <w:rPr>
                <w:i/>
                <w:iCs/>
                <w:noProof/>
                <w:color w:val="000000" w:themeColor="text1"/>
              </w:rPr>
            </w:pPr>
            <w:r w:rsidRPr="001E4272">
              <w:rPr>
                <w:i/>
                <w:iCs/>
                <w:noProof/>
                <w:color w:val="000000"/>
              </w:rPr>
              <w:t xml:space="preserve">Εκτιμώμενα απαιτούμενα ΙΠΑ — Πρόσθετα ΙΠΑ που θα προσλαμβάνονται ετησίως (μη σωρευτικά): </w:t>
            </w:r>
          </w:p>
          <w:p w14:paraId="6856E413" w14:textId="77777777" w:rsidR="00D42205" w:rsidRPr="001E4272" w:rsidRDefault="00D42205" w:rsidP="00B2088F">
            <w:pPr>
              <w:spacing w:before="0"/>
              <w:rPr>
                <w:i/>
                <w:noProof/>
                <w:szCs w:val="24"/>
              </w:rPr>
            </w:pPr>
            <w:r w:rsidRPr="001E4272">
              <w:rPr>
                <w:i/>
                <w:noProof/>
                <w:szCs w:val="24"/>
              </w:rPr>
              <w:t>2025: +1</w:t>
            </w:r>
          </w:p>
        </w:tc>
      </w:tr>
    </w:tbl>
    <w:p w14:paraId="77A72136" w14:textId="77777777" w:rsidR="00436363" w:rsidRPr="001E4272" w:rsidRDefault="00906BEE" w:rsidP="00906BEE">
      <w:pPr>
        <w:tabs>
          <w:tab w:val="left" w:pos="2573"/>
        </w:tabs>
        <w:rPr>
          <w:noProof/>
          <w:sz w:val="18"/>
        </w:rPr>
        <w:sectPr w:rsidR="00436363" w:rsidRPr="001E4272" w:rsidSect="00C51A3C">
          <w:headerReference w:type="default" r:id="rId19"/>
          <w:footerReference w:type="default" r:id="rId20"/>
          <w:headerReference w:type="first" r:id="rId21"/>
          <w:footerReference w:type="first" r:id="rId22"/>
          <w:pgSz w:w="11907" w:h="16840"/>
          <w:pgMar w:top="1134" w:right="1418" w:bottom="1134" w:left="1418" w:header="709" w:footer="709" w:gutter="0"/>
          <w:cols w:space="708"/>
          <w:docGrid w:linePitch="360"/>
        </w:sectPr>
      </w:pPr>
      <w:r w:rsidRPr="001E4272">
        <w:rPr>
          <w:noProof/>
        </w:rPr>
        <w:tab/>
      </w:r>
    </w:p>
    <w:p w14:paraId="61B21125" w14:textId="7DE2CB28" w:rsidR="00436363" w:rsidRPr="001E4272" w:rsidRDefault="00F27BFA" w:rsidP="00F27BFA">
      <w:pPr>
        <w:pStyle w:val="ManualHeading4"/>
        <w:rPr>
          <w:bCs/>
          <w:noProof/>
          <w:szCs w:val="24"/>
        </w:rPr>
      </w:pPr>
      <w:r w:rsidRPr="00F27BFA">
        <w:t>3.2.3.2.</w:t>
      </w:r>
      <w:r w:rsidRPr="00F27BFA">
        <w:tab/>
      </w:r>
      <w:r w:rsidR="00436363" w:rsidRPr="001E4272">
        <w:rPr>
          <w:noProof/>
        </w:rPr>
        <w:t xml:space="preserve">Εκτιμώμενες ανάγκες σε ανθρώπινους πόρους </w:t>
      </w:r>
    </w:p>
    <w:p w14:paraId="0748B474" w14:textId="77777777" w:rsidR="00D42205" w:rsidRPr="001E4272" w:rsidRDefault="00D42205" w:rsidP="00D42205">
      <w:pPr>
        <w:pStyle w:val="ListDash1"/>
        <w:tabs>
          <w:tab w:val="clear" w:pos="1134"/>
          <w:tab w:val="num" w:pos="709"/>
        </w:tabs>
        <w:ind w:left="993" w:hanging="567"/>
        <w:rPr>
          <w:noProof/>
        </w:rPr>
      </w:pPr>
      <w:r w:rsidRPr="001E4272">
        <w:rPr>
          <w:noProof/>
        </w:rPr>
        <w:sym w:font="Wingdings" w:char="F0A8"/>
      </w:r>
      <w:r w:rsidRPr="001E4272">
        <w:rPr>
          <w:noProof/>
        </w:rPr>
        <w:tab/>
        <w:t xml:space="preserve">Η πρόταση/πρωτοβουλία δεν συνεπάγεται τη χρησιμοποίηση ανθρώπινων πόρων. </w:t>
      </w:r>
    </w:p>
    <w:p w14:paraId="0B3F6ADC" w14:textId="77777777" w:rsidR="00D42205" w:rsidRPr="001E4272" w:rsidRDefault="00D42205" w:rsidP="00D42205">
      <w:pPr>
        <w:pStyle w:val="ListDash1"/>
        <w:tabs>
          <w:tab w:val="clear" w:pos="1134"/>
          <w:tab w:val="num" w:pos="709"/>
        </w:tabs>
        <w:ind w:left="993" w:hanging="567"/>
        <w:rPr>
          <w:noProof/>
        </w:rPr>
      </w:pPr>
      <w:r w:rsidRPr="001E4272">
        <w:rPr>
          <w:noProof/>
        </w:rPr>
        <w:sym w:font="Wingdings" w:char="F0FE"/>
      </w:r>
      <w:r w:rsidRPr="001E4272">
        <w:rPr>
          <w:noProof/>
        </w:rPr>
        <w:tab/>
        <w:t>Η πρόταση/πρωτοβουλία συνεπάγεται τη χρησιμοποίηση ανθρώπινων πόρων, όπως εξηγείται κατωτέρω:</w:t>
      </w:r>
    </w:p>
    <w:p w14:paraId="1AF32D8D" w14:textId="77777777" w:rsidR="00436363" w:rsidRPr="001E4272" w:rsidRDefault="00D42205" w:rsidP="00D42205">
      <w:pPr>
        <w:spacing w:after="60"/>
        <w:jc w:val="right"/>
        <w:rPr>
          <w:i/>
          <w:noProof/>
          <w:sz w:val="20"/>
        </w:rPr>
      </w:pPr>
      <w:r w:rsidRPr="001E4272">
        <w:rPr>
          <w:i/>
          <w:noProof/>
          <w:sz w:val="20"/>
        </w:rPr>
        <w:t>Εκτίμηση η οποία πρέπει να εκφράζεται σε ακέραιο αριθμό (ή το πολύ με ένα δεκαδικό ψηφίο)</w:t>
      </w:r>
    </w:p>
    <w:tbl>
      <w:tblPr>
        <w:tblW w:w="4632" w:type="pct"/>
        <w:tblInd w:w="6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8"/>
        <w:gridCol w:w="2009"/>
        <w:gridCol w:w="1124"/>
        <w:gridCol w:w="1136"/>
        <w:gridCol w:w="1136"/>
        <w:gridCol w:w="1220"/>
      </w:tblGrid>
      <w:tr w:rsidR="008911CF" w:rsidRPr="001E4272" w14:paraId="1924D9F8" w14:textId="77777777" w:rsidTr="006A0D14">
        <w:trPr>
          <w:trHeight w:val="1053"/>
        </w:trPr>
        <w:tc>
          <w:tcPr>
            <w:tcW w:w="2317" w:type="pct"/>
            <w:gridSpan w:val="2"/>
            <w:shd w:val="clear" w:color="auto" w:fill="auto"/>
          </w:tcPr>
          <w:p w14:paraId="7E273377" w14:textId="77777777" w:rsidR="008911CF" w:rsidRPr="001E4272" w:rsidRDefault="008911CF" w:rsidP="00B2088F">
            <w:pPr>
              <w:pStyle w:val="Text1"/>
              <w:spacing w:before="40" w:after="40"/>
              <w:ind w:left="0"/>
              <w:jc w:val="center"/>
              <w:rPr>
                <w:i/>
                <w:noProof/>
                <w:sz w:val="20"/>
              </w:rPr>
            </w:pPr>
          </w:p>
        </w:tc>
        <w:tc>
          <w:tcPr>
            <w:tcW w:w="653" w:type="pct"/>
            <w:shd w:val="clear" w:color="auto" w:fill="auto"/>
            <w:vAlign w:val="center"/>
          </w:tcPr>
          <w:p w14:paraId="40EE53BE" w14:textId="77777777" w:rsidR="008911CF" w:rsidRPr="001E4272" w:rsidRDefault="008911CF" w:rsidP="00B2088F">
            <w:pPr>
              <w:spacing w:before="20" w:after="20"/>
              <w:jc w:val="center"/>
              <w:rPr>
                <w:noProof/>
                <w:sz w:val="20"/>
              </w:rPr>
            </w:pPr>
            <w:r w:rsidRPr="001E4272">
              <w:rPr>
                <w:noProof/>
                <w:sz w:val="20"/>
              </w:rPr>
              <w:t xml:space="preserve">Έτος </w:t>
            </w:r>
            <w:r w:rsidRPr="001E4272">
              <w:rPr>
                <w:b/>
                <w:noProof/>
                <w:sz w:val="20"/>
              </w:rPr>
              <w:t>2024</w:t>
            </w:r>
          </w:p>
        </w:tc>
        <w:tc>
          <w:tcPr>
            <w:tcW w:w="660" w:type="pct"/>
            <w:shd w:val="clear" w:color="auto" w:fill="auto"/>
            <w:vAlign w:val="center"/>
          </w:tcPr>
          <w:p w14:paraId="120F6F13" w14:textId="77777777" w:rsidR="008911CF" w:rsidRPr="001E4272" w:rsidRDefault="008911CF" w:rsidP="00B2088F">
            <w:pPr>
              <w:spacing w:before="20" w:after="20"/>
              <w:jc w:val="center"/>
              <w:rPr>
                <w:noProof/>
                <w:sz w:val="20"/>
              </w:rPr>
            </w:pPr>
            <w:r w:rsidRPr="001E4272">
              <w:rPr>
                <w:noProof/>
                <w:sz w:val="20"/>
              </w:rPr>
              <w:t xml:space="preserve">Έτος </w:t>
            </w:r>
            <w:r w:rsidRPr="001E4272">
              <w:rPr>
                <w:b/>
                <w:noProof/>
                <w:sz w:val="20"/>
              </w:rPr>
              <w:t>2025</w:t>
            </w:r>
          </w:p>
        </w:tc>
        <w:tc>
          <w:tcPr>
            <w:tcW w:w="659" w:type="pct"/>
            <w:shd w:val="clear" w:color="auto" w:fill="auto"/>
            <w:vAlign w:val="center"/>
          </w:tcPr>
          <w:p w14:paraId="7524F794" w14:textId="77777777" w:rsidR="008911CF" w:rsidRPr="001E4272" w:rsidRDefault="008911CF" w:rsidP="00B2088F">
            <w:pPr>
              <w:spacing w:before="20" w:after="20"/>
              <w:jc w:val="center"/>
              <w:rPr>
                <w:noProof/>
                <w:sz w:val="20"/>
              </w:rPr>
            </w:pPr>
            <w:r w:rsidRPr="001E4272">
              <w:rPr>
                <w:noProof/>
                <w:sz w:val="20"/>
              </w:rPr>
              <w:t xml:space="preserve">Έτος </w:t>
            </w:r>
            <w:r w:rsidRPr="001E4272">
              <w:rPr>
                <w:b/>
                <w:noProof/>
                <w:sz w:val="20"/>
              </w:rPr>
              <w:t>2026</w:t>
            </w:r>
          </w:p>
        </w:tc>
        <w:tc>
          <w:tcPr>
            <w:tcW w:w="710" w:type="pct"/>
            <w:shd w:val="clear" w:color="auto" w:fill="auto"/>
            <w:vAlign w:val="center"/>
          </w:tcPr>
          <w:p w14:paraId="263AD424" w14:textId="77777777" w:rsidR="008911CF" w:rsidRPr="001E4272" w:rsidRDefault="008911CF" w:rsidP="00B2088F">
            <w:pPr>
              <w:spacing w:before="20" w:after="20"/>
              <w:jc w:val="center"/>
              <w:rPr>
                <w:noProof/>
                <w:sz w:val="20"/>
              </w:rPr>
            </w:pPr>
            <w:r w:rsidRPr="001E4272">
              <w:rPr>
                <w:noProof/>
                <w:sz w:val="20"/>
              </w:rPr>
              <w:t xml:space="preserve">Έτος </w:t>
            </w:r>
            <w:r w:rsidRPr="001E4272">
              <w:rPr>
                <w:b/>
                <w:noProof/>
                <w:sz w:val="20"/>
              </w:rPr>
              <w:t>2027</w:t>
            </w:r>
          </w:p>
        </w:tc>
      </w:tr>
      <w:tr w:rsidR="008911CF" w:rsidRPr="001E4272" w14:paraId="51C0F200" w14:textId="77777777" w:rsidTr="006A0D14">
        <w:trPr>
          <w:trHeight w:val="289"/>
        </w:trPr>
        <w:tc>
          <w:tcPr>
            <w:tcW w:w="2317" w:type="pct"/>
            <w:gridSpan w:val="2"/>
            <w:shd w:val="clear" w:color="auto" w:fill="auto"/>
            <w:vAlign w:val="center"/>
          </w:tcPr>
          <w:p w14:paraId="35CAB8CA" w14:textId="77777777" w:rsidR="008911CF" w:rsidRPr="001E4272" w:rsidRDefault="008911CF" w:rsidP="00167C03">
            <w:pPr>
              <w:pStyle w:val="Text1"/>
              <w:numPr>
                <w:ilvl w:val="0"/>
                <w:numId w:val="25"/>
              </w:numPr>
              <w:tabs>
                <w:tab w:val="left" w:pos="208"/>
              </w:tabs>
              <w:spacing w:beforeLines="20" w:before="48" w:afterLines="20" w:after="48"/>
              <w:ind w:left="208" w:hanging="120"/>
              <w:jc w:val="left"/>
              <w:rPr>
                <w:b/>
                <w:noProof/>
                <w:sz w:val="20"/>
              </w:rPr>
            </w:pPr>
            <w:r w:rsidRPr="001E4272">
              <w:rPr>
                <w:b/>
                <w:noProof/>
                <w:sz w:val="20"/>
              </w:rPr>
              <w:t>Θέσεις απασχόλησης του πίνακα προσωπικού (θέσεις μόνιμων και έκτακτων υπαλλήλων)</w:t>
            </w:r>
          </w:p>
        </w:tc>
        <w:tc>
          <w:tcPr>
            <w:tcW w:w="653" w:type="pct"/>
            <w:shd w:val="clear" w:color="auto" w:fill="auto"/>
            <w:vAlign w:val="center"/>
          </w:tcPr>
          <w:p w14:paraId="3D1FF1FA" w14:textId="77777777" w:rsidR="008911CF" w:rsidRPr="001E4272" w:rsidRDefault="008911CF" w:rsidP="00B2088F">
            <w:pPr>
              <w:spacing w:beforeLines="20" w:before="48" w:afterLines="20" w:after="48"/>
              <w:jc w:val="center"/>
              <w:rPr>
                <w:noProof/>
                <w:sz w:val="20"/>
              </w:rPr>
            </w:pPr>
          </w:p>
        </w:tc>
        <w:tc>
          <w:tcPr>
            <w:tcW w:w="660" w:type="pct"/>
            <w:shd w:val="clear" w:color="auto" w:fill="auto"/>
            <w:vAlign w:val="center"/>
          </w:tcPr>
          <w:p w14:paraId="0D92E06F" w14:textId="77777777" w:rsidR="008911CF" w:rsidRPr="001E4272" w:rsidRDefault="008911CF" w:rsidP="00B2088F">
            <w:pPr>
              <w:spacing w:beforeLines="20" w:before="48" w:afterLines="20" w:after="48"/>
              <w:jc w:val="center"/>
              <w:rPr>
                <w:noProof/>
                <w:sz w:val="20"/>
              </w:rPr>
            </w:pPr>
          </w:p>
        </w:tc>
        <w:tc>
          <w:tcPr>
            <w:tcW w:w="660" w:type="pct"/>
            <w:shd w:val="clear" w:color="auto" w:fill="auto"/>
            <w:vAlign w:val="center"/>
          </w:tcPr>
          <w:p w14:paraId="56B8C948" w14:textId="77777777" w:rsidR="008911CF" w:rsidRPr="001E4272" w:rsidRDefault="008911CF" w:rsidP="00B2088F">
            <w:pPr>
              <w:spacing w:beforeLines="20" w:before="48" w:afterLines="20" w:after="48"/>
              <w:jc w:val="center"/>
              <w:rPr>
                <w:noProof/>
                <w:sz w:val="20"/>
              </w:rPr>
            </w:pPr>
          </w:p>
        </w:tc>
        <w:tc>
          <w:tcPr>
            <w:tcW w:w="710" w:type="pct"/>
            <w:shd w:val="clear" w:color="auto" w:fill="auto"/>
            <w:vAlign w:val="center"/>
          </w:tcPr>
          <w:p w14:paraId="0A0EA986" w14:textId="77777777" w:rsidR="008911CF" w:rsidRPr="001E4272" w:rsidRDefault="008911CF" w:rsidP="00B2088F">
            <w:pPr>
              <w:spacing w:beforeLines="20" w:before="48" w:afterLines="20" w:after="48"/>
              <w:jc w:val="center"/>
              <w:rPr>
                <w:noProof/>
                <w:sz w:val="20"/>
              </w:rPr>
            </w:pPr>
          </w:p>
        </w:tc>
      </w:tr>
      <w:tr w:rsidR="008911CF" w:rsidRPr="001E4272" w14:paraId="0D577956" w14:textId="77777777" w:rsidTr="006A0D14">
        <w:trPr>
          <w:trHeight w:val="289"/>
        </w:trPr>
        <w:tc>
          <w:tcPr>
            <w:tcW w:w="2317" w:type="pct"/>
            <w:gridSpan w:val="2"/>
            <w:shd w:val="clear" w:color="auto" w:fill="auto"/>
            <w:vAlign w:val="center"/>
          </w:tcPr>
          <w:p w14:paraId="7210C376" w14:textId="77777777" w:rsidR="008911CF" w:rsidRPr="001E4272" w:rsidRDefault="008911CF" w:rsidP="00B2088F">
            <w:pPr>
              <w:pStyle w:val="Text1"/>
              <w:spacing w:beforeLines="20" w:before="48" w:afterLines="20" w:after="48"/>
              <w:ind w:left="984"/>
              <w:jc w:val="left"/>
              <w:rPr>
                <w:b/>
                <w:noProof/>
                <w:sz w:val="20"/>
              </w:rPr>
            </w:pPr>
            <w:r w:rsidRPr="001E4272">
              <w:rPr>
                <w:noProof/>
                <w:sz w:val="20"/>
              </w:rPr>
              <w:t>20 01 02 01 και 20 01 02 02 (στην έδρα και στις αντιπροσωπείες της Επιτροπής)</w:t>
            </w:r>
          </w:p>
        </w:tc>
        <w:tc>
          <w:tcPr>
            <w:tcW w:w="653" w:type="pct"/>
            <w:shd w:val="clear" w:color="auto" w:fill="auto"/>
            <w:vAlign w:val="center"/>
          </w:tcPr>
          <w:p w14:paraId="0827816D" w14:textId="77777777" w:rsidR="008911CF" w:rsidRPr="001E4272" w:rsidRDefault="008911CF" w:rsidP="00B2088F">
            <w:pPr>
              <w:spacing w:beforeLines="20" w:before="48" w:afterLines="20" w:after="48"/>
              <w:jc w:val="center"/>
              <w:rPr>
                <w:noProof/>
                <w:sz w:val="20"/>
              </w:rPr>
            </w:pPr>
            <w:r w:rsidRPr="001E4272">
              <w:rPr>
                <w:noProof/>
                <w:sz w:val="20"/>
              </w:rPr>
              <w:t>1</w:t>
            </w:r>
          </w:p>
        </w:tc>
        <w:tc>
          <w:tcPr>
            <w:tcW w:w="660" w:type="pct"/>
            <w:shd w:val="clear" w:color="auto" w:fill="auto"/>
            <w:vAlign w:val="center"/>
          </w:tcPr>
          <w:p w14:paraId="6E9CFA4D" w14:textId="77777777" w:rsidR="008911CF" w:rsidRPr="001E4272" w:rsidRDefault="008911CF" w:rsidP="00B2088F">
            <w:pPr>
              <w:spacing w:beforeLines="20" w:before="48" w:afterLines="20" w:after="48"/>
              <w:jc w:val="center"/>
              <w:rPr>
                <w:noProof/>
                <w:sz w:val="20"/>
              </w:rPr>
            </w:pPr>
            <w:r w:rsidRPr="001E4272">
              <w:rPr>
                <w:noProof/>
                <w:sz w:val="20"/>
              </w:rPr>
              <w:t>1</w:t>
            </w:r>
          </w:p>
        </w:tc>
        <w:tc>
          <w:tcPr>
            <w:tcW w:w="660" w:type="pct"/>
            <w:shd w:val="clear" w:color="auto" w:fill="auto"/>
            <w:vAlign w:val="center"/>
          </w:tcPr>
          <w:p w14:paraId="173B55A9" w14:textId="77777777" w:rsidR="008911CF" w:rsidRPr="001E4272" w:rsidRDefault="008911CF" w:rsidP="00B2088F">
            <w:pPr>
              <w:spacing w:beforeLines="20" w:before="48" w:afterLines="20" w:after="48"/>
              <w:jc w:val="center"/>
              <w:rPr>
                <w:noProof/>
                <w:sz w:val="20"/>
              </w:rPr>
            </w:pPr>
            <w:r w:rsidRPr="001E4272">
              <w:rPr>
                <w:noProof/>
                <w:sz w:val="20"/>
              </w:rPr>
              <w:t>1</w:t>
            </w:r>
          </w:p>
        </w:tc>
        <w:tc>
          <w:tcPr>
            <w:tcW w:w="710" w:type="pct"/>
            <w:shd w:val="clear" w:color="auto" w:fill="auto"/>
            <w:vAlign w:val="center"/>
          </w:tcPr>
          <w:p w14:paraId="5A51E745" w14:textId="77777777" w:rsidR="008911CF" w:rsidRPr="001E4272" w:rsidRDefault="008911CF" w:rsidP="00B2088F">
            <w:pPr>
              <w:spacing w:beforeLines="20" w:before="48" w:afterLines="20" w:after="48"/>
              <w:jc w:val="center"/>
              <w:rPr>
                <w:noProof/>
                <w:sz w:val="20"/>
              </w:rPr>
            </w:pPr>
            <w:r w:rsidRPr="001E4272">
              <w:rPr>
                <w:noProof/>
                <w:sz w:val="20"/>
              </w:rPr>
              <w:t>1</w:t>
            </w:r>
          </w:p>
        </w:tc>
      </w:tr>
      <w:tr w:rsidR="008911CF" w:rsidRPr="001E4272" w14:paraId="3FF6EEDB" w14:textId="77777777" w:rsidTr="006A0D14">
        <w:trPr>
          <w:trHeight w:val="289"/>
        </w:trPr>
        <w:tc>
          <w:tcPr>
            <w:tcW w:w="2317" w:type="pct"/>
            <w:gridSpan w:val="2"/>
            <w:shd w:val="clear" w:color="auto" w:fill="auto"/>
            <w:vAlign w:val="center"/>
          </w:tcPr>
          <w:p w14:paraId="6FD699CD" w14:textId="77777777" w:rsidR="008911CF" w:rsidRPr="001E4272" w:rsidRDefault="008911CF" w:rsidP="00B2088F">
            <w:pPr>
              <w:pStyle w:val="Text1"/>
              <w:spacing w:beforeLines="20" w:before="48" w:afterLines="20" w:after="48"/>
              <w:ind w:left="984"/>
              <w:jc w:val="left"/>
              <w:rPr>
                <w:noProof/>
                <w:sz w:val="20"/>
              </w:rPr>
            </w:pPr>
            <w:r w:rsidRPr="001E4272">
              <w:rPr>
                <w:noProof/>
                <w:sz w:val="20"/>
              </w:rPr>
              <w:t>20 01 02 03 (στις αντιπροσωπείες της ΕΕ)</w:t>
            </w:r>
          </w:p>
        </w:tc>
        <w:tc>
          <w:tcPr>
            <w:tcW w:w="653" w:type="pct"/>
            <w:shd w:val="clear" w:color="auto" w:fill="auto"/>
            <w:vAlign w:val="center"/>
          </w:tcPr>
          <w:p w14:paraId="16D74B35" w14:textId="77777777" w:rsidR="008911CF" w:rsidRPr="001E4272" w:rsidRDefault="008911CF" w:rsidP="00B2088F">
            <w:pPr>
              <w:spacing w:beforeLines="20" w:before="48" w:afterLines="20" w:after="48"/>
              <w:jc w:val="center"/>
              <w:rPr>
                <w:noProof/>
                <w:sz w:val="20"/>
              </w:rPr>
            </w:pPr>
          </w:p>
        </w:tc>
        <w:tc>
          <w:tcPr>
            <w:tcW w:w="660" w:type="pct"/>
            <w:shd w:val="clear" w:color="auto" w:fill="auto"/>
            <w:vAlign w:val="center"/>
          </w:tcPr>
          <w:p w14:paraId="5C6CDBF0" w14:textId="77777777" w:rsidR="008911CF" w:rsidRPr="001E4272" w:rsidRDefault="008911CF" w:rsidP="00B2088F">
            <w:pPr>
              <w:spacing w:beforeLines="20" w:before="48" w:afterLines="20" w:after="48"/>
              <w:jc w:val="center"/>
              <w:rPr>
                <w:noProof/>
                <w:sz w:val="20"/>
              </w:rPr>
            </w:pPr>
          </w:p>
        </w:tc>
        <w:tc>
          <w:tcPr>
            <w:tcW w:w="660" w:type="pct"/>
            <w:shd w:val="clear" w:color="auto" w:fill="auto"/>
            <w:vAlign w:val="center"/>
          </w:tcPr>
          <w:p w14:paraId="573E5C0E" w14:textId="77777777" w:rsidR="008911CF" w:rsidRPr="001E4272" w:rsidRDefault="008911CF" w:rsidP="00B2088F">
            <w:pPr>
              <w:spacing w:beforeLines="20" w:before="48" w:afterLines="20" w:after="48"/>
              <w:jc w:val="center"/>
              <w:rPr>
                <w:noProof/>
                <w:sz w:val="20"/>
              </w:rPr>
            </w:pPr>
          </w:p>
        </w:tc>
        <w:tc>
          <w:tcPr>
            <w:tcW w:w="710" w:type="pct"/>
            <w:shd w:val="clear" w:color="auto" w:fill="auto"/>
            <w:vAlign w:val="center"/>
          </w:tcPr>
          <w:p w14:paraId="0E5E6513" w14:textId="77777777" w:rsidR="008911CF" w:rsidRPr="001E4272" w:rsidRDefault="008911CF" w:rsidP="00B2088F">
            <w:pPr>
              <w:spacing w:beforeLines="20" w:before="48" w:afterLines="20" w:after="48"/>
              <w:jc w:val="center"/>
              <w:rPr>
                <w:noProof/>
                <w:sz w:val="20"/>
              </w:rPr>
            </w:pPr>
          </w:p>
        </w:tc>
      </w:tr>
      <w:tr w:rsidR="008911CF" w:rsidRPr="001E4272" w14:paraId="5BFDDE9F" w14:textId="77777777" w:rsidTr="006A0D14">
        <w:trPr>
          <w:trHeight w:val="953"/>
        </w:trPr>
        <w:tc>
          <w:tcPr>
            <w:tcW w:w="2317" w:type="pct"/>
            <w:gridSpan w:val="2"/>
            <w:shd w:val="clear" w:color="auto" w:fill="auto"/>
            <w:vAlign w:val="center"/>
          </w:tcPr>
          <w:p w14:paraId="7F362571" w14:textId="77777777" w:rsidR="008911CF" w:rsidRPr="001E4272" w:rsidRDefault="008911CF" w:rsidP="00B2088F">
            <w:pPr>
              <w:pStyle w:val="Text1"/>
              <w:spacing w:beforeLines="20" w:before="48" w:afterLines="20" w:after="48"/>
              <w:ind w:left="984"/>
              <w:jc w:val="left"/>
              <w:rPr>
                <w:noProof/>
                <w:sz w:val="20"/>
              </w:rPr>
            </w:pPr>
            <w:r w:rsidRPr="001E4272">
              <w:rPr>
                <w:noProof/>
                <w:sz w:val="20"/>
              </w:rPr>
              <w:t>01 01 01 01 (έμμεση έρευνα)</w:t>
            </w:r>
          </w:p>
        </w:tc>
        <w:tc>
          <w:tcPr>
            <w:tcW w:w="653" w:type="pct"/>
            <w:shd w:val="clear" w:color="auto" w:fill="auto"/>
            <w:vAlign w:val="center"/>
          </w:tcPr>
          <w:p w14:paraId="5B4750BE" w14:textId="77777777" w:rsidR="008911CF" w:rsidRPr="001E4272" w:rsidRDefault="008911CF" w:rsidP="00B2088F">
            <w:pPr>
              <w:spacing w:beforeLines="20" w:before="48" w:afterLines="20" w:after="48"/>
              <w:jc w:val="center"/>
              <w:rPr>
                <w:noProof/>
                <w:sz w:val="20"/>
              </w:rPr>
            </w:pPr>
          </w:p>
        </w:tc>
        <w:tc>
          <w:tcPr>
            <w:tcW w:w="660" w:type="pct"/>
            <w:shd w:val="clear" w:color="auto" w:fill="auto"/>
            <w:vAlign w:val="center"/>
          </w:tcPr>
          <w:p w14:paraId="59F16A0E" w14:textId="77777777" w:rsidR="008911CF" w:rsidRPr="001E4272" w:rsidRDefault="008911CF" w:rsidP="00B2088F">
            <w:pPr>
              <w:spacing w:beforeLines="20" w:before="48" w:afterLines="20" w:after="48"/>
              <w:jc w:val="center"/>
              <w:rPr>
                <w:noProof/>
                <w:sz w:val="20"/>
              </w:rPr>
            </w:pPr>
          </w:p>
        </w:tc>
        <w:tc>
          <w:tcPr>
            <w:tcW w:w="660" w:type="pct"/>
            <w:shd w:val="clear" w:color="auto" w:fill="auto"/>
            <w:vAlign w:val="center"/>
          </w:tcPr>
          <w:p w14:paraId="1D7E7D8B" w14:textId="77777777" w:rsidR="008911CF" w:rsidRPr="001E4272" w:rsidRDefault="008911CF" w:rsidP="00B2088F">
            <w:pPr>
              <w:spacing w:beforeLines="20" w:before="48" w:afterLines="20" w:after="48"/>
              <w:jc w:val="center"/>
              <w:rPr>
                <w:noProof/>
                <w:sz w:val="20"/>
              </w:rPr>
            </w:pPr>
          </w:p>
        </w:tc>
        <w:tc>
          <w:tcPr>
            <w:tcW w:w="710" w:type="pct"/>
            <w:shd w:val="clear" w:color="auto" w:fill="auto"/>
            <w:vAlign w:val="center"/>
          </w:tcPr>
          <w:p w14:paraId="18A30AE6" w14:textId="77777777" w:rsidR="008911CF" w:rsidRPr="001E4272" w:rsidRDefault="008911CF" w:rsidP="00B2088F">
            <w:pPr>
              <w:spacing w:beforeLines="20" w:before="48" w:afterLines="20" w:after="48"/>
              <w:jc w:val="center"/>
              <w:rPr>
                <w:noProof/>
                <w:sz w:val="20"/>
              </w:rPr>
            </w:pPr>
          </w:p>
        </w:tc>
      </w:tr>
      <w:tr w:rsidR="008911CF" w:rsidRPr="001E4272" w14:paraId="33520490" w14:textId="77777777" w:rsidTr="006A0D14">
        <w:trPr>
          <w:trHeight w:val="289"/>
        </w:trPr>
        <w:tc>
          <w:tcPr>
            <w:tcW w:w="2317" w:type="pct"/>
            <w:gridSpan w:val="2"/>
            <w:shd w:val="clear" w:color="auto" w:fill="auto"/>
            <w:vAlign w:val="center"/>
          </w:tcPr>
          <w:p w14:paraId="35524EA8" w14:textId="77777777" w:rsidR="008911CF" w:rsidRPr="001E4272" w:rsidRDefault="008911CF" w:rsidP="00B2088F">
            <w:pPr>
              <w:pStyle w:val="Text1"/>
              <w:spacing w:beforeLines="20" w:before="48" w:afterLines="20" w:after="48"/>
              <w:ind w:left="984"/>
              <w:jc w:val="left"/>
              <w:rPr>
                <w:noProof/>
                <w:sz w:val="20"/>
              </w:rPr>
            </w:pPr>
            <w:r w:rsidRPr="001E4272">
              <w:rPr>
                <w:noProof/>
                <w:sz w:val="20"/>
              </w:rPr>
              <w:t>10 01 05 01 (άμεση έρευνα)</w:t>
            </w:r>
          </w:p>
        </w:tc>
        <w:tc>
          <w:tcPr>
            <w:tcW w:w="653" w:type="pct"/>
            <w:shd w:val="clear" w:color="auto" w:fill="auto"/>
            <w:vAlign w:val="center"/>
          </w:tcPr>
          <w:p w14:paraId="31A05527" w14:textId="77777777" w:rsidR="008911CF" w:rsidRPr="001E4272" w:rsidRDefault="008911CF" w:rsidP="00B2088F">
            <w:pPr>
              <w:spacing w:beforeLines="20" w:before="48" w:afterLines="20" w:after="48"/>
              <w:jc w:val="center"/>
              <w:rPr>
                <w:noProof/>
                <w:sz w:val="20"/>
              </w:rPr>
            </w:pPr>
          </w:p>
        </w:tc>
        <w:tc>
          <w:tcPr>
            <w:tcW w:w="660" w:type="pct"/>
            <w:shd w:val="clear" w:color="auto" w:fill="auto"/>
            <w:vAlign w:val="center"/>
          </w:tcPr>
          <w:p w14:paraId="6EEF9600" w14:textId="77777777" w:rsidR="008911CF" w:rsidRPr="001E4272" w:rsidRDefault="008911CF" w:rsidP="00B2088F">
            <w:pPr>
              <w:spacing w:beforeLines="20" w:before="48" w:afterLines="20" w:after="48"/>
              <w:jc w:val="center"/>
              <w:rPr>
                <w:noProof/>
                <w:sz w:val="20"/>
              </w:rPr>
            </w:pPr>
          </w:p>
        </w:tc>
        <w:tc>
          <w:tcPr>
            <w:tcW w:w="660" w:type="pct"/>
            <w:shd w:val="clear" w:color="auto" w:fill="auto"/>
            <w:vAlign w:val="center"/>
          </w:tcPr>
          <w:p w14:paraId="785A8039" w14:textId="77777777" w:rsidR="008911CF" w:rsidRPr="001E4272" w:rsidRDefault="008911CF" w:rsidP="00B2088F">
            <w:pPr>
              <w:spacing w:beforeLines="20" w:before="48" w:afterLines="20" w:after="48"/>
              <w:jc w:val="center"/>
              <w:rPr>
                <w:noProof/>
                <w:sz w:val="20"/>
              </w:rPr>
            </w:pPr>
          </w:p>
        </w:tc>
        <w:tc>
          <w:tcPr>
            <w:tcW w:w="710" w:type="pct"/>
            <w:shd w:val="clear" w:color="auto" w:fill="auto"/>
            <w:vAlign w:val="center"/>
          </w:tcPr>
          <w:p w14:paraId="42F5FF38" w14:textId="77777777" w:rsidR="008911CF" w:rsidRPr="001E4272" w:rsidRDefault="008911CF" w:rsidP="00B2088F">
            <w:pPr>
              <w:spacing w:beforeLines="20" w:before="48" w:afterLines="20" w:after="48"/>
              <w:jc w:val="center"/>
              <w:rPr>
                <w:noProof/>
                <w:sz w:val="20"/>
              </w:rPr>
            </w:pPr>
          </w:p>
        </w:tc>
      </w:tr>
      <w:tr w:rsidR="008911CF" w:rsidRPr="001E4272" w14:paraId="047BFC0B" w14:textId="77777777" w:rsidTr="006A0D14">
        <w:trPr>
          <w:trHeight w:val="289"/>
        </w:trPr>
        <w:tc>
          <w:tcPr>
            <w:tcW w:w="2317" w:type="pct"/>
            <w:gridSpan w:val="2"/>
            <w:shd w:val="clear" w:color="auto" w:fill="auto"/>
            <w:vAlign w:val="center"/>
          </w:tcPr>
          <w:p w14:paraId="6C85C84D" w14:textId="77777777" w:rsidR="008911CF" w:rsidRPr="001E4272" w:rsidRDefault="008911CF" w:rsidP="00B2088F">
            <w:pPr>
              <w:pStyle w:val="Text1"/>
              <w:spacing w:beforeLines="20" w:before="48" w:afterLines="20" w:after="48"/>
              <w:ind w:left="984"/>
              <w:jc w:val="left"/>
              <w:rPr>
                <w:noProof/>
                <w:sz w:val="20"/>
              </w:rPr>
            </w:pPr>
          </w:p>
        </w:tc>
        <w:tc>
          <w:tcPr>
            <w:tcW w:w="653" w:type="pct"/>
            <w:shd w:val="clear" w:color="auto" w:fill="auto"/>
            <w:vAlign w:val="center"/>
          </w:tcPr>
          <w:p w14:paraId="63621075" w14:textId="77777777" w:rsidR="008911CF" w:rsidRPr="001E4272" w:rsidRDefault="008911CF" w:rsidP="00B2088F">
            <w:pPr>
              <w:spacing w:beforeLines="20" w:before="48" w:afterLines="20" w:after="48"/>
              <w:jc w:val="center"/>
              <w:rPr>
                <w:noProof/>
                <w:sz w:val="20"/>
              </w:rPr>
            </w:pPr>
          </w:p>
        </w:tc>
        <w:tc>
          <w:tcPr>
            <w:tcW w:w="660" w:type="pct"/>
            <w:shd w:val="clear" w:color="auto" w:fill="auto"/>
            <w:vAlign w:val="center"/>
          </w:tcPr>
          <w:p w14:paraId="441E344B" w14:textId="77777777" w:rsidR="008911CF" w:rsidRPr="001E4272" w:rsidRDefault="008911CF" w:rsidP="00B2088F">
            <w:pPr>
              <w:spacing w:beforeLines="20" w:before="48" w:afterLines="20" w:after="48"/>
              <w:jc w:val="center"/>
              <w:rPr>
                <w:noProof/>
                <w:sz w:val="20"/>
              </w:rPr>
            </w:pPr>
          </w:p>
        </w:tc>
        <w:tc>
          <w:tcPr>
            <w:tcW w:w="660" w:type="pct"/>
            <w:shd w:val="clear" w:color="auto" w:fill="auto"/>
            <w:vAlign w:val="center"/>
          </w:tcPr>
          <w:p w14:paraId="55C8E847" w14:textId="77777777" w:rsidR="008911CF" w:rsidRPr="001E4272" w:rsidRDefault="008911CF" w:rsidP="00B2088F">
            <w:pPr>
              <w:spacing w:beforeLines="20" w:before="48" w:afterLines="20" w:after="48"/>
              <w:jc w:val="center"/>
              <w:rPr>
                <w:noProof/>
                <w:sz w:val="20"/>
              </w:rPr>
            </w:pPr>
          </w:p>
        </w:tc>
        <w:tc>
          <w:tcPr>
            <w:tcW w:w="710" w:type="pct"/>
            <w:shd w:val="clear" w:color="auto" w:fill="auto"/>
            <w:vAlign w:val="center"/>
          </w:tcPr>
          <w:p w14:paraId="1783CD21" w14:textId="77777777" w:rsidR="008911CF" w:rsidRPr="001E4272" w:rsidRDefault="008911CF" w:rsidP="00B2088F">
            <w:pPr>
              <w:spacing w:beforeLines="20" w:before="48" w:afterLines="20" w:after="48"/>
              <w:jc w:val="center"/>
              <w:rPr>
                <w:noProof/>
                <w:sz w:val="20"/>
              </w:rPr>
            </w:pPr>
          </w:p>
        </w:tc>
      </w:tr>
      <w:tr w:rsidR="008911CF" w:rsidRPr="001E4272" w14:paraId="2E080D7E" w14:textId="77777777" w:rsidTr="006A0D14">
        <w:trPr>
          <w:trHeight w:val="289"/>
        </w:trPr>
        <w:tc>
          <w:tcPr>
            <w:tcW w:w="2317" w:type="pct"/>
            <w:gridSpan w:val="2"/>
            <w:shd w:val="clear" w:color="auto" w:fill="auto"/>
            <w:vAlign w:val="center"/>
          </w:tcPr>
          <w:p w14:paraId="2380F6DB" w14:textId="77777777" w:rsidR="008911CF" w:rsidRPr="001E4272" w:rsidRDefault="008911CF" w:rsidP="00B2088F">
            <w:pPr>
              <w:pStyle w:val="Text1"/>
              <w:spacing w:beforeLines="20" w:before="48" w:afterLines="20" w:after="48"/>
              <w:ind w:left="208" w:hanging="120"/>
              <w:jc w:val="left"/>
              <w:rPr>
                <w:noProof/>
                <w:sz w:val="20"/>
              </w:rPr>
            </w:pPr>
            <w:r w:rsidRPr="001E4272">
              <w:rPr>
                <w:b/>
                <w:noProof/>
                <w:sz w:val="20"/>
              </w:rPr>
              <w:sym w:font="Wingdings" w:char="F09F"/>
            </w:r>
            <w:r w:rsidRPr="001E4272">
              <w:rPr>
                <w:b/>
                <w:bCs/>
                <w:noProof/>
                <w:sz w:val="20"/>
                <w:szCs w:val="20"/>
              </w:rPr>
              <w:t xml:space="preserve"> Εξωτερικό προσωπικό (σε μονάδα ισοδυνάμου πλήρους απασχόλησης: ΙΠΑ)</w:t>
            </w:r>
            <w:r w:rsidRPr="001E4272">
              <w:rPr>
                <w:rStyle w:val="FootnoteReference"/>
                <w:b/>
                <w:bCs/>
                <w:noProof/>
                <w:sz w:val="20"/>
                <w:szCs w:val="20"/>
              </w:rPr>
              <w:footnoteReference w:id="61"/>
            </w:r>
          </w:p>
        </w:tc>
        <w:tc>
          <w:tcPr>
            <w:tcW w:w="653" w:type="pct"/>
            <w:shd w:val="clear" w:color="auto" w:fill="auto"/>
            <w:vAlign w:val="center"/>
          </w:tcPr>
          <w:p w14:paraId="258B06A1" w14:textId="77777777" w:rsidR="008911CF" w:rsidRPr="001E4272" w:rsidRDefault="008911CF" w:rsidP="00B2088F">
            <w:pPr>
              <w:spacing w:beforeLines="20" w:before="48" w:afterLines="20" w:after="48"/>
              <w:jc w:val="center"/>
              <w:rPr>
                <w:noProof/>
                <w:sz w:val="20"/>
              </w:rPr>
            </w:pPr>
          </w:p>
        </w:tc>
        <w:tc>
          <w:tcPr>
            <w:tcW w:w="660" w:type="pct"/>
            <w:shd w:val="clear" w:color="auto" w:fill="auto"/>
            <w:vAlign w:val="center"/>
          </w:tcPr>
          <w:p w14:paraId="618A0483" w14:textId="77777777" w:rsidR="008911CF" w:rsidRPr="001E4272" w:rsidRDefault="008911CF" w:rsidP="00B2088F">
            <w:pPr>
              <w:spacing w:beforeLines="20" w:before="48" w:afterLines="20" w:after="48"/>
              <w:jc w:val="center"/>
              <w:rPr>
                <w:noProof/>
                <w:sz w:val="20"/>
              </w:rPr>
            </w:pPr>
          </w:p>
        </w:tc>
        <w:tc>
          <w:tcPr>
            <w:tcW w:w="660" w:type="pct"/>
            <w:shd w:val="clear" w:color="auto" w:fill="auto"/>
            <w:vAlign w:val="center"/>
          </w:tcPr>
          <w:p w14:paraId="06DBEE02" w14:textId="77777777" w:rsidR="008911CF" w:rsidRPr="001E4272" w:rsidRDefault="008911CF" w:rsidP="00B2088F">
            <w:pPr>
              <w:spacing w:beforeLines="20" w:before="48" w:afterLines="20" w:after="48"/>
              <w:jc w:val="center"/>
              <w:rPr>
                <w:noProof/>
                <w:sz w:val="20"/>
              </w:rPr>
            </w:pPr>
          </w:p>
        </w:tc>
        <w:tc>
          <w:tcPr>
            <w:tcW w:w="710" w:type="pct"/>
            <w:shd w:val="clear" w:color="auto" w:fill="auto"/>
            <w:vAlign w:val="center"/>
          </w:tcPr>
          <w:p w14:paraId="3E468317" w14:textId="77777777" w:rsidR="008911CF" w:rsidRPr="001E4272" w:rsidRDefault="008911CF" w:rsidP="00B2088F">
            <w:pPr>
              <w:spacing w:beforeLines="20" w:before="48" w:afterLines="20" w:after="48"/>
              <w:jc w:val="center"/>
              <w:rPr>
                <w:noProof/>
                <w:sz w:val="20"/>
              </w:rPr>
            </w:pPr>
          </w:p>
        </w:tc>
      </w:tr>
      <w:tr w:rsidR="008911CF" w:rsidRPr="001E4272" w14:paraId="26B2FECF" w14:textId="77777777" w:rsidTr="006A0D14">
        <w:trPr>
          <w:trHeight w:val="289"/>
        </w:trPr>
        <w:tc>
          <w:tcPr>
            <w:tcW w:w="2317" w:type="pct"/>
            <w:gridSpan w:val="2"/>
            <w:shd w:val="clear" w:color="auto" w:fill="auto"/>
            <w:vAlign w:val="center"/>
          </w:tcPr>
          <w:p w14:paraId="05FA6E9F" w14:textId="77777777" w:rsidR="008911CF" w:rsidRPr="001E4272" w:rsidRDefault="008911CF" w:rsidP="00B2088F">
            <w:pPr>
              <w:pStyle w:val="Text1"/>
              <w:spacing w:beforeLines="20" w:before="48" w:afterLines="20" w:after="48"/>
              <w:ind w:left="986"/>
              <w:jc w:val="left"/>
              <w:rPr>
                <w:b/>
                <w:noProof/>
                <w:sz w:val="20"/>
              </w:rPr>
            </w:pPr>
            <w:r w:rsidRPr="001E4272">
              <w:rPr>
                <w:noProof/>
                <w:sz w:val="20"/>
              </w:rPr>
              <w:t>20 02 01 (AC, END, INT από το συνολικό κονδύλιο)</w:t>
            </w:r>
          </w:p>
        </w:tc>
        <w:tc>
          <w:tcPr>
            <w:tcW w:w="653" w:type="pct"/>
            <w:shd w:val="clear" w:color="auto" w:fill="auto"/>
            <w:vAlign w:val="center"/>
          </w:tcPr>
          <w:p w14:paraId="7372870D" w14:textId="77777777" w:rsidR="008911CF" w:rsidRPr="001E4272" w:rsidRDefault="008911CF" w:rsidP="00B2088F">
            <w:pPr>
              <w:spacing w:beforeLines="20" w:before="48" w:afterLines="20" w:after="48"/>
              <w:jc w:val="center"/>
              <w:rPr>
                <w:noProof/>
                <w:sz w:val="20"/>
              </w:rPr>
            </w:pPr>
            <w:r w:rsidRPr="001E4272">
              <w:rPr>
                <w:noProof/>
                <w:sz w:val="20"/>
              </w:rPr>
              <w:t>1</w:t>
            </w:r>
          </w:p>
        </w:tc>
        <w:tc>
          <w:tcPr>
            <w:tcW w:w="660" w:type="pct"/>
            <w:shd w:val="clear" w:color="auto" w:fill="auto"/>
            <w:vAlign w:val="center"/>
          </w:tcPr>
          <w:p w14:paraId="0BB3EDE5" w14:textId="77777777" w:rsidR="008911CF" w:rsidRPr="001E4272" w:rsidRDefault="008911CF" w:rsidP="00B2088F">
            <w:pPr>
              <w:spacing w:beforeLines="20" w:before="48" w:afterLines="20" w:after="48"/>
              <w:jc w:val="center"/>
              <w:rPr>
                <w:noProof/>
                <w:sz w:val="20"/>
              </w:rPr>
            </w:pPr>
            <w:r w:rsidRPr="001E4272">
              <w:rPr>
                <w:noProof/>
                <w:sz w:val="20"/>
              </w:rPr>
              <w:t>1</w:t>
            </w:r>
          </w:p>
        </w:tc>
        <w:tc>
          <w:tcPr>
            <w:tcW w:w="660" w:type="pct"/>
            <w:shd w:val="clear" w:color="auto" w:fill="auto"/>
            <w:vAlign w:val="center"/>
          </w:tcPr>
          <w:p w14:paraId="10BA1A86" w14:textId="77777777" w:rsidR="008911CF" w:rsidRPr="001E4272" w:rsidRDefault="008911CF" w:rsidP="00B2088F">
            <w:pPr>
              <w:spacing w:beforeLines="20" w:before="48" w:afterLines="20" w:after="48"/>
              <w:jc w:val="center"/>
              <w:rPr>
                <w:noProof/>
                <w:sz w:val="20"/>
              </w:rPr>
            </w:pPr>
            <w:r w:rsidRPr="001E4272">
              <w:rPr>
                <w:noProof/>
                <w:sz w:val="20"/>
              </w:rPr>
              <w:t>1</w:t>
            </w:r>
          </w:p>
        </w:tc>
        <w:tc>
          <w:tcPr>
            <w:tcW w:w="710" w:type="pct"/>
            <w:shd w:val="clear" w:color="auto" w:fill="auto"/>
            <w:vAlign w:val="center"/>
          </w:tcPr>
          <w:p w14:paraId="4E984039" w14:textId="77777777" w:rsidR="008911CF" w:rsidRPr="001E4272" w:rsidRDefault="008911CF" w:rsidP="00B2088F">
            <w:pPr>
              <w:spacing w:beforeLines="20" w:before="48" w:afterLines="20" w:after="48"/>
              <w:jc w:val="center"/>
              <w:rPr>
                <w:noProof/>
                <w:sz w:val="20"/>
              </w:rPr>
            </w:pPr>
            <w:r w:rsidRPr="001E4272">
              <w:rPr>
                <w:noProof/>
                <w:sz w:val="20"/>
              </w:rPr>
              <w:t>1</w:t>
            </w:r>
          </w:p>
        </w:tc>
      </w:tr>
      <w:tr w:rsidR="008911CF" w:rsidRPr="001E4272" w14:paraId="28F4D935" w14:textId="77777777" w:rsidTr="006A0D14">
        <w:trPr>
          <w:trHeight w:val="289"/>
        </w:trPr>
        <w:tc>
          <w:tcPr>
            <w:tcW w:w="2317" w:type="pct"/>
            <w:gridSpan w:val="2"/>
            <w:shd w:val="clear" w:color="auto" w:fill="auto"/>
            <w:vAlign w:val="center"/>
          </w:tcPr>
          <w:p w14:paraId="3BE60651" w14:textId="77777777" w:rsidR="008911CF" w:rsidRPr="001E4272" w:rsidRDefault="008911CF" w:rsidP="00B2088F">
            <w:pPr>
              <w:pStyle w:val="Text1"/>
              <w:spacing w:beforeLines="20" w:before="48" w:afterLines="20" w:after="48"/>
              <w:ind w:left="986"/>
              <w:jc w:val="left"/>
              <w:rPr>
                <w:noProof/>
                <w:sz w:val="20"/>
              </w:rPr>
            </w:pPr>
            <w:r w:rsidRPr="001E4272">
              <w:rPr>
                <w:noProof/>
                <w:sz w:val="20"/>
              </w:rPr>
              <w:t>20 02 03 (AC, AL, END, INT και JPD στις αντιπροσωπείες της ΕΕ)</w:t>
            </w:r>
          </w:p>
        </w:tc>
        <w:tc>
          <w:tcPr>
            <w:tcW w:w="653" w:type="pct"/>
            <w:shd w:val="clear" w:color="auto" w:fill="auto"/>
            <w:vAlign w:val="center"/>
          </w:tcPr>
          <w:p w14:paraId="028D3755" w14:textId="77777777" w:rsidR="008911CF" w:rsidRPr="001E4272" w:rsidRDefault="008911CF" w:rsidP="00B2088F">
            <w:pPr>
              <w:spacing w:beforeLines="20" w:before="48" w:afterLines="20" w:after="48"/>
              <w:jc w:val="center"/>
              <w:rPr>
                <w:noProof/>
                <w:sz w:val="20"/>
              </w:rPr>
            </w:pPr>
          </w:p>
        </w:tc>
        <w:tc>
          <w:tcPr>
            <w:tcW w:w="660" w:type="pct"/>
            <w:shd w:val="clear" w:color="auto" w:fill="auto"/>
            <w:vAlign w:val="center"/>
          </w:tcPr>
          <w:p w14:paraId="7E906C8D" w14:textId="77777777" w:rsidR="008911CF" w:rsidRPr="001E4272" w:rsidRDefault="008911CF" w:rsidP="00B2088F">
            <w:pPr>
              <w:spacing w:beforeLines="20" w:before="48" w:afterLines="20" w:after="48"/>
              <w:jc w:val="center"/>
              <w:rPr>
                <w:noProof/>
                <w:sz w:val="20"/>
              </w:rPr>
            </w:pPr>
          </w:p>
        </w:tc>
        <w:tc>
          <w:tcPr>
            <w:tcW w:w="660" w:type="pct"/>
            <w:shd w:val="clear" w:color="auto" w:fill="auto"/>
            <w:vAlign w:val="center"/>
          </w:tcPr>
          <w:p w14:paraId="05A151AB" w14:textId="77777777" w:rsidR="008911CF" w:rsidRPr="001E4272" w:rsidRDefault="008911CF" w:rsidP="00B2088F">
            <w:pPr>
              <w:spacing w:beforeLines="20" w:before="48" w:afterLines="20" w:after="48"/>
              <w:jc w:val="center"/>
              <w:rPr>
                <w:noProof/>
                <w:sz w:val="20"/>
              </w:rPr>
            </w:pPr>
          </w:p>
        </w:tc>
        <w:tc>
          <w:tcPr>
            <w:tcW w:w="710" w:type="pct"/>
            <w:shd w:val="clear" w:color="auto" w:fill="auto"/>
            <w:vAlign w:val="center"/>
          </w:tcPr>
          <w:p w14:paraId="18C6BBA7" w14:textId="77777777" w:rsidR="008911CF" w:rsidRPr="001E4272" w:rsidRDefault="008911CF" w:rsidP="00B2088F">
            <w:pPr>
              <w:spacing w:beforeLines="20" w:before="48" w:afterLines="20" w:after="48"/>
              <w:jc w:val="center"/>
              <w:rPr>
                <w:noProof/>
                <w:sz w:val="20"/>
              </w:rPr>
            </w:pPr>
          </w:p>
        </w:tc>
      </w:tr>
      <w:tr w:rsidR="008911CF" w:rsidRPr="001E4272" w14:paraId="6EE2DF75" w14:textId="77777777" w:rsidTr="006A0D14">
        <w:trPr>
          <w:trHeight w:val="289"/>
        </w:trPr>
        <w:tc>
          <w:tcPr>
            <w:tcW w:w="1150" w:type="pct"/>
            <w:vMerge w:val="restart"/>
            <w:shd w:val="clear" w:color="auto" w:fill="auto"/>
            <w:vAlign w:val="center"/>
          </w:tcPr>
          <w:p w14:paraId="543D9441" w14:textId="77777777" w:rsidR="008911CF" w:rsidRPr="001E4272" w:rsidRDefault="008911CF" w:rsidP="00B2088F">
            <w:pPr>
              <w:pStyle w:val="Text1"/>
              <w:spacing w:beforeLines="20" w:before="48" w:afterLines="20" w:after="48"/>
              <w:ind w:left="986"/>
              <w:jc w:val="left"/>
              <w:rPr>
                <w:b/>
                <w:noProof/>
                <w:sz w:val="20"/>
              </w:rPr>
            </w:pPr>
            <w:r w:rsidRPr="001E4272">
              <w:rPr>
                <w:noProof/>
                <w:sz w:val="20"/>
                <w:szCs w:val="20"/>
              </w:rPr>
              <w:t>Γραμμές του προϋπολογισμού (να προσδιοριστούν)</w:t>
            </w:r>
            <w:r w:rsidRPr="001E4272">
              <w:rPr>
                <w:b/>
                <w:bCs/>
                <w:noProof/>
                <w:sz w:val="20"/>
                <w:szCs w:val="20"/>
              </w:rPr>
              <w:t xml:space="preserve"> </w:t>
            </w:r>
            <w:r w:rsidRPr="001E4272">
              <w:rPr>
                <w:rStyle w:val="FootnoteReference"/>
                <w:b/>
                <w:bCs/>
                <w:noProof/>
                <w:sz w:val="20"/>
                <w:szCs w:val="20"/>
              </w:rPr>
              <w:footnoteReference w:id="62"/>
            </w:r>
          </w:p>
        </w:tc>
        <w:tc>
          <w:tcPr>
            <w:tcW w:w="1168" w:type="pct"/>
            <w:shd w:val="clear" w:color="auto" w:fill="auto"/>
            <w:vAlign w:val="center"/>
          </w:tcPr>
          <w:p w14:paraId="596D5ED3" w14:textId="77777777" w:rsidR="008911CF" w:rsidRPr="001E4272" w:rsidRDefault="008911CF" w:rsidP="00B2088F">
            <w:pPr>
              <w:pStyle w:val="Text1"/>
              <w:spacing w:beforeLines="20" w:before="48" w:afterLines="20" w:after="48"/>
              <w:ind w:left="598"/>
              <w:jc w:val="left"/>
              <w:rPr>
                <w:b/>
                <w:noProof/>
                <w:sz w:val="20"/>
              </w:rPr>
            </w:pPr>
            <w:r w:rsidRPr="001E4272">
              <w:rPr>
                <w:noProof/>
                <w:sz w:val="20"/>
                <w:szCs w:val="20"/>
              </w:rPr>
              <w:t>— στην έδρα</w:t>
            </w:r>
            <w:r w:rsidRPr="001E4272">
              <w:rPr>
                <w:rStyle w:val="FootnoteReference"/>
                <w:noProof/>
                <w:sz w:val="20"/>
                <w:szCs w:val="20"/>
              </w:rPr>
              <w:footnoteReference w:id="63"/>
            </w:r>
            <w:r w:rsidRPr="001E4272">
              <w:rPr>
                <w:noProof/>
              </w:rPr>
              <w:t xml:space="preserve"> </w:t>
            </w:r>
            <w:r w:rsidRPr="001E4272">
              <w:rPr>
                <w:noProof/>
              </w:rPr>
              <w:br/>
            </w:r>
          </w:p>
        </w:tc>
        <w:tc>
          <w:tcPr>
            <w:tcW w:w="653" w:type="pct"/>
            <w:shd w:val="clear" w:color="auto" w:fill="auto"/>
            <w:vAlign w:val="center"/>
          </w:tcPr>
          <w:p w14:paraId="53DB9CFE" w14:textId="77777777" w:rsidR="008911CF" w:rsidRPr="001E4272" w:rsidRDefault="008911CF" w:rsidP="00B2088F">
            <w:pPr>
              <w:pStyle w:val="Text1"/>
              <w:spacing w:beforeLines="20" w:before="48" w:afterLines="20" w:after="48"/>
              <w:rPr>
                <w:noProof/>
                <w:sz w:val="20"/>
              </w:rPr>
            </w:pPr>
          </w:p>
        </w:tc>
        <w:tc>
          <w:tcPr>
            <w:tcW w:w="660" w:type="pct"/>
            <w:shd w:val="clear" w:color="auto" w:fill="auto"/>
            <w:vAlign w:val="center"/>
          </w:tcPr>
          <w:p w14:paraId="2B229C09" w14:textId="77777777" w:rsidR="008911CF" w:rsidRPr="001E4272" w:rsidRDefault="008911CF" w:rsidP="00B2088F">
            <w:pPr>
              <w:spacing w:beforeLines="20" w:before="48" w:afterLines="20" w:after="48"/>
              <w:jc w:val="center"/>
              <w:rPr>
                <w:noProof/>
                <w:sz w:val="20"/>
              </w:rPr>
            </w:pPr>
          </w:p>
        </w:tc>
        <w:tc>
          <w:tcPr>
            <w:tcW w:w="660" w:type="pct"/>
            <w:shd w:val="clear" w:color="auto" w:fill="auto"/>
            <w:vAlign w:val="center"/>
          </w:tcPr>
          <w:p w14:paraId="69C8BDFD" w14:textId="77777777" w:rsidR="008911CF" w:rsidRPr="001E4272" w:rsidRDefault="008911CF" w:rsidP="00B2088F">
            <w:pPr>
              <w:spacing w:beforeLines="20" w:before="48" w:afterLines="20" w:after="48"/>
              <w:jc w:val="center"/>
              <w:rPr>
                <w:noProof/>
                <w:sz w:val="20"/>
              </w:rPr>
            </w:pPr>
          </w:p>
        </w:tc>
        <w:tc>
          <w:tcPr>
            <w:tcW w:w="710" w:type="pct"/>
            <w:shd w:val="clear" w:color="auto" w:fill="auto"/>
            <w:vAlign w:val="center"/>
          </w:tcPr>
          <w:p w14:paraId="552D8001" w14:textId="77777777" w:rsidR="008911CF" w:rsidRPr="001E4272" w:rsidRDefault="008911CF" w:rsidP="00B2088F">
            <w:pPr>
              <w:spacing w:beforeLines="20" w:before="48" w:afterLines="20" w:after="48"/>
              <w:jc w:val="center"/>
              <w:rPr>
                <w:noProof/>
                <w:sz w:val="20"/>
              </w:rPr>
            </w:pPr>
          </w:p>
        </w:tc>
      </w:tr>
      <w:tr w:rsidR="008911CF" w:rsidRPr="001E4272" w14:paraId="76BF9031" w14:textId="77777777" w:rsidTr="006A0D14">
        <w:trPr>
          <w:trHeight w:val="289"/>
        </w:trPr>
        <w:tc>
          <w:tcPr>
            <w:tcW w:w="1150" w:type="pct"/>
            <w:vMerge/>
            <w:shd w:val="clear" w:color="auto" w:fill="auto"/>
            <w:vAlign w:val="center"/>
          </w:tcPr>
          <w:p w14:paraId="10A38D48" w14:textId="77777777" w:rsidR="008911CF" w:rsidRPr="001E4272" w:rsidRDefault="008911CF" w:rsidP="00B2088F">
            <w:pPr>
              <w:rPr>
                <w:b/>
                <w:noProof/>
                <w:sz w:val="20"/>
              </w:rPr>
            </w:pPr>
          </w:p>
        </w:tc>
        <w:tc>
          <w:tcPr>
            <w:tcW w:w="1168" w:type="pct"/>
            <w:shd w:val="clear" w:color="auto" w:fill="auto"/>
            <w:vAlign w:val="center"/>
          </w:tcPr>
          <w:p w14:paraId="6D6FCDB5" w14:textId="77777777" w:rsidR="008911CF" w:rsidRPr="001E4272" w:rsidRDefault="008911CF" w:rsidP="00B2088F">
            <w:pPr>
              <w:pStyle w:val="Text1"/>
              <w:spacing w:beforeLines="20" w:before="48" w:afterLines="20" w:after="48"/>
              <w:ind w:left="598"/>
              <w:jc w:val="left"/>
              <w:rPr>
                <w:b/>
                <w:noProof/>
                <w:sz w:val="20"/>
              </w:rPr>
            </w:pPr>
            <w:r w:rsidRPr="001E4272">
              <w:rPr>
                <w:noProof/>
                <w:sz w:val="20"/>
              </w:rPr>
              <w:t xml:space="preserve">— στις αντιπροσωπείες της ΕΕ </w:t>
            </w:r>
          </w:p>
        </w:tc>
        <w:tc>
          <w:tcPr>
            <w:tcW w:w="653" w:type="pct"/>
            <w:shd w:val="clear" w:color="auto" w:fill="auto"/>
            <w:vAlign w:val="center"/>
          </w:tcPr>
          <w:p w14:paraId="75338EB0" w14:textId="77777777" w:rsidR="008911CF" w:rsidRPr="001E4272" w:rsidRDefault="008911CF" w:rsidP="00B2088F">
            <w:pPr>
              <w:pStyle w:val="Text1"/>
              <w:spacing w:beforeLines="20" w:before="48" w:afterLines="20" w:after="48"/>
              <w:rPr>
                <w:noProof/>
                <w:sz w:val="20"/>
              </w:rPr>
            </w:pPr>
          </w:p>
        </w:tc>
        <w:tc>
          <w:tcPr>
            <w:tcW w:w="660" w:type="pct"/>
            <w:shd w:val="clear" w:color="auto" w:fill="auto"/>
            <w:vAlign w:val="center"/>
          </w:tcPr>
          <w:p w14:paraId="55F5F28B" w14:textId="77777777" w:rsidR="008911CF" w:rsidRPr="001E4272" w:rsidRDefault="008911CF" w:rsidP="00B2088F">
            <w:pPr>
              <w:spacing w:beforeLines="20" w:before="48" w:afterLines="20" w:after="48"/>
              <w:jc w:val="center"/>
              <w:rPr>
                <w:noProof/>
                <w:sz w:val="20"/>
              </w:rPr>
            </w:pPr>
          </w:p>
        </w:tc>
        <w:tc>
          <w:tcPr>
            <w:tcW w:w="660" w:type="pct"/>
            <w:shd w:val="clear" w:color="auto" w:fill="auto"/>
            <w:vAlign w:val="center"/>
          </w:tcPr>
          <w:p w14:paraId="57669B08" w14:textId="77777777" w:rsidR="008911CF" w:rsidRPr="001E4272" w:rsidRDefault="008911CF" w:rsidP="00B2088F">
            <w:pPr>
              <w:spacing w:beforeLines="20" w:before="48" w:afterLines="20" w:after="48"/>
              <w:jc w:val="center"/>
              <w:rPr>
                <w:noProof/>
                <w:sz w:val="20"/>
              </w:rPr>
            </w:pPr>
          </w:p>
        </w:tc>
        <w:tc>
          <w:tcPr>
            <w:tcW w:w="710" w:type="pct"/>
            <w:shd w:val="clear" w:color="auto" w:fill="auto"/>
            <w:vAlign w:val="center"/>
          </w:tcPr>
          <w:p w14:paraId="16566843" w14:textId="77777777" w:rsidR="008911CF" w:rsidRPr="001E4272" w:rsidRDefault="008911CF" w:rsidP="00B2088F">
            <w:pPr>
              <w:spacing w:beforeLines="20" w:before="48" w:afterLines="20" w:after="48"/>
              <w:jc w:val="center"/>
              <w:rPr>
                <w:noProof/>
                <w:sz w:val="20"/>
              </w:rPr>
            </w:pPr>
          </w:p>
        </w:tc>
      </w:tr>
      <w:tr w:rsidR="008911CF" w:rsidRPr="001E4272" w14:paraId="2C8A9F40" w14:textId="77777777" w:rsidTr="006A0D14">
        <w:trPr>
          <w:trHeight w:val="289"/>
        </w:trPr>
        <w:tc>
          <w:tcPr>
            <w:tcW w:w="2317" w:type="pct"/>
            <w:gridSpan w:val="2"/>
            <w:shd w:val="clear" w:color="auto" w:fill="auto"/>
            <w:vAlign w:val="center"/>
          </w:tcPr>
          <w:p w14:paraId="2E0B8D41" w14:textId="77777777" w:rsidR="008911CF" w:rsidRPr="001E4272" w:rsidRDefault="008911CF" w:rsidP="00B2088F">
            <w:pPr>
              <w:pStyle w:val="Text1"/>
              <w:spacing w:beforeLines="20" w:before="48" w:afterLines="20" w:after="48"/>
              <w:ind w:left="986"/>
              <w:jc w:val="left"/>
              <w:rPr>
                <w:noProof/>
                <w:sz w:val="20"/>
              </w:rPr>
            </w:pPr>
            <w:r w:rsidRPr="001E4272">
              <w:rPr>
                <w:b/>
                <w:noProof/>
                <w:sz w:val="20"/>
              </w:rPr>
              <w:t>01 01 01 02</w:t>
            </w:r>
            <w:r w:rsidRPr="001E4272">
              <w:rPr>
                <w:noProof/>
                <w:sz w:val="20"/>
              </w:rPr>
              <w:t xml:space="preserve"> (AC, END, INT – έμμεση έρευνα)</w:t>
            </w:r>
          </w:p>
        </w:tc>
        <w:tc>
          <w:tcPr>
            <w:tcW w:w="653" w:type="pct"/>
            <w:shd w:val="clear" w:color="auto" w:fill="auto"/>
            <w:vAlign w:val="center"/>
          </w:tcPr>
          <w:p w14:paraId="0C36CE5C" w14:textId="77777777" w:rsidR="008911CF" w:rsidRPr="001E4272" w:rsidRDefault="008911CF" w:rsidP="00B2088F">
            <w:pPr>
              <w:spacing w:beforeLines="20" w:before="48" w:afterLines="20" w:after="48"/>
              <w:jc w:val="center"/>
              <w:rPr>
                <w:noProof/>
                <w:sz w:val="20"/>
              </w:rPr>
            </w:pPr>
          </w:p>
        </w:tc>
        <w:tc>
          <w:tcPr>
            <w:tcW w:w="660" w:type="pct"/>
            <w:shd w:val="clear" w:color="auto" w:fill="auto"/>
            <w:vAlign w:val="center"/>
          </w:tcPr>
          <w:p w14:paraId="2D97476F" w14:textId="77777777" w:rsidR="008911CF" w:rsidRPr="001E4272" w:rsidRDefault="008911CF" w:rsidP="00B2088F">
            <w:pPr>
              <w:spacing w:beforeLines="20" w:before="48" w:afterLines="20" w:after="48"/>
              <w:jc w:val="center"/>
              <w:rPr>
                <w:noProof/>
                <w:sz w:val="20"/>
              </w:rPr>
            </w:pPr>
          </w:p>
        </w:tc>
        <w:tc>
          <w:tcPr>
            <w:tcW w:w="660" w:type="pct"/>
            <w:shd w:val="clear" w:color="auto" w:fill="auto"/>
            <w:vAlign w:val="center"/>
          </w:tcPr>
          <w:p w14:paraId="1F9C4704" w14:textId="77777777" w:rsidR="008911CF" w:rsidRPr="001E4272" w:rsidRDefault="008911CF" w:rsidP="00B2088F">
            <w:pPr>
              <w:spacing w:beforeLines="20" w:before="48" w:afterLines="20" w:after="48"/>
              <w:jc w:val="center"/>
              <w:rPr>
                <w:noProof/>
                <w:sz w:val="20"/>
              </w:rPr>
            </w:pPr>
          </w:p>
        </w:tc>
        <w:tc>
          <w:tcPr>
            <w:tcW w:w="710" w:type="pct"/>
            <w:shd w:val="clear" w:color="auto" w:fill="auto"/>
            <w:vAlign w:val="center"/>
          </w:tcPr>
          <w:p w14:paraId="495D2830" w14:textId="77777777" w:rsidR="008911CF" w:rsidRPr="001E4272" w:rsidRDefault="008911CF" w:rsidP="00B2088F">
            <w:pPr>
              <w:spacing w:beforeLines="20" w:before="48" w:afterLines="20" w:after="48"/>
              <w:jc w:val="center"/>
              <w:rPr>
                <w:noProof/>
                <w:sz w:val="20"/>
              </w:rPr>
            </w:pPr>
          </w:p>
        </w:tc>
      </w:tr>
      <w:tr w:rsidR="008911CF" w:rsidRPr="001E4272" w14:paraId="60834098" w14:textId="77777777" w:rsidTr="006A0D14">
        <w:trPr>
          <w:trHeight w:val="289"/>
        </w:trPr>
        <w:tc>
          <w:tcPr>
            <w:tcW w:w="2317" w:type="pct"/>
            <w:gridSpan w:val="2"/>
            <w:shd w:val="clear" w:color="auto" w:fill="auto"/>
            <w:vAlign w:val="center"/>
          </w:tcPr>
          <w:p w14:paraId="5D0C2913" w14:textId="77777777" w:rsidR="008911CF" w:rsidRPr="001E4272" w:rsidRDefault="008911CF" w:rsidP="00B2088F">
            <w:pPr>
              <w:pStyle w:val="Text1"/>
              <w:spacing w:beforeLines="20" w:before="48" w:afterLines="20" w:after="48"/>
              <w:ind w:left="986"/>
              <w:jc w:val="left"/>
              <w:rPr>
                <w:noProof/>
                <w:sz w:val="20"/>
              </w:rPr>
            </w:pPr>
            <w:r w:rsidRPr="001E4272">
              <w:rPr>
                <w:noProof/>
                <w:sz w:val="20"/>
              </w:rPr>
              <w:t>10 01 05 02 (AC, END, INT – άμεση έρευνα)</w:t>
            </w:r>
          </w:p>
        </w:tc>
        <w:tc>
          <w:tcPr>
            <w:tcW w:w="653" w:type="pct"/>
            <w:shd w:val="clear" w:color="auto" w:fill="auto"/>
            <w:vAlign w:val="center"/>
          </w:tcPr>
          <w:p w14:paraId="36909B0A" w14:textId="77777777" w:rsidR="008911CF" w:rsidRPr="001E4272" w:rsidRDefault="008911CF" w:rsidP="00B2088F">
            <w:pPr>
              <w:spacing w:beforeLines="20" w:before="48" w:afterLines="20" w:after="48"/>
              <w:jc w:val="center"/>
              <w:rPr>
                <w:noProof/>
                <w:sz w:val="20"/>
              </w:rPr>
            </w:pPr>
          </w:p>
        </w:tc>
        <w:tc>
          <w:tcPr>
            <w:tcW w:w="660" w:type="pct"/>
            <w:shd w:val="clear" w:color="auto" w:fill="auto"/>
            <w:vAlign w:val="center"/>
          </w:tcPr>
          <w:p w14:paraId="6498A001" w14:textId="77777777" w:rsidR="008911CF" w:rsidRPr="001E4272" w:rsidRDefault="008911CF" w:rsidP="00B2088F">
            <w:pPr>
              <w:spacing w:beforeLines="20" w:before="48" w:afterLines="20" w:after="48"/>
              <w:jc w:val="center"/>
              <w:rPr>
                <w:noProof/>
                <w:sz w:val="20"/>
              </w:rPr>
            </w:pPr>
          </w:p>
        </w:tc>
        <w:tc>
          <w:tcPr>
            <w:tcW w:w="660" w:type="pct"/>
            <w:shd w:val="clear" w:color="auto" w:fill="auto"/>
            <w:vAlign w:val="center"/>
          </w:tcPr>
          <w:p w14:paraId="4E3F2A3E" w14:textId="77777777" w:rsidR="008911CF" w:rsidRPr="001E4272" w:rsidRDefault="008911CF" w:rsidP="00B2088F">
            <w:pPr>
              <w:spacing w:beforeLines="20" w:before="48" w:afterLines="20" w:after="48"/>
              <w:jc w:val="center"/>
              <w:rPr>
                <w:noProof/>
                <w:sz w:val="20"/>
              </w:rPr>
            </w:pPr>
          </w:p>
        </w:tc>
        <w:tc>
          <w:tcPr>
            <w:tcW w:w="710" w:type="pct"/>
            <w:shd w:val="clear" w:color="auto" w:fill="auto"/>
            <w:vAlign w:val="center"/>
          </w:tcPr>
          <w:p w14:paraId="68446B3B" w14:textId="77777777" w:rsidR="008911CF" w:rsidRPr="001E4272" w:rsidRDefault="008911CF" w:rsidP="00B2088F">
            <w:pPr>
              <w:spacing w:beforeLines="20" w:before="48" w:afterLines="20" w:after="48"/>
              <w:jc w:val="center"/>
              <w:rPr>
                <w:noProof/>
                <w:sz w:val="20"/>
              </w:rPr>
            </w:pPr>
          </w:p>
        </w:tc>
      </w:tr>
      <w:tr w:rsidR="008911CF" w:rsidRPr="001E4272" w14:paraId="30C8EB9E" w14:textId="77777777" w:rsidTr="006A0D14">
        <w:trPr>
          <w:trHeight w:val="289"/>
        </w:trPr>
        <w:tc>
          <w:tcPr>
            <w:tcW w:w="2317" w:type="pct"/>
            <w:gridSpan w:val="2"/>
            <w:tcBorders>
              <w:bottom w:val="double" w:sz="4" w:space="0" w:color="auto"/>
            </w:tcBorders>
            <w:shd w:val="clear" w:color="auto" w:fill="auto"/>
            <w:vAlign w:val="center"/>
          </w:tcPr>
          <w:p w14:paraId="2651FA9C" w14:textId="77777777" w:rsidR="008911CF" w:rsidRPr="001E4272" w:rsidRDefault="008911CF" w:rsidP="00B2088F">
            <w:pPr>
              <w:pStyle w:val="Text1"/>
              <w:spacing w:beforeLines="20" w:before="48" w:afterLines="20" w:after="48"/>
              <w:ind w:left="984"/>
              <w:jc w:val="left"/>
              <w:rPr>
                <w:noProof/>
                <w:sz w:val="20"/>
              </w:rPr>
            </w:pPr>
            <w:r w:rsidRPr="001E4272">
              <w:rPr>
                <w:noProof/>
                <w:sz w:val="20"/>
              </w:rPr>
              <w:t>Άλλες γραμμές του προϋπολογισμού (να προσδιοριστούν)</w:t>
            </w:r>
          </w:p>
        </w:tc>
        <w:tc>
          <w:tcPr>
            <w:tcW w:w="653" w:type="pct"/>
            <w:tcBorders>
              <w:bottom w:val="double" w:sz="4" w:space="0" w:color="auto"/>
            </w:tcBorders>
            <w:shd w:val="clear" w:color="auto" w:fill="auto"/>
            <w:vAlign w:val="center"/>
          </w:tcPr>
          <w:p w14:paraId="32080206" w14:textId="77777777" w:rsidR="008911CF" w:rsidRPr="001E4272" w:rsidRDefault="008911CF" w:rsidP="00B2088F">
            <w:pPr>
              <w:spacing w:beforeLines="20" w:before="48" w:afterLines="20" w:after="48"/>
              <w:jc w:val="center"/>
              <w:rPr>
                <w:noProof/>
                <w:sz w:val="20"/>
              </w:rPr>
            </w:pPr>
          </w:p>
        </w:tc>
        <w:tc>
          <w:tcPr>
            <w:tcW w:w="660" w:type="pct"/>
            <w:tcBorders>
              <w:bottom w:val="double" w:sz="4" w:space="0" w:color="auto"/>
            </w:tcBorders>
            <w:shd w:val="clear" w:color="auto" w:fill="auto"/>
            <w:vAlign w:val="center"/>
          </w:tcPr>
          <w:p w14:paraId="7842615D" w14:textId="77777777" w:rsidR="008911CF" w:rsidRPr="001E4272" w:rsidRDefault="008911CF" w:rsidP="00B2088F">
            <w:pPr>
              <w:spacing w:beforeLines="20" w:before="48" w:afterLines="20" w:after="48"/>
              <w:jc w:val="center"/>
              <w:rPr>
                <w:noProof/>
                <w:sz w:val="20"/>
              </w:rPr>
            </w:pPr>
          </w:p>
        </w:tc>
        <w:tc>
          <w:tcPr>
            <w:tcW w:w="660" w:type="pct"/>
            <w:tcBorders>
              <w:bottom w:val="double" w:sz="4" w:space="0" w:color="auto"/>
            </w:tcBorders>
            <w:shd w:val="clear" w:color="auto" w:fill="auto"/>
            <w:vAlign w:val="center"/>
          </w:tcPr>
          <w:p w14:paraId="259E2E0A" w14:textId="77777777" w:rsidR="008911CF" w:rsidRPr="001E4272" w:rsidRDefault="008911CF" w:rsidP="00B2088F">
            <w:pPr>
              <w:spacing w:beforeLines="20" w:before="48" w:afterLines="20" w:after="48"/>
              <w:jc w:val="center"/>
              <w:rPr>
                <w:noProof/>
                <w:sz w:val="20"/>
              </w:rPr>
            </w:pPr>
          </w:p>
        </w:tc>
        <w:tc>
          <w:tcPr>
            <w:tcW w:w="710" w:type="pct"/>
            <w:tcBorders>
              <w:bottom w:val="double" w:sz="4" w:space="0" w:color="auto"/>
            </w:tcBorders>
            <w:shd w:val="clear" w:color="auto" w:fill="auto"/>
            <w:vAlign w:val="center"/>
          </w:tcPr>
          <w:p w14:paraId="4058F5D9" w14:textId="77777777" w:rsidR="008911CF" w:rsidRPr="001E4272" w:rsidRDefault="008911CF" w:rsidP="00B2088F">
            <w:pPr>
              <w:spacing w:beforeLines="20" w:before="48" w:afterLines="20" w:after="48"/>
              <w:jc w:val="center"/>
              <w:rPr>
                <w:noProof/>
                <w:sz w:val="20"/>
              </w:rPr>
            </w:pPr>
          </w:p>
        </w:tc>
      </w:tr>
      <w:tr w:rsidR="008911CF" w:rsidRPr="001E4272" w14:paraId="2DF0C23A" w14:textId="77777777" w:rsidTr="006A0D14">
        <w:trPr>
          <w:trHeight w:val="289"/>
        </w:trPr>
        <w:tc>
          <w:tcPr>
            <w:tcW w:w="2317" w:type="pct"/>
            <w:gridSpan w:val="2"/>
            <w:tcBorders>
              <w:top w:val="double" w:sz="4" w:space="0" w:color="auto"/>
            </w:tcBorders>
            <w:shd w:val="clear" w:color="auto" w:fill="auto"/>
            <w:vAlign w:val="center"/>
          </w:tcPr>
          <w:p w14:paraId="2703E74A" w14:textId="77777777" w:rsidR="008911CF" w:rsidRPr="001E4272" w:rsidRDefault="008911CF" w:rsidP="00B2088F">
            <w:pPr>
              <w:pStyle w:val="Text1"/>
              <w:spacing w:beforeLines="20" w:before="48" w:afterLines="20" w:after="48"/>
              <w:ind w:left="986"/>
              <w:jc w:val="left"/>
              <w:rPr>
                <w:noProof/>
                <w:sz w:val="20"/>
              </w:rPr>
            </w:pPr>
            <w:r w:rsidRPr="001E4272">
              <w:rPr>
                <w:b/>
                <w:noProof/>
                <w:sz w:val="20"/>
              </w:rPr>
              <w:t>ΣΥΝΟΛΟ</w:t>
            </w:r>
          </w:p>
        </w:tc>
        <w:tc>
          <w:tcPr>
            <w:tcW w:w="653" w:type="pct"/>
            <w:tcBorders>
              <w:top w:val="double" w:sz="4" w:space="0" w:color="auto"/>
            </w:tcBorders>
            <w:shd w:val="clear" w:color="auto" w:fill="auto"/>
            <w:vAlign w:val="center"/>
          </w:tcPr>
          <w:p w14:paraId="5BCCC205" w14:textId="77777777" w:rsidR="008911CF" w:rsidRPr="001E4272" w:rsidRDefault="008911CF" w:rsidP="00B2088F">
            <w:pPr>
              <w:spacing w:beforeLines="20" w:before="48" w:afterLines="20" w:after="48"/>
              <w:jc w:val="center"/>
              <w:rPr>
                <w:b/>
                <w:noProof/>
                <w:sz w:val="20"/>
              </w:rPr>
            </w:pPr>
            <w:r w:rsidRPr="001E4272">
              <w:rPr>
                <w:b/>
                <w:noProof/>
                <w:sz w:val="20"/>
              </w:rPr>
              <w:t>2</w:t>
            </w:r>
          </w:p>
        </w:tc>
        <w:tc>
          <w:tcPr>
            <w:tcW w:w="660" w:type="pct"/>
            <w:tcBorders>
              <w:top w:val="double" w:sz="4" w:space="0" w:color="auto"/>
            </w:tcBorders>
            <w:shd w:val="clear" w:color="auto" w:fill="auto"/>
            <w:vAlign w:val="center"/>
          </w:tcPr>
          <w:p w14:paraId="593C263D" w14:textId="77777777" w:rsidR="008911CF" w:rsidRPr="001E4272" w:rsidRDefault="008911CF" w:rsidP="00B2088F">
            <w:pPr>
              <w:spacing w:beforeLines="20" w:before="48" w:afterLines="20" w:after="48"/>
              <w:jc w:val="center"/>
              <w:rPr>
                <w:b/>
                <w:noProof/>
                <w:sz w:val="20"/>
              </w:rPr>
            </w:pPr>
            <w:r w:rsidRPr="001E4272">
              <w:rPr>
                <w:b/>
                <w:noProof/>
                <w:sz w:val="20"/>
              </w:rPr>
              <w:t>2</w:t>
            </w:r>
          </w:p>
        </w:tc>
        <w:tc>
          <w:tcPr>
            <w:tcW w:w="660" w:type="pct"/>
            <w:tcBorders>
              <w:top w:val="double" w:sz="4" w:space="0" w:color="auto"/>
            </w:tcBorders>
            <w:shd w:val="clear" w:color="auto" w:fill="auto"/>
            <w:vAlign w:val="center"/>
          </w:tcPr>
          <w:p w14:paraId="7393C5A1" w14:textId="77777777" w:rsidR="008911CF" w:rsidRPr="001E4272" w:rsidRDefault="008911CF" w:rsidP="00B2088F">
            <w:pPr>
              <w:spacing w:beforeLines="20" w:before="48" w:afterLines="20" w:after="48"/>
              <w:jc w:val="center"/>
              <w:rPr>
                <w:b/>
                <w:noProof/>
                <w:sz w:val="20"/>
              </w:rPr>
            </w:pPr>
            <w:r w:rsidRPr="001E4272">
              <w:rPr>
                <w:b/>
                <w:noProof/>
                <w:sz w:val="20"/>
              </w:rPr>
              <w:t>2</w:t>
            </w:r>
          </w:p>
        </w:tc>
        <w:tc>
          <w:tcPr>
            <w:tcW w:w="710" w:type="pct"/>
            <w:tcBorders>
              <w:top w:val="double" w:sz="4" w:space="0" w:color="auto"/>
            </w:tcBorders>
            <w:shd w:val="clear" w:color="auto" w:fill="auto"/>
            <w:vAlign w:val="center"/>
          </w:tcPr>
          <w:p w14:paraId="071198AB" w14:textId="77777777" w:rsidR="008911CF" w:rsidRPr="001E4272" w:rsidRDefault="008911CF" w:rsidP="00B2088F">
            <w:pPr>
              <w:spacing w:beforeLines="20" w:before="48" w:afterLines="20" w:after="48"/>
              <w:jc w:val="center"/>
              <w:rPr>
                <w:b/>
                <w:noProof/>
                <w:sz w:val="20"/>
              </w:rPr>
            </w:pPr>
            <w:r w:rsidRPr="001E4272">
              <w:rPr>
                <w:b/>
                <w:noProof/>
                <w:sz w:val="20"/>
              </w:rPr>
              <w:t>2</w:t>
            </w:r>
          </w:p>
        </w:tc>
      </w:tr>
    </w:tbl>
    <w:p w14:paraId="0857EA2A" w14:textId="77777777" w:rsidR="00D42205" w:rsidRPr="001E4272" w:rsidRDefault="00D42205" w:rsidP="00D42205">
      <w:pPr>
        <w:pStyle w:val="Text1"/>
        <w:rPr>
          <w:noProof/>
          <w:sz w:val="22"/>
        </w:rPr>
      </w:pPr>
      <w:r w:rsidRPr="001E4272">
        <w:rPr>
          <w:noProof/>
          <w:sz w:val="22"/>
        </w:rPr>
        <w:t>Οι ανάγκες σε ανθρώπινους πόρους θα καλυφθούν από το προσωπικό της ΓΔ που έχει ήδη διατεθεί για τη διαχείριση της δράσης και/ή έχει ανακατανεμηθεί στο εσωτερικό της ΓΔ και το οποίο θα συμπληρωθεί, εάν χρειαστεί, από πρόσθετους πόρους που μπορεί να διατεθούν στην αρμόδια για τη διαχείριση ΓΔ στο πλαίσιο της ετήσιας διαδικασίας κατανομής και λαμβανομένων υπόψη των υφιστάμενων δημοσιονομικών περιορισμών.</w:t>
      </w:r>
    </w:p>
    <w:p w14:paraId="2FBEFE7D" w14:textId="77777777" w:rsidR="00D42205" w:rsidRPr="001E4272" w:rsidRDefault="00D42205" w:rsidP="00ED2926">
      <w:pPr>
        <w:pStyle w:val="Text1"/>
        <w:rPr>
          <w:noProof/>
          <w:sz w:val="18"/>
        </w:rPr>
      </w:pPr>
    </w:p>
    <w:p w14:paraId="4D35C1D9" w14:textId="77777777" w:rsidR="00D42205" w:rsidRPr="001E4272" w:rsidRDefault="00D42205" w:rsidP="00ED2926">
      <w:pPr>
        <w:pStyle w:val="Text1"/>
        <w:rPr>
          <w:noProof/>
          <w:sz w:val="18"/>
          <w:szCs w:val="18"/>
        </w:rPr>
      </w:pPr>
    </w:p>
    <w:p w14:paraId="225A83C4" w14:textId="77777777" w:rsidR="00D42205" w:rsidRPr="001E4272" w:rsidRDefault="00436363" w:rsidP="00ED2926">
      <w:pPr>
        <w:rPr>
          <w:noProof/>
          <w:sz w:val="20"/>
          <w:u w:val="single"/>
        </w:rPr>
      </w:pPr>
      <w:r w:rsidRPr="001E4272">
        <w:rPr>
          <w:noProof/>
          <w:sz w:val="20"/>
          <w:u w:val="single"/>
        </w:rPr>
        <w:t>Περιγραφή των προς εκτέλεση καθηκόντων:</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D42205" w:rsidRPr="001E4272" w14:paraId="1585DBDC" w14:textId="77777777" w:rsidTr="00B2088F">
        <w:tc>
          <w:tcPr>
            <w:tcW w:w="3240" w:type="dxa"/>
          </w:tcPr>
          <w:p w14:paraId="057DB931" w14:textId="77777777" w:rsidR="00D42205" w:rsidRPr="001E4272" w:rsidRDefault="00D42205" w:rsidP="00B2088F">
            <w:pPr>
              <w:rPr>
                <w:noProof/>
                <w:sz w:val="20"/>
              </w:rPr>
            </w:pPr>
            <w:r w:rsidRPr="001E4272">
              <w:rPr>
                <w:noProof/>
                <w:sz w:val="20"/>
              </w:rPr>
              <w:t>Μόνιμοι και έκτακτοι υπάλληλοι</w:t>
            </w:r>
          </w:p>
        </w:tc>
        <w:tc>
          <w:tcPr>
            <w:tcW w:w="7200" w:type="dxa"/>
          </w:tcPr>
          <w:p w14:paraId="43364F1D" w14:textId="77777777" w:rsidR="00D42205" w:rsidRPr="001E4272" w:rsidRDefault="00D42205" w:rsidP="00B2088F">
            <w:pPr>
              <w:rPr>
                <w:noProof/>
                <w:sz w:val="20"/>
              </w:rPr>
            </w:pPr>
            <w:r w:rsidRPr="001E4272">
              <w:rPr>
                <w:noProof/>
                <w:sz w:val="20"/>
              </w:rPr>
              <w:t>Εκπροσώπηση της Επιτροπής στην εκτελεστική επιτροπή του οργανισμού. Σύνταξη της γνώμης της Επιτροπής σχετικά με το ετήσιο πρόγραμμα εργασιών και παρακολούθηση της υλοποίησής του. Παρακολούθηση της εκτέλεσης του προϋπολογισμού. Παροχή συνδρομής στον οργανισμό για την ανάπτυξη των δραστηριοτήτων του σύμφωνα με τις πολιτικές της ΕΕ, μεταξύ άλλων, μέσω συμμετοχής σε συνεδριάσεις εμπειρογνωμόνων.</w:t>
            </w:r>
          </w:p>
        </w:tc>
      </w:tr>
      <w:tr w:rsidR="00D42205" w:rsidRPr="001E4272" w14:paraId="4841ECB9" w14:textId="77777777" w:rsidTr="00B2088F">
        <w:tc>
          <w:tcPr>
            <w:tcW w:w="3240" w:type="dxa"/>
          </w:tcPr>
          <w:p w14:paraId="4B5055F9" w14:textId="77777777" w:rsidR="00D42205" w:rsidRPr="001E4272" w:rsidRDefault="00D42205" w:rsidP="00B2088F">
            <w:pPr>
              <w:spacing w:before="60" w:after="60"/>
              <w:rPr>
                <w:noProof/>
                <w:sz w:val="20"/>
              </w:rPr>
            </w:pPr>
            <w:r w:rsidRPr="001E4272">
              <w:rPr>
                <w:noProof/>
                <w:sz w:val="20"/>
              </w:rPr>
              <w:t>Εξωτερικό προσωπικό</w:t>
            </w:r>
          </w:p>
        </w:tc>
        <w:tc>
          <w:tcPr>
            <w:tcW w:w="7200" w:type="dxa"/>
          </w:tcPr>
          <w:p w14:paraId="63FEFD22" w14:textId="77777777" w:rsidR="00D42205" w:rsidRPr="001E4272" w:rsidRDefault="00D42205" w:rsidP="00B2088F">
            <w:pPr>
              <w:rPr>
                <w:noProof/>
                <w:sz w:val="20"/>
              </w:rPr>
            </w:pPr>
            <w:r w:rsidRPr="001E4272">
              <w:rPr>
                <w:noProof/>
                <w:sz w:val="20"/>
              </w:rPr>
              <w:t>Οι μόνιμοι και οι έκτακτοι υπάλληλοι θα επικουρούνται στα παραπάνω καθήκοντα από έναν αποσπασμένο εθνικό εμπειρογνώμονα, ο οποίος θα συνδράμει επίσης τον οργανισμό στην ανάπτυξη των δραστηριοτήτων του σύμφωνα με τις πολιτικές της ΕΕ, συμμετέχοντας, μεταξύ άλλων, σε συναντήσεις εμπειρογνωμόνων.</w:t>
            </w:r>
          </w:p>
        </w:tc>
      </w:tr>
    </w:tbl>
    <w:p w14:paraId="24235A36" w14:textId="77777777" w:rsidR="00D42205" w:rsidRPr="001E4272" w:rsidRDefault="00D42205" w:rsidP="00D42205">
      <w:pPr>
        <w:rPr>
          <w:noProof/>
        </w:rPr>
      </w:pPr>
    </w:p>
    <w:p w14:paraId="7B489DC2" w14:textId="77777777" w:rsidR="00D42205" w:rsidRPr="001E4272" w:rsidRDefault="00D42205" w:rsidP="00D42205">
      <w:pPr>
        <w:rPr>
          <w:noProof/>
        </w:rPr>
      </w:pPr>
      <w:r w:rsidRPr="001E4272">
        <w:rPr>
          <w:noProof/>
        </w:rPr>
        <w:t xml:space="preserve">Η περιγραφή του υπολογισμού του κόστους των θέσεων που εκφράζονται σε μονάδες ισοδύναμου πλήρους απασχόλησης (ΙΠΑ) θα πρέπει να περιλαμβάνεται στο παράρτημα V τμήμα 3. </w:t>
      </w:r>
    </w:p>
    <w:p w14:paraId="2BD91B02" w14:textId="77777777" w:rsidR="00D42205" w:rsidRPr="001E4272" w:rsidRDefault="00D42205" w:rsidP="00ED2926">
      <w:pPr>
        <w:rPr>
          <w:noProof/>
        </w:rPr>
        <w:sectPr w:rsidR="00D42205" w:rsidRPr="001E4272" w:rsidSect="00C51A3C">
          <w:pgSz w:w="11907" w:h="16840"/>
          <w:pgMar w:top="1134" w:right="1418" w:bottom="1134" w:left="1418" w:header="709" w:footer="709" w:gutter="0"/>
          <w:cols w:space="708"/>
          <w:docGrid w:linePitch="360"/>
        </w:sectPr>
      </w:pPr>
    </w:p>
    <w:p w14:paraId="42EDD532" w14:textId="4D00B331" w:rsidR="00D42205" w:rsidRPr="001E4272" w:rsidRDefault="00F27BFA" w:rsidP="00F27BFA">
      <w:pPr>
        <w:pStyle w:val="ManualHeading3"/>
        <w:rPr>
          <w:noProof/>
        </w:rPr>
      </w:pPr>
      <w:bookmarkStart w:id="125" w:name="_Toc514938056"/>
      <w:bookmarkStart w:id="126" w:name="_Toc520485055"/>
      <w:bookmarkStart w:id="127" w:name="_Toc84517602"/>
      <w:r w:rsidRPr="00F27BFA">
        <w:t>3.2.4.</w:t>
      </w:r>
      <w:r w:rsidRPr="00F27BFA">
        <w:tab/>
      </w:r>
      <w:r w:rsidR="00436363" w:rsidRPr="001E4272">
        <w:rPr>
          <w:noProof/>
        </w:rPr>
        <w:t>Συμβατότητα με το ισχύον πολυετές δημοσιονομικό πλαίσιο</w:t>
      </w:r>
      <w:bookmarkEnd w:id="125"/>
      <w:bookmarkEnd w:id="126"/>
      <w:bookmarkEnd w:id="127"/>
      <w:r w:rsidR="00436363" w:rsidRPr="001E4272">
        <w:rPr>
          <w:noProof/>
        </w:rPr>
        <w:t xml:space="preserve"> </w:t>
      </w:r>
      <w:bookmarkStart w:id="128" w:name="_Toc514938058"/>
      <w:bookmarkStart w:id="129" w:name="_Toc520485056"/>
    </w:p>
    <w:p w14:paraId="5CA68DD8" w14:textId="0D33D949" w:rsidR="006E524A" w:rsidRPr="001E4272" w:rsidRDefault="006E524A" w:rsidP="006E524A">
      <w:pPr>
        <w:pStyle w:val="Text1"/>
        <w:rPr>
          <w:noProof/>
        </w:rPr>
      </w:pPr>
      <w:r w:rsidRPr="001E4272">
        <w:rPr>
          <w:noProof/>
        </w:rPr>
        <w:t>Η πρόταση/πρωτοβουλία:</w:t>
      </w:r>
    </w:p>
    <w:p w14:paraId="7C9C6C36" w14:textId="77777777" w:rsidR="006E524A" w:rsidRPr="001E4272" w:rsidRDefault="006E524A" w:rsidP="00167C03">
      <w:pPr>
        <w:pStyle w:val="ListDash1"/>
        <w:numPr>
          <w:ilvl w:val="0"/>
          <w:numId w:val="28"/>
        </w:numPr>
        <w:rPr>
          <w:noProof/>
        </w:rPr>
      </w:pPr>
      <w:r w:rsidRPr="001E4272">
        <w:rPr>
          <w:rFonts w:ascii="Wingdings" w:hAnsi="Wingdings"/>
          <w:noProof/>
        </w:rPr>
        <w:t></w:t>
      </w:r>
      <w:r w:rsidRPr="001E4272">
        <w:rPr>
          <w:noProof/>
        </w:rPr>
        <w:t xml:space="preserve"> μπορεί να χρηματοδοτηθεί εξ ολοκλήρου με ανακατανομή εντός του οικείου τομέα του πολυετούς δημοσιονομικού πλαισίου (ΠΔΠ).</w:t>
      </w:r>
    </w:p>
    <w:p w14:paraId="17F03E2B" w14:textId="77777777" w:rsidR="006E524A" w:rsidRPr="001E4272" w:rsidRDefault="006E524A" w:rsidP="006E524A">
      <w:pPr>
        <w:pStyle w:val="Text1"/>
        <w:rPr>
          <w:noProof/>
          <w:sz w:val="20"/>
          <w:szCs w:val="20"/>
        </w:rPr>
      </w:pPr>
      <w:r w:rsidRPr="001E4272">
        <w:rPr>
          <w:noProof/>
          <w:sz w:val="20"/>
          <w:szCs w:val="20"/>
        </w:rPr>
        <w:t>Να εξηγηθεί ο απαιτούμενος αναπρογραμματισμός και να προσδιοριστούν οι σχετικές γραμμές του προϋπολογισμού και τα αντίστοιχα ποσά.</w:t>
      </w:r>
      <w:r w:rsidRPr="001E4272">
        <w:rPr>
          <w:noProof/>
        </w:rPr>
        <w:t xml:space="preserve"> </w:t>
      </w:r>
      <w:r w:rsidRPr="001E4272">
        <w:rPr>
          <w:noProof/>
          <w:sz w:val="20"/>
          <w:szCs w:val="20"/>
        </w:rPr>
        <w:t>Να υποβληθεί πίνακας Excel σε περίπτωση σημαντικού αναπρογραμματισμού.</w:t>
      </w:r>
    </w:p>
    <w:p w14:paraId="768DB67C" w14:textId="3A325AEF" w:rsidR="006E524A" w:rsidRPr="001E4272" w:rsidRDefault="006E524A" w:rsidP="00167C03">
      <w:pPr>
        <w:pStyle w:val="ListDash1"/>
        <w:numPr>
          <w:ilvl w:val="0"/>
          <w:numId w:val="28"/>
        </w:numPr>
        <w:rPr>
          <w:noProof/>
        </w:rPr>
      </w:pPr>
      <w:r w:rsidRPr="001E4272">
        <w:rPr>
          <w:noProof/>
        </w:rPr>
        <w:sym w:font="Wingdings" w:char="F0FE"/>
      </w:r>
      <w:r w:rsidRPr="001E4272">
        <w:rPr>
          <w:rFonts w:ascii="Wingdings" w:hAnsi="Wingdings"/>
          <w:noProof/>
        </w:rPr>
        <w:t></w:t>
      </w:r>
      <w:r w:rsidRPr="001E4272">
        <w:rPr>
          <w:noProof/>
        </w:rPr>
        <w:t>συνεπάγεται τη χρησιμοποίηση του αδιάθετου περιθωρίου στο πλαίσιο του αντίστοιχου τομέα του ΠΔΠ και/ή τη χρήση ειδικών μηχανισμών, όπως ορίζεται στον κανονισμό για το ΠΔΠ.</w:t>
      </w:r>
    </w:p>
    <w:p w14:paraId="359E9C19" w14:textId="77777777" w:rsidR="006E524A" w:rsidRPr="001E4272" w:rsidRDefault="006E524A" w:rsidP="006E524A">
      <w:pPr>
        <w:pStyle w:val="Text1"/>
        <w:rPr>
          <w:noProof/>
          <w:sz w:val="20"/>
          <w:szCs w:val="20"/>
        </w:rPr>
      </w:pPr>
      <w:r w:rsidRPr="001E4272">
        <w:rPr>
          <w:noProof/>
          <w:sz w:val="20"/>
          <w:szCs w:val="20"/>
        </w:rPr>
        <w:t>Να εξηγηθούν οι απαιτούμενες ενέργειες και να προσδιοριστούν οι σχετικοί τομείς και οι σχετικές γραμμές του προϋπολογισμού, τα αντίστοιχα ποσά και οι μηχανισμοί που προτείνεται να χρησιμοποιηθούν.</w:t>
      </w:r>
    </w:p>
    <w:p w14:paraId="2E67F7D7" w14:textId="1161DB37" w:rsidR="00D42205" w:rsidRPr="001E4272" w:rsidRDefault="006E524A" w:rsidP="00D42205">
      <w:pPr>
        <w:pStyle w:val="Text1"/>
        <w:pBdr>
          <w:top w:val="single" w:sz="4" w:space="1" w:color="auto"/>
          <w:left w:val="single" w:sz="4" w:space="4" w:color="auto"/>
          <w:bottom w:val="single" w:sz="4" w:space="1" w:color="auto"/>
          <w:right w:val="single" w:sz="4" w:space="4" w:color="auto"/>
        </w:pBdr>
        <w:rPr>
          <w:noProof/>
        </w:rPr>
      </w:pPr>
      <w:r w:rsidRPr="001E4272">
        <w:rPr>
          <w:noProof/>
        </w:rPr>
        <w:t>Η πρόταση απαιτεί τη χρήση του αδιάθετου περιθωρίου του τομέα 2β του ΠΔΠ ως εξής: στη ΓΠ 07.1007 — Eurojust — το 2024 — 2,158 εκατ. EUR, το 2025 10,811 εκατ. EUR, το 2026 — 10,403 εκατ. EUR και το 2027 9,371 εκατ. EUR.</w:t>
      </w:r>
    </w:p>
    <w:p w14:paraId="1D494286" w14:textId="77777777" w:rsidR="00D42205" w:rsidRPr="001E4272" w:rsidRDefault="00D42205" w:rsidP="00D42205">
      <w:pPr>
        <w:pStyle w:val="Text1"/>
        <w:rPr>
          <w:noProof/>
        </w:rPr>
      </w:pPr>
    </w:p>
    <w:p w14:paraId="1E89C3F5" w14:textId="6EC9C112" w:rsidR="00436363" w:rsidRPr="001E4272" w:rsidRDefault="00F27BFA" w:rsidP="00F27BFA">
      <w:pPr>
        <w:pStyle w:val="ManualHeading3"/>
        <w:rPr>
          <w:bCs/>
          <w:noProof/>
          <w:szCs w:val="24"/>
        </w:rPr>
      </w:pPr>
      <w:bookmarkStart w:id="130" w:name="_Toc84517603"/>
      <w:r w:rsidRPr="00F27BFA">
        <w:t>3.2.5.</w:t>
      </w:r>
      <w:r w:rsidRPr="00F27BFA">
        <w:tab/>
      </w:r>
      <w:r w:rsidR="00436363" w:rsidRPr="001E4272">
        <w:rPr>
          <w:noProof/>
        </w:rPr>
        <w:t>Συμμετοχή τρίτων στη χρηματοδότηση</w:t>
      </w:r>
      <w:bookmarkEnd w:id="128"/>
      <w:bookmarkEnd w:id="129"/>
      <w:bookmarkEnd w:id="130"/>
      <w:r w:rsidR="00436363" w:rsidRPr="001E4272">
        <w:rPr>
          <w:noProof/>
        </w:rPr>
        <w:t xml:space="preserve"> </w:t>
      </w:r>
    </w:p>
    <w:p w14:paraId="262F471A" w14:textId="77777777" w:rsidR="00436363" w:rsidRPr="001E4272" w:rsidRDefault="00436363" w:rsidP="00ED2926">
      <w:pPr>
        <w:pStyle w:val="Text1"/>
        <w:rPr>
          <w:noProof/>
        </w:rPr>
      </w:pPr>
      <w:r w:rsidRPr="001E4272">
        <w:rPr>
          <w:noProof/>
        </w:rPr>
        <w:t>Η πρόταση/πρωτοβουλία:</w:t>
      </w:r>
    </w:p>
    <w:p w14:paraId="7EC773A7" w14:textId="77777777" w:rsidR="00B50AC3" w:rsidRPr="001E4272" w:rsidRDefault="00B50AC3" w:rsidP="00B50AC3">
      <w:pPr>
        <w:pStyle w:val="ListDash1"/>
        <w:rPr>
          <w:noProof/>
        </w:rPr>
      </w:pPr>
      <w:r w:rsidRPr="001E4272">
        <w:rPr>
          <w:noProof/>
        </w:rPr>
        <w:sym w:font="Wingdings" w:char="F0FE"/>
      </w:r>
      <w:r w:rsidRPr="001E4272">
        <w:rPr>
          <w:noProof/>
        </w:rPr>
        <w:t xml:space="preserve">Η πρόταση/πρωτοβουλία δεν προβλέπει συγχρηματοδότηση από τρίτους. </w:t>
      </w:r>
    </w:p>
    <w:p w14:paraId="44ACCB3F" w14:textId="77777777" w:rsidR="00B50AC3" w:rsidRPr="001E4272" w:rsidRDefault="00B50AC3" w:rsidP="00B50AC3">
      <w:pPr>
        <w:pStyle w:val="ListDash1"/>
        <w:rPr>
          <w:noProof/>
        </w:rPr>
      </w:pPr>
      <w:r w:rsidRPr="001E4272">
        <w:rPr>
          <w:noProof/>
        </w:rPr>
        <w:t>Η πρόταση/πρωτοβουλία προβλέπει τη συγχρηματοδότηση που εκτιμάται κατωτέρω:</w:t>
      </w:r>
    </w:p>
    <w:p w14:paraId="364059CB" w14:textId="77777777" w:rsidR="00B50AC3" w:rsidRPr="001E4272" w:rsidRDefault="00B50AC3" w:rsidP="00B50AC3">
      <w:pPr>
        <w:jc w:val="right"/>
        <w:rPr>
          <w:noProof/>
          <w:sz w:val="20"/>
        </w:rPr>
      </w:pPr>
      <w:r w:rsidRPr="001E4272">
        <w:rPr>
          <w:noProof/>
          <w:sz w:val="20"/>
        </w:rPr>
        <w:t>σε εκατ. EUR (με τρία δεκαδικά ψηφία)</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B50AC3" w:rsidRPr="001E4272" w14:paraId="5EE9DD7E" w14:textId="77777777" w:rsidTr="00B2088F">
        <w:trPr>
          <w:cantSplit/>
        </w:trPr>
        <w:tc>
          <w:tcPr>
            <w:tcW w:w="2340" w:type="dxa"/>
          </w:tcPr>
          <w:p w14:paraId="5DC181DB" w14:textId="77777777" w:rsidR="00B50AC3" w:rsidRPr="001E4272" w:rsidRDefault="00B50AC3" w:rsidP="00B2088F">
            <w:pPr>
              <w:spacing w:before="60" w:after="60"/>
              <w:rPr>
                <w:noProof/>
                <w:sz w:val="20"/>
              </w:rPr>
            </w:pPr>
          </w:p>
        </w:tc>
        <w:tc>
          <w:tcPr>
            <w:tcW w:w="964" w:type="dxa"/>
            <w:vAlign w:val="center"/>
          </w:tcPr>
          <w:p w14:paraId="639FA8D7" w14:textId="77777777" w:rsidR="00B50AC3" w:rsidRPr="001E4272" w:rsidRDefault="00B50AC3" w:rsidP="00B2088F">
            <w:pPr>
              <w:jc w:val="center"/>
              <w:rPr>
                <w:noProof/>
                <w:sz w:val="20"/>
              </w:rPr>
            </w:pPr>
            <w:r w:rsidRPr="001E4272">
              <w:rPr>
                <w:noProof/>
                <w:sz w:val="20"/>
              </w:rPr>
              <w:t>Έτος</w:t>
            </w:r>
            <w:r w:rsidRPr="001E4272">
              <w:rPr>
                <w:noProof/>
              </w:rPr>
              <w:t xml:space="preserve"> </w:t>
            </w:r>
            <w:r w:rsidRPr="001E4272">
              <w:rPr>
                <w:noProof/>
              </w:rPr>
              <w:br/>
            </w:r>
            <w:r w:rsidRPr="001E4272">
              <w:rPr>
                <w:b/>
                <w:noProof/>
                <w:sz w:val="20"/>
              </w:rPr>
              <w:t>N</w:t>
            </w:r>
          </w:p>
        </w:tc>
        <w:tc>
          <w:tcPr>
            <w:tcW w:w="964" w:type="dxa"/>
            <w:vAlign w:val="center"/>
          </w:tcPr>
          <w:p w14:paraId="7F1D2ABA" w14:textId="77777777" w:rsidR="00B50AC3" w:rsidRPr="001E4272" w:rsidRDefault="00B50AC3" w:rsidP="00B2088F">
            <w:pPr>
              <w:jc w:val="center"/>
              <w:rPr>
                <w:noProof/>
                <w:sz w:val="20"/>
              </w:rPr>
            </w:pPr>
            <w:r w:rsidRPr="001E4272">
              <w:rPr>
                <w:noProof/>
                <w:sz w:val="20"/>
              </w:rPr>
              <w:t>Έτος</w:t>
            </w:r>
            <w:r w:rsidRPr="001E4272">
              <w:rPr>
                <w:noProof/>
              </w:rPr>
              <w:t xml:space="preserve"> </w:t>
            </w:r>
            <w:r w:rsidRPr="001E4272">
              <w:rPr>
                <w:noProof/>
              </w:rPr>
              <w:br/>
            </w:r>
            <w:r w:rsidRPr="001E4272">
              <w:rPr>
                <w:b/>
                <w:noProof/>
                <w:sz w:val="20"/>
              </w:rPr>
              <w:t>N+1</w:t>
            </w:r>
          </w:p>
        </w:tc>
        <w:tc>
          <w:tcPr>
            <w:tcW w:w="964" w:type="dxa"/>
            <w:vAlign w:val="center"/>
          </w:tcPr>
          <w:p w14:paraId="1CFD0D9F" w14:textId="77777777" w:rsidR="00B50AC3" w:rsidRPr="001E4272" w:rsidRDefault="00B50AC3" w:rsidP="00B2088F">
            <w:pPr>
              <w:jc w:val="center"/>
              <w:rPr>
                <w:noProof/>
                <w:sz w:val="20"/>
              </w:rPr>
            </w:pPr>
            <w:r w:rsidRPr="001E4272">
              <w:rPr>
                <w:noProof/>
                <w:sz w:val="20"/>
              </w:rPr>
              <w:t>Έτος</w:t>
            </w:r>
            <w:r w:rsidRPr="001E4272">
              <w:rPr>
                <w:noProof/>
              </w:rPr>
              <w:t xml:space="preserve"> </w:t>
            </w:r>
            <w:r w:rsidRPr="001E4272">
              <w:rPr>
                <w:noProof/>
              </w:rPr>
              <w:br/>
            </w:r>
            <w:r w:rsidRPr="001E4272">
              <w:rPr>
                <w:b/>
                <w:noProof/>
                <w:sz w:val="20"/>
              </w:rPr>
              <w:t>N+2</w:t>
            </w:r>
          </w:p>
        </w:tc>
        <w:tc>
          <w:tcPr>
            <w:tcW w:w="964" w:type="dxa"/>
            <w:vAlign w:val="center"/>
          </w:tcPr>
          <w:p w14:paraId="33003D8B" w14:textId="77777777" w:rsidR="00B50AC3" w:rsidRPr="001E4272" w:rsidRDefault="00B50AC3" w:rsidP="00B2088F">
            <w:pPr>
              <w:jc w:val="center"/>
              <w:rPr>
                <w:noProof/>
                <w:sz w:val="20"/>
              </w:rPr>
            </w:pPr>
            <w:r w:rsidRPr="001E4272">
              <w:rPr>
                <w:noProof/>
                <w:sz w:val="20"/>
              </w:rPr>
              <w:t>Έτος</w:t>
            </w:r>
            <w:r w:rsidRPr="001E4272">
              <w:rPr>
                <w:noProof/>
              </w:rPr>
              <w:t xml:space="preserve"> </w:t>
            </w:r>
            <w:r w:rsidRPr="001E4272">
              <w:rPr>
                <w:noProof/>
              </w:rPr>
              <w:br/>
            </w:r>
            <w:r w:rsidRPr="001E4272">
              <w:rPr>
                <w:b/>
                <w:noProof/>
                <w:sz w:val="20"/>
              </w:rPr>
              <w:t>N+3</w:t>
            </w:r>
          </w:p>
        </w:tc>
        <w:tc>
          <w:tcPr>
            <w:tcW w:w="2892" w:type="dxa"/>
            <w:gridSpan w:val="3"/>
            <w:vAlign w:val="center"/>
          </w:tcPr>
          <w:p w14:paraId="2B45BA7D" w14:textId="77777777" w:rsidR="00B50AC3" w:rsidRPr="001E4272" w:rsidRDefault="00B50AC3" w:rsidP="00B2088F">
            <w:pPr>
              <w:jc w:val="center"/>
              <w:rPr>
                <w:b/>
                <w:noProof/>
                <w:sz w:val="20"/>
              </w:rPr>
            </w:pPr>
            <w:r w:rsidRPr="001E4272">
              <w:rPr>
                <w:noProof/>
                <w:sz w:val="20"/>
              </w:rPr>
              <w:t>Να εγγραφούν όσα έτη απαιτούνται, ώστε να εμφανίζεται η διάρκεια των επιπτώσεων (βλ. σημείο 1.6)</w:t>
            </w:r>
          </w:p>
        </w:tc>
        <w:tc>
          <w:tcPr>
            <w:tcW w:w="1158" w:type="dxa"/>
            <w:vAlign w:val="center"/>
          </w:tcPr>
          <w:p w14:paraId="2D1021B5" w14:textId="77777777" w:rsidR="00B50AC3" w:rsidRPr="001E4272" w:rsidRDefault="00B50AC3" w:rsidP="00B2088F">
            <w:pPr>
              <w:spacing w:before="60" w:after="60"/>
              <w:jc w:val="center"/>
              <w:rPr>
                <w:noProof/>
                <w:sz w:val="20"/>
              </w:rPr>
            </w:pPr>
            <w:r w:rsidRPr="001E4272">
              <w:rPr>
                <w:noProof/>
                <w:sz w:val="20"/>
              </w:rPr>
              <w:t>Σύνολο</w:t>
            </w:r>
          </w:p>
        </w:tc>
      </w:tr>
      <w:tr w:rsidR="00B50AC3" w:rsidRPr="001E4272" w14:paraId="6ACC11EC" w14:textId="77777777" w:rsidTr="00B2088F">
        <w:trPr>
          <w:cantSplit/>
        </w:trPr>
        <w:tc>
          <w:tcPr>
            <w:tcW w:w="2340" w:type="dxa"/>
          </w:tcPr>
          <w:p w14:paraId="4CE30237" w14:textId="77777777" w:rsidR="00B50AC3" w:rsidRPr="001E4272" w:rsidRDefault="00B50AC3" w:rsidP="00B2088F">
            <w:pPr>
              <w:rPr>
                <w:noProof/>
              </w:rPr>
            </w:pPr>
            <w:r w:rsidRPr="001E4272">
              <w:rPr>
                <w:noProof/>
                <w:sz w:val="20"/>
              </w:rPr>
              <w:t>Προσδιορισμός του φορέα συγχρηματοδότησης</w:t>
            </w:r>
            <w:r w:rsidRPr="001E4272">
              <w:rPr>
                <w:i/>
                <w:noProof/>
                <w:sz w:val="20"/>
              </w:rPr>
              <w:t xml:space="preserve"> </w:t>
            </w:r>
          </w:p>
        </w:tc>
        <w:tc>
          <w:tcPr>
            <w:tcW w:w="964" w:type="dxa"/>
            <w:vAlign w:val="center"/>
          </w:tcPr>
          <w:p w14:paraId="3BD8D0D9" w14:textId="77777777" w:rsidR="00B50AC3" w:rsidRPr="001E4272" w:rsidRDefault="00B50AC3" w:rsidP="00B2088F">
            <w:pPr>
              <w:spacing w:before="60" w:after="60"/>
              <w:jc w:val="center"/>
              <w:rPr>
                <w:noProof/>
                <w:sz w:val="20"/>
              </w:rPr>
            </w:pPr>
          </w:p>
        </w:tc>
        <w:tc>
          <w:tcPr>
            <w:tcW w:w="964" w:type="dxa"/>
            <w:vAlign w:val="center"/>
          </w:tcPr>
          <w:p w14:paraId="07D0D8A5" w14:textId="77777777" w:rsidR="00B50AC3" w:rsidRPr="001E4272" w:rsidRDefault="00B50AC3" w:rsidP="00B2088F">
            <w:pPr>
              <w:spacing w:before="60" w:after="60"/>
              <w:jc w:val="center"/>
              <w:rPr>
                <w:noProof/>
                <w:sz w:val="20"/>
              </w:rPr>
            </w:pPr>
          </w:p>
        </w:tc>
        <w:tc>
          <w:tcPr>
            <w:tcW w:w="964" w:type="dxa"/>
            <w:vAlign w:val="center"/>
          </w:tcPr>
          <w:p w14:paraId="7213F42D" w14:textId="77777777" w:rsidR="00B50AC3" w:rsidRPr="001E4272" w:rsidRDefault="00B50AC3" w:rsidP="00B2088F">
            <w:pPr>
              <w:spacing w:before="60" w:after="60"/>
              <w:jc w:val="center"/>
              <w:rPr>
                <w:noProof/>
                <w:sz w:val="20"/>
              </w:rPr>
            </w:pPr>
          </w:p>
        </w:tc>
        <w:tc>
          <w:tcPr>
            <w:tcW w:w="964" w:type="dxa"/>
            <w:vAlign w:val="center"/>
          </w:tcPr>
          <w:p w14:paraId="028B5212" w14:textId="77777777" w:rsidR="00B50AC3" w:rsidRPr="001E4272" w:rsidRDefault="00B50AC3" w:rsidP="00B2088F">
            <w:pPr>
              <w:spacing w:before="60" w:after="60"/>
              <w:jc w:val="center"/>
              <w:rPr>
                <w:noProof/>
                <w:sz w:val="20"/>
              </w:rPr>
            </w:pPr>
          </w:p>
        </w:tc>
        <w:tc>
          <w:tcPr>
            <w:tcW w:w="964" w:type="dxa"/>
            <w:vAlign w:val="center"/>
          </w:tcPr>
          <w:p w14:paraId="35D8296C" w14:textId="77777777" w:rsidR="00B50AC3" w:rsidRPr="001E4272" w:rsidRDefault="00B50AC3" w:rsidP="00B2088F">
            <w:pPr>
              <w:spacing w:before="60" w:after="60"/>
              <w:jc w:val="center"/>
              <w:rPr>
                <w:noProof/>
                <w:sz w:val="20"/>
              </w:rPr>
            </w:pPr>
          </w:p>
        </w:tc>
        <w:tc>
          <w:tcPr>
            <w:tcW w:w="964" w:type="dxa"/>
            <w:vAlign w:val="center"/>
          </w:tcPr>
          <w:p w14:paraId="40B9E682" w14:textId="77777777" w:rsidR="00B50AC3" w:rsidRPr="001E4272" w:rsidRDefault="00B50AC3" w:rsidP="00B2088F">
            <w:pPr>
              <w:spacing w:before="60" w:after="60"/>
              <w:jc w:val="center"/>
              <w:rPr>
                <w:noProof/>
                <w:sz w:val="20"/>
              </w:rPr>
            </w:pPr>
          </w:p>
        </w:tc>
        <w:tc>
          <w:tcPr>
            <w:tcW w:w="964" w:type="dxa"/>
            <w:vAlign w:val="center"/>
          </w:tcPr>
          <w:p w14:paraId="36CCE4A4" w14:textId="77777777" w:rsidR="00B50AC3" w:rsidRPr="001E4272" w:rsidRDefault="00B50AC3" w:rsidP="00B2088F">
            <w:pPr>
              <w:spacing w:before="60" w:after="60"/>
              <w:jc w:val="center"/>
              <w:rPr>
                <w:noProof/>
                <w:sz w:val="20"/>
              </w:rPr>
            </w:pPr>
          </w:p>
        </w:tc>
        <w:tc>
          <w:tcPr>
            <w:tcW w:w="1158" w:type="dxa"/>
            <w:vAlign w:val="center"/>
          </w:tcPr>
          <w:p w14:paraId="6D6C3221" w14:textId="77777777" w:rsidR="00B50AC3" w:rsidRPr="001E4272" w:rsidRDefault="00B50AC3" w:rsidP="00B2088F">
            <w:pPr>
              <w:spacing w:before="60" w:after="60"/>
              <w:jc w:val="center"/>
              <w:rPr>
                <w:noProof/>
                <w:sz w:val="20"/>
              </w:rPr>
            </w:pPr>
          </w:p>
        </w:tc>
      </w:tr>
      <w:tr w:rsidR="00B50AC3" w:rsidRPr="001E4272" w14:paraId="05B18121" w14:textId="77777777" w:rsidTr="00B2088F">
        <w:trPr>
          <w:cantSplit/>
        </w:trPr>
        <w:tc>
          <w:tcPr>
            <w:tcW w:w="2340" w:type="dxa"/>
          </w:tcPr>
          <w:p w14:paraId="31D88757" w14:textId="77777777" w:rsidR="00B50AC3" w:rsidRPr="001E4272" w:rsidRDefault="00B50AC3" w:rsidP="00B2088F">
            <w:pPr>
              <w:spacing w:before="60" w:after="60"/>
              <w:rPr>
                <w:noProof/>
                <w:sz w:val="20"/>
              </w:rPr>
            </w:pPr>
            <w:r w:rsidRPr="001E4272">
              <w:rPr>
                <w:noProof/>
                <w:sz w:val="20"/>
              </w:rPr>
              <w:t xml:space="preserve">ΣΥΝΟΛΟ συγχρηματοδοτούμενων πιστώσεων </w:t>
            </w:r>
          </w:p>
        </w:tc>
        <w:tc>
          <w:tcPr>
            <w:tcW w:w="964" w:type="dxa"/>
            <w:vAlign w:val="center"/>
          </w:tcPr>
          <w:p w14:paraId="5ACCF124" w14:textId="77777777" w:rsidR="00B50AC3" w:rsidRPr="001E4272" w:rsidRDefault="00B50AC3" w:rsidP="00B2088F">
            <w:pPr>
              <w:spacing w:before="60" w:after="60"/>
              <w:jc w:val="center"/>
              <w:rPr>
                <w:noProof/>
                <w:sz w:val="20"/>
              </w:rPr>
            </w:pPr>
          </w:p>
        </w:tc>
        <w:tc>
          <w:tcPr>
            <w:tcW w:w="964" w:type="dxa"/>
            <w:vAlign w:val="center"/>
          </w:tcPr>
          <w:p w14:paraId="034BD86F" w14:textId="77777777" w:rsidR="00B50AC3" w:rsidRPr="001E4272" w:rsidRDefault="00B50AC3" w:rsidP="00B2088F">
            <w:pPr>
              <w:spacing w:before="60" w:after="60"/>
              <w:jc w:val="center"/>
              <w:rPr>
                <w:noProof/>
                <w:sz w:val="20"/>
              </w:rPr>
            </w:pPr>
          </w:p>
        </w:tc>
        <w:tc>
          <w:tcPr>
            <w:tcW w:w="964" w:type="dxa"/>
            <w:vAlign w:val="center"/>
          </w:tcPr>
          <w:p w14:paraId="0FBAD273" w14:textId="77777777" w:rsidR="00B50AC3" w:rsidRPr="001E4272" w:rsidRDefault="00B50AC3" w:rsidP="00B2088F">
            <w:pPr>
              <w:spacing w:before="60" w:after="60"/>
              <w:jc w:val="center"/>
              <w:rPr>
                <w:noProof/>
                <w:sz w:val="20"/>
              </w:rPr>
            </w:pPr>
          </w:p>
        </w:tc>
        <w:tc>
          <w:tcPr>
            <w:tcW w:w="964" w:type="dxa"/>
            <w:vAlign w:val="center"/>
          </w:tcPr>
          <w:p w14:paraId="0D283B22" w14:textId="77777777" w:rsidR="00B50AC3" w:rsidRPr="001E4272" w:rsidRDefault="00B50AC3" w:rsidP="00B2088F">
            <w:pPr>
              <w:spacing w:before="60" w:after="60"/>
              <w:jc w:val="center"/>
              <w:rPr>
                <w:noProof/>
                <w:sz w:val="20"/>
              </w:rPr>
            </w:pPr>
          </w:p>
        </w:tc>
        <w:tc>
          <w:tcPr>
            <w:tcW w:w="964" w:type="dxa"/>
            <w:vAlign w:val="center"/>
          </w:tcPr>
          <w:p w14:paraId="5B71380E" w14:textId="77777777" w:rsidR="00B50AC3" w:rsidRPr="001E4272" w:rsidRDefault="00B50AC3" w:rsidP="00B2088F">
            <w:pPr>
              <w:spacing w:before="60" w:after="60"/>
              <w:jc w:val="center"/>
              <w:rPr>
                <w:noProof/>
                <w:sz w:val="20"/>
              </w:rPr>
            </w:pPr>
          </w:p>
        </w:tc>
        <w:tc>
          <w:tcPr>
            <w:tcW w:w="964" w:type="dxa"/>
            <w:vAlign w:val="center"/>
          </w:tcPr>
          <w:p w14:paraId="21804D7A" w14:textId="77777777" w:rsidR="00B50AC3" w:rsidRPr="001E4272" w:rsidRDefault="00B50AC3" w:rsidP="00B2088F">
            <w:pPr>
              <w:spacing w:before="60" w:after="60"/>
              <w:jc w:val="center"/>
              <w:rPr>
                <w:noProof/>
                <w:sz w:val="20"/>
              </w:rPr>
            </w:pPr>
          </w:p>
        </w:tc>
        <w:tc>
          <w:tcPr>
            <w:tcW w:w="964" w:type="dxa"/>
            <w:vAlign w:val="center"/>
          </w:tcPr>
          <w:p w14:paraId="5228F35F" w14:textId="77777777" w:rsidR="00B50AC3" w:rsidRPr="001E4272" w:rsidRDefault="00B50AC3" w:rsidP="00B2088F">
            <w:pPr>
              <w:spacing w:before="60" w:after="60"/>
              <w:jc w:val="center"/>
              <w:rPr>
                <w:noProof/>
                <w:sz w:val="20"/>
              </w:rPr>
            </w:pPr>
          </w:p>
        </w:tc>
        <w:tc>
          <w:tcPr>
            <w:tcW w:w="1158" w:type="dxa"/>
            <w:vAlign w:val="center"/>
          </w:tcPr>
          <w:p w14:paraId="080D6A3E" w14:textId="77777777" w:rsidR="00B50AC3" w:rsidRPr="001E4272" w:rsidRDefault="00B50AC3" w:rsidP="00B2088F">
            <w:pPr>
              <w:spacing w:before="60" w:after="60"/>
              <w:jc w:val="center"/>
              <w:rPr>
                <w:noProof/>
                <w:sz w:val="20"/>
              </w:rPr>
            </w:pPr>
          </w:p>
        </w:tc>
      </w:tr>
    </w:tbl>
    <w:p w14:paraId="05B36FBC" w14:textId="77777777" w:rsidR="00436363" w:rsidRPr="001E4272" w:rsidRDefault="00436363" w:rsidP="00ED2926">
      <w:pPr>
        <w:rPr>
          <w:noProof/>
        </w:rPr>
      </w:pPr>
      <w:r w:rsidRPr="001E4272">
        <w:rPr>
          <w:noProof/>
        </w:rPr>
        <w:t xml:space="preserve"> </w:t>
      </w:r>
      <w:r w:rsidRPr="001E4272">
        <w:rPr>
          <w:noProof/>
        </w:rPr>
        <w:br/>
      </w:r>
    </w:p>
    <w:p w14:paraId="4FD2413C" w14:textId="0A941A83" w:rsidR="00436363" w:rsidRPr="001E4272" w:rsidRDefault="00436363" w:rsidP="00F27BFA">
      <w:pPr>
        <w:pStyle w:val="ManualHeading2"/>
        <w:rPr>
          <w:bCs/>
          <w:noProof/>
          <w:szCs w:val="24"/>
        </w:rPr>
      </w:pPr>
      <w:r w:rsidRPr="001E4272">
        <w:rPr>
          <w:noProof/>
        </w:rPr>
        <w:br w:type="page"/>
      </w:r>
      <w:bookmarkStart w:id="131" w:name="_Toc514938059"/>
      <w:bookmarkStart w:id="132" w:name="_Toc520485057"/>
      <w:bookmarkStart w:id="133" w:name="_Toc84517604"/>
      <w:r w:rsidR="00F27BFA" w:rsidRPr="00F27BFA">
        <w:t>3.3.</w:t>
      </w:r>
      <w:r w:rsidR="00F27BFA" w:rsidRPr="00F27BFA">
        <w:tab/>
      </w:r>
      <w:r w:rsidRPr="001E4272">
        <w:rPr>
          <w:noProof/>
        </w:rPr>
        <w:t>Εκτιμώμενες επιπτώσεις στα έσοδα</w:t>
      </w:r>
      <w:bookmarkEnd w:id="131"/>
      <w:bookmarkEnd w:id="132"/>
      <w:bookmarkEnd w:id="133"/>
      <w:r w:rsidRPr="001E4272">
        <w:rPr>
          <w:noProof/>
        </w:rPr>
        <w:t xml:space="preserve"> </w:t>
      </w:r>
    </w:p>
    <w:p w14:paraId="501D6EA4" w14:textId="77777777" w:rsidR="000D757F" w:rsidRPr="001E4272" w:rsidRDefault="000D757F" w:rsidP="000D757F">
      <w:pPr>
        <w:pStyle w:val="ListDash1"/>
        <w:rPr>
          <w:noProof/>
        </w:rPr>
      </w:pPr>
      <w:r w:rsidRPr="001E4272">
        <w:rPr>
          <w:noProof/>
        </w:rPr>
        <w:sym w:font="Wingdings" w:char="F0FE"/>
      </w:r>
      <w:r w:rsidRPr="001E4272">
        <w:rPr>
          <w:noProof/>
        </w:rPr>
        <w:tab/>
        <w:t>Η πρόταση/πρωτοβουλία δεν έχει δημοσιονομικές επιπτώσεις στα έσοδα.</w:t>
      </w:r>
    </w:p>
    <w:p w14:paraId="142A6D3C" w14:textId="77777777" w:rsidR="000D757F" w:rsidRPr="001E4272" w:rsidRDefault="000D757F" w:rsidP="000D757F">
      <w:pPr>
        <w:pStyle w:val="ListDash1"/>
        <w:rPr>
          <w:noProof/>
        </w:rPr>
      </w:pPr>
      <w:r w:rsidRPr="001E4272">
        <w:rPr>
          <w:noProof/>
        </w:rPr>
        <w:sym w:font="Wingdings" w:char="F0A8"/>
      </w:r>
      <w:r w:rsidRPr="001E4272">
        <w:rPr>
          <w:noProof/>
        </w:rPr>
        <w:tab/>
        <w:t>Η πρόταση/πρωτοβουλία έχει τις δημοσιονομικές επιπτώσεις που περιγράφονται κατωτέρω:</w:t>
      </w:r>
    </w:p>
    <w:p w14:paraId="3AAD609A" w14:textId="7474C133" w:rsidR="000D757F" w:rsidRPr="001E4272" w:rsidRDefault="000D757F" w:rsidP="00167C03">
      <w:pPr>
        <w:pStyle w:val="Tiret2"/>
        <w:numPr>
          <w:ilvl w:val="0"/>
          <w:numId w:val="27"/>
        </w:numPr>
        <w:rPr>
          <w:noProof/>
        </w:rPr>
      </w:pPr>
      <w:r w:rsidRPr="001E4272">
        <w:rPr>
          <w:noProof/>
        </w:rPr>
        <w:sym w:font="Wingdings" w:char="F0A8"/>
      </w:r>
      <w:r w:rsidRPr="001E4272">
        <w:rPr>
          <w:noProof/>
        </w:rPr>
        <w:tab/>
        <w:t xml:space="preserve">στους ιδίους πόρους </w:t>
      </w:r>
    </w:p>
    <w:p w14:paraId="285FCA90" w14:textId="23D56CEC" w:rsidR="000D757F" w:rsidRPr="001E4272" w:rsidRDefault="000D757F" w:rsidP="003053B5">
      <w:pPr>
        <w:pStyle w:val="Tiret2"/>
        <w:rPr>
          <w:noProof/>
        </w:rPr>
      </w:pPr>
      <w:r w:rsidRPr="001E4272">
        <w:rPr>
          <w:noProof/>
        </w:rPr>
        <w:sym w:font="Wingdings" w:char="F0A8"/>
      </w:r>
      <w:r w:rsidRPr="001E4272">
        <w:rPr>
          <w:noProof/>
        </w:rPr>
        <w:tab/>
        <w:t xml:space="preserve">στα λοιπά έσοδα </w:t>
      </w:r>
    </w:p>
    <w:p w14:paraId="7DEACF40" w14:textId="6989524F" w:rsidR="000D757F" w:rsidRPr="001E4272" w:rsidRDefault="000D757F" w:rsidP="003053B5">
      <w:pPr>
        <w:pStyle w:val="Tiret2"/>
        <w:rPr>
          <w:noProof/>
        </w:rPr>
      </w:pPr>
      <w:r w:rsidRPr="001E4272">
        <w:rPr>
          <w:noProof/>
        </w:rPr>
        <w:t xml:space="preserve"> </w:t>
      </w:r>
      <w:r w:rsidRPr="001E4272">
        <w:rPr>
          <w:noProof/>
        </w:rPr>
        <w:sym w:font="Wingdings" w:char="F0A8"/>
      </w:r>
      <w:r w:rsidRPr="001E4272">
        <w:rPr>
          <w:noProof/>
        </w:rPr>
        <w:t xml:space="preserve">        Να αναφερθεί αν τα έσοδα προορίζονται για γραμμές δαπανών </w:t>
      </w:r>
    </w:p>
    <w:p w14:paraId="341DBB65" w14:textId="77777777" w:rsidR="000D757F" w:rsidRPr="001E4272" w:rsidRDefault="00436363" w:rsidP="00ED2926">
      <w:pPr>
        <w:ind w:left="4320"/>
        <w:rPr>
          <w:noProof/>
        </w:rPr>
      </w:pPr>
      <w:r w:rsidRPr="001E4272">
        <w:rPr>
          <w:noProof/>
        </w:rPr>
        <w:t xml:space="preserve"> </w:t>
      </w:r>
    </w:p>
    <w:p w14:paraId="73AACFF4" w14:textId="77777777" w:rsidR="000D757F" w:rsidRPr="001E4272" w:rsidRDefault="000D757F" w:rsidP="000D757F">
      <w:pPr>
        <w:jc w:val="right"/>
        <w:rPr>
          <w:i/>
          <w:noProof/>
          <w:sz w:val="20"/>
        </w:rPr>
      </w:pPr>
      <w:r w:rsidRPr="001E4272">
        <w:rPr>
          <w:noProof/>
          <w:sz w:val="20"/>
        </w:rPr>
        <w:t>σε εκατ. EUR (με τρία δεκαδικά ψηφία)</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0D757F" w:rsidRPr="001E4272" w14:paraId="1DFC6C98" w14:textId="77777777" w:rsidTr="006A0D14">
        <w:trPr>
          <w:trHeight w:val="388"/>
        </w:trPr>
        <w:tc>
          <w:tcPr>
            <w:tcW w:w="2144" w:type="dxa"/>
            <w:vMerge w:val="restart"/>
            <w:vAlign w:val="center"/>
          </w:tcPr>
          <w:p w14:paraId="7AF8C1AB" w14:textId="77777777" w:rsidR="000D757F" w:rsidRPr="001E4272" w:rsidRDefault="000D757F" w:rsidP="000D757F">
            <w:pPr>
              <w:spacing w:before="40" w:after="40"/>
              <w:rPr>
                <w:noProof/>
                <w:sz w:val="18"/>
              </w:rPr>
            </w:pPr>
            <w:r w:rsidRPr="001E4272">
              <w:rPr>
                <w:noProof/>
                <w:sz w:val="18"/>
              </w:rPr>
              <w:t>Γραμμή εσόδων του προϋπολογισμού:</w:t>
            </w:r>
          </w:p>
        </w:tc>
        <w:tc>
          <w:tcPr>
            <w:tcW w:w="1276" w:type="dxa"/>
            <w:vMerge w:val="restart"/>
            <w:vAlign w:val="center"/>
          </w:tcPr>
          <w:p w14:paraId="342AAB0B" w14:textId="77777777" w:rsidR="000D757F" w:rsidRPr="001E4272" w:rsidRDefault="000D757F" w:rsidP="000D757F">
            <w:pPr>
              <w:jc w:val="center"/>
              <w:rPr>
                <w:noProof/>
                <w:sz w:val="18"/>
              </w:rPr>
            </w:pPr>
            <w:r w:rsidRPr="001E4272">
              <w:rPr>
                <w:noProof/>
                <w:sz w:val="18"/>
              </w:rPr>
              <w:t>Διαθέσιμες πιστώσεις για το τρέχον οικονομικό έτος</w:t>
            </w:r>
          </w:p>
        </w:tc>
        <w:tc>
          <w:tcPr>
            <w:tcW w:w="7200" w:type="dxa"/>
            <w:gridSpan w:val="7"/>
            <w:vAlign w:val="center"/>
          </w:tcPr>
          <w:p w14:paraId="63F08A74" w14:textId="77777777" w:rsidR="000D757F" w:rsidRPr="001E4272" w:rsidRDefault="000D757F" w:rsidP="000D757F">
            <w:pPr>
              <w:jc w:val="center"/>
              <w:rPr>
                <w:noProof/>
                <w:sz w:val="18"/>
              </w:rPr>
            </w:pPr>
            <w:r w:rsidRPr="001E4272">
              <w:rPr>
                <w:noProof/>
                <w:sz w:val="18"/>
                <w:szCs w:val="18"/>
              </w:rPr>
              <w:t>Επιπτώσεις της πρότασης/πρωτοβουλίας</w:t>
            </w:r>
            <w:r w:rsidRPr="001E4272">
              <w:rPr>
                <w:rStyle w:val="FootnoteReference"/>
                <w:noProof/>
              </w:rPr>
              <w:footnoteReference w:id="64"/>
            </w:r>
          </w:p>
        </w:tc>
      </w:tr>
      <w:tr w:rsidR="000D757F" w:rsidRPr="001E4272" w14:paraId="475A1BBF" w14:textId="77777777" w:rsidTr="006A0D14">
        <w:trPr>
          <w:trHeight w:val="388"/>
        </w:trPr>
        <w:tc>
          <w:tcPr>
            <w:tcW w:w="2144" w:type="dxa"/>
            <w:vMerge/>
            <w:vAlign w:val="center"/>
          </w:tcPr>
          <w:p w14:paraId="77DEBEA2" w14:textId="77777777" w:rsidR="000D757F" w:rsidRPr="001E4272" w:rsidRDefault="000D757F" w:rsidP="000D757F">
            <w:pPr>
              <w:rPr>
                <w:noProof/>
                <w:sz w:val="18"/>
                <w:lang w:eastAsia="en-GB"/>
              </w:rPr>
            </w:pPr>
          </w:p>
        </w:tc>
        <w:tc>
          <w:tcPr>
            <w:tcW w:w="1276" w:type="dxa"/>
            <w:vMerge/>
            <w:vAlign w:val="center"/>
          </w:tcPr>
          <w:p w14:paraId="37444EA1" w14:textId="77777777" w:rsidR="000D757F" w:rsidRPr="001E4272" w:rsidRDefault="000D757F" w:rsidP="000D757F">
            <w:pPr>
              <w:rPr>
                <w:noProof/>
                <w:sz w:val="18"/>
                <w:lang w:eastAsia="en-GB"/>
              </w:rPr>
            </w:pPr>
          </w:p>
        </w:tc>
        <w:tc>
          <w:tcPr>
            <w:tcW w:w="1080" w:type="dxa"/>
            <w:vAlign w:val="center"/>
          </w:tcPr>
          <w:p w14:paraId="5289410B" w14:textId="77777777" w:rsidR="000D757F" w:rsidRPr="001E4272" w:rsidRDefault="000D757F" w:rsidP="000D757F">
            <w:pPr>
              <w:jc w:val="center"/>
              <w:rPr>
                <w:noProof/>
                <w:sz w:val="18"/>
              </w:rPr>
            </w:pPr>
            <w:r w:rsidRPr="001E4272">
              <w:rPr>
                <w:noProof/>
                <w:sz w:val="18"/>
              </w:rPr>
              <w:t>Έτος</w:t>
            </w:r>
            <w:r w:rsidRPr="001E4272">
              <w:rPr>
                <w:noProof/>
              </w:rPr>
              <w:t xml:space="preserve"> </w:t>
            </w:r>
            <w:r w:rsidRPr="001E4272">
              <w:rPr>
                <w:noProof/>
              </w:rPr>
              <w:br/>
            </w:r>
            <w:r w:rsidRPr="001E4272">
              <w:rPr>
                <w:b/>
                <w:noProof/>
                <w:sz w:val="18"/>
              </w:rPr>
              <w:t>N</w:t>
            </w:r>
          </w:p>
        </w:tc>
        <w:tc>
          <w:tcPr>
            <w:tcW w:w="900" w:type="dxa"/>
            <w:vAlign w:val="center"/>
          </w:tcPr>
          <w:p w14:paraId="76911291" w14:textId="77777777" w:rsidR="000D757F" w:rsidRPr="001E4272" w:rsidRDefault="000D757F" w:rsidP="000D757F">
            <w:pPr>
              <w:jc w:val="center"/>
              <w:rPr>
                <w:noProof/>
                <w:sz w:val="18"/>
              </w:rPr>
            </w:pPr>
            <w:r w:rsidRPr="001E4272">
              <w:rPr>
                <w:noProof/>
                <w:sz w:val="18"/>
              </w:rPr>
              <w:t>Έτος</w:t>
            </w:r>
            <w:r w:rsidRPr="001E4272">
              <w:rPr>
                <w:noProof/>
              </w:rPr>
              <w:t xml:space="preserve"> </w:t>
            </w:r>
            <w:r w:rsidRPr="001E4272">
              <w:rPr>
                <w:noProof/>
              </w:rPr>
              <w:br/>
            </w:r>
            <w:r w:rsidRPr="001E4272">
              <w:rPr>
                <w:b/>
                <w:noProof/>
                <w:sz w:val="18"/>
              </w:rPr>
              <w:t>N+1</w:t>
            </w:r>
          </w:p>
        </w:tc>
        <w:tc>
          <w:tcPr>
            <w:tcW w:w="900" w:type="dxa"/>
            <w:vAlign w:val="center"/>
          </w:tcPr>
          <w:p w14:paraId="36824122" w14:textId="77777777" w:rsidR="000D757F" w:rsidRPr="001E4272" w:rsidRDefault="000D757F" w:rsidP="000D757F">
            <w:pPr>
              <w:jc w:val="center"/>
              <w:rPr>
                <w:noProof/>
                <w:sz w:val="18"/>
              </w:rPr>
            </w:pPr>
            <w:r w:rsidRPr="001E4272">
              <w:rPr>
                <w:noProof/>
                <w:sz w:val="18"/>
              </w:rPr>
              <w:t>Έτος</w:t>
            </w:r>
            <w:r w:rsidRPr="001E4272">
              <w:rPr>
                <w:noProof/>
              </w:rPr>
              <w:t xml:space="preserve"> </w:t>
            </w:r>
            <w:r w:rsidRPr="001E4272">
              <w:rPr>
                <w:noProof/>
              </w:rPr>
              <w:br/>
            </w:r>
            <w:r w:rsidRPr="001E4272">
              <w:rPr>
                <w:b/>
                <w:noProof/>
                <w:sz w:val="18"/>
              </w:rPr>
              <w:t>N+2</w:t>
            </w:r>
          </w:p>
        </w:tc>
        <w:tc>
          <w:tcPr>
            <w:tcW w:w="1080" w:type="dxa"/>
            <w:vAlign w:val="center"/>
          </w:tcPr>
          <w:p w14:paraId="3E0983F4" w14:textId="77777777" w:rsidR="000D757F" w:rsidRPr="001E4272" w:rsidRDefault="000D757F" w:rsidP="000D757F">
            <w:pPr>
              <w:jc w:val="center"/>
              <w:rPr>
                <w:noProof/>
                <w:sz w:val="18"/>
              </w:rPr>
            </w:pPr>
            <w:r w:rsidRPr="001E4272">
              <w:rPr>
                <w:noProof/>
                <w:sz w:val="18"/>
              </w:rPr>
              <w:t>Έτος</w:t>
            </w:r>
            <w:r w:rsidRPr="001E4272">
              <w:rPr>
                <w:noProof/>
              </w:rPr>
              <w:t xml:space="preserve"> </w:t>
            </w:r>
            <w:r w:rsidRPr="001E4272">
              <w:rPr>
                <w:noProof/>
              </w:rPr>
              <w:br/>
            </w:r>
            <w:r w:rsidRPr="001E4272">
              <w:rPr>
                <w:b/>
                <w:noProof/>
                <w:sz w:val="18"/>
              </w:rPr>
              <w:t>N+3</w:t>
            </w:r>
          </w:p>
        </w:tc>
        <w:tc>
          <w:tcPr>
            <w:tcW w:w="3240" w:type="dxa"/>
            <w:gridSpan w:val="3"/>
            <w:vAlign w:val="center"/>
          </w:tcPr>
          <w:p w14:paraId="0E17EFE0" w14:textId="77777777" w:rsidR="000D757F" w:rsidRPr="001E4272" w:rsidRDefault="000D757F" w:rsidP="000D757F">
            <w:pPr>
              <w:jc w:val="center"/>
              <w:rPr>
                <w:b/>
                <w:noProof/>
                <w:sz w:val="18"/>
              </w:rPr>
            </w:pPr>
            <w:r w:rsidRPr="001E4272">
              <w:rPr>
                <w:noProof/>
                <w:sz w:val="18"/>
              </w:rPr>
              <w:t>Να εγγραφούν όσα έτη απαιτούνται, ώστε να εμφανίζεται η διάρκεια των επιπτώσεων (βλ. σημείο 1.6)</w:t>
            </w:r>
          </w:p>
        </w:tc>
      </w:tr>
      <w:tr w:rsidR="000D757F" w:rsidRPr="001E4272" w14:paraId="1B1915B9" w14:textId="77777777" w:rsidTr="006A0D14">
        <w:trPr>
          <w:trHeight w:val="388"/>
        </w:trPr>
        <w:tc>
          <w:tcPr>
            <w:tcW w:w="2144" w:type="dxa"/>
            <w:vAlign w:val="center"/>
          </w:tcPr>
          <w:p w14:paraId="66E75124" w14:textId="77777777" w:rsidR="000D757F" w:rsidRPr="001E4272" w:rsidRDefault="000D757F" w:rsidP="000D757F">
            <w:pPr>
              <w:spacing w:before="40" w:after="40"/>
              <w:rPr>
                <w:noProof/>
                <w:sz w:val="18"/>
              </w:rPr>
            </w:pPr>
            <w:r w:rsidRPr="001E4272">
              <w:rPr>
                <w:noProof/>
                <w:sz w:val="18"/>
              </w:rPr>
              <w:t>Άρθρο ………….</w:t>
            </w:r>
          </w:p>
        </w:tc>
        <w:tc>
          <w:tcPr>
            <w:tcW w:w="1276" w:type="dxa"/>
          </w:tcPr>
          <w:p w14:paraId="5320BB5A" w14:textId="77777777" w:rsidR="000D757F" w:rsidRPr="001E4272" w:rsidRDefault="000D757F" w:rsidP="000D757F">
            <w:pPr>
              <w:spacing w:beforeLines="40" w:before="96" w:afterLines="40" w:after="96"/>
              <w:jc w:val="center"/>
              <w:rPr>
                <w:i/>
                <w:noProof/>
                <w:sz w:val="18"/>
                <w:lang w:eastAsia="en-GB"/>
              </w:rPr>
            </w:pPr>
          </w:p>
        </w:tc>
        <w:tc>
          <w:tcPr>
            <w:tcW w:w="1080" w:type="dxa"/>
          </w:tcPr>
          <w:p w14:paraId="29C04D67" w14:textId="77777777" w:rsidR="000D757F" w:rsidRPr="001E4272" w:rsidRDefault="000D757F" w:rsidP="000D757F">
            <w:pPr>
              <w:spacing w:beforeLines="40" w:before="96" w:afterLines="40" w:after="96"/>
              <w:jc w:val="center"/>
              <w:rPr>
                <w:noProof/>
                <w:sz w:val="18"/>
                <w:lang w:eastAsia="en-GB"/>
              </w:rPr>
            </w:pPr>
          </w:p>
        </w:tc>
        <w:tc>
          <w:tcPr>
            <w:tcW w:w="900" w:type="dxa"/>
          </w:tcPr>
          <w:p w14:paraId="51663CDD" w14:textId="77777777" w:rsidR="000D757F" w:rsidRPr="001E4272" w:rsidRDefault="000D757F" w:rsidP="000D757F">
            <w:pPr>
              <w:spacing w:beforeLines="40" w:before="96" w:afterLines="40" w:after="96"/>
              <w:jc w:val="center"/>
              <w:rPr>
                <w:noProof/>
                <w:sz w:val="18"/>
                <w:lang w:eastAsia="en-GB"/>
              </w:rPr>
            </w:pPr>
          </w:p>
        </w:tc>
        <w:tc>
          <w:tcPr>
            <w:tcW w:w="900" w:type="dxa"/>
          </w:tcPr>
          <w:p w14:paraId="5A39B8F5" w14:textId="77777777" w:rsidR="000D757F" w:rsidRPr="001E4272" w:rsidRDefault="000D757F" w:rsidP="000D757F">
            <w:pPr>
              <w:spacing w:beforeLines="40" w:before="96" w:afterLines="40" w:after="96"/>
              <w:jc w:val="center"/>
              <w:rPr>
                <w:noProof/>
                <w:sz w:val="18"/>
                <w:lang w:eastAsia="en-GB"/>
              </w:rPr>
            </w:pPr>
          </w:p>
        </w:tc>
        <w:tc>
          <w:tcPr>
            <w:tcW w:w="1080" w:type="dxa"/>
          </w:tcPr>
          <w:p w14:paraId="73798490" w14:textId="77777777" w:rsidR="000D757F" w:rsidRPr="001E4272" w:rsidRDefault="000D757F" w:rsidP="000D757F">
            <w:pPr>
              <w:spacing w:beforeLines="40" w:before="96" w:afterLines="40" w:after="96"/>
              <w:jc w:val="center"/>
              <w:rPr>
                <w:noProof/>
                <w:sz w:val="18"/>
                <w:lang w:eastAsia="en-GB"/>
              </w:rPr>
            </w:pPr>
          </w:p>
        </w:tc>
        <w:tc>
          <w:tcPr>
            <w:tcW w:w="1080" w:type="dxa"/>
          </w:tcPr>
          <w:p w14:paraId="17DF884B" w14:textId="77777777" w:rsidR="000D757F" w:rsidRPr="001E4272" w:rsidRDefault="000D757F" w:rsidP="000D757F">
            <w:pPr>
              <w:spacing w:beforeLines="40" w:before="96" w:afterLines="40" w:after="96"/>
              <w:jc w:val="center"/>
              <w:rPr>
                <w:noProof/>
                <w:sz w:val="18"/>
                <w:lang w:eastAsia="en-GB"/>
              </w:rPr>
            </w:pPr>
          </w:p>
        </w:tc>
        <w:tc>
          <w:tcPr>
            <w:tcW w:w="1080" w:type="dxa"/>
          </w:tcPr>
          <w:p w14:paraId="757C6203" w14:textId="77777777" w:rsidR="000D757F" w:rsidRPr="001E4272" w:rsidRDefault="000D757F" w:rsidP="000D757F">
            <w:pPr>
              <w:spacing w:beforeLines="40" w:before="96" w:afterLines="40" w:after="96"/>
              <w:jc w:val="center"/>
              <w:rPr>
                <w:noProof/>
                <w:sz w:val="18"/>
                <w:lang w:eastAsia="en-GB"/>
              </w:rPr>
            </w:pPr>
          </w:p>
        </w:tc>
        <w:tc>
          <w:tcPr>
            <w:tcW w:w="1080" w:type="dxa"/>
          </w:tcPr>
          <w:p w14:paraId="3FC8F2D8" w14:textId="77777777" w:rsidR="000D757F" w:rsidRPr="001E4272" w:rsidRDefault="000D757F" w:rsidP="000D757F">
            <w:pPr>
              <w:spacing w:beforeLines="40" w:before="96" w:afterLines="40" w:after="96"/>
              <w:jc w:val="center"/>
              <w:rPr>
                <w:noProof/>
                <w:sz w:val="18"/>
                <w:lang w:eastAsia="en-GB"/>
              </w:rPr>
            </w:pPr>
          </w:p>
        </w:tc>
      </w:tr>
    </w:tbl>
    <w:p w14:paraId="2C631819" w14:textId="77777777" w:rsidR="000D757F" w:rsidRPr="001E4272" w:rsidRDefault="000D757F">
      <w:pPr>
        <w:ind w:left="850"/>
        <w:rPr>
          <w:noProof/>
          <w:sz w:val="20"/>
          <w:szCs w:val="20"/>
        </w:rPr>
      </w:pPr>
      <w:r w:rsidRPr="001E4272">
        <w:rPr>
          <w:noProof/>
          <w:sz w:val="20"/>
          <w:szCs w:val="20"/>
        </w:rPr>
        <w:t>Ως προς τα έσοδα «για ειδικό προορισμό», να προσδιοριστούν οι γραμμές δαπανών του προϋπολογισμού που επηρεάζονται.</w:t>
      </w:r>
    </w:p>
    <w:p w14:paraId="70A05244" w14:textId="77777777" w:rsidR="000D757F" w:rsidRPr="001E4272" w:rsidRDefault="000D757F" w:rsidP="000D757F">
      <w:pPr>
        <w:pBdr>
          <w:top w:val="single" w:sz="4" w:space="1" w:color="auto"/>
          <w:left w:val="single" w:sz="4" w:space="4" w:color="auto"/>
          <w:bottom w:val="single" w:sz="4" w:space="1" w:color="auto"/>
          <w:right w:val="single" w:sz="4" w:space="4" w:color="auto"/>
        </w:pBdr>
        <w:ind w:left="850"/>
        <w:rPr>
          <w:noProof/>
        </w:rPr>
      </w:pPr>
      <w:r w:rsidRPr="001E4272">
        <w:rPr>
          <w:noProof/>
          <w:color w:val="0000FF"/>
        </w:rPr>
        <w:t>[…]</w:t>
      </w:r>
    </w:p>
    <w:p w14:paraId="5180FD14" w14:textId="77777777" w:rsidR="000D757F" w:rsidRPr="001E4272" w:rsidRDefault="000D757F">
      <w:pPr>
        <w:ind w:left="850"/>
        <w:rPr>
          <w:noProof/>
          <w:sz w:val="20"/>
          <w:szCs w:val="20"/>
        </w:rPr>
      </w:pPr>
      <w:r w:rsidRPr="001E4272">
        <w:rPr>
          <w:noProof/>
          <w:sz w:val="20"/>
          <w:szCs w:val="20"/>
        </w:rPr>
        <w:t>Να προσδιοριστεί η μέθοδος υπολογισμού των επιπτώσεων στα έσοδα.</w:t>
      </w:r>
    </w:p>
    <w:p w14:paraId="5C79C434" w14:textId="77777777" w:rsidR="000D757F" w:rsidRPr="001E4272" w:rsidRDefault="000D757F" w:rsidP="000D757F">
      <w:pPr>
        <w:pBdr>
          <w:top w:val="single" w:sz="4" w:space="1" w:color="auto"/>
          <w:left w:val="single" w:sz="4" w:space="4" w:color="auto"/>
          <w:bottom w:val="single" w:sz="4" w:space="1" w:color="auto"/>
          <w:right w:val="single" w:sz="4" w:space="4" w:color="auto"/>
        </w:pBdr>
        <w:ind w:left="850"/>
        <w:rPr>
          <w:noProof/>
        </w:rPr>
      </w:pPr>
      <w:r w:rsidRPr="001E4272">
        <w:rPr>
          <w:noProof/>
          <w:color w:val="0000FF"/>
        </w:rPr>
        <w:t>[…]</w:t>
      </w:r>
    </w:p>
    <w:p w14:paraId="4668D3DC" w14:textId="77777777" w:rsidR="00436363" w:rsidRPr="001E4272" w:rsidRDefault="00436363" w:rsidP="000D757F">
      <w:pPr>
        <w:ind w:left="4320"/>
        <w:rPr>
          <w:noProof/>
        </w:rPr>
      </w:pPr>
      <w:r w:rsidRPr="001E4272">
        <w:rPr>
          <w:noProof/>
        </w:rPr>
        <w:t xml:space="preserve"> </w:t>
      </w:r>
    </w:p>
    <w:sectPr w:rsidR="00436363" w:rsidRPr="001E4272" w:rsidSect="00C51A3C">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53443" w14:textId="77777777" w:rsidR="00102352" w:rsidRDefault="00102352" w:rsidP="00EB0A3C">
      <w:pPr>
        <w:spacing w:before="0" w:after="0"/>
      </w:pPr>
      <w:r>
        <w:separator/>
      </w:r>
    </w:p>
  </w:endnote>
  <w:endnote w:type="continuationSeparator" w:id="0">
    <w:p w14:paraId="1317F061" w14:textId="77777777" w:rsidR="00102352" w:rsidRDefault="00102352" w:rsidP="00EB0A3C">
      <w:pPr>
        <w:spacing w:before="0" w:after="0"/>
      </w:pPr>
      <w:r>
        <w:continuationSeparator/>
      </w:r>
    </w:p>
  </w:endnote>
  <w:endnote w:type="continuationNotice" w:id="1">
    <w:p w14:paraId="397A73F2" w14:textId="77777777" w:rsidR="00102352" w:rsidRDefault="0010235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C1892" w14:textId="35B98D7B" w:rsidR="001E4272" w:rsidRPr="00C51A3C" w:rsidRDefault="00C51A3C" w:rsidP="00C51A3C">
    <w:pPr>
      <w:pStyle w:val="Footer"/>
      <w:rPr>
        <w:rFonts w:ascii="Arial" w:hAnsi="Arial" w:cs="Arial"/>
        <w:b/>
        <w:sz w:val="48"/>
      </w:rPr>
    </w:pPr>
    <w:r w:rsidRPr="00C51A3C">
      <w:rPr>
        <w:rFonts w:ascii="Arial" w:hAnsi="Arial" w:cs="Arial"/>
        <w:b/>
        <w:sz w:val="48"/>
      </w:rPr>
      <w:t>EL</w:t>
    </w:r>
    <w:r w:rsidRPr="00C51A3C">
      <w:rPr>
        <w:rFonts w:ascii="Arial" w:hAnsi="Arial" w:cs="Arial"/>
        <w:b/>
        <w:sz w:val="48"/>
      </w:rPr>
      <w:tab/>
    </w:r>
    <w:r w:rsidRPr="00C51A3C">
      <w:rPr>
        <w:rFonts w:ascii="Arial" w:hAnsi="Arial" w:cs="Arial"/>
        <w:b/>
        <w:sz w:val="48"/>
      </w:rPr>
      <w:tab/>
    </w:r>
    <w:r w:rsidRPr="00C51A3C">
      <w:tab/>
    </w:r>
    <w:r w:rsidRPr="00C51A3C">
      <w:rPr>
        <w:rFonts w:ascii="Arial" w:hAnsi="Arial" w:cs="Arial"/>
        <w:b/>
        <w:sz w:val="48"/>
      </w:rPr>
      <w:t>EL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47C73" w14:textId="7C1719D8" w:rsidR="00C51A3C" w:rsidRPr="00C51A3C" w:rsidRDefault="00C51A3C" w:rsidP="00C51A3C">
    <w:pPr>
      <w:pStyle w:val="Footer"/>
      <w:rPr>
        <w:rFonts w:ascii="Arial" w:hAnsi="Arial" w:cs="Arial"/>
        <w:b/>
        <w:sz w:val="48"/>
      </w:rPr>
    </w:pPr>
    <w:r w:rsidRPr="00C51A3C">
      <w:rPr>
        <w:rFonts w:ascii="Arial" w:hAnsi="Arial" w:cs="Arial"/>
        <w:b/>
        <w:sz w:val="48"/>
      </w:rPr>
      <w:t>EL</w:t>
    </w:r>
    <w:r w:rsidRPr="00C51A3C">
      <w:rPr>
        <w:rFonts w:ascii="Arial" w:hAnsi="Arial" w:cs="Arial"/>
        <w:b/>
        <w:sz w:val="48"/>
      </w:rPr>
      <w:tab/>
    </w:r>
    <w:r>
      <w:fldChar w:fldCharType="begin"/>
    </w:r>
    <w:r>
      <w:instrText xml:space="preserve"> PAGE  \* MERGEFORMAT </w:instrText>
    </w:r>
    <w:r>
      <w:fldChar w:fldCharType="separate"/>
    </w:r>
    <w:r w:rsidR="007415E7">
      <w:rPr>
        <w:noProof/>
      </w:rPr>
      <w:t>27</w:t>
    </w:r>
    <w:r>
      <w:fldChar w:fldCharType="end"/>
    </w:r>
    <w:r>
      <w:tab/>
    </w:r>
    <w:r w:rsidRPr="00C51A3C">
      <w:tab/>
    </w:r>
    <w:r w:rsidRPr="00C51A3C">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54BB" w14:textId="77777777" w:rsidR="00C51A3C" w:rsidRPr="00C51A3C" w:rsidRDefault="00C51A3C" w:rsidP="00C51A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8BD85" w14:textId="0EAB80E4" w:rsidR="00C51A3C" w:rsidRPr="00C51A3C" w:rsidRDefault="00C51A3C" w:rsidP="00C51A3C">
    <w:pPr>
      <w:pStyle w:val="FooterLandscape"/>
      <w:rPr>
        <w:rFonts w:ascii="Arial" w:hAnsi="Arial" w:cs="Arial"/>
        <w:b/>
        <w:sz w:val="48"/>
      </w:rPr>
    </w:pPr>
    <w:r w:rsidRPr="00C51A3C">
      <w:rPr>
        <w:rFonts w:ascii="Arial" w:hAnsi="Arial" w:cs="Arial"/>
        <w:b/>
        <w:sz w:val="48"/>
      </w:rPr>
      <w:t>EL</w:t>
    </w:r>
    <w:r w:rsidRPr="00C51A3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C51A3C">
      <w:tab/>
    </w:r>
    <w:r w:rsidRPr="00C51A3C">
      <w:rPr>
        <w:rFonts w:ascii="Arial" w:hAnsi="Arial" w:cs="Arial"/>
        <w:b/>
        <w:sz w:val="48"/>
      </w:rPr>
      <w:t>EL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EB34E" w14:textId="77777777" w:rsidR="00C51A3C" w:rsidRPr="00C51A3C" w:rsidRDefault="00C51A3C" w:rsidP="00C51A3C">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A5D98" w14:textId="739ECEBF" w:rsidR="00102352" w:rsidRPr="00C51A3C" w:rsidRDefault="00C51A3C" w:rsidP="00C51A3C">
    <w:pPr>
      <w:pStyle w:val="Footer"/>
      <w:rPr>
        <w:rFonts w:ascii="Arial" w:hAnsi="Arial" w:cs="Arial"/>
        <w:b/>
        <w:sz w:val="48"/>
      </w:rPr>
    </w:pPr>
    <w:r w:rsidRPr="00C51A3C">
      <w:rPr>
        <w:rFonts w:ascii="Arial" w:hAnsi="Arial" w:cs="Arial"/>
        <w:b/>
        <w:sz w:val="48"/>
      </w:rPr>
      <w:t>EL</w:t>
    </w:r>
    <w:r w:rsidRPr="00C51A3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C51A3C">
      <w:tab/>
    </w:r>
    <w:r w:rsidRPr="00C51A3C">
      <w:rPr>
        <w:rFonts w:ascii="Arial" w:hAnsi="Arial" w:cs="Arial"/>
        <w:b/>
        <w:sz w:val="48"/>
      </w:rPr>
      <w:t>EL</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5F98B" w14:textId="77777777" w:rsidR="00C51A3C" w:rsidRPr="00C51A3C" w:rsidRDefault="00C51A3C" w:rsidP="00C51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67A3F" w14:textId="77777777" w:rsidR="00102352" w:rsidRDefault="00102352" w:rsidP="00EB0A3C">
      <w:pPr>
        <w:spacing w:before="0" w:after="0"/>
      </w:pPr>
      <w:r>
        <w:separator/>
      </w:r>
    </w:p>
  </w:footnote>
  <w:footnote w:type="continuationSeparator" w:id="0">
    <w:p w14:paraId="0ECA9635" w14:textId="77777777" w:rsidR="00102352" w:rsidRDefault="00102352" w:rsidP="00EB0A3C">
      <w:pPr>
        <w:spacing w:before="0" w:after="0"/>
      </w:pPr>
      <w:r>
        <w:continuationSeparator/>
      </w:r>
    </w:p>
  </w:footnote>
  <w:footnote w:type="continuationNotice" w:id="1">
    <w:p w14:paraId="1833241A" w14:textId="77777777" w:rsidR="00102352" w:rsidRDefault="00102352">
      <w:pPr>
        <w:spacing w:before="0" w:after="0"/>
      </w:pPr>
    </w:p>
  </w:footnote>
  <w:footnote w:id="2">
    <w:p w14:paraId="10445622" w14:textId="77777777" w:rsidR="00102352" w:rsidRPr="00712530" w:rsidRDefault="00102352">
      <w:pPr>
        <w:pStyle w:val="FootnoteText"/>
      </w:pPr>
      <w:r>
        <w:rPr>
          <w:rStyle w:val="FootnoteReference"/>
        </w:rPr>
        <w:footnoteRef/>
      </w:r>
      <w:r w:rsidRPr="00712530">
        <w:tab/>
        <w:t xml:space="preserve">Απόφαση 2005/671/ΔΕΥ του Συμβουλίου, της 20ής Σεπτεμβρίου 2005, σχετικά με την ανταλλαγή πληροφοριών και τη συνεργασία όσον αφορά τα τρομοκρατικά αδικήματα (ΕΕ </w:t>
      </w:r>
      <w:r>
        <w:t>L </w:t>
      </w:r>
      <w:r w:rsidRPr="00712530">
        <w:t>253 της 29.9.2005, σ.</w:t>
      </w:r>
      <w:r>
        <w:t> </w:t>
      </w:r>
      <w:r w:rsidRPr="00712530">
        <w:t>22).</w:t>
      </w:r>
    </w:p>
  </w:footnote>
  <w:footnote w:id="3">
    <w:p w14:paraId="14F51C2C" w14:textId="79E600FD" w:rsidR="00102352" w:rsidRPr="00712530" w:rsidRDefault="00102352">
      <w:pPr>
        <w:pStyle w:val="FootnoteText"/>
      </w:pPr>
      <w:r>
        <w:rPr>
          <w:rStyle w:val="FootnoteReference"/>
        </w:rPr>
        <w:footnoteRef/>
      </w:r>
      <w:r w:rsidRPr="00712530">
        <w:tab/>
        <w:t>Η Ευρωπόλ είναι ο ενωσιακός οργανισμός επιβολής του νόμου. Η Ευρωπόλ στηρίζει τις αρχές επιβολής του νόμου σε ολόκληρη την ΕΕ όσον αφορά τις δραστηριότητες καταπολέμησης του εγκλήματος σε όλους τους τομείς που εμπίπτουν στην εντολή της.</w:t>
      </w:r>
    </w:p>
  </w:footnote>
  <w:footnote w:id="4">
    <w:p w14:paraId="28A900B0" w14:textId="77777777" w:rsidR="00102352" w:rsidRPr="00712530" w:rsidRDefault="00102352" w:rsidP="00FC00B8">
      <w:pPr>
        <w:pStyle w:val="FootnoteText"/>
      </w:pPr>
      <w:r>
        <w:rPr>
          <w:rStyle w:val="FootnoteReference"/>
        </w:rPr>
        <w:footnoteRef/>
      </w:r>
      <w:r w:rsidRPr="00712530">
        <w:tab/>
        <w:t xml:space="preserve">Οδηγία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t>L </w:t>
      </w:r>
      <w:r w:rsidRPr="00712530">
        <w:t>88 της 31.3.2017, σ.</w:t>
      </w:r>
      <w:r>
        <w:t> </w:t>
      </w:r>
      <w:r w:rsidRPr="00712530">
        <w:t>6).</w:t>
      </w:r>
    </w:p>
  </w:footnote>
  <w:footnote w:id="5">
    <w:p w14:paraId="413AD453" w14:textId="7EA84647" w:rsidR="00102352" w:rsidRPr="00712530" w:rsidRDefault="00102352" w:rsidP="00EB73F6">
      <w:pPr>
        <w:pStyle w:val="FootnoteText"/>
      </w:pPr>
      <w:r>
        <w:rPr>
          <w:rStyle w:val="FootnoteReference"/>
        </w:rPr>
        <w:footnoteRef/>
      </w:r>
      <w:r w:rsidRPr="00712530">
        <w:tab/>
      </w:r>
      <w:r>
        <w:t>Cross</w:t>
      </w:r>
      <w:r w:rsidRPr="00712530">
        <w:t>-</w:t>
      </w:r>
      <w:r>
        <w:t>border</w:t>
      </w:r>
      <w:r w:rsidRPr="00712530">
        <w:t xml:space="preserve"> </w:t>
      </w:r>
      <w:r>
        <w:t>Digital</w:t>
      </w:r>
      <w:r w:rsidRPr="00712530">
        <w:t xml:space="preserve"> </w:t>
      </w:r>
      <w:r>
        <w:t>Criminal</w:t>
      </w:r>
      <w:r w:rsidRPr="00712530">
        <w:t xml:space="preserve"> </w:t>
      </w:r>
      <w:r>
        <w:t>Justice</w:t>
      </w:r>
      <w:r w:rsidRPr="00712530">
        <w:t xml:space="preserve">, </w:t>
      </w:r>
      <w:r>
        <w:t>Final</w:t>
      </w:r>
      <w:r w:rsidRPr="00712530">
        <w:t xml:space="preserve"> </w:t>
      </w:r>
      <w:r>
        <w:t>Report</w:t>
      </w:r>
      <w:r w:rsidRPr="00712530">
        <w:t xml:space="preserve"> (Διασυνοριακή ψηφιακή ποινική δικαιοσύνη, Τελική έκθεση), </w:t>
      </w:r>
      <w:hyperlink r:id="rId1" w:history="1">
        <w:r>
          <w:rPr>
            <w:rStyle w:val="Hyperlink"/>
          </w:rPr>
          <w:t>https</w:t>
        </w:r>
        <w:r w:rsidRPr="00712530">
          <w:rPr>
            <w:rStyle w:val="Hyperlink"/>
          </w:rPr>
          <w:t>://</w:t>
        </w:r>
        <w:r>
          <w:rPr>
            <w:rStyle w:val="Hyperlink"/>
          </w:rPr>
          <w:t>op</w:t>
        </w:r>
        <w:r w:rsidRPr="00712530">
          <w:rPr>
            <w:rStyle w:val="Hyperlink"/>
          </w:rPr>
          <w:t>.</w:t>
        </w:r>
        <w:r>
          <w:rPr>
            <w:rStyle w:val="Hyperlink"/>
          </w:rPr>
          <w:t>europa</w:t>
        </w:r>
        <w:r w:rsidRPr="00712530">
          <w:rPr>
            <w:rStyle w:val="Hyperlink"/>
          </w:rPr>
          <w:t>.</w:t>
        </w:r>
        <w:r>
          <w:rPr>
            <w:rStyle w:val="Hyperlink"/>
          </w:rPr>
          <w:t>eu</w:t>
        </w:r>
        <w:r w:rsidRPr="00712530">
          <w:rPr>
            <w:rStyle w:val="Hyperlink"/>
          </w:rPr>
          <w:t>/</w:t>
        </w:r>
        <w:r>
          <w:rPr>
            <w:rStyle w:val="Hyperlink"/>
          </w:rPr>
          <w:t>el</w:t>
        </w:r>
        <w:r w:rsidRPr="00712530">
          <w:rPr>
            <w:rStyle w:val="Hyperlink"/>
          </w:rPr>
          <w:t>/</w:t>
        </w:r>
        <w:r>
          <w:rPr>
            <w:rStyle w:val="Hyperlink"/>
          </w:rPr>
          <w:t>publication</w:t>
        </w:r>
        <w:r w:rsidRPr="00712530">
          <w:rPr>
            <w:rStyle w:val="Hyperlink"/>
          </w:rPr>
          <w:t>-</w:t>
        </w:r>
        <w:r>
          <w:rPr>
            <w:rStyle w:val="Hyperlink"/>
          </w:rPr>
          <w:t>detail</w:t>
        </w:r>
        <w:r w:rsidRPr="00712530">
          <w:rPr>
            <w:rStyle w:val="Hyperlink"/>
          </w:rPr>
          <w:t>/-/</w:t>
        </w:r>
        <w:r>
          <w:rPr>
            <w:rStyle w:val="Hyperlink"/>
          </w:rPr>
          <w:t>publication</w:t>
        </w:r>
        <w:r w:rsidRPr="00712530">
          <w:rPr>
            <w:rStyle w:val="Hyperlink"/>
          </w:rPr>
          <w:t>/</w:t>
        </w:r>
        <w:r>
          <w:rPr>
            <w:rStyle w:val="Hyperlink"/>
          </w:rPr>
          <w:t>e</w:t>
        </w:r>
        <w:r w:rsidRPr="00712530">
          <w:rPr>
            <w:rStyle w:val="Hyperlink"/>
          </w:rPr>
          <w:t>38795</w:t>
        </w:r>
        <w:r>
          <w:rPr>
            <w:rStyle w:val="Hyperlink"/>
          </w:rPr>
          <w:t>b</w:t>
        </w:r>
        <w:r w:rsidRPr="00712530">
          <w:rPr>
            <w:rStyle w:val="Hyperlink"/>
          </w:rPr>
          <w:t>5-</w:t>
        </w:r>
        <w:r>
          <w:rPr>
            <w:rStyle w:val="Hyperlink"/>
          </w:rPr>
          <w:t>f</w:t>
        </w:r>
        <w:r w:rsidRPr="00712530">
          <w:rPr>
            <w:rStyle w:val="Hyperlink"/>
          </w:rPr>
          <w:t>633-11</w:t>
        </w:r>
        <w:r>
          <w:rPr>
            <w:rStyle w:val="Hyperlink"/>
          </w:rPr>
          <w:t>ea</w:t>
        </w:r>
        <w:r w:rsidRPr="00712530">
          <w:rPr>
            <w:rStyle w:val="Hyperlink"/>
          </w:rPr>
          <w:t>-991</w:t>
        </w:r>
        <w:r>
          <w:rPr>
            <w:rStyle w:val="Hyperlink"/>
          </w:rPr>
          <w:t>b</w:t>
        </w:r>
        <w:r w:rsidRPr="00712530">
          <w:rPr>
            <w:rStyle w:val="Hyperlink"/>
          </w:rPr>
          <w:t>-01</w:t>
        </w:r>
        <w:r>
          <w:rPr>
            <w:rStyle w:val="Hyperlink"/>
          </w:rPr>
          <w:t>aa</w:t>
        </w:r>
        <w:r w:rsidRPr="00712530">
          <w:rPr>
            <w:rStyle w:val="Hyperlink"/>
          </w:rPr>
          <w:t>75</w:t>
        </w:r>
        <w:r>
          <w:rPr>
            <w:rStyle w:val="Hyperlink"/>
          </w:rPr>
          <w:t>ed</w:t>
        </w:r>
        <w:r w:rsidRPr="00712530">
          <w:rPr>
            <w:rStyle w:val="Hyperlink"/>
          </w:rPr>
          <w:t>71</w:t>
        </w:r>
        <w:r>
          <w:rPr>
            <w:rStyle w:val="Hyperlink"/>
          </w:rPr>
          <w:t>a</w:t>
        </w:r>
        <w:r w:rsidRPr="00712530">
          <w:rPr>
            <w:rStyle w:val="Hyperlink"/>
          </w:rPr>
          <w:t>1</w:t>
        </w:r>
      </w:hyperlink>
      <w:r w:rsidRPr="00712530">
        <w:t>.</w:t>
      </w:r>
    </w:p>
  </w:footnote>
  <w:footnote w:id="6">
    <w:p w14:paraId="7A6C51AA" w14:textId="77777777" w:rsidR="00102352" w:rsidRPr="00712530" w:rsidRDefault="00102352" w:rsidP="003C7DDE">
      <w:pPr>
        <w:pStyle w:val="FootnoteText"/>
      </w:pPr>
      <w:r>
        <w:rPr>
          <w:rStyle w:val="FootnoteReference"/>
        </w:rPr>
        <w:footnoteRef/>
      </w:r>
      <w:r w:rsidRPr="00712530">
        <w:tab/>
        <w:t>Κανονισμός (ΕΕ)</w:t>
      </w:r>
      <w:r>
        <w:t> </w:t>
      </w:r>
      <w:r w:rsidRPr="00712530">
        <w:t>2018/1727 του Ευρωπαϊκού Κοινοβουλίου και του Συμβουλίου, της 14ης Νοεμβρίου 2018, σχετικά με τον οργανισμό της Ευρωπαϊκής Ένωσης για τη συνεργασία στον τομέα της ποινικής δικαιοσύνης (</w:t>
      </w:r>
      <w:r>
        <w:t>Eurojust</w:t>
      </w:r>
      <w:r w:rsidRPr="00712530">
        <w:t>) και την αντικατάσταση και την κατάργηση της απόφασης</w:t>
      </w:r>
      <w:r>
        <w:t> </w:t>
      </w:r>
      <w:r w:rsidRPr="00712530">
        <w:t xml:space="preserve">2002/187/ΔΕΥ του Συμβουλίου (ΕΕ </w:t>
      </w:r>
      <w:r>
        <w:t>L </w:t>
      </w:r>
      <w:r w:rsidRPr="00712530">
        <w:t>295 της 21.11.2018, σ.</w:t>
      </w:r>
      <w:r>
        <w:t> </w:t>
      </w:r>
      <w:r w:rsidRPr="00712530">
        <w:t>138).</w:t>
      </w:r>
    </w:p>
  </w:footnote>
  <w:footnote w:id="7">
    <w:p w14:paraId="2885D414" w14:textId="6E945E66" w:rsidR="00102352" w:rsidRPr="00712530" w:rsidRDefault="00102352" w:rsidP="0018409A">
      <w:pPr>
        <w:pStyle w:val="FootnoteText"/>
      </w:pPr>
      <w:r>
        <w:rPr>
          <w:rStyle w:val="FootnoteReference"/>
        </w:rPr>
        <w:footnoteRef/>
      </w:r>
      <w:r w:rsidRPr="00712530">
        <w:tab/>
        <w:t>Βλ. άρθρο</w:t>
      </w:r>
      <w:r>
        <w:t> </w:t>
      </w:r>
      <w:r w:rsidRPr="00712530">
        <w:t>23 παράγραφος</w:t>
      </w:r>
      <w:r>
        <w:t> </w:t>
      </w:r>
      <w:r w:rsidRPr="00712530">
        <w:t xml:space="preserve">1 του κανονισμού για την </w:t>
      </w:r>
      <w:r>
        <w:t>Eurojust</w:t>
      </w:r>
      <w:r w:rsidRPr="00712530">
        <w:t xml:space="preserve">. </w:t>
      </w:r>
    </w:p>
  </w:footnote>
  <w:footnote w:id="8">
    <w:p w14:paraId="3125DDB5" w14:textId="1B5C62D4" w:rsidR="00102352" w:rsidRPr="00712530" w:rsidRDefault="00102352" w:rsidP="00183611">
      <w:pPr>
        <w:pStyle w:val="FootnoteText"/>
      </w:pPr>
      <w:r>
        <w:rPr>
          <w:rStyle w:val="FootnoteReference"/>
        </w:rPr>
        <w:footnoteRef/>
      </w:r>
      <w:r w:rsidRPr="00712530">
        <w:tab/>
        <w:t>Βλ. άρθρο</w:t>
      </w:r>
      <w:r>
        <w:t> </w:t>
      </w:r>
      <w:r w:rsidRPr="00712530">
        <w:t>23 παράγραφος</w:t>
      </w:r>
      <w:r>
        <w:t> </w:t>
      </w:r>
      <w:r w:rsidRPr="00712530">
        <w:t xml:space="preserve">6 του κανονισμού για την </w:t>
      </w:r>
      <w:r>
        <w:t>Eurojust</w:t>
      </w:r>
      <w:r w:rsidRPr="00712530">
        <w:t xml:space="preserve">. </w:t>
      </w:r>
    </w:p>
  </w:footnote>
  <w:footnote w:id="9">
    <w:p w14:paraId="14B72573" w14:textId="5A1E40C9" w:rsidR="00102352" w:rsidRPr="00712530" w:rsidRDefault="00102352">
      <w:pPr>
        <w:pStyle w:val="FootnoteText"/>
      </w:pPr>
      <w:r>
        <w:rPr>
          <w:rStyle w:val="FootnoteReference"/>
        </w:rPr>
        <w:footnoteRef/>
      </w:r>
      <w:r w:rsidRPr="00712530">
        <w:tab/>
        <w:t xml:space="preserve">Υπάρχουν συμφωνίες συνεργασίας μεταξύ της </w:t>
      </w:r>
      <w:r>
        <w:t>Eurojust</w:t>
      </w:r>
      <w:r w:rsidRPr="00712530">
        <w:t xml:space="preserve"> και της Αλβανίας, της Βόρειας Μακεδονίας, της Γεωργίας, της Ελβετίας, των ΗΠΑ, της Ισλανδίας, του Λιχτενστάιν, του Μαυροβουνίου, της Μολδαβίας, της Νορβηγίας, της Ουκρανίας και της Σερβίας. Η </w:t>
      </w:r>
      <w:r>
        <w:t>Eurojust</w:t>
      </w:r>
      <w:r w:rsidRPr="00712530">
        <w:t xml:space="preserve"> έχει συνάψει ακόμη μια συμφωνία συνεργασίας με τη Δανία, η οποία δεν είναι μέλος της </w:t>
      </w:r>
      <w:r>
        <w:t>Eurojust</w:t>
      </w:r>
      <w:r w:rsidRPr="00712530">
        <w:t xml:space="preserve">, σύμφωνα με το πρωτόκολλο 22 της Συνθήκης της Λισαβόνας. Το τρίτο μέρος τίτλος </w:t>
      </w:r>
      <w:r>
        <w:t>IV</w:t>
      </w:r>
      <w:r w:rsidRPr="00712530">
        <w:t xml:space="preserve"> της συμφωνίας εμπορίου και συνεργασίας μεταξύ της Ευρωπαϊκής Ένωσης και της Ευρωπαϊκής Κοινότητας Ατομικής Ενέργειας, αφενός, και του Ηνωμένου Βασιλείου της Μεγάλης Βρετανίας και της Βόρειας Ιρλανδίας, αφετέρου, επίσης περιέχει διατάξεις σχετικά με τη μελλοντική συνεργασία μεταξύ των αρχών του Ηνωμένου Βασιλείου και της </w:t>
      </w:r>
      <w:r>
        <w:t>Eurojust</w:t>
      </w:r>
      <w:r w:rsidRPr="00712530">
        <w:t>.</w:t>
      </w:r>
    </w:p>
  </w:footnote>
  <w:footnote w:id="10">
    <w:p w14:paraId="12559255" w14:textId="77777777" w:rsidR="00102352" w:rsidRPr="00712530" w:rsidRDefault="00102352">
      <w:pPr>
        <w:pStyle w:val="FootnoteText"/>
      </w:pPr>
      <w:r>
        <w:rPr>
          <w:rStyle w:val="FootnoteReference"/>
        </w:rPr>
        <w:footnoteRef/>
      </w:r>
      <w:r w:rsidRPr="00712530">
        <w:tab/>
        <w:t>Ανακοίνωση της Επιτροπής με τίτλο «Η ψηφιοποίηση της δικαιοσύνης στην Ευρωπαϊκή Ένωση – Μια εργαλειοθήκη ευκαιριών» [</w:t>
      </w:r>
      <w:r>
        <w:t>COM</w:t>
      </w:r>
      <w:r w:rsidRPr="00712530">
        <w:t>(2020)</w:t>
      </w:r>
      <w:r>
        <w:t> </w:t>
      </w:r>
      <w:r w:rsidRPr="00712530">
        <w:t xml:space="preserve">710 </w:t>
      </w:r>
      <w:r>
        <w:t>final</w:t>
      </w:r>
      <w:r w:rsidRPr="00712530">
        <w:t xml:space="preserve"> της 2ας Δεκεμβρίου 2020].</w:t>
      </w:r>
    </w:p>
  </w:footnote>
  <w:footnote w:id="11">
    <w:p w14:paraId="73765D7D" w14:textId="60404E30" w:rsidR="00102352" w:rsidRPr="00712530" w:rsidRDefault="00102352">
      <w:pPr>
        <w:pStyle w:val="FootnoteText"/>
      </w:pPr>
      <w:r>
        <w:rPr>
          <w:rStyle w:val="FootnoteReference"/>
        </w:rPr>
        <w:footnoteRef/>
      </w:r>
      <w:r w:rsidRPr="00712530">
        <w:tab/>
        <w:t xml:space="preserve">Το </w:t>
      </w:r>
      <w:r>
        <w:t>e</w:t>
      </w:r>
      <w:r w:rsidRPr="00712530">
        <w:t>-</w:t>
      </w:r>
      <w:r>
        <w:t>CODEX</w:t>
      </w:r>
      <w:r w:rsidRPr="00712530">
        <w:t xml:space="preserve"> είναι μια δέσμη λογισμικού που καθιστά εφικτή τη σύνδεση μεταξύ εθνικών συστημάτων, επιτρέποντας στους χρήστες, όπως σε δικαστικές αρχές, ασκούντες νομικά επαγγέλματα και μέλη του κοινού, να αποστέλλουν και να λαμβάνουν έγγραφα, νομικά έντυπα, αποδεικτικά στοιχεία και λοιπές πληροφορίες με γρήγορο και ασφαλή τρόπο. Το </w:t>
      </w:r>
      <w:r>
        <w:t>e</w:t>
      </w:r>
      <w:r w:rsidRPr="00712530">
        <w:t>-</w:t>
      </w:r>
      <w:r>
        <w:t>CODEX</w:t>
      </w:r>
      <w:r w:rsidRPr="00712530">
        <w:t xml:space="preserve"> χρησιμοποιείται ήδη από το σύστημα ηλεκτρονικής ανταλλαγής ψηφιακών πειστηρίων (</w:t>
      </w:r>
      <w:r>
        <w:t>eEDES</w:t>
      </w:r>
      <w:r w:rsidRPr="00712530">
        <w:t>) και από ορισμένα πιλοτικά έργα. Η Επιτροπή, προκειμένου να διασφαλίσει τη μακροχρόνια βιωσιμότητά του, έχει εκδώσει πρόταση για την ανάθεση της περαιτέρω ανάπτυξης και συντήρησης του συστήματος στον Οργανισμό της Ευρωπαϊκής Ένωσης για τη Λειτουργική Διαχείριση Συστημάτων ΤΠ Μεγάλης Κλίμακας στον Χώρο Ελευθερίας, Ασφάλειας και Δικαιοσύνης.</w:t>
      </w:r>
    </w:p>
  </w:footnote>
  <w:footnote w:id="12">
    <w:p w14:paraId="10D4E7C5" w14:textId="2069AB1F" w:rsidR="00102352" w:rsidRPr="00712530" w:rsidRDefault="00102352">
      <w:pPr>
        <w:pStyle w:val="FootnoteText"/>
      </w:pPr>
      <w:r>
        <w:rPr>
          <w:rStyle w:val="FootnoteReference"/>
        </w:rPr>
        <w:footnoteRef/>
      </w:r>
      <w:r w:rsidRPr="00712530">
        <w:tab/>
        <w:t>Ανακοίνωση της Επιτροπής με τίτλο «Πρόγραμμα εργασίας της Επιτροπής για το 2021: Μια Ένωση δύναμης σε έναν εύθραυστο κόσμο» [</w:t>
      </w:r>
      <w:r>
        <w:t>COM</w:t>
      </w:r>
      <w:r w:rsidRPr="00712530">
        <w:t>(2020)</w:t>
      </w:r>
      <w:r>
        <w:t> </w:t>
      </w:r>
      <w:r w:rsidRPr="00712530">
        <w:t xml:space="preserve">690 </w:t>
      </w:r>
      <w:r>
        <w:t>final</w:t>
      </w:r>
      <w:r w:rsidRPr="00712530">
        <w:t>].</w:t>
      </w:r>
    </w:p>
  </w:footnote>
  <w:footnote w:id="13">
    <w:p w14:paraId="4C07DB6B" w14:textId="3DECB0FA" w:rsidR="00102352" w:rsidRPr="00712530" w:rsidRDefault="00102352">
      <w:pPr>
        <w:pStyle w:val="FootnoteText"/>
      </w:pPr>
      <w:r>
        <w:rPr>
          <w:rStyle w:val="FootnoteReference"/>
        </w:rPr>
        <w:footnoteRef/>
      </w:r>
      <w:r w:rsidRPr="00712530">
        <w:tab/>
        <w:t xml:space="preserve">Οδηγία (ΕΕ) [.../...] του Ευρωπαϊκού Κοινοβουλίου και του Συμβουλίου για την τροποποίηση της απόφασης 2005/671/ΔΕΥ του Συμβουλίου όσον αφορά την εναρμόνισή της με τους κανόνες της ΕΕ για την προστασία των δεδομένων προσωπικού χαρακτήρα (ΕΕ </w:t>
      </w:r>
      <w:r>
        <w:t>L</w:t>
      </w:r>
      <w:r w:rsidRPr="00712530">
        <w:t xml:space="preserve"> ...).</w:t>
      </w:r>
    </w:p>
  </w:footnote>
  <w:footnote w:id="14">
    <w:p w14:paraId="34E8CC7B" w14:textId="77777777" w:rsidR="00102352" w:rsidRPr="00712530" w:rsidRDefault="00102352" w:rsidP="00F0090D">
      <w:pPr>
        <w:pStyle w:val="FootnoteText"/>
      </w:pPr>
      <w:r>
        <w:rPr>
          <w:rStyle w:val="FootnoteReference"/>
        </w:rPr>
        <w:footnoteRef/>
      </w:r>
      <w:r w:rsidRPr="00712530">
        <w:tab/>
        <w:t xml:space="preserve">Οδηγία (ΕΕ) 2016/680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από αρμόδιες αρχές για τους σκοπούς της πρόληψης, διερεύνησης, ανίχνευσης ή δίωξης ποινικών αδικημάτων ή της εκτέλεσης ποινικών κυρώσεων και για την ελεύθερη κυκλοφορία των δεδομένων αυτών και την κατάργηση της απόφασης-πλαίσιο 2008/977/ΔΕΥ του Συμβουλίου (ΕΕ </w:t>
      </w:r>
      <w:r>
        <w:t>L </w:t>
      </w:r>
      <w:r w:rsidRPr="00712530">
        <w:t>119 της 4.5.2016, σ.</w:t>
      </w:r>
      <w:r>
        <w:t> </w:t>
      </w:r>
      <w:r w:rsidRPr="00712530">
        <w:t>89).</w:t>
      </w:r>
    </w:p>
  </w:footnote>
  <w:footnote w:id="15">
    <w:p w14:paraId="77DB70FC" w14:textId="2162DD53" w:rsidR="00102352" w:rsidRPr="00712530" w:rsidRDefault="00102352">
      <w:pPr>
        <w:pStyle w:val="FootnoteText"/>
      </w:pPr>
      <w:r>
        <w:rPr>
          <w:rStyle w:val="FootnoteReference"/>
        </w:rPr>
        <w:footnoteRef/>
      </w:r>
      <w:r w:rsidRPr="00712530">
        <w:tab/>
        <w:t>Ανακοίνωση της Επιτροπής σχετικά με τη στρατηγική της ΕΕ για την Ένωση Ασφάλειας [</w:t>
      </w:r>
      <w:r>
        <w:t>COM</w:t>
      </w:r>
      <w:r w:rsidRPr="00712530">
        <w:t>(2020)</w:t>
      </w:r>
      <w:r>
        <w:t> </w:t>
      </w:r>
      <w:r w:rsidRPr="00712530">
        <w:t xml:space="preserve">605 </w:t>
      </w:r>
      <w:r>
        <w:t>final</w:t>
      </w:r>
      <w:r w:rsidRPr="00712530">
        <w:t>].</w:t>
      </w:r>
    </w:p>
  </w:footnote>
  <w:footnote w:id="16">
    <w:p w14:paraId="388A76E6" w14:textId="68D185F4" w:rsidR="00102352" w:rsidRPr="00712530" w:rsidRDefault="00102352">
      <w:pPr>
        <w:pStyle w:val="FootnoteText"/>
      </w:pPr>
      <w:r>
        <w:rPr>
          <w:rStyle w:val="FootnoteReference"/>
        </w:rPr>
        <w:footnoteRef/>
      </w:r>
      <w:r w:rsidRPr="00712530">
        <w:tab/>
        <w:t>Ανακοίνωση της Επιτροπής σχετικά με το θεματολόγιο της ΕΕ για την καταπολέμηση της τρομοκρατίας [</w:t>
      </w:r>
      <w:r>
        <w:t>COM</w:t>
      </w:r>
      <w:r w:rsidRPr="00712530">
        <w:t>(2020)</w:t>
      </w:r>
      <w:r>
        <w:t> </w:t>
      </w:r>
      <w:r w:rsidRPr="00712530">
        <w:t xml:space="preserve">795 </w:t>
      </w:r>
      <w:r>
        <w:t>final</w:t>
      </w:r>
      <w:r w:rsidRPr="00712530">
        <w:t>].</w:t>
      </w:r>
    </w:p>
  </w:footnote>
  <w:footnote w:id="17">
    <w:p w14:paraId="33001911" w14:textId="490CC273" w:rsidR="00102352" w:rsidRPr="00712530" w:rsidRDefault="00102352">
      <w:pPr>
        <w:pStyle w:val="FootnoteText"/>
      </w:pPr>
      <w:r>
        <w:rPr>
          <w:rStyle w:val="FootnoteReference"/>
        </w:rPr>
        <w:footnoteRef/>
      </w:r>
      <w:r w:rsidRPr="00712530">
        <w:tab/>
        <w:t>Ανακοίνωση της Επιτροπής σχετικά με τη στρατηγική της ΕΕ για την αντιμετώπιση του οργανωμένου εγκλήματος 2021-2025 [</w:t>
      </w:r>
      <w:r>
        <w:t>COM</w:t>
      </w:r>
      <w:r w:rsidRPr="00712530">
        <w:t>(2021)</w:t>
      </w:r>
      <w:r>
        <w:t> </w:t>
      </w:r>
      <w:r w:rsidRPr="00712530">
        <w:t xml:space="preserve">170 </w:t>
      </w:r>
      <w:r>
        <w:t>final</w:t>
      </w:r>
      <w:r w:rsidRPr="00712530">
        <w:t>].</w:t>
      </w:r>
    </w:p>
  </w:footnote>
  <w:footnote w:id="18">
    <w:p w14:paraId="25CE6DE7" w14:textId="199CBCF6" w:rsidR="00102352" w:rsidRPr="00712530" w:rsidRDefault="00102352">
      <w:pPr>
        <w:pStyle w:val="FootnoteText"/>
      </w:pPr>
      <w:r>
        <w:rPr>
          <w:rStyle w:val="FootnoteReference"/>
        </w:rPr>
        <w:footnoteRef/>
      </w:r>
      <w:r w:rsidRPr="00712530">
        <w:tab/>
        <w:t>Απόφαση (ΕΕ) 2021/7072 του Συμβουλίου, της 16ης Μαρτίου 2021.</w:t>
      </w:r>
    </w:p>
  </w:footnote>
  <w:footnote w:id="19">
    <w:p w14:paraId="7B5B10C1" w14:textId="77777777" w:rsidR="00102352" w:rsidRPr="00712530" w:rsidRDefault="00102352" w:rsidP="006A50D1">
      <w:pPr>
        <w:pStyle w:val="FootnoteText"/>
      </w:pPr>
      <w:r>
        <w:rPr>
          <w:rStyle w:val="FootnoteReference"/>
        </w:rPr>
        <w:footnoteRef/>
      </w:r>
      <w:r w:rsidRPr="00712530">
        <w:tab/>
        <w:t>Κανονισμός (ΕΕ)</w:t>
      </w:r>
      <w:r>
        <w:t> </w:t>
      </w:r>
      <w:r w:rsidRPr="00712530">
        <w:t xml:space="preserve">2017/1939 του Συμβουλίου, της 12ης Οκτωβρίου 2017, σχετικά με την εφαρμογή ενισχυμένης συνεργασίας για τη σύσταση της Ευρωπαϊκής Εισαγγελίας (ΕΕ </w:t>
      </w:r>
      <w:r>
        <w:t>L </w:t>
      </w:r>
      <w:r w:rsidRPr="00712530">
        <w:t>283 της 31.10.2017, σ.</w:t>
      </w:r>
      <w:r>
        <w:t> </w:t>
      </w:r>
      <w:r w:rsidRPr="00712530">
        <w:t>1).</w:t>
      </w:r>
    </w:p>
  </w:footnote>
  <w:footnote w:id="20">
    <w:p w14:paraId="6F9EB425" w14:textId="77777777" w:rsidR="00102352" w:rsidRPr="00712530" w:rsidRDefault="00102352">
      <w:pPr>
        <w:pStyle w:val="FootnoteText"/>
      </w:pPr>
      <w:r>
        <w:rPr>
          <w:rStyle w:val="FootnoteReference"/>
        </w:rPr>
        <w:footnoteRef/>
      </w:r>
      <w:r w:rsidRPr="00712530">
        <w:tab/>
        <w:t>Κανονισμός (ΕΕ) 2016/794 του Ευρωπαϊκού Κοινοβουλίου και του Συμβουλίου, της 11ης</w:t>
      </w:r>
      <w:r>
        <w:t> </w:t>
      </w:r>
      <w:r w:rsidRPr="00712530">
        <w:t>Μαΐου</w:t>
      </w:r>
      <w:r>
        <w:t> </w:t>
      </w:r>
      <w:r w:rsidRPr="00712530">
        <w:t xml:space="preserve">2016, για τον Οργανισμό της Ευρωπαϊκής Ένωσης για τη Συνεργασία στον Τομέα της Επιβολής του Νόμου (Ευρωπόλ) και την αντικατάσταση και κατάργηση των αποφάσεων του Συμβουλίου 2009/371/ΔΕΥ, 2009/934/ΔΕΥ, 2009/935/ΔΕΥ, 2009/936/ΔΕΥ και 2009/968/ΔΕΥ (ΕΕ </w:t>
      </w:r>
      <w:r>
        <w:t>L </w:t>
      </w:r>
      <w:r w:rsidRPr="00712530">
        <w:t>135 της 24.5.2016, σ.</w:t>
      </w:r>
      <w:r>
        <w:t> </w:t>
      </w:r>
      <w:r w:rsidRPr="00712530">
        <w:t>53).</w:t>
      </w:r>
    </w:p>
  </w:footnote>
  <w:footnote w:id="21">
    <w:p w14:paraId="3671EF58" w14:textId="77777777" w:rsidR="00102352" w:rsidRPr="00712530" w:rsidRDefault="00102352" w:rsidP="006A50D1">
      <w:pPr>
        <w:pStyle w:val="FootnoteText"/>
      </w:pPr>
      <w:r>
        <w:rPr>
          <w:rStyle w:val="FootnoteReference"/>
        </w:rPr>
        <w:footnoteRef/>
      </w:r>
      <w:r w:rsidRPr="00712530">
        <w:tab/>
        <w:t>Κανονισμός (ΕΕ, Ευρατόμ) αριθ. 883/2013 του Ευρωπαϊκού Κοινοβουλίου και του Συμβουλίου, της 11ης Σεπτεμβρίου 2013, σχετικά με τις έρευνες που πραγματοποιούνται από την Ευρωπαϊκή Υπηρεσία Καταπολέμησης της Απάτης (</w:t>
      </w:r>
      <w:r>
        <w:t>OLAF</w:t>
      </w:r>
      <w:r w:rsidRPr="00712530">
        <w:t xml:space="preserve">) και την κατάργηση του κανονισμού (ΕΚ) αριθ. 1073/1999 του Ευρωπαϊκού Κοινοβουλίου και του Συμβουλίου και του κανονισμού (Ευρατόμ) αριθ. 1074/1999 του Συμβουλίου (ΕΕ </w:t>
      </w:r>
      <w:r>
        <w:t>L </w:t>
      </w:r>
      <w:r w:rsidRPr="00712530">
        <w:t>248 της 18.9.2013, σ.</w:t>
      </w:r>
      <w:r>
        <w:t> </w:t>
      </w:r>
      <w:r w:rsidRPr="00712530">
        <w:t>1).</w:t>
      </w:r>
    </w:p>
  </w:footnote>
  <w:footnote w:id="22">
    <w:p w14:paraId="4BF7DF34" w14:textId="77777777" w:rsidR="00102352" w:rsidRPr="00746164" w:rsidRDefault="00102352" w:rsidP="00ED73EB">
      <w:pPr>
        <w:pStyle w:val="FootnoteText"/>
        <w:rPr>
          <w:lang w:val="en-US"/>
        </w:rPr>
      </w:pPr>
      <w:r>
        <w:rPr>
          <w:rStyle w:val="FootnoteReference"/>
        </w:rPr>
        <w:footnoteRef/>
      </w:r>
      <w:r w:rsidRPr="00712530">
        <w:tab/>
        <w:t>Κανονισμός (</w:t>
      </w:r>
      <w:r>
        <w:t>EE</w:t>
      </w:r>
      <w:r w:rsidRPr="00712530">
        <w:t>) 2019/1896 του Ευρωπαϊκού Κοινοβουλίου και του Συμβουλίου, της 13ης</w:t>
      </w:r>
      <w:r>
        <w:t> </w:t>
      </w:r>
      <w:r w:rsidRPr="00712530">
        <w:t>Νοεμβρίου 2019, για την Ευρωπαϊκή Συνοριοφυλακή και Ακτοφυλακή και για την κατάργηση των κανονισμών (ΕΕ) αριθ.</w:t>
      </w:r>
      <w:r>
        <w:t> </w:t>
      </w:r>
      <w:r w:rsidRPr="00746164">
        <w:rPr>
          <w:lang w:val="en-US"/>
        </w:rPr>
        <w:t xml:space="preserve">1052/2013 </w:t>
      </w:r>
      <w:r>
        <w:t>και</w:t>
      </w:r>
      <w:r w:rsidRPr="00746164">
        <w:rPr>
          <w:lang w:val="en-US"/>
        </w:rPr>
        <w:t xml:space="preserve"> (</w:t>
      </w:r>
      <w:r>
        <w:t>ΕΕ</w:t>
      </w:r>
      <w:r w:rsidRPr="00746164">
        <w:rPr>
          <w:lang w:val="en-US"/>
        </w:rPr>
        <w:t>) 2016/1624 (</w:t>
      </w:r>
      <w:r>
        <w:t>ΕΕ</w:t>
      </w:r>
      <w:r w:rsidRPr="00746164">
        <w:rPr>
          <w:lang w:val="en-US"/>
        </w:rPr>
        <w:t xml:space="preserve"> L 295 </w:t>
      </w:r>
      <w:r>
        <w:t>της</w:t>
      </w:r>
      <w:r w:rsidRPr="00746164">
        <w:rPr>
          <w:lang w:val="en-US"/>
        </w:rPr>
        <w:t xml:space="preserve"> 14.11.2019, </w:t>
      </w:r>
      <w:r>
        <w:t>σ</w:t>
      </w:r>
      <w:r w:rsidRPr="00746164">
        <w:rPr>
          <w:lang w:val="en-US"/>
        </w:rPr>
        <w:t>. 1).</w:t>
      </w:r>
    </w:p>
  </w:footnote>
  <w:footnote w:id="23">
    <w:p w14:paraId="12A01670" w14:textId="69364720" w:rsidR="00102352" w:rsidRPr="00746164" w:rsidRDefault="00102352">
      <w:pPr>
        <w:pStyle w:val="FootnoteText"/>
        <w:rPr>
          <w:lang w:val="en-US"/>
        </w:rPr>
      </w:pPr>
      <w:r>
        <w:rPr>
          <w:rStyle w:val="FootnoteReference"/>
        </w:rPr>
        <w:footnoteRef/>
      </w:r>
      <w:r w:rsidRPr="00746164">
        <w:rPr>
          <w:lang w:val="en-US"/>
        </w:rPr>
        <w:tab/>
        <w:t>JOIN/2020/18 final.</w:t>
      </w:r>
    </w:p>
  </w:footnote>
  <w:footnote w:id="24">
    <w:p w14:paraId="5389D748" w14:textId="44EDC8EB" w:rsidR="00102352" w:rsidRPr="00746164" w:rsidRDefault="00102352">
      <w:pPr>
        <w:pStyle w:val="FootnoteText"/>
        <w:rPr>
          <w:lang w:val="en-US"/>
        </w:rPr>
      </w:pPr>
      <w:r>
        <w:rPr>
          <w:rStyle w:val="FootnoteReference"/>
        </w:rPr>
        <w:footnoteRef/>
      </w:r>
      <w:r w:rsidRPr="00746164">
        <w:rPr>
          <w:lang w:val="en-US"/>
        </w:rPr>
        <w:tab/>
        <w:t>COM 2020/823 final.</w:t>
      </w:r>
    </w:p>
  </w:footnote>
  <w:footnote w:id="25">
    <w:p w14:paraId="7F3ABEBB" w14:textId="77777777" w:rsidR="00102352" w:rsidRPr="00746164" w:rsidRDefault="00102352" w:rsidP="00DF432B">
      <w:pPr>
        <w:pStyle w:val="FootnoteText"/>
        <w:rPr>
          <w:lang w:val="en-US"/>
        </w:rPr>
      </w:pPr>
      <w:r>
        <w:rPr>
          <w:rStyle w:val="FootnoteReference"/>
        </w:rPr>
        <w:footnoteRef/>
      </w:r>
      <w:r w:rsidRPr="00746164">
        <w:rPr>
          <w:lang w:val="en-US"/>
        </w:rPr>
        <w:tab/>
        <w:t>Cross-border Digital Criminal Justice, Final Report (</w:t>
      </w:r>
      <w:r>
        <w:t>Διασυνοριακή</w:t>
      </w:r>
      <w:r w:rsidRPr="00746164">
        <w:rPr>
          <w:lang w:val="en-US"/>
        </w:rPr>
        <w:t xml:space="preserve"> </w:t>
      </w:r>
      <w:r>
        <w:t>ψηφιακή</w:t>
      </w:r>
      <w:r w:rsidRPr="00746164">
        <w:rPr>
          <w:lang w:val="en-US"/>
        </w:rPr>
        <w:t xml:space="preserve"> </w:t>
      </w:r>
      <w:r>
        <w:t>ποινική</w:t>
      </w:r>
      <w:r w:rsidRPr="00746164">
        <w:rPr>
          <w:lang w:val="en-US"/>
        </w:rPr>
        <w:t xml:space="preserve"> </w:t>
      </w:r>
      <w:r>
        <w:t>δικαιοσύνη</w:t>
      </w:r>
      <w:r w:rsidRPr="00746164">
        <w:rPr>
          <w:lang w:val="en-US"/>
        </w:rPr>
        <w:t xml:space="preserve">, </w:t>
      </w:r>
      <w:r>
        <w:t>Τελική</w:t>
      </w:r>
      <w:r w:rsidRPr="00746164">
        <w:rPr>
          <w:lang w:val="en-US"/>
        </w:rPr>
        <w:t xml:space="preserve"> </w:t>
      </w:r>
      <w:r>
        <w:t>έκθεση</w:t>
      </w:r>
      <w:r w:rsidRPr="00746164">
        <w:rPr>
          <w:lang w:val="en-US"/>
        </w:rPr>
        <w:t xml:space="preserve">), </w:t>
      </w:r>
      <w:hyperlink r:id="rId2" w:history="1">
        <w:r w:rsidRPr="00746164">
          <w:rPr>
            <w:rStyle w:val="Hyperlink"/>
            <w:lang w:val="en-US"/>
          </w:rPr>
          <w:t>https://op.europa.eu/el/publication-detail/-/publication/e38795b5-f633-11ea-991b-01aa75ed71a1</w:t>
        </w:r>
      </w:hyperlink>
      <w:r w:rsidRPr="00746164">
        <w:rPr>
          <w:lang w:val="en-US"/>
        </w:rPr>
        <w:t>.</w:t>
      </w:r>
    </w:p>
  </w:footnote>
  <w:footnote w:id="26">
    <w:p w14:paraId="0CFEDD12" w14:textId="5691FA28" w:rsidR="00102352" w:rsidRPr="00712530" w:rsidRDefault="00102352">
      <w:pPr>
        <w:pStyle w:val="FootnoteText"/>
      </w:pPr>
      <w:r>
        <w:rPr>
          <w:rStyle w:val="FootnoteReference"/>
        </w:rPr>
        <w:footnoteRef/>
      </w:r>
      <w:r w:rsidRPr="00712530">
        <w:tab/>
      </w:r>
      <w:r>
        <w:t>SWD</w:t>
      </w:r>
      <w:r w:rsidRPr="00712530">
        <w:t>(2021)</w:t>
      </w:r>
      <w:r>
        <w:t> </w:t>
      </w:r>
      <w:r w:rsidRPr="00712530">
        <w:t>391.</w:t>
      </w:r>
    </w:p>
  </w:footnote>
  <w:footnote w:id="27">
    <w:p w14:paraId="0BB3FAE8" w14:textId="78195A9A" w:rsidR="00102352" w:rsidRPr="00712530" w:rsidRDefault="00102352">
      <w:pPr>
        <w:pStyle w:val="FootnoteText"/>
      </w:pPr>
      <w:r>
        <w:rPr>
          <w:rStyle w:val="FootnoteReference"/>
        </w:rPr>
        <w:footnoteRef/>
      </w:r>
      <w:r w:rsidRPr="00712530">
        <w:tab/>
        <w:t>Άρθρο 8 του Χάρτη των Θεμελιωδών Δικαιωμάτων της Ευρωπαϊκής Ένωσης (στο εξής: Χάρτης).</w:t>
      </w:r>
    </w:p>
  </w:footnote>
  <w:footnote w:id="28">
    <w:p w14:paraId="12AD4A36" w14:textId="77777777" w:rsidR="00102352" w:rsidRPr="00712530" w:rsidRDefault="00102352">
      <w:pPr>
        <w:pStyle w:val="FootnoteText"/>
      </w:pPr>
      <w:r>
        <w:rPr>
          <w:rStyle w:val="FootnoteReference"/>
        </w:rPr>
        <w:footnoteRef/>
      </w:r>
      <w:r w:rsidRPr="00712530">
        <w:tab/>
        <w:t>Άρθρο 7 του Χάρτη.</w:t>
      </w:r>
    </w:p>
  </w:footnote>
  <w:footnote w:id="29">
    <w:p w14:paraId="1D04A860" w14:textId="77777777" w:rsidR="00102352" w:rsidRPr="00712530" w:rsidRDefault="00102352">
      <w:pPr>
        <w:pStyle w:val="FootnoteText"/>
      </w:pPr>
      <w:r>
        <w:rPr>
          <w:rStyle w:val="FootnoteReference"/>
        </w:rPr>
        <w:footnoteRef/>
      </w:r>
      <w:r w:rsidRPr="00712530">
        <w:tab/>
      </w:r>
      <w:r>
        <w:t>Cross</w:t>
      </w:r>
      <w:r w:rsidRPr="00712530">
        <w:t>-</w:t>
      </w:r>
      <w:r>
        <w:t>border</w:t>
      </w:r>
      <w:r w:rsidRPr="00712530">
        <w:t xml:space="preserve"> </w:t>
      </w:r>
      <w:r>
        <w:t>Digital</w:t>
      </w:r>
      <w:r w:rsidRPr="00712530">
        <w:t xml:space="preserve"> </w:t>
      </w:r>
      <w:r>
        <w:t>Criminal</w:t>
      </w:r>
      <w:r w:rsidRPr="00712530">
        <w:t xml:space="preserve"> </w:t>
      </w:r>
      <w:r>
        <w:t>Justice</w:t>
      </w:r>
      <w:r w:rsidRPr="00712530">
        <w:t xml:space="preserve">, </w:t>
      </w:r>
      <w:r>
        <w:t>Final</w:t>
      </w:r>
      <w:r w:rsidRPr="00712530">
        <w:t xml:space="preserve"> </w:t>
      </w:r>
      <w:r>
        <w:t>Report</w:t>
      </w:r>
      <w:r w:rsidRPr="00712530">
        <w:t xml:space="preserve"> (Διασυνοριακή ψηφιακή ποινική δικαιοσύνη, Τελική έκθεση), </w:t>
      </w:r>
      <w:hyperlink r:id="rId3" w:history="1">
        <w:r>
          <w:rPr>
            <w:rStyle w:val="Hyperlink"/>
          </w:rPr>
          <w:t>https</w:t>
        </w:r>
        <w:r w:rsidRPr="00712530">
          <w:rPr>
            <w:rStyle w:val="Hyperlink"/>
          </w:rPr>
          <w:t>://</w:t>
        </w:r>
        <w:r>
          <w:rPr>
            <w:rStyle w:val="Hyperlink"/>
          </w:rPr>
          <w:t>op</w:t>
        </w:r>
        <w:r w:rsidRPr="00712530">
          <w:rPr>
            <w:rStyle w:val="Hyperlink"/>
          </w:rPr>
          <w:t>.</w:t>
        </w:r>
        <w:r>
          <w:rPr>
            <w:rStyle w:val="Hyperlink"/>
          </w:rPr>
          <w:t>europa</w:t>
        </w:r>
        <w:r w:rsidRPr="00712530">
          <w:rPr>
            <w:rStyle w:val="Hyperlink"/>
          </w:rPr>
          <w:t>.</w:t>
        </w:r>
        <w:r>
          <w:rPr>
            <w:rStyle w:val="Hyperlink"/>
          </w:rPr>
          <w:t>eu</w:t>
        </w:r>
        <w:r w:rsidRPr="00712530">
          <w:rPr>
            <w:rStyle w:val="Hyperlink"/>
          </w:rPr>
          <w:t>/</w:t>
        </w:r>
        <w:r>
          <w:rPr>
            <w:rStyle w:val="Hyperlink"/>
          </w:rPr>
          <w:t>en</w:t>
        </w:r>
        <w:r w:rsidRPr="00712530">
          <w:rPr>
            <w:rStyle w:val="Hyperlink"/>
          </w:rPr>
          <w:t>/</w:t>
        </w:r>
        <w:r>
          <w:rPr>
            <w:rStyle w:val="Hyperlink"/>
          </w:rPr>
          <w:t>publication</w:t>
        </w:r>
        <w:r w:rsidRPr="00712530">
          <w:rPr>
            <w:rStyle w:val="Hyperlink"/>
          </w:rPr>
          <w:t>-</w:t>
        </w:r>
        <w:r>
          <w:rPr>
            <w:rStyle w:val="Hyperlink"/>
          </w:rPr>
          <w:t>detail</w:t>
        </w:r>
        <w:r w:rsidRPr="00712530">
          <w:rPr>
            <w:rStyle w:val="Hyperlink"/>
          </w:rPr>
          <w:t>/-/</w:t>
        </w:r>
        <w:r>
          <w:rPr>
            <w:rStyle w:val="Hyperlink"/>
          </w:rPr>
          <w:t>publication</w:t>
        </w:r>
        <w:r w:rsidRPr="00712530">
          <w:rPr>
            <w:rStyle w:val="Hyperlink"/>
          </w:rPr>
          <w:t>/</w:t>
        </w:r>
        <w:r>
          <w:rPr>
            <w:rStyle w:val="Hyperlink"/>
          </w:rPr>
          <w:t>e</w:t>
        </w:r>
        <w:r w:rsidRPr="00712530">
          <w:rPr>
            <w:rStyle w:val="Hyperlink"/>
          </w:rPr>
          <w:t>38795</w:t>
        </w:r>
        <w:r>
          <w:rPr>
            <w:rStyle w:val="Hyperlink"/>
          </w:rPr>
          <w:t>b</w:t>
        </w:r>
        <w:r w:rsidRPr="00712530">
          <w:rPr>
            <w:rStyle w:val="Hyperlink"/>
          </w:rPr>
          <w:t>5-</w:t>
        </w:r>
        <w:r>
          <w:rPr>
            <w:rStyle w:val="Hyperlink"/>
          </w:rPr>
          <w:t>f</w:t>
        </w:r>
        <w:r w:rsidRPr="00712530">
          <w:rPr>
            <w:rStyle w:val="Hyperlink"/>
          </w:rPr>
          <w:t>633-11</w:t>
        </w:r>
        <w:r>
          <w:rPr>
            <w:rStyle w:val="Hyperlink"/>
          </w:rPr>
          <w:t>ea</w:t>
        </w:r>
        <w:r w:rsidRPr="00712530">
          <w:rPr>
            <w:rStyle w:val="Hyperlink"/>
          </w:rPr>
          <w:t>-991</w:t>
        </w:r>
        <w:r>
          <w:rPr>
            <w:rStyle w:val="Hyperlink"/>
          </w:rPr>
          <w:t>b</w:t>
        </w:r>
        <w:r w:rsidRPr="00712530">
          <w:rPr>
            <w:rStyle w:val="Hyperlink"/>
          </w:rPr>
          <w:t>-01</w:t>
        </w:r>
        <w:r>
          <w:rPr>
            <w:rStyle w:val="Hyperlink"/>
          </w:rPr>
          <w:t>aa</w:t>
        </w:r>
        <w:r w:rsidRPr="00712530">
          <w:rPr>
            <w:rStyle w:val="Hyperlink"/>
          </w:rPr>
          <w:t>75</w:t>
        </w:r>
        <w:r>
          <w:rPr>
            <w:rStyle w:val="Hyperlink"/>
          </w:rPr>
          <w:t>ed</w:t>
        </w:r>
        <w:r w:rsidRPr="00712530">
          <w:rPr>
            <w:rStyle w:val="Hyperlink"/>
          </w:rPr>
          <w:t>71</w:t>
        </w:r>
        <w:r>
          <w:rPr>
            <w:rStyle w:val="Hyperlink"/>
          </w:rPr>
          <w:t>a</w:t>
        </w:r>
        <w:r w:rsidRPr="00712530">
          <w:rPr>
            <w:rStyle w:val="Hyperlink"/>
          </w:rPr>
          <w:t>1/</w:t>
        </w:r>
        <w:r>
          <w:rPr>
            <w:rStyle w:val="Hyperlink"/>
          </w:rPr>
          <w:t>language</w:t>
        </w:r>
        <w:r w:rsidRPr="00712530">
          <w:rPr>
            <w:rStyle w:val="Hyperlink"/>
          </w:rPr>
          <w:t>-</w:t>
        </w:r>
        <w:r>
          <w:rPr>
            <w:rStyle w:val="Hyperlink"/>
          </w:rPr>
          <w:t>en</w:t>
        </w:r>
      </w:hyperlink>
      <w:r w:rsidRPr="00712530">
        <w:t>, σ.</w:t>
      </w:r>
      <w:r>
        <w:t> </w:t>
      </w:r>
      <w:r w:rsidRPr="00712530">
        <w:t>244.</w:t>
      </w:r>
    </w:p>
  </w:footnote>
  <w:footnote w:id="30">
    <w:p w14:paraId="7143A0CF" w14:textId="32FF1FDC" w:rsidR="00102352" w:rsidRPr="00712530" w:rsidRDefault="00102352">
      <w:pPr>
        <w:pStyle w:val="FootnoteText"/>
      </w:pPr>
      <w:r>
        <w:rPr>
          <w:rStyle w:val="FootnoteReference"/>
        </w:rPr>
        <w:footnoteRef/>
      </w:r>
      <w:r w:rsidRPr="00712530">
        <w:tab/>
        <w:t>Η μελέτη υπολόγισε περίοδο συντήρησης και συνολικό ποσό 39 εκατ.</w:t>
      </w:r>
      <w:r>
        <w:t> EUR</w:t>
      </w:r>
      <w:r w:rsidRPr="00712530">
        <w:t>. Δεδομένου ότι ο τρέχων προϋπολογισμός της ΕΕ (πολυετές δημοσιονομικό πλαίσιο, ΠΔΠ) καλύπτει μόνο την περίοδο έως το 2027, τα έξοδα συντήρησης για τα έτη 2028 και 2029 αφαιρέθηκαν από το ποσό αυτό.</w:t>
      </w:r>
    </w:p>
  </w:footnote>
  <w:footnote w:id="31">
    <w:p w14:paraId="56BC2B89" w14:textId="4459692C" w:rsidR="00102352" w:rsidRPr="00712530" w:rsidRDefault="00102352">
      <w:pPr>
        <w:pStyle w:val="FootnoteText"/>
      </w:pPr>
      <w:r>
        <w:rPr>
          <w:rStyle w:val="FootnoteReference"/>
        </w:rPr>
        <w:footnoteRef/>
      </w:r>
      <w:r w:rsidRPr="00712530">
        <w:tab/>
      </w:r>
      <w:r>
        <w:t>Cross</w:t>
      </w:r>
      <w:r w:rsidRPr="00712530">
        <w:t>-</w:t>
      </w:r>
      <w:r>
        <w:t>border</w:t>
      </w:r>
      <w:r w:rsidRPr="00712530">
        <w:t xml:space="preserve"> </w:t>
      </w:r>
      <w:r>
        <w:t>Digital</w:t>
      </w:r>
      <w:r w:rsidRPr="00712530">
        <w:t xml:space="preserve"> </w:t>
      </w:r>
      <w:r>
        <w:t>Criminal</w:t>
      </w:r>
      <w:r w:rsidRPr="00712530">
        <w:t xml:space="preserve"> </w:t>
      </w:r>
      <w:r>
        <w:t>Justice</w:t>
      </w:r>
      <w:r w:rsidRPr="00712530">
        <w:t xml:space="preserve">, </w:t>
      </w:r>
      <w:r>
        <w:t>Final</w:t>
      </w:r>
      <w:r w:rsidRPr="00712530">
        <w:t xml:space="preserve"> </w:t>
      </w:r>
      <w:r>
        <w:t>Report</w:t>
      </w:r>
      <w:r w:rsidRPr="00712530">
        <w:t xml:space="preserve"> (Διασυνοριακή ψηφιακή ποινική δικαιοσύνη, Τελική έκθεση), </w:t>
      </w:r>
      <w:hyperlink r:id="rId4" w:history="1">
        <w:r>
          <w:rPr>
            <w:rStyle w:val="Hyperlink"/>
          </w:rPr>
          <w:t>https</w:t>
        </w:r>
        <w:r w:rsidRPr="00712530">
          <w:rPr>
            <w:rStyle w:val="Hyperlink"/>
          </w:rPr>
          <w:t>://</w:t>
        </w:r>
        <w:r>
          <w:rPr>
            <w:rStyle w:val="Hyperlink"/>
          </w:rPr>
          <w:t>op</w:t>
        </w:r>
        <w:r w:rsidRPr="00712530">
          <w:rPr>
            <w:rStyle w:val="Hyperlink"/>
          </w:rPr>
          <w:t>.</w:t>
        </w:r>
        <w:r>
          <w:rPr>
            <w:rStyle w:val="Hyperlink"/>
          </w:rPr>
          <w:t>europa</w:t>
        </w:r>
        <w:r w:rsidRPr="00712530">
          <w:rPr>
            <w:rStyle w:val="Hyperlink"/>
          </w:rPr>
          <w:t>.</w:t>
        </w:r>
        <w:r>
          <w:rPr>
            <w:rStyle w:val="Hyperlink"/>
          </w:rPr>
          <w:t>eu</w:t>
        </w:r>
        <w:r w:rsidRPr="00712530">
          <w:rPr>
            <w:rStyle w:val="Hyperlink"/>
          </w:rPr>
          <w:t>/</w:t>
        </w:r>
        <w:r>
          <w:rPr>
            <w:rStyle w:val="Hyperlink"/>
          </w:rPr>
          <w:t>en</w:t>
        </w:r>
        <w:r w:rsidRPr="00712530">
          <w:rPr>
            <w:rStyle w:val="Hyperlink"/>
          </w:rPr>
          <w:t>/</w:t>
        </w:r>
        <w:r>
          <w:rPr>
            <w:rStyle w:val="Hyperlink"/>
          </w:rPr>
          <w:t>publication</w:t>
        </w:r>
        <w:r w:rsidRPr="00712530">
          <w:rPr>
            <w:rStyle w:val="Hyperlink"/>
          </w:rPr>
          <w:t>-</w:t>
        </w:r>
        <w:r>
          <w:rPr>
            <w:rStyle w:val="Hyperlink"/>
          </w:rPr>
          <w:t>detail</w:t>
        </w:r>
        <w:r w:rsidRPr="00712530">
          <w:rPr>
            <w:rStyle w:val="Hyperlink"/>
          </w:rPr>
          <w:t>/-/</w:t>
        </w:r>
        <w:r>
          <w:rPr>
            <w:rStyle w:val="Hyperlink"/>
          </w:rPr>
          <w:t>publication</w:t>
        </w:r>
        <w:r w:rsidRPr="00712530">
          <w:rPr>
            <w:rStyle w:val="Hyperlink"/>
          </w:rPr>
          <w:t>/</w:t>
        </w:r>
        <w:r>
          <w:rPr>
            <w:rStyle w:val="Hyperlink"/>
          </w:rPr>
          <w:t>e</w:t>
        </w:r>
        <w:r w:rsidRPr="00712530">
          <w:rPr>
            <w:rStyle w:val="Hyperlink"/>
          </w:rPr>
          <w:t>38795</w:t>
        </w:r>
        <w:r>
          <w:rPr>
            <w:rStyle w:val="Hyperlink"/>
          </w:rPr>
          <w:t>b</w:t>
        </w:r>
        <w:r w:rsidRPr="00712530">
          <w:rPr>
            <w:rStyle w:val="Hyperlink"/>
          </w:rPr>
          <w:t>5-</w:t>
        </w:r>
        <w:r>
          <w:rPr>
            <w:rStyle w:val="Hyperlink"/>
          </w:rPr>
          <w:t>f</w:t>
        </w:r>
        <w:r w:rsidRPr="00712530">
          <w:rPr>
            <w:rStyle w:val="Hyperlink"/>
          </w:rPr>
          <w:t>633-11</w:t>
        </w:r>
        <w:r>
          <w:rPr>
            <w:rStyle w:val="Hyperlink"/>
          </w:rPr>
          <w:t>ea</w:t>
        </w:r>
        <w:r w:rsidRPr="00712530">
          <w:rPr>
            <w:rStyle w:val="Hyperlink"/>
          </w:rPr>
          <w:t>-991</w:t>
        </w:r>
        <w:r>
          <w:rPr>
            <w:rStyle w:val="Hyperlink"/>
          </w:rPr>
          <w:t>b</w:t>
        </w:r>
        <w:r w:rsidRPr="00712530">
          <w:rPr>
            <w:rStyle w:val="Hyperlink"/>
          </w:rPr>
          <w:t>-01</w:t>
        </w:r>
        <w:r>
          <w:rPr>
            <w:rStyle w:val="Hyperlink"/>
          </w:rPr>
          <w:t>aa</w:t>
        </w:r>
        <w:r w:rsidRPr="00712530">
          <w:rPr>
            <w:rStyle w:val="Hyperlink"/>
          </w:rPr>
          <w:t>75</w:t>
        </w:r>
        <w:r>
          <w:rPr>
            <w:rStyle w:val="Hyperlink"/>
          </w:rPr>
          <w:t>ed</w:t>
        </w:r>
        <w:r w:rsidRPr="00712530">
          <w:rPr>
            <w:rStyle w:val="Hyperlink"/>
          </w:rPr>
          <w:t>71</w:t>
        </w:r>
        <w:r>
          <w:rPr>
            <w:rStyle w:val="Hyperlink"/>
          </w:rPr>
          <w:t>a</w:t>
        </w:r>
        <w:r w:rsidRPr="00712530">
          <w:rPr>
            <w:rStyle w:val="Hyperlink"/>
          </w:rPr>
          <w:t>1/</w:t>
        </w:r>
        <w:r>
          <w:rPr>
            <w:rStyle w:val="Hyperlink"/>
          </w:rPr>
          <w:t>language</w:t>
        </w:r>
        <w:r w:rsidRPr="00712530">
          <w:rPr>
            <w:rStyle w:val="Hyperlink"/>
          </w:rPr>
          <w:t>-</w:t>
        </w:r>
        <w:r>
          <w:rPr>
            <w:rStyle w:val="Hyperlink"/>
          </w:rPr>
          <w:t>en</w:t>
        </w:r>
      </w:hyperlink>
      <w:r w:rsidRPr="00712530">
        <w:t>, σ.</w:t>
      </w:r>
      <w:r>
        <w:t> </w:t>
      </w:r>
      <w:r w:rsidRPr="00712530">
        <w:t>265 και επ.</w:t>
      </w:r>
    </w:p>
  </w:footnote>
  <w:footnote w:id="32">
    <w:p w14:paraId="0BDF1D9C" w14:textId="77777777" w:rsidR="00102352" w:rsidRPr="00712530" w:rsidRDefault="00102352">
      <w:pPr>
        <w:pStyle w:val="FootnoteText"/>
      </w:pPr>
      <w:r>
        <w:rPr>
          <w:rStyle w:val="FootnoteReference"/>
        </w:rPr>
        <w:footnoteRef/>
      </w:r>
      <w:r w:rsidRPr="00712530">
        <w:tab/>
        <w:t>[….].</w:t>
      </w:r>
    </w:p>
  </w:footnote>
  <w:footnote w:id="33">
    <w:p w14:paraId="097FA04C" w14:textId="77777777" w:rsidR="00102352" w:rsidRPr="00712530" w:rsidRDefault="00102352">
      <w:pPr>
        <w:pStyle w:val="FootnoteText"/>
      </w:pPr>
      <w:r>
        <w:rPr>
          <w:rStyle w:val="FootnoteReference"/>
        </w:rPr>
        <w:footnoteRef/>
      </w:r>
      <w:r w:rsidRPr="00712530">
        <w:tab/>
        <w:t>Κανονισμός (ΕΕ)</w:t>
      </w:r>
      <w:r>
        <w:t> </w:t>
      </w:r>
      <w:r w:rsidRPr="00712530">
        <w:t>2018/1727 του Ευρωπαϊκού Κοινοβουλίου και του Συμβουλίου, της 14ης Νοεμβρίου 2018, σχετικά με τον οργανισμό της Ευρωπαϊκής Ένωσης για τη συνεργασία στον τομέα της ποινικής δικαιοσύνης (</w:t>
      </w:r>
      <w:r>
        <w:t>Eurojust</w:t>
      </w:r>
      <w:r w:rsidRPr="00712530">
        <w:t>) και την αντικατάσταση και την κατάργηση της απόφασης</w:t>
      </w:r>
      <w:r>
        <w:t> </w:t>
      </w:r>
      <w:r w:rsidRPr="00712530">
        <w:t xml:space="preserve">2002/187/ΔΕΥ του Συμβουλίου (ΕΕ </w:t>
      </w:r>
      <w:r>
        <w:t>L </w:t>
      </w:r>
      <w:r w:rsidRPr="00712530">
        <w:t>295 της 21.11.2018, σ.</w:t>
      </w:r>
      <w:r>
        <w:t> </w:t>
      </w:r>
      <w:r w:rsidRPr="00712530">
        <w:t>138).</w:t>
      </w:r>
    </w:p>
  </w:footnote>
  <w:footnote w:id="34">
    <w:p w14:paraId="0035470D" w14:textId="77777777" w:rsidR="00102352" w:rsidRPr="00712530" w:rsidRDefault="00102352">
      <w:pPr>
        <w:pStyle w:val="FootnoteText"/>
      </w:pPr>
      <w:r>
        <w:rPr>
          <w:rStyle w:val="FootnoteReference"/>
        </w:rPr>
        <w:footnoteRef/>
      </w:r>
      <w:r w:rsidRPr="00712530">
        <w:tab/>
        <w:t xml:space="preserve">Απόφαση 2005/671/ΔΕΥ του Συμβουλίου, της 20ής Σεπτεμβρίου 2005, σχετικά με την ανταλλαγή πληροφοριών και τη συνεργασία όσον αφορά τα τρομοκρατικά αδικήματα (ΕΕ </w:t>
      </w:r>
      <w:r>
        <w:t>L </w:t>
      </w:r>
      <w:r w:rsidRPr="00712530">
        <w:t>253 της 29.9.2005, σ.</w:t>
      </w:r>
      <w:r>
        <w:t> </w:t>
      </w:r>
      <w:r w:rsidRPr="00712530">
        <w:t>22).</w:t>
      </w:r>
    </w:p>
  </w:footnote>
  <w:footnote w:id="35">
    <w:p w14:paraId="72DFA71D" w14:textId="54FDA639" w:rsidR="00102352" w:rsidRPr="00712530" w:rsidRDefault="00102352">
      <w:pPr>
        <w:pStyle w:val="FootnoteText"/>
      </w:pPr>
      <w:r>
        <w:rPr>
          <w:rStyle w:val="FootnoteReference"/>
        </w:rPr>
        <w:footnoteRef/>
      </w:r>
      <w:r w:rsidRPr="00712530">
        <w:tab/>
        <w:t xml:space="preserve">Οδηγία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t>L </w:t>
      </w:r>
      <w:r w:rsidRPr="00712530">
        <w:t>88 της 31.3.2017, σ.</w:t>
      </w:r>
      <w:r>
        <w:t> </w:t>
      </w:r>
      <w:r w:rsidRPr="00712530">
        <w:t>6).</w:t>
      </w:r>
    </w:p>
  </w:footnote>
  <w:footnote w:id="36">
    <w:p w14:paraId="114825DD" w14:textId="77777777" w:rsidR="00102352" w:rsidRPr="00712530" w:rsidRDefault="00102352">
      <w:pPr>
        <w:pStyle w:val="FootnoteText"/>
      </w:pPr>
      <w:r>
        <w:rPr>
          <w:rStyle w:val="FootnoteReference"/>
        </w:rPr>
        <w:footnoteRef/>
      </w:r>
      <w:r w:rsidRPr="00712530">
        <w:tab/>
        <w:t xml:space="preserve">Απόφαση 2008/976/ΔΕΥ του Συμβουλίου, της 16ης Δεκεμβρίου 2008, σχετικά με το ευρωπαϊκό δικαστικό δίκτυο (ΕΕ </w:t>
      </w:r>
      <w:r>
        <w:t>L </w:t>
      </w:r>
      <w:r w:rsidRPr="00712530">
        <w:t>348 της 24.12.2008, σ.</w:t>
      </w:r>
      <w:r>
        <w:t> </w:t>
      </w:r>
      <w:r w:rsidRPr="00712530">
        <w:t>130).</w:t>
      </w:r>
      <w:r w:rsidRPr="00712530">
        <w:tab/>
      </w:r>
    </w:p>
  </w:footnote>
  <w:footnote w:id="37">
    <w:p w14:paraId="38AA8275" w14:textId="2974978B" w:rsidR="00102352" w:rsidRPr="00712530" w:rsidRDefault="00102352">
      <w:pPr>
        <w:pStyle w:val="FootnoteText"/>
      </w:pPr>
      <w:r>
        <w:rPr>
          <w:rStyle w:val="FootnoteReference"/>
        </w:rPr>
        <w:footnoteRef/>
      </w:r>
      <w:r w:rsidRPr="00712530">
        <w:tab/>
        <w:t>Κανονισμός</w:t>
      </w:r>
      <w:r>
        <w:t> </w:t>
      </w:r>
      <w:r w:rsidRPr="00712530">
        <w:t>(ΕΕ)</w:t>
      </w:r>
      <w:r>
        <w:t> </w:t>
      </w:r>
      <w:r w:rsidRPr="00712530">
        <w:t xml:space="preserve">[.../...] του Ευρωπαϊκού Κοινοβουλίου και του Συμβουλίου για την ψηφιοποίηση της δικαστικής συνεργασίας και την πρόσβαση στη δικαιοσύνη σε αστικές, εμπορικές και ποινικές υποθέσεις (ΕΕ </w:t>
      </w:r>
      <w:r>
        <w:t>L</w:t>
      </w:r>
      <w:r w:rsidRPr="00712530">
        <w:t>...).</w:t>
      </w:r>
    </w:p>
  </w:footnote>
  <w:footnote w:id="38">
    <w:p w14:paraId="3A5C215A" w14:textId="11070E8B" w:rsidR="00102352" w:rsidRPr="00712530" w:rsidRDefault="00102352" w:rsidP="00350ADD">
      <w:pPr>
        <w:pStyle w:val="FootnoteText"/>
      </w:pPr>
      <w:r>
        <w:rPr>
          <w:rStyle w:val="FootnoteReference"/>
        </w:rPr>
        <w:footnoteRef/>
      </w:r>
      <w:r w:rsidRPr="00712530">
        <w:tab/>
        <w:t>Κανονισμός</w:t>
      </w:r>
      <w:r>
        <w:t> </w:t>
      </w:r>
      <w:r w:rsidRPr="00712530">
        <w:t>(ΕΕ)</w:t>
      </w:r>
      <w:r>
        <w:t> </w:t>
      </w:r>
      <w:r w:rsidRPr="00712530">
        <w:t xml:space="preserve">[.../...] του Ευρωπαϊκού Κοινοβουλίου και του Συμβουλίου για την ψηφιοποίηση της δικαστικής συνεργασίας και την πρόσβαση στη δικαιοσύνη σε αστικές, εμπορικές και ποινικές υποθέσεις (ΕΕ </w:t>
      </w:r>
      <w:r>
        <w:t>L</w:t>
      </w:r>
      <w:r w:rsidRPr="00712530">
        <w:t>...).</w:t>
      </w:r>
    </w:p>
  </w:footnote>
  <w:footnote w:id="39">
    <w:p w14:paraId="3332AB2C" w14:textId="6421EC68" w:rsidR="00102352" w:rsidRPr="00712530" w:rsidRDefault="00102352">
      <w:pPr>
        <w:pStyle w:val="FootnoteText"/>
      </w:pPr>
      <w:r>
        <w:rPr>
          <w:rStyle w:val="FootnoteReference"/>
        </w:rPr>
        <w:footnoteRef/>
      </w:r>
      <w:r w:rsidRPr="00712530">
        <w:tab/>
        <w:t xml:space="preserve">Κανονισμός (ΕΕ) αριθ. 182/2011 του Ευρωπαϊκού Κοινοβουλίου και του Συμβουλίου, της 16ης Φεβρουαρίου 2011, για τη θέσπιση κανόνων και γενικών αρχών σχετικά με τους τρόπους ελέγχου από τα κράτη μέλη της άσκησης των εκτελεστικών αρμοδιοτήτων από την Επιτροπή (ΕΕ </w:t>
      </w:r>
      <w:r>
        <w:t>L </w:t>
      </w:r>
      <w:r w:rsidRPr="00712530">
        <w:t>55 της 28.2.2011, σ.</w:t>
      </w:r>
      <w:r>
        <w:t> </w:t>
      </w:r>
      <w:r w:rsidRPr="00712530">
        <w:t>13).</w:t>
      </w:r>
    </w:p>
  </w:footnote>
  <w:footnote w:id="40">
    <w:p w14:paraId="07D6ECC2" w14:textId="7B8C575F" w:rsidR="00102352" w:rsidRPr="00712530" w:rsidRDefault="00102352">
      <w:pPr>
        <w:pStyle w:val="FootnoteText"/>
      </w:pPr>
      <w:r>
        <w:rPr>
          <w:rStyle w:val="FootnoteReference"/>
        </w:rPr>
        <w:footnoteRef/>
      </w:r>
      <w:r w:rsidRPr="00712530">
        <w:tab/>
      </w:r>
      <w:r>
        <w:t>https</w:t>
      </w:r>
      <w:r w:rsidRPr="00712530">
        <w:t>://</w:t>
      </w:r>
      <w:r>
        <w:t>joinup</w:t>
      </w:r>
      <w:r w:rsidRPr="00712530">
        <w:t>.</w:t>
      </w:r>
      <w:r>
        <w:t>ec</w:t>
      </w:r>
      <w:r w:rsidRPr="00712530">
        <w:t>.</w:t>
      </w:r>
      <w:r>
        <w:t>europa</w:t>
      </w:r>
      <w:r w:rsidRPr="00712530">
        <w:t>.</w:t>
      </w:r>
      <w:r>
        <w:t>eu</w:t>
      </w:r>
      <w:r w:rsidRPr="00712530">
        <w:t>/</w:t>
      </w:r>
      <w:r>
        <w:t>collection</w:t>
      </w:r>
      <w:r w:rsidRPr="00712530">
        <w:t>/</w:t>
      </w:r>
      <w:r>
        <w:t>nifo</w:t>
      </w:r>
      <w:r w:rsidRPr="00712530">
        <w:t>-</w:t>
      </w:r>
      <w:r>
        <w:t>national</w:t>
      </w:r>
      <w:r w:rsidRPr="00712530">
        <w:t>-</w:t>
      </w:r>
      <w:r>
        <w:t>interoperability</w:t>
      </w:r>
      <w:r w:rsidRPr="00712530">
        <w:t>-</w:t>
      </w:r>
      <w:r>
        <w:t>framework</w:t>
      </w:r>
      <w:r w:rsidRPr="00712530">
        <w:t>-</w:t>
      </w:r>
      <w:r>
        <w:t>observatory</w:t>
      </w:r>
      <w:r w:rsidRPr="00712530">
        <w:t>/</w:t>
      </w:r>
      <w:r>
        <w:t>european</w:t>
      </w:r>
      <w:r w:rsidRPr="00712530">
        <w:t>-</w:t>
      </w:r>
      <w:r>
        <w:t>interoperability</w:t>
      </w:r>
      <w:r w:rsidRPr="00712530">
        <w:t>-</w:t>
      </w:r>
      <w:r>
        <w:t>framework</w:t>
      </w:r>
      <w:r w:rsidRPr="00712530">
        <w:t>.</w:t>
      </w:r>
    </w:p>
  </w:footnote>
  <w:footnote w:id="41">
    <w:p w14:paraId="54E23D31" w14:textId="77777777" w:rsidR="00102352" w:rsidRPr="00712530" w:rsidRDefault="00102352">
      <w:pPr>
        <w:pStyle w:val="FootnoteText"/>
      </w:pPr>
      <w:r>
        <w:rPr>
          <w:rStyle w:val="FootnoteReference"/>
        </w:rPr>
        <w:footnoteRef/>
      </w:r>
      <w:r w:rsidRPr="00712530">
        <w:tab/>
        <w:t xml:space="preserve">Συμφωνία εμπορίου και συνεργασίας μεταξύ της Ευρωπαϊκής Ένωσης και της Ευρωπαϊκής Κοινότητας Ατομικής Ενέργειας, αφενός, και του Ηνωμένου Βασιλείου της Μεγάλης Βρετανίας και της Βόρειας Ιρλανδίας, αφετέρου (ΕΕ </w:t>
      </w:r>
      <w:r>
        <w:t>L </w:t>
      </w:r>
      <w:r w:rsidRPr="00712530">
        <w:t>149 της 30.4.2021, σ.</w:t>
      </w:r>
      <w:r>
        <w:t> </w:t>
      </w:r>
      <w:r w:rsidRPr="00712530">
        <w:t>10).</w:t>
      </w:r>
    </w:p>
  </w:footnote>
  <w:footnote w:id="42">
    <w:p w14:paraId="065265CF" w14:textId="77777777" w:rsidR="00102352" w:rsidRPr="00712530" w:rsidRDefault="00102352">
      <w:pPr>
        <w:pStyle w:val="FootnoteText"/>
      </w:pPr>
      <w:r>
        <w:rPr>
          <w:rStyle w:val="FootnoteReference"/>
        </w:rPr>
        <w:footnoteRef/>
      </w:r>
      <w:r w:rsidRPr="00712530">
        <w:tab/>
        <w:t>Απόφαση (ΕΕ) 2021/7072 του Συμβουλίου, της 16ης Μαρτίου 2021.</w:t>
      </w:r>
    </w:p>
  </w:footnote>
  <w:footnote w:id="43">
    <w:p w14:paraId="1EE85485" w14:textId="77777777" w:rsidR="00102352" w:rsidRPr="00712530" w:rsidRDefault="00102352">
      <w:pPr>
        <w:pStyle w:val="FootnoteText"/>
      </w:pPr>
      <w:r>
        <w:rPr>
          <w:rStyle w:val="FootnoteReference"/>
        </w:rPr>
        <w:footnoteRef/>
      </w:r>
      <w:r w:rsidRPr="00712530">
        <w:tab/>
        <w:t xml:space="preserve">Απόφαση 2008/976/ΔΕΥ του Συμβουλίου, της 16ης Δεκεμβρίου 2008, σχετικά με το ευρωπαϊκό δικαστικό δίκτυο (ΕΕ </w:t>
      </w:r>
      <w:r>
        <w:t>L </w:t>
      </w:r>
      <w:r w:rsidRPr="00712530">
        <w:t>348 της 24.12.2008, σ.</w:t>
      </w:r>
      <w:r>
        <w:t> </w:t>
      </w:r>
      <w:r w:rsidRPr="00712530">
        <w:t>130).</w:t>
      </w:r>
    </w:p>
  </w:footnote>
  <w:footnote w:id="44">
    <w:p w14:paraId="5E59FC0E" w14:textId="77777777" w:rsidR="00102352" w:rsidRPr="00712530" w:rsidRDefault="00102352" w:rsidP="160710AA">
      <w:pPr>
        <w:pStyle w:val="FootnoteText"/>
        <w:rPr>
          <w:szCs w:val="24"/>
        </w:rPr>
      </w:pPr>
      <w:r>
        <w:rPr>
          <w:rStyle w:val="FootnoteReference"/>
        </w:rPr>
        <w:footnoteRef/>
      </w:r>
      <w:r w:rsidRPr="00712530">
        <w:tab/>
        <w:t>Όπως αναφέρεται στο άρθρο 58 παράγραφος 2 στοιχείο α) ή β) του δημοσιονομικού κανονισμού.</w:t>
      </w:r>
    </w:p>
  </w:footnote>
  <w:footnote w:id="45">
    <w:p w14:paraId="3D2796AD" w14:textId="4B73A0D0" w:rsidR="00102352" w:rsidRPr="00712530" w:rsidRDefault="00102352" w:rsidP="00ED2926">
      <w:pPr>
        <w:pStyle w:val="FootnoteText"/>
      </w:pPr>
      <w:r>
        <w:rPr>
          <w:rStyle w:val="FootnoteReference"/>
        </w:rPr>
        <w:footnoteRef/>
      </w:r>
      <w:r w:rsidRPr="00712530">
        <w:tab/>
        <w:t>Ανακοίνωση της Επιτροπής σχετικά με τη στρατηγική της ΕΕ για την Ένωση Ασφάλειας [</w:t>
      </w:r>
      <w:r>
        <w:t>COM</w:t>
      </w:r>
      <w:r w:rsidRPr="00712530">
        <w:t>(2020)</w:t>
      </w:r>
      <w:r>
        <w:t> </w:t>
      </w:r>
      <w:r w:rsidRPr="00712530">
        <w:t xml:space="preserve">605 </w:t>
      </w:r>
      <w:r>
        <w:t>final</w:t>
      </w:r>
      <w:r w:rsidRPr="00712530">
        <w:t>].</w:t>
      </w:r>
    </w:p>
  </w:footnote>
  <w:footnote w:id="46">
    <w:p w14:paraId="32CC52C6" w14:textId="7EA6A7BE" w:rsidR="00102352" w:rsidRPr="00712530" w:rsidRDefault="00102352" w:rsidP="00ED2926">
      <w:pPr>
        <w:pStyle w:val="FootnoteText"/>
      </w:pPr>
      <w:r>
        <w:rPr>
          <w:rStyle w:val="FootnoteReference"/>
        </w:rPr>
        <w:footnoteRef/>
      </w:r>
      <w:r w:rsidRPr="00712530">
        <w:tab/>
        <w:t>Ανακοίνωση της Επιτροπής σχετικά με το θεματολόγιο της ΕΕ για την καταπολέμηση της τρομοκρατίας [</w:t>
      </w:r>
      <w:r>
        <w:t>COM</w:t>
      </w:r>
      <w:r w:rsidRPr="00712530">
        <w:t>(2020)</w:t>
      </w:r>
      <w:r>
        <w:t> </w:t>
      </w:r>
      <w:r w:rsidRPr="00712530">
        <w:t xml:space="preserve">795 </w:t>
      </w:r>
      <w:r>
        <w:t>final</w:t>
      </w:r>
      <w:r w:rsidRPr="00712530">
        <w:t>].</w:t>
      </w:r>
    </w:p>
  </w:footnote>
  <w:footnote w:id="47">
    <w:p w14:paraId="63904D4B" w14:textId="30C57EE9" w:rsidR="00102352" w:rsidRPr="00712530" w:rsidRDefault="00102352" w:rsidP="00ED2926">
      <w:pPr>
        <w:pStyle w:val="FootnoteText"/>
      </w:pPr>
      <w:r>
        <w:rPr>
          <w:rStyle w:val="FootnoteReference"/>
        </w:rPr>
        <w:footnoteRef/>
      </w:r>
      <w:r w:rsidRPr="00712530">
        <w:tab/>
        <w:t>Ανακοίνωση της Επιτροπής με τίτλο «Η ψηφιοποίηση της δικαιοσύνης στην Ευρωπαϊκή Ένωση – Μια εργαλειοθήκη ευκαιριών» [</w:t>
      </w:r>
      <w:r>
        <w:t>COM</w:t>
      </w:r>
      <w:r w:rsidRPr="00712530">
        <w:t>(2020)</w:t>
      </w:r>
      <w:r>
        <w:t> </w:t>
      </w:r>
      <w:r w:rsidRPr="00712530">
        <w:t xml:space="preserve">710 </w:t>
      </w:r>
      <w:r>
        <w:t>final</w:t>
      </w:r>
      <w:r w:rsidRPr="00712530">
        <w:t xml:space="preserve"> της 2ας Δεκεμβρίου 2020].</w:t>
      </w:r>
    </w:p>
  </w:footnote>
  <w:footnote w:id="48">
    <w:p w14:paraId="31F22E82" w14:textId="2A9C8BC5" w:rsidR="00102352" w:rsidRPr="00712530" w:rsidRDefault="00102352" w:rsidP="00ED2926">
      <w:pPr>
        <w:pStyle w:val="FootnoteText"/>
      </w:pPr>
      <w:r>
        <w:rPr>
          <w:rStyle w:val="FootnoteReference"/>
        </w:rPr>
        <w:footnoteRef/>
      </w:r>
      <w:r w:rsidRPr="00712530">
        <w:tab/>
        <w:t>Ανακοίνωση της Επιτροπής σχετικά με τη στρατηγική της ΕΕ για την αντιμετώπιση του οργανωμένου εγκλήματος 2021-2025 [</w:t>
      </w:r>
      <w:r>
        <w:t>COM</w:t>
      </w:r>
      <w:r w:rsidRPr="00712530">
        <w:t>(2021)</w:t>
      </w:r>
      <w:r>
        <w:t> </w:t>
      </w:r>
      <w:r w:rsidRPr="00712530">
        <w:t xml:space="preserve">170 </w:t>
      </w:r>
      <w:r>
        <w:t>final</w:t>
      </w:r>
      <w:r w:rsidRPr="00712530">
        <w:t>].</w:t>
      </w:r>
    </w:p>
  </w:footnote>
  <w:footnote w:id="49">
    <w:p w14:paraId="32EEF929" w14:textId="77777777" w:rsidR="00102352" w:rsidRPr="00712530" w:rsidRDefault="00102352" w:rsidP="160710AA">
      <w:pPr>
        <w:pStyle w:val="FootnoteText"/>
        <w:jc w:val="left"/>
        <w:rPr>
          <w:szCs w:val="24"/>
        </w:rPr>
      </w:pPr>
      <w:r>
        <w:rPr>
          <w:rStyle w:val="FootnoteReference"/>
        </w:rPr>
        <w:footnoteRef/>
      </w:r>
      <w:r w:rsidRPr="00712530">
        <w:tab/>
        <w:t xml:space="preserve">Οι λεπτομέρειες σχετικά με τους τρόπους διαχείρισης, καθώς και οι παραπομπές στον δημοσιονομικό κανονισμό είναι διαθέσιμες στον ιστότοπο </w:t>
      </w:r>
      <w:r>
        <w:t>BudgWeb</w:t>
      </w:r>
      <w:r w:rsidRPr="00712530">
        <w:t xml:space="preserve">: </w:t>
      </w:r>
      <w:hyperlink r:id="rId5" w:history="1">
        <w:r>
          <w:rPr>
            <w:rStyle w:val="Hyperlink"/>
          </w:rPr>
          <w:t>https</w:t>
        </w:r>
        <w:r w:rsidRPr="00712530">
          <w:rPr>
            <w:rStyle w:val="Hyperlink"/>
          </w:rPr>
          <w:t>://</w:t>
        </w:r>
        <w:r>
          <w:rPr>
            <w:rStyle w:val="Hyperlink"/>
          </w:rPr>
          <w:t>myintracomm</w:t>
        </w:r>
        <w:r w:rsidRPr="00712530">
          <w:rPr>
            <w:rStyle w:val="Hyperlink"/>
          </w:rPr>
          <w:t>.</w:t>
        </w:r>
        <w:r>
          <w:rPr>
            <w:rStyle w:val="Hyperlink"/>
          </w:rPr>
          <w:t>ec</w:t>
        </w:r>
        <w:r w:rsidRPr="00712530">
          <w:rPr>
            <w:rStyle w:val="Hyperlink"/>
          </w:rPr>
          <w:t>.</w:t>
        </w:r>
        <w:r>
          <w:rPr>
            <w:rStyle w:val="Hyperlink"/>
          </w:rPr>
          <w:t>europa</w:t>
        </w:r>
        <w:r w:rsidRPr="00712530">
          <w:rPr>
            <w:rStyle w:val="Hyperlink"/>
          </w:rPr>
          <w:t>.</w:t>
        </w:r>
        <w:r>
          <w:rPr>
            <w:rStyle w:val="Hyperlink"/>
          </w:rPr>
          <w:t>eu</w:t>
        </w:r>
        <w:r w:rsidRPr="00712530">
          <w:rPr>
            <w:rStyle w:val="Hyperlink"/>
          </w:rPr>
          <w:t>/</w:t>
        </w:r>
        <w:r>
          <w:rPr>
            <w:rStyle w:val="Hyperlink"/>
          </w:rPr>
          <w:t>budgweb</w:t>
        </w:r>
        <w:r w:rsidRPr="00712530">
          <w:rPr>
            <w:rStyle w:val="Hyperlink"/>
          </w:rPr>
          <w:t>/</w:t>
        </w:r>
        <w:r>
          <w:rPr>
            <w:rStyle w:val="Hyperlink"/>
          </w:rPr>
          <w:t>EN</w:t>
        </w:r>
        <w:r w:rsidRPr="00712530">
          <w:rPr>
            <w:rStyle w:val="Hyperlink"/>
          </w:rPr>
          <w:t>/</w:t>
        </w:r>
        <w:r>
          <w:rPr>
            <w:rStyle w:val="Hyperlink"/>
          </w:rPr>
          <w:t>man</w:t>
        </w:r>
        <w:r w:rsidRPr="00712530">
          <w:rPr>
            <w:rStyle w:val="Hyperlink"/>
          </w:rPr>
          <w:t>/</w:t>
        </w:r>
        <w:r>
          <w:rPr>
            <w:rStyle w:val="Hyperlink"/>
          </w:rPr>
          <w:t>budgmanag</w:t>
        </w:r>
        <w:r w:rsidRPr="00712530">
          <w:rPr>
            <w:rStyle w:val="Hyperlink"/>
          </w:rPr>
          <w:t>/</w:t>
        </w:r>
        <w:r>
          <w:rPr>
            <w:rStyle w:val="Hyperlink"/>
          </w:rPr>
          <w:t>Pages</w:t>
        </w:r>
        <w:r w:rsidRPr="00712530">
          <w:rPr>
            <w:rStyle w:val="Hyperlink"/>
          </w:rPr>
          <w:t>/</w:t>
        </w:r>
        <w:r>
          <w:rPr>
            <w:rStyle w:val="Hyperlink"/>
          </w:rPr>
          <w:t>budgmanag</w:t>
        </w:r>
        <w:r w:rsidRPr="00712530">
          <w:rPr>
            <w:rStyle w:val="Hyperlink"/>
          </w:rPr>
          <w:t>.</w:t>
        </w:r>
        <w:r>
          <w:rPr>
            <w:rStyle w:val="Hyperlink"/>
          </w:rPr>
          <w:t>aspx</w:t>
        </w:r>
      </w:hyperlink>
      <w:r w:rsidRPr="00712530">
        <w:t xml:space="preserve"> </w:t>
      </w:r>
    </w:p>
  </w:footnote>
  <w:footnote w:id="50">
    <w:p w14:paraId="14D95BC2" w14:textId="7AF5E912" w:rsidR="00102352" w:rsidRPr="00712530" w:rsidRDefault="00102352" w:rsidP="004D3101">
      <w:pPr>
        <w:pStyle w:val="FootnoteText"/>
      </w:pPr>
      <w:r>
        <w:rPr>
          <w:rStyle w:val="FootnoteReference"/>
        </w:rPr>
        <w:footnoteRef/>
      </w:r>
      <w:r w:rsidRPr="00712530">
        <w:tab/>
        <w:t xml:space="preserve">Κανονισμός (ΕΕ) 2017/1727. </w:t>
      </w:r>
    </w:p>
  </w:footnote>
  <w:footnote w:id="51">
    <w:p w14:paraId="71A1EE5A" w14:textId="46FB44EF" w:rsidR="00102352" w:rsidRPr="00712530" w:rsidRDefault="00102352" w:rsidP="004D3101">
      <w:pPr>
        <w:pStyle w:val="FootnoteText"/>
      </w:pPr>
      <w:r>
        <w:rPr>
          <w:rStyle w:val="FootnoteReference"/>
        </w:rPr>
        <w:footnoteRef/>
      </w:r>
      <w:r w:rsidRPr="00712530">
        <w:tab/>
      </w:r>
      <w:hyperlink r:id="rId6" w:history="1">
        <w:r>
          <w:rPr>
            <w:rStyle w:val="Hyperlink"/>
          </w:rPr>
          <w:t>https</w:t>
        </w:r>
        <w:r w:rsidRPr="00712530">
          <w:rPr>
            <w:rStyle w:val="Hyperlink"/>
          </w:rPr>
          <w:t>://</w:t>
        </w:r>
        <w:r>
          <w:rPr>
            <w:rStyle w:val="Hyperlink"/>
          </w:rPr>
          <w:t>europa</w:t>
        </w:r>
        <w:r w:rsidRPr="00712530">
          <w:rPr>
            <w:rStyle w:val="Hyperlink"/>
          </w:rPr>
          <w:t>.</w:t>
        </w:r>
        <w:r>
          <w:rPr>
            <w:rStyle w:val="Hyperlink"/>
          </w:rPr>
          <w:t>eu</w:t>
        </w:r>
        <w:r w:rsidRPr="00712530">
          <w:rPr>
            <w:rStyle w:val="Hyperlink"/>
          </w:rPr>
          <w:t>/</w:t>
        </w:r>
        <w:r>
          <w:rPr>
            <w:rStyle w:val="Hyperlink"/>
          </w:rPr>
          <w:t>european</w:t>
        </w:r>
        <w:r w:rsidRPr="00712530">
          <w:rPr>
            <w:rStyle w:val="Hyperlink"/>
          </w:rPr>
          <w:t>-</w:t>
        </w:r>
        <w:r>
          <w:rPr>
            <w:rStyle w:val="Hyperlink"/>
          </w:rPr>
          <w:t>union</w:t>
        </w:r>
        <w:r w:rsidRPr="00712530">
          <w:rPr>
            <w:rStyle w:val="Hyperlink"/>
          </w:rPr>
          <w:t>/</w:t>
        </w:r>
        <w:r>
          <w:rPr>
            <w:rStyle w:val="Hyperlink"/>
          </w:rPr>
          <w:t>sites</w:t>
        </w:r>
        <w:r w:rsidRPr="00712530">
          <w:rPr>
            <w:rStyle w:val="Hyperlink"/>
          </w:rPr>
          <w:t>/</w:t>
        </w:r>
        <w:r>
          <w:rPr>
            <w:rStyle w:val="Hyperlink"/>
          </w:rPr>
          <w:t>default</w:t>
        </w:r>
        <w:r w:rsidRPr="00712530">
          <w:rPr>
            <w:rStyle w:val="Hyperlink"/>
          </w:rPr>
          <w:t>/</w:t>
        </w:r>
        <w:r>
          <w:rPr>
            <w:rStyle w:val="Hyperlink"/>
          </w:rPr>
          <w:t>files</w:t>
        </w:r>
        <w:r w:rsidRPr="00712530">
          <w:rPr>
            <w:rStyle w:val="Hyperlink"/>
          </w:rPr>
          <w:t>/</w:t>
        </w:r>
        <w:r>
          <w:rPr>
            <w:rStyle w:val="Hyperlink"/>
          </w:rPr>
          <w:t>docs</w:t>
        </w:r>
        <w:r w:rsidRPr="00712530">
          <w:rPr>
            <w:rStyle w:val="Hyperlink"/>
          </w:rPr>
          <w:t>/</w:t>
        </w:r>
        <w:r>
          <w:rPr>
            <w:rStyle w:val="Hyperlink"/>
          </w:rPr>
          <w:t>body</w:t>
        </w:r>
        <w:r w:rsidRPr="00712530">
          <w:rPr>
            <w:rStyle w:val="Hyperlink"/>
          </w:rPr>
          <w:t>/</w:t>
        </w:r>
        <w:r>
          <w:rPr>
            <w:rStyle w:val="Hyperlink"/>
          </w:rPr>
          <w:t>joint</w:t>
        </w:r>
        <w:r w:rsidRPr="00712530">
          <w:rPr>
            <w:rStyle w:val="Hyperlink"/>
          </w:rPr>
          <w:t>_</w:t>
        </w:r>
        <w:r>
          <w:rPr>
            <w:rStyle w:val="Hyperlink"/>
          </w:rPr>
          <w:t>statement</w:t>
        </w:r>
        <w:r w:rsidRPr="00712530">
          <w:rPr>
            <w:rStyle w:val="Hyperlink"/>
          </w:rPr>
          <w:t>_</w:t>
        </w:r>
        <w:r>
          <w:rPr>
            <w:rStyle w:val="Hyperlink"/>
          </w:rPr>
          <w:t>and</w:t>
        </w:r>
        <w:r w:rsidRPr="00712530">
          <w:rPr>
            <w:rStyle w:val="Hyperlink"/>
          </w:rPr>
          <w:t>_</w:t>
        </w:r>
        <w:r>
          <w:rPr>
            <w:rStyle w:val="Hyperlink"/>
          </w:rPr>
          <w:t>common</w:t>
        </w:r>
        <w:r w:rsidRPr="00712530">
          <w:rPr>
            <w:rStyle w:val="Hyperlink"/>
          </w:rPr>
          <w:t>_</w:t>
        </w:r>
        <w:r>
          <w:rPr>
            <w:rStyle w:val="Hyperlink"/>
          </w:rPr>
          <w:t>approach</w:t>
        </w:r>
        <w:r w:rsidRPr="00712530">
          <w:rPr>
            <w:rStyle w:val="Hyperlink"/>
          </w:rPr>
          <w:t>_2012_</w:t>
        </w:r>
        <w:r>
          <w:rPr>
            <w:rStyle w:val="Hyperlink"/>
          </w:rPr>
          <w:t>el</w:t>
        </w:r>
        <w:r w:rsidRPr="00712530">
          <w:rPr>
            <w:rStyle w:val="Hyperlink"/>
          </w:rPr>
          <w:t>.</w:t>
        </w:r>
        <w:r>
          <w:rPr>
            <w:rStyle w:val="Hyperlink"/>
          </w:rPr>
          <w:t>pdf</w:t>
        </w:r>
      </w:hyperlink>
      <w:r w:rsidRPr="00712530">
        <w:t xml:space="preserve"> </w:t>
      </w:r>
    </w:p>
  </w:footnote>
  <w:footnote w:id="52">
    <w:p w14:paraId="6C41DA78" w14:textId="77777777" w:rsidR="00102352" w:rsidRPr="00712530" w:rsidRDefault="00102352" w:rsidP="160710AA">
      <w:pPr>
        <w:pStyle w:val="FootnoteText"/>
        <w:rPr>
          <w:szCs w:val="24"/>
        </w:rPr>
      </w:pPr>
      <w:r>
        <w:rPr>
          <w:rStyle w:val="FootnoteReference"/>
        </w:rPr>
        <w:footnoteRef/>
      </w:r>
      <w:r w:rsidRPr="00712530">
        <w:tab/>
        <w:t>ΔΠ = Διαχωριζόμενες πιστώσεις / ΜΔΠ = Μη διαχωριζόμενες πιστώσεις.</w:t>
      </w:r>
    </w:p>
  </w:footnote>
  <w:footnote w:id="53">
    <w:p w14:paraId="35671D76" w14:textId="77777777" w:rsidR="00102352" w:rsidRPr="00712530" w:rsidRDefault="00102352" w:rsidP="160710AA">
      <w:pPr>
        <w:pStyle w:val="FootnoteText"/>
        <w:rPr>
          <w:szCs w:val="24"/>
        </w:rPr>
      </w:pPr>
      <w:r>
        <w:rPr>
          <w:rStyle w:val="FootnoteReference"/>
        </w:rPr>
        <w:footnoteRef/>
      </w:r>
      <w:r w:rsidRPr="00712530">
        <w:tab/>
        <w:t xml:space="preserve">ΕΖΕΣ: Ευρωπαϊκή Ζώνη Ελεύθερων Συναλλαγών. </w:t>
      </w:r>
    </w:p>
  </w:footnote>
  <w:footnote w:id="54">
    <w:p w14:paraId="4FE2190C" w14:textId="77777777" w:rsidR="00102352" w:rsidRPr="00712530" w:rsidRDefault="00102352" w:rsidP="160710AA">
      <w:pPr>
        <w:pStyle w:val="FootnoteText"/>
        <w:rPr>
          <w:szCs w:val="24"/>
        </w:rPr>
      </w:pPr>
      <w:r>
        <w:rPr>
          <w:rStyle w:val="FootnoteReference"/>
        </w:rPr>
        <w:footnoteRef/>
      </w:r>
      <w:r w:rsidRPr="00712530">
        <w:tab/>
        <w:t>Υποψήφιες χώρες και, κατά περίπτωση, δυνάμει υποψήφια μέλη των Δυτικών Βαλκανίων.</w:t>
      </w:r>
    </w:p>
  </w:footnote>
  <w:footnote w:id="55">
    <w:p w14:paraId="2FE7D1C1" w14:textId="2EABE480" w:rsidR="00102352" w:rsidRPr="00712530" w:rsidRDefault="00102352" w:rsidP="000217AE">
      <w:pPr>
        <w:pStyle w:val="FootnoteText"/>
      </w:pPr>
      <w:r>
        <w:rPr>
          <w:rStyle w:val="FootnoteReference"/>
        </w:rPr>
        <w:footnoteRef/>
      </w:r>
      <w:r w:rsidRPr="00712530">
        <w:tab/>
        <w:t>Οι τεχνικές δαπάνες του τίτλου 3 περιλαμβάνουν τις δαπάνες λειτουργίας και συντήρησης, δεδομένου ότι όλες οι δαπάνες που σχετίζονται με το σύστημα διαχείρισης υποθέσεων αναλαμβάνονται επί του παρόντος βάσει του τίτλου 3.</w:t>
      </w:r>
    </w:p>
  </w:footnote>
  <w:footnote w:id="56">
    <w:p w14:paraId="6B669E45" w14:textId="77777777" w:rsidR="00102352" w:rsidRPr="00712530" w:rsidRDefault="00102352" w:rsidP="160710AA">
      <w:pPr>
        <w:pStyle w:val="FootnoteText"/>
        <w:rPr>
          <w:szCs w:val="24"/>
        </w:rPr>
      </w:pPr>
      <w:r>
        <w:rPr>
          <w:rStyle w:val="FootnoteReference"/>
        </w:rPr>
        <w:footnoteRef/>
      </w:r>
      <w:r w:rsidRPr="00712530">
        <w:tab/>
        <w:t xml:space="preserve">Το έτος </w:t>
      </w:r>
      <w:r>
        <w:t>N</w:t>
      </w:r>
      <w:r w:rsidRPr="00712530">
        <w:t xml:space="preserve"> είναι το έτος έναρξης εφαρμογής της πρότασης/πρωτοβουλίας.</w:t>
      </w:r>
      <w:r w:rsidRPr="00712530">
        <w:rPr>
          <w:sz w:val="18"/>
          <w:szCs w:val="18"/>
        </w:rPr>
        <w:t xml:space="preserve"> Να αντικατασταθεί το «</w:t>
      </w:r>
      <w:r>
        <w:rPr>
          <w:sz w:val="18"/>
          <w:szCs w:val="18"/>
        </w:rPr>
        <w:t>N</w:t>
      </w:r>
      <w:r w:rsidRPr="00712530">
        <w:rPr>
          <w:sz w:val="18"/>
          <w:szCs w:val="18"/>
        </w:rPr>
        <w:t>» με το αναμενόμενο πρώτο έτος εφαρμογής (για παράδειγμα: 2021). Το ίδιο και για τα επόμενα έτη.</w:t>
      </w:r>
    </w:p>
  </w:footnote>
  <w:footnote w:id="57">
    <w:p w14:paraId="5AD2B001" w14:textId="77777777" w:rsidR="00102352" w:rsidRPr="00712530" w:rsidRDefault="00102352" w:rsidP="160710AA">
      <w:pPr>
        <w:pStyle w:val="FootnoteText"/>
        <w:rPr>
          <w:szCs w:val="24"/>
        </w:rPr>
      </w:pPr>
      <w:r>
        <w:rPr>
          <w:rStyle w:val="FootnoteReference"/>
        </w:rPr>
        <w:footnoteRef/>
      </w:r>
      <w:r w:rsidRPr="00712530">
        <w:tab/>
        <w:t>Τα αποτελέσματα είναι τα προϊόντα και οι υπηρεσίες που θα παρασχεθούν (π.χ.: αριθμός ανταλλαγών φοιτητών που θα χρηματοδοτηθούν, αριθμός χλμ. οδών που θα κατασκευαστούν κ.λπ.).</w:t>
      </w:r>
    </w:p>
  </w:footnote>
  <w:footnote w:id="58">
    <w:p w14:paraId="5FB708C7" w14:textId="70C1292B" w:rsidR="00102352" w:rsidRPr="00712530" w:rsidRDefault="00102352" w:rsidP="160710AA">
      <w:pPr>
        <w:pStyle w:val="FootnoteText"/>
        <w:rPr>
          <w:szCs w:val="24"/>
        </w:rPr>
      </w:pPr>
      <w:r>
        <w:rPr>
          <w:rStyle w:val="FootnoteReference"/>
        </w:rPr>
        <w:footnoteRef/>
      </w:r>
      <w:r w:rsidRPr="00712530">
        <w:tab/>
        <w:t>Όπως περιγράφεται στο σημείο 1.4.2. «Ειδικοί στόχοι …»</w:t>
      </w:r>
    </w:p>
  </w:footnote>
  <w:footnote w:id="59">
    <w:p w14:paraId="0BD8A226" w14:textId="5AE13932" w:rsidR="00102352" w:rsidRPr="00712530" w:rsidRDefault="00102352" w:rsidP="00906BEE">
      <w:pPr>
        <w:pStyle w:val="FootnoteText"/>
      </w:pPr>
      <w:r>
        <w:rPr>
          <w:rStyle w:val="FootnoteReference"/>
        </w:rPr>
        <w:footnoteRef/>
      </w:r>
      <w:r w:rsidRPr="00712530">
        <w:tab/>
        <w:t>Οι εκτιμήσεις δαπανών για το προσωπικό είναι σωρευτικές και πραγματοποιήθηκαν με βάση το μέσο κόστος για τους έκτακτους και τους συμβασιούχους υπαλλήλους, με τιμαριθμική αναπροσαρμογή βάσει του διορθωτικού συντελεστή για τις Κάτω Χώρες όπως ισχύει από τον Ιούλιο του 2020 (113,9</w:t>
      </w:r>
      <w:r>
        <w:t> </w:t>
      </w:r>
      <w:r w:rsidRPr="00712530">
        <w:t>%).</w:t>
      </w:r>
    </w:p>
  </w:footnote>
  <w:footnote w:id="60">
    <w:p w14:paraId="10D135D8" w14:textId="2C877D0B" w:rsidR="00102352" w:rsidRPr="00712530" w:rsidRDefault="00102352" w:rsidP="00906BEE">
      <w:pPr>
        <w:pStyle w:val="FootnoteText"/>
      </w:pPr>
      <w:r>
        <w:rPr>
          <w:rStyle w:val="FootnoteReference"/>
        </w:rPr>
        <w:footnoteRef/>
      </w:r>
      <w:r w:rsidRPr="00712530">
        <w:tab/>
        <w:t>Σωρευτικές. Ο αριθμός που αναφέρεται για κάθε έτος είναι ο αριθμός των παλαιών υπαλλήλων από το προηγούμενο έτος ή τα προηγούμενα έτη και των νεοπροσληφθέντων υπαλλήλων. Ο συνολικός αριθμός νέων υπαλλήλων (25) θα επιτευχθεί το 2027.</w:t>
      </w:r>
    </w:p>
  </w:footnote>
  <w:footnote w:id="61">
    <w:p w14:paraId="450B4F20" w14:textId="77777777" w:rsidR="00102352" w:rsidRPr="00712530" w:rsidRDefault="00102352" w:rsidP="160710AA">
      <w:pPr>
        <w:pStyle w:val="FootnoteText"/>
        <w:rPr>
          <w:szCs w:val="24"/>
        </w:rPr>
      </w:pPr>
      <w:r>
        <w:rPr>
          <w:rStyle w:val="FootnoteReference"/>
        </w:rPr>
        <w:footnoteRef/>
      </w:r>
      <w:r w:rsidRPr="00712530">
        <w:tab/>
      </w:r>
      <w:r>
        <w:t>AC</w:t>
      </w:r>
      <w:r w:rsidRPr="00712530">
        <w:t xml:space="preserve"> = Συμβασιούχος υπάλληλος· </w:t>
      </w:r>
      <w:r>
        <w:t>AL</w:t>
      </w:r>
      <w:r w:rsidRPr="00712530">
        <w:t xml:space="preserve"> = Τοπικός υπάλληλος· </w:t>
      </w:r>
      <w:r>
        <w:t>END</w:t>
      </w:r>
      <w:r w:rsidRPr="00712530">
        <w:t xml:space="preserve"> = Αποσπασμένος εθνικός εμπειρογνώμονας· </w:t>
      </w:r>
      <w:r>
        <w:t>INT</w:t>
      </w:r>
      <w:r w:rsidRPr="00712530">
        <w:t xml:space="preserve"> = Προσωρινό προσωπικό· </w:t>
      </w:r>
      <w:r>
        <w:t>JPD</w:t>
      </w:r>
      <w:r w:rsidRPr="00712530">
        <w:t xml:space="preserve"> =</w:t>
      </w:r>
      <w:r>
        <w:t> </w:t>
      </w:r>
      <w:r w:rsidRPr="00712530">
        <w:t xml:space="preserve">Νέος επαγγελματίας σε αντιπροσωπεία της ΕΕ. </w:t>
      </w:r>
    </w:p>
  </w:footnote>
  <w:footnote w:id="62">
    <w:p w14:paraId="5DE7462E" w14:textId="77777777" w:rsidR="00102352" w:rsidRPr="00712530" w:rsidRDefault="00102352" w:rsidP="160710AA">
      <w:pPr>
        <w:pStyle w:val="FootnoteText"/>
        <w:rPr>
          <w:szCs w:val="24"/>
        </w:rPr>
      </w:pPr>
      <w:r>
        <w:rPr>
          <w:rStyle w:val="FootnoteReference"/>
        </w:rPr>
        <w:footnoteRef/>
      </w:r>
      <w:r w:rsidRPr="00712530">
        <w:tab/>
        <w:t>Επιμέρους ανώτατο όριο εξωτερικού προσωπικού που καλύπτεται από επιχειρησιακές πιστώσεις (πρώην γραμμές «</w:t>
      </w:r>
      <w:r>
        <w:t>BA</w:t>
      </w:r>
      <w:r w:rsidRPr="00712530">
        <w:t>»).</w:t>
      </w:r>
    </w:p>
  </w:footnote>
  <w:footnote w:id="63">
    <w:p w14:paraId="0C7C3E76" w14:textId="77777777" w:rsidR="00102352" w:rsidRPr="00712530" w:rsidRDefault="00102352" w:rsidP="00D42205">
      <w:pPr>
        <w:pStyle w:val="FootnoteText"/>
      </w:pPr>
      <w:r>
        <w:rPr>
          <w:rStyle w:val="FootnoteReference"/>
        </w:rPr>
        <w:footnoteRef/>
      </w:r>
      <w:r w:rsidRPr="00712530">
        <w:tab/>
        <w:t xml:space="preserve">Κυρίως για τα ταμεία πολιτικής συνοχής της ΕΕ, το Ευρωπαϊκό Γεωργικό Ταμείο Αγροτικής Ανάπτυξης (ΕΓΤΑΑ) και το Ευρωπαϊκό Ταμείο Θάλασσας, Αλιείας και Υδατοκαλλιέργειας (ΕΤΘΑΥ).  </w:t>
      </w:r>
    </w:p>
    <w:p w14:paraId="1574EFFD" w14:textId="77777777" w:rsidR="00102352" w:rsidRPr="00712530" w:rsidRDefault="00102352" w:rsidP="00D42205">
      <w:pPr>
        <w:pStyle w:val="FootnoteText"/>
        <w:rPr>
          <w:szCs w:val="24"/>
        </w:rPr>
      </w:pPr>
    </w:p>
  </w:footnote>
  <w:footnote w:id="64">
    <w:p w14:paraId="7FDE22D0" w14:textId="77777777" w:rsidR="00102352" w:rsidRPr="00712530" w:rsidRDefault="00102352" w:rsidP="160710AA">
      <w:pPr>
        <w:pStyle w:val="FootnoteText"/>
        <w:rPr>
          <w:szCs w:val="24"/>
        </w:rPr>
      </w:pPr>
      <w:r>
        <w:rPr>
          <w:rStyle w:val="FootnoteReference"/>
        </w:rPr>
        <w:footnoteRef/>
      </w:r>
      <w:r w:rsidRPr="00712530">
        <w:tab/>
        <w:t>Όσον αφορά τους παραδοσιακούς ιδίους πόρους (δασμούς, εισφορές ζάχαρης), τα αναγραφόμενα ποσά πρέπει να είναι καθαρά ποσά, δηλ. τα ακαθάριστα ποσά μετά την αφαίρεση του 20</w:t>
      </w:r>
      <w:r>
        <w:t> </w:t>
      </w:r>
      <w:r w:rsidRPr="00712530">
        <w:t>% για έξοδα είσπραξης.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F971B" w14:textId="77777777" w:rsidR="00C51A3C" w:rsidRPr="00C51A3C" w:rsidRDefault="00C51A3C" w:rsidP="00C51A3C">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E2051" w14:textId="77777777" w:rsidR="00C51A3C" w:rsidRPr="00C51A3C" w:rsidRDefault="00C51A3C" w:rsidP="00C51A3C">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25FA5" w14:textId="77777777" w:rsidR="00102352" w:rsidRPr="005E020D" w:rsidRDefault="00102352" w:rsidP="00C51A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A1927" w14:textId="77777777" w:rsidR="00C51A3C" w:rsidRPr="00C51A3C" w:rsidRDefault="00C51A3C" w:rsidP="00C51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F88F70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EBA443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1FCD0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C514451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620B5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96D6C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A3C7DF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994FCA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9"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5"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15:restartNumberingAfterBreak="0">
    <w:nsid w:val="4D0C058A"/>
    <w:multiLevelType w:val="singleLevel"/>
    <w:tmpl w:val="BAE8D90E"/>
    <w:lvl w:ilvl="0">
      <w:start w:val="1"/>
      <w:numFmt w:val="bullet"/>
      <w:lvlText w:val="–"/>
      <w:lvlJc w:val="left"/>
      <w:pPr>
        <w:tabs>
          <w:tab w:val="num" w:pos="1134"/>
        </w:tabs>
        <w:ind w:left="1134" w:hanging="283"/>
      </w:pPr>
      <w:rPr>
        <w:rFonts w:ascii="Times New Roman" w:hAnsi="Times New Roman"/>
      </w:rPr>
    </w:lvl>
  </w:abstractNum>
  <w:abstractNum w:abstractNumId="2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2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7" w15:restartNumberingAfterBreak="0">
    <w:nsid w:val="62A8042C"/>
    <w:multiLevelType w:val="singleLevel"/>
    <w:tmpl w:val="CCF20C06"/>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8"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num>
  <w:num w:numId="17">
    <w:abstractNumId w:val="16"/>
    <w:lvlOverride w:ilvl="0">
      <w:startOverride w:val="1"/>
    </w:lvlOverride>
  </w:num>
  <w:num w:numId="18">
    <w:abstractNumId w:val="30"/>
  </w:num>
  <w:num w:numId="19">
    <w:abstractNumId w:val="27"/>
  </w:num>
  <w:num w:numId="20">
    <w:abstractNumId w:val="22"/>
  </w:num>
  <w:num w:numId="21">
    <w:abstractNumId w:val="14"/>
  </w:num>
  <w:num w:numId="22">
    <w:abstractNumId w:val="8"/>
  </w:num>
  <w:num w:numId="23">
    <w:abstractNumId w:val="15"/>
  </w:num>
  <w:num w:numId="24">
    <w:abstractNumId w:val="9"/>
  </w:num>
  <w:num w:numId="25">
    <w:abstractNumId w:val="26"/>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num>
  <w:num w:numId="28">
    <w:abstractNumId w:val="20"/>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6"/>
  </w:num>
  <w:num w:numId="33">
    <w:abstractNumId w:val="29"/>
  </w:num>
  <w:num w:numId="34">
    <w:abstractNumId w:val="13"/>
  </w:num>
  <w:num w:numId="35">
    <w:abstractNumId w:val="17"/>
  </w:num>
  <w:num w:numId="36">
    <w:abstractNumId w:val="11"/>
  </w:num>
  <w:num w:numId="37">
    <w:abstractNumId w:val="28"/>
  </w:num>
  <w:num w:numId="38">
    <w:abstractNumId w:val="10"/>
  </w:num>
  <w:num w:numId="39">
    <w:abstractNumId w:val="19"/>
  </w:num>
  <w:num w:numId="40">
    <w:abstractNumId w:val="23"/>
  </w:num>
  <w:num w:numId="41">
    <w:abstractNumId w:val="24"/>
  </w:num>
  <w:num w:numId="42">
    <w:abstractNumId w:val="12"/>
  </w:num>
  <w:num w:numId="43">
    <w:abstractNumId w:val="21"/>
  </w:num>
  <w:num w:numId="44">
    <w:abstractNumId w:val="31"/>
  </w:num>
  <w:num w:numId="45">
    <w:abstractNumId w:val="28"/>
  </w:num>
  <w:num w:numId="46">
    <w:abstractNumId w:val="28"/>
  </w:num>
  <w:num w:numId="47">
    <w:abstractNumId w:val="28"/>
  </w:num>
  <w:num w:numId="48">
    <w:abstractNumId w:val="18"/>
  </w:num>
  <w:num w:numId="49">
    <w:abstractNumId w:val="11"/>
  </w:num>
  <w:num w:numId="50">
    <w:abstractNumId w:val="11"/>
  </w:num>
  <w:num w:numId="51">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pt-PT" w:vendorID="64" w:dllVersion="131078" w:nlCheck="1" w:checkStyle="0"/>
  <w:attachedTemplate r:id="rId1"/>
  <w:revisionView w:markup="0"/>
  <w:defaultTabStop w:val="720"/>
  <w:hyphenationZone w:val="425"/>
  <w:characterSpacingControl w:val="doNotCompress"/>
  <w:hdrShapeDefaults>
    <o:shapedefaults v:ext="edit" spidmax="1597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1-07 11:50:53"/>
    <w:docVar w:name="DQCResult_Distribution" w:val="0;2"/>
    <w:docVar w:name="DQCResult_DocumentContent" w:val="0;0"/>
    <w:docVar w:name="DQCResult_DocumentSize" w:val="0;0"/>
    <w:docVar w:name="DQCResult_DocumentVersions" w:val="0;0"/>
    <w:docVar w:name="DQCResult_InvalidFootnotes" w:val="0;0"/>
    <w:docVar w:name="DQCResult_LinkedStyles" w:val="0;0"/>
    <w:docVar w:name="DQCResult_ModifiedMargins" w:val="0;19"/>
    <w:docVar w:name="DQCResult_ModifiedMarkers" w:val="0;0"/>
    <w:docVar w:name="DQCResult_ModifiedNumbering" w:val="0;0"/>
    <w:docVar w:name="DQCResult_Objects" w:val="0;0"/>
    <w:docVar w:name="DQCResult_Sections" w:val="0;0"/>
    <w:docVar w:name="DQCResult_StructureCheck" w:val="0;0"/>
    <w:docVar w:name="DQCResult_SuperfluousWhitespace" w:val="0;3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D129A15-13AC-4577-8D67-7CA7EF3E37F7"/>
    <w:docVar w:name="LW_COVERPAGE_TYPE" w:val="1"/>
    <w:docVar w:name="LW_CROSSREFERENCE" w:val="{SWD(2021) 391 final}"/>
    <w:docVar w:name="LW_DocType" w:val="COM"/>
    <w:docVar w:name="LW_EMISSION" w:val="1.12.2021"/>
    <w:docVar w:name="LW_EMISSION_ISODATE" w:val="2021-12-01"/>
    <w:docVar w:name="LW_EMISSION_LOCATION" w:val="BRX"/>
    <w:docVar w:name="LW_EMISSION_PREFIX" w:val="\u914?\u961?\u965?\u958?\u941?\u955?\u955?\u949?\u962?,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COD"/>
    <w:docVar w:name="LW_REF.II.NEW.CP_NUMBER" w:val="0393"/>
    <w:docVar w:name="LW_REF.II.NEW.CP_YEAR" w:val="2021"/>
    <w:docVar w:name="LW_REF.INST.NEW" w:val="COM"/>
    <w:docVar w:name="LW_REF.INST.NEW_ADOPTED" w:val="final"/>
    <w:docVar w:name="LW_REF.INST.NEW_TEXT" w:val="(2021) 7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Πρόταση"/>
    <w:docVar w:name="LW_SUPERTITRE" w:val="&lt;UNUSED&gt;"/>
    <w:docVar w:name="LW_TITRE.OBJ.CP" w:val="για την τροποποίηση του κανονισμού (ΕΕ) 2018/1727 του Ευρωπαϊκού Κοινοβουλίου και του Συμβουλίου και της απόφασης 2005/671/ΔΕΥ του Συμβουλίου όσον αφορά την ψηφιακή ανταλλαγή πληροφοριών σε υποθέσεις τρομοκρατίας"/>
    <w:docVar w:name="LW_TYPE.DOC.CP" w:val="ΚΑΝΟΝΙΣΜΟΣ ΤΟΥ ΕΥΡΩΠΑΪΚΟΥ ΚΟΙΝΟΒΟΥΛΙΟΥ ΚΑΙ ΤΟΥ ΣΥΜΒΟΥΛΙΟΥ"/>
    <w:docVar w:name="LwApiVersions" w:val="LW4CoDe 1.23.2.0; LW 8.0, Build 20211117"/>
  </w:docVars>
  <w:rsids>
    <w:rsidRoot w:val="00EB0A3C"/>
    <w:rsid w:val="00000EE2"/>
    <w:rsid w:val="00001EF1"/>
    <w:rsid w:val="0000298A"/>
    <w:rsid w:val="00003299"/>
    <w:rsid w:val="00003559"/>
    <w:rsid w:val="00004792"/>
    <w:rsid w:val="00013007"/>
    <w:rsid w:val="00014070"/>
    <w:rsid w:val="0001418E"/>
    <w:rsid w:val="00014D6B"/>
    <w:rsid w:val="00014D79"/>
    <w:rsid w:val="00015835"/>
    <w:rsid w:val="000217AE"/>
    <w:rsid w:val="00033A53"/>
    <w:rsid w:val="00034149"/>
    <w:rsid w:val="0003748B"/>
    <w:rsid w:val="00040C7C"/>
    <w:rsid w:val="00041D98"/>
    <w:rsid w:val="00044802"/>
    <w:rsid w:val="000449CC"/>
    <w:rsid w:val="00045161"/>
    <w:rsid w:val="00047DFD"/>
    <w:rsid w:val="00050ADC"/>
    <w:rsid w:val="00054CE5"/>
    <w:rsid w:val="00055D75"/>
    <w:rsid w:val="000723BB"/>
    <w:rsid w:val="00077618"/>
    <w:rsid w:val="0008065C"/>
    <w:rsid w:val="0008085C"/>
    <w:rsid w:val="000835D7"/>
    <w:rsid w:val="000850B6"/>
    <w:rsid w:val="00086D04"/>
    <w:rsid w:val="0009077D"/>
    <w:rsid w:val="00092FD7"/>
    <w:rsid w:val="00093010"/>
    <w:rsid w:val="00095608"/>
    <w:rsid w:val="00095AE6"/>
    <w:rsid w:val="000A0580"/>
    <w:rsid w:val="000A3523"/>
    <w:rsid w:val="000A52BB"/>
    <w:rsid w:val="000A7517"/>
    <w:rsid w:val="000B4B42"/>
    <w:rsid w:val="000C3EBC"/>
    <w:rsid w:val="000C5DA4"/>
    <w:rsid w:val="000C6AEC"/>
    <w:rsid w:val="000C70EF"/>
    <w:rsid w:val="000C7791"/>
    <w:rsid w:val="000D157B"/>
    <w:rsid w:val="000D1D15"/>
    <w:rsid w:val="000D2F65"/>
    <w:rsid w:val="000D68E2"/>
    <w:rsid w:val="000D757F"/>
    <w:rsid w:val="000E198E"/>
    <w:rsid w:val="000E71EF"/>
    <w:rsid w:val="000F03C5"/>
    <w:rsid w:val="000F0981"/>
    <w:rsid w:val="000F494A"/>
    <w:rsid w:val="000F4E6A"/>
    <w:rsid w:val="00100645"/>
    <w:rsid w:val="00101907"/>
    <w:rsid w:val="00101C36"/>
    <w:rsid w:val="00102352"/>
    <w:rsid w:val="00104ADF"/>
    <w:rsid w:val="0010640D"/>
    <w:rsid w:val="00106ED9"/>
    <w:rsid w:val="00111467"/>
    <w:rsid w:val="0011172B"/>
    <w:rsid w:val="0011642E"/>
    <w:rsid w:val="00121E2C"/>
    <w:rsid w:val="00121F28"/>
    <w:rsid w:val="001336D2"/>
    <w:rsid w:val="00133963"/>
    <w:rsid w:val="00133AF4"/>
    <w:rsid w:val="001430C9"/>
    <w:rsid w:val="00143576"/>
    <w:rsid w:val="0014382F"/>
    <w:rsid w:val="00146009"/>
    <w:rsid w:val="00146939"/>
    <w:rsid w:val="00150D79"/>
    <w:rsid w:val="001526F4"/>
    <w:rsid w:val="00154100"/>
    <w:rsid w:val="0015417A"/>
    <w:rsid w:val="001602B0"/>
    <w:rsid w:val="001630A1"/>
    <w:rsid w:val="001674C8"/>
    <w:rsid w:val="00167C03"/>
    <w:rsid w:val="00167E37"/>
    <w:rsid w:val="001719AE"/>
    <w:rsid w:val="00176C0A"/>
    <w:rsid w:val="001800CF"/>
    <w:rsid w:val="001831CE"/>
    <w:rsid w:val="00183611"/>
    <w:rsid w:val="0018409A"/>
    <w:rsid w:val="0018420F"/>
    <w:rsid w:val="00187E2E"/>
    <w:rsid w:val="00193F20"/>
    <w:rsid w:val="00195FE5"/>
    <w:rsid w:val="00196409"/>
    <w:rsid w:val="00196C2B"/>
    <w:rsid w:val="00197F34"/>
    <w:rsid w:val="001A2AF9"/>
    <w:rsid w:val="001A7678"/>
    <w:rsid w:val="001B1106"/>
    <w:rsid w:val="001B21B9"/>
    <w:rsid w:val="001B2863"/>
    <w:rsid w:val="001B2B53"/>
    <w:rsid w:val="001B37C1"/>
    <w:rsid w:val="001B5FC3"/>
    <w:rsid w:val="001B62AB"/>
    <w:rsid w:val="001B6792"/>
    <w:rsid w:val="001C25A7"/>
    <w:rsid w:val="001C2816"/>
    <w:rsid w:val="001C6E39"/>
    <w:rsid w:val="001D251A"/>
    <w:rsid w:val="001D2F0D"/>
    <w:rsid w:val="001E1475"/>
    <w:rsid w:val="001E2698"/>
    <w:rsid w:val="001E388E"/>
    <w:rsid w:val="001E415D"/>
    <w:rsid w:val="001E4272"/>
    <w:rsid w:val="001F14ED"/>
    <w:rsid w:val="001F1518"/>
    <w:rsid w:val="001F1E46"/>
    <w:rsid w:val="00200210"/>
    <w:rsid w:val="00200E65"/>
    <w:rsid w:val="0020584E"/>
    <w:rsid w:val="00221FF8"/>
    <w:rsid w:val="00223013"/>
    <w:rsid w:val="0022302F"/>
    <w:rsid w:val="0022315B"/>
    <w:rsid w:val="00223B55"/>
    <w:rsid w:val="00225796"/>
    <w:rsid w:val="00225898"/>
    <w:rsid w:val="00226A96"/>
    <w:rsid w:val="0022743C"/>
    <w:rsid w:val="00227AAA"/>
    <w:rsid w:val="00230731"/>
    <w:rsid w:val="00232E98"/>
    <w:rsid w:val="00240A7E"/>
    <w:rsid w:val="00242369"/>
    <w:rsid w:val="002436E4"/>
    <w:rsid w:val="002463D5"/>
    <w:rsid w:val="0025259D"/>
    <w:rsid w:val="00257BB6"/>
    <w:rsid w:val="00261455"/>
    <w:rsid w:val="00264943"/>
    <w:rsid w:val="002678BD"/>
    <w:rsid w:val="00267D0E"/>
    <w:rsid w:val="002710AC"/>
    <w:rsid w:val="00274581"/>
    <w:rsid w:val="002809FA"/>
    <w:rsid w:val="00281017"/>
    <w:rsid w:val="00282EF2"/>
    <w:rsid w:val="002A087B"/>
    <w:rsid w:val="002A4ABD"/>
    <w:rsid w:val="002A62EC"/>
    <w:rsid w:val="002B14C9"/>
    <w:rsid w:val="002B1990"/>
    <w:rsid w:val="002B3C40"/>
    <w:rsid w:val="002C5E26"/>
    <w:rsid w:val="002C63E1"/>
    <w:rsid w:val="002C7C73"/>
    <w:rsid w:val="002D7040"/>
    <w:rsid w:val="002D72A6"/>
    <w:rsid w:val="002E0D46"/>
    <w:rsid w:val="002E5326"/>
    <w:rsid w:val="002E5A4F"/>
    <w:rsid w:val="002E7B42"/>
    <w:rsid w:val="002F0533"/>
    <w:rsid w:val="002F68FE"/>
    <w:rsid w:val="003046FD"/>
    <w:rsid w:val="003053B5"/>
    <w:rsid w:val="00307A53"/>
    <w:rsid w:val="00307EB2"/>
    <w:rsid w:val="0031219E"/>
    <w:rsid w:val="00315C0B"/>
    <w:rsid w:val="003223BD"/>
    <w:rsid w:val="00323D63"/>
    <w:rsid w:val="003324FA"/>
    <w:rsid w:val="003334EF"/>
    <w:rsid w:val="003335A9"/>
    <w:rsid w:val="00335DBD"/>
    <w:rsid w:val="003371F0"/>
    <w:rsid w:val="0034168C"/>
    <w:rsid w:val="00345DDD"/>
    <w:rsid w:val="00350ADD"/>
    <w:rsid w:val="003517C3"/>
    <w:rsid w:val="00351F9A"/>
    <w:rsid w:val="00354345"/>
    <w:rsid w:val="00360BA1"/>
    <w:rsid w:val="00370002"/>
    <w:rsid w:val="00372FD1"/>
    <w:rsid w:val="003737F8"/>
    <w:rsid w:val="003769C4"/>
    <w:rsid w:val="00377B3F"/>
    <w:rsid w:val="00381044"/>
    <w:rsid w:val="0038429E"/>
    <w:rsid w:val="003A2FEB"/>
    <w:rsid w:val="003B12ED"/>
    <w:rsid w:val="003B59FF"/>
    <w:rsid w:val="003C298F"/>
    <w:rsid w:val="003C2FC0"/>
    <w:rsid w:val="003C7DDE"/>
    <w:rsid w:val="003D0074"/>
    <w:rsid w:val="003D1D2C"/>
    <w:rsid w:val="003D34A1"/>
    <w:rsid w:val="003D3A7C"/>
    <w:rsid w:val="003D3BE3"/>
    <w:rsid w:val="003E1664"/>
    <w:rsid w:val="003E3A27"/>
    <w:rsid w:val="003F209E"/>
    <w:rsid w:val="003F2A7C"/>
    <w:rsid w:val="00403874"/>
    <w:rsid w:val="004074FF"/>
    <w:rsid w:val="0041167C"/>
    <w:rsid w:val="00414F8C"/>
    <w:rsid w:val="00415053"/>
    <w:rsid w:val="0042005A"/>
    <w:rsid w:val="0042485A"/>
    <w:rsid w:val="00430B03"/>
    <w:rsid w:val="00432A95"/>
    <w:rsid w:val="00436363"/>
    <w:rsid w:val="00437BB3"/>
    <w:rsid w:val="0044405B"/>
    <w:rsid w:val="004466B8"/>
    <w:rsid w:val="00450CE1"/>
    <w:rsid w:val="00451503"/>
    <w:rsid w:val="004568E6"/>
    <w:rsid w:val="00461608"/>
    <w:rsid w:val="00462B40"/>
    <w:rsid w:val="00462F14"/>
    <w:rsid w:val="00463F84"/>
    <w:rsid w:val="00474438"/>
    <w:rsid w:val="00477399"/>
    <w:rsid w:val="00483345"/>
    <w:rsid w:val="00484A0E"/>
    <w:rsid w:val="0048528A"/>
    <w:rsid w:val="00490DC9"/>
    <w:rsid w:val="004974F9"/>
    <w:rsid w:val="004A09B2"/>
    <w:rsid w:val="004A2087"/>
    <w:rsid w:val="004A67F3"/>
    <w:rsid w:val="004B68C9"/>
    <w:rsid w:val="004C25EB"/>
    <w:rsid w:val="004C34D8"/>
    <w:rsid w:val="004C538D"/>
    <w:rsid w:val="004D181C"/>
    <w:rsid w:val="004D2520"/>
    <w:rsid w:val="004D3101"/>
    <w:rsid w:val="004D3DB7"/>
    <w:rsid w:val="004D54A1"/>
    <w:rsid w:val="004E0629"/>
    <w:rsid w:val="004E439A"/>
    <w:rsid w:val="004E682B"/>
    <w:rsid w:val="004E720C"/>
    <w:rsid w:val="004E7BC1"/>
    <w:rsid w:val="004F0B61"/>
    <w:rsid w:val="004F2975"/>
    <w:rsid w:val="004F6320"/>
    <w:rsid w:val="004F6517"/>
    <w:rsid w:val="004F66D4"/>
    <w:rsid w:val="0050030B"/>
    <w:rsid w:val="00500A6A"/>
    <w:rsid w:val="005026FE"/>
    <w:rsid w:val="0051347E"/>
    <w:rsid w:val="005152E7"/>
    <w:rsid w:val="0051581E"/>
    <w:rsid w:val="00515BB0"/>
    <w:rsid w:val="00515CE1"/>
    <w:rsid w:val="005161C8"/>
    <w:rsid w:val="005207B2"/>
    <w:rsid w:val="00522247"/>
    <w:rsid w:val="00526582"/>
    <w:rsid w:val="00535666"/>
    <w:rsid w:val="00537298"/>
    <w:rsid w:val="00544459"/>
    <w:rsid w:val="005445BF"/>
    <w:rsid w:val="0055313A"/>
    <w:rsid w:val="00553E3B"/>
    <w:rsid w:val="00560246"/>
    <w:rsid w:val="00560FF6"/>
    <w:rsid w:val="00566FAA"/>
    <w:rsid w:val="00584C80"/>
    <w:rsid w:val="00585048"/>
    <w:rsid w:val="00594B9E"/>
    <w:rsid w:val="00595519"/>
    <w:rsid w:val="005959B5"/>
    <w:rsid w:val="00595FAC"/>
    <w:rsid w:val="005A045B"/>
    <w:rsid w:val="005A29AD"/>
    <w:rsid w:val="005B0479"/>
    <w:rsid w:val="005B0A19"/>
    <w:rsid w:val="005B1D3F"/>
    <w:rsid w:val="005B2C37"/>
    <w:rsid w:val="005B3969"/>
    <w:rsid w:val="005B63A2"/>
    <w:rsid w:val="005B7297"/>
    <w:rsid w:val="005D456F"/>
    <w:rsid w:val="005D636D"/>
    <w:rsid w:val="005E020D"/>
    <w:rsid w:val="005E432A"/>
    <w:rsid w:val="005E7CF8"/>
    <w:rsid w:val="005F3AA9"/>
    <w:rsid w:val="005F51FE"/>
    <w:rsid w:val="005F5760"/>
    <w:rsid w:val="005F6A7E"/>
    <w:rsid w:val="005F7943"/>
    <w:rsid w:val="00604E05"/>
    <w:rsid w:val="0060533C"/>
    <w:rsid w:val="00610B16"/>
    <w:rsid w:val="006121D0"/>
    <w:rsid w:val="006136DC"/>
    <w:rsid w:val="00615067"/>
    <w:rsid w:val="00617252"/>
    <w:rsid w:val="00617977"/>
    <w:rsid w:val="00621474"/>
    <w:rsid w:val="00626C6A"/>
    <w:rsid w:val="00633ED0"/>
    <w:rsid w:val="006356F5"/>
    <w:rsid w:val="00643008"/>
    <w:rsid w:val="00670CD3"/>
    <w:rsid w:val="00671B9F"/>
    <w:rsid w:val="00674118"/>
    <w:rsid w:val="0067788A"/>
    <w:rsid w:val="00692830"/>
    <w:rsid w:val="00694595"/>
    <w:rsid w:val="006A0D14"/>
    <w:rsid w:val="006A27FE"/>
    <w:rsid w:val="006A50D1"/>
    <w:rsid w:val="006A5C31"/>
    <w:rsid w:val="006B0103"/>
    <w:rsid w:val="006C1CA7"/>
    <w:rsid w:val="006C72D3"/>
    <w:rsid w:val="006C78BE"/>
    <w:rsid w:val="006D070D"/>
    <w:rsid w:val="006D089C"/>
    <w:rsid w:val="006D0ACA"/>
    <w:rsid w:val="006D0C68"/>
    <w:rsid w:val="006D1312"/>
    <w:rsid w:val="006D3B69"/>
    <w:rsid w:val="006E1804"/>
    <w:rsid w:val="006E524A"/>
    <w:rsid w:val="006F178C"/>
    <w:rsid w:val="0070128F"/>
    <w:rsid w:val="007044A5"/>
    <w:rsid w:val="00704A1E"/>
    <w:rsid w:val="007074A5"/>
    <w:rsid w:val="0071208E"/>
    <w:rsid w:val="00712530"/>
    <w:rsid w:val="00712C86"/>
    <w:rsid w:val="00715ADE"/>
    <w:rsid w:val="00716874"/>
    <w:rsid w:val="00720167"/>
    <w:rsid w:val="00721E38"/>
    <w:rsid w:val="0072282A"/>
    <w:rsid w:val="00723976"/>
    <w:rsid w:val="007270A0"/>
    <w:rsid w:val="0073313D"/>
    <w:rsid w:val="00733850"/>
    <w:rsid w:val="007415E7"/>
    <w:rsid w:val="007447EF"/>
    <w:rsid w:val="00746164"/>
    <w:rsid w:val="00753CE1"/>
    <w:rsid w:val="00757E56"/>
    <w:rsid w:val="007609D6"/>
    <w:rsid w:val="007640EB"/>
    <w:rsid w:val="00767639"/>
    <w:rsid w:val="007A17CE"/>
    <w:rsid w:val="007A613C"/>
    <w:rsid w:val="007A7A43"/>
    <w:rsid w:val="007A7F2F"/>
    <w:rsid w:val="007B0370"/>
    <w:rsid w:val="007B26CA"/>
    <w:rsid w:val="007B2D5A"/>
    <w:rsid w:val="007B5BE7"/>
    <w:rsid w:val="007B7D4A"/>
    <w:rsid w:val="007C06F6"/>
    <w:rsid w:val="007C4522"/>
    <w:rsid w:val="007C6BF5"/>
    <w:rsid w:val="007D1494"/>
    <w:rsid w:val="007D2CDA"/>
    <w:rsid w:val="007D50BA"/>
    <w:rsid w:val="007D5116"/>
    <w:rsid w:val="007D7837"/>
    <w:rsid w:val="007E00F6"/>
    <w:rsid w:val="007E6658"/>
    <w:rsid w:val="007E7AD2"/>
    <w:rsid w:val="007F0695"/>
    <w:rsid w:val="007F463D"/>
    <w:rsid w:val="007F5CD0"/>
    <w:rsid w:val="00800CFF"/>
    <w:rsid w:val="00804BF1"/>
    <w:rsid w:val="00805B56"/>
    <w:rsid w:val="00807EE5"/>
    <w:rsid w:val="008101E0"/>
    <w:rsid w:val="008164F8"/>
    <w:rsid w:val="008167A3"/>
    <w:rsid w:val="008168A5"/>
    <w:rsid w:val="00816B3B"/>
    <w:rsid w:val="00825B7A"/>
    <w:rsid w:val="00825D60"/>
    <w:rsid w:val="00826C92"/>
    <w:rsid w:val="008271BC"/>
    <w:rsid w:val="00827757"/>
    <w:rsid w:val="00827B5B"/>
    <w:rsid w:val="00830938"/>
    <w:rsid w:val="0083191B"/>
    <w:rsid w:val="0083334D"/>
    <w:rsid w:val="00847239"/>
    <w:rsid w:val="00862834"/>
    <w:rsid w:val="00862E51"/>
    <w:rsid w:val="0086392E"/>
    <w:rsid w:val="00864CD8"/>
    <w:rsid w:val="008661D1"/>
    <w:rsid w:val="00874B54"/>
    <w:rsid w:val="0087726B"/>
    <w:rsid w:val="0088305B"/>
    <w:rsid w:val="00884B70"/>
    <w:rsid w:val="008911CF"/>
    <w:rsid w:val="008C039C"/>
    <w:rsid w:val="008C482E"/>
    <w:rsid w:val="008D0D63"/>
    <w:rsid w:val="008D1A3D"/>
    <w:rsid w:val="008D5DAB"/>
    <w:rsid w:val="008E133B"/>
    <w:rsid w:val="008E168D"/>
    <w:rsid w:val="008E46D4"/>
    <w:rsid w:val="008E4B0E"/>
    <w:rsid w:val="008E5CBC"/>
    <w:rsid w:val="008F4A03"/>
    <w:rsid w:val="00900A33"/>
    <w:rsid w:val="009048AA"/>
    <w:rsid w:val="00906733"/>
    <w:rsid w:val="00906BEE"/>
    <w:rsid w:val="009104C3"/>
    <w:rsid w:val="00910A5C"/>
    <w:rsid w:val="0091271D"/>
    <w:rsid w:val="00917476"/>
    <w:rsid w:val="0091777E"/>
    <w:rsid w:val="00917943"/>
    <w:rsid w:val="00917AAD"/>
    <w:rsid w:val="0092153D"/>
    <w:rsid w:val="00923224"/>
    <w:rsid w:val="009253BB"/>
    <w:rsid w:val="00927099"/>
    <w:rsid w:val="00930C06"/>
    <w:rsid w:val="009364D8"/>
    <w:rsid w:val="00937679"/>
    <w:rsid w:val="009421DD"/>
    <w:rsid w:val="009422EB"/>
    <w:rsid w:val="00942508"/>
    <w:rsid w:val="00943F7F"/>
    <w:rsid w:val="009507AE"/>
    <w:rsid w:val="009562DA"/>
    <w:rsid w:val="00956755"/>
    <w:rsid w:val="00965753"/>
    <w:rsid w:val="00965D89"/>
    <w:rsid w:val="0097506C"/>
    <w:rsid w:val="00986B33"/>
    <w:rsid w:val="00987AD5"/>
    <w:rsid w:val="00991849"/>
    <w:rsid w:val="009949F2"/>
    <w:rsid w:val="009A024F"/>
    <w:rsid w:val="009A3AD8"/>
    <w:rsid w:val="009B12C6"/>
    <w:rsid w:val="009B1761"/>
    <w:rsid w:val="009B1D04"/>
    <w:rsid w:val="009B22E1"/>
    <w:rsid w:val="009B7138"/>
    <w:rsid w:val="009B7C20"/>
    <w:rsid w:val="009C7DC0"/>
    <w:rsid w:val="009D1D5B"/>
    <w:rsid w:val="009D6505"/>
    <w:rsid w:val="009D7C9E"/>
    <w:rsid w:val="009F1FBC"/>
    <w:rsid w:val="009F44C4"/>
    <w:rsid w:val="009F7B81"/>
    <w:rsid w:val="00A052E2"/>
    <w:rsid w:val="00A06659"/>
    <w:rsid w:val="00A11308"/>
    <w:rsid w:val="00A14AEE"/>
    <w:rsid w:val="00A157BD"/>
    <w:rsid w:val="00A1799F"/>
    <w:rsid w:val="00A320C8"/>
    <w:rsid w:val="00A3340E"/>
    <w:rsid w:val="00A34DBC"/>
    <w:rsid w:val="00A40364"/>
    <w:rsid w:val="00A4095B"/>
    <w:rsid w:val="00A473D9"/>
    <w:rsid w:val="00A578F5"/>
    <w:rsid w:val="00A60383"/>
    <w:rsid w:val="00A630A8"/>
    <w:rsid w:val="00A67A79"/>
    <w:rsid w:val="00A72E78"/>
    <w:rsid w:val="00A75A07"/>
    <w:rsid w:val="00A76285"/>
    <w:rsid w:val="00A83782"/>
    <w:rsid w:val="00A838BB"/>
    <w:rsid w:val="00A848FA"/>
    <w:rsid w:val="00A84943"/>
    <w:rsid w:val="00A8552E"/>
    <w:rsid w:val="00A91C8F"/>
    <w:rsid w:val="00AA3CDE"/>
    <w:rsid w:val="00AA4F65"/>
    <w:rsid w:val="00AA7ACB"/>
    <w:rsid w:val="00AB0BF4"/>
    <w:rsid w:val="00AB5C86"/>
    <w:rsid w:val="00AB63ED"/>
    <w:rsid w:val="00AC116B"/>
    <w:rsid w:val="00AC2EC8"/>
    <w:rsid w:val="00AC4718"/>
    <w:rsid w:val="00AC6533"/>
    <w:rsid w:val="00AC79B9"/>
    <w:rsid w:val="00AD06F9"/>
    <w:rsid w:val="00AD11EB"/>
    <w:rsid w:val="00AD6074"/>
    <w:rsid w:val="00AE2319"/>
    <w:rsid w:val="00AE27B4"/>
    <w:rsid w:val="00AF1E8A"/>
    <w:rsid w:val="00AF2230"/>
    <w:rsid w:val="00AF46FC"/>
    <w:rsid w:val="00AF6C45"/>
    <w:rsid w:val="00B0081F"/>
    <w:rsid w:val="00B05CD6"/>
    <w:rsid w:val="00B05D7B"/>
    <w:rsid w:val="00B10821"/>
    <w:rsid w:val="00B15031"/>
    <w:rsid w:val="00B2088F"/>
    <w:rsid w:val="00B23DF5"/>
    <w:rsid w:val="00B35B93"/>
    <w:rsid w:val="00B44ABF"/>
    <w:rsid w:val="00B44E30"/>
    <w:rsid w:val="00B44E65"/>
    <w:rsid w:val="00B50AC3"/>
    <w:rsid w:val="00B5109F"/>
    <w:rsid w:val="00B52D62"/>
    <w:rsid w:val="00B5420C"/>
    <w:rsid w:val="00B551A0"/>
    <w:rsid w:val="00B56DBE"/>
    <w:rsid w:val="00B61C1A"/>
    <w:rsid w:val="00B66F5A"/>
    <w:rsid w:val="00B747AD"/>
    <w:rsid w:val="00B75AEB"/>
    <w:rsid w:val="00B81A3D"/>
    <w:rsid w:val="00B83475"/>
    <w:rsid w:val="00B84B5F"/>
    <w:rsid w:val="00B8657E"/>
    <w:rsid w:val="00B91C45"/>
    <w:rsid w:val="00B922AF"/>
    <w:rsid w:val="00B952BF"/>
    <w:rsid w:val="00B9631D"/>
    <w:rsid w:val="00B97443"/>
    <w:rsid w:val="00BA2FA2"/>
    <w:rsid w:val="00BA3F09"/>
    <w:rsid w:val="00BA5A57"/>
    <w:rsid w:val="00BA5D81"/>
    <w:rsid w:val="00BB09A2"/>
    <w:rsid w:val="00BB6CE0"/>
    <w:rsid w:val="00BB72D8"/>
    <w:rsid w:val="00BC0FA1"/>
    <w:rsid w:val="00BC46FA"/>
    <w:rsid w:val="00BD03A3"/>
    <w:rsid w:val="00BD4426"/>
    <w:rsid w:val="00BD513B"/>
    <w:rsid w:val="00BE080C"/>
    <w:rsid w:val="00BE246D"/>
    <w:rsid w:val="00BE5431"/>
    <w:rsid w:val="00BE5CEC"/>
    <w:rsid w:val="00BE78A1"/>
    <w:rsid w:val="00BE7B12"/>
    <w:rsid w:val="00BE7C1D"/>
    <w:rsid w:val="00BF17AA"/>
    <w:rsid w:val="00BF2F78"/>
    <w:rsid w:val="00BF39A5"/>
    <w:rsid w:val="00BF4398"/>
    <w:rsid w:val="00BF6696"/>
    <w:rsid w:val="00BF6EBB"/>
    <w:rsid w:val="00C00C4F"/>
    <w:rsid w:val="00C06596"/>
    <w:rsid w:val="00C22A5C"/>
    <w:rsid w:val="00C22F77"/>
    <w:rsid w:val="00C24556"/>
    <w:rsid w:val="00C26696"/>
    <w:rsid w:val="00C32262"/>
    <w:rsid w:val="00C32EE5"/>
    <w:rsid w:val="00C3510B"/>
    <w:rsid w:val="00C41482"/>
    <w:rsid w:val="00C4434E"/>
    <w:rsid w:val="00C51A3C"/>
    <w:rsid w:val="00C55AFD"/>
    <w:rsid w:val="00C71B01"/>
    <w:rsid w:val="00C73165"/>
    <w:rsid w:val="00C741DB"/>
    <w:rsid w:val="00C8150C"/>
    <w:rsid w:val="00C874AA"/>
    <w:rsid w:val="00C91E83"/>
    <w:rsid w:val="00C91F6F"/>
    <w:rsid w:val="00C942A4"/>
    <w:rsid w:val="00C95A5A"/>
    <w:rsid w:val="00C96AC7"/>
    <w:rsid w:val="00CA1728"/>
    <w:rsid w:val="00CA33A5"/>
    <w:rsid w:val="00CA73C4"/>
    <w:rsid w:val="00CB134D"/>
    <w:rsid w:val="00CB1D88"/>
    <w:rsid w:val="00CB2C3E"/>
    <w:rsid w:val="00CB46BF"/>
    <w:rsid w:val="00CB5122"/>
    <w:rsid w:val="00CC58BE"/>
    <w:rsid w:val="00CC637D"/>
    <w:rsid w:val="00CD54BC"/>
    <w:rsid w:val="00CE007F"/>
    <w:rsid w:val="00CE169D"/>
    <w:rsid w:val="00CE4BC6"/>
    <w:rsid w:val="00CE7EB7"/>
    <w:rsid w:val="00CF1BA1"/>
    <w:rsid w:val="00CF1C80"/>
    <w:rsid w:val="00CF260E"/>
    <w:rsid w:val="00CF4B6A"/>
    <w:rsid w:val="00D00582"/>
    <w:rsid w:val="00D0072B"/>
    <w:rsid w:val="00D00BD0"/>
    <w:rsid w:val="00D01D15"/>
    <w:rsid w:val="00D03B63"/>
    <w:rsid w:val="00D043CB"/>
    <w:rsid w:val="00D051F5"/>
    <w:rsid w:val="00D06679"/>
    <w:rsid w:val="00D078C5"/>
    <w:rsid w:val="00D147B6"/>
    <w:rsid w:val="00D157BC"/>
    <w:rsid w:val="00D22C3D"/>
    <w:rsid w:val="00D2568B"/>
    <w:rsid w:val="00D256EB"/>
    <w:rsid w:val="00D271D9"/>
    <w:rsid w:val="00D32A7A"/>
    <w:rsid w:val="00D4054E"/>
    <w:rsid w:val="00D42205"/>
    <w:rsid w:val="00D504F7"/>
    <w:rsid w:val="00D50E6D"/>
    <w:rsid w:val="00D55E92"/>
    <w:rsid w:val="00D57E6A"/>
    <w:rsid w:val="00D63715"/>
    <w:rsid w:val="00D71BEB"/>
    <w:rsid w:val="00D745EF"/>
    <w:rsid w:val="00D779DB"/>
    <w:rsid w:val="00D83A4D"/>
    <w:rsid w:val="00D86234"/>
    <w:rsid w:val="00D957C9"/>
    <w:rsid w:val="00D96747"/>
    <w:rsid w:val="00DA1AB7"/>
    <w:rsid w:val="00DB1B64"/>
    <w:rsid w:val="00DB5074"/>
    <w:rsid w:val="00DB590A"/>
    <w:rsid w:val="00DB5AD2"/>
    <w:rsid w:val="00DB6245"/>
    <w:rsid w:val="00DC2F19"/>
    <w:rsid w:val="00DD1087"/>
    <w:rsid w:val="00DD2809"/>
    <w:rsid w:val="00DD3D1F"/>
    <w:rsid w:val="00DE0BE9"/>
    <w:rsid w:val="00DE79FE"/>
    <w:rsid w:val="00DF0C3D"/>
    <w:rsid w:val="00DF2E95"/>
    <w:rsid w:val="00DF34BD"/>
    <w:rsid w:val="00DF432B"/>
    <w:rsid w:val="00DF5901"/>
    <w:rsid w:val="00DF59E7"/>
    <w:rsid w:val="00E040DC"/>
    <w:rsid w:val="00E11514"/>
    <w:rsid w:val="00E134B7"/>
    <w:rsid w:val="00E150D3"/>
    <w:rsid w:val="00E21CAD"/>
    <w:rsid w:val="00E22046"/>
    <w:rsid w:val="00E2693B"/>
    <w:rsid w:val="00E302BE"/>
    <w:rsid w:val="00E32833"/>
    <w:rsid w:val="00E33B04"/>
    <w:rsid w:val="00E3497D"/>
    <w:rsid w:val="00E445DA"/>
    <w:rsid w:val="00E44789"/>
    <w:rsid w:val="00E4521C"/>
    <w:rsid w:val="00E462A7"/>
    <w:rsid w:val="00E47757"/>
    <w:rsid w:val="00E500C1"/>
    <w:rsid w:val="00E51504"/>
    <w:rsid w:val="00E529CF"/>
    <w:rsid w:val="00E5663B"/>
    <w:rsid w:val="00E56C74"/>
    <w:rsid w:val="00E601C0"/>
    <w:rsid w:val="00E63DDF"/>
    <w:rsid w:val="00E6804A"/>
    <w:rsid w:val="00E708B5"/>
    <w:rsid w:val="00E81631"/>
    <w:rsid w:val="00E8298E"/>
    <w:rsid w:val="00E845AC"/>
    <w:rsid w:val="00E84622"/>
    <w:rsid w:val="00E850E3"/>
    <w:rsid w:val="00E86398"/>
    <w:rsid w:val="00E91B9A"/>
    <w:rsid w:val="00EA59E5"/>
    <w:rsid w:val="00EB0A3C"/>
    <w:rsid w:val="00EB573B"/>
    <w:rsid w:val="00EB73F6"/>
    <w:rsid w:val="00EC27A1"/>
    <w:rsid w:val="00ED2926"/>
    <w:rsid w:val="00ED73EB"/>
    <w:rsid w:val="00EE3A1B"/>
    <w:rsid w:val="00EE507D"/>
    <w:rsid w:val="00EE7B6F"/>
    <w:rsid w:val="00EF1EB6"/>
    <w:rsid w:val="00EF32C4"/>
    <w:rsid w:val="00EF6FAD"/>
    <w:rsid w:val="00EF7254"/>
    <w:rsid w:val="00F0090D"/>
    <w:rsid w:val="00F00E13"/>
    <w:rsid w:val="00F01D0A"/>
    <w:rsid w:val="00F01D4C"/>
    <w:rsid w:val="00F029EC"/>
    <w:rsid w:val="00F04081"/>
    <w:rsid w:val="00F05F44"/>
    <w:rsid w:val="00F07446"/>
    <w:rsid w:val="00F100C3"/>
    <w:rsid w:val="00F1149B"/>
    <w:rsid w:val="00F12550"/>
    <w:rsid w:val="00F1286B"/>
    <w:rsid w:val="00F14AD2"/>
    <w:rsid w:val="00F20062"/>
    <w:rsid w:val="00F25E84"/>
    <w:rsid w:val="00F27BFA"/>
    <w:rsid w:val="00F3355D"/>
    <w:rsid w:val="00F404BB"/>
    <w:rsid w:val="00F44933"/>
    <w:rsid w:val="00F44CB9"/>
    <w:rsid w:val="00F45686"/>
    <w:rsid w:val="00F53045"/>
    <w:rsid w:val="00F5367F"/>
    <w:rsid w:val="00F53CC5"/>
    <w:rsid w:val="00F56F4E"/>
    <w:rsid w:val="00F60BB4"/>
    <w:rsid w:val="00F63015"/>
    <w:rsid w:val="00F65166"/>
    <w:rsid w:val="00F666CE"/>
    <w:rsid w:val="00F67BC0"/>
    <w:rsid w:val="00F707AF"/>
    <w:rsid w:val="00F743B9"/>
    <w:rsid w:val="00F7560C"/>
    <w:rsid w:val="00F758DF"/>
    <w:rsid w:val="00F84649"/>
    <w:rsid w:val="00F84D35"/>
    <w:rsid w:val="00F86C7A"/>
    <w:rsid w:val="00F91252"/>
    <w:rsid w:val="00FA2E16"/>
    <w:rsid w:val="00FA65E7"/>
    <w:rsid w:val="00FA7367"/>
    <w:rsid w:val="00FB663C"/>
    <w:rsid w:val="00FC00B8"/>
    <w:rsid w:val="00FC504C"/>
    <w:rsid w:val="00FC6272"/>
    <w:rsid w:val="00FD3BFA"/>
    <w:rsid w:val="00FD753D"/>
    <w:rsid w:val="00FD7668"/>
    <w:rsid w:val="00FE0E83"/>
    <w:rsid w:val="00FE1D59"/>
    <w:rsid w:val="00FE1EEB"/>
    <w:rsid w:val="00FE2273"/>
    <w:rsid w:val="00FF6C66"/>
    <w:rsid w:val="00FF6DF9"/>
    <w:rsid w:val="0B4EA5F0"/>
    <w:rsid w:val="0B5BAFE5"/>
    <w:rsid w:val="160710AA"/>
    <w:rsid w:val="18146542"/>
    <w:rsid w:val="18C1C549"/>
    <w:rsid w:val="191FD9A1"/>
    <w:rsid w:val="1A21E471"/>
    <w:rsid w:val="1A265653"/>
    <w:rsid w:val="1FF0445A"/>
    <w:rsid w:val="2AA2F5D2"/>
    <w:rsid w:val="3C5B9FFD"/>
    <w:rsid w:val="418FC819"/>
    <w:rsid w:val="46D10965"/>
    <w:rsid w:val="5538A56D"/>
    <w:rsid w:val="58C9E2C4"/>
    <w:rsid w:val="6BC1807E"/>
    <w:rsid w:val="6CB21DE9"/>
    <w:rsid w:val="7CC31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3C87F5F0"/>
  <w15:docId w15:val="{A9244CD9-5D57-491F-AA4D-AE6394E0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rsid w:val="009B7138"/>
    <w:pPr>
      <w:keepNext/>
      <w:numPr>
        <w:numId w:val="4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7"/>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7"/>
      </w:numPr>
      <w:outlineLvl w:val="3"/>
    </w:pPr>
    <w:rPr>
      <w:rFonts w:eastAsiaTheme="majorEastAsia"/>
      <w:bCs/>
      <w:iCs/>
    </w:rPr>
  </w:style>
  <w:style w:type="paragraph" w:styleId="Heading5">
    <w:name w:val="heading 5"/>
    <w:basedOn w:val="Normal"/>
    <w:next w:val="Text2"/>
    <w:link w:val="Heading5Char"/>
    <w:uiPriority w:val="9"/>
    <w:semiHidden/>
    <w:unhideWhenUsed/>
    <w:qFormat/>
    <w:rsid w:val="00C55AFD"/>
    <w:pPr>
      <w:keepNext/>
      <w:numPr>
        <w:ilvl w:val="4"/>
        <w:numId w:val="47"/>
      </w:numPr>
      <w:outlineLvl w:val="4"/>
    </w:pPr>
    <w:rPr>
      <w:rFonts w:eastAsiaTheme="majorEastAsia"/>
    </w:rPr>
  </w:style>
  <w:style w:type="paragraph" w:styleId="Heading6">
    <w:name w:val="heading 6"/>
    <w:basedOn w:val="Normal"/>
    <w:next w:val="Text2"/>
    <w:link w:val="Heading6Char"/>
    <w:uiPriority w:val="9"/>
    <w:semiHidden/>
    <w:unhideWhenUsed/>
    <w:qFormat/>
    <w:rsid w:val="00C55AFD"/>
    <w:pPr>
      <w:keepNext/>
      <w:numPr>
        <w:ilvl w:val="5"/>
        <w:numId w:val="47"/>
      </w:numPr>
      <w:outlineLvl w:val="5"/>
    </w:pPr>
    <w:rPr>
      <w:rFonts w:eastAsiaTheme="majorEastAsia"/>
      <w:iCs/>
    </w:rPr>
  </w:style>
  <w:style w:type="paragraph" w:styleId="Heading7">
    <w:name w:val="heading 7"/>
    <w:basedOn w:val="Normal"/>
    <w:next w:val="Text2"/>
    <w:link w:val="Heading7Char"/>
    <w:uiPriority w:val="9"/>
    <w:semiHidden/>
    <w:unhideWhenUsed/>
    <w:qFormat/>
    <w:rsid w:val="00C55AFD"/>
    <w:pPr>
      <w:keepNext/>
      <w:numPr>
        <w:ilvl w:val="6"/>
        <w:numId w:val="4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649"/>
    <w:pPr>
      <w:spacing w:before="0" w:after="160" w:line="259" w:lineRule="auto"/>
      <w:ind w:left="720"/>
      <w:contextualSpacing/>
      <w:jc w:val="left"/>
    </w:pPr>
    <w:rPr>
      <w:rFonts w:asciiTheme="minorHAnsi" w:hAnsiTheme="minorHAnsi" w:cstheme="minorBidi"/>
      <w:sz w:val="22"/>
    </w:rPr>
  </w:style>
  <w:style w:type="character" w:styleId="CommentReference">
    <w:name w:val="annotation reference"/>
    <w:basedOn w:val="DefaultParagraphFont"/>
    <w:unhideWhenUsed/>
    <w:rsid w:val="00E11514"/>
    <w:rPr>
      <w:sz w:val="16"/>
      <w:szCs w:val="16"/>
    </w:rPr>
  </w:style>
  <w:style w:type="paragraph" w:styleId="CommentText">
    <w:name w:val="annotation text"/>
    <w:basedOn w:val="Normal"/>
    <w:link w:val="CommentTextChar"/>
    <w:unhideWhenUsed/>
    <w:rsid w:val="00E11514"/>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rsid w:val="00E11514"/>
    <w:rPr>
      <w:sz w:val="20"/>
      <w:szCs w:val="20"/>
    </w:rPr>
  </w:style>
  <w:style w:type="paragraph" w:styleId="BalloonText">
    <w:name w:val="Balloon Text"/>
    <w:basedOn w:val="Normal"/>
    <w:link w:val="BalloonTextChar"/>
    <w:unhideWhenUsed/>
    <w:rsid w:val="00E11514"/>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E11514"/>
    <w:rPr>
      <w:rFonts w:ascii="Segoe UI" w:hAnsi="Segoe UI" w:cs="Segoe UI"/>
      <w:sz w:val="18"/>
      <w:szCs w:val="18"/>
      <w:lang w:val="el-GR"/>
    </w:rPr>
  </w:style>
  <w:style w:type="paragraph" w:styleId="ListBullet">
    <w:name w:val="List Bullet"/>
    <w:basedOn w:val="Normal"/>
    <w:unhideWhenUsed/>
    <w:rsid w:val="00451503"/>
    <w:pPr>
      <w:numPr>
        <w:numId w:val="1"/>
      </w:numPr>
      <w:contextualSpacing/>
    </w:pPr>
  </w:style>
  <w:style w:type="paragraph" w:styleId="ListBullet2">
    <w:name w:val="List Bullet 2"/>
    <w:basedOn w:val="Normal"/>
    <w:unhideWhenUsed/>
    <w:rsid w:val="00451503"/>
    <w:pPr>
      <w:numPr>
        <w:numId w:val="2"/>
      </w:numPr>
      <w:contextualSpacing/>
    </w:pPr>
  </w:style>
  <w:style w:type="paragraph" w:styleId="ListBullet3">
    <w:name w:val="List Bullet 3"/>
    <w:basedOn w:val="Normal"/>
    <w:unhideWhenUsed/>
    <w:rsid w:val="00451503"/>
    <w:pPr>
      <w:numPr>
        <w:numId w:val="3"/>
      </w:numPr>
      <w:contextualSpacing/>
    </w:pPr>
  </w:style>
  <w:style w:type="paragraph" w:styleId="ListBullet4">
    <w:name w:val="List Bullet 4"/>
    <w:basedOn w:val="Normal"/>
    <w:unhideWhenUsed/>
    <w:rsid w:val="00451503"/>
    <w:pPr>
      <w:numPr>
        <w:numId w:val="4"/>
      </w:numPr>
      <w:contextualSpacing/>
    </w:pPr>
  </w:style>
  <w:style w:type="paragraph" w:styleId="CommentSubject">
    <w:name w:val="annotation subject"/>
    <w:basedOn w:val="CommentText"/>
    <w:next w:val="CommentText"/>
    <w:link w:val="CommentSubjectChar"/>
    <w:unhideWhenUsed/>
    <w:rsid w:val="00451503"/>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sid w:val="00451503"/>
    <w:rPr>
      <w:rFonts w:ascii="Times New Roman" w:hAnsi="Times New Roman" w:cs="Times New Roman"/>
      <w:b/>
      <w:bCs/>
      <w:sz w:val="20"/>
      <w:szCs w:val="20"/>
      <w:lang w:val="el-GR"/>
    </w:rPr>
  </w:style>
  <w:style w:type="paragraph" w:styleId="Revision">
    <w:name w:val="Revision"/>
    <w:hidden/>
    <w:uiPriority w:val="99"/>
    <w:semiHidden/>
    <w:rsid w:val="00451503"/>
    <w:pPr>
      <w:spacing w:after="0" w:line="240" w:lineRule="auto"/>
    </w:pPr>
    <w:rPr>
      <w:rFonts w:ascii="Times New Roman" w:hAnsi="Times New Roman" w:cs="Times New Roman"/>
      <w:sz w:val="24"/>
    </w:rPr>
  </w:style>
  <w:style w:type="paragraph" w:styleId="Caption">
    <w:name w:val="caption"/>
    <w:basedOn w:val="Normal"/>
    <w:next w:val="Normal"/>
    <w:unhideWhenUsed/>
    <w:qFormat/>
    <w:rsid w:val="00626C6A"/>
    <w:pPr>
      <w:spacing w:before="0" w:after="200"/>
    </w:pPr>
    <w:rPr>
      <w:i/>
      <w:iCs/>
      <w:color w:val="1F497D" w:themeColor="text2"/>
      <w:sz w:val="18"/>
      <w:szCs w:val="18"/>
    </w:rPr>
  </w:style>
  <w:style w:type="paragraph" w:styleId="TableofFigures">
    <w:name w:val="table of figures"/>
    <w:basedOn w:val="Normal"/>
    <w:next w:val="Normal"/>
    <w:unhideWhenUsed/>
    <w:rsid w:val="00626C6A"/>
    <w:pPr>
      <w:spacing w:after="0"/>
    </w:pPr>
  </w:style>
  <w:style w:type="paragraph" w:styleId="ListNumber">
    <w:name w:val="List Number"/>
    <w:basedOn w:val="Normal"/>
    <w:unhideWhenUsed/>
    <w:rsid w:val="00626C6A"/>
    <w:pPr>
      <w:numPr>
        <w:numId w:val="10"/>
      </w:numPr>
      <w:contextualSpacing/>
    </w:pPr>
  </w:style>
  <w:style w:type="paragraph" w:styleId="ListNumber2">
    <w:name w:val="List Number 2"/>
    <w:basedOn w:val="Normal"/>
    <w:unhideWhenUsed/>
    <w:rsid w:val="00626C6A"/>
    <w:pPr>
      <w:numPr>
        <w:numId w:val="11"/>
      </w:numPr>
      <w:contextualSpacing/>
    </w:pPr>
  </w:style>
  <w:style w:type="paragraph" w:styleId="ListNumber3">
    <w:name w:val="List Number 3"/>
    <w:basedOn w:val="Normal"/>
    <w:unhideWhenUsed/>
    <w:rsid w:val="00626C6A"/>
    <w:pPr>
      <w:numPr>
        <w:numId w:val="12"/>
      </w:numPr>
      <w:contextualSpacing/>
    </w:pPr>
  </w:style>
  <w:style w:type="paragraph" w:styleId="ListNumber4">
    <w:name w:val="List Number 4"/>
    <w:basedOn w:val="Normal"/>
    <w:unhideWhenUsed/>
    <w:rsid w:val="00626C6A"/>
    <w:pPr>
      <w:numPr>
        <w:numId w:val="13"/>
      </w:numPr>
      <w:contextualSpacing/>
    </w:pPr>
  </w:style>
  <w:style w:type="character" w:styleId="Hyperlink">
    <w:name w:val="Hyperlink"/>
    <w:basedOn w:val="DefaultParagraphFont"/>
    <w:uiPriority w:val="99"/>
    <w:unhideWhenUsed/>
    <w:rsid w:val="00715ADE"/>
    <w:rPr>
      <w:color w:val="0000FF" w:themeColor="hyperlink"/>
      <w:u w:val="single"/>
    </w:rPr>
  </w:style>
  <w:style w:type="character" w:styleId="FollowedHyperlink">
    <w:name w:val="FollowedHyperlink"/>
    <w:unhideWhenUsed/>
    <w:rsid w:val="009F1FBC"/>
    <w:rPr>
      <w:color w:val="800080"/>
      <w:u w:val="single"/>
    </w:rPr>
  </w:style>
  <w:style w:type="paragraph" w:customStyle="1" w:styleId="msonormal0">
    <w:name w:val="msonormal"/>
    <w:basedOn w:val="Normal"/>
    <w:rsid w:val="009F1FBC"/>
    <w:pPr>
      <w:spacing w:before="100" w:beforeAutospacing="1" w:after="100" w:afterAutospacing="1"/>
      <w:jc w:val="left"/>
    </w:pPr>
    <w:rPr>
      <w:rFonts w:eastAsia="Times New Roman"/>
      <w:szCs w:val="24"/>
      <w:lang w:eastAsia="fr-BE"/>
    </w:rPr>
  </w:style>
  <w:style w:type="character" w:customStyle="1" w:styleId="TOCHeadingChar">
    <w:name w:val="TOC Heading Char"/>
    <w:basedOn w:val="DefaultParagraphFont"/>
    <w:uiPriority w:val="39"/>
    <w:locked/>
    <w:rsid w:val="009F1FBC"/>
    <w:rPr>
      <w:rFonts w:ascii="Times New Roman" w:hAnsi="Times New Roman" w:cs="Times New Roman"/>
      <w:b/>
      <w:sz w:val="28"/>
      <w:lang w:val="el-GR"/>
    </w:rPr>
  </w:style>
  <w:style w:type="paragraph" w:customStyle="1" w:styleId="ListBullet1">
    <w:name w:val="List Bullet 1"/>
    <w:basedOn w:val="Normal"/>
    <w:rsid w:val="009F1FBC"/>
    <w:pPr>
      <w:numPr>
        <w:numId w:val="18"/>
      </w:numPr>
    </w:pPr>
    <w:rPr>
      <w:lang w:eastAsia="en-GB"/>
    </w:rPr>
  </w:style>
  <w:style w:type="paragraph" w:customStyle="1" w:styleId="ListDash1">
    <w:name w:val="List Dash 1"/>
    <w:basedOn w:val="Normal"/>
    <w:rsid w:val="009F1FBC"/>
    <w:pPr>
      <w:numPr>
        <w:numId w:val="19"/>
      </w:numPr>
    </w:pPr>
    <w:rPr>
      <w:lang w:eastAsia="en-GB"/>
    </w:rPr>
  </w:style>
  <w:style w:type="paragraph" w:customStyle="1" w:styleId="ListDash2">
    <w:name w:val="List Dash 2"/>
    <w:basedOn w:val="Normal"/>
    <w:rsid w:val="009F1FBC"/>
    <w:pPr>
      <w:numPr>
        <w:numId w:val="20"/>
      </w:numPr>
    </w:pPr>
    <w:rPr>
      <w:lang w:eastAsia="en-GB"/>
    </w:rPr>
  </w:style>
  <w:style w:type="paragraph" w:customStyle="1" w:styleId="ListNumberLevel2">
    <w:name w:val="List Number (Level 2)"/>
    <w:basedOn w:val="Normal"/>
    <w:rsid w:val="009F1FBC"/>
    <w:pPr>
      <w:tabs>
        <w:tab w:val="num" w:pos="1417"/>
      </w:tabs>
      <w:ind w:left="1417" w:hanging="708"/>
    </w:pPr>
    <w:rPr>
      <w:lang w:eastAsia="en-GB"/>
    </w:rPr>
  </w:style>
  <w:style w:type="paragraph" w:customStyle="1" w:styleId="ListNumberLevel3">
    <w:name w:val="List Number (Level 3)"/>
    <w:basedOn w:val="Normal"/>
    <w:rsid w:val="009F1FBC"/>
    <w:pPr>
      <w:tabs>
        <w:tab w:val="num" w:pos="2126"/>
      </w:tabs>
      <w:ind w:left="2126" w:hanging="709"/>
    </w:pPr>
    <w:rPr>
      <w:lang w:eastAsia="en-GB"/>
    </w:rPr>
  </w:style>
  <w:style w:type="paragraph" w:customStyle="1" w:styleId="ListNumberLevel4">
    <w:name w:val="List Number (Level 4)"/>
    <w:basedOn w:val="Normal"/>
    <w:rsid w:val="009F1FBC"/>
    <w:pPr>
      <w:tabs>
        <w:tab w:val="num" w:pos="2835"/>
      </w:tabs>
      <w:ind w:left="2835" w:hanging="709"/>
    </w:pPr>
    <w:rPr>
      <w:lang w:eastAsia="en-GB"/>
    </w:rPr>
  </w:style>
  <w:style w:type="paragraph" w:customStyle="1" w:styleId="Fichefinancirestandardtitre">
    <w:name w:val="Fiche financière (standard) titre"/>
    <w:basedOn w:val="Normal"/>
    <w:next w:val="Normal"/>
    <w:rsid w:val="009F1FBC"/>
    <w:pPr>
      <w:jc w:val="center"/>
    </w:pPr>
    <w:rPr>
      <w:b/>
      <w:u w:val="single"/>
      <w:lang w:eastAsia="en-GB"/>
    </w:rPr>
  </w:style>
  <w:style w:type="paragraph" w:customStyle="1" w:styleId="Sous-titreobjet">
    <w:name w:val="Sous-titre objet"/>
    <w:basedOn w:val="Normal"/>
    <w:rsid w:val="009F1FBC"/>
    <w:pPr>
      <w:spacing w:before="0" w:after="0"/>
      <w:jc w:val="center"/>
    </w:pPr>
    <w:rPr>
      <w:b/>
      <w:lang w:eastAsia="en-GB"/>
    </w:rPr>
  </w:style>
  <w:style w:type="paragraph" w:customStyle="1" w:styleId="Sous-titreobjetPagedecouverture">
    <w:name w:val="Sous-titre objet (Page de couverture)"/>
    <w:basedOn w:val="Sous-titreobjet"/>
    <w:rsid w:val="009F1FBC"/>
  </w:style>
  <w:style w:type="character" w:customStyle="1" w:styleId="FooterCoverPageChar">
    <w:name w:val="Footer Cover Page Char"/>
    <w:basedOn w:val="TOCHeadingChar"/>
    <w:link w:val="FooterCoverPage"/>
    <w:locked/>
    <w:rsid w:val="009F1FBC"/>
    <w:rPr>
      <w:rFonts w:ascii="Times New Roman" w:hAnsi="Times New Roman" w:cs="Times New Roman"/>
      <w:b w:val="0"/>
      <w:sz w:val="24"/>
      <w:lang w:val="el-GR"/>
    </w:rPr>
  </w:style>
  <w:style w:type="paragraph" w:customStyle="1" w:styleId="FooterCoverPage">
    <w:name w:val="Footer Cover Page"/>
    <w:basedOn w:val="Normal"/>
    <w:link w:val="FooterCoverPageChar"/>
    <w:rsid w:val="009F1FBC"/>
    <w:pPr>
      <w:tabs>
        <w:tab w:val="center" w:pos="4535"/>
        <w:tab w:val="right" w:pos="9071"/>
        <w:tab w:val="right" w:pos="9921"/>
      </w:tabs>
      <w:spacing w:before="360" w:after="0"/>
      <w:ind w:left="-850" w:right="-850"/>
      <w:jc w:val="left"/>
    </w:pPr>
  </w:style>
  <w:style w:type="character" w:customStyle="1" w:styleId="HeaderCoverPageChar">
    <w:name w:val="Header Cover Page Char"/>
    <w:basedOn w:val="TOCHeadingChar"/>
    <w:link w:val="HeaderCoverPage"/>
    <w:locked/>
    <w:rsid w:val="009F1FBC"/>
    <w:rPr>
      <w:rFonts w:ascii="Times New Roman" w:hAnsi="Times New Roman" w:cs="Times New Roman"/>
      <w:b w:val="0"/>
      <w:sz w:val="24"/>
      <w:lang w:val="el-GR"/>
    </w:rPr>
  </w:style>
  <w:style w:type="paragraph" w:customStyle="1" w:styleId="HeaderCoverPage">
    <w:name w:val="Header Cover Page"/>
    <w:basedOn w:val="Normal"/>
    <w:link w:val="HeaderCoverPageChar"/>
    <w:rsid w:val="009F1FBC"/>
    <w:pPr>
      <w:tabs>
        <w:tab w:val="center" w:pos="4535"/>
        <w:tab w:val="right" w:pos="9071"/>
      </w:tabs>
      <w:spacing w:before="0"/>
    </w:pPr>
  </w:style>
  <w:style w:type="paragraph" w:customStyle="1" w:styleId="Default">
    <w:name w:val="Default"/>
    <w:rsid w:val="009F1FB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F1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
    <w:name w:val="List Dash"/>
    <w:basedOn w:val="Normal"/>
    <w:rsid w:val="00436363"/>
    <w:pPr>
      <w:numPr>
        <w:numId w:val="21"/>
      </w:numPr>
    </w:pPr>
    <w:rPr>
      <w:rFonts w:eastAsia="Times New Roman"/>
      <w:lang w:eastAsia="de-DE"/>
    </w:rPr>
  </w:style>
  <w:style w:type="paragraph" w:customStyle="1" w:styleId="ListDash3">
    <w:name w:val="List Dash 3"/>
    <w:basedOn w:val="Normal"/>
    <w:rsid w:val="00436363"/>
    <w:pPr>
      <w:numPr>
        <w:numId w:val="22"/>
      </w:numPr>
    </w:pPr>
    <w:rPr>
      <w:rFonts w:eastAsia="Times New Roman"/>
      <w:lang w:eastAsia="en-GB"/>
    </w:rPr>
  </w:style>
  <w:style w:type="paragraph" w:customStyle="1" w:styleId="ListDash4">
    <w:name w:val="List Dash 4"/>
    <w:basedOn w:val="Normal"/>
    <w:rsid w:val="00436363"/>
    <w:pPr>
      <w:numPr>
        <w:numId w:val="23"/>
      </w:numPr>
    </w:pPr>
    <w:rPr>
      <w:rFonts w:eastAsia="Times New Roman"/>
      <w:lang w:eastAsia="en-GB"/>
    </w:rPr>
  </w:style>
  <w:style w:type="paragraph" w:customStyle="1" w:styleId="ListNumber1">
    <w:name w:val="List Number 1"/>
    <w:basedOn w:val="Text1"/>
    <w:rsid w:val="00436363"/>
    <w:pPr>
      <w:numPr>
        <w:numId w:val="24"/>
      </w:numPr>
    </w:pPr>
    <w:rPr>
      <w:rFonts w:eastAsia="Times New Roman"/>
      <w:lang w:eastAsia="en-GB"/>
    </w:rPr>
  </w:style>
  <w:style w:type="paragraph" w:customStyle="1" w:styleId="ListNumber1Level2">
    <w:name w:val="List Number 1 (Level 2)"/>
    <w:basedOn w:val="Text1"/>
    <w:rsid w:val="00436363"/>
    <w:pPr>
      <w:numPr>
        <w:ilvl w:val="1"/>
        <w:numId w:val="24"/>
      </w:numPr>
    </w:pPr>
    <w:rPr>
      <w:rFonts w:eastAsia="Times New Roman"/>
      <w:lang w:eastAsia="en-GB"/>
    </w:rPr>
  </w:style>
  <w:style w:type="paragraph" w:customStyle="1" w:styleId="ListNumber2Level2">
    <w:name w:val="List Number 2 (Level 2)"/>
    <w:basedOn w:val="Text2"/>
    <w:rsid w:val="00436363"/>
    <w:pPr>
      <w:tabs>
        <w:tab w:val="num" w:pos="2268"/>
      </w:tabs>
      <w:ind w:left="2268" w:hanging="708"/>
    </w:pPr>
    <w:rPr>
      <w:rFonts w:eastAsia="Times New Roman"/>
      <w:lang w:eastAsia="en-GB"/>
    </w:rPr>
  </w:style>
  <w:style w:type="paragraph" w:customStyle="1" w:styleId="ListNumber3Level2">
    <w:name w:val="List Number 3 (Level 2)"/>
    <w:basedOn w:val="Text3"/>
    <w:rsid w:val="00436363"/>
    <w:pPr>
      <w:tabs>
        <w:tab w:val="num" w:pos="2268"/>
      </w:tabs>
      <w:ind w:left="2268" w:hanging="708"/>
    </w:pPr>
    <w:rPr>
      <w:rFonts w:eastAsia="Times New Roman"/>
      <w:lang w:eastAsia="en-GB"/>
    </w:rPr>
  </w:style>
  <w:style w:type="paragraph" w:customStyle="1" w:styleId="ListNumber4Level2">
    <w:name w:val="List Number 4 (Level 2)"/>
    <w:basedOn w:val="Text4"/>
    <w:rsid w:val="00436363"/>
    <w:pPr>
      <w:tabs>
        <w:tab w:val="num" w:pos="2268"/>
      </w:tabs>
      <w:ind w:left="2268" w:hanging="708"/>
    </w:pPr>
    <w:rPr>
      <w:rFonts w:eastAsia="Times New Roman"/>
      <w:lang w:eastAsia="en-GB"/>
    </w:rPr>
  </w:style>
  <w:style w:type="paragraph" w:customStyle="1" w:styleId="ListNumber1Level3">
    <w:name w:val="List Number 1 (Level 3)"/>
    <w:basedOn w:val="Text1"/>
    <w:rsid w:val="00436363"/>
    <w:pPr>
      <w:numPr>
        <w:ilvl w:val="2"/>
        <w:numId w:val="24"/>
      </w:numPr>
    </w:pPr>
    <w:rPr>
      <w:rFonts w:eastAsia="Times New Roman"/>
      <w:lang w:eastAsia="en-GB"/>
    </w:rPr>
  </w:style>
  <w:style w:type="paragraph" w:customStyle="1" w:styleId="ListNumber2Level3">
    <w:name w:val="List Number 2 (Level 3)"/>
    <w:basedOn w:val="Text2"/>
    <w:rsid w:val="00436363"/>
    <w:pPr>
      <w:tabs>
        <w:tab w:val="num" w:pos="2977"/>
      </w:tabs>
      <w:ind w:left="2977" w:hanging="709"/>
    </w:pPr>
    <w:rPr>
      <w:rFonts w:eastAsia="Times New Roman"/>
      <w:lang w:eastAsia="en-GB"/>
    </w:rPr>
  </w:style>
  <w:style w:type="paragraph" w:customStyle="1" w:styleId="ListNumber3Level3">
    <w:name w:val="List Number 3 (Level 3)"/>
    <w:basedOn w:val="Text3"/>
    <w:rsid w:val="00436363"/>
    <w:pPr>
      <w:tabs>
        <w:tab w:val="num" w:pos="2977"/>
      </w:tabs>
      <w:ind w:left="2977" w:hanging="709"/>
    </w:pPr>
    <w:rPr>
      <w:rFonts w:eastAsia="Times New Roman"/>
      <w:lang w:eastAsia="en-GB"/>
    </w:rPr>
  </w:style>
  <w:style w:type="paragraph" w:customStyle="1" w:styleId="ListNumber4Level3">
    <w:name w:val="List Number 4 (Level 3)"/>
    <w:basedOn w:val="Text4"/>
    <w:rsid w:val="00436363"/>
    <w:pPr>
      <w:tabs>
        <w:tab w:val="num" w:pos="2977"/>
      </w:tabs>
      <w:ind w:left="2977" w:hanging="709"/>
    </w:pPr>
    <w:rPr>
      <w:rFonts w:eastAsia="Times New Roman"/>
      <w:lang w:eastAsia="en-GB"/>
    </w:rPr>
  </w:style>
  <w:style w:type="paragraph" w:customStyle="1" w:styleId="ListNumber1Level4">
    <w:name w:val="List Number 1 (Level 4)"/>
    <w:basedOn w:val="Text1"/>
    <w:rsid w:val="00436363"/>
    <w:pPr>
      <w:numPr>
        <w:ilvl w:val="3"/>
        <w:numId w:val="24"/>
      </w:numPr>
    </w:pPr>
    <w:rPr>
      <w:rFonts w:eastAsia="Times New Roman"/>
      <w:lang w:eastAsia="en-GB"/>
    </w:rPr>
  </w:style>
  <w:style w:type="paragraph" w:customStyle="1" w:styleId="ListNumber2Level4">
    <w:name w:val="List Number 2 (Level 4)"/>
    <w:basedOn w:val="Text2"/>
    <w:rsid w:val="00436363"/>
    <w:pPr>
      <w:tabs>
        <w:tab w:val="num" w:pos="3686"/>
      </w:tabs>
      <w:ind w:left="3686" w:hanging="709"/>
    </w:pPr>
    <w:rPr>
      <w:rFonts w:eastAsia="Times New Roman"/>
      <w:lang w:eastAsia="en-GB"/>
    </w:rPr>
  </w:style>
  <w:style w:type="paragraph" w:customStyle="1" w:styleId="ListNumber3Level4">
    <w:name w:val="List Number 3 (Level 4)"/>
    <w:basedOn w:val="Text3"/>
    <w:rsid w:val="00436363"/>
    <w:pPr>
      <w:tabs>
        <w:tab w:val="num" w:pos="3686"/>
      </w:tabs>
      <w:ind w:left="3686" w:hanging="709"/>
    </w:pPr>
    <w:rPr>
      <w:rFonts w:eastAsia="Times New Roman"/>
      <w:lang w:eastAsia="en-GB"/>
    </w:rPr>
  </w:style>
  <w:style w:type="paragraph" w:customStyle="1" w:styleId="ListNumber4Level4">
    <w:name w:val="List Number 4 (Level 4)"/>
    <w:basedOn w:val="Text4"/>
    <w:rsid w:val="00436363"/>
    <w:pPr>
      <w:tabs>
        <w:tab w:val="num" w:pos="3686"/>
      </w:tabs>
      <w:ind w:left="3686" w:hanging="709"/>
    </w:pPr>
    <w:rPr>
      <w:rFonts w:eastAsia="Times New Roman"/>
      <w:lang w:eastAsia="en-GB"/>
    </w:rPr>
  </w:style>
  <w:style w:type="paragraph" w:customStyle="1" w:styleId="Annexetitreacte">
    <w:name w:val="Annexe titre (acte)"/>
    <w:basedOn w:val="Normal"/>
    <w:next w:val="Normal"/>
    <w:rsid w:val="00436363"/>
    <w:pPr>
      <w:jc w:val="center"/>
    </w:pPr>
    <w:rPr>
      <w:rFonts w:eastAsia="Times New Roman"/>
      <w:b/>
      <w:u w:val="single"/>
      <w:lang w:eastAsia="en-GB"/>
    </w:rPr>
  </w:style>
  <w:style w:type="paragraph" w:customStyle="1" w:styleId="Annexetitreexposglobal">
    <w:name w:val="Annexe titre (exposé global)"/>
    <w:basedOn w:val="Normal"/>
    <w:next w:val="Normal"/>
    <w:rsid w:val="00436363"/>
    <w:pPr>
      <w:jc w:val="center"/>
    </w:pPr>
    <w:rPr>
      <w:rFonts w:eastAsia="Times New Roman"/>
      <w:b/>
      <w:u w:val="single"/>
      <w:lang w:eastAsia="en-GB"/>
    </w:rPr>
  </w:style>
  <w:style w:type="paragraph" w:customStyle="1" w:styleId="Annexetitrefichefinacte">
    <w:name w:val="Annexe titre (fiche fin. acte)"/>
    <w:basedOn w:val="Normal"/>
    <w:next w:val="Normal"/>
    <w:rsid w:val="00436363"/>
    <w:pPr>
      <w:jc w:val="center"/>
    </w:pPr>
    <w:rPr>
      <w:rFonts w:eastAsia="Times New Roman"/>
      <w:b/>
      <w:u w:val="single"/>
      <w:lang w:eastAsia="en-GB"/>
    </w:rPr>
  </w:style>
  <w:style w:type="paragraph" w:customStyle="1" w:styleId="Annexetitrefichefinglobale">
    <w:name w:val="Annexe titre (fiche fin. globale)"/>
    <w:basedOn w:val="Normal"/>
    <w:next w:val="Normal"/>
    <w:rsid w:val="00436363"/>
    <w:pPr>
      <w:jc w:val="center"/>
    </w:pPr>
    <w:rPr>
      <w:rFonts w:eastAsia="Times New Roman"/>
      <w:b/>
      <w:u w:val="single"/>
      <w:lang w:eastAsia="en-GB"/>
    </w:rPr>
  </w:style>
  <w:style w:type="paragraph" w:customStyle="1" w:styleId="Annexetitreglobale">
    <w:name w:val="Annexe titre (globale)"/>
    <w:basedOn w:val="Normal"/>
    <w:next w:val="Normal"/>
    <w:rsid w:val="00436363"/>
    <w:pPr>
      <w:jc w:val="center"/>
    </w:pPr>
    <w:rPr>
      <w:rFonts w:eastAsia="Times New Roman"/>
      <w:b/>
      <w:u w:val="single"/>
      <w:lang w:eastAsia="en-GB"/>
    </w:rPr>
  </w:style>
  <w:style w:type="paragraph" w:customStyle="1" w:styleId="Exposdesmotifstitreglobal">
    <w:name w:val="Exposé des motifs titre (global)"/>
    <w:basedOn w:val="Normal"/>
    <w:next w:val="Normal"/>
    <w:rsid w:val="00436363"/>
    <w:pPr>
      <w:jc w:val="center"/>
    </w:pPr>
    <w:rPr>
      <w:rFonts w:eastAsia="Times New Roman"/>
      <w:b/>
      <w:u w:val="single"/>
      <w:lang w:eastAsia="en-GB"/>
    </w:rPr>
  </w:style>
  <w:style w:type="paragraph" w:customStyle="1" w:styleId="Langueoriginale">
    <w:name w:val="Langue originale"/>
    <w:basedOn w:val="Normal"/>
    <w:rsid w:val="00436363"/>
    <w:pPr>
      <w:spacing w:before="360"/>
      <w:jc w:val="center"/>
    </w:pPr>
    <w:rPr>
      <w:rFonts w:eastAsia="Times New Roman"/>
      <w:caps/>
      <w:lang w:eastAsia="en-GB"/>
    </w:rPr>
  </w:style>
  <w:style w:type="paragraph" w:customStyle="1" w:styleId="Phrasefinale">
    <w:name w:val="Phrase finale"/>
    <w:basedOn w:val="Normal"/>
    <w:next w:val="Normal"/>
    <w:rsid w:val="00436363"/>
    <w:pPr>
      <w:spacing w:before="360" w:after="0"/>
      <w:jc w:val="center"/>
    </w:pPr>
    <w:rPr>
      <w:rFonts w:eastAsia="Times New Roman"/>
      <w:lang w:eastAsia="en-GB"/>
    </w:rPr>
  </w:style>
  <w:style w:type="paragraph" w:customStyle="1" w:styleId="Prliminairetitre">
    <w:name w:val="Préliminaire titre"/>
    <w:basedOn w:val="Normal"/>
    <w:next w:val="Normal"/>
    <w:rsid w:val="00436363"/>
    <w:pPr>
      <w:spacing w:before="360" w:after="360"/>
      <w:jc w:val="center"/>
    </w:pPr>
    <w:rPr>
      <w:rFonts w:eastAsia="Times New Roman"/>
      <w:b/>
      <w:lang w:eastAsia="en-GB"/>
    </w:rPr>
  </w:style>
  <w:style w:type="paragraph" w:customStyle="1" w:styleId="Prliminairetype">
    <w:name w:val="Préliminaire type"/>
    <w:basedOn w:val="Normal"/>
    <w:next w:val="Normal"/>
    <w:rsid w:val="00436363"/>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436363"/>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436363"/>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436363"/>
    <w:pPr>
      <w:spacing w:before="0" w:after="0"/>
      <w:ind w:left="5103"/>
      <w:jc w:val="left"/>
    </w:pPr>
    <w:rPr>
      <w:rFonts w:eastAsia="Times New Roman"/>
      <w:lang w:eastAsia="en-GB"/>
    </w:rPr>
  </w:style>
  <w:style w:type="paragraph" w:customStyle="1" w:styleId="Sous-titreobjetprliminaire">
    <w:name w:val="Sous-titre objet (préliminaire)"/>
    <w:basedOn w:val="Normal"/>
    <w:rsid w:val="00436363"/>
    <w:pPr>
      <w:spacing w:before="0" w:after="0"/>
      <w:jc w:val="center"/>
    </w:pPr>
    <w:rPr>
      <w:rFonts w:eastAsia="Times New Roman"/>
      <w:b/>
      <w:lang w:eastAsia="en-GB"/>
    </w:rPr>
  </w:style>
  <w:style w:type="paragraph" w:customStyle="1" w:styleId="Statutprliminaire">
    <w:name w:val="Statut (préliminaire)"/>
    <w:basedOn w:val="Normal"/>
    <w:next w:val="Normal"/>
    <w:rsid w:val="00436363"/>
    <w:pPr>
      <w:spacing w:before="360" w:after="0"/>
      <w:jc w:val="center"/>
    </w:pPr>
    <w:rPr>
      <w:rFonts w:eastAsia="Times New Roman"/>
      <w:lang w:eastAsia="en-GB"/>
    </w:rPr>
  </w:style>
  <w:style w:type="paragraph" w:customStyle="1" w:styleId="Titreobjetprliminaire">
    <w:name w:val="Titre objet (préliminaire)"/>
    <w:basedOn w:val="Normal"/>
    <w:next w:val="Normal"/>
    <w:rsid w:val="00436363"/>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436363"/>
    <w:pPr>
      <w:spacing w:before="360" w:after="0"/>
      <w:jc w:val="center"/>
    </w:pPr>
    <w:rPr>
      <w:rFonts w:eastAsia="Times New Roman"/>
      <w:b/>
      <w:lang w:eastAsia="en-GB"/>
    </w:rPr>
  </w:style>
  <w:style w:type="paragraph" w:customStyle="1" w:styleId="Fichefinancirestandardtitreacte">
    <w:name w:val="Fiche financière (standard) titre (acte)"/>
    <w:basedOn w:val="Normal"/>
    <w:next w:val="Normal"/>
    <w:rsid w:val="00436363"/>
    <w:pPr>
      <w:jc w:val="center"/>
    </w:pPr>
    <w:rPr>
      <w:rFonts w:eastAsia="Times New Roman"/>
      <w:b/>
      <w:u w:val="single"/>
      <w:lang w:eastAsia="en-GB"/>
    </w:rPr>
  </w:style>
  <w:style w:type="paragraph" w:customStyle="1" w:styleId="Fichefinanciretravailtitre">
    <w:name w:val="Fiche financière (travail) titre"/>
    <w:basedOn w:val="Normal"/>
    <w:next w:val="Normal"/>
    <w:rsid w:val="00436363"/>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436363"/>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436363"/>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436363"/>
    <w:pPr>
      <w:jc w:val="center"/>
    </w:pPr>
    <w:rPr>
      <w:rFonts w:eastAsia="Times New Roman"/>
      <w:b/>
      <w:u w:val="single"/>
      <w:lang w:eastAsia="en-GB"/>
    </w:rPr>
  </w:style>
  <w:style w:type="character" w:styleId="PageNumber">
    <w:name w:val="page number"/>
    <w:rsid w:val="00436363"/>
  </w:style>
  <w:style w:type="character" w:customStyle="1" w:styleId="tw4winMark">
    <w:name w:val="tw4winMark"/>
    <w:rsid w:val="00436363"/>
    <w:rPr>
      <w:vanish/>
      <w:color w:val="800080"/>
      <w:vertAlign w:val="subscript"/>
    </w:rPr>
  </w:style>
  <w:style w:type="paragraph" w:styleId="Header">
    <w:name w:val="header"/>
    <w:basedOn w:val="Normal"/>
    <w:link w:val="HeaderChar"/>
    <w:uiPriority w:val="99"/>
    <w:unhideWhenUsed/>
    <w:rsid w:val="00C51A3C"/>
    <w:pPr>
      <w:tabs>
        <w:tab w:val="center" w:pos="4535"/>
        <w:tab w:val="right" w:pos="9071"/>
      </w:tabs>
      <w:spacing w:before="0"/>
    </w:pPr>
  </w:style>
  <w:style w:type="character" w:customStyle="1" w:styleId="HeaderChar">
    <w:name w:val="Header Char"/>
    <w:basedOn w:val="DefaultParagraphFont"/>
    <w:link w:val="Header"/>
    <w:uiPriority w:val="99"/>
    <w:rsid w:val="00C51A3C"/>
    <w:rPr>
      <w:rFonts w:ascii="Times New Roman" w:hAnsi="Times New Roman" w:cs="Times New Roman"/>
      <w:sz w:val="24"/>
      <w:lang w:val="el-GR"/>
    </w:rPr>
  </w:style>
  <w:style w:type="paragraph" w:styleId="Footer">
    <w:name w:val="footer"/>
    <w:basedOn w:val="Normal"/>
    <w:link w:val="FooterChar"/>
    <w:uiPriority w:val="99"/>
    <w:unhideWhenUsed/>
    <w:rsid w:val="00C51A3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51A3C"/>
    <w:rPr>
      <w:rFonts w:ascii="Times New Roman" w:hAnsi="Times New Roman" w:cs="Times New Roman"/>
      <w:sz w:val="24"/>
      <w:lang w:val="el-GR"/>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C51A3C"/>
    <w:pPr>
      <w:tabs>
        <w:tab w:val="center" w:pos="7285"/>
        <w:tab w:val="right" w:pos="14003"/>
      </w:tabs>
      <w:spacing w:before="0"/>
    </w:pPr>
  </w:style>
  <w:style w:type="paragraph" w:customStyle="1" w:styleId="FooterLandscape">
    <w:name w:val="FooterLandscape"/>
    <w:basedOn w:val="Normal"/>
    <w:rsid w:val="00C51A3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C51A3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51A3C"/>
    <w:pPr>
      <w:spacing w:before="0"/>
      <w:jc w:val="right"/>
    </w:pPr>
    <w:rPr>
      <w:sz w:val="28"/>
    </w:rPr>
  </w:style>
  <w:style w:type="paragraph" w:customStyle="1" w:styleId="FooterSensitivity">
    <w:name w:val="Footer Sensitivity"/>
    <w:basedOn w:val="Normal"/>
    <w:rsid w:val="00C51A3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31"/>
      </w:numPr>
    </w:pPr>
  </w:style>
  <w:style w:type="paragraph" w:customStyle="1" w:styleId="Tiret1">
    <w:name w:val="Tiret 1"/>
    <w:basedOn w:val="Point1"/>
    <w:rsid w:val="009B7138"/>
    <w:pPr>
      <w:numPr>
        <w:numId w:val="32"/>
      </w:numPr>
    </w:pPr>
  </w:style>
  <w:style w:type="paragraph" w:customStyle="1" w:styleId="Tiret2">
    <w:name w:val="Tiret 2"/>
    <w:basedOn w:val="Point2"/>
    <w:rsid w:val="009B7138"/>
    <w:pPr>
      <w:numPr>
        <w:numId w:val="33"/>
      </w:numPr>
    </w:pPr>
  </w:style>
  <w:style w:type="paragraph" w:customStyle="1" w:styleId="Tiret3">
    <w:name w:val="Tiret 3"/>
    <w:basedOn w:val="Point3"/>
    <w:rsid w:val="009B7138"/>
    <w:pPr>
      <w:numPr>
        <w:numId w:val="34"/>
      </w:numPr>
    </w:pPr>
  </w:style>
  <w:style w:type="paragraph" w:customStyle="1" w:styleId="Tiret4">
    <w:name w:val="Tiret 4"/>
    <w:basedOn w:val="Point4"/>
    <w:rsid w:val="009B7138"/>
    <w:pPr>
      <w:numPr>
        <w:numId w:val="35"/>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51"/>
      </w:numPr>
    </w:pPr>
  </w:style>
  <w:style w:type="paragraph" w:customStyle="1" w:styleId="NumPar2">
    <w:name w:val="NumPar 2"/>
    <w:basedOn w:val="Normal"/>
    <w:next w:val="Text1"/>
    <w:rsid w:val="009B7138"/>
    <w:pPr>
      <w:numPr>
        <w:ilvl w:val="1"/>
        <w:numId w:val="51"/>
      </w:numPr>
    </w:pPr>
  </w:style>
  <w:style w:type="paragraph" w:customStyle="1" w:styleId="NumPar3">
    <w:name w:val="NumPar 3"/>
    <w:basedOn w:val="Normal"/>
    <w:next w:val="Text1"/>
    <w:rsid w:val="009B7138"/>
    <w:pPr>
      <w:numPr>
        <w:ilvl w:val="2"/>
        <w:numId w:val="51"/>
      </w:numPr>
    </w:pPr>
  </w:style>
  <w:style w:type="paragraph" w:customStyle="1" w:styleId="NumPar4">
    <w:name w:val="NumPar 4"/>
    <w:basedOn w:val="Normal"/>
    <w:next w:val="Text1"/>
    <w:rsid w:val="009B7138"/>
    <w:pPr>
      <w:numPr>
        <w:ilvl w:val="3"/>
        <w:numId w:val="51"/>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DE79FE"/>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8"/>
      </w:numPr>
    </w:pPr>
  </w:style>
  <w:style w:type="paragraph" w:customStyle="1" w:styleId="Point1number">
    <w:name w:val="Point 1 (number)"/>
    <w:basedOn w:val="Normal"/>
    <w:rsid w:val="009B7138"/>
    <w:pPr>
      <w:numPr>
        <w:ilvl w:val="2"/>
        <w:numId w:val="38"/>
      </w:numPr>
    </w:pPr>
  </w:style>
  <w:style w:type="paragraph" w:customStyle="1" w:styleId="Point2number">
    <w:name w:val="Point 2 (number)"/>
    <w:basedOn w:val="Normal"/>
    <w:rsid w:val="009B7138"/>
    <w:pPr>
      <w:numPr>
        <w:ilvl w:val="4"/>
        <w:numId w:val="38"/>
      </w:numPr>
    </w:pPr>
  </w:style>
  <w:style w:type="paragraph" w:customStyle="1" w:styleId="Point3number">
    <w:name w:val="Point 3 (number)"/>
    <w:basedOn w:val="Normal"/>
    <w:rsid w:val="009B7138"/>
    <w:pPr>
      <w:numPr>
        <w:ilvl w:val="6"/>
        <w:numId w:val="38"/>
      </w:numPr>
    </w:pPr>
  </w:style>
  <w:style w:type="paragraph" w:customStyle="1" w:styleId="Point0letter">
    <w:name w:val="Point 0 (letter)"/>
    <w:basedOn w:val="Normal"/>
    <w:rsid w:val="009B7138"/>
    <w:pPr>
      <w:numPr>
        <w:ilvl w:val="1"/>
        <w:numId w:val="38"/>
      </w:numPr>
    </w:pPr>
  </w:style>
  <w:style w:type="paragraph" w:customStyle="1" w:styleId="Point1letter">
    <w:name w:val="Point 1 (letter)"/>
    <w:basedOn w:val="Normal"/>
    <w:rsid w:val="009B7138"/>
    <w:pPr>
      <w:numPr>
        <w:ilvl w:val="3"/>
        <w:numId w:val="38"/>
      </w:numPr>
    </w:pPr>
  </w:style>
  <w:style w:type="paragraph" w:customStyle="1" w:styleId="Point2letter">
    <w:name w:val="Point 2 (letter)"/>
    <w:basedOn w:val="Normal"/>
    <w:rsid w:val="009B7138"/>
    <w:pPr>
      <w:numPr>
        <w:ilvl w:val="5"/>
        <w:numId w:val="38"/>
      </w:numPr>
    </w:pPr>
  </w:style>
  <w:style w:type="paragraph" w:customStyle="1" w:styleId="Point3letter">
    <w:name w:val="Point 3 (letter)"/>
    <w:basedOn w:val="Normal"/>
    <w:rsid w:val="009B7138"/>
    <w:pPr>
      <w:numPr>
        <w:ilvl w:val="7"/>
        <w:numId w:val="38"/>
      </w:numPr>
    </w:pPr>
  </w:style>
  <w:style w:type="paragraph" w:customStyle="1" w:styleId="Point4letter">
    <w:name w:val="Point 4 (letter)"/>
    <w:basedOn w:val="Normal"/>
    <w:rsid w:val="009B7138"/>
    <w:pPr>
      <w:numPr>
        <w:ilvl w:val="8"/>
        <w:numId w:val="38"/>
      </w:numPr>
    </w:pPr>
  </w:style>
  <w:style w:type="paragraph" w:customStyle="1" w:styleId="Bullet0">
    <w:name w:val="Bullet 0"/>
    <w:basedOn w:val="Normal"/>
    <w:rsid w:val="009B7138"/>
    <w:pPr>
      <w:numPr>
        <w:numId w:val="39"/>
      </w:numPr>
    </w:pPr>
  </w:style>
  <w:style w:type="paragraph" w:customStyle="1" w:styleId="Bullet1">
    <w:name w:val="Bullet 1"/>
    <w:basedOn w:val="Normal"/>
    <w:rsid w:val="009B7138"/>
    <w:pPr>
      <w:numPr>
        <w:numId w:val="40"/>
      </w:numPr>
    </w:pPr>
  </w:style>
  <w:style w:type="paragraph" w:customStyle="1" w:styleId="Bullet2">
    <w:name w:val="Bullet 2"/>
    <w:basedOn w:val="Normal"/>
    <w:rsid w:val="009B7138"/>
    <w:pPr>
      <w:numPr>
        <w:numId w:val="41"/>
      </w:numPr>
    </w:pPr>
  </w:style>
  <w:style w:type="paragraph" w:customStyle="1" w:styleId="Bullet3">
    <w:name w:val="Bullet 3"/>
    <w:basedOn w:val="Normal"/>
    <w:rsid w:val="009B7138"/>
    <w:pPr>
      <w:numPr>
        <w:numId w:val="42"/>
      </w:numPr>
    </w:pPr>
  </w:style>
  <w:style w:type="paragraph" w:customStyle="1" w:styleId="Bullet4">
    <w:name w:val="Bullet 4"/>
    <w:basedOn w:val="Normal"/>
    <w:rsid w:val="009B7138"/>
    <w:pPr>
      <w:numPr>
        <w:numId w:val="43"/>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44"/>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C55AFD"/>
    <w:rPr>
      <w:rFonts w:ascii="Times New Roman" w:eastAsiaTheme="majorEastAsia" w:hAnsi="Times New Roman" w:cs="Times New Roman"/>
      <w:sz w:val="24"/>
      <w:lang w:val="el-GR"/>
    </w:rPr>
  </w:style>
  <w:style w:type="character" w:customStyle="1" w:styleId="Heading6Char">
    <w:name w:val="Heading 6 Char"/>
    <w:basedOn w:val="DefaultParagraphFont"/>
    <w:link w:val="Heading6"/>
    <w:uiPriority w:val="9"/>
    <w:semiHidden/>
    <w:rsid w:val="00C55AFD"/>
    <w:rPr>
      <w:rFonts w:ascii="Times New Roman" w:eastAsiaTheme="majorEastAsia" w:hAnsi="Times New Roman" w:cs="Times New Roman"/>
      <w:iCs/>
      <w:sz w:val="24"/>
      <w:lang w:val="el-GR"/>
    </w:rPr>
  </w:style>
  <w:style w:type="character" w:customStyle="1" w:styleId="Heading7Char">
    <w:name w:val="Heading 7 Char"/>
    <w:basedOn w:val="DefaultParagraphFont"/>
    <w:link w:val="Heading7"/>
    <w:uiPriority w:val="9"/>
    <w:semiHidden/>
    <w:rsid w:val="00C55AFD"/>
    <w:rPr>
      <w:rFonts w:ascii="Times New Roman" w:eastAsiaTheme="majorEastAsia" w:hAnsi="Times New Roman" w:cs="Times New Roman"/>
      <w:iCs/>
      <w:sz w:val="24"/>
      <w:lang w:val="el-GR"/>
    </w:rPr>
  </w:style>
  <w:style w:type="paragraph" w:customStyle="1" w:styleId="ManualHeading5">
    <w:name w:val="Manual Heading 5"/>
    <w:basedOn w:val="Normal"/>
    <w:next w:val="Text2"/>
    <w:rsid w:val="00C55AFD"/>
    <w:pPr>
      <w:keepNext/>
      <w:tabs>
        <w:tab w:val="left" w:pos="1417"/>
      </w:tabs>
      <w:ind w:left="1417" w:hanging="1417"/>
      <w:outlineLvl w:val="4"/>
    </w:pPr>
  </w:style>
  <w:style w:type="paragraph" w:customStyle="1" w:styleId="ManualHeading6">
    <w:name w:val="Manual Heading 6"/>
    <w:basedOn w:val="Normal"/>
    <w:next w:val="Text2"/>
    <w:rsid w:val="00C55AFD"/>
    <w:pPr>
      <w:keepNext/>
      <w:tabs>
        <w:tab w:val="left" w:pos="1417"/>
      </w:tabs>
      <w:ind w:left="1417" w:hanging="1417"/>
      <w:outlineLvl w:val="5"/>
    </w:pPr>
  </w:style>
  <w:style w:type="paragraph" w:customStyle="1" w:styleId="ManualHeading7">
    <w:name w:val="Manual Heading 7"/>
    <w:basedOn w:val="Normal"/>
    <w:next w:val="Text2"/>
    <w:rsid w:val="00C55AFD"/>
    <w:pPr>
      <w:keepNext/>
      <w:tabs>
        <w:tab w:val="left" w:pos="1417"/>
      </w:tabs>
      <w:ind w:left="1417" w:hanging="1417"/>
      <w:outlineLvl w:val="6"/>
    </w:pPr>
  </w:style>
  <w:style w:type="paragraph" w:customStyle="1" w:styleId="Text5">
    <w:name w:val="Text 5"/>
    <w:basedOn w:val="Normal"/>
    <w:rsid w:val="00C55AFD"/>
    <w:pPr>
      <w:ind w:left="3118"/>
    </w:pPr>
  </w:style>
  <w:style w:type="paragraph" w:customStyle="1" w:styleId="Text6">
    <w:name w:val="Text 6"/>
    <w:basedOn w:val="Normal"/>
    <w:rsid w:val="00C55AFD"/>
    <w:pPr>
      <w:ind w:left="3685"/>
    </w:pPr>
  </w:style>
  <w:style w:type="paragraph" w:customStyle="1" w:styleId="Point5">
    <w:name w:val="Point 5"/>
    <w:basedOn w:val="Normal"/>
    <w:rsid w:val="00C55AFD"/>
    <w:pPr>
      <w:ind w:left="3685" w:hanging="567"/>
    </w:pPr>
  </w:style>
  <w:style w:type="paragraph" w:customStyle="1" w:styleId="Tiret5">
    <w:name w:val="Tiret 5"/>
    <w:basedOn w:val="Point5"/>
    <w:rsid w:val="00C55AFD"/>
    <w:pPr>
      <w:numPr>
        <w:numId w:val="48"/>
      </w:numPr>
    </w:pPr>
  </w:style>
  <w:style w:type="paragraph" w:customStyle="1" w:styleId="NumPar5">
    <w:name w:val="NumPar 5"/>
    <w:basedOn w:val="Normal"/>
    <w:next w:val="Text2"/>
    <w:rsid w:val="00C55AFD"/>
    <w:pPr>
      <w:numPr>
        <w:ilvl w:val="4"/>
        <w:numId w:val="51"/>
      </w:numPr>
    </w:pPr>
  </w:style>
  <w:style w:type="paragraph" w:customStyle="1" w:styleId="NumPar6">
    <w:name w:val="NumPar 6"/>
    <w:basedOn w:val="Normal"/>
    <w:next w:val="Text2"/>
    <w:rsid w:val="00C55AFD"/>
    <w:pPr>
      <w:numPr>
        <w:ilvl w:val="5"/>
        <w:numId w:val="51"/>
      </w:numPr>
    </w:pPr>
  </w:style>
  <w:style w:type="paragraph" w:customStyle="1" w:styleId="NumPar7">
    <w:name w:val="NumPar 7"/>
    <w:basedOn w:val="Normal"/>
    <w:next w:val="Text2"/>
    <w:rsid w:val="00C55AFD"/>
    <w:pPr>
      <w:numPr>
        <w:ilvl w:val="6"/>
        <w:numId w:val="51"/>
      </w:numPr>
    </w:pPr>
  </w:style>
  <w:style w:type="paragraph" w:customStyle="1" w:styleId="ManualNumPar5">
    <w:name w:val="Manual NumPar 5"/>
    <w:basedOn w:val="Normal"/>
    <w:next w:val="Text2"/>
    <w:rsid w:val="00C55AFD"/>
    <w:pPr>
      <w:ind w:left="1417" w:hanging="1417"/>
    </w:pPr>
  </w:style>
  <w:style w:type="paragraph" w:customStyle="1" w:styleId="ManualNumPar6">
    <w:name w:val="Manual NumPar 6"/>
    <w:basedOn w:val="Normal"/>
    <w:next w:val="Text2"/>
    <w:rsid w:val="00C55AFD"/>
    <w:pPr>
      <w:ind w:left="1417" w:hanging="1417"/>
    </w:pPr>
  </w:style>
  <w:style w:type="paragraph" w:customStyle="1" w:styleId="ManualNumPar7">
    <w:name w:val="Manual NumPar 7"/>
    <w:basedOn w:val="Normal"/>
    <w:next w:val="Text2"/>
    <w:rsid w:val="00C55AFD"/>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2410">
      <w:bodyDiv w:val="1"/>
      <w:marLeft w:val="0"/>
      <w:marRight w:val="0"/>
      <w:marTop w:val="0"/>
      <w:marBottom w:val="0"/>
      <w:divBdr>
        <w:top w:val="none" w:sz="0" w:space="0" w:color="auto"/>
        <w:left w:val="none" w:sz="0" w:space="0" w:color="auto"/>
        <w:bottom w:val="none" w:sz="0" w:space="0" w:color="auto"/>
        <w:right w:val="none" w:sz="0" w:space="0" w:color="auto"/>
      </w:divBdr>
    </w:div>
    <w:div w:id="204606109">
      <w:bodyDiv w:val="1"/>
      <w:marLeft w:val="0"/>
      <w:marRight w:val="0"/>
      <w:marTop w:val="0"/>
      <w:marBottom w:val="0"/>
      <w:divBdr>
        <w:top w:val="none" w:sz="0" w:space="0" w:color="auto"/>
        <w:left w:val="none" w:sz="0" w:space="0" w:color="auto"/>
        <w:bottom w:val="none" w:sz="0" w:space="0" w:color="auto"/>
        <w:right w:val="none" w:sz="0" w:space="0" w:color="auto"/>
      </w:divBdr>
    </w:div>
    <w:div w:id="425347967">
      <w:bodyDiv w:val="1"/>
      <w:marLeft w:val="0"/>
      <w:marRight w:val="0"/>
      <w:marTop w:val="0"/>
      <w:marBottom w:val="0"/>
      <w:divBdr>
        <w:top w:val="none" w:sz="0" w:space="0" w:color="auto"/>
        <w:left w:val="none" w:sz="0" w:space="0" w:color="auto"/>
        <w:bottom w:val="none" w:sz="0" w:space="0" w:color="auto"/>
        <w:right w:val="none" w:sz="0" w:space="0" w:color="auto"/>
      </w:divBdr>
    </w:div>
    <w:div w:id="508561315">
      <w:bodyDiv w:val="1"/>
      <w:marLeft w:val="0"/>
      <w:marRight w:val="0"/>
      <w:marTop w:val="0"/>
      <w:marBottom w:val="0"/>
      <w:divBdr>
        <w:top w:val="none" w:sz="0" w:space="0" w:color="auto"/>
        <w:left w:val="none" w:sz="0" w:space="0" w:color="auto"/>
        <w:bottom w:val="none" w:sz="0" w:space="0" w:color="auto"/>
        <w:right w:val="none" w:sz="0" w:space="0" w:color="auto"/>
      </w:divBdr>
    </w:div>
    <w:div w:id="111721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3" Type="http://schemas.openxmlformats.org/officeDocument/2006/relationships/hyperlink" Target="https://op.europa.eu/el/publication-detail/-/publication/e38795b5-f633-11ea-991b-01aa75ed71a1" TargetMode="External"/><Relationship Id="rId2" Type="http://schemas.openxmlformats.org/officeDocument/2006/relationships/hyperlink" Target="https://op.europa.eu/el/publication-detail/-/publication/e38795b5-f633-11ea-991b-01aa75ed71a1" TargetMode="External"/><Relationship Id="rId1" Type="http://schemas.openxmlformats.org/officeDocument/2006/relationships/hyperlink" Target="https://op.europa.eu/el/publication-detail/-/publication/e38795b5-f633-11ea-991b-01aa75ed71a1" TargetMode="External"/><Relationship Id="rId6" Type="http://schemas.openxmlformats.org/officeDocument/2006/relationships/hyperlink" Target="https://europa.eu/european-union/sites/default/files/docs/body/joint_statement_and_common_approach_2012_el.pdf" TargetMode="External"/><Relationship Id="rId5" Type="http://schemas.openxmlformats.org/officeDocument/2006/relationships/hyperlink" Target="https://myintracomm.ec.europa.eu/budgweb/EN/man/budgmanag/Pages/budgmanag.aspx" TargetMode="External"/><Relationship Id="rId4" Type="http://schemas.openxmlformats.org/officeDocument/2006/relationships/hyperlink" Target="https://op.europa.eu/en/publication-detail/-/publication/e38795b5-f633-11ea-991b-01aa75ed71a1/languag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DDE8471860CC499C4262F7E2D12FA6" ma:contentTypeVersion="0" ma:contentTypeDescription="Create a new document." ma:contentTypeScope="" ma:versionID="a4aa80db7d0e36c965ebd04240825006">
  <xsd:schema xmlns:xsd="http://www.w3.org/2001/XMLSchema" xmlns:xs="http://www.w3.org/2001/XMLSchema" xmlns:p="http://schemas.microsoft.com/office/2006/metadata/properties" targetNamespace="http://schemas.microsoft.com/office/2006/metadata/properties" ma:root="true" ma:fieldsID="f44c2bb0c61eb8781e81cb0c95ec763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5BFB5-63CB-4B16-96A8-C3DB96060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D8BE2B-EA81-4D14-955E-D58ACAABE8F5}">
  <ds:schemaRefs>
    <ds:schemaRef ds:uri="http://schemas.microsoft.com/sharepoint/v3/contenttype/forms"/>
  </ds:schemaRefs>
</ds:datastoreItem>
</file>

<file path=customXml/itemProps3.xml><?xml version="1.0" encoding="utf-8"?>
<ds:datastoreItem xmlns:ds="http://schemas.openxmlformats.org/officeDocument/2006/customXml" ds:itemID="{D64BD3DF-C275-4BF3-8251-8093F3BEDBD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3D998EE-597B-4B67-B89A-4B92CDCD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56</Pages>
  <Words>16775</Words>
  <Characters>101323</Characters>
  <Application>Microsoft Office Word</Application>
  <DocSecurity>0</DocSecurity>
  <Lines>2533</Lines>
  <Paragraphs>992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41</cp:revision>
  <cp:lastPrinted>2021-11-17T14:22:00Z</cp:lastPrinted>
  <dcterms:created xsi:type="dcterms:W3CDTF">2021-12-20T11:44:00Z</dcterms:created>
  <dcterms:modified xsi:type="dcterms:W3CDTF">2022-01-07T10:50:00Z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0x0101005FDDE8471860CC499C4262F7E2D12FA6</vt:lpwstr>
  </property>
  <property fmtid="{D5CDD505-2E9C-101B-9397-08002B2CF9AE}" pid="11" name="IsMyDocuments">
    <vt:bool>true</vt:bool>
  </property>
  <property fmtid="{D5CDD505-2E9C-101B-9397-08002B2CF9AE}" pid="12" name="DQCStatus">
    <vt:lpwstr>Green (DQC version 03)</vt:lpwstr>
  </property>
</Properties>
</file>