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2EC688" w14:textId="2ECF008A" w:rsidR="003F209E" w:rsidRPr="008B17C0" w:rsidRDefault="00EA3F52" w:rsidP="00EA3F52">
      <w:pPr>
        <w:pStyle w:val="Pagedecouverture"/>
        <w:rPr>
          <w:noProof/>
        </w:rPr>
      </w:pPr>
      <w:r>
        <w:rPr>
          <w:noProof/>
        </w:rPr>
        <w:pict w14:anchorId="2F794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alt="DAB54187-8AA4-4B99-A87A-E2323752A5A4" style="width:455.25pt;height:369.75pt">
            <v:imagedata r:id="rId11" o:title=""/>
          </v:shape>
        </w:pict>
      </w:r>
    </w:p>
    <w:p w14:paraId="565065DA" w14:textId="77777777" w:rsidR="008E133B" w:rsidRPr="008B17C0" w:rsidRDefault="008E133B" w:rsidP="008E133B">
      <w:pPr>
        <w:rPr>
          <w:noProof/>
        </w:rPr>
        <w:sectPr w:rsidR="008E133B" w:rsidRPr="008B17C0" w:rsidSect="00EA3F52">
          <w:footerReference w:type="default" r:id="rId12"/>
          <w:pgSz w:w="11907" w:h="16839" w:code="9"/>
          <w:pgMar w:top="1134" w:right="1417" w:bottom="1134" w:left="1417" w:header="709" w:footer="709" w:gutter="0"/>
          <w:pgNumType w:start="0"/>
          <w:cols w:space="720"/>
          <w:docGrid w:linePitch="360"/>
        </w:sectPr>
      </w:pPr>
    </w:p>
    <w:p w14:paraId="772390FE" w14:textId="5CC8B431" w:rsidR="00EB0A3C" w:rsidRPr="008B17C0" w:rsidRDefault="00EB0A3C" w:rsidP="00715ADE">
      <w:pPr>
        <w:pStyle w:val="Exposdesmotifstitre"/>
        <w:rPr>
          <w:noProof/>
        </w:rPr>
      </w:pPr>
      <w:bookmarkStart w:id="0" w:name="_GoBack"/>
      <w:bookmarkEnd w:id="0"/>
      <w:r w:rsidRPr="008B17C0">
        <w:rPr>
          <w:noProof/>
        </w:rPr>
        <w:lastRenderedPageBreak/>
        <w:t>BEGRUNDELSE</w:t>
      </w:r>
    </w:p>
    <w:p w14:paraId="2A7E54B7" w14:textId="77777777" w:rsidR="00EB0A3C" w:rsidRPr="008B17C0" w:rsidRDefault="00EB0A3C" w:rsidP="00715ADE">
      <w:pPr>
        <w:pStyle w:val="ManualHeading1"/>
        <w:rPr>
          <w:noProof/>
        </w:rPr>
      </w:pPr>
      <w:bookmarkStart w:id="1" w:name="_Toc84517382"/>
      <w:bookmarkStart w:id="2" w:name="_Toc84517554"/>
      <w:r w:rsidRPr="008B17C0">
        <w:rPr>
          <w:noProof/>
        </w:rPr>
        <w:t>1.</w:t>
      </w:r>
      <w:r w:rsidRPr="008B17C0">
        <w:rPr>
          <w:noProof/>
        </w:rPr>
        <w:tab/>
        <w:t>BAGGRUND FOR FORSLAGET</w:t>
      </w:r>
      <w:bookmarkEnd w:id="1"/>
      <w:bookmarkEnd w:id="2"/>
    </w:p>
    <w:p w14:paraId="4B84AE72" w14:textId="77777777" w:rsidR="00EB0A3C" w:rsidRPr="008B17C0" w:rsidRDefault="00EB0A3C" w:rsidP="00715ADE">
      <w:pPr>
        <w:pStyle w:val="ManualHeading2"/>
        <w:rPr>
          <w:rFonts w:eastAsia="Arial Unicode MS"/>
          <w:noProof/>
        </w:rPr>
      </w:pPr>
      <w:bookmarkStart w:id="3" w:name="_Toc84517555"/>
      <w:r w:rsidRPr="008B17C0">
        <w:rPr>
          <w:noProof/>
          <w:color w:val="000000"/>
          <w:bdr w:val="nil"/>
        </w:rPr>
        <w:t>•</w:t>
      </w:r>
      <w:r w:rsidRPr="008B17C0">
        <w:rPr>
          <w:noProof/>
        </w:rPr>
        <w:tab/>
        <w:t>Forslagets begrundelse og formål</w:t>
      </w:r>
      <w:bookmarkEnd w:id="3"/>
    </w:p>
    <w:p w14:paraId="3C252D92" w14:textId="76EABD78" w:rsidR="00FC00B8" w:rsidRPr="008B17C0" w:rsidRDefault="00EB0A3C" w:rsidP="00EB0A3C">
      <w:pPr>
        <w:pBdr>
          <w:top w:val="nil"/>
          <w:left w:val="nil"/>
          <w:bottom w:val="nil"/>
          <w:right w:val="nil"/>
          <w:between w:val="nil"/>
          <w:bar w:val="nil"/>
        </w:pBdr>
        <w:spacing w:before="0" w:after="240"/>
        <w:rPr>
          <w:noProof/>
        </w:rPr>
      </w:pPr>
      <w:r w:rsidRPr="008B17C0">
        <w:rPr>
          <w:noProof/>
        </w:rPr>
        <w:t>Den Europæiske Unions Agentur for Strafferetligt Samarbejde (Eurojust) koordinerer efterforskning og retsforfølgning af grov grænseoverskridende kriminalitet i og uden for Europa. Som Den Europæiske Unions (EU) knudepunkt for retligt samarbejde i straffesager støtter Eurojust de nationale myndigheder, der har til opgave at efterforske og retsforfølge kriminalitet.</w:t>
      </w:r>
    </w:p>
    <w:p w14:paraId="795211ED" w14:textId="7D53D142" w:rsidR="000F03C5" w:rsidRPr="008B17C0" w:rsidRDefault="00FC00B8" w:rsidP="00EB0A3C">
      <w:pPr>
        <w:pBdr>
          <w:top w:val="nil"/>
          <w:left w:val="nil"/>
          <w:bottom w:val="nil"/>
          <w:right w:val="nil"/>
          <w:between w:val="nil"/>
          <w:bar w:val="nil"/>
        </w:pBdr>
        <w:spacing w:before="0" w:after="240"/>
        <w:rPr>
          <w:rFonts w:eastAsia="Arial Unicode MS"/>
          <w:noProof/>
          <w:color w:val="000000" w:themeColor="text1"/>
        </w:rPr>
      </w:pPr>
      <w:r w:rsidRPr="008B17C0">
        <w:rPr>
          <w:noProof/>
        </w:rPr>
        <w:t xml:space="preserve">Bekæmpelse af terrorisme har været en del af Eurojusts mandat siden dets oprettelse i 2002 og er fortsat en af hovedprioriteterne. </w:t>
      </w:r>
      <w:r w:rsidRPr="008B17C0">
        <w:rPr>
          <w:noProof/>
          <w:color w:val="000000" w:themeColor="text1"/>
        </w:rPr>
        <w:t>For at bekæmpe terrorisme effektivt er det afgørende, at de kompetente myndigheder effektivt udveksler relevante oplysninger indbyrdes og med EU-agenturer og -organer med henblik på at forebygge, opdage, efterforske eller retsforfølge terrorhandlinger.</w:t>
      </w:r>
    </w:p>
    <w:p w14:paraId="5C86B3C5" w14:textId="1BF2CAFA" w:rsidR="000F03C5" w:rsidRPr="008B17C0" w:rsidRDefault="00FC00B8" w:rsidP="00EB0A3C">
      <w:pPr>
        <w:pBdr>
          <w:top w:val="nil"/>
          <w:left w:val="nil"/>
          <w:bottom w:val="nil"/>
          <w:right w:val="nil"/>
          <w:between w:val="nil"/>
          <w:bar w:val="nil"/>
        </w:pBdr>
        <w:spacing w:before="0" w:after="240"/>
        <w:rPr>
          <w:rFonts w:eastAsia="Arial Unicode MS"/>
          <w:noProof/>
          <w:color w:val="000000" w:themeColor="text1"/>
        </w:rPr>
      </w:pPr>
      <w:r w:rsidRPr="008B17C0">
        <w:rPr>
          <w:noProof/>
          <w:color w:val="000000" w:themeColor="text1"/>
        </w:rPr>
        <w:t>I Rådets afgørelse 2005/671/RIA af 20. september 2005 om udveksling af oplysninger og samarbejde vedrørende terrorhandlinger</w:t>
      </w:r>
      <w:r w:rsidRPr="008B17C0">
        <w:rPr>
          <w:rStyle w:val="FootnoteReference"/>
          <w:rFonts w:eastAsia="Arial Unicode MS"/>
          <w:noProof/>
          <w:color w:val="000000" w:themeColor="text1"/>
        </w:rPr>
        <w:footnoteReference w:id="2"/>
      </w:r>
      <w:r w:rsidRPr="008B17C0">
        <w:rPr>
          <w:noProof/>
          <w:color w:val="000000" w:themeColor="text1"/>
        </w:rPr>
        <w:t xml:space="preserve"> hedder det, at det er vigtigt for terrorbekæmpelsen at have adgang til de mest fuldstændige og ajourførte oplysninger. Den fortsatte terrortrussel af kompleks karakter kræver en omfattende udveksling af oplysninger.</w:t>
      </w:r>
    </w:p>
    <w:p w14:paraId="36AB8461" w14:textId="45DBDBC7" w:rsidR="000F03C5" w:rsidRPr="008B17C0" w:rsidRDefault="00FC00B8" w:rsidP="00EB0A3C">
      <w:pPr>
        <w:pBdr>
          <w:top w:val="nil"/>
          <w:left w:val="nil"/>
          <w:bottom w:val="nil"/>
          <w:right w:val="nil"/>
          <w:between w:val="nil"/>
          <w:bar w:val="nil"/>
        </w:pBdr>
        <w:spacing w:before="0" w:after="240"/>
        <w:rPr>
          <w:rFonts w:eastAsia="Arial Unicode MS"/>
          <w:noProof/>
          <w:color w:val="000000" w:themeColor="text1"/>
        </w:rPr>
      </w:pPr>
      <w:r w:rsidRPr="008B17C0">
        <w:rPr>
          <w:noProof/>
          <w:color w:val="000000" w:themeColor="text1"/>
        </w:rPr>
        <w:t>På denne baggrund fastsættes det i Rådets afgørelse 2005/671/RIA, at medlemsstaterne skal indsamle alle relevante oplysninger, der vedrører og stammer fra strafferetlige efterforskninger i forbindelse med terrorhandlinger, som berører eller kan berøre to eller flere medlemsstater, og sende dem til Europol</w:t>
      </w:r>
      <w:r w:rsidRPr="008B17C0">
        <w:rPr>
          <w:rStyle w:val="FootnoteReference"/>
          <w:rFonts w:eastAsia="Arial Unicode MS"/>
          <w:noProof/>
          <w:color w:val="000000" w:themeColor="text1"/>
        </w:rPr>
        <w:footnoteReference w:id="3"/>
      </w:r>
      <w:r w:rsidRPr="008B17C0">
        <w:rPr>
          <w:noProof/>
          <w:color w:val="000000" w:themeColor="text1"/>
        </w:rPr>
        <w:t xml:space="preserve">. Desuden skal medlemsstaterne indsamle alle relevante oplysninger om retsforfølgning og domme for terrorhandlinger, som berører eller kan berøre to eller flere medlemsstater, og sende dem til Eurojust. Hver medlemsstat skal også stille alle relevante oplysninger, der indsamles af dens kompetente myndigheder som led i straffesager i forbindelse med terrorhandlinger, til rådighed. Disse oplysninger skal hurtigt stilles til rådighed for de kompetente myndigheder i en anden medlemsstat, hvis oplysningerne kan anvendes til forebyggelse, afsløring, efterforskning eller retsforfølgning af terrorhandlinger . </w:t>
      </w:r>
    </w:p>
    <w:p w14:paraId="6D0241B8" w14:textId="5CC78BC6" w:rsidR="00FC00B8" w:rsidRPr="008B17C0" w:rsidRDefault="00FC00B8" w:rsidP="00EB0A3C">
      <w:pPr>
        <w:pBdr>
          <w:top w:val="nil"/>
          <w:left w:val="nil"/>
          <w:bottom w:val="nil"/>
          <w:right w:val="nil"/>
          <w:between w:val="nil"/>
          <w:bar w:val="nil"/>
        </w:pBdr>
        <w:spacing w:before="0" w:after="240"/>
        <w:rPr>
          <w:noProof/>
        </w:rPr>
      </w:pPr>
      <w:r w:rsidRPr="008B17C0">
        <w:rPr>
          <w:noProof/>
          <w:color w:val="000000" w:themeColor="text1"/>
        </w:rPr>
        <w:t xml:space="preserve">Siden 2005 er betydningen af at udveksle oplysninger mellem medlemsstaterne og med Europol og Eurojust kun blevet tydeligere. </w:t>
      </w:r>
      <w:r w:rsidRPr="008B17C0">
        <w:rPr>
          <w:noProof/>
        </w:rPr>
        <w:t>Direktiv (EU) 2017/541 om bekæmpelse af terrorisme</w:t>
      </w:r>
      <w:r w:rsidRPr="008B17C0">
        <w:rPr>
          <w:rStyle w:val="FootnoteReference"/>
          <w:noProof/>
        </w:rPr>
        <w:footnoteReference w:id="4"/>
      </w:r>
      <w:r w:rsidRPr="008B17C0">
        <w:rPr>
          <w:noProof/>
        </w:rPr>
        <w:t xml:space="preserve"> ændrede Rådets afgørelse 2005/671/RIA for at sikre, at oplysninger udveksles effektivt og rettidigt mellem medlemsstaterne under hensyntagen til, at terrorhandlinger udgør en alvorlig trussel.</w:t>
      </w:r>
    </w:p>
    <w:p w14:paraId="0AA030CD" w14:textId="774CA8FE" w:rsidR="003C7DDE" w:rsidRPr="008B17C0" w:rsidRDefault="00EB0A3C" w:rsidP="003C7DDE">
      <w:pPr>
        <w:pBdr>
          <w:top w:val="nil"/>
          <w:left w:val="nil"/>
          <w:bottom w:val="nil"/>
          <w:right w:val="nil"/>
          <w:between w:val="nil"/>
          <w:bar w:val="nil"/>
        </w:pBdr>
        <w:spacing w:before="0" w:after="240"/>
        <w:rPr>
          <w:noProof/>
        </w:rPr>
      </w:pPr>
      <w:r w:rsidRPr="008B17C0">
        <w:rPr>
          <w:noProof/>
        </w:rPr>
        <w:t>Et af de centrale aspekter af Eurojusts arbejde på dette område er det europæiske retlige terrorbekæmpelsesregister. Terrorbekæmpelsesregistret blev lanceret i september 2019 på grundlag af Rådets afgørelse 2005/671/RIA. Medlemsstaterne sender oplysninger til terrorbekæmpelsesregistret om retssager vedrørende terrorhandlinger i deres jurisdiktion. Disse oplysninger opbevares og krydstjekkes i Eurojusts informationsbehandlingssystem — Eurojusts sagsforvaltningssystem (CMS) — på samme måde som operationelle oplysninger vedrørende igangværende sager om retligt samarbejde støttet af Eurojust. Målet er at identificere potentielle forbindelser mellem retlige terrorbekæmpelsesprocedurer og eventuelle koordineringsbehov som følge heraf. På grundlag af resultaterne af undersøgelsen om digital strafferet</w:t>
      </w:r>
      <w:r w:rsidRPr="008B17C0">
        <w:rPr>
          <w:rStyle w:val="FootnoteReference"/>
          <w:noProof/>
        </w:rPr>
        <w:footnoteReference w:id="5"/>
      </w:r>
      <w:r w:rsidRPr="008B17C0">
        <w:rPr>
          <w:noProof/>
        </w:rPr>
        <w:t xml:space="preserve"> blev en forbedring af terrorbekæmpelsesregistrets funktionsmåde udpeget som en af de vigtigste prioriteter i europæisk strafferet.</w:t>
      </w:r>
    </w:p>
    <w:p w14:paraId="3E7CCCD0" w14:textId="52FC1F85" w:rsidR="00D0072B" w:rsidRPr="008B17C0" w:rsidRDefault="003C7DDE" w:rsidP="00FC6272">
      <w:pPr>
        <w:pBdr>
          <w:top w:val="nil"/>
          <w:left w:val="nil"/>
          <w:bottom w:val="nil"/>
          <w:right w:val="nil"/>
          <w:between w:val="nil"/>
          <w:bar w:val="nil"/>
        </w:pBdr>
        <w:rPr>
          <w:noProof/>
        </w:rPr>
      </w:pPr>
      <w:r w:rsidRPr="008B17C0">
        <w:rPr>
          <w:noProof/>
        </w:rPr>
        <w:t>Med ikrafttrædelsen af forordning (EU) 2018/1727 om Den Europæiske Unions Agentur for Strafferetligt Samarbejde</w:t>
      </w:r>
      <w:r w:rsidRPr="008B17C0">
        <w:rPr>
          <w:rStyle w:val="FootnoteReference"/>
          <w:rFonts w:eastAsia="Arial Unicode MS"/>
          <w:noProof/>
        </w:rPr>
        <w:footnoteReference w:id="6"/>
      </w:r>
      <w:r w:rsidRPr="008B17C0">
        <w:rPr>
          <w:noProof/>
        </w:rPr>
        <w:t xml:space="preserve"> ("Eurojustforordningen") i december 2019 fik Eurojust en ny retlig ramme og blev omdannet til et EU-agentur. Da Eurojustforordningen blev vedtaget inden oprettelsen af terrorbekæmpelsesregistret, blev der ikke fastsat bestemmelser om registret og dets funktioner i Eurojustforordningen. </w:t>
      </w:r>
      <w:r w:rsidRPr="008B17C0">
        <w:rPr>
          <w:noProof/>
          <w:color w:val="000000" w:themeColor="text1"/>
        </w:rPr>
        <w:t>Dette skaber juridisk usikkerhed, navnlig fordi forholdet mellem Rådets afgørelse 2005/671/RIA og Eurojustforordningen er uklart.</w:t>
      </w:r>
    </w:p>
    <w:p w14:paraId="54CA2512" w14:textId="349F7E22" w:rsidR="00D0072B" w:rsidRPr="008B17C0" w:rsidRDefault="0018409A" w:rsidP="00D256EB">
      <w:pPr>
        <w:pBdr>
          <w:top w:val="nil"/>
          <w:left w:val="nil"/>
          <w:bottom w:val="nil"/>
          <w:right w:val="nil"/>
          <w:between w:val="nil"/>
          <w:bar w:val="nil"/>
        </w:pBdr>
        <w:spacing w:before="0" w:after="240"/>
        <w:rPr>
          <w:noProof/>
        </w:rPr>
      </w:pPr>
      <w:r w:rsidRPr="008B17C0">
        <w:rPr>
          <w:noProof/>
        </w:rPr>
        <w:t>Der er yderligere problemer med de oplysninger, som nationale datamyndigheder udveksler med Eurojust.</w:t>
      </w:r>
      <w:r w:rsidRPr="008B17C0">
        <w:rPr>
          <w:noProof/>
          <w:color w:val="000000" w:themeColor="text1"/>
        </w:rPr>
        <w:t xml:space="preserve"> I øjeblikket modtager Eurojust ofte ikke de nødvendige oplysninger fra de nationale myndigheder til at krydstjekke oplysninger om terrorsager i overensstemmelse med Rådets afgørelse 2005/671/RIA og om grov kriminalitet i overensstemmelse med artikel 21 i Eurojustforordningen. Det er der flere forklaringer på. For det første er Rådets afgørelse 2005/671/RIA ikke tilstrækkelig præcis, da det var hensigten, at den skulle have et langt bredere anvendelsesområde. Selv om den indeholder retningslinjer for, hvilke oplysninger medlemsstaterne skal sende til Eurojust, er den stadig ikke tilstrækkelig specifik. Oplysninger udveksles desuden ofte ikke på grund af manglen på sikre kommunikationskanaler og den administrative byrde, der er forbundet med manuel udtrækning af oplysningerne, da det ikke er muligt at foretage en mere struktureret og automatiseret udveksling af oplysninger uden yderligere digitalisering. </w:t>
      </w:r>
    </w:p>
    <w:p w14:paraId="69FD17C0" w14:textId="7BAC9862" w:rsidR="00D0072B" w:rsidRPr="008B17C0" w:rsidRDefault="00E56C74" w:rsidP="00D256EB">
      <w:pPr>
        <w:pBdr>
          <w:top w:val="nil"/>
          <w:left w:val="nil"/>
          <w:bottom w:val="nil"/>
          <w:right w:val="nil"/>
          <w:between w:val="nil"/>
          <w:bar w:val="nil"/>
        </w:pBdr>
        <w:spacing w:before="0" w:after="240"/>
        <w:rPr>
          <w:rFonts w:eastAsia="Arial Unicode MS"/>
          <w:noProof/>
          <w:color w:val="000000" w:themeColor="text1"/>
        </w:rPr>
      </w:pPr>
      <w:r w:rsidRPr="008B17C0">
        <w:rPr>
          <w:noProof/>
        </w:rPr>
        <w:t xml:space="preserve">Desuden begrænser det nuværende sagsforvaltningssystem og databehandlingsmiljøet Eurojusts mere proaktive rolle i det digitaliserede retlige samarbejde. Eurojusts teknisk forældede sagsforvaltningssystem kan ikke integrere og understøtte et innovativt værktøj, der kræver sikker digital udveksling og krydstjek af oplysninger, såsom terrorbekæmpelsesregistret. </w:t>
      </w:r>
      <w:r w:rsidRPr="008B17C0">
        <w:rPr>
          <w:noProof/>
          <w:color w:val="000000" w:themeColor="text1"/>
        </w:rPr>
        <w:t xml:space="preserve">Sagsforvaltningssystemets tekniske udformning er desuden beskrevet i Eurojustforordningen. </w:t>
      </w:r>
      <w:r w:rsidRPr="008B17C0">
        <w:rPr>
          <w:noProof/>
        </w:rPr>
        <w:t>I Eurojustforordningen er oprettelsen af sagsforvaltningssystemet begrænset til oprettelse af midlertidige analysedatabaser, der har til formål at støtte den administrative opfølgning på igangværende sager, og udarbejdelse af en fortegnelse</w:t>
      </w:r>
      <w:r w:rsidRPr="008B17C0">
        <w:rPr>
          <w:rStyle w:val="FootnoteReference"/>
          <w:noProof/>
        </w:rPr>
        <w:footnoteReference w:id="7"/>
      </w:r>
      <w:r w:rsidRPr="008B17C0">
        <w:rPr>
          <w:noProof/>
        </w:rPr>
        <w:t>.</w:t>
      </w:r>
      <w:r w:rsidRPr="008B17C0">
        <w:rPr>
          <w:noProof/>
          <w:color w:val="000000" w:themeColor="text1"/>
        </w:rPr>
        <w:t xml:space="preserve"> Det er ikke udtrykkeligt fastsat, at der skal oprettes en yderligere database i form af et terrorbekæmpelsesregister i sagsforvaltningssystemet. </w:t>
      </w:r>
      <w:r w:rsidRPr="008B17C0">
        <w:rPr>
          <w:noProof/>
        </w:rPr>
        <w:t>Behandling af personoplysninger uden for sagsforvaltningssystemet er forbudt</w:t>
      </w:r>
      <w:r w:rsidRPr="008B17C0">
        <w:rPr>
          <w:rStyle w:val="FootnoteReference"/>
          <w:noProof/>
        </w:rPr>
        <w:footnoteReference w:id="8"/>
      </w:r>
      <w:r w:rsidRPr="008B17C0">
        <w:rPr>
          <w:noProof/>
        </w:rPr>
        <w:t>.</w:t>
      </w:r>
      <w:r w:rsidRPr="008B17C0">
        <w:rPr>
          <w:noProof/>
          <w:color w:val="000000" w:themeColor="text1"/>
        </w:rPr>
        <w:t xml:space="preserve"> Der er derfor heller ikke lovhjemmel til at oprette en yderligere database i form af et terrorbekæmpelsesregister uden for sagsforvaltningssystemet.</w:t>
      </w:r>
    </w:p>
    <w:p w14:paraId="2D851664" w14:textId="02A288A1" w:rsidR="00D745EF" w:rsidRPr="008B17C0" w:rsidRDefault="001E1475" w:rsidP="00D256EB">
      <w:pPr>
        <w:pBdr>
          <w:top w:val="nil"/>
          <w:left w:val="nil"/>
          <w:bottom w:val="nil"/>
          <w:right w:val="nil"/>
          <w:between w:val="nil"/>
          <w:bar w:val="nil"/>
        </w:pBdr>
        <w:spacing w:before="0" w:after="240"/>
        <w:rPr>
          <w:noProof/>
        </w:rPr>
      </w:pPr>
      <w:r w:rsidRPr="008B17C0">
        <w:rPr>
          <w:noProof/>
          <w:color w:val="000000" w:themeColor="text1"/>
        </w:rPr>
        <w:t>Der er også praktiske og juridiske udfordringer i forbindelse med samarbejdet med forbindelsesanklagere fra tredjelande. Eurojust har indgået samarbejdsaftaler med 12 tredjelande</w:t>
      </w:r>
      <w:r w:rsidRPr="008B17C0">
        <w:rPr>
          <w:rStyle w:val="FootnoteReference"/>
          <w:rFonts w:eastAsia="Arial Unicode MS"/>
          <w:noProof/>
          <w:color w:val="000000" w:themeColor="text1"/>
        </w:rPr>
        <w:footnoteReference w:id="9"/>
      </w:r>
      <w:r w:rsidRPr="008B17C0">
        <w:rPr>
          <w:noProof/>
          <w:color w:val="000000" w:themeColor="text1"/>
        </w:rPr>
        <w:t xml:space="preserve"> inden Eurojustforordningens ikrafttræden. Disse aftaler indeholder bestemmelser om dataudveksling, databeskyttelsesgarantier og praktisk samarbejde, og i henhold til aftalerne kan der udstationeres forbindelsesanklagere i Eurojust for at lette samarbejdet. Disse forbindelsesanklagere arbejder side om side med deres kolleger fra EU's medlemsstater og yder støtte til grænseoverskridende efterforskninger, der involverer deres land, i overensstemmelse med de gældende samarbejdsaftaler. Der henvises imidlertid slet ikke til disse forbindelsesanklagere eller deres adgang til sagsforvaltningssystemet i Eurojustforordningen. Det er derfor i øjeblikket uklart, hvordan oplysninger, herunder personoplysninger, kan udveksles effektivt og sikkert med forbindelsesanklagere fra tredjelande i overensstemmelse med Eurojustforordningen. </w:t>
      </w:r>
    </w:p>
    <w:p w14:paraId="65B8B48C" w14:textId="24A862E2" w:rsidR="00D256EB" w:rsidRPr="008B17C0" w:rsidRDefault="003C7DDE" w:rsidP="00D256EB">
      <w:pPr>
        <w:pBdr>
          <w:top w:val="nil"/>
          <w:left w:val="nil"/>
          <w:bottom w:val="nil"/>
          <w:right w:val="nil"/>
          <w:between w:val="nil"/>
          <w:bar w:val="nil"/>
        </w:pBdr>
        <w:spacing w:before="0" w:after="240"/>
        <w:rPr>
          <w:noProof/>
        </w:rPr>
      </w:pPr>
      <w:r w:rsidRPr="008B17C0">
        <w:rPr>
          <w:noProof/>
        </w:rPr>
        <w:t>Med henblik herpå er formålet med dette forslag at give Eurojust mulighed for at spille en stærkere og mere proaktiv rolle som anført i Eurojustforordningen med hensyn til at støtte og styrke koordineringen og samarbejdet mellem de nationale myndigheder, der har til opgave at efterforske og retsforfølge grov kriminalitet, navnlig terrorhandlinger, ved at:</w:t>
      </w:r>
    </w:p>
    <w:p w14:paraId="79F33DDE" w14:textId="6AE645F3" w:rsidR="00D256EB" w:rsidRPr="008B17C0" w:rsidRDefault="001E1475" w:rsidP="00221FF8">
      <w:pPr>
        <w:pStyle w:val="Bullet0"/>
        <w:numPr>
          <w:ilvl w:val="0"/>
          <w:numId w:val="18"/>
        </w:numPr>
        <w:rPr>
          <w:noProof/>
        </w:rPr>
      </w:pPr>
      <w:r w:rsidRPr="008B17C0">
        <w:rPr>
          <w:noProof/>
        </w:rPr>
        <w:t>give Eurojust mulighed for at identificere forbindelser mellem parallelle grænseoverskridende efterforskninger og retsforfølgninger vedrørende terrorhandlinger mere effektivt og give proaktiv feedback om disse forbindelser til medlemsstaterne</w:t>
      </w:r>
    </w:p>
    <w:p w14:paraId="039953C8" w14:textId="1F1670EB" w:rsidR="00A72E78" w:rsidRPr="008B17C0" w:rsidRDefault="001E1475" w:rsidP="7CC317AF">
      <w:pPr>
        <w:pStyle w:val="Bullet0"/>
        <w:rPr>
          <w:noProof/>
        </w:rPr>
      </w:pPr>
      <w:r w:rsidRPr="008B17C0">
        <w:rPr>
          <w:noProof/>
        </w:rPr>
        <w:t>gøre dataudvekslingen mellem medlemsstaterne, Eurojust og tredjelande mere effektiv og sikker.</w:t>
      </w:r>
    </w:p>
    <w:p w14:paraId="2C2FC2F3" w14:textId="5029A814" w:rsidR="008E46D4" w:rsidRPr="008B17C0" w:rsidRDefault="00014D6B" w:rsidP="00372FD1">
      <w:pPr>
        <w:rPr>
          <w:noProof/>
        </w:rPr>
      </w:pPr>
      <w:r w:rsidRPr="008B17C0">
        <w:rPr>
          <w:noProof/>
        </w:rPr>
        <w:t xml:space="preserve">For at nå disse mål har forslaget også til formål at skabe retssikkerhed med hensyn til det præcise anvendelsesområde for forpligtelsen til at udveksle oplysninger i terrorsager og forbindelsen til Rådets afgørelse 2005/671/RIA, hvilket kræver væsentlige ændringer af Eurojustforordningen og Rådets afgørelse 2005/671/RIA. </w:t>
      </w:r>
    </w:p>
    <w:p w14:paraId="09150F66" w14:textId="4DE348D1" w:rsidR="00EB0A3C" w:rsidRPr="008B17C0" w:rsidRDefault="00EB0A3C" w:rsidP="00715ADE">
      <w:pPr>
        <w:pStyle w:val="ManualHeading2"/>
        <w:rPr>
          <w:rFonts w:eastAsia="Arial Unicode MS"/>
          <w:noProof/>
          <w:color w:val="000000" w:themeColor="text1"/>
          <w:bdr w:val="nil"/>
        </w:rPr>
      </w:pPr>
      <w:bookmarkStart w:id="4" w:name="_Toc84517556"/>
      <w:r w:rsidRPr="008B17C0">
        <w:rPr>
          <w:noProof/>
          <w:color w:val="000000" w:themeColor="text1"/>
          <w:bdr w:val="nil"/>
        </w:rPr>
        <w:t>•</w:t>
      </w:r>
      <w:r w:rsidRPr="008B17C0">
        <w:rPr>
          <w:noProof/>
        </w:rPr>
        <w:tab/>
      </w:r>
      <w:r w:rsidRPr="008B17C0">
        <w:rPr>
          <w:noProof/>
          <w:color w:val="000000" w:themeColor="text1"/>
        </w:rPr>
        <w:t>Sammenhæng med de gældende regler på samme område</w:t>
      </w:r>
      <w:bookmarkEnd w:id="4"/>
    </w:p>
    <w:p w14:paraId="07FC7DEC" w14:textId="4382BC65" w:rsidR="00EB0A3C" w:rsidRPr="008B17C0" w:rsidRDefault="00EB0A3C" w:rsidP="160710AA">
      <w:pPr>
        <w:pBdr>
          <w:top w:val="nil"/>
          <w:left w:val="nil"/>
          <w:bottom w:val="nil"/>
          <w:right w:val="nil"/>
          <w:between w:val="nil"/>
          <w:bar w:val="nil"/>
        </w:pBdr>
        <w:spacing w:before="0" w:after="240"/>
        <w:rPr>
          <w:noProof/>
        </w:rPr>
      </w:pPr>
      <w:r w:rsidRPr="008B17C0">
        <w:rPr>
          <w:noProof/>
        </w:rPr>
        <w:t>Forslaget blev bebudet i Kommissionens meddelelse om digitalisering af retsvæsenet i EU</w:t>
      </w:r>
      <w:r w:rsidRPr="008B17C0">
        <w:rPr>
          <w:rStyle w:val="FootnoteReference"/>
          <w:rFonts w:eastAsia="Arial Unicode MS"/>
          <w:noProof/>
        </w:rPr>
        <w:footnoteReference w:id="10"/>
      </w:r>
      <w:r w:rsidRPr="008B17C0">
        <w:rPr>
          <w:noProof/>
        </w:rPr>
        <w:t xml:space="preserve"> som en del af et bredere initiativ, der skal muliggøre sikker elektronisk kommunikation og udveksling af oplysninger og dokumenter mellem domstole, nationale myndigheder og agenturer for retlige og indre anliggender. I overensstemmelse med meddelelsen bygger det på e-CODEX</w:t>
      </w:r>
      <w:r w:rsidRPr="008B17C0">
        <w:rPr>
          <w:rStyle w:val="FootnoteReference"/>
          <w:noProof/>
        </w:rPr>
        <w:footnoteReference w:id="11"/>
      </w:r>
      <w:r w:rsidRPr="008B17C0">
        <w:rPr>
          <w:noProof/>
        </w:rPr>
        <w:t xml:space="preserve"> som guldstandard for sikker digital kommunikation i grænseoverskridende retssager. Som led i pakken om digitalisering af retsvæsenet og sammen med initiativet om digitalisering af det grænseoverskridende retlige samarbejde og initiativet om samarbejdsplatformen for fælles efterforskningshold er det et af forslagene i Kommissionens arbejdsprogram for 2021 under overskriften "Nyt skub i europæisk demokrati"</w:t>
      </w:r>
      <w:r w:rsidRPr="008B17C0">
        <w:rPr>
          <w:rStyle w:val="FootnoteReference"/>
          <w:noProof/>
        </w:rPr>
        <w:footnoteReference w:id="12"/>
      </w:r>
      <w:r w:rsidRPr="008B17C0">
        <w:rPr>
          <w:noProof/>
        </w:rPr>
        <w:t>.</w:t>
      </w:r>
    </w:p>
    <w:p w14:paraId="087E9E97" w14:textId="42DDA66C" w:rsidR="00F0090D" w:rsidRPr="008B17C0" w:rsidRDefault="00F0090D" w:rsidP="006A0D14">
      <w:pPr>
        <w:rPr>
          <w:noProof/>
        </w:rPr>
      </w:pPr>
      <w:r w:rsidRPr="008B17C0">
        <w:rPr>
          <w:noProof/>
        </w:rPr>
        <w:t>I forslaget tages der også hensyn til Kommissionens forslag til Europa-Parlamentets og Rådets direktiv (EU) [.../...]</w:t>
      </w:r>
      <w:r w:rsidRPr="008B17C0">
        <w:rPr>
          <w:rStyle w:val="FootnoteReference"/>
          <w:noProof/>
        </w:rPr>
        <w:footnoteReference w:id="13"/>
      </w:r>
      <w:r w:rsidRPr="008B17C0">
        <w:rPr>
          <w:noProof/>
        </w:rPr>
        <w:t xml:space="preserve"> om ændring af Rådets afgørelse 2005/671/RIA for at bringe det i overensstemmelse med direktiv 2016/680/EU</w:t>
      </w:r>
      <w:r w:rsidRPr="008B17C0">
        <w:rPr>
          <w:rStyle w:val="FootnoteReference"/>
          <w:rFonts w:eastAsia="Arial Unicode MS"/>
          <w:noProof/>
        </w:rPr>
        <w:footnoteReference w:id="14"/>
      </w:r>
      <w:r w:rsidRPr="008B17C0">
        <w:rPr>
          <w:noProof/>
        </w:rPr>
        <w:t xml:space="preserve"> (direktivet om databeskyttelse på retshåndhævelsesområdet). Der skal være en tæt koordinering under hele lovgivningsprocessen for at sikre konsekvens i ændringsforslagene.</w:t>
      </w:r>
    </w:p>
    <w:p w14:paraId="7C776D3F" w14:textId="77777777" w:rsidR="00EB0A3C" w:rsidRPr="008B17C0" w:rsidRDefault="00EB0A3C" w:rsidP="00715ADE">
      <w:pPr>
        <w:pStyle w:val="ManualHeading2"/>
        <w:rPr>
          <w:rFonts w:eastAsia="Arial Unicode MS"/>
          <w:noProof/>
          <w:color w:val="000000" w:themeColor="text1"/>
        </w:rPr>
      </w:pPr>
      <w:bookmarkStart w:id="5" w:name="_Toc84517557"/>
      <w:r w:rsidRPr="008B17C0">
        <w:rPr>
          <w:noProof/>
          <w:color w:val="000000" w:themeColor="text1"/>
          <w:bdr w:val="nil"/>
        </w:rPr>
        <w:t>•</w:t>
      </w:r>
      <w:r w:rsidRPr="008B17C0">
        <w:rPr>
          <w:noProof/>
        </w:rPr>
        <w:tab/>
      </w:r>
      <w:r w:rsidRPr="008B17C0">
        <w:rPr>
          <w:noProof/>
          <w:color w:val="000000" w:themeColor="text1"/>
        </w:rPr>
        <w:t>Sammenhæng med Unionens politik på andre områder</w:t>
      </w:r>
      <w:bookmarkEnd w:id="5"/>
    </w:p>
    <w:p w14:paraId="0CA6F1AA" w14:textId="60D8E3B3" w:rsidR="007E6658" w:rsidRPr="008B17C0" w:rsidRDefault="00DF432B" w:rsidP="007E6658">
      <w:pPr>
        <w:pBdr>
          <w:top w:val="nil"/>
          <w:left w:val="nil"/>
          <w:bottom w:val="nil"/>
          <w:right w:val="nil"/>
          <w:between w:val="nil"/>
          <w:bar w:val="nil"/>
        </w:pBdr>
        <w:spacing w:before="0" w:after="240"/>
        <w:rPr>
          <w:noProof/>
        </w:rPr>
      </w:pPr>
      <w:r w:rsidRPr="008B17C0">
        <w:rPr>
          <w:noProof/>
          <w:color w:val="000000" w:themeColor="text1"/>
        </w:rPr>
        <w:t>Betydningen af at forbedre den digitale udveksling af oplysninger om terrorsager og modernisere Eurojusts sagsforvaltningssystem er blevet understreget i flere dokumenter på højt plan såsom strategien for EU's sikkerhedsunion</w:t>
      </w:r>
      <w:r w:rsidRPr="008B17C0">
        <w:rPr>
          <w:rStyle w:val="FootnoteReference"/>
          <w:rFonts w:eastAsia="Arial Unicode MS"/>
          <w:noProof/>
          <w:color w:val="000000" w:themeColor="text1"/>
        </w:rPr>
        <w:footnoteReference w:id="15"/>
      </w:r>
      <w:r w:rsidRPr="008B17C0">
        <w:rPr>
          <w:noProof/>
          <w:color w:val="000000" w:themeColor="text1"/>
        </w:rPr>
        <w:t>, dagsordenen for bekæmpelse af terrorisme i EU</w:t>
      </w:r>
      <w:r w:rsidRPr="008B17C0">
        <w:rPr>
          <w:rStyle w:val="FootnoteReference"/>
          <w:rFonts w:eastAsia="Arial Unicode MS"/>
          <w:noProof/>
          <w:color w:val="000000" w:themeColor="text1"/>
        </w:rPr>
        <w:footnoteReference w:id="16"/>
      </w:r>
      <w:r w:rsidRPr="008B17C0">
        <w:rPr>
          <w:noProof/>
          <w:color w:val="000000" w:themeColor="text1"/>
        </w:rPr>
        <w:t xml:space="preserve"> og EU-strategien til bekæmpelse af organiseret kriminalitet</w:t>
      </w:r>
      <w:r w:rsidRPr="008B17C0">
        <w:rPr>
          <w:rStyle w:val="FootnoteReference"/>
          <w:rFonts w:eastAsia="Arial Unicode MS"/>
          <w:noProof/>
          <w:color w:val="000000" w:themeColor="text1"/>
        </w:rPr>
        <w:footnoteReference w:id="17"/>
      </w:r>
      <w:r w:rsidRPr="008B17C0">
        <w:rPr>
          <w:noProof/>
          <w:color w:val="000000" w:themeColor="text1"/>
        </w:rPr>
        <w:t xml:space="preserve">. </w:t>
      </w:r>
      <w:r w:rsidRPr="008B17C0">
        <w:rPr>
          <w:noProof/>
        </w:rPr>
        <w:t>I sidstnævnte bebudede Kommissionen, at den også vil hjælpe med at modernisere Eurojusts sagsforvaltningssystem for at gøre det lettere for Eurojust at give feedback til nationale myndigheder og finde retlige forbindelser mellem igangværende efterforskninger.</w:t>
      </w:r>
    </w:p>
    <w:p w14:paraId="7B91D042" w14:textId="2479ACD9" w:rsidR="00DF432B" w:rsidRPr="008B17C0" w:rsidRDefault="007E6658" w:rsidP="00715ADE">
      <w:pPr>
        <w:pBdr>
          <w:top w:val="nil"/>
          <w:left w:val="nil"/>
          <w:bottom w:val="nil"/>
          <w:right w:val="nil"/>
          <w:between w:val="nil"/>
          <w:bar w:val="nil"/>
        </w:pBdr>
        <w:spacing w:before="0" w:after="240"/>
        <w:rPr>
          <w:noProof/>
        </w:rPr>
      </w:pPr>
      <w:r w:rsidRPr="008B17C0">
        <w:rPr>
          <w:noProof/>
        </w:rPr>
        <w:t>I forslaget tages der også fuldt ud hensyn til det mandat, hvormed Rådet bemyndigede Kommissionen til at forhandle yderligere samarbejdsaftaler om samarbejdet mellem Eurojust og 13 yderligere tredjelande</w:t>
      </w:r>
      <w:r w:rsidRPr="008646FD">
        <w:rPr>
          <w:rStyle w:val="FootnoteReference"/>
          <w:rFonts w:eastAsia="Arial Unicode MS"/>
          <w:noProof/>
        </w:rPr>
        <w:footnoteReference w:id="18"/>
      </w:r>
      <w:r w:rsidRPr="008B17C0">
        <w:rPr>
          <w:noProof/>
        </w:rPr>
        <w:t>.</w:t>
      </w:r>
      <w:r w:rsidRPr="008B17C0">
        <w:rPr>
          <w:noProof/>
          <w:color w:val="000000" w:themeColor="text1"/>
        </w:rPr>
        <w:t xml:space="preserve"> </w:t>
      </w:r>
    </w:p>
    <w:p w14:paraId="23EF7B73" w14:textId="0FB52961" w:rsidR="00F743B9" w:rsidRPr="008B17C0" w:rsidRDefault="00000EE2" w:rsidP="00715ADE">
      <w:pPr>
        <w:pBdr>
          <w:top w:val="nil"/>
          <w:left w:val="nil"/>
          <w:bottom w:val="nil"/>
          <w:right w:val="nil"/>
          <w:between w:val="nil"/>
          <w:bar w:val="nil"/>
        </w:pBdr>
        <w:spacing w:before="0" w:after="240"/>
        <w:rPr>
          <w:rFonts w:eastAsia="Arial Unicode MS"/>
          <w:noProof/>
          <w:color w:val="000000" w:themeColor="text1"/>
        </w:rPr>
      </w:pPr>
      <w:r w:rsidRPr="008B17C0">
        <w:rPr>
          <w:noProof/>
          <w:color w:val="000000" w:themeColor="text1"/>
        </w:rPr>
        <w:t>Der tages også hensyn til Eurojusts samarbejde med andre EU-organer eller -agenturer, nemlig Den Europæiske Anklagemyndighed</w:t>
      </w:r>
      <w:r w:rsidRPr="008B17C0">
        <w:rPr>
          <w:rStyle w:val="FootnoteReference"/>
          <w:rFonts w:eastAsia="Arial Unicode MS"/>
          <w:noProof/>
          <w:color w:val="000000" w:themeColor="text1"/>
        </w:rPr>
        <w:footnoteReference w:id="19"/>
      </w:r>
      <w:r w:rsidRPr="008B17C0">
        <w:rPr>
          <w:noProof/>
          <w:color w:val="000000" w:themeColor="text1"/>
        </w:rPr>
        <w:t>, Europol som EU-agenturet for politisamarbejde</w:t>
      </w:r>
      <w:r w:rsidRPr="008B17C0">
        <w:rPr>
          <w:rStyle w:val="FootnoteReference"/>
          <w:rFonts w:eastAsia="Arial Unicode MS"/>
          <w:noProof/>
          <w:color w:val="000000" w:themeColor="text1"/>
        </w:rPr>
        <w:footnoteReference w:id="20"/>
      </w:r>
      <w:r w:rsidRPr="008B17C0">
        <w:rPr>
          <w:noProof/>
          <w:color w:val="000000" w:themeColor="text1"/>
        </w:rPr>
        <w:t>, Det Europæiske Kontor for Bekæmpelse af Svig (OLAF)</w:t>
      </w:r>
      <w:r w:rsidRPr="008B17C0">
        <w:rPr>
          <w:rStyle w:val="FootnoteReference"/>
          <w:rFonts w:eastAsia="Arial Unicode MS"/>
          <w:noProof/>
          <w:color w:val="000000" w:themeColor="text1"/>
        </w:rPr>
        <w:footnoteReference w:id="21"/>
      </w:r>
      <w:r w:rsidRPr="008B17C0">
        <w:rPr>
          <w:noProof/>
          <w:color w:val="000000" w:themeColor="text1"/>
        </w:rPr>
        <w:t xml:space="preserve"> og Det Europæiske Agentur for Grænse- og Kystbevogtning (Frontex)</w:t>
      </w:r>
      <w:r w:rsidRPr="008B17C0">
        <w:rPr>
          <w:rStyle w:val="FootnoteReference"/>
          <w:rFonts w:eastAsia="Arial Unicode MS"/>
          <w:noProof/>
          <w:color w:val="000000" w:themeColor="text1"/>
        </w:rPr>
        <w:footnoteReference w:id="22"/>
      </w:r>
      <w:r w:rsidRPr="008B17C0">
        <w:rPr>
          <w:noProof/>
          <w:color w:val="000000" w:themeColor="text1"/>
        </w:rPr>
        <w:t>, og betydningen af sikker dataudveksling og etablering af "hit/intet hit"-forbindelser mellem nogle af organer eller agenturer.</w:t>
      </w:r>
    </w:p>
    <w:p w14:paraId="138C4B0A" w14:textId="55AD6C21" w:rsidR="00B83475" w:rsidRPr="008B17C0" w:rsidRDefault="00B83475" w:rsidP="00B83475">
      <w:pPr>
        <w:pBdr>
          <w:top w:val="nil"/>
          <w:left w:val="nil"/>
          <w:bottom w:val="nil"/>
          <w:right w:val="nil"/>
          <w:between w:val="nil"/>
          <w:bar w:val="nil"/>
        </w:pBdr>
        <w:spacing w:before="0" w:after="240"/>
        <w:rPr>
          <w:rFonts w:eastAsia="Arial Unicode MS"/>
          <w:noProof/>
          <w:color w:val="000000" w:themeColor="text1"/>
        </w:rPr>
      </w:pPr>
      <w:r w:rsidRPr="008B17C0">
        <w:rPr>
          <w:iCs/>
          <w:noProof/>
          <w:color w:val="000000" w:themeColor="text1"/>
        </w:rPr>
        <w:t xml:space="preserve">I betragtning af den meget følsomme karakter af de udvekslede oplysninger er det afgørende, at gennemførelsen af værktøjskassens tilgang til digitalisering af retsvæsenet, herunder gennem dette forslag, sker på en måde, der garanterer stærke cybersikkerhedsstandarder. </w:t>
      </w:r>
      <w:r w:rsidRPr="008B17C0">
        <w:rPr>
          <w:noProof/>
          <w:color w:val="000000" w:themeColor="text1"/>
        </w:rPr>
        <w:t>Dette er i overensstemmelse med den tilgang, der er skitseret i EU's strategi for cybersikkerhed</w:t>
      </w:r>
      <w:r w:rsidRPr="008B17C0">
        <w:rPr>
          <w:rStyle w:val="FootnoteReference"/>
          <w:rFonts w:eastAsia="Arial Unicode MS"/>
          <w:iCs/>
          <w:noProof/>
          <w:color w:val="000000" w:themeColor="text1"/>
        </w:rPr>
        <w:footnoteReference w:id="23"/>
      </w:r>
      <w:r w:rsidRPr="008B17C0">
        <w:rPr>
          <w:noProof/>
          <w:color w:val="000000" w:themeColor="text1"/>
        </w:rPr>
        <w:t xml:space="preserve"> og Kommissionens forslag til direktiv om foranstaltninger til sikring af et højt fælles cybersikkerhedsniveau i hele Unionen (NIS2)</w:t>
      </w:r>
      <w:r w:rsidRPr="008B17C0">
        <w:rPr>
          <w:rStyle w:val="FootnoteReference"/>
          <w:rFonts w:eastAsia="Arial Unicode MS"/>
          <w:iCs/>
          <w:noProof/>
          <w:color w:val="000000" w:themeColor="text1"/>
        </w:rPr>
        <w:footnoteReference w:id="24"/>
      </w:r>
      <w:r w:rsidRPr="008B17C0">
        <w:rPr>
          <w:noProof/>
          <w:color w:val="000000" w:themeColor="text1"/>
        </w:rPr>
        <w:t xml:space="preserve">, der har til formål yderligere at forbedre offentlige og private enheders, kompetente myndigheders og Unionens samlede cybersikkerhedskapacitet og beskyttelse af kritisk infrastruktur. </w:t>
      </w:r>
      <w:r w:rsidRPr="008B17C0">
        <w:rPr>
          <w:iCs/>
          <w:noProof/>
          <w:color w:val="000000" w:themeColor="text1"/>
        </w:rPr>
        <w:t>Selv om retsvæsenet i medlemsstaterne ikke er omfattet NIS2-forslaget, er det afgørende, at medlemsstaterne træffer nationale foranstaltninger, der sikrer et sammenlignelige cybersikkerhedsniveau.</w:t>
      </w:r>
    </w:p>
    <w:p w14:paraId="34012F34" w14:textId="77777777" w:rsidR="00B83475" w:rsidRPr="008B17C0" w:rsidRDefault="00B83475" w:rsidP="00715ADE">
      <w:pPr>
        <w:pBdr>
          <w:top w:val="nil"/>
          <w:left w:val="nil"/>
          <w:bottom w:val="nil"/>
          <w:right w:val="nil"/>
          <w:between w:val="nil"/>
          <w:bar w:val="nil"/>
        </w:pBdr>
        <w:spacing w:before="0" w:after="240"/>
        <w:rPr>
          <w:rFonts w:eastAsia="Arial Unicode MS"/>
          <w:noProof/>
          <w:color w:val="000000" w:themeColor="text1"/>
        </w:rPr>
      </w:pPr>
    </w:p>
    <w:p w14:paraId="355FADD7" w14:textId="77777777" w:rsidR="00EB0A3C" w:rsidRPr="008B17C0" w:rsidRDefault="00EB0A3C" w:rsidP="00715ADE">
      <w:pPr>
        <w:pStyle w:val="ManualHeading1"/>
        <w:rPr>
          <w:noProof/>
          <w:color w:val="000000" w:themeColor="text1"/>
        </w:rPr>
      </w:pPr>
      <w:bookmarkStart w:id="6" w:name="_Toc84517386"/>
      <w:bookmarkStart w:id="7" w:name="_Toc84517558"/>
      <w:r w:rsidRPr="008B17C0">
        <w:rPr>
          <w:noProof/>
          <w:color w:val="000000" w:themeColor="text1"/>
        </w:rPr>
        <w:t>2.</w:t>
      </w:r>
      <w:r w:rsidRPr="008B17C0">
        <w:rPr>
          <w:noProof/>
        </w:rPr>
        <w:tab/>
      </w:r>
      <w:r w:rsidRPr="008B17C0">
        <w:rPr>
          <w:noProof/>
          <w:color w:val="000000" w:themeColor="text1"/>
        </w:rPr>
        <w:t>RETSGRUNDLAG, NÆRHEDSPRINCIPPET OG PROPORTIONALITETSPRINCIPPET</w:t>
      </w:r>
      <w:bookmarkEnd w:id="6"/>
      <w:bookmarkEnd w:id="7"/>
    </w:p>
    <w:p w14:paraId="329CDA63" w14:textId="77777777" w:rsidR="00EB0A3C" w:rsidRPr="008B17C0" w:rsidRDefault="00EB0A3C" w:rsidP="00715ADE">
      <w:pPr>
        <w:pStyle w:val="ManualHeading2"/>
        <w:rPr>
          <w:rFonts w:eastAsia="Arial Unicode MS"/>
          <w:noProof/>
          <w:color w:val="000000" w:themeColor="text1"/>
          <w:bdr w:val="nil"/>
        </w:rPr>
      </w:pPr>
      <w:bookmarkStart w:id="8" w:name="_Toc84517387"/>
      <w:bookmarkStart w:id="9" w:name="_Toc84517559"/>
      <w:r w:rsidRPr="008B17C0">
        <w:rPr>
          <w:noProof/>
          <w:color w:val="000000" w:themeColor="text1"/>
          <w:bdr w:val="nil"/>
        </w:rPr>
        <w:t>•</w:t>
      </w:r>
      <w:r w:rsidRPr="008B17C0">
        <w:rPr>
          <w:noProof/>
        </w:rPr>
        <w:tab/>
      </w:r>
      <w:r w:rsidRPr="008B17C0">
        <w:rPr>
          <w:noProof/>
          <w:color w:val="000000" w:themeColor="text1"/>
          <w:bdr w:val="nil"/>
        </w:rPr>
        <w:t>Retsgrundlag</w:t>
      </w:r>
      <w:bookmarkEnd w:id="8"/>
      <w:bookmarkEnd w:id="9"/>
    </w:p>
    <w:p w14:paraId="5D615766" w14:textId="5158D6DE" w:rsidR="00DD3D1F" w:rsidRPr="008B17C0" w:rsidRDefault="00EB0A3C" w:rsidP="160710AA">
      <w:pPr>
        <w:pBdr>
          <w:top w:val="nil"/>
          <w:left w:val="nil"/>
          <w:bottom w:val="nil"/>
          <w:right w:val="nil"/>
          <w:between w:val="nil"/>
          <w:bar w:val="nil"/>
        </w:pBdr>
        <w:spacing w:before="0" w:after="240"/>
        <w:rPr>
          <w:noProof/>
        </w:rPr>
      </w:pPr>
      <w:r w:rsidRPr="008B17C0">
        <w:rPr>
          <w:noProof/>
        </w:rPr>
        <w:t xml:space="preserve">Retsgrundlaget for ændring af Eurojustforordningen er artikel 85 i traktaten om Den Europæiske Unions funktionsmåde (TEUF). I henhold til artikel 85 i TEUF fastlægges Eurojusts struktur, funktionsmåde, indsatsområde og opgaver ved en forordning. Dette omfatter også etablering af sikre kommunikationskanaler mellem EU's medlemsstater og Eurojust samt Eurojusts samarbejde med forbindelsesanklagere fra tredjelande udstationeret i Eurojust. </w:t>
      </w:r>
    </w:p>
    <w:p w14:paraId="4672D42B" w14:textId="452F6BA0" w:rsidR="00EB0A3C" w:rsidRPr="008B17C0" w:rsidRDefault="00DD3D1F" w:rsidP="00EB0A3C">
      <w:pPr>
        <w:pBdr>
          <w:top w:val="nil"/>
          <w:left w:val="nil"/>
          <w:bottom w:val="nil"/>
          <w:right w:val="nil"/>
          <w:between w:val="nil"/>
          <w:bar w:val="nil"/>
        </w:pBdr>
        <w:spacing w:before="0" w:after="240"/>
        <w:rPr>
          <w:noProof/>
        </w:rPr>
      </w:pPr>
      <w:r w:rsidRPr="008B17C0">
        <w:rPr>
          <w:noProof/>
        </w:rPr>
        <w:t>For så vidt angår ændringerne af Rådets afgørelse 2005/671/RIA vedrørende udeladelsen af henvisningerne til Eurojust er disse ændringer udelukkende en følge af ændringerne vedrørende Eurojustforordningen. De kan derfor også baseres på artikel 85 i TEUF.</w:t>
      </w:r>
    </w:p>
    <w:p w14:paraId="175F6CB9" w14:textId="77777777" w:rsidR="00EB0A3C" w:rsidRPr="008B17C0" w:rsidRDefault="00EB0A3C" w:rsidP="00715ADE">
      <w:pPr>
        <w:pStyle w:val="ManualHeading2"/>
        <w:rPr>
          <w:rFonts w:eastAsia="Arial Unicode MS"/>
          <w:noProof/>
          <w:color w:val="000000" w:themeColor="text1"/>
          <w:bdr w:val="nil"/>
        </w:rPr>
      </w:pPr>
      <w:bookmarkStart w:id="10" w:name="_Toc84517388"/>
      <w:bookmarkStart w:id="11" w:name="_Toc84517560"/>
      <w:r w:rsidRPr="008B17C0">
        <w:rPr>
          <w:noProof/>
          <w:color w:val="000000" w:themeColor="text1"/>
          <w:bdr w:val="nil"/>
        </w:rPr>
        <w:t>•</w:t>
      </w:r>
      <w:r w:rsidRPr="008B17C0">
        <w:rPr>
          <w:noProof/>
        </w:rPr>
        <w:tab/>
      </w:r>
      <w:r w:rsidRPr="008B17C0">
        <w:rPr>
          <w:noProof/>
          <w:color w:val="000000" w:themeColor="text1"/>
          <w:bdr w:val="nil"/>
        </w:rPr>
        <w:t>Nærhedsprincippet (for områder, der ikke er omfattet af enekompetence)</w:t>
      </w:r>
      <w:bookmarkEnd w:id="10"/>
      <w:bookmarkEnd w:id="11"/>
      <w:r w:rsidRPr="008B17C0">
        <w:rPr>
          <w:noProof/>
          <w:color w:val="000000" w:themeColor="text1"/>
          <w:bdr w:val="nil"/>
        </w:rPr>
        <w:t xml:space="preserve"> </w:t>
      </w:r>
    </w:p>
    <w:p w14:paraId="42DAB7BE" w14:textId="69E50B0A" w:rsidR="00EB0A3C" w:rsidRPr="008B17C0" w:rsidRDefault="00EB0A3C" w:rsidP="00EB0A3C">
      <w:pPr>
        <w:pBdr>
          <w:top w:val="nil"/>
          <w:left w:val="nil"/>
          <w:bottom w:val="nil"/>
          <w:right w:val="nil"/>
          <w:between w:val="nil"/>
          <w:bar w:val="nil"/>
        </w:pBdr>
        <w:spacing w:before="0" w:after="240"/>
        <w:rPr>
          <w:noProof/>
        </w:rPr>
      </w:pPr>
      <w:r w:rsidRPr="008B17C0">
        <w:rPr>
          <w:noProof/>
        </w:rPr>
        <w:t>I overensstemmelse med nærhedsprincippet i artikel 5, stk. 3, i traktaten om Den Europæiske Union kan der kun handles på EU-niveau, når målene ikke i tilstrækkelig grad kan opfyldes af medlemsstaterne alene og derfor bedre kan nås på EU-plan på grund af den påtænkte handlings omfang eller virkninger. Der er også behov for at afstemme arten og intensiteten af en given foranstaltning med det identificerede problem.</w:t>
      </w:r>
    </w:p>
    <w:p w14:paraId="5BC7D940" w14:textId="055D7ABE" w:rsidR="00EB0A3C" w:rsidRPr="008B17C0" w:rsidRDefault="00EB0A3C" w:rsidP="00EB0A3C">
      <w:pPr>
        <w:pBdr>
          <w:top w:val="nil"/>
          <w:left w:val="nil"/>
          <w:bottom w:val="nil"/>
          <w:right w:val="nil"/>
          <w:between w:val="nil"/>
          <w:bar w:val="nil"/>
        </w:pBdr>
        <w:spacing w:before="0" w:after="240"/>
        <w:rPr>
          <w:noProof/>
        </w:rPr>
      </w:pPr>
      <w:r w:rsidRPr="008B17C0">
        <w:rPr>
          <w:noProof/>
        </w:rPr>
        <w:t>Da terrorhandlinger ofte er af grænseoverskridende karakter, kan de ikke bekæmpes effektivt alene ved en indsats på nationalt plan. Derfor vælger medlemsstaterne at samarbejde om at tackle terrortrusler. De søger at koordinere deres retlige indsats over for og samarbejde om at tackle fælles udfordringer. Som EU's agentur for strafferetligt samarbejde er Eurojust et stærkt udtryk for medlemsstaternes bestræbelser på at beskytte deres borgere ved at arbejde sammen.</w:t>
      </w:r>
    </w:p>
    <w:p w14:paraId="1CE6554D" w14:textId="08F841B4" w:rsidR="00DB5AD2" w:rsidRPr="008B17C0" w:rsidRDefault="00EB0A3C" w:rsidP="00EB0A3C">
      <w:pPr>
        <w:pBdr>
          <w:top w:val="nil"/>
          <w:left w:val="nil"/>
          <w:bottom w:val="nil"/>
          <w:right w:val="nil"/>
          <w:between w:val="nil"/>
          <w:bar w:val="nil"/>
        </w:pBdr>
        <w:spacing w:before="0" w:after="240"/>
        <w:rPr>
          <w:noProof/>
          <w:color w:val="000000" w:themeColor="text1"/>
        </w:rPr>
      </w:pPr>
      <w:r w:rsidRPr="008B17C0">
        <w:rPr>
          <w:noProof/>
        </w:rPr>
        <w:t>Der er et specifikt behov for en EU-indsats, da de påtænkte foranstaltninger har en iboende EU-dimension. De har til formål at forbedre Eurojusts evne til at handle. Eurojust har til opgave at støtte og styrke koordineringen og samarbejdet mellem nationale retsmyndigheder i forbindelse med grov kriminalitet, herunder terrorisme, der berører to eller flere medlemsstater eller kræver retsforfølgning på fælles basis. Dette mål kan kun nås på EU-plan i overensstemmelse med nærhedsprincippet. Medlemsstaterne kan ikke skabe en mere hensigtsmæssig retlig ramme for terrorbekæmpelsesregistrets funktionsmåde og ændring af afgørelse 2005/671/RIA alene. Det er derfor op til EU at fastlægge de juridisk bindende instrumenter for at opnå disse resultater i overensstemmelse med de beføjelser, EU er tillagt ved EU-traktaterne.</w:t>
      </w:r>
    </w:p>
    <w:p w14:paraId="385F87BD" w14:textId="77777777" w:rsidR="00EB0A3C" w:rsidRPr="008B17C0" w:rsidRDefault="00EB0A3C" w:rsidP="00715ADE">
      <w:pPr>
        <w:pStyle w:val="ManualHeading2"/>
        <w:rPr>
          <w:rFonts w:eastAsia="Arial Unicode MS"/>
          <w:noProof/>
          <w:color w:val="000000" w:themeColor="text1"/>
          <w:bdr w:val="nil"/>
        </w:rPr>
      </w:pPr>
      <w:bookmarkStart w:id="12" w:name="_Toc84517389"/>
      <w:bookmarkStart w:id="13" w:name="_Toc84517561"/>
      <w:r w:rsidRPr="008B17C0">
        <w:rPr>
          <w:noProof/>
          <w:color w:val="000000" w:themeColor="text1"/>
          <w:bdr w:val="nil"/>
        </w:rPr>
        <w:t>•</w:t>
      </w:r>
      <w:r w:rsidRPr="008B17C0">
        <w:rPr>
          <w:noProof/>
        </w:rPr>
        <w:tab/>
      </w:r>
      <w:r w:rsidRPr="008B17C0">
        <w:rPr>
          <w:noProof/>
          <w:color w:val="000000" w:themeColor="text1"/>
          <w:bdr w:val="nil"/>
        </w:rPr>
        <w:t>Proportionalitetsprincippet</w:t>
      </w:r>
      <w:bookmarkEnd w:id="12"/>
      <w:bookmarkEnd w:id="13"/>
    </w:p>
    <w:p w14:paraId="43E72B36" w14:textId="6A385E75" w:rsidR="00EB0A3C" w:rsidRPr="008B17C0" w:rsidRDefault="00EB0A3C" w:rsidP="00EB0A3C">
      <w:pPr>
        <w:pBdr>
          <w:top w:val="nil"/>
          <w:left w:val="nil"/>
          <w:bottom w:val="nil"/>
          <w:right w:val="nil"/>
          <w:between w:val="nil"/>
          <w:bar w:val="nil"/>
        </w:pBdr>
        <w:spacing w:before="0" w:after="240"/>
        <w:rPr>
          <w:noProof/>
        </w:rPr>
      </w:pPr>
      <w:r w:rsidRPr="008B17C0">
        <w:rPr>
          <w:noProof/>
        </w:rPr>
        <w:t>I henhold til proportionalitetsprincippet i artikel 5, stk. 4, i TEU er der behov for at afstemme arten og intensiteten af en given foranstaltning med det identificerede problem. Alle de problemer, der behandles i dette forslag, kræver støtte på EU-plan til medlemsstaternes indsats for at tackle disse problemer effektivt.</w:t>
      </w:r>
    </w:p>
    <w:p w14:paraId="16719062" w14:textId="5A222657" w:rsidR="00D745EF" w:rsidRPr="008B17C0" w:rsidRDefault="0011642E" w:rsidP="00EB0A3C">
      <w:pPr>
        <w:pBdr>
          <w:top w:val="nil"/>
          <w:left w:val="nil"/>
          <w:bottom w:val="nil"/>
          <w:right w:val="nil"/>
          <w:between w:val="nil"/>
          <w:bar w:val="nil"/>
        </w:pBdr>
        <w:spacing w:before="0" w:after="240"/>
        <w:rPr>
          <w:noProof/>
        </w:rPr>
      </w:pPr>
      <w:r w:rsidRPr="008B17C0">
        <w:rPr>
          <w:noProof/>
        </w:rPr>
        <w:t>Forslagets artikel 1 og artikel 2 sigter mod at integrere terrorbekæmpelsesregistret bedre i Eurojusts retlige og tekniske rammer og forbedre samarbejdet med forbindelsesanklagere fra tredjelande. Uden disse ændringer kan Eurojust ikke identificere forbindelser mellem samtidige efterforskninger og retsforfølgninger. Agenturet kan ikke udfylde sin afgørende rolle med hensyn til at støtte og styrke samarbejdet mellem medlemsstaternes nationale myndigheder, der har til opgave at efterforske og retsforfølge forskellige former for grov kriminalitet, navnlig terrorisme. Hvis Eurojust skal kunne udføre sin afgørende opgave fuldt ud, er det nødvendigt at sikre en koordineret retslig opfølgning.</w:t>
      </w:r>
    </w:p>
    <w:p w14:paraId="1DBCCA4F" w14:textId="1222E791" w:rsidR="00DB5AD2" w:rsidRPr="008B17C0" w:rsidRDefault="00EB0A3C" w:rsidP="00DB5AD2">
      <w:pPr>
        <w:pBdr>
          <w:top w:val="nil"/>
          <w:left w:val="nil"/>
          <w:bottom w:val="nil"/>
          <w:right w:val="nil"/>
          <w:between w:val="nil"/>
          <w:bar w:val="nil"/>
        </w:pBdr>
        <w:spacing w:before="0" w:after="240"/>
        <w:rPr>
          <w:rFonts w:eastAsia="Arial Unicode MS"/>
          <w:noProof/>
          <w:color w:val="000000" w:themeColor="text1"/>
        </w:rPr>
      </w:pPr>
      <w:r w:rsidRPr="008B17C0">
        <w:rPr>
          <w:noProof/>
        </w:rPr>
        <w:t>På grund af den stadig mere grænseoverskridende karakter af organiseret kriminalitet og terrororganisationer, som fremmes ved brug af digitale kommunikationsværktøjer, er der også behov for en mere koordineret tilgang til tredjelande. Efterforskning og retsforfølgning involverer ofte myndigheder fra lande uden for EU. I overensstemmelse med proportionalitetsprincippet går forslaget derfor ikke ud over, hvad der er nødvendigt for at nå dette mål.</w:t>
      </w:r>
    </w:p>
    <w:p w14:paraId="086325B0" w14:textId="77777777" w:rsidR="00EB0A3C" w:rsidRPr="008B17C0" w:rsidRDefault="00EB0A3C" w:rsidP="00715ADE">
      <w:pPr>
        <w:pStyle w:val="ManualHeading2"/>
        <w:rPr>
          <w:rFonts w:eastAsia="Arial Unicode MS"/>
          <w:noProof/>
          <w:color w:val="000000" w:themeColor="text1"/>
          <w:bdr w:val="nil"/>
        </w:rPr>
      </w:pPr>
      <w:bookmarkStart w:id="14" w:name="_Toc84517390"/>
      <w:bookmarkStart w:id="15" w:name="_Toc84517562"/>
      <w:r w:rsidRPr="008B17C0">
        <w:rPr>
          <w:noProof/>
          <w:color w:val="000000" w:themeColor="text1"/>
          <w:bdr w:val="nil"/>
        </w:rPr>
        <w:t>•</w:t>
      </w:r>
      <w:r w:rsidRPr="008B17C0">
        <w:rPr>
          <w:noProof/>
        </w:rPr>
        <w:tab/>
      </w:r>
      <w:r w:rsidRPr="008B17C0">
        <w:rPr>
          <w:noProof/>
          <w:color w:val="000000" w:themeColor="text1"/>
          <w:bdr w:val="nil"/>
        </w:rPr>
        <w:t>Valg af retsakt</w:t>
      </w:r>
      <w:bookmarkEnd w:id="14"/>
      <w:bookmarkEnd w:id="15"/>
    </w:p>
    <w:p w14:paraId="5EA979EC" w14:textId="68707636" w:rsidR="00EB0A3C" w:rsidRPr="008B17C0" w:rsidRDefault="006136DC" w:rsidP="00A72E78">
      <w:pPr>
        <w:pBdr>
          <w:top w:val="nil"/>
          <w:left w:val="nil"/>
          <w:bottom w:val="nil"/>
          <w:right w:val="nil"/>
          <w:between w:val="nil"/>
          <w:bar w:val="nil"/>
        </w:pBdr>
        <w:spacing w:before="0" w:after="240"/>
        <w:rPr>
          <w:noProof/>
        </w:rPr>
      </w:pPr>
      <w:r w:rsidRPr="008B17C0">
        <w:rPr>
          <w:noProof/>
        </w:rPr>
        <w:t xml:space="preserve">Artikel 1 i forslaget ændrer Eurojustforordningen. Artikel 85 i TEUF udgør retsgrundlaget for Eurojustforordningen. </w:t>
      </w:r>
      <w:r w:rsidRPr="008B17C0">
        <w:rPr>
          <w:noProof/>
          <w:color w:val="000000" w:themeColor="text1"/>
        </w:rPr>
        <w:t>Den fastsætter, at Eurojust skal være omfattet af en forordning, der skal vedtages efter den almindelige lovgivningsprocedure.</w:t>
      </w:r>
    </w:p>
    <w:p w14:paraId="26B73A4A" w14:textId="38AC28FC" w:rsidR="000449CC" w:rsidRPr="008B17C0" w:rsidRDefault="006136DC" w:rsidP="00A72E78">
      <w:pPr>
        <w:pBdr>
          <w:top w:val="nil"/>
          <w:left w:val="nil"/>
          <w:bottom w:val="nil"/>
          <w:right w:val="nil"/>
          <w:between w:val="nil"/>
          <w:bar w:val="nil"/>
        </w:pBdr>
        <w:spacing w:before="0" w:after="240"/>
        <w:rPr>
          <w:rFonts w:eastAsia="Arial Unicode MS"/>
          <w:noProof/>
          <w:color w:val="000000" w:themeColor="text1"/>
        </w:rPr>
      </w:pPr>
      <w:r w:rsidRPr="008B17C0">
        <w:rPr>
          <w:noProof/>
          <w:color w:val="000000" w:themeColor="text1"/>
        </w:rPr>
        <w:t xml:space="preserve">Forslagets artikel 2 tager sigte på at ændre en rådsafgørelse, der blev vedtaget inden Lissabontraktatens ikrafttræden i 2009. </w:t>
      </w:r>
      <w:r w:rsidRPr="008B17C0">
        <w:rPr>
          <w:noProof/>
        </w:rPr>
        <w:t>Da disse ændringer udelukkende er en følge af ændringerne af Eurojustforordningen, kan de medtages som et accessorisk anliggende i forordningen om ændring af Eurojustforordningen.</w:t>
      </w:r>
    </w:p>
    <w:p w14:paraId="5E43DD68" w14:textId="77777777" w:rsidR="00EB0A3C" w:rsidRPr="008B17C0" w:rsidRDefault="00EB0A3C" w:rsidP="005B63A2">
      <w:pPr>
        <w:pStyle w:val="ManualHeading1"/>
        <w:rPr>
          <w:noProof/>
          <w:color w:val="000000" w:themeColor="text1"/>
        </w:rPr>
      </w:pPr>
      <w:bookmarkStart w:id="16" w:name="_Toc84517391"/>
      <w:bookmarkStart w:id="17" w:name="_Toc84517563"/>
      <w:r w:rsidRPr="008B17C0">
        <w:rPr>
          <w:noProof/>
          <w:color w:val="000000" w:themeColor="text1"/>
        </w:rPr>
        <w:t>3.</w:t>
      </w:r>
      <w:r w:rsidRPr="008B17C0">
        <w:rPr>
          <w:noProof/>
        </w:rPr>
        <w:tab/>
      </w:r>
      <w:r w:rsidRPr="008B17C0">
        <w:rPr>
          <w:noProof/>
          <w:color w:val="000000" w:themeColor="text1"/>
        </w:rPr>
        <w:t>RESULTATER AF EFTERFØLGENDE EVALUERINGER, HØRINGER AF INTERESSEREDE PARTER OG KONSEKVENSANALYSER</w:t>
      </w:r>
      <w:bookmarkEnd w:id="16"/>
      <w:bookmarkEnd w:id="17"/>
    </w:p>
    <w:p w14:paraId="6C91C548" w14:textId="77777777" w:rsidR="00EB0A3C" w:rsidRPr="008B17C0" w:rsidRDefault="00EB0A3C" w:rsidP="00715ADE">
      <w:pPr>
        <w:pStyle w:val="ManualHeading2"/>
        <w:rPr>
          <w:rFonts w:eastAsia="Arial Unicode MS"/>
          <w:noProof/>
          <w:color w:val="000000" w:themeColor="text1"/>
          <w:bdr w:val="nil"/>
        </w:rPr>
      </w:pPr>
      <w:bookmarkStart w:id="18" w:name="_Toc84517392"/>
      <w:bookmarkStart w:id="19" w:name="_Toc84517564"/>
      <w:r w:rsidRPr="008B17C0">
        <w:rPr>
          <w:noProof/>
          <w:color w:val="000000" w:themeColor="text1"/>
          <w:bdr w:val="nil"/>
        </w:rPr>
        <w:t>•</w:t>
      </w:r>
      <w:r w:rsidRPr="008B17C0">
        <w:rPr>
          <w:noProof/>
        </w:rPr>
        <w:tab/>
      </w:r>
      <w:r w:rsidRPr="008B17C0">
        <w:rPr>
          <w:noProof/>
          <w:color w:val="000000" w:themeColor="text1"/>
          <w:bdr w:val="nil"/>
        </w:rPr>
        <w:t>Høring af interesserede parter</w:t>
      </w:r>
      <w:bookmarkEnd w:id="18"/>
      <w:bookmarkEnd w:id="19"/>
    </w:p>
    <w:p w14:paraId="2F4A4794" w14:textId="52D4EDD4" w:rsidR="00991849" w:rsidRPr="008B17C0" w:rsidRDefault="00991849" w:rsidP="00715ADE">
      <w:pPr>
        <w:pBdr>
          <w:top w:val="nil"/>
          <w:left w:val="nil"/>
          <w:bottom w:val="nil"/>
          <w:right w:val="nil"/>
          <w:between w:val="nil"/>
          <w:bar w:val="nil"/>
        </w:pBdr>
        <w:spacing w:before="0" w:after="240"/>
        <w:rPr>
          <w:noProof/>
        </w:rPr>
      </w:pPr>
      <w:r w:rsidRPr="008B17C0">
        <w:rPr>
          <w:noProof/>
        </w:rPr>
        <w:t>Der blev gennemført en omfattende målrettet høring for at sikre bred deltagelse af relevante interessenter i udarbejdelsen af forslaget. Høringerne omfattede bilaterale kontakter, interessent- og ekspertmøder, skriftlige bidrag og en undersøgelse blandt fagfolk.</w:t>
      </w:r>
    </w:p>
    <w:p w14:paraId="4FA8CC4F" w14:textId="2B93407D" w:rsidR="00991849" w:rsidRPr="008B17C0" w:rsidRDefault="00991849" w:rsidP="00991849">
      <w:pPr>
        <w:pBdr>
          <w:top w:val="nil"/>
          <w:left w:val="nil"/>
          <w:bottom w:val="nil"/>
          <w:right w:val="nil"/>
          <w:between w:val="nil"/>
          <w:bar w:val="nil"/>
        </w:pBdr>
        <w:spacing w:before="0" w:after="240"/>
        <w:rPr>
          <w:noProof/>
          <w:color w:val="000000" w:themeColor="text1"/>
        </w:rPr>
      </w:pPr>
      <w:r w:rsidRPr="008B17C0">
        <w:rPr>
          <w:noProof/>
        </w:rPr>
        <w:t>Kommissionen indsamlede en bred og afbalanceret vifte af synspunkter om dette spørgsmål ved at give alle relevante parter mulighed for at give udtryk for deres synspunkter. Navnlig medlemsstaterne, nationale myndigheder såsom de nationale korrespondenter på terrorismeområdet, anklagere og dommere, Eurojust, dets nationale kontorer og administration, den europæiske antiterrorkoordinator, Europol, akademikere og interessenter inden for grundlæggende rettigheder og databeskyttelse blev inddraget i høringsprocessen.</w:t>
      </w:r>
    </w:p>
    <w:p w14:paraId="19B2E0D9" w14:textId="35469029" w:rsidR="00991849" w:rsidRPr="008B17C0" w:rsidRDefault="00991849" w:rsidP="00991849">
      <w:pPr>
        <w:pBdr>
          <w:top w:val="nil"/>
          <w:left w:val="nil"/>
          <w:bottom w:val="nil"/>
          <w:right w:val="nil"/>
          <w:between w:val="nil"/>
          <w:bar w:val="nil"/>
        </w:pBdr>
        <w:spacing w:before="0" w:after="240"/>
        <w:rPr>
          <w:noProof/>
        </w:rPr>
      </w:pPr>
      <w:r w:rsidRPr="008B17C0">
        <w:rPr>
          <w:noProof/>
        </w:rPr>
        <w:t>Desuden blev spørgsmålet drøftet den 17. juni 2021 i Kommissionens ekspertgruppe vedrørende EU's kriminalpolitik, der består af akademikere og fagfolk inden for EU's strafferet, og den 24. juni 2021 i Kommissionens ekspertgruppe vedrørende digital strafferet, der består af eksperter fra medlemsstaterne.</w:t>
      </w:r>
    </w:p>
    <w:p w14:paraId="7E6898C1" w14:textId="6F1533AF" w:rsidR="00991849" w:rsidRPr="008B17C0" w:rsidRDefault="00991849" w:rsidP="00991849">
      <w:pPr>
        <w:pBdr>
          <w:top w:val="nil"/>
          <w:left w:val="nil"/>
          <w:bottom w:val="nil"/>
          <w:right w:val="nil"/>
          <w:between w:val="nil"/>
          <w:bar w:val="nil"/>
        </w:pBdr>
        <w:spacing w:before="0" w:after="240"/>
        <w:rPr>
          <w:noProof/>
          <w:color w:val="000000" w:themeColor="text1"/>
        </w:rPr>
      </w:pPr>
      <w:r w:rsidRPr="008B17C0">
        <w:rPr>
          <w:noProof/>
        </w:rPr>
        <w:t>Alle interessenter hilste generelt initiativet velkommen og var enige i de identificerede problemområder. Interessenterne gav klart udtryk for, hvilke oplysninger der burde deles med Eurojust, nemlig de oplysninger, der er nødvendige for at identificere de personer, der skal efterforskes. Samlet set var respondenterne tilfredse med omfanget af de oplysninger, der blev indsamlet gennem Eurojusts nuværende skabelon for terrorbekæmpelsesregistret.</w:t>
      </w:r>
      <w:r w:rsidRPr="008B17C0">
        <w:rPr>
          <w:noProof/>
          <w:color w:val="000000" w:themeColor="text1"/>
        </w:rPr>
        <w:t xml:space="preserve"> </w:t>
      </w:r>
    </w:p>
    <w:p w14:paraId="0DB91F99" w14:textId="008D0E79" w:rsidR="00991849" w:rsidRPr="008B17C0" w:rsidRDefault="00991849" w:rsidP="00991849">
      <w:pPr>
        <w:pBdr>
          <w:top w:val="nil"/>
          <w:left w:val="nil"/>
          <w:bottom w:val="nil"/>
          <w:right w:val="nil"/>
          <w:between w:val="nil"/>
          <w:bar w:val="nil"/>
        </w:pBdr>
        <w:spacing w:before="0" w:after="240"/>
        <w:rPr>
          <w:noProof/>
        </w:rPr>
      </w:pPr>
      <w:r w:rsidRPr="008B17C0">
        <w:rPr>
          <w:noProof/>
        </w:rPr>
        <w:t>Der var stærk støtte til at indføre sikre kommunikationskanaler mellem medlemsstaterne og Eurojust. Eurojust foretrækker sikre kommunikationskanaler for alle operationelle personoplysninger, der sendes til Eurojust.</w:t>
      </w:r>
      <w:r w:rsidRPr="008B17C0">
        <w:rPr>
          <w:noProof/>
          <w:color w:val="000000" w:themeColor="text1"/>
        </w:rPr>
        <w:t xml:space="preserve"> </w:t>
      </w:r>
      <w:r w:rsidRPr="008B17C0">
        <w:rPr>
          <w:noProof/>
        </w:rPr>
        <w:t xml:space="preserve">Mange interessenter understregede, at det nuværende sagsforvaltningssystem ikke vil kunne udføre de opgaver, der er fastlagt for terrorbekæmpelsesregistret. </w:t>
      </w:r>
    </w:p>
    <w:p w14:paraId="11FDF140" w14:textId="2CADCDB5" w:rsidR="00991849" w:rsidRPr="008B17C0" w:rsidRDefault="00991849" w:rsidP="00715ADE">
      <w:pPr>
        <w:pBdr>
          <w:top w:val="nil"/>
          <w:left w:val="nil"/>
          <w:bottom w:val="nil"/>
          <w:right w:val="nil"/>
          <w:between w:val="nil"/>
          <w:bar w:val="nil"/>
        </w:pBdr>
        <w:spacing w:before="0" w:after="240"/>
        <w:rPr>
          <w:rFonts w:eastAsia="Arial Unicode MS"/>
          <w:noProof/>
          <w:color w:val="000000" w:themeColor="text1"/>
        </w:rPr>
      </w:pPr>
      <w:r w:rsidRPr="008B17C0">
        <w:rPr>
          <w:noProof/>
        </w:rPr>
        <w:t xml:space="preserve">Der var generel enighed om, at forbindelsesanklagere skulle have operationel adgang til sagsforvaltningssystemet. Medlemsstaterne og Eurojust-aktører påpegede, at tredjelande, der har indgået en samarbejdsaftale og derfor kan udstationere en forbindelsesanklager i Eurojust, bør kunne indlede og afslutte sager uafhængigt. </w:t>
      </w:r>
    </w:p>
    <w:p w14:paraId="561CCE5C" w14:textId="77777777" w:rsidR="00EB0A3C" w:rsidRPr="008B17C0" w:rsidRDefault="00EB0A3C" w:rsidP="00715ADE">
      <w:pPr>
        <w:pStyle w:val="ManualHeading2"/>
        <w:rPr>
          <w:rFonts w:eastAsia="Arial Unicode MS"/>
          <w:noProof/>
          <w:color w:val="000000" w:themeColor="text1"/>
          <w:bdr w:val="nil"/>
        </w:rPr>
      </w:pPr>
      <w:bookmarkStart w:id="20" w:name="_Toc84517393"/>
      <w:bookmarkStart w:id="21" w:name="_Toc84517565"/>
      <w:r w:rsidRPr="008B17C0">
        <w:rPr>
          <w:noProof/>
          <w:color w:val="000000" w:themeColor="text1"/>
          <w:bdr w:val="nil"/>
        </w:rPr>
        <w:t>•</w:t>
      </w:r>
      <w:r w:rsidRPr="008B17C0">
        <w:rPr>
          <w:noProof/>
        </w:rPr>
        <w:tab/>
      </w:r>
      <w:r w:rsidRPr="008B17C0">
        <w:rPr>
          <w:noProof/>
          <w:color w:val="000000" w:themeColor="text1"/>
          <w:bdr w:val="nil"/>
        </w:rPr>
        <w:t>Indhentning og brug af ekspertbistand</w:t>
      </w:r>
      <w:bookmarkEnd w:id="20"/>
      <w:bookmarkEnd w:id="21"/>
    </w:p>
    <w:p w14:paraId="2A257C69" w14:textId="7347107E" w:rsidR="00991849" w:rsidRPr="008B17C0" w:rsidRDefault="00991849" w:rsidP="00715ADE">
      <w:pPr>
        <w:pBdr>
          <w:top w:val="nil"/>
          <w:left w:val="nil"/>
          <w:bottom w:val="nil"/>
          <w:right w:val="nil"/>
          <w:between w:val="nil"/>
          <w:bar w:val="nil"/>
        </w:pBdr>
        <w:spacing w:before="0" w:after="240"/>
        <w:rPr>
          <w:noProof/>
        </w:rPr>
      </w:pPr>
      <w:r w:rsidRPr="008B17C0">
        <w:rPr>
          <w:noProof/>
        </w:rPr>
        <w:t>Forslaget er baseret på resultaterne af undersøgelsen om digital strafferet</w:t>
      </w:r>
      <w:r w:rsidRPr="008B17C0">
        <w:rPr>
          <w:rStyle w:val="FootnoteReference"/>
          <w:rFonts w:eastAsia="Arial Unicode MS"/>
          <w:noProof/>
        </w:rPr>
        <w:footnoteReference w:id="25"/>
      </w:r>
      <w:r w:rsidRPr="008B17C0">
        <w:rPr>
          <w:noProof/>
        </w:rPr>
        <w:t xml:space="preserve">. I undersøgelsen var der fokus på behovet og mulighederne for at skabe en "grænseoverskridende digital strafferet", en hurtig, pålidelig og sikker IT-infrastruktur, der gør det muligt for nationale retsforfølgende myndigheder i medlemsstaterne at interagere med deres nationale modparter, agenturer for retlige og indre anliggender (RIA) og EU-organer på RIA-området. </w:t>
      </w:r>
    </w:p>
    <w:p w14:paraId="7B228B94" w14:textId="77777777" w:rsidR="00EB0A3C" w:rsidRPr="008B17C0" w:rsidRDefault="00EB0A3C" w:rsidP="00715ADE">
      <w:pPr>
        <w:pStyle w:val="ManualHeading2"/>
        <w:rPr>
          <w:rFonts w:eastAsia="Arial Unicode MS"/>
          <w:noProof/>
          <w:color w:val="000000" w:themeColor="text1"/>
          <w:bdr w:val="nil"/>
        </w:rPr>
      </w:pPr>
      <w:bookmarkStart w:id="22" w:name="_Toc84517394"/>
      <w:bookmarkStart w:id="23" w:name="_Toc84517566"/>
      <w:r w:rsidRPr="008B17C0">
        <w:rPr>
          <w:noProof/>
          <w:color w:val="000000" w:themeColor="text1"/>
          <w:bdr w:val="nil"/>
        </w:rPr>
        <w:t>•</w:t>
      </w:r>
      <w:r w:rsidRPr="008B17C0">
        <w:rPr>
          <w:noProof/>
        </w:rPr>
        <w:tab/>
      </w:r>
      <w:r w:rsidRPr="008B17C0">
        <w:rPr>
          <w:noProof/>
          <w:color w:val="000000" w:themeColor="text1"/>
          <w:bdr w:val="nil"/>
        </w:rPr>
        <w:t>Konsekvensanalyse</w:t>
      </w:r>
      <w:bookmarkEnd w:id="22"/>
      <w:bookmarkEnd w:id="23"/>
    </w:p>
    <w:p w14:paraId="775198E2" w14:textId="3DD59838" w:rsidR="000835D7" w:rsidRPr="008B17C0" w:rsidRDefault="00FA65E7" w:rsidP="00A72E78">
      <w:pPr>
        <w:pBdr>
          <w:top w:val="nil"/>
          <w:left w:val="nil"/>
          <w:bottom w:val="nil"/>
          <w:right w:val="nil"/>
          <w:between w:val="nil"/>
          <w:bar w:val="nil"/>
        </w:pBdr>
        <w:spacing w:before="0" w:after="240"/>
        <w:rPr>
          <w:noProof/>
        </w:rPr>
      </w:pPr>
      <w:r w:rsidRPr="008B17C0">
        <w:rPr>
          <w:noProof/>
        </w:rPr>
        <w:t>Der blev ikke foretaget en konsekvensanalyse, da forslaget hovedsagelig har til formål at etablere en ajourført teknisk løsning til støtte for medlemsstaternes myndigheder og Eurojust uden at ændre de hovedprincipper, der ligger til grund for den eksisterende retlige samarbejdsramme.</w:t>
      </w:r>
    </w:p>
    <w:p w14:paraId="3E7A4D35" w14:textId="5D4A3F46" w:rsidR="00BB72D8" w:rsidRPr="008B17C0" w:rsidRDefault="00FA65E7" w:rsidP="160710AA">
      <w:pPr>
        <w:pBdr>
          <w:top w:val="nil"/>
          <w:left w:val="nil"/>
          <w:bottom w:val="nil"/>
          <w:right w:val="nil"/>
          <w:between w:val="nil"/>
          <w:bar w:val="nil"/>
        </w:pBdr>
        <w:spacing w:before="0" w:after="240"/>
        <w:rPr>
          <w:noProof/>
        </w:rPr>
      </w:pPr>
      <w:r w:rsidRPr="008B17C0">
        <w:rPr>
          <w:noProof/>
        </w:rPr>
        <w:t>Kommissionens tjenestegrene udarbejdede imidlertid et analytisk støttedokument i form af et arbejdsdokument fra Kommissionens tjenestegrene</w:t>
      </w:r>
      <w:r w:rsidRPr="008B17C0">
        <w:rPr>
          <w:rStyle w:val="FootnoteReference"/>
          <w:noProof/>
        </w:rPr>
        <w:footnoteReference w:id="26"/>
      </w:r>
      <w:r w:rsidRPr="008B17C0">
        <w:rPr>
          <w:noProof/>
        </w:rPr>
        <w:t xml:space="preserve">, som ledsager forslaget. Arbejdsdokumentet indeholder en detaljeret problembeskrivelse, og der ses på de underliggende drivkræfter og redegøres for forslagets mål. Det indeholder også en analyse af den foreslåede løsning ud fra et effektivitetsperspektiv, men også af de potentielle indvirkninger på de grundlæggende rettigheder. </w:t>
      </w:r>
    </w:p>
    <w:p w14:paraId="14E72849" w14:textId="77777777" w:rsidR="00CE7EB7" w:rsidRPr="008B17C0" w:rsidRDefault="00BB72D8" w:rsidP="00CE7EB7">
      <w:pPr>
        <w:rPr>
          <w:noProof/>
        </w:rPr>
      </w:pPr>
      <w:r w:rsidRPr="008B17C0">
        <w:rPr>
          <w:noProof/>
        </w:rPr>
        <w:t xml:space="preserve">I det analytiske støttedokument var de vigtigste identificerede problemer, at Eurojust ikke modtager omfattende oplysninger om sager fra de kompetente nationale myndigheder, at Eurojusts sagsforvaltningssystem ikke understøtter automatisk identifikation af forbindelser, og at samarbejdet med forbindelsesanklagere fra tredjelande ikke er effektivt. Som en løsning foreslås det at præcisere og styrke forpligtelsen til at udveksle oplysninger om terrorsager med Eurojust, modernisere Eurojusts sagsforvaltningssystem og forbedre retsgrundlaget for samarbejde med forbindelsesanklagere fra tredjelande. </w:t>
      </w:r>
    </w:p>
    <w:p w14:paraId="0D963756" w14:textId="7B07F233" w:rsidR="00CE7EB7" w:rsidRPr="008B17C0" w:rsidRDefault="00BB72D8" w:rsidP="00CE7EB7">
      <w:pPr>
        <w:rPr>
          <w:rFonts w:eastAsia="Arial Unicode MS"/>
          <w:noProof/>
          <w:color w:val="000000" w:themeColor="text1"/>
          <w:u w:color="000000"/>
          <w:bdr w:val="nil"/>
        </w:rPr>
      </w:pPr>
      <w:r w:rsidRPr="008B17C0">
        <w:rPr>
          <w:noProof/>
        </w:rPr>
        <w:t>Den forbedrede effektivitet af dataudvekslingen mellem de nationale myndigheder og Eurojust, herunder brugen af sikre kommunikationskanaler, forventes at forbedre Eurojusts mulighed for at identificere forbindelser mellem igangværende og afsluttede sager betydeligt. Moderniseringen af Eurojusts databehandlingsmiljø har samme formål. Identificering af sådanne forbindelser forventes at hjælpe de retlige myndigheder i forskellige faser i nationale retssager med at identificere og retsforfølge terrormistænkte personer eller personer, der er involveret i andre alvorlige forbrydelser, og med forbindelse til sådanne mistænkte. Hvis Eurojust får mulighed for at støtte medlemsstaterne med sit fulde potentiale, bør det styrke den retlige indsats betydeligt i kampen mod terrorisme og andre former for grov kriminalitet.</w:t>
      </w:r>
      <w:bookmarkStart w:id="24" w:name="_Toc84517395"/>
      <w:bookmarkStart w:id="25" w:name="_Toc84517567"/>
    </w:p>
    <w:bookmarkEnd w:id="24"/>
    <w:bookmarkEnd w:id="25"/>
    <w:p w14:paraId="3F694A19" w14:textId="698689BE" w:rsidR="00CE7EB7" w:rsidRPr="008B17C0" w:rsidRDefault="00CE7EB7" w:rsidP="00CE7EB7">
      <w:pPr>
        <w:pStyle w:val="ManualHeading2"/>
        <w:rPr>
          <w:rFonts w:eastAsia="Arial Unicode MS"/>
          <w:noProof/>
          <w:color w:val="000000" w:themeColor="text1"/>
          <w:bdr w:val="nil"/>
        </w:rPr>
      </w:pPr>
      <w:r w:rsidRPr="008B17C0">
        <w:rPr>
          <w:noProof/>
          <w:color w:val="000000" w:themeColor="text1"/>
          <w:bdr w:val="nil"/>
        </w:rPr>
        <w:t>•</w:t>
      </w:r>
      <w:r w:rsidRPr="008B17C0">
        <w:rPr>
          <w:noProof/>
        </w:rPr>
        <w:tab/>
      </w:r>
      <w:r w:rsidRPr="008B17C0">
        <w:rPr>
          <w:noProof/>
          <w:color w:val="000000" w:themeColor="text1"/>
          <w:bdr w:val="nil"/>
        </w:rPr>
        <w:t>Grundlæggende rettigheder</w:t>
      </w:r>
    </w:p>
    <w:p w14:paraId="24B4AFDE" w14:textId="124C589F" w:rsidR="006C72D3" w:rsidRPr="008B17C0" w:rsidRDefault="006C72D3" w:rsidP="00715ADE">
      <w:pPr>
        <w:pBdr>
          <w:top w:val="nil"/>
          <w:left w:val="nil"/>
          <w:bottom w:val="nil"/>
          <w:right w:val="nil"/>
          <w:between w:val="nil"/>
          <w:bar w:val="nil"/>
        </w:pBdr>
        <w:spacing w:before="0" w:after="240"/>
        <w:rPr>
          <w:rFonts w:eastAsia="Arial Unicode MS"/>
          <w:noProof/>
          <w:color w:val="000000" w:themeColor="text1"/>
        </w:rPr>
      </w:pPr>
      <w:r w:rsidRPr="008B17C0">
        <w:rPr>
          <w:noProof/>
          <w:color w:val="000000" w:themeColor="text1"/>
        </w:rPr>
        <w:t>I betragtning af betydningen af behandling af personoplysninger med henblik på retshåndhævelse og Eurojusts støtteaktiviteter kaster forslaget lys over behovet for at sikre fuld overholdelse af de grundlæggende rettigheder som nedfældet i chartret om grundlæggende rettigheder. Disse omfatter retten til beskyttelse af personoplysninger</w:t>
      </w:r>
      <w:r w:rsidRPr="008B17C0">
        <w:rPr>
          <w:rStyle w:val="FootnoteReference"/>
          <w:rFonts w:eastAsia="Arial Unicode MS"/>
          <w:noProof/>
          <w:color w:val="000000" w:themeColor="text1"/>
        </w:rPr>
        <w:footnoteReference w:id="27"/>
      </w:r>
      <w:r w:rsidRPr="008B17C0">
        <w:rPr>
          <w:noProof/>
          <w:color w:val="000000" w:themeColor="text1"/>
        </w:rPr>
        <w:t xml:space="preserve"> og retten til respekt for privatliv</w:t>
      </w:r>
      <w:r w:rsidRPr="008B17C0">
        <w:rPr>
          <w:rStyle w:val="FootnoteReference"/>
          <w:rFonts w:eastAsia="Arial Unicode MS"/>
          <w:noProof/>
          <w:color w:val="000000" w:themeColor="text1"/>
        </w:rPr>
        <w:footnoteReference w:id="28"/>
      </w:r>
      <w:r w:rsidRPr="008B17C0">
        <w:rPr>
          <w:noProof/>
          <w:color w:val="000000" w:themeColor="text1"/>
        </w:rPr>
        <w:t xml:space="preserve">. Dette er særlig vigtigt, da forslaget omfatter behandling af følsomme personoplysninger vedrørende strafferetlig efterforskning og straffedomme samt biometriske oplysninger. Da et af hovedformålene med forslaget er at give Eurojust mulighed for at etablere forbindelser mellem terrorefterforskninger, og dette kun er muligt, når Eurojust modtager tilstrækkelige oplysninger, er der behov for at øge mængden af oplysninger, der sendes til Eurojust. Der skal indføres tilstrækkelige garantier for disse oplysninger. Dette omfatter en streng formålsbegrænsning, navnlig i forbindelse med biometriske oplysninger. Brugen af sikre kommunikationskanaler og det nye moderniserede sagsforvaltningssystem vil bidrage til en bedre beskyttelse af de oplysninger, der behandles af Eurojust. I udformningen af sagsforvaltningssystemet vil der blive lagt vægt på databeskyttelse gennem standardindstillinger og design. Desuden vil det underliggende princip om de nationale medlemmers og de nationale kompetente myndigheders datakontrol ikke blive ændret. Det ledsagende arbejdsdokument fra Kommissionens tjenestegrene indeholder en mere detaljeret vurdering af forslagets indvirkning på de grundlæggende rettigheder og garantier. </w:t>
      </w:r>
    </w:p>
    <w:p w14:paraId="42CB905F" w14:textId="77777777" w:rsidR="00EB0A3C" w:rsidRPr="008B17C0" w:rsidRDefault="00EB0A3C" w:rsidP="00715ADE">
      <w:pPr>
        <w:pStyle w:val="ManualHeading1"/>
        <w:rPr>
          <w:noProof/>
          <w:color w:val="000000" w:themeColor="text1"/>
        </w:rPr>
      </w:pPr>
      <w:bookmarkStart w:id="26" w:name="_Toc84517396"/>
      <w:bookmarkStart w:id="27" w:name="_Toc84517568"/>
      <w:r w:rsidRPr="008B17C0">
        <w:rPr>
          <w:noProof/>
          <w:color w:val="000000" w:themeColor="text1"/>
        </w:rPr>
        <w:t>4.</w:t>
      </w:r>
      <w:r w:rsidRPr="008B17C0">
        <w:rPr>
          <w:noProof/>
        </w:rPr>
        <w:tab/>
      </w:r>
      <w:r w:rsidRPr="008B17C0">
        <w:rPr>
          <w:noProof/>
          <w:color w:val="000000" w:themeColor="text1"/>
        </w:rPr>
        <w:t>VIRKNINGER FOR BUDGETTET</w:t>
      </w:r>
      <w:bookmarkEnd w:id="26"/>
      <w:bookmarkEnd w:id="27"/>
    </w:p>
    <w:p w14:paraId="166E533F" w14:textId="3BC927E4" w:rsidR="000F03C5" w:rsidRPr="008B17C0" w:rsidRDefault="00DF432B" w:rsidP="00715ADE">
      <w:pPr>
        <w:pBdr>
          <w:top w:val="nil"/>
          <w:left w:val="nil"/>
          <w:bottom w:val="nil"/>
          <w:right w:val="nil"/>
          <w:between w:val="nil"/>
          <w:bar w:val="nil"/>
        </w:pBdr>
        <w:spacing w:before="0" w:after="240"/>
        <w:rPr>
          <w:rFonts w:eastAsia="Arial Unicode MS"/>
          <w:noProof/>
          <w:color w:val="000000" w:themeColor="text1"/>
        </w:rPr>
      </w:pPr>
      <w:r w:rsidRPr="008B17C0">
        <w:rPr>
          <w:noProof/>
          <w:color w:val="000000" w:themeColor="text1"/>
        </w:rPr>
        <w:t xml:space="preserve">Dette forslag vil få virkninger for Eurojusts budget og dets personalebehov. Det anslås, at der vil være behov for yderligere 33 mio. EUR i henhold til den finansieringsoversigt, der ledsager forslaget. </w:t>
      </w:r>
    </w:p>
    <w:p w14:paraId="217C5D59" w14:textId="6C0CF06C" w:rsidR="003D3BE3" w:rsidRPr="008B17C0" w:rsidRDefault="000F03C5" w:rsidP="00715ADE">
      <w:pPr>
        <w:pBdr>
          <w:top w:val="nil"/>
          <w:left w:val="nil"/>
          <w:bottom w:val="nil"/>
          <w:right w:val="nil"/>
          <w:between w:val="nil"/>
          <w:bar w:val="nil"/>
        </w:pBdr>
        <w:spacing w:before="0" w:after="240"/>
        <w:rPr>
          <w:rFonts w:eastAsia="Arial Unicode MS"/>
          <w:noProof/>
          <w:color w:val="000000" w:themeColor="text1"/>
        </w:rPr>
      </w:pPr>
      <w:r w:rsidRPr="008B17C0">
        <w:rPr>
          <w:noProof/>
          <w:color w:val="000000" w:themeColor="text1"/>
        </w:rPr>
        <w:t>På grundlag af analysen af undersøgelsen om digital strafferet</w:t>
      </w:r>
      <w:r w:rsidRPr="008B17C0">
        <w:rPr>
          <w:rStyle w:val="FootnoteReference"/>
          <w:rFonts w:eastAsia="Arial Unicode MS"/>
          <w:noProof/>
          <w:color w:val="000000" w:themeColor="text1"/>
        </w:rPr>
        <w:footnoteReference w:id="29"/>
      </w:r>
      <w:r w:rsidRPr="008B17C0">
        <w:rPr>
          <w:noProof/>
          <w:color w:val="000000" w:themeColor="text1"/>
        </w:rPr>
        <w:t xml:space="preserve"> anslås omkostningerne til et nyt revideret sagsforvaltningssystem til 31 mio. EUR, herunder til dækning af udviklings-, drifts- og vedligeholdelsesomkostninger i to år</w:t>
      </w:r>
      <w:r w:rsidRPr="008B17C0">
        <w:rPr>
          <w:rStyle w:val="FootnoteReference"/>
          <w:rFonts w:eastAsia="Arial Unicode MS"/>
          <w:noProof/>
          <w:color w:val="000000" w:themeColor="text1"/>
        </w:rPr>
        <w:footnoteReference w:id="30"/>
      </w:r>
      <w:r w:rsidRPr="008B17C0">
        <w:rPr>
          <w:noProof/>
          <w:color w:val="000000" w:themeColor="text1"/>
        </w:rPr>
        <w:t xml:space="preserve">. Eurojust modtog allerede 9,5 mio. EUR gennem en budgetoverførsel fra Den Europæiske Anklagemyndighed (EPPO) i oktober 2021, hvilket er grunden til, at de udestående omkostninger til sagsforvaltningssystemet anslås til 21,5 mio. EUR. Desuden vil der være behov for ca. 11,5 mio. EUR til dækning af yderligere personalebehov i en 4-årig udviklings- og driftsperiode. Disse 25 yderligere stillinger vil være faste stillinger for at sikre, at Eurojust har ressourcer til at udføre sine opgaver. </w:t>
      </w:r>
    </w:p>
    <w:p w14:paraId="3B15E16B" w14:textId="5D63789C" w:rsidR="00EB0A3C" w:rsidRPr="008B17C0" w:rsidRDefault="00DF432B" w:rsidP="00715ADE">
      <w:pPr>
        <w:pBdr>
          <w:top w:val="nil"/>
          <w:left w:val="nil"/>
          <w:bottom w:val="nil"/>
          <w:right w:val="nil"/>
          <w:between w:val="nil"/>
          <w:bar w:val="nil"/>
        </w:pBdr>
        <w:spacing w:before="0" w:after="240"/>
        <w:rPr>
          <w:rFonts w:eastAsia="Arial Unicode MS"/>
          <w:noProof/>
          <w:color w:val="000000" w:themeColor="text1"/>
        </w:rPr>
      </w:pPr>
      <w:r w:rsidRPr="008B17C0">
        <w:rPr>
          <w:noProof/>
          <w:color w:val="000000" w:themeColor="text1"/>
        </w:rPr>
        <w:t>Styrkelsen af Eurojusts opgaver i henhold til dette forslag vil derfor kræve flere finansielle og menneskelige ressourcer end de ressourcer, der er øremærket i EU-budgettet for 2021-2027 (FFR).</w:t>
      </w:r>
    </w:p>
    <w:p w14:paraId="5175A7A7" w14:textId="77777777" w:rsidR="00EB0A3C" w:rsidRPr="008B17C0" w:rsidRDefault="00EB0A3C" w:rsidP="00715ADE">
      <w:pPr>
        <w:pStyle w:val="ManualHeading1"/>
        <w:rPr>
          <w:noProof/>
          <w:color w:val="000000" w:themeColor="text1"/>
        </w:rPr>
      </w:pPr>
      <w:bookmarkStart w:id="28" w:name="_Toc84517397"/>
      <w:bookmarkStart w:id="29" w:name="_Toc84517569"/>
      <w:r w:rsidRPr="008B17C0">
        <w:rPr>
          <w:noProof/>
          <w:color w:val="000000" w:themeColor="text1"/>
        </w:rPr>
        <w:t>5.</w:t>
      </w:r>
      <w:r w:rsidRPr="008B17C0">
        <w:rPr>
          <w:noProof/>
        </w:rPr>
        <w:tab/>
      </w:r>
      <w:r w:rsidRPr="008B17C0">
        <w:rPr>
          <w:noProof/>
          <w:color w:val="000000" w:themeColor="text1"/>
        </w:rPr>
        <w:t>ANDRE FORHOLD</w:t>
      </w:r>
      <w:bookmarkEnd w:id="28"/>
      <w:bookmarkEnd w:id="29"/>
    </w:p>
    <w:p w14:paraId="29AD8D15" w14:textId="77777777" w:rsidR="00EB0A3C" w:rsidRPr="008B17C0" w:rsidRDefault="00EB0A3C" w:rsidP="00715ADE">
      <w:pPr>
        <w:pStyle w:val="ManualHeading2"/>
        <w:rPr>
          <w:rFonts w:eastAsia="Arial Unicode MS"/>
          <w:noProof/>
          <w:color w:val="000000" w:themeColor="text1"/>
          <w:bdr w:val="nil"/>
        </w:rPr>
      </w:pPr>
      <w:bookmarkStart w:id="30" w:name="_Toc84517398"/>
      <w:bookmarkStart w:id="31" w:name="_Toc84517570"/>
      <w:r w:rsidRPr="008B17C0">
        <w:rPr>
          <w:noProof/>
          <w:color w:val="000000" w:themeColor="text1"/>
          <w:bdr w:val="nil"/>
        </w:rPr>
        <w:t>•</w:t>
      </w:r>
      <w:r w:rsidRPr="008B17C0">
        <w:rPr>
          <w:noProof/>
        </w:rPr>
        <w:tab/>
      </w:r>
      <w:r w:rsidRPr="008B17C0">
        <w:rPr>
          <w:noProof/>
          <w:color w:val="000000" w:themeColor="text1"/>
          <w:bdr w:val="nil"/>
        </w:rPr>
        <w:t>Planer for gennemførelsen og foranstaltninger til overvågning, evaluering og rapportering</w:t>
      </w:r>
      <w:bookmarkEnd w:id="30"/>
      <w:bookmarkEnd w:id="31"/>
    </w:p>
    <w:p w14:paraId="020A2930" w14:textId="5711842C" w:rsidR="000835D7" w:rsidRPr="008B17C0" w:rsidRDefault="000835D7" w:rsidP="00715ADE">
      <w:pPr>
        <w:pBdr>
          <w:top w:val="nil"/>
          <w:left w:val="nil"/>
          <w:bottom w:val="nil"/>
          <w:right w:val="nil"/>
          <w:between w:val="nil"/>
          <w:bar w:val="nil"/>
        </w:pBdr>
        <w:spacing w:before="0" w:after="240"/>
        <w:rPr>
          <w:noProof/>
        </w:rPr>
      </w:pPr>
      <w:r w:rsidRPr="008B17C0">
        <w:rPr>
          <w:noProof/>
        </w:rPr>
        <w:t>Tidsplanen for gennemførelsen af Eurojusts nye sagsforvaltningssystem, sikre kommunikationskanaler og et kommunikationsværktøj til struktureret udveksling af oplysninger er baseret på analysen i undersøgelsen om digital strafferet</w:t>
      </w:r>
      <w:r w:rsidRPr="008B17C0">
        <w:rPr>
          <w:rStyle w:val="FootnoteReference"/>
          <w:rFonts w:eastAsia="Arial Unicode MS"/>
          <w:noProof/>
        </w:rPr>
        <w:footnoteReference w:id="31"/>
      </w:r>
      <w:r w:rsidRPr="008B17C0">
        <w:rPr>
          <w:noProof/>
        </w:rPr>
        <w:t xml:space="preserve">. For terrorbekæmpelsesregistrets vedkommende vil udbuds- og gennemførelsesfasen efter en forberedelsesfase på seks måneder løbe over ca. 20 måneder. Den nye tekniske løsning bør derfor være operationel ca. to år efter vedtagelsen af forslaget. Der er behov for en gennemførelsesretsakt for at etablere sikre kommunikationskanaler. </w:t>
      </w:r>
    </w:p>
    <w:p w14:paraId="5ADABFA6" w14:textId="656C3A3E" w:rsidR="000835D7" w:rsidRPr="008B17C0" w:rsidRDefault="000835D7" w:rsidP="00715ADE">
      <w:pPr>
        <w:pBdr>
          <w:top w:val="nil"/>
          <w:left w:val="nil"/>
          <w:bottom w:val="nil"/>
          <w:right w:val="nil"/>
          <w:between w:val="nil"/>
          <w:bar w:val="nil"/>
        </w:pBdr>
        <w:spacing w:before="0" w:after="240"/>
        <w:rPr>
          <w:noProof/>
        </w:rPr>
      </w:pPr>
      <w:r w:rsidRPr="008B17C0">
        <w:rPr>
          <w:noProof/>
        </w:rPr>
        <w:t>Det er vigtigt at overvåge og evaluere digitaliseringen af Eurojusts databehandling for at sikre agenturets effektivitet og overholdelse af de grundlæggende rettigheder. Overvågningen og evalueringen vil i vid udstrækning finde sted i henhold til den gældende Eurojustforordning. Kommissionen vil bestille en uafhængig evaluering af gennemførelsen af Eurojustforordningen og Eurojusts virke senest den 13. december 2024. Evalueringen vil finde sted hvert femte år for at vurdere gennemførelsen og virkningen af forordningen og Eurojusts effektivitet og produktivitet i overensstemmelse med Eurojustforordningens artikel 69, stk. 1.</w:t>
      </w:r>
    </w:p>
    <w:p w14:paraId="14F71967" w14:textId="77777777" w:rsidR="00EB0A3C" w:rsidRPr="008B17C0" w:rsidRDefault="00EB0A3C" w:rsidP="00715ADE">
      <w:pPr>
        <w:pStyle w:val="ManualHeading2"/>
        <w:rPr>
          <w:rFonts w:eastAsia="Arial Unicode MS"/>
          <w:noProof/>
          <w:color w:val="000000" w:themeColor="text1"/>
          <w:bdr w:val="nil"/>
        </w:rPr>
      </w:pPr>
      <w:bookmarkStart w:id="32" w:name="_Toc84517399"/>
      <w:bookmarkStart w:id="33" w:name="_Toc84517571"/>
      <w:r w:rsidRPr="008B17C0">
        <w:rPr>
          <w:noProof/>
          <w:color w:val="000000" w:themeColor="text1"/>
          <w:bdr w:val="nil"/>
        </w:rPr>
        <w:t>•</w:t>
      </w:r>
      <w:r w:rsidRPr="008B17C0">
        <w:rPr>
          <w:noProof/>
        </w:rPr>
        <w:tab/>
      </w:r>
      <w:r w:rsidRPr="008B17C0">
        <w:rPr>
          <w:noProof/>
          <w:color w:val="000000" w:themeColor="text1"/>
          <w:bdr w:val="nil"/>
        </w:rPr>
        <w:t>Nærmere redegørelse for de enkelte bestemmelser i forslaget</w:t>
      </w:r>
      <w:bookmarkEnd w:id="32"/>
      <w:bookmarkEnd w:id="33"/>
    </w:p>
    <w:p w14:paraId="66964395" w14:textId="569E150C" w:rsidR="00C73165" w:rsidRPr="008B17C0" w:rsidRDefault="00584C80" w:rsidP="00195FE5">
      <w:pPr>
        <w:pBdr>
          <w:top w:val="nil"/>
          <w:left w:val="nil"/>
          <w:bottom w:val="nil"/>
          <w:right w:val="nil"/>
          <w:between w:val="nil"/>
          <w:bar w:val="nil"/>
        </w:pBdr>
        <w:spacing w:before="0" w:after="240"/>
        <w:rPr>
          <w:noProof/>
        </w:rPr>
      </w:pPr>
      <w:r w:rsidRPr="008B17C0">
        <w:rPr>
          <w:noProof/>
        </w:rPr>
        <w:t>Ifølge forslaget bør Eurojustforordningen og Rådets afgørelse 2005/671/RIA ændres for at præcisere og styrke medlemsstaternes retlige forpligtelse til at udveksle oplysninger om terrorhandlinger med Eurojust.</w:t>
      </w:r>
      <w:r w:rsidRPr="008B17C0">
        <w:rPr>
          <w:noProof/>
          <w:color w:val="000000" w:themeColor="text1"/>
        </w:rPr>
        <w:t xml:space="preserve"> Betingelserne for, at forbindelsesanklagere fra tredjelande udstationeret i Eurojust kan få adgang til sagsforvaltningssystemet i overensstemmelse med de gældende databeskyttelsesregler, bør også præciseres. Der bør også etableres sikre kommunikationskanaler og et mere fleksibelt databehandlingsmiljø.</w:t>
      </w:r>
    </w:p>
    <w:p w14:paraId="2DAB89B1" w14:textId="77777777" w:rsidR="00195FE5" w:rsidRPr="008B17C0" w:rsidRDefault="00584C80" w:rsidP="00195FE5">
      <w:pPr>
        <w:pBdr>
          <w:top w:val="nil"/>
          <w:left w:val="nil"/>
          <w:bottom w:val="nil"/>
          <w:right w:val="nil"/>
          <w:between w:val="nil"/>
          <w:bar w:val="nil"/>
        </w:pBdr>
        <w:spacing w:before="0" w:after="240"/>
        <w:rPr>
          <w:noProof/>
        </w:rPr>
      </w:pPr>
      <w:r w:rsidRPr="008B17C0">
        <w:rPr>
          <w:noProof/>
        </w:rPr>
        <w:t>Forordningens artikel 1 ændrer Eurojustforordningen:</w:t>
      </w:r>
    </w:p>
    <w:p w14:paraId="28CE079F" w14:textId="58748B72" w:rsidR="00AD6074" w:rsidRPr="008B17C0" w:rsidRDefault="00C32262" w:rsidP="00AD6074">
      <w:pPr>
        <w:rPr>
          <w:noProof/>
        </w:rPr>
      </w:pPr>
      <w:r w:rsidRPr="008B17C0">
        <w:rPr>
          <w:noProof/>
          <w:color w:val="000000" w:themeColor="text1"/>
        </w:rPr>
        <w:t>For at sikre, at Eurojust kan udfylde sin rolle i samarbejdet med tredjelande, præciseres det i artikel 1, stk. 1, i forslaget i Eurojustforordningens artikel 3, stk. 5, at Eurojust også kan bistå i sager mellem en medlemsstat og et tredjeland eller en medlemsstat og en international organisation. Sidstnævnte vil være af særlig relevans for det potentielle samarbejde med Interpol eller Den Internationale Straffedomstol, f.eks. om bevismateriale fra krigszoner.</w:t>
      </w:r>
    </w:p>
    <w:p w14:paraId="03071AB5" w14:textId="61B9E307" w:rsidR="00AD6074" w:rsidRPr="008B17C0" w:rsidRDefault="00AD6074" w:rsidP="00AD6074">
      <w:pPr>
        <w:rPr>
          <w:noProof/>
        </w:rPr>
      </w:pPr>
      <w:r w:rsidRPr="008B17C0">
        <w:rPr>
          <w:noProof/>
        </w:rPr>
        <w:t xml:space="preserve">Artikel 1, stk. 2, i forslaget pålægger medlemsstaterne at udpege en eller flere nationale korrespondenter på terrorismeområdet og at give dem tilstrækkelige beføjelser, tidligere baseret på artikel 2, stk. 2, i Rådets afgørelse 2005/671/RIA, i Eurojustforordningen ved tilføjelse af et nyt stk. 2a til Eurojustforordningens artikel 20. Artikel 1, stk. 3, er en konsekvensændring som følge af indførelsen af forpligtelsen til at give oplysninger i terrorsager i Eurojustforordningen og fastsætte en mere generel forpligtelse til at fremsende oplysninger til Eurojust på en struktureret måde i en ny artikel 22a. </w:t>
      </w:r>
    </w:p>
    <w:p w14:paraId="42985138" w14:textId="28814CC0" w:rsidR="00FC00B8" w:rsidRPr="008B17C0" w:rsidRDefault="00230731" w:rsidP="00FC00B8">
      <w:pPr>
        <w:rPr>
          <w:rFonts w:eastAsia="Arial Unicode MS"/>
          <w:noProof/>
          <w:color w:val="000000" w:themeColor="text1"/>
        </w:rPr>
      </w:pPr>
      <w:r w:rsidRPr="008B17C0">
        <w:rPr>
          <w:noProof/>
        </w:rPr>
        <w:t>Artikel 1, stk. 4, i forslaget indfører en ny artikel 21a i Eurojustforordningen. Artikel 21a præciserer og styrker forpligtelsen til at give oplysninger om terrorsager, tidligere baseret på artikel 2, stk. 3, sammenholdt med artikel 2, stk. 5, i Rådets afgørelse 2005/671/RIA. I artikel 21a præciseres de tilfælde, hvor medlemsstaterne er forpligtet til at tilvejebringe oplysninger om strafferetlige efterforskninger og retssager vedrørende terrorhandlinger.</w:t>
      </w:r>
      <w:r w:rsidRPr="008B17C0">
        <w:rPr>
          <w:noProof/>
          <w:color w:val="000000" w:themeColor="text1"/>
        </w:rPr>
        <w:t xml:space="preserve"> Desuden præciseres stadiet af strafferetlige efterforskninger og nationale retssager og arten af oplysninger.</w:t>
      </w:r>
    </w:p>
    <w:p w14:paraId="6870A56A" w14:textId="7DEA05C7" w:rsidR="00E601C0" w:rsidRPr="008B17C0" w:rsidRDefault="00FC00B8" w:rsidP="00AA7ACB">
      <w:pPr>
        <w:spacing w:before="0" w:after="0"/>
        <w:rPr>
          <w:noProof/>
          <w:u w:val="single"/>
        </w:rPr>
      </w:pPr>
      <w:r w:rsidRPr="008B17C0">
        <w:rPr>
          <w:noProof/>
        </w:rPr>
        <w:t>Artikel 1, stk. 5, i forslaget indeholder i en ny artikel 22a bestemmelser om etablering og brug af sikre kommunikationskanaler mellem alle medlemsstater og Eurojust i forbindelse med udveksling af følsomme oplysninger. Artikel 22a forpligter også medlemsstaterne til at indføre foranstaltninger, der sikrer halvautomatisk ajourføring af strukturerede oplysninger fra nationale databaser. Ved halvautomatisk forstås en fremsendelsesmåde, som er delvis automatiseret og delvis menneskestyret. I artikel 22b og artikel 22c fastlægges en ramme for Kommissionens vedtagelse af gennemførelsesretsakter.</w:t>
      </w:r>
    </w:p>
    <w:p w14:paraId="4486BCB5" w14:textId="2C0782F9" w:rsidR="00C73165" w:rsidRPr="008B17C0" w:rsidRDefault="00C22F77" w:rsidP="00E601C0">
      <w:pPr>
        <w:rPr>
          <w:noProof/>
        </w:rPr>
      </w:pPr>
      <w:r w:rsidRPr="008B17C0">
        <w:rPr>
          <w:noProof/>
        </w:rPr>
        <w:t xml:space="preserve">Ændringerne af Eurojustforordningens artikel 23, der er indeholdt i forslagets artikel 1, stk. 6, har til formål at gøre Eurojusts regler for databehandling lidt mere fleksible. Hovedprincipperne er fortsat gældende, men det vil nu være muligt at opbevare oplysninger, der gives i henhold til artikel 21 om grov kriminalitet og i henhold til artikel 21a om terrorbekæmpelsessager, i en anden struktur og i en længere periode end i de nuværende midlertidige elektroniske sagsmapper. I forslaget udgår de tekniske detaljer vedrørende sagsforvaltningssystemet for at gøre det muligt at modernisere systemet. Når dette er sagt, vil princippet om midlertidig opbevaring også blive opretholdt for disse oplysninger, selv om opbevaringsperioderne er lidt længere for oplysninger i henhold til artikel 21a. I den reviderede artikel 23 præciseres formålet med sagsforvaltningssystemet. </w:t>
      </w:r>
    </w:p>
    <w:p w14:paraId="0002467F" w14:textId="22E55453" w:rsidR="00566FAA" w:rsidRPr="008B17C0" w:rsidRDefault="00F53CC5" w:rsidP="00E601C0">
      <w:pPr>
        <w:rPr>
          <w:noProof/>
        </w:rPr>
      </w:pPr>
      <w:r w:rsidRPr="008B17C0">
        <w:rPr>
          <w:noProof/>
        </w:rPr>
        <w:t xml:space="preserve">Artikel 1, stk. 6, ændrer også artikel 24 i Eurojustforordningen og opretholder det nuværende princip om informationsstyring i sagsforvaltningssystemet. I artikel 24, stk. 1, understreges de nationale medlemmers kontrol med og ansvar for oplysningerne i sagsforvaltningssystemet. I overensstemmelse med artikel 24, stk. 2, træffer de nationale medlemmer fortsat afgørelse om retten til adgang til de oplysninger, de forvalter. Artikel 24, stk. 3, indfører et retsgrundlag for en mere automatiseret opfølgning på forbindelser, hvis de nationale myndigheder giver tilladelse til dataudveksling med visse parter inden identificeringen af en forbindelse. </w:t>
      </w:r>
    </w:p>
    <w:p w14:paraId="72572856" w14:textId="0FCDBA30" w:rsidR="00566FAA" w:rsidRPr="008B17C0" w:rsidRDefault="007D2CDA" w:rsidP="00E601C0">
      <w:pPr>
        <w:rPr>
          <w:noProof/>
        </w:rPr>
      </w:pPr>
      <w:r w:rsidRPr="008B17C0">
        <w:rPr>
          <w:noProof/>
        </w:rPr>
        <w:t xml:space="preserve">Endelig medfører artikel 1, stk. 6, konsekvensændringer af Eurojustforordningens artikel 25, som skyldes, at de tekniske detaljer udgår af Eurojustforordningens artikel 23. </w:t>
      </w:r>
    </w:p>
    <w:p w14:paraId="14B35FE9" w14:textId="1503D3F7" w:rsidR="008D5DAB" w:rsidRPr="008B17C0" w:rsidRDefault="009A024F" w:rsidP="00E601C0">
      <w:pPr>
        <w:rPr>
          <w:noProof/>
        </w:rPr>
      </w:pPr>
      <w:r w:rsidRPr="008B17C0">
        <w:rPr>
          <w:noProof/>
        </w:rPr>
        <w:t>Artikel 1, stk. 7, ændrer Eurojustforordningens artikel 27 for at give mulighed for fortsat behandling af oplysninger i terrorsager, hvor sagerne er blevet afsluttet i henhold til national ret. For at muliggøre en effektiv identificering af forbindelser mellem efterforskninger og retsforfølgninger kan oplysninger om tidligere efterforskninger, herunder dem, der endte med frifindelse, eller som blev afsluttet på anden vis, ligeledes fortsat behandles i en vis periode.</w:t>
      </w:r>
    </w:p>
    <w:p w14:paraId="407327DD" w14:textId="05B8B20F" w:rsidR="008D5DAB" w:rsidRPr="008B17C0" w:rsidRDefault="008D5DAB" w:rsidP="008D5DAB">
      <w:pPr>
        <w:rPr>
          <w:noProof/>
        </w:rPr>
      </w:pPr>
      <w:r w:rsidRPr="008B17C0">
        <w:rPr>
          <w:noProof/>
        </w:rPr>
        <w:t xml:space="preserve">Ved artikel 1, stk. 8, indføres der nye, længere opbevaringsperioder for oplysninger, der er indberettet i henhold til Eurojustforordningens artikel 21a, for at sikre, at oplysninger opbevares i et tilstrækkelig langt tidsrum til at identificere forbindelser i terrorsager mere effektivt. Oplysninger i sager, der ikke har ført til domfældelse, har kortere opbevaringsperioder for at overholde proportionalitetsprincippet. </w:t>
      </w:r>
    </w:p>
    <w:p w14:paraId="1CCD284C" w14:textId="59DBA5D0" w:rsidR="00584C80" w:rsidRPr="008B17C0" w:rsidRDefault="003737F8" w:rsidP="008D5DAB">
      <w:pPr>
        <w:rPr>
          <w:noProof/>
        </w:rPr>
      </w:pPr>
      <w:r w:rsidRPr="008B17C0">
        <w:rPr>
          <w:noProof/>
        </w:rPr>
        <w:t>For at præcisere samarbejdet med forbindelsesanklagere fra tredjelande i Eurojust indeholder forslagets artikel 1, stk. 9, bestemmelser om en ny artikel 54a i Eurojustforordningen, der giver tredjelandsstatsborgere adgang til sagsforvaltningssystemet. Bestemmelsen fastsætter imidlertid ikke noget retsgrundlag for dataudveksling. Videregivelsen af oplysninger til en forbindelsesanklager er en videregivelse af oplysninger til et tredjeland og skal derfor altid ske i overensstemmelse med Eurojustforordningens artikel 56.</w:t>
      </w:r>
    </w:p>
    <w:p w14:paraId="5A7500BE" w14:textId="7EE1EB10" w:rsidR="008E4B0E" w:rsidRPr="008B17C0" w:rsidRDefault="008E4B0E" w:rsidP="008D5DAB">
      <w:pPr>
        <w:rPr>
          <w:noProof/>
        </w:rPr>
      </w:pPr>
      <w:r w:rsidRPr="008B17C0">
        <w:rPr>
          <w:noProof/>
        </w:rPr>
        <w:t>Artikel 1, stk. 10, ændrer artikel 80 i Eurojustforordningen. Den indeholder overgangsbestemmelser, hvor der tages hensyn til, at det vil tage en vis tid, før den nødvendige tekniske infrastruktur er på plads.</w:t>
      </w:r>
    </w:p>
    <w:p w14:paraId="058FAB61" w14:textId="111377E2" w:rsidR="00584C80" w:rsidRPr="008B17C0" w:rsidRDefault="00DD1087" w:rsidP="160710AA">
      <w:pPr>
        <w:rPr>
          <w:noProof/>
        </w:rPr>
      </w:pPr>
      <w:r w:rsidRPr="008B17C0">
        <w:rPr>
          <w:noProof/>
        </w:rPr>
        <w:t>Ved artikel 1, stk. 11, indføres et nyt bilag III, hvori det fastsættes, hvilke oplysninger der skal fremsendes til Eurojust i henhold til Eurojustforordningens artikel 21a. Listen omfatter biometriske oplysninger, fingeraftryk og fotografier for at sikre en pålidelig identifikation af mistænkte under hensyntagen til upålideligheden af alfanumeriske oplysninger, navnlig vedrørende tredjelandsstatsborgere. I terrorsager er et fotografi ofte den eneste forbindelse til mistænkte i efterforskningsfasen, og derfor bør ansigtsgenkendelse også medtages. Disse oplysninger bør kun gives, hvis de nationale retsmyndigheder har adgang til dem.</w:t>
      </w:r>
    </w:p>
    <w:p w14:paraId="4F4EA302" w14:textId="1A620C20" w:rsidR="00200E65" w:rsidRPr="008B17C0" w:rsidRDefault="00200E65" w:rsidP="00585048">
      <w:pPr>
        <w:rPr>
          <w:noProof/>
        </w:rPr>
      </w:pPr>
    </w:p>
    <w:p w14:paraId="73AE4B74" w14:textId="77777777" w:rsidR="00C73165" w:rsidRPr="008B17C0" w:rsidRDefault="00584C80" w:rsidP="00C73165">
      <w:pPr>
        <w:pBdr>
          <w:top w:val="nil"/>
          <w:left w:val="nil"/>
          <w:bottom w:val="nil"/>
          <w:right w:val="nil"/>
          <w:between w:val="nil"/>
          <w:bar w:val="nil"/>
        </w:pBdr>
        <w:spacing w:before="0" w:after="240"/>
        <w:rPr>
          <w:noProof/>
        </w:rPr>
      </w:pPr>
      <w:r w:rsidRPr="008B17C0">
        <w:rPr>
          <w:noProof/>
        </w:rPr>
        <w:t>Artikel 2 ændrer Rådets afgørelse 2005/671/RIA på følgende punkter:</w:t>
      </w:r>
    </w:p>
    <w:p w14:paraId="00918938" w14:textId="6D0CB5DD" w:rsidR="00D96747" w:rsidRPr="008B17C0" w:rsidRDefault="00E134B7" w:rsidP="00D96747">
      <w:pPr>
        <w:rPr>
          <w:noProof/>
          <w:color w:val="000000" w:themeColor="text1"/>
        </w:rPr>
      </w:pPr>
      <w:r w:rsidRPr="008B17C0">
        <w:rPr>
          <w:noProof/>
        </w:rPr>
        <w:t>For at præcisere forholdet mellem Rådets afgørelse 2005/671/RIA og Eurojustforordningen er henvisningerne til Eurojust i Rådets afgørelse udeladt. Ved artikel 2, stk. 1, og artikel 2, stk. 2, litra a) og c), i den foreslåede forordning udgår artikel 1, litra c), og artikel 2, stk. 2 og 5, i afgørelsen. Ved artikel 2, stk. 2, litra b), i forslaget udgår henvisningen til Eurojust fra artikel 2, stk. 3, i afgørelsen.</w:t>
      </w:r>
      <w:r w:rsidRPr="008B17C0">
        <w:rPr>
          <w:noProof/>
          <w:color w:val="000000" w:themeColor="text1"/>
        </w:rPr>
        <w:t xml:space="preserve"> </w:t>
      </w:r>
    </w:p>
    <w:p w14:paraId="70C3E11C" w14:textId="77777777" w:rsidR="00D96747" w:rsidRPr="008B17C0" w:rsidRDefault="00D96747" w:rsidP="00D96747">
      <w:pPr>
        <w:rPr>
          <w:noProof/>
        </w:rPr>
      </w:pPr>
    </w:p>
    <w:p w14:paraId="259FE02A" w14:textId="77777777" w:rsidR="00EB0A3C" w:rsidRPr="008B17C0" w:rsidRDefault="00EB0A3C" w:rsidP="00715ADE">
      <w:pPr>
        <w:rPr>
          <w:noProof/>
        </w:rPr>
        <w:sectPr w:rsidR="00EB0A3C" w:rsidRPr="008B17C0" w:rsidSect="00EA3F52">
          <w:footerReference w:type="default" r:id="rId13"/>
          <w:footerReference w:type="first" r:id="rId14"/>
          <w:pgSz w:w="11907" w:h="16839"/>
          <w:pgMar w:top="1134" w:right="1417" w:bottom="1134" w:left="1417" w:header="709" w:footer="709" w:gutter="0"/>
          <w:cols w:space="708"/>
          <w:docGrid w:linePitch="360"/>
        </w:sectPr>
      </w:pPr>
    </w:p>
    <w:p w14:paraId="5FBAF423" w14:textId="774577B2" w:rsidR="005E020D" w:rsidRPr="008B17C0" w:rsidRDefault="00001560" w:rsidP="00001560">
      <w:pPr>
        <w:pStyle w:val="Rfrenceinterinstitutionnelle"/>
        <w:rPr>
          <w:noProof/>
        </w:rPr>
      </w:pPr>
      <w:r w:rsidRPr="00001560">
        <w:t>2021/0393 (COD)</w:t>
      </w:r>
    </w:p>
    <w:p w14:paraId="016781CE" w14:textId="536A01CE" w:rsidR="00EB0A3C" w:rsidRPr="008B17C0" w:rsidRDefault="0008003B" w:rsidP="0008003B">
      <w:pPr>
        <w:pStyle w:val="Statut"/>
        <w:rPr>
          <w:noProof/>
        </w:rPr>
      </w:pPr>
      <w:r w:rsidRPr="0008003B">
        <w:rPr>
          <w:noProof/>
        </w:rPr>
        <w:t>Forslag til</w:t>
      </w:r>
    </w:p>
    <w:p w14:paraId="7AEB6771" w14:textId="76E0448F" w:rsidR="00EB0A3C" w:rsidRPr="008B17C0" w:rsidRDefault="0008003B" w:rsidP="0008003B">
      <w:pPr>
        <w:pStyle w:val="Typedudocument"/>
        <w:rPr>
          <w:noProof/>
        </w:rPr>
      </w:pPr>
      <w:r w:rsidRPr="0008003B">
        <w:rPr>
          <w:noProof/>
        </w:rPr>
        <w:t>EUROPA-PARLAMENTETS OG RÅDETS FORORDNING</w:t>
      </w:r>
    </w:p>
    <w:p w14:paraId="33EC4F51" w14:textId="38379839" w:rsidR="00EB0A3C" w:rsidRPr="008B17C0" w:rsidRDefault="0008003B" w:rsidP="0008003B">
      <w:pPr>
        <w:pStyle w:val="Titreobjet"/>
        <w:rPr>
          <w:noProof/>
        </w:rPr>
      </w:pPr>
      <w:r w:rsidRPr="0008003B">
        <w:rPr>
          <w:noProof/>
        </w:rPr>
        <w:t>om ændring af Europa-Parlamentets og Rådets forordning (EU) 2018/1727 og Rådets afgørelse 2005/671/RIA for så vidt angår digital informationsudveksling i terrorsager</w:t>
      </w:r>
    </w:p>
    <w:p w14:paraId="0BAB9FC9" w14:textId="77777777" w:rsidR="00EB0A3C" w:rsidRPr="008B17C0" w:rsidRDefault="00EB0A3C" w:rsidP="00715ADE">
      <w:pPr>
        <w:pStyle w:val="Institutionquiagit"/>
        <w:rPr>
          <w:noProof/>
        </w:rPr>
      </w:pPr>
      <w:r w:rsidRPr="008B17C0">
        <w:rPr>
          <w:noProof/>
        </w:rPr>
        <w:t>EUROPA-PARLAMENTET OG RÅDET FOR DEN EUROPÆISKE UNION HAR —</w:t>
      </w:r>
    </w:p>
    <w:p w14:paraId="521D8ED3" w14:textId="6F38E102" w:rsidR="00EB0A3C" w:rsidRPr="008B17C0" w:rsidRDefault="00EB0A3C" w:rsidP="00715ADE">
      <w:pPr>
        <w:rPr>
          <w:noProof/>
        </w:rPr>
      </w:pPr>
      <w:r w:rsidRPr="008B17C0">
        <w:rPr>
          <w:noProof/>
        </w:rPr>
        <w:t>under henvisning til traktaten om Den Europæiske Unions funktionsmåde, særlig artikel 85, og</w:t>
      </w:r>
    </w:p>
    <w:p w14:paraId="52FD2651" w14:textId="77777777" w:rsidR="00EB0A3C" w:rsidRPr="008B17C0" w:rsidRDefault="00EB0A3C" w:rsidP="00715ADE">
      <w:pPr>
        <w:rPr>
          <w:noProof/>
        </w:rPr>
      </w:pPr>
      <w:r w:rsidRPr="008B17C0">
        <w:rPr>
          <w:noProof/>
        </w:rPr>
        <w:t>under henvisning til forslag fra Europa-Kommissionen,</w:t>
      </w:r>
    </w:p>
    <w:p w14:paraId="54B3E052" w14:textId="77777777" w:rsidR="00EB0A3C" w:rsidRPr="008B17C0" w:rsidRDefault="00EB0A3C" w:rsidP="00715ADE">
      <w:pPr>
        <w:rPr>
          <w:noProof/>
        </w:rPr>
      </w:pPr>
      <w:r w:rsidRPr="008B17C0">
        <w:rPr>
          <w:noProof/>
        </w:rPr>
        <w:t>efter fremsendelse af udkast til lovgivningsmæssig retsakt til de nationale parlamenter,</w:t>
      </w:r>
    </w:p>
    <w:p w14:paraId="1B16948B" w14:textId="7E207F0C" w:rsidR="00EB0A3C" w:rsidRPr="008B17C0" w:rsidRDefault="00EB0A3C" w:rsidP="00715ADE">
      <w:pPr>
        <w:rPr>
          <w:noProof/>
        </w:rPr>
      </w:pPr>
      <w:r w:rsidRPr="008B17C0">
        <w:rPr>
          <w:noProof/>
        </w:rPr>
        <w:t>efter den almindelige lovgivningsprocedure</w:t>
      </w:r>
      <w:r w:rsidRPr="008B17C0">
        <w:rPr>
          <w:rStyle w:val="FootnoteReference"/>
          <w:noProof/>
        </w:rPr>
        <w:footnoteReference w:id="32"/>
      </w:r>
      <w:r w:rsidRPr="008B17C0">
        <w:rPr>
          <w:noProof/>
        </w:rPr>
        <w:t>, og</w:t>
      </w:r>
    </w:p>
    <w:p w14:paraId="4C4D5CE8" w14:textId="77777777" w:rsidR="00EB0A3C" w:rsidRPr="008B17C0" w:rsidRDefault="00EB0A3C" w:rsidP="00715ADE">
      <w:pPr>
        <w:rPr>
          <w:noProof/>
        </w:rPr>
      </w:pPr>
      <w:r w:rsidRPr="008B17C0">
        <w:rPr>
          <w:noProof/>
        </w:rPr>
        <w:t>ud fra følgende betragtninger:</w:t>
      </w:r>
    </w:p>
    <w:p w14:paraId="4EF203E7" w14:textId="3FD1DE29" w:rsidR="00F84649" w:rsidRPr="008B17C0" w:rsidRDefault="003433F5" w:rsidP="003433F5">
      <w:pPr>
        <w:pStyle w:val="ManualConsidrant"/>
        <w:rPr>
          <w:noProof/>
        </w:rPr>
      </w:pPr>
      <w:r w:rsidRPr="003433F5">
        <w:t>(1)</w:t>
      </w:r>
      <w:r w:rsidRPr="003433F5">
        <w:tab/>
      </w:r>
      <w:r w:rsidR="00F84649" w:rsidRPr="008B17C0">
        <w:rPr>
          <w:noProof/>
        </w:rPr>
        <w:t>Eurojust blev oprettet ved Europa-Parlamentets og Rådets forordning (EU) nr. 2018/1727</w:t>
      </w:r>
      <w:r w:rsidR="00F84649" w:rsidRPr="008B17C0">
        <w:rPr>
          <w:rStyle w:val="FootnoteReference"/>
          <w:noProof/>
        </w:rPr>
        <w:footnoteReference w:id="33"/>
      </w:r>
      <w:r w:rsidR="00F84649" w:rsidRPr="008B17C0">
        <w:rPr>
          <w:noProof/>
        </w:rPr>
        <w:t>, der fastlægger dets opgaver, kompetence og funktioner.</w:t>
      </w:r>
    </w:p>
    <w:p w14:paraId="358C83AB" w14:textId="575A573F" w:rsidR="00F84649" w:rsidRPr="008B17C0" w:rsidRDefault="003433F5" w:rsidP="003433F5">
      <w:pPr>
        <w:pStyle w:val="ManualConsidrant"/>
        <w:rPr>
          <w:noProof/>
        </w:rPr>
      </w:pPr>
      <w:r w:rsidRPr="003433F5">
        <w:t>(2)</w:t>
      </w:r>
      <w:r w:rsidRPr="003433F5">
        <w:tab/>
      </w:r>
      <w:r w:rsidR="00F84649" w:rsidRPr="008B17C0">
        <w:rPr>
          <w:noProof/>
        </w:rPr>
        <w:t>Det anføres i Rådets afgørelse 2005/671/RIA</w:t>
      </w:r>
      <w:r w:rsidR="00F84649" w:rsidRPr="008B17C0">
        <w:rPr>
          <w:rStyle w:val="FootnoteReference"/>
          <w:noProof/>
        </w:rPr>
        <w:footnoteReference w:id="34"/>
      </w:r>
      <w:r w:rsidR="00F84649" w:rsidRPr="008B17C0">
        <w:rPr>
          <w:noProof/>
        </w:rPr>
        <w:t>, at det er vigtigt for terrorbekæmpelse at have adgang til de mest fuldstændige og ajourførte oplysninger. Afgørelsen forpligter medlemsstaternes kompetente nationale myndigheder til at give Eurojust oplysninger om retsforfølgning og domme for terrorhandlinger, som berører eller kan berøre to eller flere medlemsstater.</w:t>
      </w:r>
    </w:p>
    <w:p w14:paraId="6AA40D49" w14:textId="25235400" w:rsidR="00F84649" w:rsidRPr="008B17C0" w:rsidRDefault="003433F5" w:rsidP="003433F5">
      <w:pPr>
        <w:pStyle w:val="ManualConsidrant"/>
        <w:rPr>
          <w:noProof/>
        </w:rPr>
      </w:pPr>
      <w:r w:rsidRPr="003433F5">
        <w:t>(3)</w:t>
      </w:r>
      <w:r w:rsidRPr="003433F5">
        <w:tab/>
      </w:r>
      <w:r w:rsidR="00F84649" w:rsidRPr="008B17C0">
        <w:rPr>
          <w:noProof/>
        </w:rPr>
        <w:t>Uoverensstemmelser i fortolkningen af afgørelse 2005/671/RIA medfører, at oplysninger ikke udveksles på det rette tidspunkt, at det ikke er de relevante oplysninger, som udveksles, eller at der slet ikke udveksles oplysninger. Eurojust skal modtage tilstrækkelige oplysninger til at identificerer forbindelser mellem grænseoverskridende efterforskninger.</w:t>
      </w:r>
    </w:p>
    <w:p w14:paraId="329EA561" w14:textId="1A7211D8" w:rsidR="00F84649" w:rsidRPr="008B17C0" w:rsidRDefault="003433F5" w:rsidP="003433F5">
      <w:pPr>
        <w:pStyle w:val="ManualConsidrant"/>
        <w:rPr>
          <w:noProof/>
        </w:rPr>
      </w:pPr>
      <w:r w:rsidRPr="003433F5">
        <w:t>(4)</w:t>
      </w:r>
      <w:r w:rsidRPr="003433F5">
        <w:tab/>
      </w:r>
      <w:r w:rsidR="00F84649" w:rsidRPr="008B17C0">
        <w:rPr>
          <w:noProof/>
        </w:rPr>
        <w:t xml:space="preserve">Det er en vigtig opgave for Eurojust i henhold til forordning (EU) 2018/1727 at bistå medlemsstaternes kompetente myndigheder med at sikre den bedst mulige koordinering af efterforskningen og retsforfølgningen, herunder identificeringen af forbindelser. Det gør det muligt for Eurojust at anlægge en mere proaktiv tilgang og yde bedre tjenester til medlemsstaterne, f.eks. ved at foreslå, at der indledes efterforskninger, og ved at identificere koordineringsbehov, potentielle ne bis in idem-sager og huller i retsforfølgningen. </w:t>
      </w:r>
    </w:p>
    <w:p w14:paraId="0B3B3762" w14:textId="171BA412" w:rsidR="00DB5074" w:rsidRPr="008B17C0" w:rsidRDefault="003433F5" w:rsidP="003433F5">
      <w:pPr>
        <w:pStyle w:val="ManualConsidrant"/>
        <w:rPr>
          <w:noProof/>
        </w:rPr>
      </w:pPr>
      <w:r w:rsidRPr="003433F5">
        <w:t>(5)</w:t>
      </w:r>
      <w:r w:rsidRPr="003433F5">
        <w:tab/>
      </w:r>
      <w:r w:rsidR="002B14C9" w:rsidRPr="008B17C0">
        <w:rPr>
          <w:noProof/>
        </w:rPr>
        <w:t>I september 2019 oprettede Eurojust det europæiske retlige terrorbekæmpelsesregister på grundlag af afgørelse 2005/671/RIA med det specifikke formål at identificere potentielle forbindelser mellem retssager mod terrormistænkte og eventuelle koordineringsbehov som følge heraf.</w:t>
      </w:r>
    </w:p>
    <w:p w14:paraId="79C86677" w14:textId="30AA7A1E" w:rsidR="00DB5074" w:rsidRPr="008B17C0" w:rsidRDefault="003433F5" w:rsidP="003433F5">
      <w:pPr>
        <w:pStyle w:val="ManualConsidrant"/>
        <w:rPr>
          <w:noProof/>
        </w:rPr>
      </w:pPr>
      <w:r w:rsidRPr="003433F5">
        <w:t>(6)</w:t>
      </w:r>
      <w:r w:rsidRPr="003433F5">
        <w:tab/>
      </w:r>
      <w:r w:rsidR="00DB5074" w:rsidRPr="008B17C0">
        <w:rPr>
          <w:noProof/>
        </w:rPr>
        <w:t xml:space="preserve">Da registret blev oprettet efter vedtagelsen af forordning (EU) 2018/1727, er det europæiske retlige terrorbekæmpelsesregister hverken teknisk velintegreret i Eurojust eller juridisk velintegreret i forordning (EU) 2018/1727. Det er derfor nødvendigt at afhjælpe dette. </w:t>
      </w:r>
    </w:p>
    <w:p w14:paraId="180FE875" w14:textId="65E5819E" w:rsidR="00D86234" w:rsidRPr="008B17C0" w:rsidRDefault="003433F5" w:rsidP="003433F5">
      <w:pPr>
        <w:pStyle w:val="ManualConsidrant"/>
        <w:rPr>
          <w:noProof/>
        </w:rPr>
      </w:pPr>
      <w:r w:rsidRPr="003433F5">
        <w:t>(7)</w:t>
      </w:r>
      <w:r w:rsidRPr="003433F5">
        <w:tab/>
      </w:r>
      <w:r w:rsidR="00D86234" w:rsidRPr="008B17C0">
        <w:rPr>
          <w:noProof/>
        </w:rPr>
        <w:t>For at bekæmpe terrorisme effektivt er effektiv udveksling af oplysninger med henblik på efterforskning eller retsforfølgning af terrorhandlinger, mellem kompetente myndigheder og EU-agenturer af afgørende betydning. Det er vigtigt at have adgang til de mest fuldstændige og ajourførte oplysninger. Den fortsatte terrortrussel og fænomenets komplekse karakter kræver en stadig mere omfattende udveksling af oplysninger.</w:t>
      </w:r>
    </w:p>
    <w:p w14:paraId="3555827B" w14:textId="7374E0EB" w:rsidR="00D86234" w:rsidRPr="008B17C0" w:rsidRDefault="003433F5" w:rsidP="003433F5">
      <w:pPr>
        <w:pStyle w:val="ManualConsidrant"/>
        <w:rPr>
          <w:noProof/>
        </w:rPr>
      </w:pPr>
      <w:r w:rsidRPr="003433F5">
        <w:t>(8)</w:t>
      </w:r>
      <w:r w:rsidRPr="003433F5">
        <w:tab/>
      </w:r>
      <w:r w:rsidR="00D86234" w:rsidRPr="008B17C0">
        <w:rPr>
          <w:noProof/>
        </w:rPr>
        <w:t xml:space="preserve">Da terrororganisationer i stigende grad er involveret i andre former for grov kriminalitet såsom menneskehandel, narkotikahandel eller hvidvaskning af penge, er det også nødvendigt at krydstjekke retssager mod sådanne former for grov kriminalitet. </w:t>
      </w:r>
    </w:p>
    <w:p w14:paraId="2C7B8872" w14:textId="2BFBBC55" w:rsidR="00D86234" w:rsidRPr="008B17C0" w:rsidRDefault="003433F5" w:rsidP="003433F5">
      <w:pPr>
        <w:pStyle w:val="ManualConsidrant"/>
        <w:rPr>
          <w:noProof/>
        </w:rPr>
      </w:pPr>
      <w:r w:rsidRPr="003433F5">
        <w:t>(9)</w:t>
      </w:r>
      <w:r w:rsidRPr="003433F5">
        <w:tab/>
      </w:r>
      <w:r w:rsidR="00D86234" w:rsidRPr="008B17C0">
        <w:rPr>
          <w:noProof/>
        </w:rPr>
        <w:t xml:space="preserve">For at give Eurojust mulighed for at identificere forbindelser mellem grænseoverskridende retssager mod terrormistænkte og forbindelser mellem retssager mod terrormistænkte og oplysninger behandlet af Eurojust vedrørende andre sager om grov kriminalitet er det afgørende, at Eurojust modtager tilstrækkelige oplysninger til, at Eurojust kan krydstjekke disse oplysninger. </w:t>
      </w:r>
    </w:p>
    <w:p w14:paraId="1A2E3623" w14:textId="05D087F0" w:rsidR="00D86234" w:rsidRPr="008B17C0" w:rsidRDefault="003433F5" w:rsidP="003433F5">
      <w:pPr>
        <w:pStyle w:val="ManualConsidrant"/>
        <w:rPr>
          <w:noProof/>
        </w:rPr>
      </w:pPr>
      <w:r w:rsidRPr="003433F5">
        <w:t>(10)</w:t>
      </w:r>
      <w:r w:rsidRPr="003433F5">
        <w:tab/>
      </w:r>
      <w:r w:rsidR="00D86234" w:rsidRPr="008B17C0">
        <w:rPr>
          <w:noProof/>
        </w:rPr>
        <w:t xml:space="preserve">De kompetente myndigheder skal vide nøjagtigt, hvilke oplysninger de skal fremsende til Eurojust, i hvilken fase af de nationale retssager og i hvilke tilfælde for at kunne fremsende sådanne oplysninger. Dette forventes at øge mængden af oplysninger, som Eurojust modtager, betydeligt. </w:t>
      </w:r>
    </w:p>
    <w:p w14:paraId="79DFA372" w14:textId="1818ADCE" w:rsidR="00DB5074" w:rsidRPr="008B17C0" w:rsidRDefault="003433F5" w:rsidP="003433F5">
      <w:pPr>
        <w:pStyle w:val="ManualConsidrant"/>
        <w:rPr>
          <w:noProof/>
        </w:rPr>
      </w:pPr>
      <w:r w:rsidRPr="003433F5">
        <w:t>(11)</w:t>
      </w:r>
      <w:r w:rsidRPr="003433F5">
        <w:tab/>
      </w:r>
      <w:r w:rsidR="00DB5074" w:rsidRPr="008B17C0">
        <w:rPr>
          <w:noProof/>
        </w:rPr>
        <w:t>Europa-Parlamentets og Rådets direktiv (EU) 2017/541</w:t>
      </w:r>
      <w:r w:rsidR="00DB5074" w:rsidRPr="008B17C0">
        <w:rPr>
          <w:rStyle w:val="FootnoteReference"/>
          <w:noProof/>
        </w:rPr>
        <w:footnoteReference w:id="35"/>
      </w:r>
      <w:r w:rsidR="00DB5074" w:rsidRPr="008B17C0">
        <w:rPr>
          <w:noProof/>
        </w:rPr>
        <w:t xml:space="preserve"> er referencepunktet for de nationale myndigheders definition af terrorhandlinger som gennemført i national ret. </w:t>
      </w:r>
    </w:p>
    <w:p w14:paraId="138E383D" w14:textId="60F452C8" w:rsidR="00DB5074" w:rsidRPr="008B17C0" w:rsidRDefault="003433F5" w:rsidP="003433F5">
      <w:pPr>
        <w:pStyle w:val="ManualConsidrant"/>
        <w:rPr>
          <w:noProof/>
        </w:rPr>
      </w:pPr>
      <w:r w:rsidRPr="003433F5">
        <w:t>(12)</w:t>
      </w:r>
      <w:r w:rsidRPr="003433F5">
        <w:tab/>
      </w:r>
      <w:r w:rsidR="00DB5074" w:rsidRPr="008B17C0">
        <w:rPr>
          <w:noProof/>
        </w:rPr>
        <w:t xml:space="preserve">Pålidelige identifikationsoplysninger er afgørende for at kunne identificere forbindelser mellem efterforskning af terrorisme og retssager mod terrormistænkte. På grund af usikkerheden forbundet med alfanumeriske oplysninger, navnlig om tredjelandsstatsborgere, bør det være muligt at udveksle biometriske oplysninger. På grund af de biometriske oplysningers følsomme karakter og den indvirkning, som behandlingen af biometriske oplysninger har på respekten for privatliv og familieliv og beskyttelsen af personoplysninger som fastsat i artikel 7 og 8 i Den Europæiske Unions charter om grundlæggende rettigheder, bør de kompetente myndigheder og Eurojust foretage en streng nødvendighedstest i de enkelte sager. </w:t>
      </w:r>
    </w:p>
    <w:p w14:paraId="52103E52" w14:textId="5C73C909" w:rsidR="00DB5074" w:rsidRPr="008B17C0" w:rsidRDefault="003433F5" w:rsidP="003433F5">
      <w:pPr>
        <w:pStyle w:val="ManualConsidrant"/>
        <w:rPr>
          <w:noProof/>
        </w:rPr>
      </w:pPr>
      <w:r w:rsidRPr="003433F5">
        <w:t>(13)</w:t>
      </w:r>
      <w:r w:rsidRPr="003433F5">
        <w:tab/>
      </w:r>
      <w:r w:rsidR="00DB5074" w:rsidRPr="008B17C0">
        <w:rPr>
          <w:noProof/>
        </w:rPr>
        <w:t xml:space="preserve">Da oplysninger om eksisterende forbindelser til andre retssager er mest nyttige i en tidlig fase af efterforskningen, er det nødvendigt, at de kompetente myndigheder giver Eurojust oplysninger, når de retslige myndigheder er involveret. Hvis de kompetente nationale myndigheder allerede har kendskab til forbindelser, bør de underrette Eurojust herom. </w:t>
      </w:r>
    </w:p>
    <w:p w14:paraId="5433B88A" w14:textId="7DCDD510" w:rsidR="00DB5074" w:rsidRPr="008B17C0" w:rsidRDefault="003433F5" w:rsidP="003433F5">
      <w:pPr>
        <w:pStyle w:val="ManualConsidrant"/>
        <w:rPr>
          <w:noProof/>
        </w:rPr>
      </w:pPr>
      <w:r w:rsidRPr="003433F5">
        <w:t>(14)</w:t>
      </w:r>
      <w:r w:rsidRPr="003433F5">
        <w:tab/>
      </w:r>
      <w:r w:rsidR="00DB5074" w:rsidRPr="008B17C0">
        <w:rPr>
          <w:noProof/>
        </w:rPr>
        <w:t xml:space="preserve">For at sikre, at oplysningerne i det europæiske retlige terrorbekæmpelsesregister er korrekte, identificere forbindelser i en tidlig fase og sikre, at tidsfristerne overholdes, bør de kompetente nationale myndigheder regelmæssigt ajourføre de fremsendte oplysninger. Sådanne ajourføringer bør omfatte nye oplysninger om den efterforskede person, retsafgørelser såsom varetægtsfængsling eller indledning af retssager og anmodninger om retligt samarbejde eller identificerede forbindelser med andre jurisdiktioner. </w:t>
      </w:r>
    </w:p>
    <w:p w14:paraId="5F3B5D6C" w14:textId="65D37F77" w:rsidR="00DB5074" w:rsidRPr="008B17C0" w:rsidRDefault="003433F5" w:rsidP="003433F5">
      <w:pPr>
        <w:pStyle w:val="ManualConsidrant"/>
        <w:rPr>
          <w:noProof/>
        </w:rPr>
      </w:pPr>
      <w:r w:rsidRPr="003433F5">
        <w:t>(15)</w:t>
      </w:r>
      <w:r w:rsidRPr="003433F5">
        <w:tab/>
      </w:r>
      <w:r w:rsidR="00CB2C3E" w:rsidRPr="008B17C0">
        <w:rPr>
          <w:noProof/>
        </w:rPr>
        <w:t>I betragtning af den følsomme karakter af retssager mod terrormistænkte er det ikke altid muligt for de kompetente nationale myndigheder at udveksle oplysninger om terrorhandlinger i en tidlig fase. Sådanne fravigelser fra forpligtelsen til at give oplysninger bør fortsat være en undtagelse.</w:t>
      </w:r>
    </w:p>
    <w:p w14:paraId="037BE988" w14:textId="7620DD37" w:rsidR="00DB5074" w:rsidRPr="008B17C0" w:rsidRDefault="003433F5" w:rsidP="003433F5">
      <w:pPr>
        <w:pStyle w:val="ManualConsidrant"/>
        <w:rPr>
          <w:noProof/>
        </w:rPr>
      </w:pPr>
      <w:r w:rsidRPr="003433F5">
        <w:t>(16)</w:t>
      </w:r>
      <w:r w:rsidRPr="003433F5">
        <w:tab/>
      </w:r>
      <w:r w:rsidR="00F04081" w:rsidRPr="008B17C0">
        <w:rPr>
          <w:noProof/>
        </w:rPr>
        <w:t>Med henblik på udveksling og behandling af følsomme oplysninger mellem kompetente nationale myndigheder og Eurojust for at beskytte sådanne oplysninger mod uautoriseret videregivelse og cyberangreb og med forbehold af den fremtidige teknologiske udvikling bør der anvendes sikre kommunikationskanaler såsom de sikre kommunikationsforbindelser, der er omhandlet i artikel 9 i Rådets afgørelse 2008/976/RIA</w:t>
      </w:r>
      <w:r w:rsidR="00F04081" w:rsidRPr="008B17C0">
        <w:rPr>
          <w:rStyle w:val="FootnoteReference"/>
          <w:noProof/>
        </w:rPr>
        <w:footnoteReference w:id="36"/>
      </w:r>
      <w:r w:rsidR="00F04081" w:rsidRPr="008B17C0">
        <w:rPr>
          <w:noProof/>
        </w:rPr>
        <w:t>, eller det decentrale IT-system som defineret i Europa-Parlamentets og Rådets forordning (EU) [.../...]</w:t>
      </w:r>
      <w:r w:rsidR="00F04081" w:rsidRPr="008B17C0">
        <w:rPr>
          <w:rStyle w:val="FootnoteReference"/>
          <w:noProof/>
        </w:rPr>
        <w:footnoteReference w:id="37"/>
      </w:r>
      <w:r w:rsidR="00F04081" w:rsidRPr="008B17C0">
        <w:rPr>
          <w:noProof/>
        </w:rPr>
        <w:t xml:space="preserve"> [</w:t>
      </w:r>
      <w:r w:rsidR="00F04081" w:rsidRPr="008B17C0">
        <w:rPr>
          <w:i/>
          <w:iCs/>
          <w:noProof/>
        </w:rPr>
        <w:t>forordning om digitalisering af det retlige samarbejde</w:t>
      </w:r>
      <w:r w:rsidR="00F04081" w:rsidRPr="008B17C0">
        <w:rPr>
          <w:noProof/>
        </w:rPr>
        <w:t xml:space="preserve">]. For at udveksle oplysninger sikkert og beskytte integriteten af kommunikation og dataudveksling bør sagsforvaltningssystemet være forbundet med sådanne sikre kommunikationssystemer og opfylde høje cybersikkerhedsstandarder. </w:t>
      </w:r>
    </w:p>
    <w:p w14:paraId="1B26B124" w14:textId="2F4E9E6F" w:rsidR="00350ADD" w:rsidRPr="008B17C0" w:rsidRDefault="003433F5" w:rsidP="003433F5">
      <w:pPr>
        <w:pStyle w:val="ManualConsidrant"/>
        <w:rPr>
          <w:noProof/>
        </w:rPr>
      </w:pPr>
      <w:r w:rsidRPr="003433F5">
        <w:t>(17)</w:t>
      </w:r>
      <w:r w:rsidRPr="003433F5">
        <w:tab/>
      </w:r>
      <w:r w:rsidR="00350ADD" w:rsidRPr="008B17C0">
        <w:rPr>
          <w:noProof/>
        </w:rPr>
        <w:t>For at sikre ensartede betingelser for gennemførelsen af denne forordning for så vidt angår oprettelse og brug af det decentrale IT-system i de tilfælde, der ikke er omfattet af Europa-Parlamentets og Rådets forordning (EU) [.../...]</w:t>
      </w:r>
      <w:r w:rsidR="00350ADD" w:rsidRPr="008B17C0">
        <w:rPr>
          <w:rStyle w:val="FootnoteReference"/>
          <w:noProof/>
        </w:rPr>
        <w:footnoteReference w:id="38"/>
      </w:r>
      <w:r w:rsidR="00350ADD" w:rsidRPr="008B17C0">
        <w:rPr>
          <w:noProof/>
        </w:rPr>
        <w:t xml:space="preserve"> [</w:t>
      </w:r>
      <w:r w:rsidR="00350ADD" w:rsidRPr="008B17C0">
        <w:rPr>
          <w:i/>
          <w:iCs/>
          <w:noProof/>
        </w:rPr>
        <w:t>forordning om digitalisering af det retlige samarbejde</w:t>
      </w:r>
      <w:r w:rsidR="00350ADD" w:rsidRPr="008B17C0">
        <w:rPr>
          <w:noProof/>
        </w:rPr>
        <w:t>], bør Kommissionen tillægges gennemførelsesbeføjelser. Disse beføjelser bør udøves i overensstemmelse med Europa-Parlamentets og Rådets forordning (EU) nr. 182/2011</w:t>
      </w:r>
      <w:r w:rsidR="00350ADD" w:rsidRPr="008B17C0">
        <w:rPr>
          <w:rStyle w:val="FootnoteReference"/>
          <w:noProof/>
        </w:rPr>
        <w:footnoteReference w:id="39"/>
      </w:r>
      <w:r w:rsidR="00350ADD" w:rsidRPr="008B17C0">
        <w:rPr>
          <w:noProof/>
        </w:rPr>
        <w:t>.</w:t>
      </w:r>
    </w:p>
    <w:p w14:paraId="43BAAC18" w14:textId="234BD59D" w:rsidR="00DB5074" w:rsidRPr="008B17C0" w:rsidRDefault="003433F5" w:rsidP="003433F5">
      <w:pPr>
        <w:pStyle w:val="ManualConsidrant"/>
        <w:rPr>
          <w:noProof/>
        </w:rPr>
      </w:pPr>
      <w:r w:rsidRPr="003433F5">
        <w:t>(18)</w:t>
      </w:r>
      <w:r w:rsidRPr="003433F5">
        <w:tab/>
      </w:r>
      <w:r w:rsidR="00DB5074" w:rsidRPr="008B17C0">
        <w:rPr>
          <w:noProof/>
        </w:rPr>
        <w:t>Videregivelse af ustrukturerede oplysninger nødvendiggør manuel indgriben, skaber yderligere administrative byrder og mindsker kvaliteten af resultaterne af krydstjek. De nationale kompetente myndigheder bør derfor videregive oplysningerne på en struktureret måde og samtidig overholde de minimumskrav til interoperabilitet, der er defineret i den europæiske interoperabilitetsramme</w:t>
      </w:r>
      <w:r w:rsidR="00DB5074" w:rsidRPr="008B17C0">
        <w:rPr>
          <w:rStyle w:val="FootnoteReference"/>
          <w:noProof/>
        </w:rPr>
        <w:footnoteReference w:id="40"/>
      </w:r>
      <w:r w:rsidR="00DB5074" w:rsidRPr="008B17C0">
        <w:rPr>
          <w:noProof/>
        </w:rPr>
        <w:t>. Desuden bør videregivelsen af oplysninger så vidt muligt automatiseres for at mindske de nationale myndigheders administrative byrde og sikre, at de nødvendige oplysninger indberettes regelmæssigt og hurtigt.</w:t>
      </w:r>
    </w:p>
    <w:p w14:paraId="6B68FC91" w14:textId="3F044EB2" w:rsidR="00DB5074" w:rsidRPr="008B17C0" w:rsidRDefault="003433F5" w:rsidP="003433F5">
      <w:pPr>
        <w:pStyle w:val="ManualConsidrant"/>
        <w:rPr>
          <w:noProof/>
        </w:rPr>
      </w:pPr>
      <w:r w:rsidRPr="003433F5">
        <w:t>(19)</w:t>
      </w:r>
      <w:r w:rsidRPr="003433F5">
        <w:tab/>
      </w:r>
      <w:r w:rsidR="00DB5074" w:rsidRPr="008B17C0">
        <w:rPr>
          <w:noProof/>
        </w:rPr>
        <w:t xml:space="preserve">Et moderniseret sagsforvaltningssystem er nødvendigt, hvis Eurojust skal behandle de følsomme personoplysninger sikkert. Det nye system skal integrere og muliggøre funktionerne i det europæiske retlige terrorbekæmpelsesregister og forbedre Eurojusts mulighed for at påvise forbindelser. </w:t>
      </w:r>
    </w:p>
    <w:p w14:paraId="35AE3D70" w14:textId="73CDF386" w:rsidR="00DB5074" w:rsidRPr="008B17C0" w:rsidRDefault="003433F5" w:rsidP="003433F5">
      <w:pPr>
        <w:pStyle w:val="ManualConsidrant"/>
        <w:rPr>
          <w:noProof/>
        </w:rPr>
      </w:pPr>
      <w:r w:rsidRPr="003433F5">
        <w:t>(20)</w:t>
      </w:r>
      <w:r w:rsidRPr="003433F5">
        <w:tab/>
      </w:r>
      <w:r w:rsidR="00DB5074" w:rsidRPr="008B17C0">
        <w:rPr>
          <w:noProof/>
        </w:rPr>
        <w:t xml:space="preserve">Det er vigtigt at de nationale medlemmer fortsat har kontrol over og ansvar for de oplysninger, de modtager fra de nationale kompetente myndigheder. Der bør ikke som standard udveksles operationelle personoplysninger med en anden medlemsstat. Operationelle personoplysninger bør kun udveksles, i det omfang de nationale kompetente myndigheder tillader udveksling af oplysninger. For at digitalisere og fremskynde opfølgningen på potentielle forbindelser og samtidig sikre fuld kontrol over oplysningerne bør der indføres behandlingskoder. </w:t>
      </w:r>
    </w:p>
    <w:p w14:paraId="7877C7C7" w14:textId="708685F5" w:rsidR="00DB5074" w:rsidRPr="008B17C0" w:rsidRDefault="003433F5" w:rsidP="003433F5">
      <w:pPr>
        <w:pStyle w:val="ManualConsidrant"/>
        <w:rPr>
          <w:noProof/>
        </w:rPr>
      </w:pPr>
      <w:r w:rsidRPr="003433F5">
        <w:t>(21)</w:t>
      </w:r>
      <w:r w:rsidRPr="003433F5">
        <w:tab/>
      </w:r>
      <w:r w:rsidR="00DB5074" w:rsidRPr="008B17C0">
        <w:rPr>
          <w:noProof/>
        </w:rPr>
        <w:t>Terroraktiviteter berører ofte to eller flere medlemsstater. Terrorisme har altid haft et stærkt tværnationalt element. Med brugen og tilgængeligheden af elektronisk kommunikation er det tværnationale samarbejde mellem terrorister imidlertid steget betydeligt. Terrorhandlinger bør derfor i sig selv betragtes som tværnationale, hvis sagens særlige omstændigheder ikke klart viser, at de er af rent national karakter.</w:t>
      </w:r>
    </w:p>
    <w:p w14:paraId="2638122F" w14:textId="74976EE7" w:rsidR="00DB5074" w:rsidRPr="008B17C0" w:rsidRDefault="003433F5" w:rsidP="003433F5">
      <w:pPr>
        <w:pStyle w:val="ManualConsidrant"/>
        <w:rPr>
          <w:noProof/>
        </w:rPr>
      </w:pPr>
      <w:r w:rsidRPr="003433F5">
        <w:t>(22)</w:t>
      </w:r>
      <w:r w:rsidRPr="003433F5">
        <w:tab/>
      </w:r>
      <w:r w:rsidR="00DB5074" w:rsidRPr="008B17C0">
        <w:rPr>
          <w:noProof/>
        </w:rPr>
        <w:t xml:space="preserve">Efterforskning og retsforfølgning i terrorsager hindres ofte af manglende udveksling af oplysninger mellem de nationale efterforsknings- og anklagemyndigheder. For at kunne krydstjekke nye terrorefterforskninger med tidligere efterforskninger og etablere potentielle forbindelser er det nødvendigt at opbevare oplysninger om tidligere efterforskninger, ikke kun om domme, og at forlænge tidsfristerne for opbevaring af oplysninger i det europæiske retlige terrorbekæmpelsesregister. Det er imidlertid nødvendigt at sikre, at sådanne oplysninger kun behandles med henblik på retsforfølgning. Oplysningerne må ikke anvendes til andet end at identificere forbindelser til igangværende efterforskning og retsforfølgning og til støtte for denne efterforskning og retsforfølgning. </w:t>
      </w:r>
    </w:p>
    <w:p w14:paraId="501E5656" w14:textId="5E260B96" w:rsidR="00DB5074" w:rsidRPr="008B17C0" w:rsidRDefault="003433F5" w:rsidP="003433F5">
      <w:pPr>
        <w:pStyle w:val="ManualConsidrant"/>
        <w:rPr>
          <w:noProof/>
        </w:rPr>
      </w:pPr>
      <w:r w:rsidRPr="003433F5">
        <w:t>(23)</w:t>
      </w:r>
      <w:r w:rsidRPr="003433F5">
        <w:tab/>
      </w:r>
      <w:r w:rsidR="00DB5074" w:rsidRPr="008B17C0">
        <w:rPr>
          <w:noProof/>
        </w:rPr>
        <w:t>Eurojust har indgået 12 samarbejdsaftaler med tredjelande, som giver mulighed for overførsel af operationelle personoplysninger og udstationering af en forbindelsesanklager fra et tredjeland i Eurojust. Desuden giver handels- og samarbejdsaftalen mellem Den Europæiske Union og Det Forenede Kongerige</w:t>
      </w:r>
      <w:r w:rsidR="00DB5074" w:rsidRPr="008B17C0">
        <w:rPr>
          <w:rStyle w:val="FootnoteReference"/>
          <w:noProof/>
        </w:rPr>
        <w:footnoteReference w:id="41"/>
      </w:r>
      <w:r w:rsidR="00DB5074" w:rsidRPr="008B17C0">
        <w:rPr>
          <w:noProof/>
        </w:rPr>
        <w:t xml:space="preserve"> mulighed for at udstationere en forbindelsesanklager. I marts 2021 gav Rådet Kommissionen mandat</w:t>
      </w:r>
      <w:r w:rsidR="00DB5074" w:rsidRPr="008B17C0">
        <w:rPr>
          <w:rStyle w:val="FootnoteReference"/>
          <w:noProof/>
        </w:rPr>
        <w:footnoteReference w:id="42"/>
      </w:r>
      <w:r w:rsidR="00DB5074" w:rsidRPr="008B17C0">
        <w:rPr>
          <w:noProof/>
        </w:rPr>
        <w:t xml:space="preserve"> til at forhandle yderligere samarbejdsaftaler om samarbejdet mellem Eurojust og 13 yderligere tredjelande. </w:t>
      </w:r>
    </w:p>
    <w:p w14:paraId="36E30319" w14:textId="7EE97B24" w:rsidR="00DB5074" w:rsidRPr="008B17C0" w:rsidRDefault="003433F5" w:rsidP="003433F5">
      <w:pPr>
        <w:pStyle w:val="ManualConsidrant"/>
        <w:rPr>
          <w:noProof/>
        </w:rPr>
      </w:pPr>
      <w:r w:rsidRPr="003433F5">
        <w:t>(24)</w:t>
      </w:r>
      <w:r w:rsidRPr="003433F5">
        <w:tab/>
      </w:r>
      <w:r w:rsidR="00DB5074" w:rsidRPr="008B17C0">
        <w:rPr>
          <w:noProof/>
        </w:rPr>
        <w:t xml:space="preserve">Selv om forordning (EU) 2018/1727 udgør et retsgrundlag for samarbejde og udveksling af oplysninger med tredjelande, indeholder den ingen bestemmelser om de formelle og tekniske aspekter af samarbejdet med forbindelsesanklagere fra tredjelande udstationeret i Eurojust, navnlig om deres adgang til sagsforvaltningssystemet. Af hensyn til retssikkerheden bør forordning (EU) 2018/1727 udgøre et eksplicit retsgrundlag for samarbejdet mellem Eurojust og forbindelsesanklagere fra tredjelande og deres adgang til Eurojusts sagsforvaltningssystem. Eurojust bør sikre passende garantier og sikkerhedsforanstaltninger til beskyttelse af data og grundlæggende rettigheder gennem den tekniske struktur og interne regler. </w:t>
      </w:r>
    </w:p>
    <w:p w14:paraId="3DFAB877" w14:textId="7FA52E2D" w:rsidR="00DB5074" w:rsidRPr="008B17C0" w:rsidRDefault="003433F5" w:rsidP="003433F5">
      <w:pPr>
        <w:pStyle w:val="ManualConsidrant"/>
        <w:rPr>
          <w:noProof/>
        </w:rPr>
      </w:pPr>
      <w:r w:rsidRPr="003433F5">
        <w:t>(25)</w:t>
      </w:r>
      <w:r w:rsidRPr="003433F5">
        <w:tab/>
      </w:r>
      <w:r w:rsidR="00DB5074" w:rsidRPr="008B17C0">
        <w:rPr>
          <w:noProof/>
        </w:rPr>
        <w:t xml:space="preserve">Af hensyn til klarheden bør forholdet mellem udvekslingen af oplysninger mellem de nationale kompetente myndigheder om terrorsager med Eurojust i henhold til afgørelse 2005/671/RIA og forordning (EU) 2018/1727 præciseres. De relevante bestemmelser bør derfor udgå af afgørelse 2005/671/RIA og føjes til forordning (EU) 2018/1727. </w:t>
      </w:r>
    </w:p>
    <w:p w14:paraId="1393EDE7" w14:textId="2B553A2A" w:rsidR="00DB5074" w:rsidRPr="008B17C0" w:rsidRDefault="003433F5" w:rsidP="003433F5">
      <w:pPr>
        <w:pStyle w:val="ManualConsidrant"/>
        <w:rPr>
          <w:noProof/>
        </w:rPr>
      </w:pPr>
      <w:r w:rsidRPr="003433F5">
        <w:t>(26)</w:t>
      </w:r>
      <w:r w:rsidRPr="003433F5">
        <w:tab/>
      </w:r>
      <w:r w:rsidR="00DB5074" w:rsidRPr="008B17C0">
        <w:rPr>
          <w:noProof/>
        </w:rPr>
        <w:t>Nogle medlemsstaters kompetente nationale myndigheder er allerede koblet til den sikre telekommunikationsforbindelse som omhandlet i artikel 9 i Rådets afgørelse 2008/976/RIA</w:t>
      </w:r>
      <w:r w:rsidR="00DB5074" w:rsidRPr="008B17C0">
        <w:rPr>
          <w:rStyle w:val="FootnoteReference"/>
          <w:noProof/>
        </w:rPr>
        <w:footnoteReference w:id="43"/>
      </w:r>
      <w:r w:rsidR="00DB5074" w:rsidRPr="008B17C0">
        <w:rPr>
          <w:noProof/>
        </w:rPr>
        <w:t>, men mange kompetente myndigheder er endnu ikke koblet til en sikker telekommunikationsforbindelse eller sikre kommunikationskanaler. For at sikre, at medlemsstaterne har tilstrækkelig tid til at koble de kompetente myndigheder til en sådan forbindelse, bør der fastsættes en overgangsperiode for gennemførelsen.</w:t>
      </w:r>
    </w:p>
    <w:p w14:paraId="0A647F10" w14:textId="42BB6D19" w:rsidR="00B0081F" w:rsidRPr="008B17C0" w:rsidRDefault="003433F5" w:rsidP="003433F5">
      <w:pPr>
        <w:pStyle w:val="ManualConsidrant"/>
        <w:rPr>
          <w:noProof/>
        </w:rPr>
      </w:pPr>
      <w:r w:rsidRPr="003433F5">
        <w:t>(27)</w:t>
      </w:r>
      <w:r w:rsidRPr="003433F5">
        <w:tab/>
      </w:r>
      <w:r w:rsidR="00B0081F" w:rsidRPr="008B17C0">
        <w:rPr>
          <w:noProof/>
        </w:rPr>
        <w:t>[I medfør af artikel 1, 2 og artikel 4a, stk. 1, i protokol nr. 21 om Det Forenede Kongeriges og Irlands stilling for så vidt angår området frihed, sikkerhed og retfærdighed, der er knyttet som bilag til traktaten om Den Europæiske Union og traktaten om Den Europæiske Unions funktionsmåde, og med forbehold af artikel 4 i samme protokol, deltager Irland ikke i vedtagelsen af denne forordning, som derfor ikke er bindende for og ikke finder anvendelse i Irland.] ELLER [I medfør af artikel 3 og artikel 4a, stk. 1, i protokol nr. 21 om Det Forenede Kongeriges og Irlands stilling for så vidt angår området med frihed, sikkerhed og retfærdighed, der er knyttet som bilag til traktaten om Den Europæiske Union og til traktaten om Den Europæiske Unions funktionsmåde, har Irland [ved skrivelse af …] meddelt, at det ønsker at deltage i vedtagelsen og anvendelsen af denne forordning.]</w:t>
      </w:r>
    </w:p>
    <w:p w14:paraId="690BDAE3" w14:textId="73EC13AB" w:rsidR="00DB5074" w:rsidRPr="008B17C0" w:rsidRDefault="003433F5" w:rsidP="003433F5">
      <w:pPr>
        <w:pStyle w:val="ManualConsidrant"/>
        <w:rPr>
          <w:noProof/>
        </w:rPr>
      </w:pPr>
      <w:r w:rsidRPr="003433F5">
        <w:t>(28)</w:t>
      </w:r>
      <w:r w:rsidRPr="003433F5">
        <w:tab/>
      </w:r>
      <w:r w:rsidR="00DB5074" w:rsidRPr="008B17C0">
        <w:rPr>
          <w:noProof/>
        </w:rPr>
        <w:t>I medfør af artikel 1 og 2 i protokol nr. 22 om Danmarks stilling, der er knyttet som bilag til traktaten om Den Europæiske Union og til traktaten om Den Europæiske Unions funktionsmåde, deltager Danmark ikke i vedtagelsen af denne forordning, som ikke er bindende for og ikke finder anvendelse i Danmark.</w:t>
      </w:r>
    </w:p>
    <w:p w14:paraId="149D7AC9" w14:textId="0B4868E0" w:rsidR="00DB5074" w:rsidRPr="008B17C0" w:rsidRDefault="003433F5" w:rsidP="003433F5">
      <w:pPr>
        <w:pStyle w:val="ManualConsidrant"/>
        <w:rPr>
          <w:noProof/>
        </w:rPr>
      </w:pPr>
      <w:r w:rsidRPr="003433F5">
        <w:t>(29)</w:t>
      </w:r>
      <w:r w:rsidRPr="003433F5">
        <w:tab/>
      </w:r>
      <w:r w:rsidR="00DB5074" w:rsidRPr="008B17C0">
        <w:rPr>
          <w:noProof/>
        </w:rPr>
        <w:t>Den Europæiske Tilsynsførende for Databeskyttelse blev hørt i overensstemmelse med artikel 42 i forordning (EU) 2018/1725 og afgav en udtalelse den XX/XX 20XX —</w:t>
      </w:r>
    </w:p>
    <w:p w14:paraId="787C36B3" w14:textId="77777777" w:rsidR="00EB0A3C" w:rsidRPr="008B17C0" w:rsidRDefault="00EB0A3C" w:rsidP="00715ADE">
      <w:pPr>
        <w:pStyle w:val="Formuledadoption"/>
        <w:rPr>
          <w:noProof/>
        </w:rPr>
      </w:pPr>
      <w:r w:rsidRPr="008B17C0">
        <w:rPr>
          <w:noProof/>
        </w:rPr>
        <w:t>VEDTAGET DENNE FORORDNING:</w:t>
      </w:r>
    </w:p>
    <w:p w14:paraId="504B6E62" w14:textId="77777777" w:rsidR="00EB0A3C" w:rsidRPr="008B17C0" w:rsidRDefault="00EB0A3C" w:rsidP="00DB5074">
      <w:pPr>
        <w:pStyle w:val="Titrearticle"/>
        <w:rPr>
          <w:noProof/>
        </w:rPr>
      </w:pPr>
      <w:r w:rsidRPr="008B17C0">
        <w:rPr>
          <w:noProof/>
        </w:rPr>
        <w:t>Artikel 1</w:t>
      </w:r>
    </w:p>
    <w:p w14:paraId="78D67B17" w14:textId="078DEF91" w:rsidR="00E11514" w:rsidRPr="008B17C0" w:rsidRDefault="00E11514">
      <w:pPr>
        <w:jc w:val="center"/>
        <w:rPr>
          <w:b/>
          <w:bCs/>
          <w:noProof/>
        </w:rPr>
      </w:pPr>
      <w:r w:rsidRPr="008B17C0">
        <w:rPr>
          <w:b/>
          <w:bCs/>
          <w:noProof/>
        </w:rPr>
        <w:t>Ændringer af forordning (EU) 2018/1727</w:t>
      </w:r>
    </w:p>
    <w:p w14:paraId="573D2B39" w14:textId="5FC010F2" w:rsidR="00E11514" w:rsidRPr="008B17C0" w:rsidRDefault="00E11514" w:rsidP="00E11514">
      <w:pPr>
        <w:rPr>
          <w:noProof/>
        </w:rPr>
      </w:pPr>
      <w:r w:rsidRPr="008B17C0">
        <w:rPr>
          <w:noProof/>
        </w:rPr>
        <w:t>I forordning (EU) 2017/1727 foretages følgende ændringer:</w:t>
      </w:r>
    </w:p>
    <w:p w14:paraId="60B00BF0" w14:textId="1A46055C" w:rsidR="00DB5074" w:rsidRPr="008B17C0" w:rsidRDefault="003433F5" w:rsidP="003433F5">
      <w:pPr>
        <w:pStyle w:val="Point0"/>
        <w:rPr>
          <w:noProof/>
          <w:color w:val="000000" w:themeColor="text1"/>
        </w:rPr>
      </w:pPr>
      <w:r w:rsidRPr="003433F5">
        <w:t>(1)</w:t>
      </w:r>
      <w:r w:rsidRPr="003433F5">
        <w:tab/>
      </w:r>
      <w:r w:rsidR="00CA33A5" w:rsidRPr="008B17C0">
        <w:rPr>
          <w:noProof/>
        </w:rPr>
        <w:t>Artikel 3, stk. 5, affattes således:</w:t>
      </w:r>
      <w:r w:rsidR="00CA33A5" w:rsidRPr="008B17C0">
        <w:rPr>
          <w:noProof/>
          <w:color w:val="000000" w:themeColor="text1"/>
        </w:rPr>
        <w:t xml:space="preserve"> </w:t>
      </w:r>
    </w:p>
    <w:p w14:paraId="5CC6D50C" w14:textId="1F1E8FD1" w:rsidR="00DB5074" w:rsidRPr="008B17C0" w:rsidRDefault="00DB5074" w:rsidP="00B61C1A">
      <w:pPr>
        <w:pStyle w:val="Text1"/>
        <w:rPr>
          <w:noProof/>
        </w:rPr>
      </w:pPr>
      <w:r w:rsidRPr="008B17C0">
        <w:rPr>
          <w:noProof/>
        </w:rPr>
        <w:t>"5. Eurojust kan også bistå med efterforskning og retsforfølgning, der kun berører en medlemsstat og et tredjeland eller en medlemsstat og en international organisation, hvis der er indgået en samarbejdsaftale eller en samarbejdsordning med dette tredjeland eller denne internationale organisation i medfør af artikel 52, eller hvis der i særlige tilfælde er en væsentlig interesse i, at Eurojust yder støtte."</w:t>
      </w:r>
    </w:p>
    <w:p w14:paraId="52E8058D" w14:textId="6FF80E35" w:rsidR="00E11514" w:rsidRPr="008B17C0" w:rsidRDefault="003433F5" w:rsidP="003433F5">
      <w:pPr>
        <w:pStyle w:val="Point0"/>
        <w:rPr>
          <w:noProof/>
        </w:rPr>
      </w:pPr>
      <w:r w:rsidRPr="003433F5">
        <w:t>(2)</w:t>
      </w:r>
      <w:r w:rsidRPr="003433F5">
        <w:tab/>
      </w:r>
      <w:r w:rsidR="00CA33A5" w:rsidRPr="008B17C0">
        <w:rPr>
          <w:noProof/>
        </w:rPr>
        <w:t>I artikel 20 indsættes følgende stk. 2a:</w:t>
      </w:r>
    </w:p>
    <w:p w14:paraId="2A29C40C" w14:textId="52F46ED4" w:rsidR="00DF2E95" w:rsidRPr="008B17C0" w:rsidRDefault="00DF2E95" w:rsidP="00B61C1A">
      <w:pPr>
        <w:pStyle w:val="Text1"/>
        <w:rPr>
          <w:noProof/>
        </w:rPr>
      </w:pPr>
      <w:r w:rsidRPr="008B17C0">
        <w:rPr>
          <w:noProof/>
        </w:rPr>
        <w:t>"2a. Hver medlemsstat udpeger en kompetent national myndighed som national Eurojustkorrespondent på terrorismeområdet. Denne nationale korrespondent på terrorismeområdet er en retslig eller anden kompetent myndighed. Hvis det nationale retssystem kræver det, kan der udpeges mere end én myndighed. Den nationale korrespondent på terrorismeområdet har adgang til alle relevante oplysninger i overensstemmelse med artikel 21a, stk. 1. Korrespondenten har kompetence til at indsamle sådanne oplysninger og sende dem til Eurojust."</w:t>
      </w:r>
    </w:p>
    <w:p w14:paraId="1F52C153" w14:textId="46135D88" w:rsidR="00E11514" w:rsidRPr="008B17C0" w:rsidRDefault="003433F5" w:rsidP="003433F5">
      <w:pPr>
        <w:pStyle w:val="Point0"/>
        <w:rPr>
          <w:noProof/>
        </w:rPr>
      </w:pPr>
      <w:r w:rsidRPr="003433F5">
        <w:t>(3)</w:t>
      </w:r>
      <w:r w:rsidRPr="003433F5">
        <w:tab/>
      </w:r>
      <w:r w:rsidR="00E11514" w:rsidRPr="008B17C0">
        <w:rPr>
          <w:noProof/>
        </w:rPr>
        <w:t>I artikel 21 foretages følgende ændringer:</w:t>
      </w:r>
    </w:p>
    <w:p w14:paraId="44CF5323" w14:textId="2C22974E" w:rsidR="00DF2E95" w:rsidRPr="008B17C0" w:rsidRDefault="003433F5" w:rsidP="003433F5">
      <w:pPr>
        <w:pStyle w:val="Point1"/>
        <w:rPr>
          <w:noProof/>
        </w:rPr>
      </w:pPr>
      <w:r w:rsidRPr="003433F5">
        <w:t>(a)</w:t>
      </w:r>
      <w:r w:rsidRPr="003433F5">
        <w:tab/>
      </w:r>
      <w:r w:rsidR="00DF2E95" w:rsidRPr="008B17C0">
        <w:rPr>
          <w:noProof/>
        </w:rPr>
        <w:t>Stk. 9 affattes således:</w:t>
      </w:r>
    </w:p>
    <w:p w14:paraId="60B53237" w14:textId="3060F307" w:rsidR="00DF2E95" w:rsidRPr="008B17C0" w:rsidRDefault="00DF2E95" w:rsidP="00B61C1A">
      <w:pPr>
        <w:pStyle w:val="Text1"/>
        <w:rPr>
          <w:noProof/>
        </w:rPr>
      </w:pPr>
      <w:r w:rsidRPr="008B17C0">
        <w:rPr>
          <w:noProof/>
        </w:rPr>
        <w:t>"9. Denne artikel berører ikke andre forpligtelser vedrørende videregivelse af oplysninger til Eurojust."</w:t>
      </w:r>
    </w:p>
    <w:p w14:paraId="22545348" w14:textId="2F1AA46C" w:rsidR="00E11514" w:rsidRPr="008B17C0" w:rsidRDefault="003433F5" w:rsidP="003433F5">
      <w:pPr>
        <w:pStyle w:val="Point1"/>
        <w:rPr>
          <w:noProof/>
        </w:rPr>
      </w:pPr>
      <w:r w:rsidRPr="003433F5">
        <w:t>(b)</w:t>
      </w:r>
      <w:r w:rsidRPr="003433F5">
        <w:tab/>
      </w:r>
      <w:r w:rsidR="00DF2E95" w:rsidRPr="008B17C0">
        <w:rPr>
          <w:noProof/>
        </w:rPr>
        <w:t>Stk. 10 udgår.</w:t>
      </w:r>
    </w:p>
    <w:p w14:paraId="180BA8D5" w14:textId="5A489F78" w:rsidR="00E11514" w:rsidRPr="008B17C0" w:rsidRDefault="003433F5" w:rsidP="003433F5">
      <w:pPr>
        <w:pStyle w:val="Point0"/>
        <w:rPr>
          <w:noProof/>
        </w:rPr>
      </w:pPr>
      <w:r w:rsidRPr="003433F5">
        <w:t>(4)</w:t>
      </w:r>
      <w:r w:rsidRPr="003433F5">
        <w:tab/>
      </w:r>
      <w:r w:rsidR="00E11514" w:rsidRPr="008B17C0">
        <w:rPr>
          <w:noProof/>
        </w:rPr>
        <w:t>Følgende indsættes som artikel 21a:</w:t>
      </w:r>
    </w:p>
    <w:p w14:paraId="1258A549" w14:textId="77777777" w:rsidR="00DF2E95" w:rsidRPr="008B17C0" w:rsidRDefault="00DF2E95" w:rsidP="160710AA">
      <w:pPr>
        <w:jc w:val="center"/>
        <w:rPr>
          <w:noProof/>
        </w:rPr>
      </w:pPr>
      <w:r w:rsidRPr="008B17C0">
        <w:rPr>
          <w:i/>
          <w:iCs/>
          <w:noProof/>
        </w:rPr>
        <w:t>"Artikel 21a</w:t>
      </w:r>
    </w:p>
    <w:p w14:paraId="6DC993F2" w14:textId="77777777" w:rsidR="00DF2E95" w:rsidRPr="008B17C0" w:rsidRDefault="00DF2E95">
      <w:pPr>
        <w:jc w:val="center"/>
        <w:rPr>
          <w:b/>
          <w:noProof/>
        </w:rPr>
      </w:pPr>
      <w:r w:rsidRPr="008B17C0">
        <w:rPr>
          <w:b/>
          <w:bCs/>
          <w:noProof/>
        </w:rPr>
        <w:t>Udveksling af oplysninger om terrorsager</w:t>
      </w:r>
    </w:p>
    <w:p w14:paraId="693D8E1E" w14:textId="76634B31" w:rsidR="00DF2E95" w:rsidRPr="008B17C0" w:rsidRDefault="003433F5" w:rsidP="003433F5">
      <w:pPr>
        <w:pStyle w:val="ManualNumPar1"/>
        <w:rPr>
          <w:noProof/>
        </w:rPr>
      </w:pPr>
      <w:r w:rsidRPr="003433F5">
        <w:t>1.</w:t>
      </w:r>
      <w:r w:rsidRPr="003433F5">
        <w:tab/>
      </w:r>
      <w:r w:rsidR="00DF2E95" w:rsidRPr="008B17C0">
        <w:rPr>
          <w:noProof/>
        </w:rPr>
        <w:t>De kompetente nationale myndigheder underretter deres nationale medlemmer om igangværende eller afsluttede strafferetlige efterforskninger, der overvåges af de retslige myndigheder, retsforfølgninger, retssager og retsafgørelser om terrorhandlinger, når de retslige myndigheder er involveret.</w:t>
      </w:r>
    </w:p>
    <w:p w14:paraId="7982019E" w14:textId="29EFFA55" w:rsidR="00DF2E95" w:rsidRPr="008B17C0" w:rsidRDefault="003433F5" w:rsidP="003433F5">
      <w:pPr>
        <w:pStyle w:val="ManualNumPar1"/>
        <w:rPr>
          <w:noProof/>
        </w:rPr>
      </w:pPr>
      <w:r w:rsidRPr="003433F5">
        <w:t>2.</w:t>
      </w:r>
      <w:r w:rsidRPr="003433F5">
        <w:tab/>
      </w:r>
      <w:r w:rsidR="00DF2E95" w:rsidRPr="008B17C0">
        <w:rPr>
          <w:noProof/>
        </w:rPr>
        <w:t>I denne artikel forstås ved terrorhandlinger de lovovertrædelser, der er omhandlet i direktiv (EU) 2017/541*. Den i stk. 1 omhandlede forpligtelse finder anvendelse på alle terrorhandlinger, uanset om der er en kendt forbindelse til en anden medlemsstat eller et tredjeland, medmindre sagen på grund af de særlige omstændigheder klart kun berører én medlemsstat.</w:t>
      </w:r>
      <w:r w:rsidR="00DF2E95" w:rsidRPr="008B17C0">
        <w:rPr>
          <w:noProof/>
          <w:color w:val="000000" w:themeColor="text1"/>
        </w:rPr>
        <w:t xml:space="preserve"> </w:t>
      </w:r>
    </w:p>
    <w:p w14:paraId="0B84F9BF" w14:textId="1577A48A" w:rsidR="00DF2E95" w:rsidRPr="008B17C0" w:rsidRDefault="003433F5" w:rsidP="003433F5">
      <w:pPr>
        <w:pStyle w:val="ManualNumPar1"/>
        <w:rPr>
          <w:noProof/>
        </w:rPr>
      </w:pPr>
      <w:r w:rsidRPr="003433F5">
        <w:t>3.</w:t>
      </w:r>
      <w:r w:rsidRPr="003433F5">
        <w:tab/>
      </w:r>
      <w:r w:rsidR="00DF2E95" w:rsidRPr="008B17C0">
        <w:rPr>
          <w:noProof/>
        </w:rPr>
        <w:t>De oplysninger, der fremsendes i overensstemmelse med stk. 1, omfatter operationelle personoplysninger og andre oplysninger end personoplysninger opregnet i bilag III.</w:t>
      </w:r>
    </w:p>
    <w:p w14:paraId="37B8ADEB" w14:textId="55CF86EA" w:rsidR="009F44C4" w:rsidRPr="008B17C0" w:rsidRDefault="003433F5" w:rsidP="003433F5">
      <w:pPr>
        <w:pStyle w:val="ManualNumPar1"/>
        <w:rPr>
          <w:noProof/>
        </w:rPr>
      </w:pPr>
      <w:r w:rsidRPr="003433F5">
        <w:t>4.</w:t>
      </w:r>
      <w:r w:rsidRPr="003433F5">
        <w:tab/>
      </w:r>
      <w:r w:rsidR="00DF2E95" w:rsidRPr="008B17C0">
        <w:rPr>
          <w:noProof/>
        </w:rPr>
        <w:t xml:space="preserve">De kompetente nationale myndigheder underretter straks deres nationale medlem om eventuelle relevante ændringer i de nationale procedurer. </w:t>
      </w:r>
    </w:p>
    <w:p w14:paraId="076DC4DE" w14:textId="100F583C" w:rsidR="00DF2E95" w:rsidRPr="008B17C0" w:rsidRDefault="00DF2E95" w:rsidP="00670CD3">
      <w:pPr>
        <w:pStyle w:val="Text1"/>
        <w:rPr>
          <w:noProof/>
        </w:rPr>
      </w:pPr>
      <w:r w:rsidRPr="008B17C0">
        <w:rPr>
          <w:noProof/>
        </w:rPr>
        <w:t xml:space="preserve">Med forbehold af første afsnit gennemgår og ajourfører de nationale myndigheder de oplysninger, der videregives i henhold til stk. 1, mindst hver tredje måned. </w:t>
      </w:r>
    </w:p>
    <w:p w14:paraId="7382C315" w14:textId="78D67190" w:rsidR="007D5116" w:rsidRPr="008B17C0" w:rsidRDefault="003433F5" w:rsidP="003433F5">
      <w:pPr>
        <w:pStyle w:val="ManualNumPar1"/>
        <w:rPr>
          <w:noProof/>
        </w:rPr>
      </w:pPr>
      <w:r w:rsidRPr="003433F5">
        <w:t>5.</w:t>
      </w:r>
      <w:r w:rsidRPr="003433F5">
        <w:tab/>
      </w:r>
      <w:r w:rsidR="00DF2E95" w:rsidRPr="008B17C0">
        <w:rPr>
          <w:noProof/>
        </w:rPr>
        <w:t>Stk. 1 finder ikke anvendelse, hvis udvekslingen af oplysninger ville bringe igangværende undersøgelser eller en fysisk persons sikkerhed i fare, eller hvis det ville stride mod væsentlige sikkerhedsinteresser i den pågældende medlemsstat.</w:t>
      </w:r>
    </w:p>
    <w:p w14:paraId="1A175CD3" w14:textId="30177A14" w:rsidR="007D5116" w:rsidRPr="008B17C0" w:rsidRDefault="007D5116" w:rsidP="00197F34">
      <w:pPr>
        <w:pStyle w:val="Text1"/>
        <w:rPr>
          <w:noProof/>
        </w:rPr>
      </w:pPr>
      <w:r w:rsidRPr="008B17C0">
        <w:rPr>
          <w:noProof/>
        </w:rPr>
        <w:t>____________</w:t>
      </w:r>
    </w:p>
    <w:p w14:paraId="686EB113" w14:textId="649E1E1A" w:rsidR="007D5116" w:rsidRPr="008B17C0" w:rsidRDefault="007D5116" w:rsidP="00197F34">
      <w:pPr>
        <w:pStyle w:val="Text1"/>
        <w:rPr>
          <w:noProof/>
        </w:rPr>
      </w:pPr>
      <w:r w:rsidRPr="008B17C0">
        <w:rPr>
          <w:noProof/>
        </w:rPr>
        <w:t>* Europa-Parlamentets og Rådets direktiv (EU) 2017/541 af 15. marts 2017 om bekæmpelse af terrorisme og om erstatning af Rådets rammeafgørelse 2002/475/RIA og ændring af Rådets afgørelse 2005/671/RIA (EUT L 88 af 31.3.2017, s. 6)."</w:t>
      </w:r>
    </w:p>
    <w:p w14:paraId="01FFD459" w14:textId="2816415E" w:rsidR="00DF2E95" w:rsidRPr="008B17C0" w:rsidRDefault="003433F5" w:rsidP="003433F5">
      <w:pPr>
        <w:pStyle w:val="Point0"/>
        <w:rPr>
          <w:noProof/>
        </w:rPr>
      </w:pPr>
      <w:r w:rsidRPr="003433F5">
        <w:t>(5)</w:t>
      </w:r>
      <w:r w:rsidRPr="003433F5">
        <w:tab/>
      </w:r>
      <w:r w:rsidR="00DF2E95" w:rsidRPr="008B17C0">
        <w:rPr>
          <w:noProof/>
        </w:rPr>
        <w:t>Følgende indsættes som artikel 22a, 22b og 22c:</w:t>
      </w:r>
    </w:p>
    <w:p w14:paraId="4E8216CC" w14:textId="651C0A01" w:rsidR="00DF2E95" w:rsidRPr="008B17C0" w:rsidRDefault="00DF2E95" w:rsidP="160710AA">
      <w:pPr>
        <w:jc w:val="center"/>
        <w:rPr>
          <w:noProof/>
        </w:rPr>
      </w:pPr>
      <w:r w:rsidRPr="008B17C0">
        <w:rPr>
          <w:i/>
          <w:iCs/>
          <w:noProof/>
        </w:rPr>
        <w:t>"Artikel 22a</w:t>
      </w:r>
    </w:p>
    <w:p w14:paraId="6FB1805A" w14:textId="6EC2568B" w:rsidR="00DF2E95" w:rsidRPr="008B17C0" w:rsidRDefault="00DF2E95">
      <w:pPr>
        <w:jc w:val="center"/>
        <w:rPr>
          <w:b/>
          <w:noProof/>
        </w:rPr>
      </w:pPr>
      <w:r w:rsidRPr="008B17C0">
        <w:rPr>
          <w:b/>
          <w:bCs/>
          <w:noProof/>
        </w:rPr>
        <w:t>Sikker digital kommunikation og dataudveksling mellem kompetente nationale myndigheder og Eurojust</w:t>
      </w:r>
    </w:p>
    <w:p w14:paraId="0795F14A" w14:textId="0DEBBF4A" w:rsidR="00DF2E95" w:rsidRPr="008B17C0" w:rsidRDefault="003433F5" w:rsidP="003433F5">
      <w:pPr>
        <w:pStyle w:val="ManualNumPar1"/>
        <w:rPr>
          <w:noProof/>
        </w:rPr>
      </w:pPr>
      <w:r w:rsidRPr="003433F5">
        <w:t>1.</w:t>
      </w:r>
      <w:r w:rsidRPr="003433F5">
        <w:tab/>
      </w:r>
      <w:r w:rsidR="00937679" w:rsidRPr="008B17C0">
        <w:rPr>
          <w:noProof/>
        </w:rPr>
        <w:t>Kommunikationen mellem de kompetente nationale myndigheder og Eurojust i henhold til denne forordning foregår gennem det decentrale IT-system som defineret i Europa-Parlamentets og Rådets forordning (EU) [.../...]* [</w:t>
      </w:r>
      <w:r w:rsidR="00937679" w:rsidRPr="008B17C0">
        <w:rPr>
          <w:i/>
          <w:iCs/>
          <w:noProof/>
        </w:rPr>
        <w:t>forordning om digitalisering af det retlige samarbejde</w:t>
      </w:r>
      <w:r w:rsidR="00937679" w:rsidRPr="008B17C0">
        <w:rPr>
          <w:noProof/>
        </w:rPr>
        <w:t>].</w:t>
      </w:r>
    </w:p>
    <w:p w14:paraId="1E564946" w14:textId="2030DF1B" w:rsidR="00264943" w:rsidRPr="008B17C0" w:rsidRDefault="003433F5" w:rsidP="003433F5">
      <w:pPr>
        <w:pStyle w:val="ManualNumPar1"/>
        <w:rPr>
          <w:noProof/>
        </w:rPr>
      </w:pPr>
      <w:r w:rsidRPr="003433F5">
        <w:t>2.</w:t>
      </w:r>
      <w:r w:rsidRPr="003433F5">
        <w:tab/>
      </w:r>
      <w:r w:rsidR="00264943" w:rsidRPr="008B17C0">
        <w:rPr>
          <w:noProof/>
        </w:rPr>
        <w:t xml:space="preserve">Hvis udveksling af oplysninger i henhold til stk. 1 ikke er mulig på grund af det decentrale IT-systems manglende tilgængelighed eller ekstraordinære omstændigheder, sker udvekslingen på den hurtigste, mest hensigtsmæssige alternative måde. Medlemsstaterne og Eurojust sikrer, at de alternative kommunikationsmidler er pålidelige og giver et tilsvarende sikkerhedsniveau. </w:t>
      </w:r>
    </w:p>
    <w:p w14:paraId="6F45CE68" w14:textId="5734D088" w:rsidR="00F67BC0" w:rsidRPr="008B17C0" w:rsidRDefault="003433F5" w:rsidP="003433F5">
      <w:pPr>
        <w:pStyle w:val="ManualNumPar1"/>
        <w:rPr>
          <w:noProof/>
        </w:rPr>
      </w:pPr>
      <w:r w:rsidRPr="003433F5">
        <w:t>3.</w:t>
      </w:r>
      <w:r w:rsidRPr="003433F5">
        <w:tab/>
      </w:r>
      <w:r w:rsidR="00DF2E95" w:rsidRPr="008B17C0">
        <w:rPr>
          <w:noProof/>
        </w:rPr>
        <w:t xml:space="preserve">De kompetente nationale myndigheder fremsender oplysningerne i overensstemmelse med artikel 21 og 21a til Eurojust på en halvautomatisk måde fra de nationale registre og på struktureret vis som fastsat af Eurojust. </w:t>
      </w:r>
    </w:p>
    <w:p w14:paraId="362E6664" w14:textId="1019B669" w:rsidR="00537298" w:rsidRPr="008B17C0" w:rsidRDefault="00537298" w:rsidP="00197F34">
      <w:pPr>
        <w:pStyle w:val="Text1"/>
        <w:rPr>
          <w:noProof/>
          <w:szCs w:val="24"/>
        </w:rPr>
      </w:pPr>
      <w:r w:rsidRPr="008B17C0">
        <w:rPr>
          <w:noProof/>
        </w:rPr>
        <w:t>__________</w:t>
      </w:r>
    </w:p>
    <w:p w14:paraId="0E1EE09B" w14:textId="3CA0B541" w:rsidR="00490DC9" w:rsidRPr="008B17C0" w:rsidRDefault="00537298" w:rsidP="00197F34">
      <w:pPr>
        <w:pStyle w:val="Text1"/>
        <w:rPr>
          <w:noProof/>
        </w:rPr>
      </w:pPr>
      <w:r w:rsidRPr="008B17C0">
        <w:rPr>
          <w:i/>
          <w:noProof/>
        </w:rPr>
        <w:t xml:space="preserve">* [Europa-Parlamentets og Rådets forordning (EU) [.../...] om digitalisering af det retlige samarbejde] </w:t>
      </w:r>
      <w:r w:rsidRPr="008B17C0">
        <w:rPr>
          <w:noProof/>
        </w:rPr>
        <w:t>(EUT L...).</w:t>
      </w:r>
    </w:p>
    <w:p w14:paraId="10612EA3" w14:textId="77777777" w:rsidR="00490DC9" w:rsidRPr="008B17C0" w:rsidRDefault="00490DC9" w:rsidP="00490DC9">
      <w:pPr>
        <w:shd w:val="clear" w:color="auto" w:fill="FFFFFF"/>
        <w:spacing w:after="0" w:line="312" w:lineRule="atLeast"/>
        <w:jc w:val="center"/>
        <w:rPr>
          <w:rFonts w:eastAsia="Times New Roman"/>
          <w:i/>
          <w:noProof/>
          <w:szCs w:val="24"/>
        </w:rPr>
      </w:pPr>
      <w:r w:rsidRPr="008B17C0">
        <w:rPr>
          <w:i/>
          <w:noProof/>
          <w:szCs w:val="24"/>
        </w:rPr>
        <w:t>Artikel 22b</w:t>
      </w:r>
    </w:p>
    <w:p w14:paraId="7B46D5CA" w14:textId="476B3C8E" w:rsidR="00490DC9" w:rsidRPr="008B17C0" w:rsidRDefault="00490DC9" w:rsidP="00490DC9">
      <w:pPr>
        <w:shd w:val="clear" w:color="auto" w:fill="FFFFFF"/>
        <w:spacing w:after="0" w:line="312" w:lineRule="atLeast"/>
        <w:jc w:val="center"/>
        <w:rPr>
          <w:rFonts w:eastAsia="Times New Roman"/>
          <w:b/>
          <w:noProof/>
          <w:szCs w:val="24"/>
        </w:rPr>
      </w:pPr>
      <w:r w:rsidRPr="008B17C0">
        <w:rPr>
          <w:b/>
          <w:noProof/>
          <w:szCs w:val="24"/>
        </w:rPr>
        <w:t xml:space="preserve">Kommissionens vedtagelse af gennemførelsesretsakter </w:t>
      </w:r>
    </w:p>
    <w:p w14:paraId="67849786" w14:textId="260CE187" w:rsidR="00490DC9" w:rsidRPr="008B17C0" w:rsidRDefault="003433F5" w:rsidP="003433F5">
      <w:pPr>
        <w:pStyle w:val="ManualNumPar1"/>
        <w:rPr>
          <w:noProof/>
        </w:rPr>
      </w:pPr>
      <w:r w:rsidRPr="003433F5">
        <w:t>1.</w:t>
      </w:r>
      <w:r w:rsidRPr="003433F5">
        <w:tab/>
      </w:r>
      <w:r w:rsidR="00490DC9" w:rsidRPr="008B17C0">
        <w:rPr>
          <w:noProof/>
        </w:rPr>
        <w:t>Kommissionen vedtager de gennemførelsesretsakter, der er nødvendige for oprettelse og brug af det decentrale IT-system til kommunikation i henhold til denne forordning, der fastsætter følgende:</w:t>
      </w:r>
    </w:p>
    <w:p w14:paraId="33F87478" w14:textId="5F42F063" w:rsidR="00490DC9" w:rsidRPr="008B17C0" w:rsidRDefault="003433F5" w:rsidP="003433F5">
      <w:pPr>
        <w:pStyle w:val="Point1"/>
        <w:rPr>
          <w:noProof/>
        </w:rPr>
      </w:pPr>
      <w:r w:rsidRPr="003433F5">
        <w:t>(a)</w:t>
      </w:r>
      <w:r w:rsidRPr="003433F5">
        <w:tab/>
      </w:r>
      <w:r w:rsidR="00490DC9" w:rsidRPr="008B17C0">
        <w:rPr>
          <w:noProof/>
        </w:rPr>
        <w:t>de tekniske specifikationer, der præciserer de elektroniske kommunikationsformer med henblik på det decentrale IT-system</w:t>
      </w:r>
    </w:p>
    <w:p w14:paraId="6BECA16F" w14:textId="4FE6AB35" w:rsidR="00490DC9" w:rsidRPr="008B17C0" w:rsidRDefault="003433F5" w:rsidP="003433F5">
      <w:pPr>
        <w:pStyle w:val="Point1"/>
        <w:rPr>
          <w:noProof/>
        </w:rPr>
      </w:pPr>
      <w:r w:rsidRPr="003433F5">
        <w:t>(b)</w:t>
      </w:r>
      <w:r w:rsidRPr="003433F5">
        <w:tab/>
      </w:r>
      <w:r w:rsidR="00490DC9" w:rsidRPr="008B17C0">
        <w:rPr>
          <w:noProof/>
        </w:rPr>
        <w:t>de tekniske specifikationer for kommunikationsprotokollerne</w:t>
      </w:r>
    </w:p>
    <w:p w14:paraId="1E668FF8" w14:textId="7B463831" w:rsidR="00490DC9" w:rsidRPr="008B17C0" w:rsidRDefault="003433F5" w:rsidP="003433F5">
      <w:pPr>
        <w:pStyle w:val="Point1"/>
        <w:rPr>
          <w:noProof/>
        </w:rPr>
      </w:pPr>
      <w:r w:rsidRPr="003433F5">
        <w:t>(c)</w:t>
      </w:r>
      <w:r w:rsidRPr="003433F5">
        <w:tab/>
      </w:r>
      <w:r w:rsidR="00490DC9" w:rsidRPr="008B17C0">
        <w:rPr>
          <w:noProof/>
        </w:rPr>
        <w:t>målene for informationssikkerhed og relevante tekniske foranstaltninger, der sikrer minimumsstandarder for informationssikkerhed og et højt niveau af cybersikkerhedsstandarder for behandling og kommunikation af oplysninger i det decentrale IT-system</w:t>
      </w:r>
    </w:p>
    <w:p w14:paraId="093B9FE0" w14:textId="7462543A" w:rsidR="00490DC9" w:rsidRPr="008B17C0" w:rsidRDefault="003433F5" w:rsidP="003433F5">
      <w:pPr>
        <w:pStyle w:val="Point1"/>
        <w:rPr>
          <w:noProof/>
        </w:rPr>
      </w:pPr>
      <w:r w:rsidRPr="003433F5">
        <w:t>(d)</w:t>
      </w:r>
      <w:r w:rsidRPr="003433F5">
        <w:tab/>
      </w:r>
      <w:r w:rsidR="00490DC9" w:rsidRPr="008B17C0">
        <w:rPr>
          <w:noProof/>
        </w:rPr>
        <w:t>minimumsmålene for tilgængelighed og de mulige tilknyttede tekniske krav for de tjenester, der ydes gennem det decentrale IT-system</w:t>
      </w:r>
    </w:p>
    <w:p w14:paraId="226B7C6B" w14:textId="1B99BFDD" w:rsidR="00490DC9" w:rsidRPr="008B17C0" w:rsidRDefault="003433F5" w:rsidP="003433F5">
      <w:pPr>
        <w:pStyle w:val="Point1"/>
        <w:rPr>
          <w:noProof/>
        </w:rPr>
      </w:pPr>
      <w:r w:rsidRPr="003433F5">
        <w:t>(e)</w:t>
      </w:r>
      <w:r w:rsidRPr="003433F5">
        <w:tab/>
      </w:r>
      <w:r w:rsidR="00490DC9" w:rsidRPr="008B17C0">
        <w:rPr>
          <w:noProof/>
        </w:rPr>
        <w:t>nedsættelsen af en styringskomité, der omfatter repræsentanter for medlemsstaterne, for at sikre det decentrale IT-systems drift og vedligeholdelse med henblik på at opfylde målene for denne forordning.</w:t>
      </w:r>
    </w:p>
    <w:p w14:paraId="57E3ECE3" w14:textId="795060AD" w:rsidR="0086392E" w:rsidRPr="008B17C0" w:rsidRDefault="003433F5" w:rsidP="003433F5">
      <w:pPr>
        <w:pStyle w:val="ManualNumPar1"/>
        <w:rPr>
          <w:noProof/>
        </w:rPr>
      </w:pPr>
      <w:r w:rsidRPr="003433F5">
        <w:t>2.</w:t>
      </w:r>
      <w:r w:rsidRPr="003433F5">
        <w:tab/>
      </w:r>
      <w:r w:rsidR="0086392E" w:rsidRPr="008B17C0">
        <w:rPr>
          <w:noProof/>
        </w:rPr>
        <w:t xml:space="preserve">De i stk. 1 omhandlede gennemførelsesretsakter vedtages </w:t>
      </w:r>
      <w:r w:rsidR="0086392E" w:rsidRPr="008B17C0">
        <w:rPr>
          <w:i/>
          <w:noProof/>
        </w:rPr>
        <w:t>[to år efter ikrafttrædelsen]</w:t>
      </w:r>
      <w:r w:rsidR="0086392E" w:rsidRPr="008B17C0">
        <w:rPr>
          <w:noProof/>
        </w:rPr>
        <w:t xml:space="preserve"> efter undersøgelsesproceduren i artikel 22c, stk. 2.</w:t>
      </w:r>
    </w:p>
    <w:p w14:paraId="20111F11" w14:textId="16F1DFDB" w:rsidR="00430B03" w:rsidRPr="008B17C0" w:rsidRDefault="00430B03" w:rsidP="00430B03">
      <w:pPr>
        <w:shd w:val="clear" w:color="auto" w:fill="FFFFFF"/>
        <w:spacing w:after="0" w:line="312" w:lineRule="atLeast"/>
        <w:jc w:val="center"/>
        <w:rPr>
          <w:rFonts w:eastAsia="Times New Roman"/>
          <w:i/>
          <w:noProof/>
          <w:szCs w:val="24"/>
        </w:rPr>
      </w:pPr>
      <w:r w:rsidRPr="008B17C0">
        <w:rPr>
          <w:i/>
          <w:noProof/>
          <w:szCs w:val="24"/>
        </w:rPr>
        <w:t>Artikel 22c</w:t>
      </w:r>
    </w:p>
    <w:p w14:paraId="4BE18E57" w14:textId="0775E989" w:rsidR="00430B03" w:rsidRPr="008B17C0" w:rsidRDefault="00430B03" w:rsidP="00430B03">
      <w:pPr>
        <w:shd w:val="clear" w:color="auto" w:fill="FFFFFF"/>
        <w:spacing w:after="0" w:line="312" w:lineRule="atLeast"/>
        <w:jc w:val="center"/>
        <w:rPr>
          <w:rFonts w:eastAsia="Times New Roman"/>
          <w:b/>
          <w:noProof/>
          <w:szCs w:val="24"/>
        </w:rPr>
      </w:pPr>
      <w:r w:rsidRPr="008B17C0">
        <w:rPr>
          <w:b/>
          <w:noProof/>
          <w:szCs w:val="24"/>
        </w:rPr>
        <w:t>Udvalgsprocedure</w:t>
      </w:r>
    </w:p>
    <w:p w14:paraId="77C079AD" w14:textId="06049838" w:rsidR="0086392E" w:rsidRPr="008B17C0" w:rsidRDefault="003433F5" w:rsidP="003433F5">
      <w:pPr>
        <w:pStyle w:val="ManualNumPar1"/>
        <w:rPr>
          <w:noProof/>
        </w:rPr>
      </w:pPr>
      <w:r w:rsidRPr="003433F5">
        <w:t>1.</w:t>
      </w:r>
      <w:r w:rsidRPr="003433F5">
        <w:tab/>
      </w:r>
      <w:r w:rsidR="00490DC9" w:rsidRPr="008B17C0">
        <w:rPr>
          <w:noProof/>
        </w:rPr>
        <w:t xml:space="preserve">Kommissionen bistås af et udvalg. Dette udvalg er et udvalg som omhandlet i Europa-Parlamentets og Rådets forordning (EU) nr. 182/2011*. </w:t>
      </w:r>
    </w:p>
    <w:p w14:paraId="1668EC8A" w14:textId="118A69AC" w:rsidR="0086392E" w:rsidRPr="008B17C0" w:rsidRDefault="003433F5" w:rsidP="003433F5">
      <w:pPr>
        <w:pStyle w:val="ManualNumPar1"/>
        <w:rPr>
          <w:noProof/>
        </w:rPr>
      </w:pPr>
      <w:r w:rsidRPr="003433F5">
        <w:t>2.</w:t>
      </w:r>
      <w:r w:rsidRPr="003433F5">
        <w:tab/>
      </w:r>
      <w:r w:rsidR="0086392E" w:rsidRPr="008B17C0">
        <w:rPr>
          <w:noProof/>
        </w:rPr>
        <w:t xml:space="preserve">Når der henvises til dette stykke, anvendes artikel 5 i forordning (EU) nr. 182/2011. </w:t>
      </w:r>
    </w:p>
    <w:p w14:paraId="309AC0C1" w14:textId="78C18CD8" w:rsidR="00490DC9" w:rsidRPr="008B17C0" w:rsidRDefault="00490DC9" w:rsidP="00560FF6">
      <w:pPr>
        <w:pStyle w:val="Text1"/>
        <w:rPr>
          <w:noProof/>
        </w:rPr>
      </w:pPr>
      <w:r w:rsidRPr="008B17C0">
        <w:rPr>
          <w:noProof/>
        </w:rPr>
        <w:t>Afgiver udvalget ikke nogen udtalelse, vedtager Kommissionen ikke udkastet til gennemførelsesretsakt, og artikel 5, stk. 4, tredje afsnit, i forordning (EU) nr. 182/2011 finder anvendelse.</w:t>
      </w:r>
    </w:p>
    <w:p w14:paraId="01CD7D8B" w14:textId="77777777" w:rsidR="00490DC9" w:rsidRPr="008B17C0" w:rsidRDefault="00490DC9" w:rsidP="00490DC9">
      <w:pPr>
        <w:ind w:firstLine="720"/>
        <w:rPr>
          <w:rFonts w:eastAsia="Calibri"/>
          <w:noProof/>
        </w:rPr>
      </w:pPr>
      <w:r w:rsidRPr="008B17C0">
        <w:rPr>
          <w:noProof/>
        </w:rPr>
        <w:t>__________</w:t>
      </w:r>
    </w:p>
    <w:p w14:paraId="49764AAE" w14:textId="487EC098" w:rsidR="00537298" w:rsidRPr="008B17C0" w:rsidRDefault="00490DC9" w:rsidP="006A0D14">
      <w:pPr>
        <w:ind w:left="720"/>
        <w:rPr>
          <w:rFonts w:eastAsia="Calibri"/>
          <w:noProof/>
        </w:rPr>
      </w:pPr>
      <w:r w:rsidRPr="008B17C0">
        <w:rPr>
          <w:noProof/>
        </w:rPr>
        <w:t>* Europa-Parlamentets og Rådets forordning (EU) nr. 182/2011 af 16. februar 2011 om de generelle regler og principper for, hvordan medlemsstaterne skal kontrollere Kommissionens udøvelse af gennemførelsesbeføjelser (EUT L 55 af 28.2.2011, s. 13)."</w:t>
      </w:r>
    </w:p>
    <w:p w14:paraId="640C4CA9" w14:textId="0CC58BA1" w:rsidR="00E11514" w:rsidRPr="008B17C0" w:rsidRDefault="003433F5" w:rsidP="003433F5">
      <w:pPr>
        <w:pStyle w:val="Point0"/>
        <w:rPr>
          <w:noProof/>
        </w:rPr>
      </w:pPr>
      <w:r w:rsidRPr="003433F5">
        <w:t>(6)</w:t>
      </w:r>
      <w:r w:rsidRPr="003433F5">
        <w:tab/>
      </w:r>
      <w:r w:rsidR="00AB63ED" w:rsidRPr="008B17C0">
        <w:rPr>
          <w:noProof/>
        </w:rPr>
        <w:t>Artikel 23, 24 og 25 affattes således:</w:t>
      </w:r>
    </w:p>
    <w:p w14:paraId="46E5EA5A" w14:textId="14EEFAEF" w:rsidR="00F44CB9" w:rsidRPr="008B17C0" w:rsidRDefault="00F44CB9" w:rsidP="00BE7C1D">
      <w:pPr>
        <w:jc w:val="center"/>
        <w:rPr>
          <w:i/>
          <w:noProof/>
        </w:rPr>
      </w:pPr>
      <w:r w:rsidRPr="008B17C0">
        <w:rPr>
          <w:i/>
          <w:noProof/>
        </w:rPr>
        <w:t>"Artikel 23</w:t>
      </w:r>
    </w:p>
    <w:p w14:paraId="7D5C5B4E" w14:textId="150E67EE" w:rsidR="00F44CB9" w:rsidRPr="008B17C0" w:rsidRDefault="00F44CB9" w:rsidP="00BE7C1D">
      <w:pPr>
        <w:jc w:val="center"/>
        <w:rPr>
          <w:b/>
          <w:noProof/>
        </w:rPr>
      </w:pPr>
      <w:r w:rsidRPr="008B17C0">
        <w:rPr>
          <w:b/>
          <w:noProof/>
        </w:rPr>
        <w:t>Sagsforvaltningssystem</w:t>
      </w:r>
    </w:p>
    <w:p w14:paraId="5B27ACA8" w14:textId="4B656AF8" w:rsidR="00F44CB9" w:rsidRPr="008B17C0" w:rsidRDefault="003433F5" w:rsidP="003433F5">
      <w:pPr>
        <w:pStyle w:val="ManualNumPar1"/>
        <w:rPr>
          <w:noProof/>
        </w:rPr>
      </w:pPr>
      <w:r w:rsidRPr="003433F5">
        <w:t>1.</w:t>
      </w:r>
      <w:r w:rsidRPr="003433F5">
        <w:tab/>
      </w:r>
      <w:r w:rsidR="00F44CB9" w:rsidRPr="008B17C0">
        <w:rPr>
          <w:noProof/>
        </w:rPr>
        <w:t xml:space="preserve">Eurojust opretter et sagsforvaltningssystem til behandling af de operationelle personoplysninger, der er opregnet i bilag II, de oplysninger, der er opregnet i bilag III, og andre oplysninger end personoplysninger. </w:t>
      </w:r>
    </w:p>
    <w:p w14:paraId="1C178379" w14:textId="645C7E48" w:rsidR="00F44CB9" w:rsidRPr="008B17C0" w:rsidRDefault="003433F5" w:rsidP="003433F5">
      <w:pPr>
        <w:pStyle w:val="ManualNumPar1"/>
        <w:rPr>
          <w:noProof/>
        </w:rPr>
      </w:pPr>
      <w:r w:rsidRPr="003433F5">
        <w:t>2.</w:t>
      </w:r>
      <w:r w:rsidRPr="003433F5">
        <w:tab/>
      </w:r>
      <w:r w:rsidR="00F44CB9" w:rsidRPr="008B17C0">
        <w:rPr>
          <w:noProof/>
        </w:rPr>
        <w:t>Formålet med sagsforvaltningssystemet er:</w:t>
      </w:r>
    </w:p>
    <w:p w14:paraId="4D1B75A6" w14:textId="567BBF08" w:rsidR="00F44CB9" w:rsidRPr="008B17C0" w:rsidRDefault="003433F5" w:rsidP="003433F5">
      <w:pPr>
        <w:pStyle w:val="Point2"/>
        <w:rPr>
          <w:noProof/>
        </w:rPr>
      </w:pPr>
      <w:r w:rsidRPr="003433F5">
        <w:t>(a)</w:t>
      </w:r>
      <w:r w:rsidRPr="003433F5">
        <w:tab/>
      </w:r>
      <w:r w:rsidR="00F44CB9" w:rsidRPr="008B17C0">
        <w:rPr>
          <w:noProof/>
        </w:rPr>
        <w:t>at støtte forvaltningen og koordineringen af efterforskning og retsforfølgning, hvor Eurojust yder støtte</w:t>
      </w:r>
    </w:p>
    <w:p w14:paraId="317D4017" w14:textId="0EB1CFC0" w:rsidR="00AB63ED" w:rsidRPr="008B17C0" w:rsidRDefault="003433F5" w:rsidP="003433F5">
      <w:pPr>
        <w:pStyle w:val="Point2"/>
        <w:rPr>
          <w:noProof/>
        </w:rPr>
      </w:pPr>
      <w:r w:rsidRPr="003433F5">
        <w:t>(b)</w:t>
      </w:r>
      <w:r w:rsidRPr="003433F5">
        <w:tab/>
      </w:r>
      <w:r w:rsidR="00F44CB9" w:rsidRPr="008B17C0">
        <w:rPr>
          <w:noProof/>
        </w:rPr>
        <w:t>at sørge for sikker adgang til og udveksling af oplysninger om igangværende efterforskning og retsforfølgning</w:t>
      </w:r>
    </w:p>
    <w:p w14:paraId="2D108394" w14:textId="610B6F18" w:rsidR="00AB63ED" w:rsidRPr="008B17C0" w:rsidRDefault="003433F5" w:rsidP="003433F5">
      <w:pPr>
        <w:pStyle w:val="Point2"/>
        <w:rPr>
          <w:noProof/>
        </w:rPr>
      </w:pPr>
      <w:r w:rsidRPr="003433F5">
        <w:t>(c)</w:t>
      </w:r>
      <w:r w:rsidRPr="003433F5">
        <w:tab/>
      </w:r>
      <w:r w:rsidR="00F44CB9" w:rsidRPr="008B17C0">
        <w:rPr>
          <w:noProof/>
        </w:rPr>
        <w:t>at give mulighed for at krydstjekke oplysninger og etablere forbindelser</w:t>
      </w:r>
    </w:p>
    <w:p w14:paraId="6D949AB5" w14:textId="2BC288EB" w:rsidR="00AB63ED" w:rsidRPr="008B17C0" w:rsidRDefault="003433F5" w:rsidP="003433F5">
      <w:pPr>
        <w:pStyle w:val="Point2"/>
        <w:rPr>
          <w:noProof/>
        </w:rPr>
      </w:pPr>
      <w:r w:rsidRPr="003433F5">
        <w:t>(d)</w:t>
      </w:r>
      <w:r w:rsidRPr="003433F5">
        <w:tab/>
      </w:r>
      <w:r w:rsidR="00F44CB9" w:rsidRPr="008B17C0">
        <w:rPr>
          <w:noProof/>
        </w:rPr>
        <w:t>at give mulighed for at udtrække data til operationelle og statistiske formål</w:t>
      </w:r>
    </w:p>
    <w:p w14:paraId="78FFF8B4" w14:textId="205659DF" w:rsidR="00F44CB9" w:rsidRPr="008B17C0" w:rsidRDefault="003433F5" w:rsidP="003433F5">
      <w:pPr>
        <w:pStyle w:val="Point2"/>
        <w:rPr>
          <w:noProof/>
        </w:rPr>
      </w:pPr>
      <w:r w:rsidRPr="003433F5">
        <w:t>(e)</w:t>
      </w:r>
      <w:r w:rsidRPr="003433F5">
        <w:tab/>
      </w:r>
      <w:r w:rsidR="00F44CB9" w:rsidRPr="008B17C0">
        <w:rPr>
          <w:noProof/>
        </w:rPr>
        <w:t>at lette overvågning for at sikre, at behandlingen af operationelle personoplysninger er lovlig og i overensstemmelse med denne forordning og de gældende databeskyttelsesregler.</w:t>
      </w:r>
    </w:p>
    <w:p w14:paraId="0EF50169" w14:textId="0FBB5270" w:rsidR="00F44CB9" w:rsidRPr="008B17C0" w:rsidRDefault="003433F5" w:rsidP="003433F5">
      <w:pPr>
        <w:pStyle w:val="ManualNumPar1"/>
        <w:rPr>
          <w:noProof/>
        </w:rPr>
      </w:pPr>
      <w:r w:rsidRPr="003433F5">
        <w:t>3.</w:t>
      </w:r>
      <w:r w:rsidRPr="003433F5">
        <w:tab/>
      </w:r>
      <w:r w:rsidR="00F44CB9" w:rsidRPr="008B17C0">
        <w:rPr>
          <w:noProof/>
        </w:rPr>
        <w:t xml:space="preserve">Sagsforvaltningssystemet kan kobles til den sikre telekommunikationsforbindelse, der er omhandlet i artikel 9 i Rådets afgørelse 2008/976/RIA*, og andre sikre kommunikationskanaler i overensstemmelse med gældende EU-ret. </w:t>
      </w:r>
    </w:p>
    <w:p w14:paraId="72050C5F" w14:textId="279EBCBC" w:rsidR="00D00582" w:rsidRPr="008B17C0" w:rsidRDefault="003433F5" w:rsidP="003433F5">
      <w:pPr>
        <w:pStyle w:val="ManualNumPar1"/>
        <w:rPr>
          <w:noProof/>
        </w:rPr>
      </w:pPr>
      <w:r w:rsidRPr="003433F5">
        <w:t>4.</w:t>
      </w:r>
      <w:r w:rsidRPr="003433F5">
        <w:tab/>
      </w:r>
      <w:r w:rsidR="00F44CB9" w:rsidRPr="008B17C0">
        <w:rPr>
          <w:noProof/>
        </w:rPr>
        <w:t xml:space="preserve">De nationale medlemmer af Eurojust kan under udførelsen af deres opgaver behandle personoplysninger om de konkrete sager, de arbejder med, i overensstemmelse med denne forordning eller andre relevante instrumenter. </w:t>
      </w:r>
    </w:p>
    <w:p w14:paraId="6843E1E6" w14:textId="005FBD42" w:rsidR="00F44CB9" w:rsidRPr="008B17C0" w:rsidRDefault="00F44CB9" w:rsidP="00197F34">
      <w:pPr>
        <w:pStyle w:val="Text1"/>
        <w:rPr>
          <w:noProof/>
        </w:rPr>
      </w:pPr>
      <w:r w:rsidRPr="008B17C0">
        <w:rPr>
          <w:noProof/>
        </w:rPr>
        <w:t>De tillader, at den databeskyttelsesansvarlige får adgang til de personoplysninger, der behandles i sagsforvaltningssystemet.</w:t>
      </w:r>
    </w:p>
    <w:p w14:paraId="488FD9F5" w14:textId="28462FA6" w:rsidR="003D3A7C" w:rsidRPr="008B17C0" w:rsidRDefault="003433F5" w:rsidP="003433F5">
      <w:pPr>
        <w:pStyle w:val="ManualNumPar1"/>
        <w:rPr>
          <w:noProof/>
        </w:rPr>
      </w:pPr>
      <w:r w:rsidRPr="003433F5">
        <w:t>5.</w:t>
      </w:r>
      <w:r w:rsidRPr="003433F5">
        <w:tab/>
      </w:r>
      <w:r w:rsidR="00F44CB9" w:rsidRPr="008B17C0">
        <w:rPr>
          <w:noProof/>
        </w:rPr>
        <w:t xml:space="preserve">I forbindelse med behandlingen af operationelle personoplysninger må Eurojust ikke oprette andre elektroniske databaser end sagsforvaltningssystemet. </w:t>
      </w:r>
    </w:p>
    <w:p w14:paraId="0F3E1CB5" w14:textId="47A58882" w:rsidR="00F44CB9" w:rsidRPr="008B17C0" w:rsidRDefault="00F44CB9" w:rsidP="00197F34">
      <w:pPr>
        <w:pStyle w:val="Text1"/>
        <w:rPr>
          <w:noProof/>
        </w:rPr>
      </w:pPr>
      <w:r w:rsidRPr="008B17C0">
        <w:rPr>
          <w:noProof/>
        </w:rPr>
        <w:t>De nationale medlemmer må dog midlertidigt opbevare og analysere personoplysninger med henblik på at vurdere, om sådanne oplysninger er relevante for Eurojusts opgaver og kan medtages i det operationelle datastyringssystem. Disse oplysninger kan opbevares i op til tre måneder.</w:t>
      </w:r>
    </w:p>
    <w:p w14:paraId="1B126C4B" w14:textId="094B07C3" w:rsidR="00AB63ED" w:rsidRPr="008B17C0" w:rsidRDefault="00AB63ED" w:rsidP="00BE7C1D">
      <w:pPr>
        <w:jc w:val="center"/>
        <w:rPr>
          <w:i/>
          <w:noProof/>
        </w:rPr>
      </w:pPr>
      <w:r w:rsidRPr="008B17C0">
        <w:rPr>
          <w:i/>
          <w:noProof/>
        </w:rPr>
        <w:t>Artikel 24</w:t>
      </w:r>
    </w:p>
    <w:p w14:paraId="2CD1424D" w14:textId="7AF53478" w:rsidR="00AB63ED" w:rsidRPr="008B17C0" w:rsidRDefault="00AB63ED" w:rsidP="00BE7C1D">
      <w:pPr>
        <w:jc w:val="center"/>
        <w:rPr>
          <w:b/>
          <w:noProof/>
        </w:rPr>
      </w:pPr>
      <w:r w:rsidRPr="008B17C0">
        <w:rPr>
          <w:b/>
          <w:noProof/>
        </w:rPr>
        <w:t>Forvaltning af oplysningerne i sagsforvaltningssystemet</w:t>
      </w:r>
    </w:p>
    <w:p w14:paraId="5F29910B" w14:textId="12DC4B6C" w:rsidR="00D00582" w:rsidRPr="008B17C0" w:rsidRDefault="003433F5" w:rsidP="003433F5">
      <w:pPr>
        <w:pStyle w:val="ManualNumPar1"/>
        <w:rPr>
          <w:noProof/>
        </w:rPr>
      </w:pPr>
      <w:r w:rsidRPr="003433F5">
        <w:t>1.</w:t>
      </w:r>
      <w:r w:rsidRPr="003433F5">
        <w:tab/>
      </w:r>
      <w:r w:rsidR="00AB63ED" w:rsidRPr="008B17C0">
        <w:rPr>
          <w:noProof/>
        </w:rPr>
        <w:t xml:space="preserve">Det nationale medlem opbevarer de oplysninger, der fremsendes til vedkommende, i overensstemmelse med denne forordning eller andre gældende instrumenter i sagsforvaltningssystemet. </w:t>
      </w:r>
    </w:p>
    <w:p w14:paraId="72E961A1" w14:textId="2E36E498" w:rsidR="00AB63ED" w:rsidRPr="008B17C0" w:rsidRDefault="00AB63ED" w:rsidP="00197F34">
      <w:pPr>
        <w:pStyle w:val="Text1"/>
        <w:rPr>
          <w:noProof/>
        </w:rPr>
      </w:pPr>
      <w:r w:rsidRPr="008B17C0">
        <w:rPr>
          <w:noProof/>
        </w:rPr>
        <w:t xml:space="preserve">Det nationale medlem er ansvarligt for forvaltningen af de oplysninger, som vedkommende har behandlet. </w:t>
      </w:r>
    </w:p>
    <w:p w14:paraId="7E535FA3" w14:textId="12FD1A07" w:rsidR="00AB63ED" w:rsidRPr="008B17C0" w:rsidRDefault="003433F5" w:rsidP="003433F5">
      <w:pPr>
        <w:pStyle w:val="ManualNumPar1"/>
        <w:rPr>
          <w:noProof/>
        </w:rPr>
      </w:pPr>
      <w:r w:rsidRPr="003433F5">
        <w:t>2.</w:t>
      </w:r>
      <w:r w:rsidRPr="003433F5">
        <w:tab/>
      </w:r>
      <w:r w:rsidR="00AB63ED" w:rsidRPr="008B17C0">
        <w:rPr>
          <w:noProof/>
        </w:rPr>
        <w:t>Et nationalt medlem beslutter fra sag til sag, om adgangen til oplysningerne skal begrænses, eller om der skal gives hel eller delvis adgang til dem for andre nationale medlemmer, til forbindelsesanklagere udstationeret i Eurojust eller Eurojusts bemyndigede personale eller til enhver anden person, der arbejder på Eurojusts vegne, og som har fået den nødvendige tilladelse hertil af den administrerende direktør.</w:t>
      </w:r>
    </w:p>
    <w:p w14:paraId="5F88DDAF" w14:textId="600AA231" w:rsidR="00AB63ED" w:rsidRPr="008B17C0" w:rsidRDefault="003433F5" w:rsidP="003433F5">
      <w:pPr>
        <w:pStyle w:val="ManualNumPar1"/>
        <w:rPr>
          <w:noProof/>
        </w:rPr>
      </w:pPr>
      <w:r w:rsidRPr="003433F5">
        <w:t>3.</w:t>
      </w:r>
      <w:r w:rsidRPr="003433F5">
        <w:tab/>
      </w:r>
      <w:r w:rsidR="00AB63ED" w:rsidRPr="008B17C0">
        <w:rPr>
          <w:noProof/>
        </w:rPr>
        <w:t>Det nationale medlem anfører generelle og specifikke begrænsninger i viderebehandlingen af, adgangen til og videregivelsen af oplysningerne, hvis der er identificeret en forbindelse som omhandlet i artikel 23, stk. 2, litra c).</w:t>
      </w:r>
    </w:p>
    <w:p w14:paraId="20AD6AF4" w14:textId="6BDD8F56" w:rsidR="00E11514" w:rsidRPr="008B17C0" w:rsidRDefault="00E11514" w:rsidP="00BE7C1D">
      <w:pPr>
        <w:rPr>
          <w:i/>
          <w:noProof/>
        </w:rPr>
      </w:pPr>
    </w:p>
    <w:p w14:paraId="119E9CE4" w14:textId="27B2068F" w:rsidR="00E11514" w:rsidRPr="008B17C0" w:rsidRDefault="00AF46FC">
      <w:pPr>
        <w:ind w:left="720"/>
        <w:jc w:val="center"/>
        <w:rPr>
          <w:i/>
          <w:noProof/>
        </w:rPr>
      </w:pPr>
      <w:r w:rsidRPr="008B17C0">
        <w:rPr>
          <w:i/>
          <w:noProof/>
          <w:color w:val="000000" w:themeColor="text1"/>
        </w:rPr>
        <w:t>Artikel 25</w:t>
      </w:r>
    </w:p>
    <w:p w14:paraId="0CF5A103" w14:textId="77777777" w:rsidR="00484A0E" w:rsidRPr="008B17C0" w:rsidRDefault="00484A0E">
      <w:pPr>
        <w:ind w:left="720"/>
        <w:jc w:val="center"/>
        <w:rPr>
          <w:b/>
          <w:noProof/>
        </w:rPr>
      </w:pPr>
      <w:r w:rsidRPr="008B17C0">
        <w:rPr>
          <w:b/>
          <w:noProof/>
          <w:color w:val="000000" w:themeColor="text1"/>
        </w:rPr>
        <w:t>Adgang til sagsforvaltningssystemet på nationalt plan</w:t>
      </w:r>
    </w:p>
    <w:p w14:paraId="462E9CD2" w14:textId="3A40B91F" w:rsidR="00484A0E" w:rsidRPr="008B17C0" w:rsidRDefault="003433F5" w:rsidP="003433F5">
      <w:pPr>
        <w:pStyle w:val="ManualNumPar1"/>
        <w:rPr>
          <w:noProof/>
        </w:rPr>
      </w:pPr>
      <w:r w:rsidRPr="003433F5">
        <w:t>1.</w:t>
      </w:r>
      <w:r w:rsidRPr="003433F5">
        <w:tab/>
      </w:r>
      <w:r w:rsidR="00484A0E" w:rsidRPr="008B17C0">
        <w:rPr>
          <w:noProof/>
        </w:rPr>
        <w:t>I det omfang de er koblet til sagsforvaltningssystemet, har de personer, der er omhandlet i artikel 20, stk. 3, kun adgang til:</w:t>
      </w:r>
    </w:p>
    <w:p w14:paraId="05430EFE" w14:textId="5F617E8C" w:rsidR="00DB590A" w:rsidRPr="008B17C0" w:rsidRDefault="003433F5" w:rsidP="003433F5">
      <w:pPr>
        <w:pStyle w:val="Point2"/>
        <w:rPr>
          <w:noProof/>
        </w:rPr>
      </w:pPr>
      <w:r w:rsidRPr="003433F5">
        <w:t>(a)</w:t>
      </w:r>
      <w:r w:rsidRPr="003433F5">
        <w:tab/>
      </w:r>
      <w:r w:rsidR="003D3A7C" w:rsidRPr="008B17C0">
        <w:rPr>
          <w:noProof/>
        </w:rPr>
        <w:t>oplysninger, der forvaltes af det nationale medlem fra deres medlemsstat, medmindre det nationale medlem, der har besluttet at indlæse oplysningerne i sagsforvaltningssystemet, udtrykkeligt nægter at give adgang hertil</w:t>
      </w:r>
    </w:p>
    <w:p w14:paraId="78A2CC8F" w14:textId="26A692FB" w:rsidR="00DB590A" w:rsidRPr="008B17C0" w:rsidRDefault="003433F5" w:rsidP="003433F5">
      <w:pPr>
        <w:pStyle w:val="Point2"/>
        <w:rPr>
          <w:noProof/>
        </w:rPr>
      </w:pPr>
      <w:r w:rsidRPr="003433F5">
        <w:t>(b)</w:t>
      </w:r>
      <w:r w:rsidRPr="003433F5">
        <w:tab/>
      </w:r>
      <w:r w:rsidR="003D3A7C" w:rsidRPr="008B17C0">
        <w:rPr>
          <w:noProof/>
        </w:rPr>
        <w:t>oplysninger, der forvaltes af nationale medlemmer fra andre medlemsstater, og som det nationale medlem fra deres medlemsstat har fået adgang til, medmindre det nationale medlem, der forvalter oplysningerne, udtrykkeligt nægter at give adgang hertil.</w:t>
      </w:r>
    </w:p>
    <w:p w14:paraId="188E8330" w14:textId="2409CA67" w:rsidR="00DB590A" w:rsidRPr="008B17C0" w:rsidRDefault="003433F5" w:rsidP="003433F5">
      <w:pPr>
        <w:pStyle w:val="ManualNumPar1"/>
        <w:rPr>
          <w:noProof/>
        </w:rPr>
      </w:pPr>
      <w:r w:rsidRPr="003433F5">
        <w:t>2.</w:t>
      </w:r>
      <w:r w:rsidRPr="003433F5">
        <w:tab/>
      </w:r>
      <w:r w:rsidR="00DB590A" w:rsidRPr="008B17C0">
        <w:rPr>
          <w:noProof/>
        </w:rPr>
        <w:t>Nationale medlemmer træffer inden for de begrænsninger, der er omhandlet i denne artikels stk. 1, afgørelse om, i hvilket omfang der gives adgang i deres medlemsstat for de personer, der er omhandlet i artikel 20, stk. 3, i det omfang de er koblet til sagsforvaltningssystemet.</w:t>
      </w:r>
    </w:p>
    <w:p w14:paraId="1B9F558A" w14:textId="0C15311D" w:rsidR="003D3A7C" w:rsidRPr="008B17C0" w:rsidRDefault="003433F5" w:rsidP="003433F5">
      <w:pPr>
        <w:pStyle w:val="ManualNumPar1"/>
        <w:rPr>
          <w:noProof/>
        </w:rPr>
      </w:pPr>
      <w:r w:rsidRPr="003433F5">
        <w:t>3.</w:t>
      </w:r>
      <w:r w:rsidRPr="003433F5">
        <w:tab/>
      </w:r>
      <w:r w:rsidR="00DB590A" w:rsidRPr="008B17C0">
        <w:rPr>
          <w:noProof/>
        </w:rPr>
        <w:t>Hver medlemsstat træffer efter høring af sit nationale medlem afgørelse om, i hvilket omfang der gives adgang i denne medlemsstat for de personer, der er omhandlet i artikel 20, stk. 3, i det omfang de er koblet til sagsforvaltningssystemet.</w:t>
      </w:r>
    </w:p>
    <w:p w14:paraId="4B4D2ED5" w14:textId="40B83F87" w:rsidR="003D3A7C" w:rsidRPr="008B17C0" w:rsidRDefault="00DB590A" w:rsidP="006121D0">
      <w:pPr>
        <w:pStyle w:val="Text1"/>
        <w:rPr>
          <w:noProof/>
        </w:rPr>
      </w:pPr>
      <w:r w:rsidRPr="008B17C0">
        <w:rPr>
          <w:noProof/>
        </w:rPr>
        <w:t>Medlemsstaterne giver Eurojust og Kommissionen meddelelse om deres beslutning, hvad angår gennemførelsen af første afsnit. Kommissionen underretter de øvrige medlemsstater herom.</w:t>
      </w:r>
    </w:p>
    <w:p w14:paraId="2D0EBE8F" w14:textId="2A93264C" w:rsidR="003D3A7C" w:rsidRPr="008B17C0" w:rsidRDefault="003D3A7C" w:rsidP="00197F34">
      <w:pPr>
        <w:pStyle w:val="Text1"/>
        <w:rPr>
          <w:noProof/>
        </w:rPr>
      </w:pPr>
      <w:r w:rsidRPr="008B17C0">
        <w:rPr>
          <w:noProof/>
        </w:rPr>
        <w:t>___________</w:t>
      </w:r>
    </w:p>
    <w:p w14:paraId="20481868" w14:textId="751B5D42" w:rsidR="00AF46FC" w:rsidRPr="008B17C0" w:rsidRDefault="003D3A7C" w:rsidP="00197F34">
      <w:pPr>
        <w:pStyle w:val="Text1"/>
        <w:rPr>
          <w:noProof/>
        </w:rPr>
      </w:pPr>
      <w:r w:rsidRPr="008B17C0">
        <w:rPr>
          <w:noProof/>
        </w:rPr>
        <w:t>* Rådets afgørelse 2008/976/RIA af 16. december 2008 om det europæiske retlige netværk (EUT L 348 af 24.12.2008, s. 130)."</w:t>
      </w:r>
    </w:p>
    <w:p w14:paraId="08DD174A" w14:textId="22E025C1" w:rsidR="00862E51" w:rsidRPr="008B17C0" w:rsidRDefault="003433F5" w:rsidP="003433F5">
      <w:pPr>
        <w:pStyle w:val="Point0"/>
        <w:rPr>
          <w:noProof/>
        </w:rPr>
      </w:pPr>
      <w:r w:rsidRPr="003433F5">
        <w:t>(7)</w:t>
      </w:r>
      <w:r w:rsidRPr="003433F5">
        <w:tab/>
      </w:r>
      <w:r w:rsidR="00862E51" w:rsidRPr="008B17C0">
        <w:rPr>
          <w:noProof/>
        </w:rPr>
        <w:t>I artikel 27 foretages følgende ændringer:</w:t>
      </w:r>
    </w:p>
    <w:p w14:paraId="24D32CA1" w14:textId="3E7ED5E2" w:rsidR="00862E51" w:rsidRPr="008B17C0" w:rsidRDefault="003433F5" w:rsidP="003433F5">
      <w:pPr>
        <w:pStyle w:val="Point1"/>
        <w:rPr>
          <w:noProof/>
        </w:rPr>
      </w:pPr>
      <w:r w:rsidRPr="003433F5">
        <w:t>(a)</w:t>
      </w:r>
      <w:r w:rsidRPr="003433F5">
        <w:tab/>
      </w:r>
      <w:r w:rsidR="00862E51" w:rsidRPr="008B17C0">
        <w:rPr>
          <w:noProof/>
        </w:rPr>
        <w:t>Stk. 4 affattes således:</w:t>
      </w:r>
    </w:p>
    <w:p w14:paraId="5463DF8C" w14:textId="35221709" w:rsidR="00003299" w:rsidRPr="008B17C0" w:rsidRDefault="00862E51" w:rsidP="006A0D14">
      <w:pPr>
        <w:ind w:left="720"/>
        <w:rPr>
          <w:noProof/>
        </w:rPr>
      </w:pPr>
      <w:r w:rsidRPr="008B17C0">
        <w:rPr>
          <w:noProof/>
        </w:rPr>
        <w:t>"4. Eurojust må behandle særlige kategorier af operationelle personoplysninger i overensstemmelse med artikel 76 i forordning (EU) 2018/1725. Såfremt disse andre oplysninger vedrører vidner eller forurettede, jf. nærværende artikels stk. 2, skal beslutningen om at behandle dem træffes af de berørte nationale medlemmer."</w:t>
      </w:r>
    </w:p>
    <w:p w14:paraId="1683ED81" w14:textId="5F363AE9" w:rsidR="00862E51" w:rsidRPr="008B17C0" w:rsidRDefault="003433F5" w:rsidP="003433F5">
      <w:pPr>
        <w:pStyle w:val="Point1"/>
        <w:rPr>
          <w:noProof/>
        </w:rPr>
      </w:pPr>
      <w:r w:rsidRPr="003433F5">
        <w:t>(b)</w:t>
      </w:r>
      <w:r w:rsidRPr="003433F5">
        <w:tab/>
      </w:r>
      <w:r w:rsidR="00E11514" w:rsidRPr="008B17C0">
        <w:rPr>
          <w:noProof/>
        </w:rPr>
        <w:t>Følgende stk. 5 tilføjes:</w:t>
      </w:r>
    </w:p>
    <w:p w14:paraId="1E60DD4A" w14:textId="621DEB4E" w:rsidR="0092153D" w:rsidRPr="008B17C0" w:rsidRDefault="00AF46FC" w:rsidP="006A0D14">
      <w:pPr>
        <w:ind w:left="720"/>
        <w:rPr>
          <w:noProof/>
        </w:rPr>
      </w:pPr>
      <w:r w:rsidRPr="008B17C0">
        <w:rPr>
          <w:noProof/>
        </w:rPr>
        <w:t>"5. Hvis operationelle personoplysninger fremsendes i overensstemmelse med artikel 21a, kan Eurojust behandle de operationelle personoplysninger, der er opregnet i bilag III, i relation til følgende personer:</w:t>
      </w:r>
    </w:p>
    <w:p w14:paraId="2F1820E8" w14:textId="7AC47E82" w:rsidR="00197F34" w:rsidRPr="008B17C0" w:rsidRDefault="003433F5" w:rsidP="003433F5">
      <w:pPr>
        <w:pStyle w:val="Point2"/>
        <w:rPr>
          <w:noProof/>
        </w:rPr>
      </w:pPr>
      <w:r w:rsidRPr="003433F5">
        <w:t>(a)</w:t>
      </w:r>
      <w:r w:rsidRPr="003433F5">
        <w:tab/>
      </w:r>
      <w:r w:rsidR="0083191B" w:rsidRPr="008B17C0">
        <w:rPr>
          <w:noProof/>
        </w:rPr>
        <w:t>personer, som i henhold til den berørte medlemsstats nationale ret er personer, om hvem der er væsentlig grund til at tro, at de har begået eller vil begå en strafbar handling, der henhører under Eurojusts kompetence</w:t>
      </w:r>
    </w:p>
    <w:p w14:paraId="2E3F6E0A" w14:textId="28AFC926" w:rsidR="00197F34" w:rsidRPr="008B17C0" w:rsidRDefault="003433F5" w:rsidP="003433F5">
      <w:pPr>
        <w:pStyle w:val="Point2"/>
        <w:rPr>
          <w:noProof/>
        </w:rPr>
      </w:pPr>
      <w:r w:rsidRPr="003433F5">
        <w:t>(b)</w:t>
      </w:r>
      <w:r w:rsidRPr="003433F5">
        <w:tab/>
      </w:r>
      <w:r w:rsidR="0083191B" w:rsidRPr="008B17C0">
        <w:rPr>
          <w:noProof/>
        </w:rPr>
        <w:t>personer, som er blevet dømt for en sådan strafbar handling.</w:t>
      </w:r>
    </w:p>
    <w:p w14:paraId="212F6D9A" w14:textId="4AD594B1" w:rsidR="00E11514" w:rsidRPr="008B17C0" w:rsidRDefault="00AF46FC" w:rsidP="00FE2273">
      <w:pPr>
        <w:pStyle w:val="Text1"/>
        <w:rPr>
          <w:noProof/>
        </w:rPr>
      </w:pPr>
      <w:r w:rsidRPr="008B17C0">
        <w:rPr>
          <w:noProof/>
        </w:rPr>
        <w:t>Eurojust kan fortsat behandle de operationelle personoplysninger, der er omhandlet i første afsnit, litra a), også efter at sagen er afsluttet i henhold til den berørte medlemsstats nationale ret, selv i tilfælde af frifindelse. Hvis sagen ikke har ført til domfældelse, må behandlingen af personoplysninger kun finde sted for at identificere forbindelser til andre igangværende eller afsluttede efterforskninger og retsforfølgninger som omhandlet i artikel 23, stk. 2, litra c)."</w:t>
      </w:r>
    </w:p>
    <w:p w14:paraId="338C751A" w14:textId="622B0D72" w:rsidR="00AB63ED" w:rsidRPr="008B17C0" w:rsidRDefault="003433F5" w:rsidP="003433F5">
      <w:pPr>
        <w:pStyle w:val="Point0"/>
        <w:rPr>
          <w:noProof/>
        </w:rPr>
      </w:pPr>
      <w:r w:rsidRPr="003433F5">
        <w:t>(8)</w:t>
      </w:r>
      <w:r w:rsidRPr="003433F5">
        <w:tab/>
      </w:r>
      <w:r w:rsidR="00E11514" w:rsidRPr="008B17C0">
        <w:rPr>
          <w:noProof/>
        </w:rPr>
        <w:t>I artikel 29 foretages følgende ændringer:</w:t>
      </w:r>
    </w:p>
    <w:p w14:paraId="2E753D37" w14:textId="0476F1E8" w:rsidR="00AF46FC" w:rsidRPr="008B17C0" w:rsidRDefault="003433F5" w:rsidP="003433F5">
      <w:pPr>
        <w:pStyle w:val="Point1"/>
        <w:rPr>
          <w:noProof/>
        </w:rPr>
      </w:pPr>
      <w:r w:rsidRPr="003433F5">
        <w:t>(a)</w:t>
      </w:r>
      <w:r w:rsidRPr="003433F5">
        <w:tab/>
      </w:r>
      <w:r w:rsidR="00AF46FC" w:rsidRPr="008B17C0">
        <w:rPr>
          <w:noProof/>
        </w:rPr>
        <w:t>Følgende stk. 1a indsættes:</w:t>
      </w:r>
    </w:p>
    <w:p w14:paraId="62BA277E" w14:textId="3FA9A235" w:rsidR="00AF46FC" w:rsidRPr="008B17C0" w:rsidRDefault="00AF46FC" w:rsidP="00197F34">
      <w:pPr>
        <w:pStyle w:val="Text1"/>
        <w:rPr>
          <w:noProof/>
        </w:rPr>
      </w:pPr>
      <w:r w:rsidRPr="008B17C0">
        <w:rPr>
          <w:noProof/>
        </w:rPr>
        <w:t>"1a. Eurojust må ikke opbevare operationelle personoplysninger, der fremsendes i overensstemmelse med artikel 21a, længere end indtil den første af følgende datoer:</w:t>
      </w:r>
    </w:p>
    <w:p w14:paraId="1A89F5AD" w14:textId="6CD6B8A8" w:rsidR="00AF46FC" w:rsidRPr="008B17C0" w:rsidRDefault="003433F5" w:rsidP="003433F5">
      <w:pPr>
        <w:pStyle w:val="Point2"/>
        <w:rPr>
          <w:noProof/>
        </w:rPr>
      </w:pPr>
      <w:r w:rsidRPr="003433F5">
        <w:t>(a)</w:t>
      </w:r>
      <w:r w:rsidRPr="003433F5">
        <w:tab/>
      </w:r>
      <w:r w:rsidR="00AF46FC" w:rsidRPr="008B17C0">
        <w:rPr>
          <w:noProof/>
        </w:rPr>
        <w:t>datoen for udløbet af forældelsesfristen for påtale i alle de medlemsstater, der er berørt af efterforskningen og retsforfølgningen</w:t>
      </w:r>
    </w:p>
    <w:p w14:paraId="39A2ACB7" w14:textId="00B64DE3" w:rsidR="00AF46FC" w:rsidRPr="008B17C0" w:rsidRDefault="003433F5" w:rsidP="003433F5">
      <w:pPr>
        <w:pStyle w:val="Point2"/>
        <w:rPr>
          <w:noProof/>
        </w:rPr>
      </w:pPr>
      <w:r w:rsidRPr="003433F5">
        <w:t>(b)</w:t>
      </w:r>
      <w:r w:rsidRPr="003433F5">
        <w:tab/>
      </w:r>
      <w:r w:rsidR="00AF46FC" w:rsidRPr="008B17C0">
        <w:rPr>
          <w:noProof/>
        </w:rPr>
        <w:t>fem år efter den dato, hvor retsafgørelsen har fået retskraft i den sidste af de medlemsstater, der er berørt af efterforskningen og retsforfølgningen, tre år i tilfælde af frifindelse."</w:t>
      </w:r>
    </w:p>
    <w:p w14:paraId="30C8AB2B" w14:textId="41C0136F" w:rsidR="00AF46FC" w:rsidRPr="008B17C0" w:rsidRDefault="003433F5" w:rsidP="003433F5">
      <w:pPr>
        <w:pStyle w:val="Point1"/>
        <w:rPr>
          <w:noProof/>
        </w:rPr>
      </w:pPr>
      <w:r w:rsidRPr="003433F5">
        <w:t>(b)</w:t>
      </w:r>
      <w:r w:rsidRPr="003433F5">
        <w:tab/>
      </w:r>
      <w:r w:rsidR="00AF46FC" w:rsidRPr="008B17C0">
        <w:rPr>
          <w:noProof/>
        </w:rPr>
        <w:t>Stk. 2 og 3 affattes således:</w:t>
      </w:r>
    </w:p>
    <w:p w14:paraId="260AC566" w14:textId="3C621E04" w:rsidR="00F029EC" w:rsidRPr="008B17C0" w:rsidRDefault="00AF46FC" w:rsidP="160710AA">
      <w:pPr>
        <w:pStyle w:val="Text1"/>
        <w:rPr>
          <w:noProof/>
        </w:rPr>
      </w:pPr>
      <w:r w:rsidRPr="008B17C0">
        <w:rPr>
          <w:noProof/>
        </w:rPr>
        <w:t xml:space="preserve">"2. Overholdelsen af de i nærværende artikels stk. 1 og 1a omhandlede frister for opbevaring kontrolleres løbende ved hjælp af hensigtsmæssig elektronisk databehandling udført af Eurojust, navnlig fra det tidspunkt, hvor Eurojust ophører med at yde støtte. </w:t>
      </w:r>
    </w:p>
    <w:p w14:paraId="43D2DBDB" w14:textId="77777777" w:rsidR="00F029EC" w:rsidRPr="008B17C0" w:rsidRDefault="00AF46FC" w:rsidP="160710AA">
      <w:pPr>
        <w:pStyle w:val="Text1"/>
        <w:rPr>
          <w:noProof/>
        </w:rPr>
      </w:pPr>
      <w:r w:rsidRPr="008B17C0">
        <w:rPr>
          <w:noProof/>
        </w:rPr>
        <w:t xml:space="preserve">Endvidere vurderes det hvert tredje år efter indlæsningen, om det fortsat er nødvendigt at opbevare oplysningerne. </w:t>
      </w:r>
    </w:p>
    <w:p w14:paraId="1D5B5D6D" w14:textId="1B264729" w:rsidR="00AF46FC" w:rsidRPr="008B17C0" w:rsidRDefault="00AF46FC" w:rsidP="00BE7C1D">
      <w:pPr>
        <w:pStyle w:val="Text1"/>
        <w:rPr>
          <w:noProof/>
        </w:rPr>
      </w:pPr>
      <w:r w:rsidRPr="008B17C0">
        <w:rPr>
          <w:noProof/>
        </w:rPr>
        <w:t>Hvis operationelle personoplysninger som omhandlet i artikel 27, stk. 4, opbevares i en længere periode end fem år, skal EDPS underrettes herom.</w:t>
      </w:r>
    </w:p>
    <w:p w14:paraId="67D82DBD" w14:textId="525CC0FF" w:rsidR="00F029EC" w:rsidRPr="008B17C0" w:rsidRDefault="00AF46FC" w:rsidP="160710AA">
      <w:pPr>
        <w:pStyle w:val="Text1"/>
        <w:rPr>
          <w:noProof/>
        </w:rPr>
      </w:pPr>
      <w:r w:rsidRPr="008B17C0">
        <w:rPr>
          <w:noProof/>
        </w:rPr>
        <w:t xml:space="preserve">3. Inden en af de i stk. 1 og 1a omhandlede frister udløber, foretager Eurojust en vurdering af, om det fortsat er nødvendigt at opbevare de operationelle personoplysninger, hvor og så længe det er nødvendigt for, at det kan udføre sine opgaver. </w:t>
      </w:r>
    </w:p>
    <w:p w14:paraId="5D85FC9F" w14:textId="4B64CAA2" w:rsidR="00AB63ED" w:rsidRPr="008B17C0" w:rsidRDefault="00AF46FC" w:rsidP="006A0D14">
      <w:pPr>
        <w:pStyle w:val="Text1"/>
        <w:rPr>
          <w:noProof/>
        </w:rPr>
      </w:pPr>
      <w:r w:rsidRPr="008B17C0">
        <w:rPr>
          <w:noProof/>
        </w:rPr>
        <w:t>Eurojust kan undtagelsesvis beslutte at opbevare oplysningerne, indtil den næste vurdering skal foretages. Det skal angives, hvorfor en fortsat opbevaring heraf er berettiget, og begrundelsen herfor skal registreres. Hvis der ikke på tidspunktet for vurderingen træffes beslutning om fortsat at opbevare de operationelle personoplysninger, skal disse oplysninger slettes automatisk."</w:t>
      </w:r>
    </w:p>
    <w:p w14:paraId="783950D3" w14:textId="7C00B22B" w:rsidR="00AB63ED" w:rsidRPr="008B17C0" w:rsidRDefault="003433F5" w:rsidP="003433F5">
      <w:pPr>
        <w:pStyle w:val="Point0"/>
        <w:rPr>
          <w:noProof/>
        </w:rPr>
      </w:pPr>
      <w:r w:rsidRPr="003433F5">
        <w:t>(9)</w:t>
      </w:r>
      <w:r w:rsidRPr="003433F5">
        <w:tab/>
      </w:r>
      <w:r w:rsidR="00F029EC" w:rsidRPr="008B17C0">
        <w:rPr>
          <w:noProof/>
        </w:rPr>
        <w:t>I afdeling III indsættes som artikel 54a:</w:t>
      </w:r>
    </w:p>
    <w:p w14:paraId="49DEB287" w14:textId="72A67A76" w:rsidR="00AF46FC" w:rsidRPr="008B17C0" w:rsidRDefault="00AF46FC" w:rsidP="00BE7C1D">
      <w:pPr>
        <w:jc w:val="center"/>
        <w:rPr>
          <w:noProof/>
        </w:rPr>
      </w:pPr>
      <w:r w:rsidRPr="008B17C0">
        <w:rPr>
          <w:i/>
          <w:noProof/>
        </w:rPr>
        <w:t>"Artikel 54a</w:t>
      </w:r>
    </w:p>
    <w:p w14:paraId="7F73B2E4" w14:textId="75B4C42F" w:rsidR="00AF46FC" w:rsidRPr="008B17C0" w:rsidRDefault="00AF46FC" w:rsidP="00BE7C1D">
      <w:pPr>
        <w:jc w:val="center"/>
        <w:rPr>
          <w:b/>
          <w:noProof/>
        </w:rPr>
      </w:pPr>
      <w:r w:rsidRPr="008B17C0">
        <w:rPr>
          <w:b/>
          <w:noProof/>
        </w:rPr>
        <w:t>Forbindelsesanklagere fra tredjelande</w:t>
      </w:r>
    </w:p>
    <w:p w14:paraId="14A2CA78" w14:textId="702CA69C" w:rsidR="00AF46FC" w:rsidRPr="008B17C0" w:rsidRDefault="003433F5" w:rsidP="003433F5">
      <w:pPr>
        <w:pStyle w:val="ManualNumPar1"/>
        <w:rPr>
          <w:noProof/>
        </w:rPr>
      </w:pPr>
      <w:r w:rsidRPr="003433F5">
        <w:t>1.</w:t>
      </w:r>
      <w:r w:rsidRPr="003433F5">
        <w:tab/>
      </w:r>
      <w:r w:rsidR="00AF46FC" w:rsidRPr="008B17C0">
        <w:rPr>
          <w:noProof/>
        </w:rPr>
        <w:t>En forbindelsesanklager fra et tredjeland kan udstationeres i Eurojust på grundlag af en samarbejdsaftale, der er indgået inden den 12. december 2019 mellem Eurojust og det pågældende tredjeland, eller en international aftale mellem Unionen og tredjelandet i henhold til artikel 218 i TEUF, der giver mulighed for udstationering af en forbindelsesanklager.</w:t>
      </w:r>
    </w:p>
    <w:p w14:paraId="443E17F7" w14:textId="7822F562" w:rsidR="00AF46FC" w:rsidRPr="008B17C0" w:rsidRDefault="003433F5" w:rsidP="003433F5">
      <w:pPr>
        <w:pStyle w:val="ManualNumPar1"/>
        <w:rPr>
          <w:noProof/>
        </w:rPr>
      </w:pPr>
      <w:r w:rsidRPr="003433F5">
        <w:t>2.</w:t>
      </w:r>
      <w:r w:rsidRPr="003433F5">
        <w:tab/>
      </w:r>
      <w:r w:rsidR="00AF46FC" w:rsidRPr="008B17C0">
        <w:rPr>
          <w:noProof/>
        </w:rPr>
        <w:t>Forbindelsesanklagerens rettigheder og forpligtelser fastsættes i den samarbejdsaftale eller internationale aftale, der er omhandlet i stk. 1, eller i den samarbejdsordning, der indgås i overensstemmelse med artikel 47, stk. 3.</w:t>
      </w:r>
    </w:p>
    <w:p w14:paraId="3A8318D9" w14:textId="108FCFC8" w:rsidR="00100645" w:rsidRPr="008B17C0" w:rsidRDefault="003433F5" w:rsidP="003433F5">
      <w:pPr>
        <w:pStyle w:val="ManualNumPar1"/>
        <w:rPr>
          <w:noProof/>
        </w:rPr>
      </w:pPr>
      <w:r w:rsidRPr="003433F5">
        <w:t>3.</w:t>
      </w:r>
      <w:r w:rsidRPr="003433F5">
        <w:tab/>
      </w:r>
      <w:r w:rsidR="00AF46FC" w:rsidRPr="008B17C0">
        <w:rPr>
          <w:noProof/>
        </w:rPr>
        <w:t xml:space="preserve">Forbindelsesanklagere udstationeret i Eurojust får adgang til sagsforvaltningssystemet med henblik på sikker udveksling af oplysninger. </w:t>
      </w:r>
    </w:p>
    <w:p w14:paraId="0D13A4DB" w14:textId="1B87FE0D" w:rsidR="00100645" w:rsidRPr="008B17C0" w:rsidRDefault="00040C7C" w:rsidP="00197F34">
      <w:pPr>
        <w:pStyle w:val="Text1"/>
        <w:rPr>
          <w:noProof/>
          <w:szCs w:val="24"/>
        </w:rPr>
      </w:pPr>
      <w:r w:rsidRPr="008B17C0">
        <w:rPr>
          <w:noProof/>
        </w:rPr>
        <w:t xml:space="preserve">Videregivelse af operationelle personoplysninger til forbindelsesanklagere fra tredjelande via sagsforvaltningssystemet må kun finde sted i henhold til de regler og betingelser, der er fastsat i denne forordning, aftalen med det pågældende land eller andre gældende retsakter. </w:t>
      </w:r>
    </w:p>
    <w:p w14:paraId="3E285C5F" w14:textId="26CF3EBB" w:rsidR="00100645" w:rsidRPr="008B17C0" w:rsidRDefault="00AF46FC" w:rsidP="00197F34">
      <w:pPr>
        <w:pStyle w:val="Text1"/>
        <w:rPr>
          <w:noProof/>
        </w:rPr>
      </w:pPr>
      <w:r w:rsidRPr="008B17C0">
        <w:rPr>
          <w:noProof/>
        </w:rPr>
        <w:t xml:space="preserve">Artikel 24, stk. 1, andet punktum, og artikel 24, stk. 2, finder tilsvarende anvendelse på forbindelsesanklagere. </w:t>
      </w:r>
    </w:p>
    <w:p w14:paraId="63AEAB83" w14:textId="4134614C" w:rsidR="0083191B" w:rsidRPr="008B17C0" w:rsidRDefault="00AF46FC" w:rsidP="00197F34">
      <w:pPr>
        <w:pStyle w:val="Text1"/>
        <w:rPr>
          <w:noProof/>
        </w:rPr>
      </w:pPr>
      <w:r w:rsidRPr="008B17C0">
        <w:rPr>
          <w:noProof/>
        </w:rPr>
        <w:t>Kollegiet fastsætter de nærmere betingelser for adgang."</w:t>
      </w:r>
    </w:p>
    <w:p w14:paraId="7D36A68A" w14:textId="4119A9B1" w:rsidR="00100645" w:rsidRPr="008B17C0" w:rsidRDefault="003433F5" w:rsidP="003433F5">
      <w:pPr>
        <w:pStyle w:val="Point0"/>
        <w:rPr>
          <w:noProof/>
        </w:rPr>
      </w:pPr>
      <w:r w:rsidRPr="003433F5">
        <w:t>(10)</w:t>
      </w:r>
      <w:r w:rsidRPr="003433F5">
        <w:tab/>
      </w:r>
      <w:r w:rsidR="00100645" w:rsidRPr="008B17C0">
        <w:rPr>
          <w:noProof/>
        </w:rPr>
        <w:t>I artikel 80 tilføjes som stk. 8, 9 og 10:</w:t>
      </w:r>
    </w:p>
    <w:p w14:paraId="12A74771" w14:textId="494CD8B9" w:rsidR="00100645" w:rsidRPr="008B17C0" w:rsidRDefault="00100645" w:rsidP="00197F34">
      <w:pPr>
        <w:pStyle w:val="Text1"/>
        <w:rPr>
          <w:noProof/>
        </w:rPr>
      </w:pPr>
      <w:r w:rsidRPr="008B17C0">
        <w:rPr>
          <w:noProof/>
        </w:rPr>
        <w:t>"8. Eurojust kan fortsat anvende sagsforvaltningssystemet bestående af midlertidige elektroniske sagsmapper og en fortegnelse indtil [</w:t>
      </w:r>
      <w:r w:rsidRPr="008B17C0">
        <w:rPr>
          <w:i/>
          <w:noProof/>
        </w:rPr>
        <w:t>den første dag i måneden efter perioden på to år efter vedtagelsen af denne forordning</w:t>
      </w:r>
      <w:r w:rsidRPr="008B17C0">
        <w:rPr>
          <w:noProof/>
        </w:rPr>
        <w:t>], hvis det nye sagsforvaltningssystem endnu ikke er på plads.</w:t>
      </w:r>
    </w:p>
    <w:p w14:paraId="6EDFD07F" w14:textId="71BBC263" w:rsidR="00100645" w:rsidRPr="008B17C0" w:rsidRDefault="00100645" w:rsidP="00197F34">
      <w:pPr>
        <w:pStyle w:val="Text1"/>
        <w:rPr>
          <w:noProof/>
        </w:rPr>
      </w:pPr>
      <w:r w:rsidRPr="008B17C0">
        <w:rPr>
          <w:noProof/>
        </w:rPr>
        <w:t>9. De kompetente myndigheder og Eurojust kan fortsat anvende andre kommunikationskanaler end dem, der er omhandlet i artikel 22a, stk. 1, indtil [</w:t>
      </w:r>
      <w:r w:rsidRPr="008B17C0">
        <w:rPr>
          <w:i/>
          <w:noProof/>
        </w:rPr>
        <w:t>den første dag i måneden efter perioden på to år efter vedtagelsen af den gennemførelsesretsakt, der er omhandlet i artikel 22b i denne forordning</w:t>
      </w:r>
      <w:r w:rsidRPr="008B17C0">
        <w:rPr>
          <w:noProof/>
        </w:rPr>
        <w:t>], hvis disse kommunikationskanaler endnu ikke er tilgængelige for direkte udveksling mellem myndighederne og Eurojust.</w:t>
      </w:r>
    </w:p>
    <w:p w14:paraId="1BA512F1" w14:textId="3DCA5CAE" w:rsidR="00100645" w:rsidRPr="008B17C0" w:rsidRDefault="00100645" w:rsidP="00197F34">
      <w:pPr>
        <w:pStyle w:val="Text1"/>
        <w:rPr>
          <w:noProof/>
        </w:rPr>
      </w:pPr>
      <w:r w:rsidRPr="008B17C0">
        <w:rPr>
          <w:noProof/>
        </w:rPr>
        <w:t>10. De kompetente myndigheder kan fortsat fremsende oplysninger på andre måder end halvautomatisk i overensstemmelse med artikel 22a, stk. 3, indtil [</w:t>
      </w:r>
      <w:r w:rsidRPr="008B17C0">
        <w:rPr>
          <w:i/>
          <w:noProof/>
        </w:rPr>
        <w:t>den første dag i måneden efter perioden på to år efter vedtagelsen af den gennemførelsesretsakt, der er omhandlet i artikel 22b i denne forordning</w:t>
      </w:r>
      <w:r w:rsidRPr="008B17C0">
        <w:rPr>
          <w:noProof/>
        </w:rPr>
        <w:t>], hvis de tekniske krav endnu ikke er på plads."</w:t>
      </w:r>
    </w:p>
    <w:p w14:paraId="41FC739B" w14:textId="506B57F1" w:rsidR="00E11514" w:rsidRPr="008B17C0" w:rsidRDefault="003433F5" w:rsidP="003433F5">
      <w:pPr>
        <w:pStyle w:val="Point0"/>
        <w:rPr>
          <w:noProof/>
        </w:rPr>
      </w:pPr>
      <w:r w:rsidRPr="003433F5">
        <w:t>(11)</w:t>
      </w:r>
      <w:r w:rsidRPr="003433F5">
        <w:tab/>
      </w:r>
      <w:r w:rsidR="00E11514" w:rsidRPr="008B17C0">
        <w:rPr>
          <w:noProof/>
        </w:rPr>
        <w:t>Følgende indsættes som bilag III:</w:t>
      </w:r>
    </w:p>
    <w:p w14:paraId="0CEBE258" w14:textId="66E2316F" w:rsidR="007B26CA" w:rsidRPr="008B17C0" w:rsidRDefault="00AF46FC" w:rsidP="160710AA">
      <w:pPr>
        <w:rPr>
          <w:noProof/>
          <w:szCs w:val="24"/>
        </w:rPr>
      </w:pPr>
      <w:r w:rsidRPr="008B17C0">
        <w:rPr>
          <w:noProof/>
        </w:rPr>
        <w:t>"Bilag III:</w:t>
      </w:r>
    </w:p>
    <w:p w14:paraId="50570610" w14:textId="19F468F6" w:rsidR="00AF46FC" w:rsidRPr="008B17C0" w:rsidRDefault="003433F5" w:rsidP="003433F5">
      <w:pPr>
        <w:pStyle w:val="Point0"/>
        <w:rPr>
          <w:noProof/>
        </w:rPr>
      </w:pPr>
      <w:r w:rsidRPr="003433F5">
        <w:t>(a)</w:t>
      </w:r>
      <w:r w:rsidRPr="003433F5">
        <w:tab/>
      </w:r>
      <w:r w:rsidR="00E81631" w:rsidRPr="008B17C0">
        <w:rPr>
          <w:noProof/>
        </w:rPr>
        <w:t xml:space="preserve">oplysninger til identifikation af den mistænkte, tiltalte, domfældte eller frikendte person: </w:t>
      </w:r>
    </w:p>
    <w:p w14:paraId="35906137" w14:textId="2F09E77A" w:rsidR="003C2FC0" w:rsidRPr="008B17C0" w:rsidRDefault="00AF46FC" w:rsidP="00221FF8">
      <w:pPr>
        <w:pStyle w:val="Tiret1"/>
        <w:numPr>
          <w:ilvl w:val="0"/>
          <w:numId w:val="19"/>
        </w:numPr>
        <w:rPr>
          <w:noProof/>
        </w:rPr>
      </w:pPr>
      <w:r w:rsidRPr="008B17C0">
        <w:rPr>
          <w:noProof/>
        </w:rPr>
        <w:t>efternavn (familienavn)</w:t>
      </w:r>
    </w:p>
    <w:p w14:paraId="7EEE46CE" w14:textId="2A01F76F" w:rsidR="003C2FC0" w:rsidRPr="008B17C0" w:rsidRDefault="00AF46FC" w:rsidP="7CC317AF">
      <w:pPr>
        <w:pStyle w:val="Tiret1"/>
        <w:rPr>
          <w:noProof/>
        </w:rPr>
      </w:pPr>
      <w:r w:rsidRPr="008B17C0">
        <w:rPr>
          <w:noProof/>
        </w:rPr>
        <w:t>fornavne (fornavn, kaldenavn)</w:t>
      </w:r>
    </w:p>
    <w:p w14:paraId="161F4626" w14:textId="287E1513" w:rsidR="003C2FC0" w:rsidRPr="008B17C0" w:rsidRDefault="00AF46FC" w:rsidP="7CC317AF">
      <w:pPr>
        <w:pStyle w:val="Tiret1"/>
        <w:rPr>
          <w:noProof/>
        </w:rPr>
      </w:pPr>
      <w:r w:rsidRPr="008B17C0">
        <w:rPr>
          <w:noProof/>
        </w:rPr>
        <w:t>fødselsdato</w:t>
      </w:r>
    </w:p>
    <w:p w14:paraId="48D2D647" w14:textId="07FB32C7" w:rsidR="003C2FC0" w:rsidRPr="008B17C0" w:rsidRDefault="00AF46FC" w:rsidP="7CC317AF">
      <w:pPr>
        <w:pStyle w:val="Tiret1"/>
        <w:rPr>
          <w:noProof/>
        </w:rPr>
      </w:pPr>
      <w:r w:rsidRPr="008B17C0">
        <w:rPr>
          <w:noProof/>
        </w:rPr>
        <w:t>fødested (by og land)</w:t>
      </w:r>
    </w:p>
    <w:p w14:paraId="5B733DA7" w14:textId="4AD7AA99" w:rsidR="003C2FC0" w:rsidRPr="008B17C0" w:rsidRDefault="00AF46FC" w:rsidP="7CC317AF">
      <w:pPr>
        <w:pStyle w:val="Tiret1"/>
        <w:rPr>
          <w:noProof/>
        </w:rPr>
      </w:pPr>
      <w:r w:rsidRPr="008B17C0">
        <w:rPr>
          <w:noProof/>
        </w:rPr>
        <w:t>nationalitet(er)</w:t>
      </w:r>
    </w:p>
    <w:p w14:paraId="6F112407" w14:textId="77777777" w:rsidR="003C2FC0" w:rsidRPr="008B17C0" w:rsidRDefault="00AF46FC" w:rsidP="003C2FC0">
      <w:pPr>
        <w:pStyle w:val="Tiret1"/>
        <w:rPr>
          <w:noProof/>
        </w:rPr>
      </w:pPr>
      <w:r w:rsidRPr="008B17C0">
        <w:rPr>
          <w:noProof/>
        </w:rPr>
        <w:t>identifikationsdokument</w:t>
      </w:r>
    </w:p>
    <w:p w14:paraId="7FA0241D" w14:textId="77777777" w:rsidR="00AF46FC" w:rsidRPr="008B17C0" w:rsidRDefault="00AF46FC" w:rsidP="003C2FC0">
      <w:pPr>
        <w:pStyle w:val="Tiret1"/>
        <w:rPr>
          <w:noProof/>
        </w:rPr>
      </w:pPr>
      <w:r w:rsidRPr="008B17C0">
        <w:rPr>
          <w:noProof/>
        </w:rPr>
        <w:t>køn</w:t>
      </w:r>
    </w:p>
    <w:p w14:paraId="3D966B3D" w14:textId="306B2843" w:rsidR="007B26CA" w:rsidRPr="008B17C0" w:rsidRDefault="003433F5" w:rsidP="003433F5">
      <w:pPr>
        <w:pStyle w:val="Point0"/>
        <w:rPr>
          <w:noProof/>
        </w:rPr>
      </w:pPr>
      <w:r w:rsidRPr="003433F5">
        <w:t>(b)</w:t>
      </w:r>
      <w:r w:rsidRPr="003433F5">
        <w:tab/>
      </w:r>
      <w:r w:rsidR="00E81631" w:rsidRPr="008B17C0">
        <w:rPr>
          <w:noProof/>
        </w:rPr>
        <w:t>oplysninger om terrorhandlingen:</w:t>
      </w:r>
    </w:p>
    <w:p w14:paraId="4E9CE2FE" w14:textId="0582F476" w:rsidR="007B26CA" w:rsidRPr="008B17C0" w:rsidRDefault="00E81631" w:rsidP="7CC317AF">
      <w:pPr>
        <w:pStyle w:val="Tiret1"/>
        <w:rPr>
          <w:noProof/>
        </w:rPr>
      </w:pPr>
      <w:r w:rsidRPr="008B17C0">
        <w:rPr>
          <w:noProof/>
        </w:rPr>
        <w:t>juridisk betegnelse for lovovertrædelsen i henhold til national ret</w:t>
      </w:r>
    </w:p>
    <w:p w14:paraId="73BD1053" w14:textId="5A7477D3" w:rsidR="007B26CA" w:rsidRPr="008B17C0" w:rsidRDefault="00E81631" w:rsidP="7CC317AF">
      <w:pPr>
        <w:pStyle w:val="Tiret1"/>
        <w:rPr>
          <w:noProof/>
        </w:rPr>
      </w:pPr>
      <w:r w:rsidRPr="008B17C0">
        <w:rPr>
          <w:noProof/>
        </w:rPr>
        <w:t>den relevante form for grov kriminalitet fra listen i bilag I</w:t>
      </w:r>
    </w:p>
    <w:p w14:paraId="37282921" w14:textId="4125C7DF" w:rsidR="007B26CA" w:rsidRPr="008B17C0" w:rsidRDefault="007B26CA" w:rsidP="7CC317AF">
      <w:pPr>
        <w:pStyle w:val="Tiret1"/>
        <w:rPr>
          <w:noProof/>
        </w:rPr>
      </w:pPr>
      <w:r w:rsidRPr="008B17C0">
        <w:rPr>
          <w:noProof/>
        </w:rPr>
        <w:t>tilknytning til terrorgruppe</w:t>
      </w:r>
    </w:p>
    <w:p w14:paraId="0261B118" w14:textId="5DC50310" w:rsidR="0083191B" w:rsidRPr="008B17C0" w:rsidRDefault="007B26CA" w:rsidP="160710AA">
      <w:pPr>
        <w:pStyle w:val="Tiret1"/>
        <w:rPr>
          <w:noProof/>
        </w:rPr>
      </w:pPr>
      <w:r w:rsidRPr="008B17C0">
        <w:rPr>
          <w:noProof/>
        </w:rPr>
        <w:t>terrorismens art, f.eks. jihadisme, separatisme, venstre- og højreterrorisme</w:t>
      </w:r>
    </w:p>
    <w:p w14:paraId="73A4684F" w14:textId="6A136436" w:rsidR="0083191B" w:rsidRPr="008B17C0" w:rsidRDefault="007B26CA" w:rsidP="160710AA">
      <w:pPr>
        <w:pStyle w:val="Tiret1"/>
        <w:rPr>
          <w:noProof/>
        </w:rPr>
      </w:pPr>
      <w:r w:rsidRPr="008B17C0">
        <w:rPr>
          <w:noProof/>
        </w:rPr>
        <w:t>et kort resumé af sagen</w:t>
      </w:r>
    </w:p>
    <w:p w14:paraId="1B1BE06A" w14:textId="5EB066F8" w:rsidR="007B26CA" w:rsidRPr="008B17C0" w:rsidRDefault="003433F5" w:rsidP="003433F5">
      <w:pPr>
        <w:pStyle w:val="Point0"/>
        <w:rPr>
          <w:noProof/>
        </w:rPr>
      </w:pPr>
      <w:r w:rsidRPr="003433F5">
        <w:t>(c)</w:t>
      </w:r>
      <w:r w:rsidRPr="003433F5">
        <w:tab/>
      </w:r>
      <w:r w:rsidR="00FC6272" w:rsidRPr="008B17C0">
        <w:rPr>
          <w:noProof/>
        </w:rPr>
        <w:t>oplysninger om de nationale retssager:</w:t>
      </w:r>
    </w:p>
    <w:p w14:paraId="177CF9CF" w14:textId="475EBF34" w:rsidR="007B26CA" w:rsidRPr="008B17C0" w:rsidRDefault="007B26CA" w:rsidP="7CC317AF">
      <w:pPr>
        <w:pStyle w:val="Tiret1"/>
        <w:rPr>
          <w:noProof/>
        </w:rPr>
      </w:pPr>
      <w:r w:rsidRPr="008B17C0">
        <w:rPr>
          <w:noProof/>
        </w:rPr>
        <w:t>status for den nationale retssag</w:t>
      </w:r>
    </w:p>
    <w:p w14:paraId="30882FA0" w14:textId="18DA1991" w:rsidR="007B26CA" w:rsidRPr="008B17C0" w:rsidRDefault="007B26CA" w:rsidP="7CC317AF">
      <w:pPr>
        <w:pStyle w:val="Tiret1"/>
        <w:rPr>
          <w:noProof/>
        </w:rPr>
      </w:pPr>
      <w:r w:rsidRPr="008B17C0">
        <w:rPr>
          <w:noProof/>
        </w:rPr>
        <w:t>den ansvarlige offentlige anklagemyndighed</w:t>
      </w:r>
    </w:p>
    <w:p w14:paraId="7397D427" w14:textId="021383D4" w:rsidR="007B26CA" w:rsidRPr="008B17C0" w:rsidRDefault="007B26CA" w:rsidP="7CC317AF">
      <w:pPr>
        <w:pStyle w:val="Tiret1"/>
        <w:rPr>
          <w:noProof/>
        </w:rPr>
      </w:pPr>
      <w:r w:rsidRPr="008B17C0">
        <w:rPr>
          <w:noProof/>
        </w:rPr>
        <w:t>sagsnummer</w:t>
      </w:r>
    </w:p>
    <w:p w14:paraId="22B2E3DD" w14:textId="27495738" w:rsidR="007B26CA" w:rsidRPr="008B17C0" w:rsidRDefault="007B26CA" w:rsidP="160710AA">
      <w:pPr>
        <w:pStyle w:val="Tiret1"/>
        <w:rPr>
          <w:noProof/>
        </w:rPr>
      </w:pPr>
      <w:r w:rsidRPr="008B17C0">
        <w:rPr>
          <w:noProof/>
        </w:rPr>
        <w:t>dato for indledning af formelle retssager</w:t>
      </w:r>
    </w:p>
    <w:p w14:paraId="738297D0" w14:textId="386577A9" w:rsidR="0083191B" w:rsidRPr="008B17C0" w:rsidRDefault="0083191B" w:rsidP="160710AA">
      <w:pPr>
        <w:pStyle w:val="Tiret1"/>
        <w:rPr>
          <w:noProof/>
        </w:rPr>
      </w:pPr>
      <w:r w:rsidRPr="008B17C0">
        <w:rPr>
          <w:noProof/>
        </w:rPr>
        <w:t>forbindelser til andre relevante sager</w:t>
      </w:r>
    </w:p>
    <w:p w14:paraId="7A5AF366" w14:textId="6DE0A896" w:rsidR="00AF46FC" w:rsidRPr="008B17C0" w:rsidRDefault="003433F5" w:rsidP="003433F5">
      <w:pPr>
        <w:pStyle w:val="Point0"/>
        <w:rPr>
          <w:noProof/>
        </w:rPr>
      </w:pPr>
      <w:r w:rsidRPr="003433F5">
        <w:t>(d)</w:t>
      </w:r>
      <w:r w:rsidRPr="003433F5">
        <w:tab/>
      </w:r>
      <w:r w:rsidR="00FC6272" w:rsidRPr="008B17C0">
        <w:rPr>
          <w:noProof/>
        </w:rPr>
        <w:t>oplysninger til identifikation af mistænkte, hvis sådanne foreligger, til de nationale kompetente myndigheder:</w:t>
      </w:r>
    </w:p>
    <w:p w14:paraId="0E387FA0" w14:textId="73485AB3" w:rsidR="00AF46FC" w:rsidRPr="008B17C0" w:rsidRDefault="00AF46FC" w:rsidP="7CC317AF">
      <w:pPr>
        <w:pStyle w:val="Tiret1"/>
        <w:rPr>
          <w:noProof/>
        </w:rPr>
      </w:pPr>
      <w:r w:rsidRPr="008B17C0">
        <w:rPr>
          <w:noProof/>
        </w:rPr>
        <w:t>fingeraftryksoplysninger, der er indsamlet i overensstemmelse med national ret under en straffesag</w:t>
      </w:r>
    </w:p>
    <w:p w14:paraId="0CEF96D7" w14:textId="39CC76B2" w:rsidR="00E11514" w:rsidRPr="008B17C0" w:rsidRDefault="007B26CA" w:rsidP="006A0D14">
      <w:pPr>
        <w:pStyle w:val="Tiret1"/>
        <w:rPr>
          <w:noProof/>
        </w:rPr>
      </w:pPr>
      <w:r w:rsidRPr="008B17C0">
        <w:rPr>
          <w:noProof/>
        </w:rPr>
        <w:t>fotografier."</w:t>
      </w:r>
    </w:p>
    <w:p w14:paraId="5E7A79C4" w14:textId="77777777" w:rsidR="00E11514" w:rsidRPr="008B17C0" w:rsidRDefault="00E11514" w:rsidP="00AB63ED">
      <w:pPr>
        <w:pStyle w:val="Titrearticle"/>
        <w:rPr>
          <w:noProof/>
        </w:rPr>
      </w:pPr>
      <w:r w:rsidRPr="008B17C0">
        <w:rPr>
          <w:noProof/>
        </w:rPr>
        <w:t>Artikel 2</w:t>
      </w:r>
    </w:p>
    <w:p w14:paraId="1B9E2EDE" w14:textId="5CAD947C" w:rsidR="00FD753D" w:rsidRPr="008B17C0" w:rsidRDefault="00FD753D">
      <w:pPr>
        <w:jc w:val="center"/>
        <w:rPr>
          <w:b/>
          <w:bCs/>
          <w:noProof/>
        </w:rPr>
      </w:pPr>
      <w:r w:rsidRPr="008B17C0">
        <w:rPr>
          <w:b/>
          <w:bCs/>
          <w:noProof/>
        </w:rPr>
        <w:t>Ændringer af afgørelse 2005/671/RIA</w:t>
      </w:r>
    </w:p>
    <w:p w14:paraId="1E78CC3F" w14:textId="77777777" w:rsidR="00FD753D" w:rsidRPr="008B17C0" w:rsidRDefault="00FD753D" w:rsidP="160710AA">
      <w:pPr>
        <w:rPr>
          <w:noProof/>
          <w:szCs w:val="24"/>
        </w:rPr>
      </w:pPr>
      <w:r w:rsidRPr="008B17C0">
        <w:rPr>
          <w:noProof/>
        </w:rPr>
        <w:t>I afgørelse 2005/671/RIA foretages følgende ændringer:</w:t>
      </w:r>
    </w:p>
    <w:p w14:paraId="1E805226" w14:textId="3B2DFA1B" w:rsidR="00E81631" w:rsidRPr="008B17C0" w:rsidRDefault="003433F5" w:rsidP="003433F5">
      <w:pPr>
        <w:pStyle w:val="Point0"/>
        <w:rPr>
          <w:noProof/>
        </w:rPr>
      </w:pPr>
      <w:r w:rsidRPr="003433F5">
        <w:t>(1)</w:t>
      </w:r>
      <w:r w:rsidRPr="003433F5">
        <w:tab/>
      </w:r>
      <w:r w:rsidR="00E81631" w:rsidRPr="008B17C0">
        <w:rPr>
          <w:noProof/>
        </w:rPr>
        <w:t>Artikel 1, litra c), udgår.</w:t>
      </w:r>
    </w:p>
    <w:p w14:paraId="5D49B904" w14:textId="1D3FFF33" w:rsidR="00FD753D" w:rsidRPr="008B17C0" w:rsidRDefault="003433F5" w:rsidP="003433F5">
      <w:pPr>
        <w:pStyle w:val="Point0"/>
        <w:rPr>
          <w:noProof/>
        </w:rPr>
      </w:pPr>
      <w:r w:rsidRPr="003433F5">
        <w:t>(2)</w:t>
      </w:r>
      <w:r w:rsidRPr="003433F5">
        <w:tab/>
      </w:r>
      <w:r w:rsidR="00FD753D" w:rsidRPr="008B17C0">
        <w:rPr>
          <w:noProof/>
        </w:rPr>
        <w:t xml:space="preserve">I artikel 2 foretages følgende ændringer: </w:t>
      </w:r>
    </w:p>
    <w:p w14:paraId="704BC776" w14:textId="6B1199A3" w:rsidR="00FD753D" w:rsidRPr="008B17C0" w:rsidRDefault="003433F5" w:rsidP="003433F5">
      <w:pPr>
        <w:pStyle w:val="Point1"/>
        <w:rPr>
          <w:noProof/>
        </w:rPr>
      </w:pPr>
      <w:r w:rsidRPr="003433F5">
        <w:t>(a)</w:t>
      </w:r>
      <w:r w:rsidRPr="003433F5">
        <w:tab/>
      </w:r>
      <w:r w:rsidR="00EF32C4" w:rsidRPr="008B17C0">
        <w:rPr>
          <w:noProof/>
        </w:rPr>
        <w:t>Stk. 2 udgår.</w:t>
      </w:r>
    </w:p>
    <w:p w14:paraId="262FE11F" w14:textId="491CA5CE" w:rsidR="00FD753D" w:rsidRPr="008B17C0" w:rsidRDefault="003433F5" w:rsidP="003433F5">
      <w:pPr>
        <w:pStyle w:val="Point1"/>
        <w:rPr>
          <w:noProof/>
        </w:rPr>
      </w:pPr>
      <w:r w:rsidRPr="003433F5">
        <w:t>(b)</w:t>
      </w:r>
      <w:r w:rsidRPr="003433F5">
        <w:tab/>
      </w:r>
      <w:r w:rsidR="00FD753D" w:rsidRPr="008B17C0">
        <w:rPr>
          <w:noProof/>
        </w:rPr>
        <w:t xml:space="preserve">Stk. 3 affattes således: </w:t>
      </w:r>
    </w:p>
    <w:p w14:paraId="15DC216E" w14:textId="65C9AB74" w:rsidR="00FD753D" w:rsidRPr="008B17C0" w:rsidRDefault="00FD753D" w:rsidP="160710AA">
      <w:pPr>
        <w:pStyle w:val="Text2"/>
        <w:rPr>
          <w:noProof/>
        </w:rPr>
      </w:pPr>
      <w:r w:rsidRPr="008B17C0">
        <w:rPr>
          <w:noProof/>
        </w:rPr>
        <w:t>"3. Hver medlemsstat træffer de nødvendige foranstaltninger for at sikre, at mindst de i stk. 4 anførte oplysninger vedrørende strafferetlig efterforskning af terrorhandlinger, der berører eller kan berøre to eller flere medlemsstater, og som den kompetente myndighed har indsamlet, videregives til Europol i overensstemmelse med national ret og Europa-Parlamentets og Rådets forordning (EU) 2016/794*.</w:t>
      </w:r>
    </w:p>
    <w:p w14:paraId="3948CD5A" w14:textId="77777777" w:rsidR="00942508" w:rsidRPr="008B17C0" w:rsidRDefault="00942508" w:rsidP="160710AA">
      <w:pPr>
        <w:pStyle w:val="Text2"/>
        <w:rPr>
          <w:noProof/>
        </w:rPr>
      </w:pPr>
      <w:r w:rsidRPr="008B17C0">
        <w:rPr>
          <w:noProof/>
        </w:rPr>
        <w:t>_____________</w:t>
      </w:r>
    </w:p>
    <w:p w14:paraId="14EEAD4C" w14:textId="1CF639C8" w:rsidR="00942508" w:rsidRPr="008B17C0" w:rsidRDefault="00942508" w:rsidP="00553E3B">
      <w:pPr>
        <w:pStyle w:val="Text2"/>
        <w:rPr>
          <w:noProof/>
        </w:rPr>
      </w:pPr>
      <w:r w:rsidRPr="008B17C0">
        <w:rPr>
          <w:noProof/>
        </w:rPr>
        <w:t>* Europa-Parlamentets og Rådets forordning (EU) 2016/794 af 11. maj 2016 om Den Europæiske Unions Agentur for Retshåndhævelsessamarbejde (Europol) (EUT L 135 af 24.5.2016, s. 53)."</w:t>
      </w:r>
    </w:p>
    <w:p w14:paraId="07D3AFAC" w14:textId="25159C5F" w:rsidR="00AB63ED" w:rsidRPr="008B17C0" w:rsidRDefault="003433F5" w:rsidP="003433F5">
      <w:pPr>
        <w:pStyle w:val="Point1"/>
        <w:rPr>
          <w:noProof/>
        </w:rPr>
      </w:pPr>
      <w:r w:rsidRPr="003433F5">
        <w:t>(c)</w:t>
      </w:r>
      <w:r w:rsidRPr="003433F5">
        <w:tab/>
      </w:r>
      <w:r w:rsidR="00FD753D" w:rsidRPr="008B17C0">
        <w:rPr>
          <w:noProof/>
        </w:rPr>
        <w:t xml:space="preserve">Stk. 5 udgår. </w:t>
      </w:r>
    </w:p>
    <w:p w14:paraId="58C3FF86" w14:textId="28CE8053" w:rsidR="00FD753D" w:rsidRPr="008B17C0" w:rsidRDefault="00FD753D" w:rsidP="00FD753D">
      <w:pPr>
        <w:pStyle w:val="Titrearticle"/>
        <w:rPr>
          <w:noProof/>
        </w:rPr>
      </w:pPr>
      <w:r w:rsidRPr="008B17C0">
        <w:rPr>
          <w:noProof/>
        </w:rPr>
        <w:t>Artikel 3</w:t>
      </w:r>
    </w:p>
    <w:p w14:paraId="722E982F" w14:textId="151DAD4C" w:rsidR="00FD753D" w:rsidRPr="008B17C0" w:rsidRDefault="00FD753D">
      <w:pPr>
        <w:jc w:val="center"/>
        <w:rPr>
          <w:noProof/>
        </w:rPr>
      </w:pPr>
      <w:r w:rsidRPr="008B17C0">
        <w:rPr>
          <w:b/>
          <w:bCs/>
          <w:noProof/>
        </w:rPr>
        <w:t xml:space="preserve">Ikrafttræden </w:t>
      </w:r>
    </w:p>
    <w:p w14:paraId="0091417C" w14:textId="77777777" w:rsidR="00EB0A3C" w:rsidRPr="008B17C0" w:rsidRDefault="00EB0A3C" w:rsidP="00715ADE">
      <w:pPr>
        <w:rPr>
          <w:noProof/>
        </w:rPr>
      </w:pPr>
      <w:r w:rsidRPr="008B17C0">
        <w:rPr>
          <w:noProof/>
        </w:rPr>
        <w:t xml:space="preserve">Denne forordning træder i kraft på tyvendedagen efter offentliggørelsen i </w:t>
      </w:r>
      <w:r w:rsidRPr="008B17C0">
        <w:rPr>
          <w:i/>
          <w:iCs/>
          <w:noProof/>
        </w:rPr>
        <w:t>Den Europæiske Unions Tidende</w:t>
      </w:r>
      <w:r w:rsidRPr="008B17C0">
        <w:rPr>
          <w:noProof/>
        </w:rPr>
        <w:t>.</w:t>
      </w:r>
    </w:p>
    <w:p w14:paraId="5F89CFA4" w14:textId="77777777" w:rsidR="00E11514" w:rsidRPr="008B17C0" w:rsidRDefault="00EB0A3C" w:rsidP="00E11514">
      <w:pPr>
        <w:pStyle w:val="Applicationdirecte"/>
        <w:rPr>
          <w:noProof/>
        </w:rPr>
      </w:pPr>
      <w:r w:rsidRPr="008B17C0">
        <w:rPr>
          <w:noProof/>
        </w:rPr>
        <w:t>Denne forordning er bindende i alle enkeltheder og gælder umiddelbart i medlemsstaterne i overensstemmelse med traktaterne.</w:t>
      </w:r>
    </w:p>
    <w:p w14:paraId="44EFBD1E" w14:textId="506395F0" w:rsidR="00EB0A3C" w:rsidRPr="008B17C0" w:rsidRDefault="001C7250" w:rsidP="003302AF">
      <w:pPr>
        <w:pStyle w:val="Fait"/>
        <w:rPr>
          <w:noProof/>
        </w:rPr>
      </w:pPr>
      <w:r w:rsidRPr="001C7250">
        <w:t xml:space="preserve">Udfærdiget i Bruxelles, den </w:t>
      </w:r>
      <w:r w:rsidRPr="001C7250">
        <w:rPr>
          <w:rStyle w:val="Marker"/>
        </w:rPr>
        <w:t>[…]</w:t>
      </w:r>
      <w:r w:rsidRPr="001C7250">
        <w:t>.</w:t>
      </w:r>
    </w:p>
    <w:p w14:paraId="3C36F47A" w14:textId="77777777" w:rsidR="00EB0A3C" w:rsidRPr="008B17C0" w:rsidRDefault="00EB0A3C" w:rsidP="003302AF">
      <w:pPr>
        <w:pStyle w:val="Institutionquisigne"/>
        <w:rPr>
          <w:noProof/>
        </w:rPr>
      </w:pPr>
      <w:r w:rsidRPr="008B17C0">
        <w:rPr>
          <w:noProof/>
        </w:rPr>
        <w:t>På Europa-Parlamentets vegne</w:t>
      </w:r>
      <w:r w:rsidRPr="008B17C0">
        <w:rPr>
          <w:noProof/>
        </w:rPr>
        <w:tab/>
        <w:t>På Rådets vegne</w:t>
      </w:r>
    </w:p>
    <w:p w14:paraId="234DB83A" w14:textId="77777777" w:rsidR="00436363" w:rsidRPr="008B17C0" w:rsidRDefault="00CB46BF" w:rsidP="00CB46BF">
      <w:pPr>
        <w:pStyle w:val="Personnequisigne"/>
        <w:rPr>
          <w:noProof/>
        </w:rPr>
        <w:sectPr w:rsidR="00436363" w:rsidRPr="008B17C0" w:rsidSect="00EA3F52">
          <w:pgSz w:w="12240" w:h="15840"/>
          <w:pgMar w:top="794" w:right="1467" w:bottom="851" w:left="1361" w:header="510" w:footer="454" w:gutter="0"/>
          <w:cols w:space="720"/>
          <w:docGrid w:linePitch="326"/>
        </w:sectPr>
      </w:pPr>
      <w:r w:rsidRPr="008B17C0">
        <w:rPr>
          <w:noProof/>
        </w:rPr>
        <w:t>Formand</w:t>
      </w:r>
      <w:r w:rsidRPr="008B17C0">
        <w:rPr>
          <w:noProof/>
        </w:rPr>
        <w:tab/>
        <w:t>Formand</w:t>
      </w:r>
    </w:p>
    <w:p w14:paraId="77A13C9E" w14:textId="77777777" w:rsidR="00436363" w:rsidRPr="008B17C0" w:rsidRDefault="00436363" w:rsidP="00864CD8">
      <w:pPr>
        <w:pStyle w:val="Fichefinanciretitre"/>
        <w:rPr>
          <w:noProof/>
        </w:rPr>
      </w:pPr>
      <w:r w:rsidRPr="008B17C0">
        <w:rPr>
          <w:noProof/>
        </w:rPr>
        <w:t>FINANSIERINGSOVERSIGT</w:t>
      </w:r>
    </w:p>
    <w:p w14:paraId="7F9F7866" w14:textId="77777777" w:rsidR="00B44ABF" w:rsidRPr="008B17C0" w:rsidRDefault="00B44ABF" w:rsidP="00ED2926">
      <w:pPr>
        <w:jc w:val="center"/>
        <w:rPr>
          <w:noProof/>
        </w:rPr>
      </w:pPr>
    </w:p>
    <w:sdt>
      <w:sdtPr>
        <w:rPr>
          <w:b w:val="0"/>
          <w:noProof/>
          <w:sz w:val="24"/>
        </w:rPr>
        <w:id w:val="1751233503"/>
        <w:docPartObj>
          <w:docPartGallery w:val="Table of Contents"/>
          <w:docPartUnique/>
        </w:docPartObj>
      </w:sdtPr>
      <w:sdtEndPr>
        <w:rPr>
          <w:bCs/>
        </w:rPr>
      </w:sdtEndPr>
      <w:sdtContent>
        <w:p w14:paraId="23DADCC3" w14:textId="77777777" w:rsidR="00B44ABF" w:rsidRPr="008B17C0" w:rsidRDefault="00B44ABF" w:rsidP="00B44ABF">
          <w:pPr>
            <w:pStyle w:val="TOCHeading"/>
            <w:rPr>
              <w:b w:val="0"/>
              <w:noProof/>
              <w:sz w:val="24"/>
              <w:szCs w:val="24"/>
            </w:rPr>
          </w:pPr>
          <w:r w:rsidRPr="008B17C0">
            <w:rPr>
              <w:noProof/>
            </w:rPr>
            <w:t>Indholdsfortegnelse</w:t>
          </w:r>
          <w:r w:rsidRPr="008B17C0">
            <w:rPr>
              <w:b w:val="0"/>
              <w:noProof/>
              <w:sz w:val="24"/>
              <w:szCs w:val="24"/>
            </w:rPr>
            <w:fldChar w:fldCharType="begin" w:fldLock="1"/>
          </w:r>
          <w:r w:rsidRPr="008B17C0">
            <w:rPr>
              <w:b w:val="0"/>
              <w:noProof/>
              <w:sz w:val="24"/>
              <w:szCs w:val="24"/>
            </w:rPr>
            <w:instrText xml:space="preserve"> TOC \o "1-3" \h \z \u </w:instrText>
          </w:r>
          <w:r w:rsidRPr="008B17C0">
            <w:rPr>
              <w:b w:val="0"/>
              <w:noProof/>
              <w:sz w:val="24"/>
              <w:szCs w:val="24"/>
            </w:rPr>
            <w:fldChar w:fldCharType="separate"/>
          </w:r>
        </w:p>
        <w:p w14:paraId="1E53FA7C" w14:textId="22512FC4" w:rsidR="00B44ABF" w:rsidRPr="008B17C0" w:rsidRDefault="0007739E" w:rsidP="00B44ABF">
          <w:pPr>
            <w:pStyle w:val="TOC1"/>
            <w:rPr>
              <w:rFonts w:asciiTheme="minorHAnsi" w:eastAsiaTheme="minorEastAsia" w:hAnsiTheme="minorHAnsi" w:cstheme="minorBidi"/>
              <w:noProof/>
              <w:szCs w:val="24"/>
            </w:rPr>
          </w:pPr>
          <w:hyperlink w:anchor="_Toc84517572" w:history="1">
            <w:r w:rsidR="00F707AF" w:rsidRPr="008B17C0">
              <w:rPr>
                <w:rStyle w:val="Hyperlink"/>
                <w:noProof/>
                <w:szCs w:val="24"/>
              </w:rPr>
              <w:t>1.</w:t>
            </w:r>
            <w:r w:rsidR="00F707AF" w:rsidRPr="008B17C0">
              <w:rPr>
                <w:noProof/>
              </w:rPr>
              <w:tab/>
            </w:r>
            <w:r w:rsidR="00F707AF" w:rsidRPr="008B17C0">
              <w:rPr>
                <w:rStyle w:val="Hyperlink"/>
                <w:noProof/>
                <w:szCs w:val="24"/>
              </w:rPr>
              <w:t>FRAMEWORK OF THE PROPOSAL/INITIATIVE</w:t>
            </w:r>
            <w:r w:rsidR="00F707AF" w:rsidRPr="008B17C0">
              <w:rPr>
                <w:noProof/>
              </w:rPr>
              <w:tab/>
            </w:r>
            <w:r w:rsidR="00F707AF" w:rsidRPr="008B17C0">
              <w:rPr>
                <w:noProof/>
                <w:webHidden/>
                <w:szCs w:val="24"/>
              </w:rPr>
              <w:fldChar w:fldCharType="begin" w:fldLock="1"/>
            </w:r>
            <w:r w:rsidR="00F707AF" w:rsidRPr="008B17C0">
              <w:rPr>
                <w:noProof/>
                <w:webHidden/>
                <w:szCs w:val="24"/>
              </w:rPr>
              <w:instrText xml:space="preserve"> PAGEREF _Toc84517572 \h </w:instrText>
            </w:r>
            <w:r w:rsidR="00F707AF" w:rsidRPr="008B17C0">
              <w:rPr>
                <w:noProof/>
                <w:webHidden/>
                <w:szCs w:val="24"/>
              </w:rPr>
            </w:r>
            <w:r w:rsidR="00F707AF" w:rsidRPr="008B17C0">
              <w:rPr>
                <w:noProof/>
                <w:webHidden/>
                <w:szCs w:val="24"/>
              </w:rPr>
              <w:fldChar w:fldCharType="separate"/>
            </w:r>
            <w:r w:rsidR="00F707AF" w:rsidRPr="008B17C0">
              <w:rPr>
                <w:noProof/>
                <w:webHidden/>
                <w:szCs w:val="24"/>
              </w:rPr>
              <w:t>26</w:t>
            </w:r>
            <w:r w:rsidR="00F707AF" w:rsidRPr="008B17C0">
              <w:rPr>
                <w:noProof/>
                <w:webHidden/>
                <w:szCs w:val="24"/>
              </w:rPr>
              <w:fldChar w:fldCharType="end"/>
            </w:r>
          </w:hyperlink>
        </w:p>
        <w:p w14:paraId="16BD3221" w14:textId="7E8DAB33" w:rsidR="00B44ABF" w:rsidRPr="008B17C0" w:rsidRDefault="0007739E" w:rsidP="00B44ABF">
          <w:pPr>
            <w:pStyle w:val="TOC2"/>
            <w:rPr>
              <w:rFonts w:asciiTheme="minorHAnsi" w:eastAsiaTheme="minorEastAsia" w:hAnsiTheme="minorHAnsi" w:cstheme="minorBidi"/>
              <w:noProof/>
              <w:szCs w:val="24"/>
            </w:rPr>
          </w:pPr>
          <w:hyperlink w:anchor="_Toc84517573" w:history="1">
            <w:r w:rsidR="00F707AF" w:rsidRPr="008B17C0">
              <w:rPr>
                <w:rStyle w:val="Hyperlink"/>
                <w:noProof/>
                <w:szCs w:val="24"/>
              </w:rPr>
              <w:t>1.1.</w:t>
            </w:r>
            <w:r w:rsidR="00F707AF" w:rsidRPr="008B17C0">
              <w:rPr>
                <w:noProof/>
              </w:rPr>
              <w:tab/>
            </w:r>
            <w:r w:rsidR="00F707AF" w:rsidRPr="008B17C0">
              <w:rPr>
                <w:rStyle w:val="Hyperlink"/>
                <w:noProof/>
                <w:szCs w:val="24"/>
              </w:rPr>
              <w:t>Title of the proposal/initiative</w:t>
            </w:r>
            <w:r w:rsidR="00F707AF" w:rsidRPr="008B17C0">
              <w:rPr>
                <w:noProof/>
              </w:rPr>
              <w:tab/>
            </w:r>
            <w:r w:rsidR="00F707AF" w:rsidRPr="008B17C0">
              <w:rPr>
                <w:noProof/>
                <w:webHidden/>
                <w:szCs w:val="24"/>
              </w:rPr>
              <w:fldChar w:fldCharType="begin" w:fldLock="1"/>
            </w:r>
            <w:r w:rsidR="00F707AF" w:rsidRPr="008B17C0">
              <w:rPr>
                <w:noProof/>
                <w:webHidden/>
                <w:szCs w:val="24"/>
              </w:rPr>
              <w:instrText xml:space="preserve"> PAGEREF _Toc84517573 \h </w:instrText>
            </w:r>
            <w:r w:rsidR="00F707AF" w:rsidRPr="008B17C0">
              <w:rPr>
                <w:noProof/>
                <w:webHidden/>
                <w:szCs w:val="24"/>
              </w:rPr>
            </w:r>
            <w:r w:rsidR="00F707AF" w:rsidRPr="008B17C0">
              <w:rPr>
                <w:noProof/>
                <w:webHidden/>
                <w:szCs w:val="24"/>
              </w:rPr>
              <w:fldChar w:fldCharType="separate"/>
            </w:r>
            <w:r w:rsidR="00F707AF" w:rsidRPr="008B17C0">
              <w:rPr>
                <w:noProof/>
                <w:webHidden/>
                <w:szCs w:val="24"/>
              </w:rPr>
              <w:t>26</w:t>
            </w:r>
            <w:r w:rsidR="00F707AF" w:rsidRPr="008B17C0">
              <w:rPr>
                <w:noProof/>
                <w:webHidden/>
                <w:szCs w:val="24"/>
              </w:rPr>
              <w:fldChar w:fldCharType="end"/>
            </w:r>
          </w:hyperlink>
        </w:p>
        <w:p w14:paraId="7338CF9C" w14:textId="6590C628" w:rsidR="00B44ABF" w:rsidRPr="008B17C0" w:rsidRDefault="0007739E" w:rsidP="00B44ABF">
          <w:pPr>
            <w:pStyle w:val="TOC2"/>
            <w:rPr>
              <w:rFonts w:asciiTheme="minorHAnsi" w:eastAsiaTheme="minorEastAsia" w:hAnsiTheme="minorHAnsi" w:cstheme="minorBidi"/>
              <w:noProof/>
              <w:szCs w:val="24"/>
            </w:rPr>
          </w:pPr>
          <w:hyperlink w:anchor="_Toc84517574" w:history="1">
            <w:r w:rsidR="00F707AF" w:rsidRPr="008B17C0">
              <w:rPr>
                <w:rStyle w:val="Hyperlink"/>
                <w:noProof/>
                <w:szCs w:val="24"/>
              </w:rPr>
              <w:t>1.2</w:t>
            </w:r>
            <w:r w:rsidR="00F707AF" w:rsidRPr="008B17C0">
              <w:rPr>
                <w:rStyle w:val="Hyperlink"/>
                <w:i/>
                <w:noProof/>
                <w:szCs w:val="24"/>
              </w:rPr>
              <w:t>.</w:t>
            </w:r>
            <w:r w:rsidR="00F707AF" w:rsidRPr="008B17C0">
              <w:rPr>
                <w:noProof/>
              </w:rPr>
              <w:tab/>
            </w:r>
            <w:r w:rsidR="00F707AF" w:rsidRPr="008B17C0">
              <w:rPr>
                <w:rStyle w:val="Hyperlink"/>
                <w:noProof/>
                <w:szCs w:val="24"/>
              </w:rPr>
              <w:t>Policy area(s) concerned</w:t>
            </w:r>
            <w:r w:rsidR="00F707AF" w:rsidRPr="008B17C0">
              <w:rPr>
                <w:noProof/>
              </w:rPr>
              <w:tab/>
            </w:r>
            <w:r w:rsidR="00F707AF" w:rsidRPr="008B17C0">
              <w:rPr>
                <w:noProof/>
                <w:webHidden/>
                <w:szCs w:val="24"/>
              </w:rPr>
              <w:fldChar w:fldCharType="begin" w:fldLock="1"/>
            </w:r>
            <w:r w:rsidR="00F707AF" w:rsidRPr="008B17C0">
              <w:rPr>
                <w:noProof/>
                <w:webHidden/>
                <w:szCs w:val="24"/>
              </w:rPr>
              <w:instrText xml:space="preserve"> PAGEREF _Toc84517574 \h </w:instrText>
            </w:r>
            <w:r w:rsidR="00F707AF" w:rsidRPr="008B17C0">
              <w:rPr>
                <w:noProof/>
                <w:webHidden/>
                <w:szCs w:val="24"/>
              </w:rPr>
            </w:r>
            <w:r w:rsidR="00F707AF" w:rsidRPr="008B17C0">
              <w:rPr>
                <w:noProof/>
                <w:webHidden/>
                <w:szCs w:val="24"/>
              </w:rPr>
              <w:fldChar w:fldCharType="separate"/>
            </w:r>
            <w:r w:rsidR="00F707AF" w:rsidRPr="008B17C0">
              <w:rPr>
                <w:noProof/>
                <w:webHidden/>
                <w:szCs w:val="24"/>
              </w:rPr>
              <w:t>26</w:t>
            </w:r>
            <w:r w:rsidR="00F707AF" w:rsidRPr="008B17C0">
              <w:rPr>
                <w:noProof/>
                <w:webHidden/>
                <w:szCs w:val="24"/>
              </w:rPr>
              <w:fldChar w:fldCharType="end"/>
            </w:r>
          </w:hyperlink>
        </w:p>
        <w:p w14:paraId="658199A4" w14:textId="48DE322E" w:rsidR="00B44ABF" w:rsidRPr="008B17C0" w:rsidRDefault="0007739E" w:rsidP="00B44ABF">
          <w:pPr>
            <w:pStyle w:val="TOC2"/>
            <w:rPr>
              <w:rFonts w:asciiTheme="minorHAnsi" w:eastAsiaTheme="minorEastAsia" w:hAnsiTheme="minorHAnsi" w:cstheme="minorBidi"/>
              <w:noProof/>
              <w:szCs w:val="24"/>
            </w:rPr>
          </w:pPr>
          <w:hyperlink w:anchor="_Toc84517575" w:history="1">
            <w:r w:rsidR="00F707AF" w:rsidRPr="008B17C0">
              <w:rPr>
                <w:rStyle w:val="Hyperlink"/>
                <w:noProof/>
                <w:szCs w:val="24"/>
              </w:rPr>
              <w:t>1.3.</w:t>
            </w:r>
            <w:r w:rsidR="00F707AF" w:rsidRPr="008B17C0">
              <w:rPr>
                <w:noProof/>
              </w:rPr>
              <w:tab/>
            </w:r>
            <w:r w:rsidR="00F707AF" w:rsidRPr="008B17C0">
              <w:rPr>
                <w:rStyle w:val="Hyperlink"/>
                <w:noProof/>
                <w:szCs w:val="24"/>
              </w:rPr>
              <w:t>The proposal/initiative relates to:</w:t>
            </w:r>
            <w:r w:rsidR="00F707AF" w:rsidRPr="008B17C0">
              <w:rPr>
                <w:noProof/>
              </w:rPr>
              <w:tab/>
            </w:r>
            <w:r w:rsidR="00F707AF" w:rsidRPr="008B17C0">
              <w:rPr>
                <w:noProof/>
                <w:webHidden/>
                <w:szCs w:val="24"/>
              </w:rPr>
              <w:fldChar w:fldCharType="begin" w:fldLock="1"/>
            </w:r>
            <w:r w:rsidR="00F707AF" w:rsidRPr="008B17C0">
              <w:rPr>
                <w:noProof/>
                <w:webHidden/>
                <w:szCs w:val="24"/>
              </w:rPr>
              <w:instrText xml:space="preserve"> PAGEREF _Toc84517575 \h </w:instrText>
            </w:r>
            <w:r w:rsidR="00F707AF" w:rsidRPr="008B17C0">
              <w:rPr>
                <w:noProof/>
                <w:webHidden/>
                <w:szCs w:val="24"/>
              </w:rPr>
            </w:r>
            <w:r w:rsidR="00F707AF" w:rsidRPr="008B17C0">
              <w:rPr>
                <w:noProof/>
                <w:webHidden/>
                <w:szCs w:val="24"/>
              </w:rPr>
              <w:fldChar w:fldCharType="separate"/>
            </w:r>
            <w:r w:rsidR="00F707AF" w:rsidRPr="008B17C0">
              <w:rPr>
                <w:noProof/>
                <w:webHidden/>
                <w:szCs w:val="24"/>
              </w:rPr>
              <w:t>26</w:t>
            </w:r>
            <w:r w:rsidR="00F707AF" w:rsidRPr="008B17C0">
              <w:rPr>
                <w:noProof/>
                <w:webHidden/>
                <w:szCs w:val="24"/>
              </w:rPr>
              <w:fldChar w:fldCharType="end"/>
            </w:r>
          </w:hyperlink>
        </w:p>
        <w:p w14:paraId="37F02017" w14:textId="3033D067" w:rsidR="00B44ABF" w:rsidRPr="008B17C0" w:rsidRDefault="0007739E" w:rsidP="00B44ABF">
          <w:pPr>
            <w:pStyle w:val="TOC2"/>
            <w:rPr>
              <w:rFonts w:asciiTheme="minorHAnsi" w:eastAsiaTheme="minorEastAsia" w:hAnsiTheme="minorHAnsi" w:cstheme="minorBidi"/>
              <w:noProof/>
              <w:szCs w:val="24"/>
            </w:rPr>
          </w:pPr>
          <w:hyperlink w:anchor="_Toc84517576" w:history="1">
            <w:r w:rsidR="00F707AF" w:rsidRPr="008B17C0">
              <w:rPr>
                <w:rStyle w:val="Hyperlink"/>
                <w:noProof/>
                <w:szCs w:val="24"/>
              </w:rPr>
              <w:t>1.4.</w:t>
            </w:r>
            <w:r w:rsidR="00F707AF" w:rsidRPr="008B17C0">
              <w:rPr>
                <w:noProof/>
              </w:rPr>
              <w:tab/>
            </w:r>
            <w:r w:rsidR="00F707AF" w:rsidRPr="008B17C0">
              <w:rPr>
                <w:rStyle w:val="Hyperlink"/>
                <w:noProof/>
                <w:szCs w:val="24"/>
              </w:rPr>
              <w:t>Objective(s)</w:t>
            </w:r>
            <w:r w:rsidR="00F707AF" w:rsidRPr="008B17C0">
              <w:rPr>
                <w:noProof/>
              </w:rPr>
              <w:tab/>
            </w:r>
            <w:r w:rsidR="00F707AF" w:rsidRPr="008B17C0">
              <w:rPr>
                <w:noProof/>
                <w:webHidden/>
                <w:szCs w:val="24"/>
              </w:rPr>
              <w:fldChar w:fldCharType="begin" w:fldLock="1"/>
            </w:r>
            <w:r w:rsidR="00F707AF" w:rsidRPr="008B17C0">
              <w:rPr>
                <w:noProof/>
                <w:webHidden/>
                <w:szCs w:val="24"/>
              </w:rPr>
              <w:instrText xml:space="preserve"> PAGEREF _Toc84517576 \h </w:instrText>
            </w:r>
            <w:r w:rsidR="00F707AF" w:rsidRPr="008B17C0">
              <w:rPr>
                <w:noProof/>
                <w:webHidden/>
                <w:szCs w:val="24"/>
              </w:rPr>
            </w:r>
            <w:r w:rsidR="00F707AF" w:rsidRPr="008B17C0">
              <w:rPr>
                <w:noProof/>
                <w:webHidden/>
                <w:szCs w:val="24"/>
              </w:rPr>
              <w:fldChar w:fldCharType="separate"/>
            </w:r>
            <w:r w:rsidR="00F707AF" w:rsidRPr="008B17C0">
              <w:rPr>
                <w:noProof/>
                <w:webHidden/>
                <w:szCs w:val="24"/>
              </w:rPr>
              <w:t>26</w:t>
            </w:r>
            <w:r w:rsidR="00F707AF" w:rsidRPr="008B17C0">
              <w:rPr>
                <w:noProof/>
                <w:webHidden/>
                <w:szCs w:val="24"/>
              </w:rPr>
              <w:fldChar w:fldCharType="end"/>
            </w:r>
          </w:hyperlink>
        </w:p>
        <w:p w14:paraId="120BE155" w14:textId="21609888" w:rsidR="00B44ABF" w:rsidRPr="008B17C0" w:rsidRDefault="0007739E" w:rsidP="00B44ABF">
          <w:pPr>
            <w:pStyle w:val="TOC3"/>
            <w:rPr>
              <w:rFonts w:asciiTheme="minorHAnsi" w:eastAsiaTheme="minorEastAsia" w:hAnsiTheme="minorHAnsi" w:cstheme="minorBidi"/>
              <w:noProof/>
              <w:szCs w:val="24"/>
            </w:rPr>
          </w:pPr>
          <w:hyperlink w:anchor="_Toc84517577" w:history="1">
            <w:r w:rsidR="00F707AF" w:rsidRPr="008B17C0">
              <w:rPr>
                <w:rStyle w:val="Hyperlink"/>
                <w:noProof/>
                <w:szCs w:val="24"/>
              </w:rPr>
              <w:t>1.4.1.</w:t>
            </w:r>
            <w:r w:rsidR="00F707AF" w:rsidRPr="008B17C0">
              <w:rPr>
                <w:noProof/>
              </w:rPr>
              <w:tab/>
            </w:r>
            <w:r w:rsidR="00F707AF" w:rsidRPr="008B17C0">
              <w:rPr>
                <w:rStyle w:val="Hyperlink"/>
                <w:noProof/>
                <w:szCs w:val="24"/>
              </w:rPr>
              <w:t>General objective(s)</w:t>
            </w:r>
            <w:r w:rsidR="00F707AF" w:rsidRPr="008B17C0">
              <w:rPr>
                <w:noProof/>
              </w:rPr>
              <w:tab/>
            </w:r>
            <w:r w:rsidR="00F707AF" w:rsidRPr="008B17C0">
              <w:rPr>
                <w:noProof/>
                <w:webHidden/>
                <w:szCs w:val="24"/>
              </w:rPr>
              <w:fldChar w:fldCharType="begin" w:fldLock="1"/>
            </w:r>
            <w:r w:rsidR="00F707AF" w:rsidRPr="008B17C0">
              <w:rPr>
                <w:noProof/>
                <w:webHidden/>
                <w:szCs w:val="24"/>
              </w:rPr>
              <w:instrText xml:space="preserve"> PAGEREF _Toc84517577 \h </w:instrText>
            </w:r>
            <w:r w:rsidR="00F707AF" w:rsidRPr="008B17C0">
              <w:rPr>
                <w:noProof/>
                <w:webHidden/>
                <w:szCs w:val="24"/>
              </w:rPr>
            </w:r>
            <w:r w:rsidR="00F707AF" w:rsidRPr="008B17C0">
              <w:rPr>
                <w:noProof/>
                <w:webHidden/>
                <w:szCs w:val="24"/>
              </w:rPr>
              <w:fldChar w:fldCharType="separate"/>
            </w:r>
            <w:r w:rsidR="00F707AF" w:rsidRPr="008B17C0">
              <w:rPr>
                <w:noProof/>
                <w:webHidden/>
                <w:szCs w:val="24"/>
              </w:rPr>
              <w:t>26</w:t>
            </w:r>
            <w:r w:rsidR="00F707AF" w:rsidRPr="008B17C0">
              <w:rPr>
                <w:noProof/>
                <w:webHidden/>
                <w:szCs w:val="24"/>
              </w:rPr>
              <w:fldChar w:fldCharType="end"/>
            </w:r>
          </w:hyperlink>
        </w:p>
        <w:p w14:paraId="6CD03E96" w14:textId="246DD5D4" w:rsidR="00B44ABF" w:rsidRPr="008B17C0" w:rsidRDefault="0007739E" w:rsidP="00B44ABF">
          <w:pPr>
            <w:pStyle w:val="TOC3"/>
            <w:rPr>
              <w:rFonts w:asciiTheme="minorHAnsi" w:eastAsiaTheme="minorEastAsia" w:hAnsiTheme="minorHAnsi" w:cstheme="minorBidi"/>
              <w:noProof/>
              <w:szCs w:val="24"/>
            </w:rPr>
          </w:pPr>
          <w:hyperlink w:anchor="_Toc84517578" w:history="1">
            <w:r w:rsidR="00F707AF" w:rsidRPr="008B17C0">
              <w:rPr>
                <w:rStyle w:val="Hyperlink"/>
                <w:noProof/>
                <w:szCs w:val="24"/>
              </w:rPr>
              <w:t>1.4.2.</w:t>
            </w:r>
            <w:r w:rsidR="00F707AF" w:rsidRPr="008B17C0">
              <w:rPr>
                <w:noProof/>
              </w:rPr>
              <w:tab/>
            </w:r>
            <w:r w:rsidR="00F707AF" w:rsidRPr="008B17C0">
              <w:rPr>
                <w:rStyle w:val="Hyperlink"/>
                <w:noProof/>
                <w:szCs w:val="24"/>
              </w:rPr>
              <w:t>Specific objective(s)</w:t>
            </w:r>
            <w:r w:rsidR="00F707AF" w:rsidRPr="008B17C0">
              <w:rPr>
                <w:noProof/>
              </w:rPr>
              <w:tab/>
            </w:r>
            <w:r w:rsidR="00F707AF" w:rsidRPr="008B17C0">
              <w:rPr>
                <w:noProof/>
                <w:webHidden/>
                <w:szCs w:val="24"/>
              </w:rPr>
              <w:fldChar w:fldCharType="begin" w:fldLock="1"/>
            </w:r>
            <w:r w:rsidR="00F707AF" w:rsidRPr="008B17C0">
              <w:rPr>
                <w:noProof/>
                <w:webHidden/>
                <w:szCs w:val="24"/>
              </w:rPr>
              <w:instrText xml:space="preserve"> PAGEREF _Toc84517578 \h </w:instrText>
            </w:r>
            <w:r w:rsidR="00F707AF" w:rsidRPr="008B17C0">
              <w:rPr>
                <w:noProof/>
                <w:webHidden/>
                <w:szCs w:val="24"/>
              </w:rPr>
            </w:r>
            <w:r w:rsidR="00F707AF" w:rsidRPr="008B17C0">
              <w:rPr>
                <w:noProof/>
                <w:webHidden/>
                <w:szCs w:val="24"/>
              </w:rPr>
              <w:fldChar w:fldCharType="separate"/>
            </w:r>
            <w:r w:rsidR="00F707AF" w:rsidRPr="008B17C0">
              <w:rPr>
                <w:noProof/>
                <w:webHidden/>
                <w:szCs w:val="24"/>
              </w:rPr>
              <w:t>27</w:t>
            </w:r>
            <w:r w:rsidR="00F707AF" w:rsidRPr="008B17C0">
              <w:rPr>
                <w:noProof/>
                <w:webHidden/>
                <w:szCs w:val="24"/>
              </w:rPr>
              <w:fldChar w:fldCharType="end"/>
            </w:r>
          </w:hyperlink>
        </w:p>
        <w:p w14:paraId="0BFDEFFD" w14:textId="38FBB2F9" w:rsidR="00B44ABF" w:rsidRPr="008B17C0" w:rsidRDefault="0007739E" w:rsidP="00B44ABF">
          <w:pPr>
            <w:pStyle w:val="TOC3"/>
            <w:rPr>
              <w:rFonts w:asciiTheme="minorHAnsi" w:eastAsiaTheme="minorEastAsia" w:hAnsiTheme="minorHAnsi" w:cstheme="minorBidi"/>
              <w:noProof/>
              <w:szCs w:val="24"/>
            </w:rPr>
          </w:pPr>
          <w:hyperlink w:anchor="_Toc84517579" w:history="1">
            <w:r w:rsidR="00F707AF" w:rsidRPr="008B17C0">
              <w:rPr>
                <w:rStyle w:val="Hyperlink"/>
                <w:noProof/>
                <w:szCs w:val="24"/>
              </w:rPr>
              <w:t>1.4.3.</w:t>
            </w:r>
            <w:r w:rsidR="00F707AF" w:rsidRPr="008B17C0">
              <w:rPr>
                <w:noProof/>
              </w:rPr>
              <w:tab/>
            </w:r>
            <w:r w:rsidR="00F707AF" w:rsidRPr="008B17C0">
              <w:rPr>
                <w:rStyle w:val="Hyperlink"/>
                <w:noProof/>
                <w:szCs w:val="24"/>
              </w:rPr>
              <w:t>Expected result(s) and impact</w:t>
            </w:r>
            <w:r w:rsidR="00F707AF" w:rsidRPr="008B17C0">
              <w:rPr>
                <w:noProof/>
              </w:rPr>
              <w:tab/>
            </w:r>
            <w:r w:rsidR="00F707AF" w:rsidRPr="008B17C0">
              <w:rPr>
                <w:noProof/>
                <w:webHidden/>
                <w:szCs w:val="24"/>
              </w:rPr>
              <w:fldChar w:fldCharType="begin" w:fldLock="1"/>
            </w:r>
            <w:r w:rsidR="00F707AF" w:rsidRPr="008B17C0">
              <w:rPr>
                <w:noProof/>
                <w:webHidden/>
                <w:szCs w:val="24"/>
              </w:rPr>
              <w:instrText xml:space="preserve"> PAGEREF _Toc84517579 \h </w:instrText>
            </w:r>
            <w:r w:rsidR="00F707AF" w:rsidRPr="008B17C0">
              <w:rPr>
                <w:noProof/>
                <w:webHidden/>
                <w:szCs w:val="24"/>
              </w:rPr>
            </w:r>
            <w:r w:rsidR="00F707AF" w:rsidRPr="008B17C0">
              <w:rPr>
                <w:noProof/>
                <w:webHidden/>
                <w:szCs w:val="24"/>
              </w:rPr>
              <w:fldChar w:fldCharType="separate"/>
            </w:r>
            <w:r w:rsidR="00F707AF" w:rsidRPr="008B17C0">
              <w:rPr>
                <w:noProof/>
                <w:webHidden/>
                <w:szCs w:val="24"/>
              </w:rPr>
              <w:t>28</w:t>
            </w:r>
            <w:r w:rsidR="00F707AF" w:rsidRPr="008B17C0">
              <w:rPr>
                <w:noProof/>
                <w:webHidden/>
                <w:szCs w:val="24"/>
              </w:rPr>
              <w:fldChar w:fldCharType="end"/>
            </w:r>
          </w:hyperlink>
        </w:p>
        <w:p w14:paraId="27EC7B2D" w14:textId="7224531D" w:rsidR="00B44ABF" w:rsidRPr="008B17C0" w:rsidRDefault="0007739E" w:rsidP="00B44ABF">
          <w:pPr>
            <w:pStyle w:val="TOC3"/>
            <w:rPr>
              <w:rFonts w:asciiTheme="minorHAnsi" w:eastAsiaTheme="minorEastAsia" w:hAnsiTheme="minorHAnsi" w:cstheme="minorBidi"/>
              <w:noProof/>
              <w:szCs w:val="24"/>
            </w:rPr>
          </w:pPr>
          <w:hyperlink w:anchor="_Toc84517580" w:history="1">
            <w:r w:rsidR="00F707AF" w:rsidRPr="008B17C0">
              <w:rPr>
                <w:rStyle w:val="Hyperlink"/>
                <w:noProof/>
                <w:szCs w:val="24"/>
              </w:rPr>
              <w:t>1.4.4.</w:t>
            </w:r>
            <w:r w:rsidR="00F707AF" w:rsidRPr="008B17C0">
              <w:rPr>
                <w:noProof/>
              </w:rPr>
              <w:tab/>
            </w:r>
            <w:r w:rsidR="00F707AF" w:rsidRPr="008B17C0">
              <w:rPr>
                <w:rStyle w:val="Hyperlink"/>
                <w:noProof/>
                <w:szCs w:val="24"/>
              </w:rPr>
              <w:t>Indicators of performance</w:t>
            </w:r>
            <w:r w:rsidR="00F707AF" w:rsidRPr="008B17C0">
              <w:rPr>
                <w:noProof/>
              </w:rPr>
              <w:tab/>
            </w:r>
            <w:r w:rsidR="00F707AF" w:rsidRPr="008B17C0">
              <w:rPr>
                <w:noProof/>
                <w:webHidden/>
                <w:szCs w:val="24"/>
              </w:rPr>
              <w:fldChar w:fldCharType="begin" w:fldLock="1"/>
            </w:r>
            <w:r w:rsidR="00F707AF" w:rsidRPr="008B17C0">
              <w:rPr>
                <w:noProof/>
                <w:webHidden/>
                <w:szCs w:val="24"/>
              </w:rPr>
              <w:instrText xml:space="preserve"> PAGEREF _Toc84517580 \h </w:instrText>
            </w:r>
            <w:r w:rsidR="00F707AF" w:rsidRPr="008B17C0">
              <w:rPr>
                <w:noProof/>
                <w:webHidden/>
                <w:szCs w:val="24"/>
              </w:rPr>
            </w:r>
            <w:r w:rsidR="00F707AF" w:rsidRPr="008B17C0">
              <w:rPr>
                <w:noProof/>
                <w:webHidden/>
                <w:szCs w:val="24"/>
              </w:rPr>
              <w:fldChar w:fldCharType="separate"/>
            </w:r>
            <w:r w:rsidR="00F707AF" w:rsidRPr="008B17C0">
              <w:rPr>
                <w:noProof/>
                <w:webHidden/>
                <w:szCs w:val="24"/>
              </w:rPr>
              <w:t>28</w:t>
            </w:r>
            <w:r w:rsidR="00F707AF" w:rsidRPr="008B17C0">
              <w:rPr>
                <w:noProof/>
                <w:webHidden/>
                <w:szCs w:val="24"/>
              </w:rPr>
              <w:fldChar w:fldCharType="end"/>
            </w:r>
          </w:hyperlink>
        </w:p>
        <w:p w14:paraId="363E4504" w14:textId="049FB2E6" w:rsidR="00B44ABF" w:rsidRPr="008B17C0" w:rsidRDefault="0007739E" w:rsidP="00B44ABF">
          <w:pPr>
            <w:pStyle w:val="TOC2"/>
            <w:rPr>
              <w:rFonts w:asciiTheme="minorHAnsi" w:eastAsiaTheme="minorEastAsia" w:hAnsiTheme="minorHAnsi" w:cstheme="minorBidi"/>
              <w:noProof/>
              <w:szCs w:val="24"/>
            </w:rPr>
          </w:pPr>
          <w:hyperlink w:anchor="_Toc84517581" w:history="1">
            <w:r w:rsidR="00F707AF" w:rsidRPr="008B17C0">
              <w:rPr>
                <w:rStyle w:val="Hyperlink"/>
                <w:noProof/>
                <w:szCs w:val="24"/>
              </w:rPr>
              <w:t>1.5.</w:t>
            </w:r>
            <w:r w:rsidR="00F707AF" w:rsidRPr="008B17C0">
              <w:rPr>
                <w:noProof/>
              </w:rPr>
              <w:tab/>
            </w:r>
            <w:r w:rsidR="00F707AF" w:rsidRPr="008B17C0">
              <w:rPr>
                <w:rStyle w:val="Hyperlink"/>
                <w:noProof/>
                <w:szCs w:val="24"/>
              </w:rPr>
              <w:t>Grounds for the proposal/initiative</w:t>
            </w:r>
            <w:r w:rsidR="00F707AF" w:rsidRPr="008B17C0">
              <w:rPr>
                <w:noProof/>
              </w:rPr>
              <w:tab/>
            </w:r>
            <w:r w:rsidR="00F707AF" w:rsidRPr="008B17C0">
              <w:rPr>
                <w:noProof/>
                <w:webHidden/>
                <w:szCs w:val="24"/>
              </w:rPr>
              <w:fldChar w:fldCharType="begin" w:fldLock="1"/>
            </w:r>
            <w:r w:rsidR="00F707AF" w:rsidRPr="008B17C0">
              <w:rPr>
                <w:noProof/>
                <w:webHidden/>
                <w:szCs w:val="24"/>
              </w:rPr>
              <w:instrText xml:space="preserve"> PAGEREF _Toc84517581 \h </w:instrText>
            </w:r>
            <w:r w:rsidR="00F707AF" w:rsidRPr="008B17C0">
              <w:rPr>
                <w:noProof/>
                <w:webHidden/>
                <w:szCs w:val="24"/>
              </w:rPr>
            </w:r>
            <w:r w:rsidR="00F707AF" w:rsidRPr="008B17C0">
              <w:rPr>
                <w:noProof/>
                <w:webHidden/>
                <w:szCs w:val="24"/>
              </w:rPr>
              <w:fldChar w:fldCharType="separate"/>
            </w:r>
            <w:r w:rsidR="00F707AF" w:rsidRPr="008B17C0">
              <w:rPr>
                <w:noProof/>
                <w:webHidden/>
                <w:szCs w:val="24"/>
              </w:rPr>
              <w:t>28</w:t>
            </w:r>
            <w:r w:rsidR="00F707AF" w:rsidRPr="008B17C0">
              <w:rPr>
                <w:noProof/>
                <w:webHidden/>
                <w:szCs w:val="24"/>
              </w:rPr>
              <w:fldChar w:fldCharType="end"/>
            </w:r>
          </w:hyperlink>
        </w:p>
        <w:p w14:paraId="0DEA71DD" w14:textId="160C7C8C" w:rsidR="00B44ABF" w:rsidRPr="008B17C0" w:rsidRDefault="0007739E" w:rsidP="00B44ABF">
          <w:pPr>
            <w:pStyle w:val="TOC3"/>
            <w:rPr>
              <w:rFonts w:asciiTheme="minorHAnsi" w:eastAsiaTheme="minorEastAsia" w:hAnsiTheme="minorHAnsi" w:cstheme="minorBidi"/>
              <w:noProof/>
              <w:szCs w:val="24"/>
            </w:rPr>
          </w:pPr>
          <w:hyperlink w:anchor="_Toc84517582" w:history="1">
            <w:r w:rsidR="00F707AF" w:rsidRPr="008B17C0">
              <w:rPr>
                <w:rStyle w:val="Hyperlink"/>
                <w:noProof/>
                <w:szCs w:val="24"/>
              </w:rPr>
              <w:t>1.5.1.</w:t>
            </w:r>
            <w:r w:rsidR="00F707AF" w:rsidRPr="008B17C0">
              <w:rPr>
                <w:noProof/>
              </w:rPr>
              <w:tab/>
            </w:r>
            <w:r w:rsidR="00F707AF" w:rsidRPr="008B17C0">
              <w:rPr>
                <w:rStyle w:val="Hyperlink"/>
                <w:noProof/>
                <w:szCs w:val="24"/>
              </w:rPr>
              <w:t>Requirement(s) to be met in the short or long term including a detailed timeline for roll-out of the implementation of the initiative</w:t>
            </w:r>
            <w:r w:rsidR="00F707AF" w:rsidRPr="008B17C0">
              <w:rPr>
                <w:noProof/>
              </w:rPr>
              <w:tab/>
            </w:r>
            <w:r w:rsidR="00F707AF" w:rsidRPr="008B17C0">
              <w:rPr>
                <w:noProof/>
                <w:webHidden/>
                <w:szCs w:val="24"/>
              </w:rPr>
              <w:fldChar w:fldCharType="begin" w:fldLock="1"/>
            </w:r>
            <w:r w:rsidR="00F707AF" w:rsidRPr="008B17C0">
              <w:rPr>
                <w:noProof/>
                <w:webHidden/>
                <w:szCs w:val="24"/>
              </w:rPr>
              <w:instrText xml:space="preserve"> PAGEREF _Toc84517582 \h </w:instrText>
            </w:r>
            <w:r w:rsidR="00F707AF" w:rsidRPr="008B17C0">
              <w:rPr>
                <w:noProof/>
                <w:webHidden/>
                <w:szCs w:val="24"/>
              </w:rPr>
            </w:r>
            <w:r w:rsidR="00F707AF" w:rsidRPr="008B17C0">
              <w:rPr>
                <w:noProof/>
                <w:webHidden/>
                <w:szCs w:val="24"/>
              </w:rPr>
              <w:fldChar w:fldCharType="separate"/>
            </w:r>
            <w:r w:rsidR="00F707AF" w:rsidRPr="008B17C0">
              <w:rPr>
                <w:noProof/>
                <w:webHidden/>
                <w:szCs w:val="24"/>
              </w:rPr>
              <w:t>28</w:t>
            </w:r>
            <w:r w:rsidR="00F707AF" w:rsidRPr="008B17C0">
              <w:rPr>
                <w:noProof/>
                <w:webHidden/>
                <w:szCs w:val="24"/>
              </w:rPr>
              <w:fldChar w:fldCharType="end"/>
            </w:r>
          </w:hyperlink>
        </w:p>
        <w:p w14:paraId="761EE2BB" w14:textId="19BAD2D7" w:rsidR="00B44ABF" w:rsidRPr="008B17C0" w:rsidRDefault="0007739E" w:rsidP="00B44ABF">
          <w:pPr>
            <w:pStyle w:val="TOC3"/>
            <w:rPr>
              <w:rFonts w:asciiTheme="minorHAnsi" w:eastAsiaTheme="minorEastAsia" w:hAnsiTheme="minorHAnsi" w:cstheme="minorBidi"/>
              <w:noProof/>
              <w:szCs w:val="24"/>
            </w:rPr>
          </w:pPr>
          <w:hyperlink w:anchor="_Toc84517583" w:history="1">
            <w:r w:rsidR="00F707AF" w:rsidRPr="008B17C0">
              <w:rPr>
                <w:rStyle w:val="Hyperlink"/>
                <w:noProof/>
                <w:szCs w:val="24"/>
              </w:rPr>
              <w:t>1.5.2.</w:t>
            </w:r>
            <w:r w:rsidR="00F707AF" w:rsidRPr="008B17C0">
              <w:rPr>
                <w:noProof/>
              </w:rPr>
              <w:tab/>
            </w:r>
            <w:r w:rsidR="00F707AF" w:rsidRPr="008B17C0">
              <w:rPr>
                <w:rStyle w:val="Hyperlink"/>
                <w:noProof/>
                <w:szCs w:val="24"/>
              </w:rPr>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r w:rsidR="00F707AF" w:rsidRPr="008B17C0">
              <w:rPr>
                <w:noProof/>
              </w:rPr>
              <w:tab/>
            </w:r>
            <w:r w:rsidR="00F707AF" w:rsidRPr="008B17C0">
              <w:rPr>
                <w:noProof/>
                <w:webHidden/>
                <w:szCs w:val="24"/>
              </w:rPr>
              <w:fldChar w:fldCharType="begin" w:fldLock="1"/>
            </w:r>
            <w:r w:rsidR="00F707AF" w:rsidRPr="008B17C0">
              <w:rPr>
                <w:noProof/>
                <w:webHidden/>
                <w:szCs w:val="24"/>
              </w:rPr>
              <w:instrText xml:space="preserve"> PAGEREF _Toc84517583 \h </w:instrText>
            </w:r>
            <w:r w:rsidR="00F707AF" w:rsidRPr="008B17C0">
              <w:rPr>
                <w:noProof/>
                <w:webHidden/>
                <w:szCs w:val="24"/>
              </w:rPr>
            </w:r>
            <w:r w:rsidR="00F707AF" w:rsidRPr="008B17C0">
              <w:rPr>
                <w:noProof/>
                <w:webHidden/>
                <w:szCs w:val="24"/>
              </w:rPr>
              <w:fldChar w:fldCharType="separate"/>
            </w:r>
            <w:r w:rsidR="00F707AF" w:rsidRPr="008B17C0">
              <w:rPr>
                <w:noProof/>
                <w:webHidden/>
                <w:szCs w:val="24"/>
              </w:rPr>
              <w:t>29</w:t>
            </w:r>
            <w:r w:rsidR="00F707AF" w:rsidRPr="008B17C0">
              <w:rPr>
                <w:noProof/>
                <w:webHidden/>
                <w:szCs w:val="24"/>
              </w:rPr>
              <w:fldChar w:fldCharType="end"/>
            </w:r>
          </w:hyperlink>
        </w:p>
        <w:p w14:paraId="19ED09A9" w14:textId="0274BA35" w:rsidR="00B44ABF" w:rsidRPr="008B17C0" w:rsidRDefault="0007739E" w:rsidP="00B44ABF">
          <w:pPr>
            <w:pStyle w:val="TOC3"/>
            <w:rPr>
              <w:rFonts w:asciiTheme="minorHAnsi" w:eastAsiaTheme="minorEastAsia" w:hAnsiTheme="minorHAnsi" w:cstheme="minorBidi"/>
              <w:noProof/>
              <w:szCs w:val="24"/>
            </w:rPr>
          </w:pPr>
          <w:hyperlink w:anchor="_Toc84517584" w:history="1">
            <w:r w:rsidR="00F707AF" w:rsidRPr="008B17C0">
              <w:rPr>
                <w:rStyle w:val="Hyperlink"/>
                <w:noProof/>
                <w:szCs w:val="24"/>
              </w:rPr>
              <w:t>1.5.3.</w:t>
            </w:r>
            <w:r w:rsidR="00F707AF" w:rsidRPr="008B17C0">
              <w:rPr>
                <w:noProof/>
              </w:rPr>
              <w:tab/>
            </w:r>
            <w:r w:rsidR="00F707AF" w:rsidRPr="008B17C0">
              <w:rPr>
                <w:rStyle w:val="Hyperlink"/>
                <w:noProof/>
                <w:szCs w:val="24"/>
              </w:rPr>
              <w:t>Lessons learned from similar experiences in the past</w:t>
            </w:r>
            <w:r w:rsidR="00F707AF" w:rsidRPr="008B17C0">
              <w:rPr>
                <w:noProof/>
              </w:rPr>
              <w:tab/>
            </w:r>
            <w:r w:rsidR="00F707AF" w:rsidRPr="008B17C0">
              <w:rPr>
                <w:noProof/>
                <w:webHidden/>
                <w:szCs w:val="24"/>
              </w:rPr>
              <w:fldChar w:fldCharType="begin" w:fldLock="1"/>
            </w:r>
            <w:r w:rsidR="00F707AF" w:rsidRPr="008B17C0">
              <w:rPr>
                <w:noProof/>
                <w:webHidden/>
                <w:szCs w:val="24"/>
              </w:rPr>
              <w:instrText xml:space="preserve"> PAGEREF _Toc84517584 \h </w:instrText>
            </w:r>
            <w:r w:rsidR="00F707AF" w:rsidRPr="008B17C0">
              <w:rPr>
                <w:noProof/>
                <w:webHidden/>
                <w:szCs w:val="24"/>
              </w:rPr>
            </w:r>
            <w:r w:rsidR="00F707AF" w:rsidRPr="008B17C0">
              <w:rPr>
                <w:noProof/>
                <w:webHidden/>
                <w:szCs w:val="24"/>
              </w:rPr>
              <w:fldChar w:fldCharType="separate"/>
            </w:r>
            <w:r w:rsidR="00F707AF" w:rsidRPr="008B17C0">
              <w:rPr>
                <w:noProof/>
                <w:webHidden/>
                <w:szCs w:val="24"/>
              </w:rPr>
              <w:t>29</w:t>
            </w:r>
            <w:r w:rsidR="00F707AF" w:rsidRPr="008B17C0">
              <w:rPr>
                <w:noProof/>
                <w:webHidden/>
                <w:szCs w:val="24"/>
              </w:rPr>
              <w:fldChar w:fldCharType="end"/>
            </w:r>
          </w:hyperlink>
        </w:p>
        <w:p w14:paraId="35985743" w14:textId="6B05D408" w:rsidR="00B44ABF" w:rsidRPr="008B17C0" w:rsidRDefault="0007739E" w:rsidP="00B44ABF">
          <w:pPr>
            <w:pStyle w:val="TOC3"/>
            <w:rPr>
              <w:rFonts w:asciiTheme="minorHAnsi" w:eastAsiaTheme="minorEastAsia" w:hAnsiTheme="minorHAnsi" w:cstheme="minorBidi"/>
              <w:noProof/>
              <w:szCs w:val="24"/>
            </w:rPr>
          </w:pPr>
          <w:hyperlink w:anchor="_Toc84517585" w:history="1">
            <w:r w:rsidR="00F707AF" w:rsidRPr="008B17C0">
              <w:rPr>
                <w:rStyle w:val="Hyperlink"/>
                <w:noProof/>
                <w:szCs w:val="24"/>
              </w:rPr>
              <w:t>1.5.4.</w:t>
            </w:r>
            <w:r w:rsidR="00F707AF" w:rsidRPr="008B17C0">
              <w:rPr>
                <w:noProof/>
              </w:rPr>
              <w:tab/>
            </w:r>
            <w:r w:rsidR="00F707AF" w:rsidRPr="008B17C0">
              <w:rPr>
                <w:rStyle w:val="Hyperlink"/>
                <w:noProof/>
                <w:szCs w:val="24"/>
              </w:rPr>
              <w:t>Compatibility with the Multiannual Financial Framework and possible synergies with other appropriate instruments</w:t>
            </w:r>
            <w:r w:rsidR="00F707AF" w:rsidRPr="008B17C0">
              <w:rPr>
                <w:noProof/>
              </w:rPr>
              <w:tab/>
            </w:r>
            <w:r w:rsidR="00F707AF" w:rsidRPr="008B17C0">
              <w:rPr>
                <w:noProof/>
                <w:webHidden/>
                <w:szCs w:val="24"/>
              </w:rPr>
              <w:fldChar w:fldCharType="begin" w:fldLock="1"/>
            </w:r>
            <w:r w:rsidR="00F707AF" w:rsidRPr="008B17C0">
              <w:rPr>
                <w:noProof/>
                <w:webHidden/>
                <w:szCs w:val="24"/>
              </w:rPr>
              <w:instrText xml:space="preserve"> PAGEREF _Toc84517585 \h </w:instrText>
            </w:r>
            <w:r w:rsidR="00F707AF" w:rsidRPr="008B17C0">
              <w:rPr>
                <w:noProof/>
                <w:webHidden/>
                <w:szCs w:val="24"/>
              </w:rPr>
            </w:r>
            <w:r w:rsidR="00F707AF" w:rsidRPr="008B17C0">
              <w:rPr>
                <w:noProof/>
                <w:webHidden/>
                <w:szCs w:val="24"/>
              </w:rPr>
              <w:fldChar w:fldCharType="separate"/>
            </w:r>
            <w:r w:rsidR="00F707AF" w:rsidRPr="008B17C0">
              <w:rPr>
                <w:noProof/>
                <w:webHidden/>
                <w:szCs w:val="24"/>
              </w:rPr>
              <w:t>30</w:t>
            </w:r>
            <w:r w:rsidR="00F707AF" w:rsidRPr="008B17C0">
              <w:rPr>
                <w:noProof/>
                <w:webHidden/>
                <w:szCs w:val="24"/>
              </w:rPr>
              <w:fldChar w:fldCharType="end"/>
            </w:r>
          </w:hyperlink>
        </w:p>
        <w:p w14:paraId="30586807" w14:textId="74EE0787" w:rsidR="00B44ABF" w:rsidRPr="008B17C0" w:rsidRDefault="0007739E" w:rsidP="00B44ABF">
          <w:pPr>
            <w:pStyle w:val="TOC3"/>
            <w:rPr>
              <w:rFonts w:asciiTheme="minorHAnsi" w:eastAsiaTheme="minorEastAsia" w:hAnsiTheme="minorHAnsi" w:cstheme="minorBidi"/>
              <w:noProof/>
              <w:szCs w:val="24"/>
            </w:rPr>
          </w:pPr>
          <w:hyperlink w:anchor="_Toc84517586" w:history="1">
            <w:r w:rsidR="00F707AF" w:rsidRPr="008B17C0">
              <w:rPr>
                <w:rStyle w:val="Hyperlink"/>
                <w:noProof/>
                <w:szCs w:val="24"/>
              </w:rPr>
              <w:t>1.5.5.</w:t>
            </w:r>
            <w:r w:rsidR="00F707AF" w:rsidRPr="008B17C0">
              <w:rPr>
                <w:noProof/>
              </w:rPr>
              <w:tab/>
            </w:r>
            <w:r w:rsidR="00F707AF" w:rsidRPr="008B17C0">
              <w:rPr>
                <w:rStyle w:val="Hyperlink"/>
                <w:noProof/>
                <w:szCs w:val="24"/>
              </w:rPr>
              <w:t>Assessment of the different available financing options, including scope for redeployment</w:t>
            </w:r>
            <w:r w:rsidR="00F707AF" w:rsidRPr="008B17C0">
              <w:rPr>
                <w:noProof/>
              </w:rPr>
              <w:tab/>
            </w:r>
            <w:r w:rsidR="00F707AF" w:rsidRPr="008B17C0">
              <w:rPr>
                <w:noProof/>
                <w:webHidden/>
                <w:szCs w:val="24"/>
              </w:rPr>
              <w:fldChar w:fldCharType="begin" w:fldLock="1"/>
            </w:r>
            <w:r w:rsidR="00F707AF" w:rsidRPr="008B17C0">
              <w:rPr>
                <w:noProof/>
                <w:webHidden/>
                <w:szCs w:val="24"/>
              </w:rPr>
              <w:instrText xml:space="preserve"> PAGEREF _Toc84517586 \h </w:instrText>
            </w:r>
            <w:r w:rsidR="00F707AF" w:rsidRPr="008B17C0">
              <w:rPr>
                <w:noProof/>
                <w:webHidden/>
                <w:szCs w:val="24"/>
              </w:rPr>
            </w:r>
            <w:r w:rsidR="00F707AF" w:rsidRPr="008B17C0">
              <w:rPr>
                <w:noProof/>
                <w:webHidden/>
                <w:szCs w:val="24"/>
              </w:rPr>
              <w:fldChar w:fldCharType="separate"/>
            </w:r>
            <w:r w:rsidR="00F707AF" w:rsidRPr="008B17C0">
              <w:rPr>
                <w:noProof/>
                <w:webHidden/>
                <w:szCs w:val="24"/>
              </w:rPr>
              <w:t>31</w:t>
            </w:r>
            <w:r w:rsidR="00F707AF" w:rsidRPr="008B17C0">
              <w:rPr>
                <w:noProof/>
                <w:webHidden/>
                <w:szCs w:val="24"/>
              </w:rPr>
              <w:fldChar w:fldCharType="end"/>
            </w:r>
          </w:hyperlink>
        </w:p>
        <w:p w14:paraId="4A9BA158" w14:textId="6E425DA0" w:rsidR="00B44ABF" w:rsidRPr="008B17C0" w:rsidRDefault="0007739E" w:rsidP="00B44ABF">
          <w:pPr>
            <w:pStyle w:val="TOC2"/>
            <w:rPr>
              <w:rFonts w:asciiTheme="minorHAnsi" w:eastAsiaTheme="minorEastAsia" w:hAnsiTheme="minorHAnsi" w:cstheme="minorBidi"/>
              <w:noProof/>
              <w:szCs w:val="24"/>
            </w:rPr>
          </w:pPr>
          <w:hyperlink w:anchor="_Toc84517587" w:history="1">
            <w:r w:rsidR="00F707AF" w:rsidRPr="008B17C0">
              <w:rPr>
                <w:rStyle w:val="Hyperlink"/>
                <w:noProof/>
                <w:szCs w:val="24"/>
              </w:rPr>
              <w:t>1.6.</w:t>
            </w:r>
            <w:r w:rsidR="00F707AF" w:rsidRPr="008B17C0">
              <w:rPr>
                <w:noProof/>
              </w:rPr>
              <w:tab/>
            </w:r>
            <w:r w:rsidR="00F707AF" w:rsidRPr="008B17C0">
              <w:rPr>
                <w:rStyle w:val="Hyperlink"/>
                <w:noProof/>
                <w:szCs w:val="24"/>
              </w:rPr>
              <w:t>Duration and financial impact of the proposal/initiative</w:t>
            </w:r>
            <w:r w:rsidR="00F707AF" w:rsidRPr="008B17C0">
              <w:rPr>
                <w:noProof/>
              </w:rPr>
              <w:tab/>
            </w:r>
            <w:r w:rsidR="00F707AF" w:rsidRPr="008B17C0">
              <w:rPr>
                <w:noProof/>
                <w:webHidden/>
                <w:szCs w:val="24"/>
              </w:rPr>
              <w:fldChar w:fldCharType="begin" w:fldLock="1"/>
            </w:r>
            <w:r w:rsidR="00F707AF" w:rsidRPr="008B17C0">
              <w:rPr>
                <w:noProof/>
                <w:webHidden/>
                <w:szCs w:val="24"/>
              </w:rPr>
              <w:instrText xml:space="preserve"> PAGEREF _Toc84517587 \h </w:instrText>
            </w:r>
            <w:r w:rsidR="00F707AF" w:rsidRPr="008B17C0">
              <w:rPr>
                <w:noProof/>
                <w:webHidden/>
                <w:szCs w:val="24"/>
              </w:rPr>
            </w:r>
            <w:r w:rsidR="00F707AF" w:rsidRPr="008B17C0">
              <w:rPr>
                <w:noProof/>
                <w:webHidden/>
                <w:szCs w:val="24"/>
              </w:rPr>
              <w:fldChar w:fldCharType="separate"/>
            </w:r>
            <w:r w:rsidR="00F707AF" w:rsidRPr="008B17C0">
              <w:rPr>
                <w:noProof/>
                <w:webHidden/>
                <w:szCs w:val="24"/>
              </w:rPr>
              <w:t>32</w:t>
            </w:r>
            <w:r w:rsidR="00F707AF" w:rsidRPr="008B17C0">
              <w:rPr>
                <w:noProof/>
                <w:webHidden/>
                <w:szCs w:val="24"/>
              </w:rPr>
              <w:fldChar w:fldCharType="end"/>
            </w:r>
          </w:hyperlink>
        </w:p>
        <w:p w14:paraId="4F898DC7" w14:textId="3F56BCF7" w:rsidR="00B44ABF" w:rsidRPr="008B17C0" w:rsidRDefault="0007739E" w:rsidP="00B44ABF">
          <w:pPr>
            <w:pStyle w:val="TOC2"/>
            <w:rPr>
              <w:rFonts w:asciiTheme="minorHAnsi" w:eastAsiaTheme="minorEastAsia" w:hAnsiTheme="minorHAnsi" w:cstheme="minorBidi"/>
              <w:noProof/>
              <w:szCs w:val="24"/>
            </w:rPr>
          </w:pPr>
          <w:hyperlink w:anchor="_Toc84517588" w:history="1">
            <w:r w:rsidR="00F707AF" w:rsidRPr="008B17C0">
              <w:rPr>
                <w:rStyle w:val="Hyperlink"/>
                <w:noProof/>
                <w:szCs w:val="24"/>
              </w:rPr>
              <w:t>1.7.</w:t>
            </w:r>
            <w:r w:rsidR="00F707AF" w:rsidRPr="008B17C0">
              <w:rPr>
                <w:noProof/>
              </w:rPr>
              <w:tab/>
            </w:r>
            <w:r w:rsidR="00F707AF" w:rsidRPr="008B17C0">
              <w:rPr>
                <w:rStyle w:val="Hyperlink"/>
                <w:noProof/>
                <w:szCs w:val="24"/>
              </w:rPr>
              <w:t>Management mode(s) planned</w:t>
            </w:r>
            <w:r w:rsidR="00F707AF" w:rsidRPr="008B17C0">
              <w:rPr>
                <w:noProof/>
              </w:rPr>
              <w:tab/>
            </w:r>
            <w:r w:rsidR="00F707AF" w:rsidRPr="008B17C0">
              <w:rPr>
                <w:noProof/>
                <w:webHidden/>
                <w:szCs w:val="24"/>
              </w:rPr>
              <w:fldChar w:fldCharType="begin" w:fldLock="1"/>
            </w:r>
            <w:r w:rsidR="00F707AF" w:rsidRPr="008B17C0">
              <w:rPr>
                <w:noProof/>
                <w:webHidden/>
                <w:szCs w:val="24"/>
              </w:rPr>
              <w:instrText xml:space="preserve"> PAGEREF _Toc84517588 \h </w:instrText>
            </w:r>
            <w:r w:rsidR="00F707AF" w:rsidRPr="008B17C0">
              <w:rPr>
                <w:noProof/>
                <w:webHidden/>
                <w:szCs w:val="24"/>
              </w:rPr>
            </w:r>
            <w:r w:rsidR="00F707AF" w:rsidRPr="008B17C0">
              <w:rPr>
                <w:noProof/>
                <w:webHidden/>
                <w:szCs w:val="24"/>
              </w:rPr>
              <w:fldChar w:fldCharType="separate"/>
            </w:r>
            <w:r w:rsidR="00F707AF" w:rsidRPr="008B17C0">
              <w:rPr>
                <w:noProof/>
                <w:webHidden/>
                <w:szCs w:val="24"/>
              </w:rPr>
              <w:t>32</w:t>
            </w:r>
            <w:r w:rsidR="00F707AF" w:rsidRPr="008B17C0">
              <w:rPr>
                <w:noProof/>
                <w:webHidden/>
                <w:szCs w:val="24"/>
              </w:rPr>
              <w:fldChar w:fldCharType="end"/>
            </w:r>
          </w:hyperlink>
        </w:p>
        <w:p w14:paraId="6B10D8D7" w14:textId="6E7E253B" w:rsidR="00B44ABF" w:rsidRPr="008B17C0" w:rsidRDefault="0007739E" w:rsidP="00B44ABF">
          <w:pPr>
            <w:pStyle w:val="TOC1"/>
            <w:rPr>
              <w:rFonts w:asciiTheme="minorHAnsi" w:eastAsiaTheme="minorEastAsia" w:hAnsiTheme="minorHAnsi" w:cstheme="minorBidi"/>
              <w:noProof/>
              <w:szCs w:val="24"/>
            </w:rPr>
          </w:pPr>
          <w:hyperlink w:anchor="_Toc84517589" w:history="1">
            <w:r w:rsidR="00F707AF" w:rsidRPr="008B17C0">
              <w:rPr>
                <w:rStyle w:val="Hyperlink"/>
                <w:noProof/>
                <w:szCs w:val="24"/>
              </w:rPr>
              <w:t>2.</w:t>
            </w:r>
            <w:r w:rsidR="00F707AF" w:rsidRPr="008B17C0">
              <w:rPr>
                <w:noProof/>
              </w:rPr>
              <w:tab/>
            </w:r>
            <w:r w:rsidR="00F707AF" w:rsidRPr="008B17C0">
              <w:rPr>
                <w:rStyle w:val="Hyperlink"/>
                <w:noProof/>
                <w:szCs w:val="24"/>
              </w:rPr>
              <w:t>MANAGEMENT MEASURES</w:t>
            </w:r>
            <w:r w:rsidR="00F707AF" w:rsidRPr="008B17C0">
              <w:rPr>
                <w:noProof/>
              </w:rPr>
              <w:tab/>
            </w:r>
            <w:r w:rsidR="00F707AF" w:rsidRPr="008B17C0">
              <w:rPr>
                <w:noProof/>
                <w:webHidden/>
                <w:szCs w:val="24"/>
              </w:rPr>
              <w:fldChar w:fldCharType="begin" w:fldLock="1"/>
            </w:r>
            <w:r w:rsidR="00F707AF" w:rsidRPr="008B17C0">
              <w:rPr>
                <w:noProof/>
                <w:webHidden/>
                <w:szCs w:val="24"/>
              </w:rPr>
              <w:instrText xml:space="preserve"> PAGEREF _Toc84517589 \h </w:instrText>
            </w:r>
            <w:r w:rsidR="00F707AF" w:rsidRPr="008B17C0">
              <w:rPr>
                <w:noProof/>
                <w:webHidden/>
                <w:szCs w:val="24"/>
              </w:rPr>
            </w:r>
            <w:r w:rsidR="00F707AF" w:rsidRPr="008B17C0">
              <w:rPr>
                <w:noProof/>
                <w:webHidden/>
                <w:szCs w:val="24"/>
              </w:rPr>
              <w:fldChar w:fldCharType="separate"/>
            </w:r>
            <w:r w:rsidR="00F707AF" w:rsidRPr="008B17C0">
              <w:rPr>
                <w:noProof/>
                <w:webHidden/>
                <w:szCs w:val="24"/>
              </w:rPr>
              <w:t>33</w:t>
            </w:r>
            <w:r w:rsidR="00F707AF" w:rsidRPr="008B17C0">
              <w:rPr>
                <w:noProof/>
                <w:webHidden/>
                <w:szCs w:val="24"/>
              </w:rPr>
              <w:fldChar w:fldCharType="end"/>
            </w:r>
          </w:hyperlink>
        </w:p>
        <w:p w14:paraId="005BB03D" w14:textId="6FB59BA5" w:rsidR="00B44ABF" w:rsidRPr="008B17C0" w:rsidRDefault="0007739E" w:rsidP="00B44ABF">
          <w:pPr>
            <w:pStyle w:val="TOC2"/>
            <w:rPr>
              <w:rFonts w:asciiTheme="minorHAnsi" w:eastAsiaTheme="minorEastAsia" w:hAnsiTheme="minorHAnsi" w:cstheme="minorBidi"/>
              <w:noProof/>
              <w:szCs w:val="24"/>
            </w:rPr>
          </w:pPr>
          <w:hyperlink w:anchor="_Toc84517590" w:history="1">
            <w:r w:rsidR="00F707AF" w:rsidRPr="008B17C0">
              <w:rPr>
                <w:rStyle w:val="Hyperlink"/>
                <w:noProof/>
                <w:szCs w:val="24"/>
              </w:rPr>
              <w:t>2.1.</w:t>
            </w:r>
            <w:r w:rsidR="00F707AF" w:rsidRPr="008B17C0">
              <w:rPr>
                <w:noProof/>
              </w:rPr>
              <w:tab/>
            </w:r>
            <w:r w:rsidR="00F707AF" w:rsidRPr="008B17C0">
              <w:rPr>
                <w:rStyle w:val="Hyperlink"/>
                <w:noProof/>
                <w:szCs w:val="24"/>
              </w:rPr>
              <w:t>Monitoring and reporting rules</w:t>
            </w:r>
            <w:r w:rsidR="00F707AF" w:rsidRPr="008B17C0">
              <w:rPr>
                <w:noProof/>
              </w:rPr>
              <w:tab/>
            </w:r>
            <w:r w:rsidR="00F707AF" w:rsidRPr="008B17C0">
              <w:rPr>
                <w:noProof/>
                <w:webHidden/>
                <w:szCs w:val="24"/>
              </w:rPr>
              <w:fldChar w:fldCharType="begin" w:fldLock="1"/>
            </w:r>
            <w:r w:rsidR="00F707AF" w:rsidRPr="008B17C0">
              <w:rPr>
                <w:noProof/>
                <w:webHidden/>
                <w:szCs w:val="24"/>
              </w:rPr>
              <w:instrText xml:space="preserve"> PAGEREF _Toc84517590 \h </w:instrText>
            </w:r>
            <w:r w:rsidR="00F707AF" w:rsidRPr="008B17C0">
              <w:rPr>
                <w:noProof/>
                <w:webHidden/>
                <w:szCs w:val="24"/>
              </w:rPr>
            </w:r>
            <w:r w:rsidR="00F707AF" w:rsidRPr="008B17C0">
              <w:rPr>
                <w:noProof/>
                <w:webHidden/>
                <w:szCs w:val="24"/>
              </w:rPr>
              <w:fldChar w:fldCharType="separate"/>
            </w:r>
            <w:r w:rsidR="00F707AF" w:rsidRPr="008B17C0">
              <w:rPr>
                <w:noProof/>
                <w:webHidden/>
                <w:szCs w:val="24"/>
              </w:rPr>
              <w:t>33</w:t>
            </w:r>
            <w:r w:rsidR="00F707AF" w:rsidRPr="008B17C0">
              <w:rPr>
                <w:noProof/>
                <w:webHidden/>
                <w:szCs w:val="24"/>
              </w:rPr>
              <w:fldChar w:fldCharType="end"/>
            </w:r>
          </w:hyperlink>
        </w:p>
        <w:p w14:paraId="5884B8A6" w14:textId="308BE25F" w:rsidR="00B44ABF" w:rsidRPr="008B17C0" w:rsidRDefault="0007739E" w:rsidP="00B44ABF">
          <w:pPr>
            <w:pStyle w:val="TOC2"/>
            <w:rPr>
              <w:rFonts w:asciiTheme="minorHAnsi" w:eastAsiaTheme="minorEastAsia" w:hAnsiTheme="minorHAnsi" w:cstheme="minorBidi"/>
              <w:noProof/>
              <w:szCs w:val="24"/>
            </w:rPr>
          </w:pPr>
          <w:hyperlink w:anchor="_Toc84517591" w:history="1">
            <w:r w:rsidR="00F707AF" w:rsidRPr="008B17C0">
              <w:rPr>
                <w:rStyle w:val="Hyperlink"/>
                <w:noProof/>
                <w:szCs w:val="24"/>
              </w:rPr>
              <w:t>2.2.</w:t>
            </w:r>
            <w:r w:rsidR="00F707AF" w:rsidRPr="008B17C0">
              <w:rPr>
                <w:noProof/>
              </w:rPr>
              <w:tab/>
            </w:r>
            <w:r w:rsidR="00F707AF" w:rsidRPr="008B17C0">
              <w:rPr>
                <w:rStyle w:val="Hyperlink"/>
                <w:noProof/>
                <w:szCs w:val="24"/>
              </w:rPr>
              <w:t>Management and control system(s)</w:t>
            </w:r>
            <w:r w:rsidR="00F707AF" w:rsidRPr="008B17C0">
              <w:rPr>
                <w:noProof/>
              </w:rPr>
              <w:tab/>
            </w:r>
            <w:r w:rsidR="00F707AF" w:rsidRPr="008B17C0">
              <w:rPr>
                <w:noProof/>
                <w:webHidden/>
                <w:szCs w:val="24"/>
              </w:rPr>
              <w:fldChar w:fldCharType="begin" w:fldLock="1"/>
            </w:r>
            <w:r w:rsidR="00F707AF" w:rsidRPr="008B17C0">
              <w:rPr>
                <w:noProof/>
                <w:webHidden/>
                <w:szCs w:val="24"/>
              </w:rPr>
              <w:instrText xml:space="preserve"> PAGEREF _Toc84517591 \h </w:instrText>
            </w:r>
            <w:r w:rsidR="00F707AF" w:rsidRPr="008B17C0">
              <w:rPr>
                <w:noProof/>
                <w:webHidden/>
                <w:szCs w:val="24"/>
              </w:rPr>
            </w:r>
            <w:r w:rsidR="00F707AF" w:rsidRPr="008B17C0">
              <w:rPr>
                <w:noProof/>
                <w:webHidden/>
                <w:szCs w:val="24"/>
              </w:rPr>
              <w:fldChar w:fldCharType="separate"/>
            </w:r>
            <w:r w:rsidR="00F707AF" w:rsidRPr="008B17C0">
              <w:rPr>
                <w:noProof/>
                <w:webHidden/>
                <w:szCs w:val="24"/>
              </w:rPr>
              <w:t>33</w:t>
            </w:r>
            <w:r w:rsidR="00F707AF" w:rsidRPr="008B17C0">
              <w:rPr>
                <w:noProof/>
                <w:webHidden/>
                <w:szCs w:val="24"/>
              </w:rPr>
              <w:fldChar w:fldCharType="end"/>
            </w:r>
          </w:hyperlink>
        </w:p>
        <w:p w14:paraId="76ACA3C0" w14:textId="15FA8FE0" w:rsidR="00B44ABF" w:rsidRPr="008B17C0" w:rsidRDefault="0007739E" w:rsidP="00B44ABF">
          <w:pPr>
            <w:pStyle w:val="TOC3"/>
            <w:rPr>
              <w:rFonts w:asciiTheme="minorHAnsi" w:eastAsiaTheme="minorEastAsia" w:hAnsiTheme="minorHAnsi" w:cstheme="minorBidi"/>
              <w:noProof/>
              <w:szCs w:val="24"/>
            </w:rPr>
          </w:pPr>
          <w:hyperlink w:anchor="_Toc84517592" w:history="1">
            <w:r w:rsidR="00F707AF" w:rsidRPr="008B17C0">
              <w:rPr>
                <w:rStyle w:val="Hyperlink"/>
                <w:noProof/>
                <w:szCs w:val="24"/>
              </w:rPr>
              <w:t>2.2.1.</w:t>
            </w:r>
            <w:r w:rsidR="00F707AF" w:rsidRPr="008B17C0">
              <w:rPr>
                <w:noProof/>
              </w:rPr>
              <w:tab/>
            </w:r>
            <w:r w:rsidR="00F707AF" w:rsidRPr="008B17C0">
              <w:rPr>
                <w:rStyle w:val="Hyperlink"/>
                <w:noProof/>
                <w:szCs w:val="24"/>
              </w:rPr>
              <w:t>Justification of the management mode(s), the funding implementation mechanism(s), the payment modalities and the control strategy proposed</w:t>
            </w:r>
            <w:r w:rsidR="00F707AF" w:rsidRPr="008B17C0">
              <w:rPr>
                <w:noProof/>
              </w:rPr>
              <w:tab/>
            </w:r>
            <w:r w:rsidR="00F707AF" w:rsidRPr="008B17C0">
              <w:rPr>
                <w:noProof/>
                <w:webHidden/>
                <w:szCs w:val="24"/>
              </w:rPr>
              <w:fldChar w:fldCharType="begin" w:fldLock="1"/>
            </w:r>
            <w:r w:rsidR="00F707AF" w:rsidRPr="008B17C0">
              <w:rPr>
                <w:noProof/>
                <w:webHidden/>
                <w:szCs w:val="24"/>
              </w:rPr>
              <w:instrText xml:space="preserve"> PAGEREF _Toc84517592 \h </w:instrText>
            </w:r>
            <w:r w:rsidR="00F707AF" w:rsidRPr="008B17C0">
              <w:rPr>
                <w:noProof/>
                <w:webHidden/>
                <w:szCs w:val="24"/>
              </w:rPr>
            </w:r>
            <w:r w:rsidR="00F707AF" w:rsidRPr="008B17C0">
              <w:rPr>
                <w:noProof/>
                <w:webHidden/>
                <w:szCs w:val="24"/>
              </w:rPr>
              <w:fldChar w:fldCharType="separate"/>
            </w:r>
            <w:r w:rsidR="00F707AF" w:rsidRPr="008B17C0">
              <w:rPr>
                <w:noProof/>
                <w:webHidden/>
                <w:szCs w:val="24"/>
              </w:rPr>
              <w:t>33</w:t>
            </w:r>
            <w:r w:rsidR="00F707AF" w:rsidRPr="008B17C0">
              <w:rPr>
                <w:noProof/>
                <w:webHidden/>
                <w:szCs w:val="24"/>
              </w:rPr>
              <w:fldChar w:fldCharType="end"/>
            </w:r>
          </w:hyperlink>
        </w:p>
        <w:p w14:paraId="5812F71B" w14:textId="06FC6C27" w:rsidR="00B44ABF" w:rsidRPr="008B17C0" w:rsidRDefault="0007739E" w:rsidP="00B44ABF">
          <w:pPr>
            <w:pStyle w:val="TOC3"/>
            <w:rPr>
              <w:rFonts w:asciiTheme="minorHAnsi" w:eastAsiaTheme="minorEastAsia" w:hAnsiTheme="minorHAnsi" w:cstheme="minorBidi"/>
              <w:noProof/>
              <w:szCs w:val="24"/>
            </w:rPr>
          </w:pPr>
          <w:hyperlink w:anchor="_Toc84517593" w:history="1">
            <w:r w:rsidR="00F707AF" w:rsidRPr="008B17C0">
              <w:rPr>
                <w:rStyle w:val="Hyperlink"/>
                <w:noProof/>
                <w:szCs w:val="24"/>
              </w:rPr>
              <w:t>2.2.2.</w:t>
            </w:r>
            <w:r w:rsidR="00F707AF" w:rsidRPr="008B17C0">
              <w:rPr>
                <w:noProof/>
              </w:rPr>
              <w:tab/>
            </w:r>
            <w:r w:rsidR="00F707AF" w:rsidRPr="008B17C0">
              <w:rPr>
                <w:rStyle w:val="Hyperlink"/>
                <w:noProof/>
                <w:szCs w:val="24"/>
              </w:rPr>
              <w:t>Information concerning the risks identified and the internal control system(s) set up to mitigate them</w:t>
            </w:r>
            <w:r w:rsidR="00F707AF" w:rsidRPr="008B17C0">
              <w:rPr>
                <w:noProof/>
              </w:rPr>
              <w:tab/>
            </w:r>
            <w:r w:rsidR="00F707AF" w:rsidRPr="008B17C0">
              <w:rPr>
                <w:noProof/>
                <w:webHidden/>
                <w:szCs w:val="24"/>
              </w:rPr>
              <w:fldChar w:fldCharType="begin" w:fldLock="1"/>
            </w:r>
            <w:r w:rsidR="00F707AF" w:rsidRPr="008B17C0">
              <w:rPr>
                <w:noProof/>
                <w:webHidden/>
                <w:szCs w:val="24"/>
              </w:rPr>
              <w:instrText xml:space="preserve"> PAGEREF _Toc84517593 \h </w:instrText>
            </w:r>
            <w:r w:rsidR="00F707AF" w:rsidRPr="008B17C0">
              <w:rPr>
                <w:noProof/>
                <w:webHidden/>
                <w:szCs w:val="24"/>
              </w:rPr>
            </w:r>
            <w:r w:rsidR="00F707AF" w:rsidRPr="008B17C0">
              <w:rPr>
                <w:noProof/>
                <w:webHidden/>
                <w:szCs w:val="24"/>
              </w:rPr>
              <w:fldChar w:fldCharType="separate"/>
            </w:r>
            <w:r w:rsidR="00F707AF" w:rsidRPr="008B17C0">
              <w:rPr>
                <w:noProof/>
                <w:webHidden/>
                <w:szCs w:val="24"/>
              </w:rPr>
              <w:t>34</w:t>
            </w:r>
            <w:r w:rsidR="00F707AF" w:rsidRPr="008B17C0">
              <w:rPr>
                <w:noProof/>
                <w:webHidden/>
                <w:szCs w:val="24"/>
              </w:rPr>
              <w:fldChar w:fldCharType="end"/>
            </w:r>
          </w:hyperlink>
        </w:p>
        <w:p w14:paraId="6A9EB879" w14:textId="2DC864E1" w:rsidR="00B44ABF" w:rsidRPr="008B17C0" w:rsidRDefault="0007739E" w:rsidP="00B44ABF">
          <w:pPr>
            <w:pStyle w:val="TOC3"/>
            <w:rPr>
              <w:rFonts w:asciiTheme="minorHAnsi" w:eastAsiaTheme="minorEastAsia" w:hAnsiTheme="minorHAnsi" w:cstheme="minorBidi"/>
              <w:noProof/>
              <w:szCs w:val="24"/>
            </w:rPr>
          </w:pPr>
          <w:hyperlink w:anchor="_Toc84517594" w:history="1">
            <w:r w:rsidR="00F707AF" w:rsidRPr="008B17C0">
              <w:rPr>
                <w:rStyle w:val="Hyperlink"/>
                <w:noProof/>
                <w:szCs w:val="24"/>
              </w:rPr>
              <w:t>2.2.3.</w:t>
            </w:r>
            <w:r w:rsidR="00F707AF" w:rsidRPr="008B17C0">
              <w:rPr>
                <w:noProof/>
              </w:rPr>
              <w:tab/>
            </w:r>
            <w:r w:rsidR="00F707AF" w:rsidRPr="008B17C0">
              <w:rPr>
                <w:rStyle w:val="Hyperlink"/>
                <w:noProof/>
                <w:szCs w:val="24"/>
              </w:rPr>
              <w:t>Estimation and justification of the cost-effectiveness of the controls (ratio of "control costs ÷ value of the related funds managed"), and assessment of the expected levels of risk of error (at payment &amp; at closure)</w:t>
            </w:r>
            <w:r w:rsidR="00F707AF" w:rsidRPr="008B17C0">
              <w:rPr>
                <w:noProof/>
              </w:rPr>
              <w:tab/>
            </w:r>
            <w:r w:rsidR="00F707AF" w:rsidRPr="008B17C0">
              <w:rPr>
                <w:noProof/>
                <w:webHidden/>
                <w:szCs w:val="24"/>
              </w:rPr>
              <w:fldChar w:fldCharType="begin" w:fldLock="1"/>
            </w:r>
            <w:r w:rsidR="00F707AF" w:rsidRPr="008B17C0">
              <w:rPr>
                <w:noProof/>
                <w:webHidden/>
                <w:szCs w:val="24"/>
              </w:rPr>
              <w:instrText xml:space="preserve"> PAGEREF _Toc84517594 \h </w:instrText>
            </w:r>
            <w:r w:rsidR="00F707AF" w:rsidRPr="008B17C0">
              <w:rPr>
                <w:noProof/>
                <w:webHidden/>
                <w:szCs w:val="24"/>
              </w:rPr>
            </w:r>
            <w:r w:rsidR="00F707AF" w:rsidRPr="008B17C0">
              <w:rPr>
                <w:noProof/>
                <w:webHidden/>
                <w:szCs w:val="24"/>
              </w:rPr>
              <w:fldChar w:fldCharType="separate"/>
            </w:r>
            <w:r w:rsidR="00F707AF" w:rsidRPr="008B17C0">
              <w:rPr>
                <w:noProof/>
                <w:webHidden/>
                <w:szCs w:val="24"/>
              </w:rPr>
              <w:t>34</w:t>
            </w:r>
            <w:r w:rsidR="00F707AF" w:rsidRPr="008B17C0">
              <w:rPr>
                <w:noProof/>
                <w:webHidden/>
                <w:szCs w:val="24"/>
              </w:rPr>
              <w:fldChar w:fldCharType="end"/>
            </w:r>
          </w:hyperlink>
        </w:p>
        <w:p w14:paraId="6617E8D9" w14:textId="124C3A3C" w:rsidR="00B44ABF" w:rsidRPr="008B17C0" w:rsidRDefault="0007739E" w:rsidP="00B44ABF">
          <w:pPr>
            <w:pStyle w:val="TOC2"/>
            <w:rPr>
              <w:rFonts w:asciiTheme="minorHAnsi" w:eastAsiaTheme="minorEastAsia" w:hAnsiTheme="minorHAnsi" w:cstheme="minorBidi"/>
              <w:noProof/>
              <w:szCs w:val="24"/>
            </w:rPr>
          </w:pPr>
          <w:hyperlink w:anchor="_Toc84517595" w:history="1">
            <w:r w:rsidR="00F707AF" w:rsidRPr="008B17C0">
              <w:rPr>
                <w:rStyle w:val="Hyperlink"/>
                <w:noProof/>
                <w:szCs w:val="24"/>
              </w:rPr>
              <w:t>2.3.</w:t>
            </w:r>
            <w:r w:rsidR="00F707AF" w:rsidRPr="008B17C0">
              <w:rPr>
                <w:noProof/>
              </w:rPr>
              <w:tab/>
            </w:r>
            <w:r w:rsidR="00F707AF" w:rsidRPr="008B17C0">
              <w:rPr>
                <w:rStyle w:val="Hyperlink"/>
                <w:noProof/>
                <w:szCs w:val="24"/>
              </w:rPr>
              <w:t>Measures to prevent fraud and irregularities</w:t>
            </w:r>
            <w:r w:rsidR="00F707AF" w:rsidRPr="008B17C0">
              <w:rPr>
                <w:noProof/>
              </w:rPr>
              <w:tab/>
            </w:r>
            <w:r w:rsidR="00F707AF" w:rsidRPr="008B17C0">
              <w:rPr>
                <w:noProof/>
                <w:webHidden/>
                <w:szCs w:val="24"/>
              </w:rPr>
              <w:fldChar w:fldCharType="begin" w:fldLock="1"/>
            </w:r>
            <w:r w:rsidR="00F707AF" w:rsidRPr="008B17C0">
              <w:rPr>
                <w:noProof/>
                <w:webHidden/>
                <w:szCs w:val="24"/>
              </w:rPr>
              <w:instrText xml:space="preserve"> PAGEREF _Toc84517595 \h </w:instrText>
            </w:r>
            <w:r w:rsidR="00F707AF" w:rsidRPr="008B17C0">
              <w:rPr>
                <w:noProof/>
                <w:webHidden/>
                <w:szCs w:val="24"/>
              </w:rPr>
            </w:r>
            <w:r w:rsidR="00F707AF" w:rsidRPr="008B17C0">
              <w:rPr>
                <w:noProof/>
                <w:webHidden/>
                <w:szCs w:val="24"/>
              </w:rPr>
              <w:fldChar w:fldCharType="separate"/>
            </w:r>
            <w:r w:rsidR="00F707AF" w:rsidRPr="008B17C0">
              <w:rPr>
                <w:noProof/>
                <w:webHidden/>
                <w:szCs w:val="24"/>
              </w:rPr>
              <w:t>34</w:t>
            </w:r>
            <w:r w:rsidR="00F707AF" w:rsidRPr="008B17C0">
              <w:rPr>
                <w:noProof/>
                <w:webHidden/>
                <w:szCs w:val="24"/>
              </w:rPr>
              <w:fldChar w:fldCharType="end"/>
            </w:r>
          </w:hyperlink>
        </w:p>
        <w:p w14:paraId="3E4CC671" w14:textId="2A78FCB9" w:rsidR="00B44ABF" w:rsidRPr="008B17C0" w:rsidRDefault="0007739E" w:rsidP="00B44ABF">
          <w:pPr>
            <w:pStyle w:val="TOC1"/>
            <w:rPr>
              <w:rFonts w:asciiTheme="minorHAnsi" w:eastAsiaTheme="minorEastAsia" w:hAnsiTheme="minorHAnsi" w:cstheme="minorBidi"/>
              <w:noProof/>
              <w:szCs w:val="24"/>
            </w:rPr>
          </w:pPr>
          <w:hyperlink w:anchor="_Toc84517596" w:history="1">
            <w:r w:rsidR="00F707AF" w:rsidRPr="008B17C0">
              <w:rPr>
                <w:rStyle w:val="Hyperlink"/>
                <w:noProof/>
                <w:szCs w:val="24"/>
              </w:rPr>
              <w:t>3.</w:t>
            </w:r>
            <w:r w:rsidR="00F707AF" w:rsidRPr="008B17C0">
              <w:rPr>
                <w:noProof/>
              </w:rPr>
              <w:tab/>
            </w:r>
            <w:r w:rsidR="00F707AF" w:rsidRPr="008B17C0">
              <w:rPr>
                <w:rStyle w:val="Hyperlink"/>
                <w:noProof/>
                <w:szCs w:val="24"/>
              </w:rPr>
              <w:t>ESTIMATED FINANCIAL IMPACT OF THE PROPOSAL/INITIATIVE</w:t>
            </w:r>
            <w:r w:rsidR="00F707AF" w:rsidRPr="008B17C0">
              <w:rPr>
                <w:noProof/>
              </w:rPr>
              <w:tab/>
            </w:r>
            <w:r w:rsidR="00F707AF" w:rsidRPr="008B17C0">
              <w:rPr>
                <w:noProof/>
                <w:webHidden/>
                <w:szCs w:val="24"/>
              </w:rPr>
              <w:fldChar w:fldCharType="begin" w:fldLock="1"/>
            </w:r>
            <w:r w:rsidR="00F707AF" w:rsidRPr="008B17C0">
              <w:rPr>
                <w:noProof/>
                <w:webHidden/>
                <w:szCs w:val="24"/>
              </w:rPr>
              <w:instrText xml:space="preserve"> PAGEREF _Toc84517596 \h </w:instrText>
            </w:r>
            <w:r w:rsidR="00F707AF" w:rsidRPr="008B17C0">
              <w:rPr>
                <w:noProof/>
                <w:webHidden/>
                <w:szCs w:val="24"/>
              </w:rPr>
            </w:r>
            <w:r w:rsidR="00F707AF" w:rsidRPr="008B17C0">
              <w:rPr>
                <w:noProof/>
                <w:webHidden/>
                <w:szCs w:val="24"/>
              </w:rPr>
              <w:fldChar w:fldCharType="separate"/>
            </w:r>
            <w:r w:rsidR="00F707AF" w:rsidRPr="008B17C0">
              <w:rPr>
                <w:noProof/>
                <w:webHidden/>
                <w:szCs w:val="24"/>
              </w:rPr>
              <w:t>35</w:t>
            </w:r>
            <w:r w:rsidR="00F707AF" w:rsidRPr="008B17C0">
              <w:rPr>
                <w:noProof/>
                <w:webHidden/>
                <w:szCs w:val="24"/>
              </w:rPr>
              <w:fldChar w:fldCharType="end"/>
            </w:r>
          </w:hyperlink>
        </w:p>
        <w:p w14:paraId="2265AF53" w14:textId="4536F78C" w:rsidR="00B44ABF" w:rsidRPr="008B17C0" w:rsidRDefault="0007739E" w:rsidP="00B44ABF">
          <w:pPr>
            <w:pStyle w:val="TOC2"/>
            <w:rPr>
              <w:rFonts w:asciiTheme="minorHAnsi" w:eastAsiaTheme="minorEastAsia" w:hAnsiTheme="minorHAnsi" w:cstheme="minorBidi"/>
              <w:noProof/>
              <w:szCs w:val="24"/>
            </w:rPr>
          </w:pPr>
          <w:hyperlink w:anchor="_Toc84517597" w:history="1">
            <w:r w:rsidR="00F707AF" w:rsidRPr="008B17C0">
              <w:rPr>
                <w:rStyle w:val="Hyperlink"/>
                <w:noProof/>
                <w:szCs w:val="24"/>
              </w:rPr>
              <w:t>3.1.</w:t>
            </w:r>
            <w:r w:rsidR="00F707AF" w:rsidRPr="008B17C0">
              <w:rPr>
                <w:noProof/>
              </w:rPr>
              <w:tab/>
            </w:r>
            <w:r w:rsidR="00F707AF" w:rsidRPr="008B17C0">
              <w:rPr>
                <w:rStyle w:val="Hyperlink"/>
                <w:noProof/>
                <w:szCs w:val="24"/>
              </w:rPr>
              <w:t>Heading(s) of the multiannual financial framework and expenditure budget line(s) affected</w:t>
            </w:r>
            <w:r w:rsidR="00F707AF" w:rsidRPr="008B17C0">
              <w:rPr>
                <w:noProof/>
              </w:rPr>
              <w:tab/>
            </w:r>
            <w:r w:rsidR="00F707AF" w:rsidRPr="008B17C0">
              <w:rPr>
                <w:noProof/>
                <w:webHidden/>
                <w:szCs w:val="24"/>
              </w:rPr>
              <w:fldChar w:fldCharType="begin" w:fldLock="1"/>
            </w:r>
            <w:r w:rsidR="00F707AF" w:rsidRPr="008B17C0">
              <w:rPr>
                <w:noProof/>
                <w:webHidden/>
                <w:szCs w:val="24"/>
              </w:rPr>
              <w:instrText xml:space="preserve"> PAGEREF _Toc84517597 \h </w:instrText>
            </w:r>
            <w:r w:rsidR="00F707AF" w:rsidRPr="008B17C0">
              <w:rPr>
                <w:noProof/>
                <w:webHidden/>
                <w:szCs w:val="24"/>
              </w:rPr>
            </w:r>
            <w:r w:rsidR="00F707AF" w:rsidRPr="008B17C0">
              <w:rPr>
                <w:noProof/>
                <w:webHidden/>
                <w:szCs w:val="24"/>
              </w:rPr>
              <w:fldChar w:fldCharType="separate"/>
            </w:r>
            <w:r w:rsidR="00F707AF" w:rsidRPr="008B17C0">
              <w:rPr>
                <w:noProof/>
                <w:webHidden/>
                <w:szCs w:val="24"/>
              </w:rPr>
              <w:t>35</w:t>
            </w:r>
            <w:r w:rsidR="00F707AF" w:rsidRPr="008B17C0">
              <w:rPr>
                <w:noProof/>
                <w:webHidden/>
                <w:szCs w:val="24"/>
              </w:rPr>
              <w:fldChar w:fldCharType="end"/>
            </w:r>
          </w:hyperlink>
        </w:p>
        <w:p w14:paraId="3203C790" w14:textId="10346991" w:rsidR="00B44ABF" w:rsidRPr="008B17C0" w:rsidRDefault="0007739E" w:rsidP="00B44ABF">
          <w:pPr>
            <w:pStyle w:val="TOC2"/>
            <w:rPr>
              <w:rFonts w:asciiTheme="minorHAnsi" w:eastAsiaTheme="minorEastAsia" w:hAnsiTheme="minorHAnsi" w:cstheme="minorBidi"/>
              <w:noProof/>
              <w:szCs w:val="24"/>
            </w:rPr>
          </w:pPr>
          <w:hyperlink w:anchor="_Toc84517598" w:history="1">
            <w:r w:rsidR="00F707AF" w:rsidRPr="008B17C0">
              <w:rPr>
                <w:rStyle w:val="Hyperlink"/>
                <w:noProof/>
                <w:szCs w:val="24"/>
              </w:rPr>
              <w:t>3.2.</w:t>
            </w:r>
            <w:r w:rsidR="00F707AF" w:rsidRPr="008B17C0">
              <w:rPr>
                <w:noProof/>
              </w:rPr>
              <w:tab/>
            </w:r>
            <w:r w:rsidR="00F707AF" w:rsidRPr="008B17C0">
              <w:rPr>
                <w:rStyle w:val="Hyperlink"/>
                <w:noProof/>
                <w:szCs w:val="24"/>
              </w:rPr>
              <w:t>Estimated financial impact of the proposal on appropriations</w:t>
            </w:r>
            <w:r w:rsidR="00F707AF" w:rsidRPr="008B17C0">
              <w:rPr>
                <w:noProof/>
              </w:rPr>
              <w:tab/>
            </w:r>
            <w:r w:rsidR="00F707AF" w:rsidRPr="008B17C0">
              <w:rPr>
                <w:noProof/>
                <w:webHidden/>
                <w:szCs w:val="24"/>
              </w:rPr>
              <w:fldChar w:fldCharType="begin" w:fldLock="1"/>
            </w:r>
            <w:r w:rsidR="00F707AF" w:rsidRPr="008B17C0">
              <w:rPr>
                <w:noProof/>
                <w:webHidden/>
                <w:szCs w:val="24"/>
              </w:rPr>
              <w:instrText xml:space="preserve"> PAGEREF _Toc84517598 \h </w:instrText>
            </w:r>
            <w:r w:rsidR="00F707AF" w:rsidRPr="008B17C0">
              <w:rPr>
                <w:noProof/>
                <w:webHidden/>
                <w:szCs w:val="24"/>
              </w:rPr>
            </w:r>
            <w:r w:rsidR="00F707AF" w:rsidRPr="008B17C0">
              <w:rPr>
                <w:noProof/>
                <w:webHidden/>
                <w:szCs w:val="24"/>
              </w:rPr>
              <w:fldChar w:fldCharType="separate"/>
            </w:r>
            <w:r w:rsidR="00F707AF" w:rsidRPr="008B17C0">
              <w:rPr>
                <w:noProof/>
                <w:webHidden/>
                <w:szCs w:val="24"/>
              </w:rPr>
              <w:t>36</w:t>
            </w:r>
            <w:r w:rsidR="00F707AF" w:rsidRPr="008B17C0">
              <w:rPr>
                <w:noProof/>
                <w:webHidden/>
                <w:szCs w:val="24"/>
              </w:rPr>
              <w:fldChar w:fldCharType="end"/>
            </w:r>
          </w:hyperlink>
        </w:p>
        <w:p w14:paraId="560BB2EE" w14:textId="6510C2C0" w:rsidR="00B44ABF" w:rsidRPr="008B17C0" w:rsidRDefault="0007739E" w:rsidP="00B44ABF">
          <w:pPr>
            <w:pStyle w:val="TOC3"/>
            <w:rPr>
              <w:rFonts w:asciiTheme="minorHAnsi" w:eastAsiaTheme="minorEastAsia" w:hAnsiTheme="minorHAnsi" w:cstheme="minorBidi"/>
              <w:noProof/>
              <w:szCs w:val="24"/>
            </w:rPr>
          </w:pPr>
          <w:hyperlink w:anchor="_Toc84517599" w:history="1">
            <w:r w:rsidR="00F707AF" w:rsidRPr="008B17C0">
              <w:rPr>
                <w:rStyle w:val="Hyperlink"/>
                <w:noProof/>
                <w:szCs w:val="24"/>
              </w:rPr>
              <w:t>3.2.1.</w:t>
            </w:r>
            <w:r w:rsidR="00F707AF" w:rsidRPr="008B17C0">
              <w:rPr>
                <w:noProof/>
              </w:rPr>
              <w:tab/>
            </w:r>
            <w:r w:rsidR="00F707AF" w:rsidRPr="008B17C0">
              <w:rPr>
                <w:rStyle w:val="Hyperlink"/>
                <w:noProof/>
                <w:szCs w:val="24"/>
              </w:rPr>
              <w:t>Summary of estimated impact on operational appropriations</w:t>
            </w:r>
            <w:r w:rsidR="00F707AF" w:rsidRPr="008B17C0">
              <w:rPr>
                <w:noProof/>
              </w:rPr>
              <w:tab/>
            </w:r>
            <w:r w:rsidR="00F707AF" w:rsidRPr="008B17C0">
              <w:rPr>
                <w:noProof/>
                <w:webHidden/>
                <w:szCs w:val="24"/>
              </w:rPr>
              <w:fldChar w:fldCharType="begin" w:fldLock="1"/>
            </w:r>
            <w:r w:rsidR="00F707AF" w:rsidRPr="008B17C0">
              <w:rPr>
                <w:noProof/>
                <w:webHidden/>
                <w:szCs w:val="24"/>
              </w:rPr>
              <w:instrText xml:space="preserve"> PAGEREF _Toc84517599 \h </w:instrText>
            </w:r>
            <w:r w:rsidR="00F707AF" w:rsidRPr="008B17C0">
              <w:rPr>
                <w:noProof/>
                <w:webHidden/>
                <w:szCs w:val="24"/>
              </w:rPr>
            </w:r>
            <w:r w:rsidR="00F707AF" w:rsidRPr="008B17C0">
              <w:rPr>
                <w:noProof/>
                <w:webHidden/>
                <w:szCs w:val="24"/>
              </w:rPr>
              <w:fldChar w:fldCharType="separate"/>
            </w:r>
            <w:r w:rsidR="00F707AF" w:rsidRPr="008B17C0">
              <w:rPr>
                <w:noProof/>
                <w:webHidden/>
                <w:szCs w:val="24"/>
              </w:rPr>
              <w:t>36</w:t>
            </w:r>
            <w:r w:rsidR="00F707AF" w:rsidRPr="008B17C0">
              <w:rPr>
                <w:noProof/>
                <w:webHidden/>
                <w:szCs w:val="24"/>
              </w:rPr>
              <w:fldChar w:fldCharType="end"/>
            </w:r>
          </w:hyperlink>
        </w:p>
        <w:p w14:paraId="19DC4994" w14:textId="23AF0F61" w:rsidR="00B44ABF" w:rsidRPr="008B17C0" w:rsidRDefault="0007739E" w:rsidP="00B44ABF">
          <w:pPr>
            <w:pStyle w:val="TOC3"/>
            <w:rPr>
              <w:rFonts w:asciiTheme="minorHAnsi" w:eastAsiaTheme="minorEastAsia" w:hAnsiTheme="minorHAnsi" w:cstheme="minorBidi"/>
              <w:noProof/>
              <w:szCs w:val="24"/>
            </w:rPr>
          </w:pPr>
          <w:hyperlink w:anchor="_Toc84517600" w:history="1">
            <w:r w:rsidR="00F707AF" w:rsidRPr="008B17C0">
              <w:rPr>
                <w:rStyle w:val="Hyperlink"/>
                <w:noProof/>
                <w:szCs w:val="24"/>
              </w:rPr>
              <w:t>3.2.2.</w:t>
            </w:r>
            <w:r w:rsidR="00F707AF" w:rsidRPr="008B17C0">
              <w:rPr>
                <w:noProof/>
              </w:rPr>
              <w:tab/>
            </w:r>
            <w:r w:rsidR="00F707AF" w:rsidRPr="008B17C0">
              <w:rPr>
                <w:rStyle w:val="Hyperlink"/>
                <w:noProof/>
                <w:szCs w:val="24"/>
              </w:rPr>
              <w:t>Estimated output funded with operational appropriations</w:t>
            </w:r>
            <w:r w:rsidR="00F707AF" w:rsidRPr="008B17C0">
              <w:rPr>
                <w:noProof/>
              </w:rPr>
              <w:tab/>
            </w:r>
            <w:r w:rsidR="00F707AF" w:rsidRPr="008B17C0">
              <w:rPr>
                <w:noProof/>
                <w:webHidden/>
                <w:szCs w:val="24"/>
              </w:rPr>
              <w:fldChar w:fldCharType="begin" w:fldLock="1"/>
            </w:r>
            <w:r w:rsidR="00F707AF" w:rsidRPr="008B17C0">
              <w:rPr>
                <w:noProof/>
                <w:webHidden/>
                <w:szCs w:val="24"/>
              </w:rPr>
              <w:instrText xml:space="preserve"> PAGEREF _Toc84517600 \h </w:instrText>
            </w:r>
            <w:r w:rsidR="00F707AF" w:rsidRPr="008B17C0">
              <w:rPr>
                <w:noProof/>
                <w:webHidden/>
                <w:szCs w:val="24"/>
              </w:rPr>
            </w:r>
            <w:r w:rsidR="00F707AF" w:rsidRPr="008B17C0">
              <w:rPr>
                <w:noProof/>
                <w:webHidden/>
                <w:szCs w:val="24"/>
              </w:rPr>
              <w:fldChar w:fldCharType="separate"/>
            </w:r>
            <w:r w:rsidR="00F707AF" w:rsidRPr="008B17C0">
              <w:rPr>
                <w:noProof/>
                <w:webHidden/>
                <w:szCs w:val="24"/>
              </w:rPr>
              <w:t>38</w:t>
            </w:r>
            <w:r w:rsidR="00F707AF" w:rsidRPr="008B17C0">
              <w:rPr>
                <w:noProof/>
                <w:webHidden/>
                <w:szCs w:val="24"/>
              </w:rPr>
              <w:fldChar w:fldCharType="end"/>
            </w:r>
          </w:hyperlink>
        </w:p>
        <w:p w14:paraId="32FF6292" w14:textId="0C43BD4C" w:rsidR="00B44ABF" w:rsidRPr="008B17C0" w:rsidRDefault="0007739E" w:rsidP="00B44ABF">
          <w:pPr>
            <w:pStyle w:val="TOC3"/>
            <w:rPr>
              <w:rFonts w:asciiTheme="minorHAnsi" w:eastAsiaTheme="minorEastAsia" w:hAnsiTheme="minorHAnsi" w:cstheme="minorBidi"/>
              <w:noProof/>
              <w:szCs w:val="24"/>
            </w:rPr>
          </w:pPr>
          <w:hyperlink w:anchor="_Toc84517601" w:history="1">
            <w:r w:rsidR="00F707AF" w:rsidRPr="008B17C0">
              <w:rPr>
                <w:rStyle w:val="Hyperlink"/>
                <w:noProof/>
                <w:szCs w:val="24"/>
              </w:rPr>
              <w:t>3.2.3.</w:t>
            </w:r>
            <w:r w:rsidR="00F707AF" w:rsidRPr="008B17C0">
              <w:rPr>
                <w:noProof/>
              </w:rPr>
              <w:tab/>
            </w:r>
            <w:r w:rsidR="00F707AF" w:rsidRPr="008B17C0">
              <w:rPr>
                <w:rStyle w:val="Hyperlink"/>
                <w:noProof/>
                <w:szCs w:val="24"/>
              </w:rPr>
              <w:t>Summary of estimated impact on administrative appropriations</w:t>
            </w:r>
            <w:r w:rsidR="00F707AF" w:rsidRPr="008B17C0">
              <w:rPr>
                <w:noProof/>
              </w:rPr>
              <w:tab/>
            </w:r>
            <w:r w:rsidR="00F707AF" w:rsidRPr="008B17C0">
              <w:rPr>
                <w:noProof/>
                <w:webHidden/>
                <w:szCs w:val="24"/>
              </w:rPr>
              <w:fldChar w:fldCharType="begin" w:fldLock="1"/>
            </w:r>
            <w:r w:rsidR="00F707AF" w:rsidRPr="008B17C0">
              <w:rPr>
                <w:noProof/>
                <w:webHidden/>
                <w:szCs w:val="24"/>
              </w:rPr>
              <w:instrText xml:space="preserve"> PAGEREF _Toc84517601 \h </w:instrText>
            </w:r>
            <w:r w:rsidR="00F707AF" w:rsidRPr="008B17C0">
              <w:rPr>
                <w:noProof/>
                <w:webHidden/>
                <w:szCs w:val="24"/>
              </w:rPr>
            </w:r>
            <w:r w:rsidR="00F707AF" w:rsidRPr="008B17C0">
              <w:rPr>
                <w:noProof/>
                <w:webHidden/>
                <w:szCs w:val="24"/>
              </w:rPr>
              <w:fldChar w:fldCharType="separate"/>
            </w:r>
            <w:r w:rsidR="00F707AF" w:rsidRPr="008B17C0">
              <w:rPr>
                <w:noProof/>
                <w:webHidden/>
                <w:szCs w:val="24"/>
              </w:rPr>
              <w:t>40</w:t>
            </w:r>
            <w:r w:rsidR="00F707AF" w:rsidRPr="008B17C0">
              <w:rPr>
                <w:noProof/>
                <w:webHidden/>
                <w:szCs w:val="24"/>
              </w:rPr>
              <w:fldChar w:fldCharType="end"/>
            </w:r>
          </w:hyperlink>
        </w:p>
        <w:p w14:paraId="0A755089" w14:textId="433CCD88" w:rsidR="00B44ABF" w:rsidRPr="008B17C0" w:rsidRDefault="0007739E" w:rsidP="00B44ABF">
          <w:pPr>
            <w:pStyle w:val="TOC3"/>
            <w:rPr>
              <w:rFonts w:asciiTheme="minorHAnsi" w:eastAsiaTheme="minorEastAsia" w:hAnsiTheme="minorHAnsi" w:cstheme="minorBidi"/>
              <w:noProof/>
              <w:szCs w:val="24"/>
            </w:rPr>
          </w:pPr>
          <w:hyperlink w:anchor="_Toc84517602" w:history="1">
            <w:r w:rsidR="00F707AF" w:rsidRPr="008B17C0">
              <w:rPr>
                <w:rStyle w:val="Hyperlink"/>
                <w:noProof/>
                <w:szCs w:val="24"/>
              </w:rPr>
              <w:t>3.2.4.</w:t>
            </w:r>
            <w:r w:rsidR="00F707AF" w:rsidRPr="008B17C0">
              <w:rPr>
                <w:noProof/>
              </w:rPr>
              <w:tab/>
            </w:r>
            <w:r w:rsidR="00F707AF" w:rsidRPr="008B17C0">
              <w:rPr>
                <w:rStyle w:val="Hyperlink"/>
                <w:noProof/>
                <w:szCs w:val="24"/>
              </w:rPr>
              <w:t>Compatibility with the current multiannual financial framework</w:t>
            </w:r>
            <w:r w:rsidR="00F707AF" w:rsidRPr="008B17C0">
              <w:rPr>
                <w:noProof/>
              </w:rPr>
              <w:tab/>
            </w:r>
            <w:r w:rsidR="00F707AF" w:rsidRPr="008B17C0">
              <w:rPr>
                <w:noProof/>
                <w:webHidden/>
                <w:szCs w:val="24"/>
              </w:rPr>
              <w:fldChar w:fldCharType="begin" w:fldLock="1"/>
            </w:r>
            <w:r w:rsidR="00F707AF" w:rsidRPr="008B17C0">
              <w:rPr>
                <w:noProof/>
                <w:webHidden/>
                <w:szCs w:val="24"/>
              </w:rPr>
              <w:instrText xml:space="preserve"> PAGEREF _Toc84517602 \h </w:instrText>
            </w:r>
            <w:r w:rsidR="00F707AF" w:rsidRPr="008B17C0">
              <w:rPr>
                <w:noProof/>
                <w:webHidden/>
                <w:szCs w:val="24"/>
              </w:rPr>
            </w:r>
            <w:r w:rsidR="00F707AF" w:rsidRPr="008B17C0">
              <w:rPr>
                <w:noProof/>
                <w:webHidden/>
                <w:szCs w:val="24"/>
              </w:rPr>
              <w:fldChar w:fldCharType="separate"/>
            </w:r>
            <w:r w:rsidR="00F707AF" w:rsidRPr="008B17C0">
              <w:rPr>
                <w:noProof/>
                <w:webHidden/>
                <w:szCs w:val="24"/>
              </w:rPr>
              <w:t>46</w:t>
            </w:r>
            <w:r w:rsidR="00F707AF" w:rsidRPr="008B17C0">
              <w:rPr>
                <w:noProof/>
                <w:webHidden/>
                <w:szCs w:val="24"/>
              </w:rPr>
              <w:fldChar w:fldCharType="end"/>
            </w:r>
          </w:hyperlink>
        </w:p>
        <w:p w14:paraId="519F54E9" w14:textId="05308212" w:rsidR="00B44ABF" w:rsidRPr="008B17C0" w:rsidRDefault="0007739E" w:rsidP="00B44ABF">
          <w:pPr>
            <w:pStyle w:val="TOC3"/>
            <w:rPr>
              <w:rFonts w:asciiTheme="minorHAnsi" w:eastAsiaTheme="minorEastAsia" w:hAnsiTheme="minorHAnsi" w:cstheme="minorBidi"/>
              <w:noProof/>
              <w:szCs w:val="24"/>
            </w:rPr>
          </w:pPr>
          <w:hyperlink w:anchor="_Toc84517603" w:history="1">
            <w:r w:rsidR="00F707AF" w:rsidRPr="008B17C0">
              <w:rPr>
                <w:rStyle w:val="Hyperlink"/>
                <w:noProof/>
                <w:szCs w:val="24"/>
              </w:rPr>
              <w:t>3.2.5.</w:t>
            </w:r>
            <w:r w:rsidR="00F707AF" w:rsidRPr="008B17C0">
              <w:rPr>
                <w:noProof/>
              </w:rPr>
              <w:tab/>
            </w:r>
            <w:r w:rsidR="00F707AF" w:rsidRPr="008B17C0">
              <w:rPr>
                <w:rStyle w:val="Hyperlink"/>
                <w:noProof/>
                <w:szCs w:val="24"/>
              </w:rPr>
              <w:t>Third-party contributions</w:t>
            </w:r>
            <w:r w:rsidR="00F707AF" w:rsidRPr="008B17C0">
              <w:rPr>
                <w:noProof/>
              </w:rPr>
              <w:tab/>
            </w:r>
            <w:r w:rsidR="00F707AF" w:rsidRPr="008B17C0">
              <w:rPr>
                <w:noProof/>
                <w:webHidden/>
                <w:szCs w:val="24"/>
              </w:rPr>
              <w:fldChar w:fldCharType="begin" w:fldLock="1"/>
            </w:r>
            <w:r w:rsidR="00F707AF" w:rsidRPr="008B17C0">
              <w:rPr>
                <w:noProof/>
                <w:webHidden/>
                <w:szCs w:val="24"/>
              </w:rPr>
              <w:instrText xml:space="preserve"> PAGEREF _Toc84517603 \h </w:instrText>
            </w:r>
            <w:r w:rsidR="00F707AF" w:rsidRPr="008B17C0">
              <w:rPr>
                <w:noProof/>
                <w:webHidden/>
                <w:szCs w:val="24"/>
              </w:rPr>
            </w:r>
            <w:r w:rsidR="00F707AF" w:rsidRPr="008B17C0">
              <w:rPr>
                <w:noProof/>
                <w:webHidden/>
                <w:szCs w:val="24"/>
              </w:rPr>
              <w:fldChar w:fldCharType="separate"/>
            </w:r>
            <w:r w:rsidR="00F707AF" w:rsidRPr="008B17C0">
              <w:rPr>
                <w:noProof/>
                <w:webHidden/>
                <w:szCs w:val="24"/>
              </w:rPr>
              <w:t>46</w:t>
            </w:r>
            <w:r w:rsidR="00F707AF" w:rsidRPr="008B17C0">
              <w:rPr>
                <w:noProof/>
                <w:webHidden/>
                <w:szCs w:val="24"/>
              </w:rPr>
              <w:fldChar w:fldCharType="end"/>
            </w:r>
          </w:hyperlink>
        </w:p>
        <w:p w14:paraId="688950E0" w14:textId="788C6669" w:rsidR="00B44ABF" w:rsidRPr="008B17C0" w:rsidRDefault="0007739E" w:rsidP="00B44ABF">
          <w:pPr>
            <w:pStyle w:val="TOC2"/>
            <w:rPr>
              <w:rFonts w:asciiTheme="minorHAnsi" w:eastAsiaTheme="minorEastAsia" w:hAnsiTheme="minorHAnsi" w:cstheme="minorBidi"/>
              <w:noProof/>
              <w:szCs w:val="24"/>
            </w:rPr>
          </w:pPr>
          <w:hyperlink w:anchor="_Toc84517604" w:history="1">
            <w:r w:rsidR="00F707AF" w:rsidRPr="008B17C0">
              <w:rPr>
                <w:rStyle w:val="Hyperlink"/>
                <w:noProof/>
                <w:szCs w:val="24"/>
              </w:rPr>
              <w:t>3.3.</w:t>
            </w:r>
            <w:r w:rsidR="00F707AF" w:rsidRPr="008B17C0">
              <w:rPr>
                <w:noProof/>
              </w:rPr>
              <w:tab/>
            </w:r>
            <w:r w:rsidR="00F707AF" w:rsidRPr="008B17C0">
              <w:rPr>
                <w:rStyle w:val="Hyperlink"/>
                <w:noProof/>
                <w:szCs w:val="24"/>
              </w:rPr>
              <w:t>Estimated impact on revenue</w:t>
            </w:r>
            <w:r w:rsidR="00F707AF" w:rsidRPr="008B17C0">
              <w:rPr>
                <w:noProof/>
              </w:rPr>
              <w:tab/>
            </w:r>
            <w:r w:rsidR="00F707AF" w:rsidRPr="008B17C0">
              <w:rPr>
                <w:noProof/>
                <w:webHidden/>
                <w:szCs w:val="24"/>
              </w:rPr>
              <w:fldChar w:fldCharType="begin" w:fldLock="1"/>
            </w:r>
            <w:r w:rsidR="00F707AF" w:rsidRPr="008B17C0">
              <w:rPr>
                <w:noProof/>
                <w:webHidden/>
                <w:szCs w:val="24"/>
              </w:rPr>
              <w:instrText xml:space="preserve"> PAGEREF _Toc84517604 \h </w:instrText>
            </w:r>
            <w:r w:rsidR="00F707AF" w:rsidRPr="008B17C0">
              <w:rPr>
                <w:noProof/>
                <w:webHidden/>
                <w:szCs w:val="24"/>
              </w:rPr>
            </w:r>
            <w:r w:rsidR="00F707AF" w:rsidRPr="008B17C0">
              <w:rPr>
                <w:noProof/>
                <w:webHidden/>
                <w:szCs w:val="24"/>
              </w:rPr>
              <w:fldChar w:fldCharType="separate"/>
            </w:r>
            <w:r w:rsidR="00F707AF" w:rsidRPr="008B17C0">
              <w:rPr>
                <w:noProof/>
                <w:webHidden/>
                <w:szCs w:val="24"/>
              </w:rPr>
              <w:t>47</w:t>
            </w:r>
            <w:r w:rsidR="00F707AF" w:rsidRPr="008B17C0">
              <w:rPr>
                <w:noProof/>
                <w:webHidden/>
                <w:szCs w:val="24"/>
              </w:rPr>
              <w:fldChar w:fldCharType="end"/>
            </w:r>
          </w:hyperlink>
        </w:p>
        <w:p w14:paraId="76F0803B" w14:textId="77777777" w:rsidR="00B44ABF" w:rsidRPr="008B17C0" w:rsidRDefault="00B44ABF" w:rsidP="00B44ABF">
          <w:pPr>
            <w:jc w:val="left"/>
            <w:rPr>
              <w:noProof/>
            </w:rPr>
          </w:pPr>
          <w:r w:rsidRPr="008B17C0">
            <w:rPr>
              <w:bCs/>
              <w:noProof/>
              <w:szCs w:val="24"/>
            </w:rPr>
            <w:fldChar w:fldCharType="end"/>
          </w:r>
        </w:p>
      </w:sdtContent>
    </w:sdt>
    <w:p w14:paraId="037455FE" w14:textId="77777777" w:rsidR="00B44ABF" w:rsidRPr="008B17C0" w:rsidRDefault="00B44ABF" w:rsidP="00B44ABF">
      <w:pPr>
        <w:rPr>
          <w:noProof/>
        </w:rPr>
      </w:pPr>
    </w:p>
    <w:p w14:paraId="21139CCF" w14:textId="77777777" w:rsidR="00B44ABF" w:rsidRPr="008B17C0" w:rsidRDefault="00B44ABF" w:rsidP="00B44ABF">
      <w:pPr>
        <w:rPr>
          <w:noProof/>
        </w:rPr>
      </w:pPr>
    </w:p>
    <w:p w14:paraId="08737922" w14:textId="77777777" w:rsidR="00B44ABF" w:rsidRPr="008B17C0" w:rsidRDefault="00B44ABF" w:rsidP="00B44ABF">
      <w:pPr>
        <w:rPr>
          <w:noProof/>
        </w:rPr>
      </w:pPr>
    </w:p>
    <w:p w14:paraId="50FACF36" w14:textId="77777777" w:rsidR="00B44ABF" w:rsidRPr="008B17C0" w:rsidRDefault="00B44ABF">
      <w:pPr>
        <w:spacing w:before="0" w:after="200" w:line="276" w:lineRule="auto"/>
        <w:jc w:val="left"/>
        <w:rPr>
          <w:noProof/>
        </w:rPr>
      </w:pPr>
      <w:r w:rsidRPr="008B17C0">
        <w:rPr>
          <w:noProof/>
        </w:rPr>
        <w:br w:type="page"/>
      </w:r>
    </w:p>
    <w:p w14:paraId="40EC3DDB" w14:textId="77777777" w:rsidR="00B44ABF" w:rsidRPr="008B17C0" w:rsidRDefault="00B44ABF" w:rsidP="00B44ABF">
      <w:pPr>
        <w:rPr>
          <w:noProof/>
        </w:rPr>
      </w:pPr>
    </w:p>
    <w:p w14:paraId="420DE256" w14:textId="5F49963D" w:rsidR="00436363" w:rsidRPr="008B17C0" w:rsidRDefault="003433F5" w:rsidP="003433F5">
      <w:pPr>
        <w:pStyle w:val="ManualHeading1"/>
        <w:rPr>
          <w:noProof/>
        </w:rPr>
      </w:pPr>
      <w:bookmarkStart w:id="34" w:name="_Toc514938007"/>
      <w:bookmarkStart w:id="35" w:name="_Toc520485025"/>
      <w:bookmarkStart w:id="36" w:name="_Toc84517572"/>
      <w:r w:rsidRPr="003433F5">
        <w:t>1.</w:t>
      </w:r>
      <w:r w:rsidRPr="003433F5">
        <w:tab/>
      </w:r>
      <w:r w:rsidR="00436363" w:rsidRPr="008B17C0">
        <w:rPr>
          <w:noProof/>
        </w:rPr>
        <w:t>FORSLAGETS/INITIATIVETS RAMME</w:t>
      </w:r>
      <w:bookmarkEnd w:id="34"/>
      <w:bookmarkEnd w:id="35"/>
      <w:bookmarkEnd w:id="36"/>
      <w:r w:rsidR="00436363" w:rsidRPr="008B17C0">
        <w:rPr>
          <w:noProof/>
        </w:rPr>
        <w:t xml:space="preserve"> </w:t>
      </w:r>
    </w:p>
    <w:p w14:paraId="29B0C6AC" w14:textId="6DB8A2C7" w:rsidR="00436363" w:rsidRPr="008B17C0" w:rsidRDefault="003433F5" w:rsidP="003433F5">
      <w:pPr>
        <w:pStyle w:val="ManualHeading2"/>
        <w:rPr>
          <w:noProof/>
        </w:rPr>
      </w:pPr>
      <w:bookmarkStart w:id="37" w:name="_Toc514938008"/>
      <w:bookmarkStart w:id="38" w:name="_Toc520485026"/>
      <w:bookmarkStart w:id="39" w:name="_Toc84517573"/>
      <w:r w:rsidRPr="003433F5">
        <w:t>1.1.</w:t>
      </w:r>
      <w:r w:rsidRPr="003433F5">
        <w:tab/>
      </w:r>
      <w:r w:rsidR="00436363" w:rsidRPr="008B17C0">
        <w:rPr>
          <w:noProof/>
        </w:rPr>
        <w:t>Forslagets/initiativets betegnelse</w:t>
      </w:r>
      <w:bookmarkEnd w:id="37"/>
      <w:bookmarkEnd w:id="38"/>
      <w:bookmarkEnd w:id="39"/>
    </w:p>
    <w:p w14:paraId="7DC28E9F" w14:textId="097E271A" w:rsidR="00436363" w:rsidRPr="008B17C0" w:rsidRDefault="00436363" w:rsidP="00436363">
      <w:pPr>
        <w:pStyle w:val="Text1"/>
        <w:pBdr>
          <w:top w:val="single" w:sz="4" w:space="1" w:color="auto"/>
          <w:left w:val="single" w:sz="4" w:space="4" w:color="auto"/>
          <w:bottom w:val="single" w:sz="4" w:space="1" w:color="auto"/>
          <w:right w:val="single" w:sz="4" w:space="4" w:color="auto"/>
        </w:pBdr>
        <w:rPr>
          <w:noProof/>
          <w:color w:val="0000FF"/>
        </w:rPr>
      </w:pPr>
      <w:bookmarkStart w:id="40" w:name="_Toc514938011"/>
      <w:bookmarkStart w:id="41" w:name="_Toc520485027"/>
      <w:r w:rsidRPr="008B17C0">
        <w:rPr>
          <w:noProof/>
          <w:color w:val="0000FF"/>
        </w:rPr>
        <w:t xml:space="preserve">Forslag til Europa-Parlamentets og Rådets forordning om ændring af forordning (EU) 2017/1727 og Rådets afgørelse 2005/671/RIA for så vidt angår digital informationsudveksling i terrorsager </w:t>
      </w:r>
    </w:p>
    <w:p w14:paraId="2BE6574F" w14:textId="56E36C25" w:rsidR="00436363" w:rsidRPr="008B17C0" w:rsidRDefault="003433F5" w:rsidP="003433F5">
      <w:pPr>
        <w:pStyle w:val="ManualHeading2"/>
        <w:rPr>
          <w:i/>
          <w:noProof/>
        </w:rPr>
      </w:pPr>
      <w:bookmarkStart w:id="42" w:name="_Toc84517574"/>
      <w:r w:rsidRPr="003433F5">
        <w:t>1.2.</w:t>
      </w:r>
      <w:r w:rsidRPr="003433F5">
        <w:tab/>
      </w:r>
      <w:r w:rsidR="00436363" w:rsidRPr="008B17C0">
        <w:rPr>
          <w:noProof/>
        </w:rPr>
        <w:t>Berørt(e) politikområde(r)</w:t>
      </w:r>
      <w:bookmarkEnd w:id="40"/>
      <w:bookmarkEnd w:id="41"/>
      <w:bookmarkEnd w:id="42"/>
      <w:r w:rsidR="00436363" w:rsidRPr="008B17C0">
        <w:rPr>
          <w:i/>
          <w:noProof/>
        </w:rPr>
        <w:t xml:space="preserve"> </w:t>
      </w:r>
    </w:p>
    <w:p w14:paraId="3EB03AC1" w14:textId="77777777" w:rsidR="00436363" w:rsidRPr="008B17C0" w:rsidRDefault="00436363" w:rsidP="00436363">
      <w:pPr>
        <w:pStyle w:val="Text1"/>
        <w:pBdr>
          <w:top w:val="single" w:sz="4" w:space="1" w:color="auto"/>
          <w:left w:val="single" w:sz="4" w:space="4" w:color="auto"/>
          <w:bottom w:val="single" w:sz="4" w:space="1" w:color="auto"/>
          <w:right w:val="single" w:sz="4" w:space="4" w:color="auto"/>
        </w:pBdr>
        <w:rPr>
          <w:noProof/>
          <w:color w:val="0000FF"/>
        </w:rPr>
      </w:pPr>
      <w:bookmarkStart w:id="43" w:name="_Toc514938014"/>
      <w:bookmarkStart w:id="44" w:name="_Toc520485028"/>
      <w:r w:rsidRPr="008B17C0">
        <w:rPr>
          <w:noProof/>
          <w:color w:val="0000FF"/>
        </w:rPr>
        <w:t>Politikområde: Retlige anliggender og grundlæggende rettigheder</w:t>
      </w:r>
    </w:p>
    <w:p w14:paraId="09CADBC7" w14:textId="7E56D64C" w:rsidR="00436363" w:rsidRPr="008B17C0" w:rsidRDefault="00436363" w:rsidP="00436363">
      <w:pPr>
        <w:pStyle w:val="Text1"/>
        <w:pBdr>
          <w:top w:val="single" w:sz="4" w:space="1" w:color="auto"/>
          <w:left w:val="single" w:sz="4" w:space="4" w:color="auto"/>
          <w:bottom w:val="single" w:sz="4" w:space="1" w:color="auto"/>
          <w:right w:val="single" w:sz="4" w:space="4" w:color="auto"/>
        </w:pBdr>
        <w:rPr>
          <w:noProof/>
          <w:color w:val="0000FF"/>
        </w:rPr>
      </w:pPr>
      <w:r w:rsidRPr="008B17C0">
        <w:rPr>
          <w:noProof/>
          <w:color w:val="0000FF"/>
        </w:rPr>
        <w:t>Aktivitet: Investering i mennesker,</w:t>
      </w:r>
      <w:r w:rsidR="0008003B">
        <w:rPr>
          <w:noProof/>
          <w:color w:val="0000FF"/>
        </w:rPr>
        <w:t xml:space="preserve"> social samhørighed og værdier </w:t>
      </w:r>
    </w:p>
    <w:p w14:paraId="465E16B7" w14:textId="77777777" w:rsidR="00436363" w:rsidRPr="008B17C0" w:rsidRDefault="00436363" w:rsidP="00436363">
      <w:pPr>
        <w:pStyle w:val="Text1"/>
        <w:pBdr>
          <w:top w:val="single" w:sz="4" w:space="1" w:color="auto"/>
          <w:left w:val="single" w:sz="4" w:space="4" w:color="auto"/>
          <w:bottom w:val="single" w:sz="4" w:space="1" w:color="auto"/>
          <w:right w:val="single" w:sz="4" w:space="4" w:color="auto"/>
        </w:pBdr>
        <w:rPr>
          <w:noProof/>
          <w:color w:val="0000FF"/>
        </w:rPr>
      </w:pPr>
      <w:r w:rsidRPr="008B17C0">
        <w:rPr>
          <w:noProof/>
          <w:color w:val="0000FF"/>
        </w:rPr>
        <w:t>071007: Den Europæiske Unions Agentur for Strafferetligt Samarbejde (Eurojust)</w:t>
      </w:r>
    </w:p>
    <w:p w14:paraId="229A57E1" w14:textId="1957C313" w:rsidR="00436363" w:rsidRPr="008B17C0" w:rsidRDefault="003433F5" w:rsidP="003433F5">
      <w:pPr>
        <w:pStyle w:val="ManualHeading2"/>
        <w:rPr>
          <w:bCs/>
          <w:noProof/>
          <w:szCs w:val="24"/>
        </w:rPr>
      </w:pPr>
      <w:bookmarkStart w:id="45" w:name="_Toc84517575"/>
      <w:r w:rsidRPr="003433F5">
        <w:t>1.3.</w:t>
      </w:r>
      <w:r w:rsidRPr="003433F5">
        <w:tab/>
      </w:r>
      <w:r w:rsidR="00436363" w:rsidRPr="008B17C0">
        <w:rPr>
          <w:noProof/>
        </w:rPr>
        <w:t>Forslaget/initiativet vedrører:</w:t>
      </w:r>
      <w:bookmarkEnd w:id="43"/>
      <w:bookmarkEnd w:id="44"/>
      <w:bookmarkEnd w:id="45"/>
      <w:r w:rsidR="00436363" w:rsidRPr="008B17C0">
        <w:rPr>
          <w:noProof/>
        </w:rPr>
        <w:t xml:space="preserve"> </w:t>
      </w:r>
    </w:p>
    <w:p w14:paraId="162A0DB6" w14:textId="77777777" w:rsidR="00436363" w:rsidRPr="008B17C0" w:rsidRDefault="00436363" w:rsidP="00ED2926">
      <w:pPr>
        <w:pStyle w:val="Text1"/>
        <w:rPr>
          <w:b/>
          <w:noProof/>
          <w:sz w:val="22"/>
        </w:rPr>
      </w:pPr>
      <w:r w:rsidRPr="008B17C0">
        <w:rPr>
          <w:noProof/>
          <w:sz w:val="22"/>
        </w:rPr>
        <w:sym w:font="Wingdings" w:char="F0A8"/>
      </w:r>
      <w:r w:rsidRPr="008B17C0">
        <w:rPr>
          <w:b/>
          <w:i/>
          <w:noProof/>
          <w:sz w:val="22"/>
        </w:rPr>
        <w:t xml:space="preserve"> </w:t>
      </w:r>
      <w:r w:rsidRPr="008B17C0">
        <w:rPr>
          <w:b/>
          <w:noProof/>
        </w:rPr>
        <w:t>en ny foranstaltning</w:t>
      </w:r>
      <w:r w:rsidRPr="008B17C0">
        <w:rPr>
          <w:b/>
          <w:noProof/>
          <w:sz w:val="22"/>
        </w:rPr>
        <w:t xml:space="preserve"> </w:t>
      </w:r>
    </w:p>
    <w:p w14:paraId="665CB0B8" w14:textId="77777777" w:rsidR="00436363" w:rsidRPr="008B17C0" w:rsidRDefault="00436363" w:rsidP="00ED2926">
      <w:pPr>
        <w:pStyle w:val="Text1"/>
        <w:rPr>
          <w:noProof/>
          <w:sz w:val="22"/>
        </w:rPr>
      </w:pPr>
      <w:r w:rsidRPr="008B17C0">
        <w:rPr>
          <w:noProof/>
          <w:sz w:val="22"/>
        </w:rPr>
        <w:sym w:font="Wingdings" w:char="F0A8"/>
      </w:r>
      <w:r w:rsidRPr="008B17C0">
        <w:rPr>
          <w:i/>
          <w:iCs/>
          <w:noProof/>
          <w:sz w:val="22"/>
        </w:rPr>
        <w:t xml:space="preserve"> </w:t>
      </w:r>
      <w:r w:rsidRPr="008B17C0">
        <w:rPr>
          <w:b/>
          <w:bCs/>
          <w:noProof/>
        </w:rPr>
        <w:t>en ny foranstaltning som opfølgning på et pilotprojekt/en forberedende foranstaltning</w:t>
      </w:r>
      <w:r w:rsidRPr="008B17C0">
        <w:rPr>
          <w:rStyle w:val="FootnoteReference"/>
          <w:b/>
          <w:bCs/>
          <w:noProof/>
        </w:rPr>
        <w:footnoteReference w:id="44"/>
      </w:r>
      <w:r w:rsidRPr="008B17C0">
        <w:rPr>
          <w:noProof/>
          <w:sz w:val="22"/>
        </w:rPr>
        <w:t xml:space="preserve"> </w:t>
      </w:r>
    </w:p>
    <w:p w14:paraId="0CF46621" w14:textId="77777777" w:rsidR="00436363" w:rsidRPr="008B17C0" w:rsidRDefault="00436363" w:rsidP="00ED2926">
      <w:pPr>
        <w:pStyle w:val="Text1"/>
        <w:rPr>
          <w:noProof/>
          <w:sz w:val="22"/>
        </w:rPr>
      </w:pPr>
      <w:r w:rsidRPr="008B17C0">
        <w:rPr>
          <w:noProof/>
        </w:rPr>
        <w:sym w:font="Wingdings" w:char="F0FE"/>
      </w:r>
      <w:r w:rsidRPr="008B17C0">
        <w:rPr>
          <w:i/>
          <w:noProof/>
          <w:sz w:val="22"/>
        </w:rPr>
        <w:t xml:space="preserve"> </w:t>
      </w:r>
      <w:r w:rsidRPr="008B17C0">
        <w:rPr>
          <w:b/>
          <w:noProof/>
        </w:rPr>
        <w:t>en forlængelse af en eksisterende foranstaltning</w:t>
      </w:r>
      <w:r w:rsidRPr="008B17C0">
        <w:rPr>
          <w:noProof/>
          <w:sz w:val="22"/>
        </w:rPr>
        <w:t xml:space="preserve"> </w:t>
      </w:r>
    </w:p>
    <w:p w14:paraId="16FEA6F4" w14:textId="77777777" w:rsidR="00436363" w:rsidRPr="008B17C0" w:rsidRDefault="00436363" w:rsidP="00ED2926">
      <w:pPr>
        <w:pStyle w:val="Text1"/>
        <w:rPr>
          <w:noProof/>
        </w:rPr>
      </w:pPr>
      <w:r w:rsidRPr="008B17C0">
        <w:rPr>
          <w:noProof/>
          <w:sz w:val="22"/>
        </w:rPr>
        <w:sym w:font="Wingdings" w:char="F0A8"/>
      </w:r>
      <w:r w:rsidRPr="008B17C0">
        <w:rPr>
          <w:i/>
          <w:noProof/>
          <w:sz w:val="22"/>
        </w:rPr>
        <w:t xml:space="preserve"> </w:t>
      </w:r>
      <w:r w:rsidRPr="008B17C0">
        <w:rPr>
          <w:b/>
          <w:noProof/>
        </w:rPr>
        <w:t>en sammenlægning eller omlægning af en eller flere foranstaltninger til en ny/anden foranstaltning</w:t>
      </w:r>
      <w:r w:rsidRPr="008B17C0">
        <w:rPr>
          <w:noProof/>
        </w:rPr>
        <w:t xml:space="preserve"> </w:t>
      </w:r>
    </w:p>
    <w:p w14:paraId="4257A380" w14:textId="31EAD770" w:rsidR="00436363" w:rsidRPr="008B17C0" w:rsidRDefault="003433F5" w:rsidP="003433F5">
      <w:pPr>
        <w:pStyle w:val="ManualHeading2"/>
        <w:rPr>
          <w:bCs/>
          <w:noProof/>
          <w:szCs w:val="24"/>
        </w:rPr>
      </w:pPr>
      <w:bookmarkStart w:id="46" w:name="_Toc514938015"/>
      <w:bookmarkStart w:id="47" w:name="_Toc520485029"/>
      <w:bookmarkStart w:id="48" w:name="_Toc84517576"/>
      <w:r w:rsidRPr="003433F5">
        <w:t>1.4.</w:t>
      </w:r>
      <w:r w:rsidRPr="003433F5">
        <w:tab/>
      </w:r>
      <w:r w:rsidR="00436363" w:rsidRPr="008B17C0">
        <w:rPr>
          <w:noProof/>
        </w:rPr>
        <w:t>Mål</w:t>
      </w:r>
      <w:bookmarkEnd w:id="46"/>
      <w:bookmarkEnd w:id="47"/>
      <w:bookmarkEnd w:id="48"/>
    </w:p>
    <w:p w14:paraId="37283C91" w14:textId="27D50343" w:rsidR="00436363" w:rsidRPr="008B17C0" w:rsidRDefault="003433F5" w:rsidP="003433F5">
      <w:pPr>
        <w:pStyle w:val="ManualHeading3"/>
        <w:rPr>
          <w:noProof/>
        </w:rPr>
      </w:pPr>
      <w:bookmarkStart w:id="49" w:name="_Toc514938016"/>
      <w:bookmarkStart w:id="50" w:name="_Toc520485030"/>
      <w:bookmarkStart w:id="51" w:name="_Toc84517577"/>
      <w:r w:rsidRPr="003433F5">
        <w:t>1.4.1.</w:t>
      </w:r>
      <w:r w:rsidRPr="003433F5">
        <w:tab/>
      </w:r>
      <w:r w:rsidR="00436363" w:rsidRPr="008B17C0">
        <w:rPr>
          <w:noProof/>
        </w:rPr>
        <w:t>Generelt/generelle mål</w:t>
      </w:r>
      <w:bookmarkEnd w:id="49"/>
      <w:bookmarkEnd w:id="50"/>
      <w:bookmarkEnd w:id="51"/>
    </w:p>
    <w:p w14:paraId="1DA86311" w14:textId="77777777" w:rsidR="00436363" w:rsidRPr="008B17C0" w:rsidRDefault="00436363" w:rsidP="00436363">
      <w:pPr>
        <w:pStyle w:val="Text1"/>
        <w:pBdr>
          <w:top w:val="single" w:sz="4" w:space="1" w:color="auto"/>
          <w:left w:val="single" w:sz="4" w:space="4" w:color="auto"/>
          <w:bottom w:val="single" w:sz="4" w:space="1" w:color="auto"/>
          <w:right w:val="single" w:sz="4" w:space="4" w:color="auto"/>
        </w:pBdr>
        <w:tabs>
          <w:tab w:val="left" w:pos="3120"/>
        </w:tabs>
        <w:rPr>
          <w:noProof/>
        </w:rPr>
      </w:pPr>
      <w:bookmarkStart w:id="52" w:name="_Toc514938018"/>
      <w:bookmarkStart w:id="53" w:name="_Toc520485031"/>
      <w:r w:rsidRPr="008B17C0">
        <w:rPr>
          <w:noProof/>
        </w:rPr>
        <w:t>Eurojust er oprettet som et mellemstatsligt organ til at koordinere efterforskningen af grov grænseoverskridende kriminalitet i og uden for Europa ved Rådets afgørelse 2002/187/JHA. Lissabontraktaten har afskaffet søjlestrukturen i Den Europæiske Union og bragt området med frihed, sikkerhed og retfærdighed på linje med gældende EU-ret. Med forordning (EU) 2017/1727 er der som krævet i artikel 85 i TEUF blevet oprettet en ny retlig ramme for et nyt EU-agentur for strafferetligt samarbejde (Eurojust).</w:t>
      </w:r>
    </w:p>
    <w:p w14:paraId="5FED353A" w14:textId="07D8FC3E" w:rsidR="00436363" w:rsidRPr="008B17C0" w:rsidRDefault="00436363" w:rsidP="00436363">
      <w:pPr>
        <w:pStyle w:val="Text1"/>
        <w:pBdr>
          <w:top w:val="single" w:sz="4" w:space="1" w:color="auto"/>
          <w:left w:val="single" w:sz="4" w:space="4" w:color="auto"/>
          <w:bottom w:val="single" w:sz="4" w:space="1" w:color="auto"/>
          <w:right w:val="single" w:sz="4" w:space="4" w:color="auto"/>
        </w:pBdr>
        <w:tabs>
          <w:tab w:val="left" w:pos="3120"/>
        </w:tabs>
        <w:rPr>
          <w:noProof/>
        </w:rPr>
      </w:pPr>
      <w:r w:rsidRPr="008B17C0">
        <w:rPr>
          <w:noProof/>
        </w:rPr>
        <w:t>Bekæmpelse af terrorisme har været en del af Eurojusts mandat siden dets oprettelse i 2002. Et af de centrale aspekter af Eurojusts arbejde på dette område var oprettelsen af det europæiske retlige terrorbekæmpelsesregister i september 2019. Retsgrundlaget for terrorbekæmpelsesregistret er Rådets afgørelse 2005/671/RIA. Da Eurojustforordningen blev udarbejdet og vedtaget inden oprettelsen af terrorbekæmpelsesregistret, blev der ikke fastsat bestemmelser om registret og dets funktioner i Eurojustforordningen. Desuden kan Eurojusts teknisk forældede sagsforvaltningssystem ikke integrere og understøtte et proaktivt værktøj såsom terrorbekæmpelsesregistret.</w:t>
      </w:r>
    </w:p>
    <w:p w14:paraId="2A1FD8CC" w14:textId="77777777" w:rsidR="00436363" w:rsidRPr="008B17C0" w:rsidRDefault="00436363" w:rsidP="00436363">
      <w:pPr>
        <w:pStyle w:val="Text1"/>
        <w:pBdr>
          <w:top w:val="single" w:sz="4" w:space="1" w:color="auto"/>
          <w:left w:val="single" w:sz="4" w:space="4" w:color="auto"/>
          <w:bottom w:val="single" w:sz="4" w:space="1" w:color="auto"/>
          <w:right w:val="single" w:sz="4" w:space="4" w:color="auto"/>
        </w:pBdr>
        <w:tabs>
          <w:tab w:val="left" w:pos="3120"/>
        </w:tabs>
        <w:rPr>
          <w:noProof/>
        </w:rPr>
      </w:pPr>
      <w:r w:rsidRPr="008B17C0">
        <w:rPr>
          <w:noProof/>
        </w:rPr>
        <w:t xml:space="preserve">Som reaktion på disse presserende operationelle behov bebudede Kommissionen i sit arbejdsprogram for 2020 et lovgivningsinitiativ om digital udveksling af oplysninger vedrørende grænseoverskridende sager om terrorisme som led i pakken om digitalt retligt samarbejde. </w:t>
      </w:r>
    </w:p>
    <w:p w14:paraId="22CCE513" w14:textId="77777777" w:rsidR="00436363" w:rsidRPr="008B17C0" w:rsidRDefault="00436363" w:rsidP="00436363">
      <w:pPr>
        <w:pStyle w:val="Text1"/>
        <w:pBdr>
          <w:top w:val="single" w:sz="4" w:space="1" w:color="auto"/>
          <w:left w:val="single" w:sz="4" w:space="4" w:color="auto"/>
          <w:bottom w:val="single" w:sz="4" w:space="1" w:color="auto"/>
          <w:right w:val="single" w:sz="4" w:space="4" w:color="auto"/>
        </w:pBdr>
        <w:tabs>
          <w:tab w:val="left" w:pos="3120"/>
        </w:tabs>
        <w:rPr>
          <w:noProof/>
        </w:rPr>
      </w:pPr>
      <w:r w:rsidRPr="008B17C0">
        <w:rPr>
          <w:noProof/>
        </w:rPr>
        <w:t>Det overordnede mål er at give Eurojust mulighed for at spille en stærkere og mere proaktiv rolle med hensyn til at støtte medlemsstaterne i deres efterforskning, navnlig i forbindelse med terrorisme, i overensstemmelse med Eurojusts opgave med hensyn til at støtte og styrke koordineringen og samarbejdet mellem de nationale myndigheder, der har til opgave at efterforske og retsforfølge grov kriminalitet.</w:t>
      </w:r>
    </w:p>
    <w:p w14:paraId="297CD103" w14:textId="66F388D3" w:rsidR="00436363" w:rsidRPr="008B17C0" w:rsidRDefault="003433F5" w:rsidP="003433F5">
      <w:pPr>
        <w:pStyle w:val="ManualHeading3"/>
        <w:rPr>
          <w:bCs/>
          <w:noProof/>
          <w:szCs w:val="24"/>
        </w:rPr>
      </w:pPr>
      <w:bookmarkStart w:id="54" w:name="_Toc84517578"/>
      <w:r w:rsidRPr="003433F5">
        <w:t>1.4.2.</w:t>
      </w:r>
      <w:r w:rsidRPr="003433F5">
        <w:tab/>
      </w:r>
      <w:r w:rsidR="00436363" w:rsidRPr="008B17C0">
        <w:rPr>
          <w:noProof/>
        </w:rPr>
        <w:t>Specifikt/specifikke mål</w:t>
      </w:r>
      <w:bookmarkEnd w:id="52"/>
      <w:bookmarkEnd w:id="53"/>
      <w:bookmarkEnd w:id="54"/>
    </w:p>
    <w:p w14:paraId="346B2207" w14:textId="77777777" w:rsidR="00436363" w:rsidRPr="008B17C0" w:rsidRDefault="00436363" w:rsidP="00436363">
      <w:pPr>
        <w:pStyle w:val="Text1"/>
        <w:pBdr>
          <w:top w:val="single" w:sz="4" w:space="1" w:color="auto"/>
          <w:left w:val="single" w:sz="4" w:space="4" w:color="auto"/>
          <w:bottom w:val="single" w:sz="4" w:space="1" w:color="auto"/>
          <w:right w:val="single" w:sz="4" w:space="4" w:color="auto"/>
        </w:pBdr>
        <w:rPr>
          <w:noProof/>
          <w:color w:val="0000FF"/>
        </w:rPr>
      </w:pPr>
      <w:bookmarkStart w:id="55" w:name="_Toc514938019"/>
      <w:bookmarkStart w:id="56" w:name="_Toc520485032"/>
      <w:r w:rsidRPr="008B17C0">
        <w:rPr>
          <w:noProof/>
          <w:color w:val="0000FF"/>
        </w:rPr>
        <w:t>De specifikke mål er afledt af det generelle mål, der er skitseret ovenfor:</w:t>
      </w:r>
    </w:p>
    <w:p w14:paraId="0D053A64" w14:textId="77777777" w:rsidR="00436363" w:rsidRPr="008B17C0" w:rsidRDefault="00436363" w:rsidP="00436363">
      <w:pPr>
        <w:pStyle w:val="Text1"/>
        <w:pBdr>
          <w:top w:val="single" w:sz="4" w:space="1" w:color="auto"/>
          <w:left w:val="single" w:sz="4" w:space="4" w:color="auto"/>
          <w:bottom w:val="single" w:sz="4" w:space="1" w:color="auto"/>
          <w:right w:val="single" w:sz="4" w:space="4" w:color="auto"/>
        </w:pBdr>
        <w:rPr>
          <w:noProof/>
          <w:color w:val="0000FF"/>
          <w:u w:val="single"/>
        </w:rPr>
      </w:pPr>
      <w:r w:rsidRPr="008B17C0">
        <w:rPr>
          <w:noProof/>
          <w:color w:val="0000FF"/>
          <w:u w:val="single"/>
        </w:rPr>
        <w:t>Specifikt mål nr. 1:</w:t>
      </w:r>
    </w:p>
    <w:p w14:paraId="1C9DCB9F" w14:textId="77777777" w:rsidR="00436363" w:rsidRPr="008B17C0" w:rsidRDefault="00436363" w:rsidP="00436363">
      <w:pPr>
        <w:pStyle w:val="Text1"/>
        <w:pBdr>
          <w:top w:val="single" w:sz="4" w:space="1" w:color="auto"/>
          <w:left w:val="single" w:sz="4" w:space="4" w:color="auto"/>
          <w:bottom w:val="single" w:sz="4" w:space="1" w:color="auto"/>
          <w:right w:val="single" w:sz="4" w:space="4" w:color="auto"/>
        </w:pBdr>
        <w:rPr>
          <w:noProof/>
          <w:color w:val="0000FF"/>
        </w:rPr>
      </w:pPr>
      <w:r w:rsidRPr="008B17C0">
        <w:rPr>
          <w:noProof/>
          <w:color w:val="0000FF"/>
        </w:rPr>
        <w:t xml:space="preserve">At give Eurojust mulighed for at identificere forbindelser mere effektivt og give proaktiv feedback til medlemsstaterne. </w:t>
      </w:r>
    </w:p>
    <w:p w14:paraId="6C995C90" w14:textId="77777777" w:rsidR="00436363" w:rsidRPr="008B17C0" w:rsidRDefault="00436363" w:rsidP="00436363">
      <w:pPr>
        <w:pStyle w:val="Text1"/>
        <w:pBdr>
          <w:top w:val="single" w:sz="4" w:space="1" w:color="auto"/>
          <w:left w:val="single" w:sz="4" w:space="4" w:color="auto"/>
          <w:bottom w:val="single" w:sz="4" w:space="1" w:color="auto"/>
          <w:right w:val="single" w:sz="4" w:space="4" w:color="auto"/>
        </w:pBdr>
        <w:rPr>
          <w:noProof/>
          <w:color w:val="0000FF"/>
          <w:u w:val="single"/>
        </w:rPr>
      </w:pPr>
      <w:r w:rsidRPr="008B17C0">
        <w:rPr>
          <w:noProof/>
          <w:color w:val="0000FF"/>
          <w:u w:val="single"/>
        </w:rPr>
        <w:t>Specifikt mål nr. 2:</w:t>
      </w:r>
    </w:p>
    <w:p w14:paraId="5280FD4B" w14:textId="77777777" w:rsidR="00436363" w:rsidRPr="008B17C0" w:rsidRDefault="00436363" w:rsidP="00436363">
      <w:pPr>
        <w:pStyle w:val="Text1"/>
        <w:pBdr>
          <w:top w:val="single" w:sz="4" w:space="1" w:color="auto"/>
          <w:left w:val="single" w:sz="4" w:space="4" w:color="auto"/>
          <w:bottom w:val="single" w:sz="4" w:space="1" w:color="auto"/>
          <w:right w:val="single" w:sz="4" w:space="4" w:color="auto"/>
        </w:pBdr>
        <w:rPr>
          <w:noProof/>
          <w:color w:val="0000FF"/>
        </w:rPr>
      </w:pPr>
      <w:r w:rsidRPr="008B17C0">
        <w:rPr>
          <w:noProof/>
          <w:color w:val="0000FF"/>
        </w:rPr>
        <w:t>At gøre dataudvekslingen mellem medlemsstaterne, Eurojust og tredjelande mere effektiv og sikker.</w:t>
      </w:r>
    </w:p>
    <w:p w14:paraId="3981FF30" w14:textId="77777777" w:rsidR="00500A6A" w:rsidRPr="008B17C0" w:rsidRDefault="00500A6A" w:rsidP="00500A6A">
      <w:pPr>
        <w:spacing w:before="0" w:after="200" w:line="276" w:lineRule="auto"/>
        <w:jc w:val="left"/>
        <w:rPr>
          <w:rFonts w:eastAsiaTheme="majorEastAsia"/>
          <w:bCs/>
          <w:i/>
          <w:noProof/>
        </w:rPr>
      </w:pPr>
      <w:r w:rsidRPr="008B17C0">
        <w:rPr>
          <w:noProof/>
        </w:rPr>
        <w:br w:type="page"/>
      </w:r>
    </w:p>
    <w:p w14:paraId="4B279F37" w14:textId="7D314A12" w:rsidR="00436363" w:rsidRPr="008B17C0" w:rsidRDefault="003433F5" w:rsidP="003433F5">
      <w:pPr>
        <w:pStyle w:val="ManualHeading3"/>
        <w:rPr>
          <w:noProof/>
        </w:rPr>
      </w:pPr>
      <w:bookmarkStart w:id="57" w:name="_Toc84517579"/>
      <w:r w:rsidRPr="003433F5">
        <w:t>1.4.3.</w:t>
      </w:r>
      <w:r w:rsidRPr="003433F5">
        <w:tab/>
      </w:r>
      <w:r w:rsidR="00436363" w:rsidRPr="008B17C0">
        <w:rPr>
          <w:noProof/>
        </w:rPr>
        <w:t>Forventet/forventede resultat(er) og virkning(er)</w:t>
      </w:r>
      <w:bookmarkEnd w:id="55"/>
      <w:bookmarkEnd w:id="56"/>
      <w:bookmarkEnd w:id="57"/>
    </w:p>
    <w:p w14:paraId="4A13E576" w14:textId="77777777" w:rsidR="00436363" w:rsidRPr="008B17C0" w:rsidRDefault="00436363" w:rsidP="00ED2926">
      <w:pPr>
        <w:pStyle w:val="Text1"/>
        <w:rPr>
          <w:i/>
          <w:noProof/>
          <w:sz w:val="20"/>
        </w:rPr>
      </w:pPr>
      <w:r w:rsidRPr="008B17C0">
        <w:rPr>
          <w:i/>
          <w:noProof/>
          <w:sz w:val="20"/>
        </w:rPr>
        <w:t>Angiv, hvilke virkninger forslaget/initiativet forventes at få for modtagerne/målgruppen.</w:t>
      </w:r>
    </w:p>
    <w:p w14:paraId="7856A998" w14:textId="6B59C77B" w:rsidR="00436363" w:rsidRPr="008B17C0" w:rsidRDefault="00436363" w:rsidP="00436363">
      <w:pPr>
        <w:pStyle w:val="Text1"/>
        <w:pBdr>
          <w:top w:val="single" w:sz="4" w:space="1" w:color="auto"/>
          <w:left w:val="single" w:sz="4" w:space="4" w:color="auto"/>
          <w:bottom w:val="single" w:sz="4" w:space="1" w:color="auto"/>
          <w:right w:val="single" w:sz="4" w:space="4" w:color="auto"/>
        </w:pBdr>
        <w:rPr>
          <w:noProof/>
        </w:rPr>
      </w:pPr>
      <w:bookmarkStart w:id="58" w:name="_Toc514938023"/>
      <w:bookmarkStart w:id="59" w:name="_Toc520485033"/>
      <w:r w:rsidRPr="008B17C0">
        <w:rPr>
          <w:noProof/>
        </w:rPr>
        <w:t>Initiativet forventes at integrere terrorbekæmpelsesregistret i Eurojusts sagsforvaltningssystem juridisk og teknisk, således at Eurojust kan identificere forbindelser mellem parallelle grænseoverskridende terrorsager og andre sager om grov kriminalitet og give feedback til medlemsstaterne.</w:t>
      </w:r>
    </w:p>
    <w:p w14:paraId="2FB5223B" w14:textId="1C4E26C0" w:rsidR="00500A6A" w:rsidRPr="008B17C0" w:rsidRDefault="003433F5" w:rsidP="003433F5">
      <w:pPr>
        <w:pStyle w:val="ManualHeading3"/>
        <w:rPr>
          <w:noProof/>
          <w:szCs w:val="24"/>
        </w:rPr>
      </w:pPr>
      <w:bookmarkStart w:id="60" w:name="_Toc84517580"/>
      <w:r w:rsidRPr="003433F5">
        <w:t>1.4.4.</w:t>
      </w:r>
      <w:r w:rsidRPr="003433F5">
        <w:tab/>
      </w:r>
      <w:r w:rsidR="00436363" w:rsidRPr="008B17C0">
        <w:rPr>
          <w:noProof/>
        </w:rPr>
        <w:t>Resultatindikatorer</w:t>
      </w:r>
      <w:bookmarkEnd w:id="58"/>
      <w:bookmarkEnd w:id="59"/>
      <w:bookmarkEnd w:id="60"/>
    </w:p>
    <w:p w14:paraId="52EF0E92" w14:textId="77777777" w:rsidR="00500A6A" w:rsidRPr="008B17C0" w:rsidRDefault="00500A6A" w:rsidP="00500A6A">
      <w:pPr>
        <w:pStyle w:val="Text1"/>
        <w:rPr>
          <w:i/>
          <w:noProof/>
          <w:sz w:val="20"/>
        </w:rPr>
      </w:pPr>
      <w:r w:rsidRPr="008B17C0">
        <w:rPr>
          <w:i/>
          <w:noProof/>
          <w:sz w:val="20"/>
        </w:rPr>
        <w:t>Angiv indikatorerne til overvågning af fremskridt og resultater.</w:t>
      </w:r>
    </w:p>
    <w:p w14:paraId="380EC869" w14:textId="353AD381" w:rsidR="00500A6A" w:rsidRPr="008B17C0" w:rsidRDefault="00500A6A" w:rsidP="006D1312">
      <w:pPr>
        <w:pStyle w:val="Tiret1"/>
        <w:pBdr>
          <w:top w:val="single" w:sz="4" w:space="1" w:color="auto"/>
          <w:left w:val="single" w:sz="4" w:space="4" w:color="auto"/>
          <w:bottom w:val="single" w:sz="4" w:space="1" w:color="auto"/>
          <w:right w:val="single" w:sz="4" w:space="4" w:color="auto"/>
        </w:pBdr>
        <w:rPr>
          <w:noProof/>
        </w:rPr>
      </w:pPr>
      <w:r w:rsidRPr="008B17C0">
        <w:rPr>
          <w:noProof/>
        </w:rPr>
        <w:t>Mængde af oplysninger, den enkelte medlemsstat har sendt til terrorbekæmpelsesregistret, set i forhold til den samlede mængde og kvalitet af oplysninger sendt af medlemsstaterne</w:t>
      </w:r>
    </w:p>
    <w:p w14:paraId="2A2B4807" w14:textId="6238D0D9" w:rsidR="00500A6A" w:rsidRPr="008B17C0" w:rsidRDefault="00500A6A" w:rsidP="006D1312">
      <w:pPr>
        <w:pStyle w:val="Tiret1"/>
        <w:pBdr>
          <w:top w:val="single" w:sz="4" w:space="1" w:color="auto"/>
          <w:left w:val="single" w:sz="4" w:space="4" w:color="auto"/>
          <w:bottom w:val="single" w:sz="4" w:space="1" w:color="auto"/>
          <w:right w:val="single" w:sz="4" w:space="4" w:color="auto"/>
        </w:pBdr>
        <w:rPr>
          <w:noProof/>
        </w:rPr>
      </w:pPr>
      <w:r w:rsidRPr="008B17C0">
        <w:rPr>
          <w:noProof/>
        </w:rPr>
        <w:t>Antal identificerede forbindelser i terrorsager og sager om grov kriminalitet</w:t>
      </w:r>
    </w:p>
    <w:p w14:paraId="5976ECE3" w14:textId="768A709C" w:rsidR="00500A6A" w:rsidRPr="008B17C0" w:rsidRDefault="00500A6A" w:rsidP="006D1312">
      <w:pPr>
        <w:pStyle w:val="Tiret1"/>
        <w:pBdr>
          <w:top w:val="single" w:sz="4" w:space="1" w:color="auto"/>
          <w:left w:val="single" w:sz="4" w:space="4" w:color="auto"/>
          <w:bottom w:val="single" w:sz="4" w:space="1" w:color="auto"/>
          <w:right w:val="single" w:sz="4" w:space="4" w:color="auto"/>
        </w:pBdr>
        <w:rPr>
          <w:noProof/>
        </w:rPr>
      </w:pPr>
      <w:r w:rsidRPr="008B17C0">
        <w:rPr>
          <w:noProof/>
        </w:rPr>
        <w:t>Antal feedback fra Eurojust til medlemsstaterne</w:t>
      </w:r>
    </w:p>
    <w:p w14:paraId="426AB115" w14:textId="35325142" w:rsidR="00500A6A" w:rsidRPr="008B17C0" w:rsidRDefault="00500A6A" w:rsidP="006D1312">
      <w:pPr>
        <w:pStyle w:val="Tiret1"/>
        <w:pBdr>
          <w:top w:val="single" w:sz="4" w:space="1" w:color="auto"/>
          <w:left w:val="single" w:sz="4" w:space="4" w:color="auto"/>
          <w:bottom w:val="single" w:sz="4" w:space="1" w:color="auto"/>
          <w:right w:val="single" w:sz="4" w:space="4" w:color="auto"/>
        </w:pBdr>
        <w:rPr>
          <w:noProof/>
        </w:rPr>
      </w:pPr>
      <w:r w:rsidRPr="008B17C0">
        <w:rPr>
          <w:noProof/>
        </w:rPr>
        <w:t xml:space="preserve">Antal operative sager, der støttes med deltagelse af tredjelande </w:t>
      </w:r>
    </w:p>
    <w:p w14:paraId="12184CB2" w14:textId="77777777" w:rsidR="00500A6A" w:rsidRPr="008B17C0" w:rsidRDefault="00500A6A" w:rsidP="00ED2926">
      <w:pPr>
        <w:pStyle w:val="Text1"/>
        <w:ind w:left="0"/>
        <w:rPr>
          <w:i/>
          <w:noProof/>
          <w:sz w:val="20"/>
        </w:rPr>
      </w:pPr>
    </w:p>
    <w:p w14:paraId="494308E1" w14:textId="13E03B43" w:rsidR="00436363" w:rsidRPr="008B17C0" w:rsidRDefault="003433F5" w:rsidP="003433F5">
      <w:pPr>
        <w:pStyle w:val="ManualHeading2"/>
        <w:rPr>
          <w:bCs/>
          <w:noProof/>
          <w:szCs w:val="24"/>
        </w:rPr>
      </w:pPr>
      <w:bookmarkStart w:id="61" w:name="_Toc514938025"/>
      <w:bookmarkStart w:id="62" w:name="_Toc520485034"/>
      <w:bookmarkStart w:id="63" w:name="_Toc84517581"/>
      <w:r w:rsidRPr="003433F5">
        <w:t>1.5.</w:t>
      </w:r>
      <w:r w:rsidRPr="003433F5">
        <w:tab/>
      </w:r>
      <w:r w:rsidR="00436363" w:rsidRPr="008B17C0">
        <w:rPr>
          <w:noProof/>
        </w:rPr>
        <w:t>Begrundelse for forslaget/initiativet</w:t>
      </w:r>
      <w:bookmarkEnd w:id="61"/>
      <w:bookmarkEnd w:id="62"/>
      <w:bookmarkEnd w:id="63"/>
      <w:r w:rsidR="00436363" w:rsidRPr="008B17C0">
        <w:rPr>
          <w:noProof/>
        </w:rPr>
        <w:t xml:space="preserve"> </w:t>
      </w:r>
    </w:p>
    <w:p w14:paraId="2BB86CC4" w14:textId="4606F48A" w:rsidR="00500A6A" w:rsidRPr="008B17C0" w:rsidRDefault="003433F5" w:rsidP="003433F5">
      <w:pPr>
        <w:pStyle w:val="ManualHeading3"/>
        <w:rPr>
          <w:noProof/>
        </w:rPr>
      </w:pPr>
      <w:bookmarkStart w:id="64" w:name="_Toc514938026"/>
      <w:bookmarkStart w:id="65" w:name="_Toc520485035"/>
      <w:bookmarkStart w:id="66" w:name="_Toc84517582"/>
      <w:r w:rsidRPr="003433F5">
        <w:t>1.5.1.</w:t>
      </w:r>
      <w:r w:rsidRPr="003433F5">
        <w:tab/>
      </w:r>
      <w:r w:rsidR="00436363" w:rsidRPr="008B17C0">
        <w:rPr>
          <w:noProof/>
        </w:rPr>
        <w:t>Behov, der skal opfyldes på kort eller lang sigt, herunder en detaljeret tidsplan for iværksættelsen af initiativet</w:t>
      </w:r>
      <w:bookmarkEnd w:id="64"/>
      <w:bookmarkEnd w:id="65"/>
      <w:bookmarkEnd w:id="66"/>
    </w:p>
    <w:p w14:paraId="5D316A8D" w14:textId="77777777" w:rsidR="00500A6A" w:rsidRPr="008B17C0" w:rsidRDefault="00500A6A" w:rsidP="006D1312">
      <w:pPr>
        <w:pStyle w:val="Text1"/>
        <w:pBdr>
          <w:top w:val="single" w:sz="4" w:space="1" w:color="auto"/>
          <w:left w:val="single" w:sz="4" w:space="1" w:color="auto"/>
          <w:bottom w:val="single" w:sz="4" w:space="1" w:color="auto"/>
          <w:right w:val="single" w:sz="4" w:space="1" w:color="auto"/>
        </w:pBdr>
        <w:rPr>
          <w:noProof/>
          <w:color w:val="0000FF"/>
        </w:rPr>
      </w:pPr>
      <w:r w:rsidRPr="008B17C0">
        <w:rPr>
          <w:noProof/>
          <w:color w:val="0000FF"/>
        </w:rPr>
        <w:t xml:space="preserve">Gennemførelsen af lovgivningsinitiativet kræver tekniske og proceduremæssige foranstaltninger på EU-plan og nationalt plan, som bør begynde, når den reviderede lovgivning træder i kraft. </w:t>
      </w:r>
    </w:p>
    <w:p w14:paraId="4BD18AC6" w14:textId="77777777" w:rsidR="00500A6A" w:rsidRPr="008B17C0" w:rsidRDefault="00500A6A" w:rsidP="006D1312">
      <w:pPr>
        <w:pStyle w:val="Text1"/>
        <w:pBdr>
          <w:top w:val="single" w:sz="4" w:space="1" w:color="auto"/>
          <w:left w:val="single" w:sz="4" w:space="1" w:color="auto"/>
          <w:bottom w:val="single" w:sz="4" w:space="1" w:color="auto"/>
          <w:right w:val="single" w:sz="4" w:space="1" w:color="auto"/>
        </w:pBdr>
        <w:rPr>
          <w:noProof/>
        </w:rPr>
      </w:pPr>
      <w:r w:rsidRPr="008B17C0">
        <w:rPr>
          <w:noProof/>
        </w:rPr>
        <w:t>De vigtigste krav efter forslagets ikrafttræden er følgende:</w:t>
      </w:r>
    </w:p>
    <w:p w14:paraId="40C5A8D1" w14:textId="3560C170" w:rsidR="00500A6A" w:rsidRPr="008B17C0" w:rsidRDefault="00500A6A" w:rsidP="006D1312">
      <w:pPr>
        <w:pStyle w:val="Tiret1"/>
        <w:pBdr>
          <w:top w:val="single" w:sz="4" w:space="1" w:color="auto"/>
          <w:left w:val="single" w:sz="4" w:space="1" w:color="auto"/>
          <w:bottom w:val="single" w:sz="4" w:space="1" w:color="auto"/>
          <w:right w:val="single" w:sz="4" w:space="1" w:color="auto"/>
        </w:pBdr>
        <w:rPr>
          <w:noProof/>
        </w:rPr>
      </w:pPr>
      <w:r w:rsidRPr="008B17C0">
        <w:rPr>
          <w:noProof/>
        </w:rPr>
        <w:t xml:space="preserve">Eurojust skal gennemføre et nyt moderne Eurojust-informationssystem, integrere terrorbekæmpelsesregistret og sikre, at der er mulighed for at koble sig til sikre kommunikationskanaler og behandle strukturerede oplysninger. </w:t>
      </w:r>
    </w:p>
    <w:p w14:paraId="79EA406D" w14:textId="7732AEB6" w:rsidR="00500A6A" w:rsidRPr="008B17C0" w:rsidRDefault="00500A6A" w:rsidP="006D1312">
      <w:pPr>
        <w:pStyle w:val="Tiret1"/>
        <w:pBdr>
          <w:top w:val="single" w:sz="4" w:space="1" w:color="auto"/>
          <w:left w:val="single" w:sz="4" w:space="1" w:color="auto"/>
          <w:bottom w:val="single" w:sz="4" w:space="1" w:color="auto"/>
          <w:right w:val="single" w:sz="4" w:space="1" w:color="auto"/>
        </w:pBdr>
        <w:rPr>
          <w:noProof/>
        </w:rPr>
      </w:pPr>
      <w:r w:rsidRPr="008B17C0">
        <w:rPr>
          <w:noProof/>
        </w:rPr>
        <w:t>Eurojust og medlemsstaterne skal sikre, at der er adgang til sikre kommunikationskanaler.</w:t>
      </w:r>
    </w:p>
    <w:p w14:paraId="2AB68205" w14:textId="45765216" w:rsidR="00500A6A" w:rsidRPr="008B17C0" w:rsidRDefault="00500A6A" w:rsidP="006D1312">
      <w:pPr>
        <w:pStyle w:val="Tiret1"/>
        <w:pBdr>
          <w:top w:val="single" w:sz="4" w:space="1" w:color="auto"/>
          <w:left w:val="single" w:sz="4" w:space="1" w:color="auto"/>
          <w:bottom w:val="single" w:sz="4" w:space="1" w:color="auto"/>
          <w:right w:val="single" w:sz="4" w:space="1" w:color="auto"/>
        </w:pBdr>
        <w:rPr>
          <w:noProof/>
        </w:rPr>
      </w:pPr>
      <w:r w:rsidRPr="008B17C0">
        <w:rPr>
          <w:noProof/>
        </w:rPr>
        <w:t xml:space="preserve">Medlemsstaterne skal sikre, at der er adgang til nødvendig infrastruktur til halvautomatisk og struktureret overførsel af oplysninger. </w:t>
      </w:r>
    </w:p>
    <w:p w14:paraId="507C720A" w14:textId="5BE9C79E" w:rsidR="001674C8" w:rsidRPr="008B17C0" w:rsidRDefault="00500A6A" w:rsidP="006D1312">
      <w:pPr>
        <w:pStyle w:val="Text1"/>
        <w:pBdr>
          <w:top w:val="single" w:sz="4" w:space="1" w:color="auto"/>
          <w:left w:val="single" w:sz="4" w:space="1" w:color="auto"/>
          <w:bottom w:val="single" w:sz="4" w:space="1" w:color="auto"/>
          <w:right w:val="single" w:sz="4" w:space="1" w:color="auto"/>
        </w:pBdr>
        <w:rPr>
          <w:noProof/>
          <w:color w:val="0000FF"/>
        </w:rPr>
      </w:pPr>
      <w:r w:rsidRPr="008B17C0">
        <w:rPr>
          <w:noProof/>
          <w:color w:val="0000FF"/>
        </w:rPr>
        <w:t xml:space="preserve">På grundlag af resultaterne af undersøgelsen om digital strafferet og henset til, at det haster med at forny sagsforvaltningssystemet, har Eurojust allerede taget de første indledende skridt til fornyelsen. Agenturet har bestilt en markedsanalyse, hvor der blev foretaget en grundig undersøgelse af den mest hensigtsmæssige løsning. </w:t>
      </w:r>
    </w:p>
    <w:p w14:paraId="36A6CD5D" w14:textId="58D4B23E" w:rsidR="00500A6A" w:rsidRPr="008B17C0" w:rsidRDefault="00500A6A" w:rsidP="001674C8">
      <w:pPr>
        <w:pStyle w:val="Text1"/>
        <w:pBdr>
          <w:top w:val="single" w:sz="4" w:space="1" w:color="auto"/>
          <w:left w:val="single" w:sz="4" w:space="1" w:color="auto"/>
          <w:bottom w:val="single" w:sz="4" w:space="1" w:color="auto"/>
          <w:right w:val="single" w:sz="4" w:space="1" w:color="auto"/>
        </w:pBdr>
        <w:rPr>
          <w:noProof/>
          <w:color w:val="0000FF"/>
        </w:rPr>
      </w:pPr>
      <w:r w:rsidRPr="008B17C0">
        <w:rPr>
          <w:noProof/>
          <w:color w:val="0000FF"/>
        </w:rPr>
        <w:t>Ved udgangen af 2021 fik Eurojust tildelt 9,5 mio. EUR i uudnyttede midler fra Den Europæiske Anklagemyndighed (EPPO), som vil blive anvendt til at forberede udviklingen af sagsforvaltningssystemet yderligere. Eurojust vil bestille konsulenttjenester mandat til støtte for analyse-, udformnings- og udviklingsfasen. Eurojust forventer udgifter på 2,3 mio. EUR til disse tjenester. Følgende indkøb af infrastruktur- og standardsoftware og installationstjenester forventes at beløbe sig til 5,2 mio. EUR. Endelig har Eurojust anslået, at der vil blive brugt 2 mio. EUR på konsulenttjenester til program- og projektforvaltning, administrative ændringer og forvaltning.</w:t>
      </w:r>
    </w:p>
    <w:p w14:paraId="38213091" w14:textId="4963FB9A" w:rsidR="00500A6A" w:rsidRPr="008B17C0" w:rsidRDefault="003433F5" w:rsidP="003433F5">
      <w:pPr>
        <w:pStyle w:val="ManualHeading3"/>
        <w:rPr>
          <w:noProof/>
        </w:rPr>
      </w:pPr>
      <w:bookmarkStart w:id="67" w:name="_Toc514938029"/>
      <w:bookmarkStart w:id="68" w:name="_Toc520485036"/>
      <w:bookmarkStart w:id="69" w:name="_Toc84517583"/>
      <w:r w:rsidRPr="003433F5">
        <w:t>1.5.2.</w:t>
      </w:r>
      <w:r w:rsidRPr="003433F5">
        <w:tab/>
      </w:r>
      <w:r w:rsidR="00436363" w:rsidRPr="008B17C0">
        <w:rPr>
          <w:noProof/>
        </w:rPr>
        <w:t>Merværdien ved et EU-tiltag (f.eks. som følge af koordineringsfordele, retssikkerhed, større effekt eller komplementaritet). Ved "merværdien ved et EU-tiltag" forstås her merværdien af EU's intervention i forhold til den værdi, som medlemsstaterne ville have skabt enkeltvis</w:t>
      </w:r>
      <w:bookmarkStart w:id="70" w:name="_Toc514938030"/>
      <w:bookmarkStart w:id="71" w:name="_Toc520485037"/>
      <w:bookmarkEnd w:id="67"/>
      <w:bookmarkEnd w:id="68"/>
      <w:bookmarkEnd w:id="69"/>
    </w:p>
    <w:p w14:paraId="6C5104F6" w14:textId="77777777" w:rsidR="00500A6A" w:rsidRPr="008B17C0" w:rsidRDefault="00500A6A" w:rsidP="00500A6A">
      <w:pPr>
        <w:pStyle w:val="Text1"/>
        <w:pBdr>
          <w:top w:val="single" w:sz="4" w:space="1" w:color="auto"/>
          <w:left w:val="single" w:sz="4" w:space="4" w:color="auto"/>
          <w:bottom w:val="single" w:sz="4" w:space="1" w:color="auto"/>
          <w:right w:val="single" w:sz="4" w:space="4" w:color="auto"/>
        </w:pBdr>
        <w:rPr>
          <w:noProof/>
        </w:rPr>
      </w:pPr>
      <w:r w:rsidRPr="008B17C0">
        <w:rPr>
          <w:noProof/>
        </w:rPr>
        <w:t>Kriminelle aktiviteter er i dag mere komplicerede, forskelligartede og internationale end nogensinde før. Omfattende kriminelle netværk og terrornetværk udgør en betydelig trussel mod EU's og borgernes indre sikkerhed. Kriminelle aktiviteter er blevet stadig mere forskelligartede og grænseoverskridende. De nationale retsmyndigheder kan ikke længere arbejde isoleret, men er nødt til at samarbejde med hinanden og med Eurojust.</w:t>
      </w:r>
    </w:p>
    <w:p w14:paraId="7B384CD9" w14:textId="77777777" w:rsidR="00500A6A" w:rsidRPr="008B17C0" w:rsidRDefault="00500A6A" w:rsidP="00500A6A">
      <w:pPr>
        <w:pStyle w:val="Text1"/>
        <w:pBdr>
          <w:top w:val="single" w:sz="4" w:space="1" w:color="auto"/>
          <w:left w:val="single" w:sz="4" w:space="4" w:color="auto"/>
          <w:bottom w:val="single" w:sz="4" w:space="1" w:color="auto"/>
          <w:right w:val="single" w:sz="4" w:space="4" w:color="auto"/>
        </w:pBdr>
        <w:rPr>
          <w:noProof/>
        </w:rPr>
      </w:pPr>
      <w:r w:rsidRPr="008B17C0">
        <w:rPr>
          <w:noProof/>
        </w:rPr>
        <w:t>Effektiv udveksling af oplysninger mellem kompetente myndigheder og EU-agenturer er afgørende for retsforfølgningen af terrorisme. Med den nye stigning i antallet af fremmedkrigere er betydningen af at udveksle oplysninger mellem medlemsstaterne og med Eurojust kun blevet tydeligere.</w:t>
      </w:r>
    </w:p>
    <w:p w14:paraId="39E907DC" w14:textId="77777777" w:rsidR="00500A6A" w:rsidRPr="008B17C0" w:rsidRDefault="00500A6A" w:rsidP="00500A6A">
      <w:pPr>
        <w:pStyle w:val="Text1"/>
        <w:pBdr>
          <w:top w:val="single" w:sz="4" w:space="1" w:color="auto"/>
          <w:left w:val="single" w:sz="4" w:space="4" w:color="auto"/>
          <w:bottom w:val="single" w:sz="4" w:space="1" w:color="auto"/>
          <w:right w:val="single" w:sz="4" w:space="4" w:color="auto"/>
        </w:pBdr>
        <w:rPr>
          <w:noProof/>
        </w:rPr>
      </w:pPr>
      <w:r w:rsidRPr="008B17C0">
        <w:rPr>
          <w:noProof/>
        </w:rPr>
        <w:t>Den nuværende manglende forbindelse mellem Eurojusts sagsarbejde og de oplysninger, der modtages gennem terrorbekæmpelsesregistret, forhindrer Eurojust i at give rettidig og proaktiv feedback til de nationale myndigheder i grænseoverskridende terrorsager, og potentielle forbindelser, overlappende efterforskninger og retsforfølgninger, der bør forbindes, identificeres ikke. Denne manglende forbindelse kan også hæmme Eurojusts bestræbelser på at forebygge konflikter om jurisdiktion og ne bis in idem-sager.</w:t>
      </w:r>
    </w:p>
    <w:p w14:paraId="3BDF5378" w14:textId="13AE9CA7" w:rsidR="00500A6A" w:rsidRPr="008B17C0" w:rsidRDefault="00500A6A" w:rsidP="00500A6A">
      <w:pPr>
        <w:pStyle w:val="Text1"/>
        <w:pBdr>
          <w:top w:val="single" w:sz="4" w:space="1" w:color="auto"/>
          <w:left w:val="single" w:sz="4" w:space="4" w:color="auto"/>
          <w:bottom w:val="single" w:sz="4" w:space="1" w:color="auto"/>
          <w:right w:val="single" w:sz="4" w:space="4" w:color="auto"/>
        </w:pBdr>
        <w:rPr>
          <w:noProof/>
        </w:rPr>
      </w:pPr>
      <w:bookmarkStart w:id="72" w:name="_Toc514938671"/>
      <w:r w:rsidRPr="008B17C0">
        <w:rPr>
          <w:noProof/>
        </w:rPr>
        <w:t xml:space="preserve">Initiativet forventes at give Eurojust mulighed for at identificere og følge op på forbindelser mellem terrorsager mere proaktivt og give rettidig feedback til medlemsstaterne. Disse opgaver og tjenester kan kun udføres på EU-plan på grund af deres tværnationale karakter. Eurojust vil sammen med de enkelte medlemsstater og sine internationale partnere gøre Europa til et sikrere sted for alle dets borgere. </w:t>
      </w:r>
      <w:bookmarkEnd w:id="72"/>
    </w:p>
    <w:p w14:paraId="0192068D" w14:textId="77777777" w:rsidR="00500A6A" w:rsidRPr="008B17C0" w:rsidRDefault="00500A6A" w:rsidP="00ED2926">
      <w:pPr>
        <w:pStyle w:val="Text1"/>
        <w:pBdr>
          <w:top w:val="single" w:sz="4" w:space="1" w:color="auto"/>
          <w:left w:val="single" w:sz="4" w:space="4" w:color="auto"/>
          <w:bottom w:val="single" w:sz="4" w:space="1" w:color="auto"/>
          <w:right w:val="single" w:sz="4" w:space="4" w:color="auto"/>
        </w:pBdr>
        <w:rPr>
          <w:noProof/>
          <w:color w:val="0000FF"/>
        </w:rPr>
      </w:pPr>
      <w:r w:rsidRPr="008B17C0">
        <w:rPr>
          <w:noProof/>
          <w:color w:val="0000FF"/>
        </w:rPr>
        <w:t xml:space="preserve">Forslaget bygger på behovet for at tackle grænseoverskridende sikkerhedsudfordringer, der hele tiden udvikler sig, ud over det nationale niveau alene. </w:t>
      </w:r>
      <w:r w:rsidRPr="008B17C0">
        <w:rPr>
          <w:noProof/>
        </w:rPr>
        <w:t>Praksis har vist, at hurtig og sikker dataudveksling er afgørende for en effektiv strafferetspleje. Uden en passende IT-infrastruktur er det hverken muligt at strukturere dataudvekslingen eller foretage et behørigt krydstjek af oplysninger. Derfor er en struktureret identificering af forbindelser mellem grænseoverskridende sager heller ikke mulig uden sikre kommunikationskanaler og et moderne sagsforvaltningssystem.</w:t>
      </w:r>
      <w:r w:rsidRPr="008B17C0">
        <w:rPr>
          <w:noProof/>
          <w:color w:val="0000FF"/>
        </w:rPr>
        <w:t xml:space="preserve"> Dette forslag bygger også på de erfaringer og fremskridt, der er gjort siden Eurojustforordningen fra 2018 trådte i kraft. Dette påvirker først og fremmest Eurojusts stadig vigtigere rolle som bindeled mellem medlemsstaterne og tredjelande i det retlige samarbejde. </w:t>
      </w:r>
    </w:p>
    <w:p w14:paraId="5A120E89" w14:textId="3BC6DF9F" w:rsidR="00ED2926" w:rsidRPr="008B17C0" w:rsidRDefault="003433F5" w:rsidP="003433F5">
      <w:pPr>
        <w:pStyle w:val="ManualHeading3"/>
        <w:rPr>
          <w:noProof/>
        </w:rPr>
      </w:pPr>
      <w:bookmarkStart w:id="73" w:name="_Toc84517584"/>
      <w:r w:rsidRPr="003433F5">
        <w:t>1.5.3.</w:t>
      </w:r>
      <w:r w:rsidRPr="003433F5">
        <w:tab/>
      </w:r>
      <w:r w:rsidR="00436363" w:rsidRPr="008B17C0">
        <w:rPr>
          <w:noProof/>
        </w:rPr>
        <w:t>Erfaringer fra tidligere foranstaltninger af lignende art</w:t>
      </w:r>
      <w:bookmarkStart w:id="74" w:name="_Toc514938033"/>
      <w:bookmarkStart w:id="75" w:name="_Toc520485038"/>
      <w:bookmarkEnd w:id="70"/>
      <w:bookmarkEnd w:id="71"/>
      <w:bookmarkEnd w:id="73"/>
    </w:p>
    <w:p w14:paraId="01C48A45" w14:textId="77777777" w:rsidR="00ED2926" w:rsidRPr="008B17C0" w:rsidRDefault="00ED2926" w:rsidP="00ED2926">
      <w:pPr>
        <w:pStyle w:val="Text1"/>
        <w:pBdr>
          <w:top w:val="single" w:sz="4" w:space="1" w:color="auto"/>
          <w:left w:val="single" w:sz="4" w:space="4" w:color="auto"/>
          <w:bottom w:val="single" w:sz="4" w:space="1" w:color="auto"/>
          <w:right w:val="single" w:sz="4" w:space="4" w:color="auto"/>
        </w:pBdr>
        <w:rPr>
          <w:noProof/>
        </w:rPr>
      </w:pPr>
      <w:r w:rsidRPr="008B17C0">
        <w:rPr>
          <w:noProof/>
        </w:rPr>
        <w:t xml:space="preserve">Forslaget bygger på behovet for at koordinere den retlige indsats over for udviklingen af grænseoverskridende kriminalitet i stadig udvikling ud over det nationale niveau alene. </w:t>
      </w:r>
    </w:p>
    <w:p w14:paraId="6BF9389A" w14:textId="77777777" w:rsidR="00ED2926" w:rsidRPr="008B17C0" w:rsidRDefault="00ED2926" w:rsidP="00ED2926">
      <w:pPr>
        <w:pStyle w:val="Text1"/>
        <w:pBdr>
          <w:top w:val="single" w:sz="4" w:space="1" w:color="auto"/>
          <w:left w:val="single" w:sz="4" w:space="4" w:color="auto"/>
          <w:bottom w:val="single" w:sz="4" w:space="1" w:color="auto"/>
          <w:right w:val="single" w:sz="4" w:space="4" w:color="auto"/>
        </w:pBdr>
        <w:rPr>
          <w:noProof/>
        </w:rPr>
      </w:pPr>
      <w:r w:rsidRPr="008B17C0">
        <w:rPr>
          <w:noProof/>
        </w:rPr>
        <w:t>Europa står over for et sikkerhedslandskab i forandring med voksende og stadig mere komplekse sikkerhedstrusler. Kriminelle udnytter de fordele, som den digitale omstilling, nye teknologier, globalisering og mobilitet medfører, herunder sammenkobling og udviskning af grænserne mellem den fysiske og den digitale verden. Covid-19-krisen forværrede dette, fordi kriminelle har været hurtige til at gribe mulighederne for at udnytte krisen ved at tilpasse deres modus operandi eller udvikle nye kriminelle aktiviteter.</w:t>
      </w:r>
    </w:p>
    <w:p w14:paraId="2C4D0287" w14:textId="7FC7BC8D" w:rsidR="002710AC" w:rsidRPr="008B17C0" w:rsidRDefault="00ED2926" w:rsidP="00ED2926">
      <w:pPr>
        <w:pStyle w:val="Text1"/>
        <w:pBdr>
          <w:top w:val="single" w:sz="4" w:space="1" w:color="auto"/>
          <w:left w:val="single" w:sz="4" w:space="4" w:color="auto"/>
          <w:bottom w:val="single" w:sz="4" w:space="1" w:color="auto"/>
          <w:right w:val="single" w:sz="4" w:space="4" w:color="auto"/>
        </w:pBdr>
        <w:rPr>
          <w:noProof/>
        </w:rPr>
      </w:pPr>
      <w:r w:rsidRPr="008B17C0">
        <w:rPr>
          <w:noProof/>
        </w:rPr>
        <w:t>Pandemien viste den generelle betydning af digitalisering af det retlige samarbejde for retsvæsenets funktion. Desuden det retlige samarbejde med tredjelande om strafferetlig efterforskning af terrorhandlinger og andre centrale internationale</w:t>
      </w:r>
    </w:p>
    <w:p w14:paraId="5F58D469" w14:textId="77777777" w:rsidR="00ED2926" w:rsidRPr="008B17C0" w:rsidRDefault="00ED2926">
      <w:pPr>
        <w:pStyle w:val="Text1"/>
        <w:pBdr>
          <w:top w:val="single" w:sz="4" w:space="1" w:color="auto"/>
          <w:left w:val="single" w:sz="4" w:space="4" w:color="auto"/>
          <w:bottom w:val="single" w:sz="4" w:space="1" w:color="auto"/>
          <w:right w:val="single" w:sz="4" w:space="4" w:color="auto"/>
        </w:pBdr>
        <w:rPr>
          <w:noProof/>
        </w:rPr>
      </w:pPr>
      <w:r w:rsidRPr="008B17C0">
        <w:rPr>
          <w:noProof/>
        </w:rPr>
        <w:t xml:space="preserve">forbrydelser blevet mere relevant, navnlig med hensyn til forbrydelser begået af Daesh. </w:t>
      </w:r>
    </w:p>
    <w:p w14:paraId="6DD99B41" w14:textId="77777777" w:rsidR="00ED2926" w:rsidRPr="008B17C0" w:rsidRDefault="00ED2926" w:rsidP="00ED2926">
      <w:pPr>
        <w:pStyle w:val="Text1"/>
        <w:pBdr>
          <w:top w:val="single" w:sz="4" w:space="1" w:color="auto"/>
          <w:left w:val="single" w:sz="4" w:space="4" w:color="auto"/>
          <w:bottom w:val="single" w:sz="4" w:space="1" w:color="auto"/>
          <w:right w:val="single" w:sz="4" w:space="4" w:color="auto"/>
        </w:pBdr>
        <w:rPr>
          <w:noProof/>
          <w:color w:val="0000FF"/>
        </w:rPr>
      </w:pPr>
      <w:r w:rsidRPr="008B17C0">
        <w:rPr>
          <w:noProof/>
        </w:rPr>
        <w:t>De kriminelle aktiviteter er i stadig udvikling, og der er derfor behov for effektiv støtte på EU-plan til de nationale retshåndhævende myndigheders arbejde. Medlemsstaternes judicielle myndigheder har i stigende grad gjort brug af den støtte og ekspertise, som Eurojust tilbyder til bekæmpelse af grov kriminalitet og terrorisme. Dette forslag bygger også på de erfaringer og fremskridt, der er gjort siden Eurojustforordningen fra 2018 trådte i kraft og oprettelsen af terrorbekæmpelsesregistret. Den rolle, som tredjelande spiller, kunne ikke forudses, da medlovgiverne forhandlede om den nuværende Eurojustforordning.</w:t>
      </w:r>
    </w:p>
    <w:p w14:paraId="50260805" w14:textId="0D257F2B" w:rsidR="00ED2926" w:rsidRPr="008B17C0" w:rsidRDefault="003433F5" w:rsidP="003433F5">
      <w:pPr>
        <w:pStyle w:val="ManualHeading3"/>
        <w:rPr>
          <w:noProof/>
        </w:rPr>
      </w:pPr>
      <w:bookmarkStart w:id="76" w:name="_Toc84517585"/>
      <w:r w:rsidRPr="003433F5">
        <w:t>1.5.4.</w:t>
      </w:r>
      <w:r w:rsidRPr="003433F5">
        <w:tab/>
      </w:r>
      <w:r w:rsidR="00436363" w:rsidRPr="008B17C0">
        <w:rPr>
          <w:noProof/>
        </w:rPr>
        <w:t>Forenelighed med den flerårige finansielle ramme og mulige synergivirkninger med andre relevante instrumenter</w:t>
      </w:r>
      <w:bookmarkStart w:id="77" w:name="_Toc514938036"/>
      <w:bookmarkStart w:id="78" w:name="_Toc520485039"/>
      <w:bookmarkEnd w:id="74"/>
      <w:bookmarkEnd w:id="75"/>
      <w:bookmarkEnd w:id="76"/>
    </w:p>
    <w:p w14:paraId="5E0E87F3" w14:textId="77777777" w:rsidR="00ED2926" w:rsidRPr="008B17C0" w:rsidRDefault="00ED2926" w:rsidP="00ED2926">
      <w:pPr>
        <w:pStyle w:val="Text1"/>
        <w:pBdr>
          <w:top w:val="single" w:sz="4" w:space="1" w:color="auto"/>
          <w:left w:val="single" w:sz="4" w:space="4" w:color="auto"/>
          <w:bottom w:val="single" w:sz="4" w:space="1" w:color="auto"/>
          <w:right w:val="single" w:sz="4" w:space="4" w:color="auto"/>
        </w:pBdr>
        <w:rPr>
          <w:noProof/>
        </w:rPr>
      </w:pPr>
      <w:r w:rsidRPr="008B17C0">
        <w:rPr>
          <w:noProof/>
        </w:rPr>
        <w:t xml:space="preserve">Styrkelsen af det strafferetlige samarbejde er et vigtigt led i skabelsen af et område med frihed, sikkerhed og retfærdighed. </w:t>
      </w:r>
    </w:p>
    <w:p w14:paraId="6E8250D6" w14:textId="2C995932" w:rsidR="00ED2926" w:rsidRPr="008B17C0" w:rsidRDefault="00ED2926" w:rsidP="00ED2926">
      <w:pPr>
        <w:pStyle w:val="Text1"/>
        <w:pBdr>
          <w:top w:val="single" w:sz="4" w:space="1" w:color="auto"/>
          <w:left w:val="single" w:sz="4" w:space="4" w:color="auto"/>
          <w:bottom w:val="single" w:sz="4" w:space="1" w:color="auto"/>
          <w:right w:val="single" w:sz="4" w:space="4" w:color="auto"/>
        </w:pBdr>
        <w:rPr>
          <w:noProof/>
        </w:rPr>
      </w:pPr>
      <w:r w:rsidRPr="008B17C0">
        <w:rPr>
          <w:noProof/>
        </w:rPr>
        <w:t>Forbedringen af den digitale udveksling af oplysninger om terrorsager og moderniseringen af Eurojusts sagsforvaltningssystem er i overensstemmelse med strategien for EU's sikkerhedsunion</w:t>
      </w:r>
      <w:r w:rsidRPr="008B17C0">
        <w:rPr>
          <w:rStyle w:val="FootnoteReference"/>
          <w:noProof/>
          <w:color w:val="0000FF"/>
        </w:rPr>
        <w:footnoteReference w:id="45"/>
      </w:r>
      <w:r w:rsidRPr="008B17C0">
        <w:rPr>
          <w:noProof/>
        </w:rPr>
        <w:t>, dagsordenen for bekæmpelse af terrorisme i EU</w:t>
      </w:r>
      <w:r w:rsidRPr="008B17C0">
        <w:rPr>
          <w:rStyle w:val="FootnoteReference"/>
          <w:noProof/>
          <w:color w:val="0000FF"/>
        </w:rPr>
        <w:footnoteReference w:id="46"/>
      </w:r>
      <w:r w:rsidRPr="008B17C0">
        <w:rPr>
          <w:noProof/>
        </w:rPr>
        <w:t>, meddelelsen om digitalisering af retsvæsenet</w:t>
      </w:r>
      <w:r w:rsidRPr="008B17C0">
        <w:rPr>
          <w:rStyle w:val="FootnoteReference"/>
          <w:noProof/>
          <w:color w:val="0000FF"/>
        </w:rPr>
        <w:footnoteReference w:id="47"/>
      </w:r>
      <w:r w:rsidRPr="008B17C0">
        <w:rPr>
          <w:noProof/>
        </w:rPr>
        <w:t xml:space="preserve"> og EU-strategien til bekæmpelse af organiseret kriminalitet</w:t>
      </w:r>
      <w:r w:rsidRPr="008B17C0">
        <w:rPr>
          <w:rStyle w:val="FootnoteReference"/>
          <w:noProof/>
          <w:color w:val="0000FF"/>
        </w:rPr>
        <w:footnoteReference w:id="48"/>
      </w:r>
      <w:r w:rsidRPr="008B17C0">
        <w:rPr>
          <w:noProof/>
        </w:rPr>
        <w:t>.</w:t>
      </w:r>
    </w:p>
    <w:p w14:paraId="18642099" w14:textId="77777777" w:rsidR="00ED2926" w:rsidRPr="008B17C0" w:rsidRDefault="00ED2926" w:rsidP="00ED2926">
      <w:pPr>
        <w:pStyle w:val="Text1"/>
        <w:pBdr>
          <w:top w:val="single" w:sz="4" w:space="1" w:color="auto"/>
          <w:left w:val="single" w:sz="4" w:space="4" w:color="auto"/>
          <w:bottom w:val="single" w:sz="4" w:space="1" w:color="auto"/>
          <w:right w:val="single" w:sz="4" w:space="4" w:color="auto"/>
        </w:pBdr>
        <w:rPr>
          <w:noProof/>
        </w:rPr>
      </w:pPr>
      <w:r w:rsidRPr="008B17C0">
        <w:rPr>
          <w:noProof/>
        </w:rPr>
        <w:t xml:space="preserve">I Kommissionens meddelelse om strategien for EU's sikkerhedsunion, der blev offentliggjort i juli 2020, understregedes forbindelsen mellem intern og ekstern sikkerhed og betydningen af samarbejde for at beskytte borgernes rettigheder effektivt. I den nylige dagsorden for bekæmpelse af terrorisme i EU blev det bekræftet, at terrorhandlinger fortsat er en stor udfordring for medlemsstaternes retshåndhævende myndigheder og anklagemyndigheder, der kræver en yderligere indsats for at styrke samarbejdet mellem disse myndigheder med støtte fra Europol og Eurojust. I meddelelsen om en EU-strategi til bekæmpelse af organiseret kriminalitet gav Kommissionen udtryk for sin støtte til en modernisering af Eurojusts sagsforvaltningssystem for at gøre det lettere for Eurojust at give feedback til nationale myndigheder og skabe retlige forbindelser mellem igangværende efterforskninger. </w:t>
      </w:r>
    </w:p>
    <w:p w14:paraId="544354FD" w14:textId="77777777" w:rsidR="00ED2926" w:rsidRPr="008B17C0" w:rsidRDefault="00ED2926" w:rsidP="00ED2926">
      <w:pPr>
        <w:pStyle w:val="Text1"/>
        <w:pBdr>
          <w:top w:val="single" w:sz="4" w:space="1" w:color="auto"/>
          <w:left w:val="single" w:sz="4" w:space="4" w:color="auto"/>
          <w:bottom w:val="single" w:sz="4" w:space="1" w:color="auto"/>
          <w:right w:val="single" w:sz="4" w:space="4" w:color="auto"/>
        </w:pBdr>
        <w:rPr>
          <w:noProof/>
          <w:color w:val="0000FF"/>
        </w:rPr>
      </w:pPr>
      <w:r w:rsidRPr="008B17C0">
        <w:rPr>
          <w:noProof/>
        </w:rPr>
        <w:t xml:space="preserve">I Kommissionens meddelelse om digitalisering af retsvæsenet henvises der til dette forslag som en del af den samlede værktøjskasse med muligheder for yderligere digitalisering af retsvæsenet. Dette forslag er opført i Kommissionens arbejdsprogram for 2021. Forslaget vedrører også Kommissionens nuværende forslag til forordning om et IT-system til grænseoverskridende kommunikation i civil- og strafferetlige sager (e-CODEX) og om ændring af forordning (EU) 2018/1726, som i øjeblikket forhandles af medlovgiverne. </w:t>
      </w:r>
    </w:p>
    <w:p w14:paraId="36204BB9" w14:textId="76D965DB" w:rsidR="00436363" w:rsidRPr="008B17C0" w:rsidRDefault="003433F5" w:rsidP="003433F5">
      <w:pPr>
        <w:pStyle w:val="ManualHeading3"/>
        <w:rPr>
          <w:noProof/>
        </w:rPr>
      </w:pPr>
      <w:bookmarkStart w:id="79" w:name="_Toc84517586"/>
      <w:r w:rsidRPr="003433F5">
        <w:t>1.5.5.</w:t>
      </w:r>
      <w:r w:rsidRPr="003433F5">
        <w:tab/>
      </w:r>
      <w:r w:rsidR="00436363" w:rsidRPr="008B17C0">
        <w:rPr>
          <w:noProof/>
        </w:rPr>
        <w:t>Vurdering af de forskellige finansieringsmuligheder, der er til rådighed, herunder muligheden for omfordeling</w:t>
      </w:r>
      <w:bookmarkEnd w:id="77"/>
      <w:bookmarkEnd w:id="78"/>
      <w:bookmarkEnd w:id="79"/>
    </w:p>
    <w:p w14:paraId="1005BB92" w14:textId="11FFA344" w:rsidR="00ED2926" w:rsidRPr="008B17C0" w:rsidRDefault="00ED2926" w:rsidP="00ED2926">
      <w:pPr>
        <w:pStyle w:val="Text1"/>
        <w:pBdr>
          <w:top w:val="single" w:sz="4" w:space="1" w:color="auto"/>
          <w:left w:val="single" w:sz="4" w:space="4" w:color="auto"/>
          <w:bottom w:val="single" w:sz="4" w:space="1" w:color="auto"/>
          <w:right w:val="single" w:sz="4" w:space="4" w:color="auto"/>
        </w:pBdr>
        <w:rPr>
          <w:noProof/>
        </w:rPr>
      </w:pPr>
      <w:r w:rsidRPr="008B17C0">
        <w:rPr>
          <w:noProof/>
        </w:rPr>
        <w:t xml:space="preserve">Siden Eurojustforordningen trådte i kraft, er tendensen gået i retning af en vækst i agenturets datastrømme og efterspørgslen efter dets tjenester. I de tidligere budgetter er der imidlertid aldrig blevet afsat finansielle midler til at modernisere Eurojusts forældede sagsforvaltningssystem. </w:t>
      </w:r>
    </w:p>
    <w:p w14:paraId="42004E73" w14:textId="534A59DF" w:rsidR="001674C8" w:rsidRPr="008B17C0" w:rsidRDefault="00ED2926" w:rsidP="00ED2926">
      <w:pPr>
        <w:pStyle w:val="Text1"/>
        <w:pBdr>
          <w:top w:val="single" w:sz="4" w:space="1" w:color="auto"/>
          <w:left w:val="single" w:sz="4" w:space="4" w:color="auto"/>
          <w:bottom w:val="single" w:sz="4" w:space="1" w:color="auto"/>
          <w:right w:val="single" w:sz="4" w:space="4" w:color="auto"/>
        </w:pBdr>
        <w:rPr>
          <w:noProof/>
        </w:rPr>
      </w:pPr>
      <w:r w:rsidRPr="008B17C0">
        <w:rPr>
          <w:noProof/>
          <w:color w:val="0000FF"/>
        </w:rPr>
        <w:t>Forslaget vil indføre nye opgaver i Eurojustforordningen og vil også præcisere andre opgaver, der skal gøre Eurojust klar til den digitale tidsalder. Det vil ikke være muligt at gennemføre digitaliseringen af det retlige samarbejde uden et nyt sagsforvaltningssystem understøttet af yderligere økonomiske og menneskelige ressourcer.</w:t>
      </w:r>
      <w:r w:rsidRPr="008B17C0">
        <w:rPr>
          <w:noProof/>
        </w:rPr>
        <w:t xml:space="preserve"> </w:t>
      </w:r>
    </w:p>
    <w:p w14:paraId="46F98ED4" w14:textId="28B71C3D" w:rsidR="00ED2926" w:rsidRPr="008B17C0" w:rsidRDefault="001674C8" w:rsidP="00ED2926">
      <w:pPr>
        <w:pStyle w:val="Text1"/>
        <w:pBdr>
          <w:top w:val="single" w:sz="4" w:space="1" w:color="auto"/>
          <w:left w:val="single" w:sz="4" w:space="4" w:color="auto"/>
          <w:bottom w:val="single" w:sz="4" w:space="1" w:color="auto"/>
          <w:right w:val="single" w:sz="4" w:space="4" w:color="auto"/>
        </w:pBdr>
        <w:rPr>
          <w:noProof/>
        </w:rPr>
      </w:pPr>
      <w:r w:rsidRPr="008B17C0">
        <w:rPr>
          <w:noProof/>
          <w:color w:val="0000FF"/>
        </w:rPr>
        <w:t xml:space="preserve">Ved udgangen af 2021 fik Eurojust tildelt 9,5 mio. EUR i uudnyttede midler fra Den Europæiske Anklagemyndighed (EPPO) til forberedelse af udviklingen og gennemførelsen af det nye sagsforvaltningssystem. Resten af udgifterne vil blive finansieret via margenen under udgiftsområde 2b i FFR. </w:t>
      </w:r>
    </w:p>
    <w:p w14:paraId="6EE93D18" w14:textId="76C1135B" w:rsidR="00ED2926" w:rsidRPr="008B17C0" w:rsidRDefault="00ED2926" w:rsidP="00B2088F">
      <w:pPr>
        <w:rPr>
          <w:noProof/>
        </w:rPr>
      </w:pPr>
    </w:p>
    <w:p w14:paraId="04D9B902" w14:textId="0005BABC" w:rsidR="00436363" w:rsidRPr="008B17C0" w:rsidRDefault="00436363" w:rsidP="003433F5">
      <w:pPr>
        <w:pStyle w:val="ManualHeading2"/>
        <w:rPr>
          <w:bCs/>
          <w:noProof/>
          <w:szCs w:val="24"/>
        </w:rPr>
      </w:pPr>
      <w:r w:rsidRPr="008B17C0">
        <w:rPr>
          <w:noProof/>
        </w:rPr>
        <w:br w:type="page"/>
      </w:r>
      <w:bookmarkStart w:id="80" w:name="_Toc514938039"/>
      <w:bookmarkStart w:id="81" w:name="_Toc520485040"/>
      <w:bookmarkStart w:id="82" w:name="_Toc84517587"/>
      <w:r w:rsidR="003433F5" w:rsidRPr="003433F5">
        <w:t>1.6.</w:t>
      </w:r>
      <w:r w:rsidR="003433F5" w:rsidRPr="003433F5">
        <w:tab/>
      </w:r>
      <w:r w:rsidRPr="008B17C0">
        <w:rPr>
          <w:noProof/>
        </w:rPr>
        <w:t>Forslagets/initiativets varighed og finansielle virkninger</w:t>
      </w:r>
      <w:bookmarkEnd w:id="80"/>
      <w:bookmarkEnd w:id="81"/>
      <w:bookmarkEnd w:id="82"/>
    </w:p>
    <w:p w14:paraId="2F9B3BCC" w14:textId="77777777" w:rsidR="00436363" w:rsidRPr="008B17C0" w:rsidRDefault="00436363" w:rsidP="00ED2926">
      <w:pPr>
        <w:pStyle w:val="Text1"/>
        <w:rPr>
          <w:noProof/>
        </w:rPr>
      </w:pPr>
      <w:r w:rsidRPr="008B17C0">
        <w:rPr>
          <w:noProof/>
        </w:rPr>
        <w:sym w:font="Wingdings" w:char="F0A8"/>
      </w:r>
      <w:r w:rsidRPr="008B17C0">
        <w:rPr>
          <w:b/>
          <w:i/>
          <w:noProof/>
        </w:rPr>
        <w:t xml:space="preserve"> </w:t>
      </w:r>
      <w:r w:rsidRPr="008B17C0">
        <w:rPr>
          <w:b/>
          <w:noProof/>
        </w:rPr>
        <w:t xml:space="preserve">Begrænset varighed </w:t>
      </w:r>
    </w:p>
    <w:p w14:paraId="7151D22E" w14:textId="77777777" w:rsidR="00436363" w:rsidRPr="008B17C0" w:rsidRDefault="00436363" w:rsidP="00917AAD">
      <w:pPr>
        <w:pStyle w:val="ListDash2"/>
        <w:rPr>
          <w:noProof/>
        </w:rPr>
      </w:pPr>
      <w:r w:rsidRPr="008B17C0">
        <w:rPr>
          <w:noProof/>
        </w:rPr>
        <w:sym w:font="Wingdings" w:char="F0A8"/>
      </w:r>
      <w:r w:rsidRPr="008B17C0">
        <w:rPr>
          <w:noProof/>
        </w:rPr>
        <w:tab/>
        <w:t xml:space="preserve">gældende fra [DD/MM]ÅÅÅÅ til [DD/MM]ÅÅÅÅ </w:t>
      </w:r>
    </w:p>
    <w:p w14:paraId="6AF91D14" w14:textId="77777777" w:rsidR="00436363" w:rsidRPr="008B17C0" w:rsidRDefault="00436363" w:rsidP="00917AAD">
      <w:pPr>
        <w:pStyle w:val="ListDash2"/>
        <w:rPr>
          <w:noProof/>
        </w:rPr>
      </w:pPr>
      <w:r w:rsidRPr="008B17C0">
        <w:rPr>
          <w:noProof/>
        </w:rPr>
        <w:sym w:font="Wingdings" w:char="F0A8"/>
      </w:r>
      <w:r w:rsidRPr="008B17C0">
        <w:rPr>
          <w:noProof/>
        </w:rPr>
        <w:tab/>
        <w:t xml:space="preserve">Finansielle virkninger fra ÅÅÅÅ til ÅÅÅÅ </w:t>
      </w:r>
    </w:p>
    <w:p w14:paraId="71DD7788" w14:textId="77777777" w:rsidR="00436363" w:rsidRPr="008B17C0" w:rsidRDefault="00ED2926" w:rsidP="00ED2926">
      <w:pPr>
        <w:pStyle w:val="Text1"/>
        <w:rPr>
          <w:noProof/>
        </w:rPr>
      </w:pPr>
      <w:r w:rsidRPr="008B17C0">
        <w:rPr>
          <w:noProof/>
        </w:rPr>
        <w:sym w:font="Wingdings" w:char="F0FE"/>
      </w:r>
      <w:r w:rsidRPr="008B17C0">
        <w:rPr>
          <w:noProof/>
        </w:rPr>
        <w:t xml:space="preserve"> </w:t>
      </w:r>
      <w:r w:rsidRPr="008B17C0">
        <w:rPr>
          <w:b/>
          <w:noProof/>
        </w:rPr>
        <w:t>Ubegrænset varighed</w:t>
      </w:r>
    </w:p>
    <w:p w14:paraId="583F9291" w14:textId="77777777" w:rsidR="00436363" w:rsidRPr="008B17C0" w:rsidRDefault="00436363" w:rsidP="00917AAD">
      <w:pPr>
        <w:pStyle w:val="ListDash1"/>
        <w:rPr>
          <w:noProof/>
        </w:rPr>
      </w:pPr>
      <w:r w:rsidRPr="008B17C0">
        <w:rPr>
          <w:noProof/>
        </w:rPr>
        <w:t>Iværksættelse med en indkøringsperiode fra ÅÅÅÅ til ÅÅÅÅ</w:t>
      </w:r>
    </w:p>
    <w:p w14:paraId="19E6AFC0" w14:textId="77777777" w:rsidR="00436363" w:rsidRPr="008B17C0" w:rsidRDefault="00436363" w:rsidP="00917AAD">
      <w:pPr>
        <w:pStyle w:val="ListDash1"/>
        <w:rPr>
          <w:noProof/>
        </w:rPr>
      </w:pPr>
      <w:r w:rsidRPr="008B17C0">
        <w:rPr>
          <w:noProof/>
        </w:rPr>
        <w:t>derefter gennemførelse i fuldt omfang.</w:t>
      </w:r>
    </w:p>
    <w:p w14:paraId="41F121E1" w14:textId="3286FF87" w:rsidR="00436363" w:rsidRPr="008B17C0" w:rsidRDefault="003433F5" w:rsidP="003433F5">
      <w:pPr>
        <w:pStyle w:val="ManualHeading2"/>
        <w:rPr>
          <w:noProof/>
        </w:rPr>
      </w:pPr>
      <w:bookmarkStart w:id="83" w:name="_Toc514938040"/>
      <w:bookmarkStart w:id="84" w:name="_Toc520485041"/>
      <w:bookmarkStart w:id="85" w:name="_Toc84517588"/>
      <w:r w:rsidRPr="003433F5">
        <w:t>1.7.</w:t>
      </w:r>
      <w:r w:rsidRPr="003433F5">
        <w:tab/>
      </w:r>
      <w:r w:rsidR="00436363" w:rsidRPr="008B17C0">
        <w:rPr>
          <w:noProof/>
        </w:rPr>
        <w:t>Planlagt(e) forvaltningsmetode(r)</w:t>
      </w:r>
      <w:r w:rsidR="00436363" w:rsidRPr="008B17C0">
        <w:rPr>
          <w:rStyle w:val="FootnoteReference"/>
          <w:noProof/>
        </w:rPr>
        <w:footnoteReference w:id="49"/>
      </w:r>
      <w:r w:rsidR="00436363" w:rsidRPr="008B17C0">
        <w:rPr>
          <w:rStyle w:val="FootnoteReference"/>
          <w:noProof/>
        </w:rPr>
        <w:t xml:space="preserve"> </w:t>
      </w:r>
      <w:bookmarkEnd w:id="83"/>
      <w:bookmarkEnd w:id="84"/>
      <w:bookmarkEnd w:id="85"/>
    </w:p>
    <w:p w14:paraId="5AAD995E" w14:textId="77777777" w:rsidR="00ED2926" w:rsidRPr="008B17C0" w:rsidRDefault="00ED2926" w:rsidP="00ED2926">
      <w:pPr>
        <w:pStyle w:val="Text1"/>
        <w:rPr>
          <w:noProof/>
        </w:rPr>
      </w:pPr>
      <w:r w:rsidRPr="008B17C0">
        <w:rPr>
          <w:noProof/>
        </w:rPr>
        <w:sym w:font="Wingdings" w:char="F0A8"/>
      </w:r>
      <w:r w:rsidRPr="008B17C0">
        <w:rPr>
          <w:i/>
          <w:noProof/>
        </w:rPr>
        <w:t xml:space="preserve"> </w:t>
      </w:r>
      <w:r w:rsidRPr="008B17C0">
        <w:rPr>
          <w:b/>
          <w:noProof/>
        </w:rPr>
        <w:t>Direkte forvaltning</w:t>
      </w:r>
      <w:r w:rsidRPr="008B17C0">
        <w:rPr>
          <w:noProof/>
        </w:rPr>
        <w:t xml:space="preserve"> ved Kommissionen via</w:t>
      </w:r>
    </w:p>
    <w:p w14:paraId="50E182D0" w14:textId="77777777" w:rsidR="00ED2926" w:rsidRPr="008B17C0" w:rsidRDefault="00ED2926" w:rsidP="00ED2926">
      <w:pPr>
        <w:pStyle w:val="ListDash2"/>
        <w:rPr>
          <w:noProof/>
        </w:rPr>
      </w:pPr>
      <w:r w:rsidRPr="008B17C0">
        <w:rPr>
          <w:noProof/>
        </w:rPr>
        <w:sym w:font="Wingdings" w:char="F0A8"/>
      </w:r>
      <w:r w:rsidRPr="008B17C0">
        <w:rPr>
          <w:noProof/>
        </w:rPr>
        <w:tab/>
        <w:t xml:space="preserve">forvaltningsorganer </w:t>
      </w:r>
    </w:p>
    <w:p w14:paraId="76645354" w14:textId="77777777" w:rsidR="00ED2926" w:rsidRPr="008B17C0" w:rsidRDefault="00ED2926" w:rsidP="00ED2926">
      <w:pPr>
        <w:pStyle w:val="Text1"/>
        <w:rPr>
          <w:noProof/>
        </w:rPr>
      </w:pPr>
      <w:r w:rsidRPr="008B17C0">
        <w:rPr>
          <w:noProof/>
        </w:rPr>
        <w:sym w:font="Wingdings" w:char="F0A8"/>
      </w:r>
      <w:r w:rsidRPr="008B17C0">
        <w:rPr>
          <w:b/>
          <w:i/>
          <w:noProof/>
        </w:rPr>
        <w:t xml:space="preserve"> </w:t>
      </w:r>
      <w:r w:rsidRPr="008B17C0">
        <w:rPr>
          <w:b/>
          <w:noProof/>
        </w:rPr>
        <w:t>Delt forvaltning</w:t>
      </w:r>
      <w:r w:rsidRPr="008B17C0">
        <w:rPr>
          <w:noProof/>
        </w:rPr>
        <w:t xml:space="preserve"> i samarbejde med medlemsstaterne </w:t>
      </w:r>
    </w:p>
    <w:p w14:paraId="01DDC1B1" w14:textId="77777777" w:rsidR="00ED2926" w:rsidRPr="008B17C0" w:rsidRDefault="00ED2926" w:rsidP="00ED2926">
      <w:pPr>
        <w:pStyle w:val="Text1"/>
        <w:rPr>
          <w:noProof/>
        </w:rPr>
      </w:pPr>
      <w:r w:rsidRPr="008B17C0">
        <w:rPr>
          <w:noProof/>
        </w:rPr>
        <w:sym w:font="Wingdings" w:char="F0FE"/>
      </w:r>
      <w:r w:rsidRPr="008B17C0">
        <w:rPr>
          <w:i/>
          <w:noProof/>
        </w:rPr>
        <w:t xml:space="preserve"> </w:t>
      </w:r>
      <w:r w:rsidRPr="008B17C0">
        <w:rPr>
          <w:b/>
          <w:noProof/>
        </w:rPr>
        <w:t>Indirekte forvaltning</w:t>
      </w:r>
      <w:r w:rsidRPr="008B17C0">
        <w:rPr>
          <w:noProof/>
        </w:rPr>
        <w:t xml:space="preserve"> ved at overlade budgetgennemførelsesopgaver til:</w:t>
      </w:r>
    </w:p>
    <w:p w14:paraId="335C66AA" w14:textId="77777777" w:rsidR="00ED2926" w:rsidRPr="008B17C0" w:rsidRDefault="00ED2926" w:rsidP="00ED2926">
      <w:pPr>
        <w:pStyle w:val="Text1"/>
        <w:rPr>
          <w:noProof/>
        </w:rPr>
      </w:pPr>
      <w:r w:rsidRPr="008B17C0">
        <w:rPr>
          <w:noProof/>
        </w:rPr>
        <w:sym w:font="Wingdings" w:char="F0A8"/>
      </w:r>
      <w:r w:rsidRPr="008B17C0">
        <w:rPr>
          <w:noProof/>
        </w:rPr>
        <w:t xml:space="preserve"> internationale organisationer og deres organer (angiv nærmere)</w:t>
      </w:r>
    </w:p>
    <w:p w14:paraId="7ADB468C" w14:textId="77777777" w:rsidR="00ED2926" w:rsidRPr="008B17C0" w:rsidRDefault="00ED2926" w:rsidP="00ED2926">
      <w:pPr>
        <w:pStyle w:val="Text1"/>
        <w:rPr>
          <w:noProof/>
        </w:rPr>
      </w:pPr>
      <w:r w:rsidRPr="008B17C0">
        <w:rPr>
          <w:noProof/>
        </w:rPr>
        <w:sym w:font="Wingdings" w:char="F0A8"/>
      </w:r>
      <w:r w:rsidRPr="008B17C0">
        <w:rPr>
          <w:noProof/>
        </w:rPr>
        <w:t xml:space="preserve"> Den Europæiske Investeringsbank og Den Europæiske Investeringsfond</w:t>
      </w:r>
    </w:p>
    <w:p w14:paraId="492E61F1" w14:textId="77777777" w:rsidR="00ED2926" w:rsidRPr="008B17C0" w:rsidRDefault="00ED2926" w:rsidP="00ED2926">
      <w:pPr>
        <w:pStyle w:val="Text1"/>
        <w:rPr>
          <w:noProof/>
        </w:rPr>
      </w:pPr>
      <w:r w:rsidRPr="008B17C0">
        <w:rPr>
          <w:noProof/>
        </w:rPr>
        <w:sym w:font="Wingdings" w:char="F0FE"/>
      </w:r>
      <w:r w:rsidRPr="008B17C0">
        <w:rPr>
          <w:noProof/>
        </w:rPr>
        <w:t xml:space="preserve"> de organer, der er omhandlet i finansforordningens artikel 70 og 71</w:t>
      </w:r>
    </w:p>
    <w:p w14:paraId="137048C6" w14:textId="77777777" w:rsidR="00ED2926" w:rsidRPr="008B17C0" w:rsidRDefault="00ED2926" w:rsidP="00ED2926">
      <w:pPr>
        <w:pStyle w:val="Text1"/>
        <w:rPr>
          <w:noProof/>
        </w:rPr>
      </w:pPr>
      <w:r w:rsidRPr="008B17C0">
        <w:rPr>
          <w:noProof/>
        </w:rPr>
        <w:sym w:font="Wingdings" w:char="F0A8"/>
      </w:r>
      <w:r w:rsidRPr="008B17C0">
        <w:rPr>
          <w:noProof/>
        </w:rPr>
        <w:t xml:space="preserve"> offentligretlige organer</w:t>
      </w:r>
    </w:p>
    <w:p w14:paraId="55A48ED3" w14:textId="77777777" w:rsidR="00ED2926" w:rsidRPr="008B17C0" w:rsidRDefault="00ED2926" w:rsidP="00ED2926">
      <w:pPr>
        <w:pStyle w:val="Text1"/>
        <w:rPr>
          <w:noProof/>
        </w:rPr>
      </w:pPr>
      <w:r w:rsidRPr="008B17C0">
        <w:rPr>
          <w:noProof/>
        </w:rPr>
        <w:sym w:font="Wingdings" w:char="F0A8"/>
      </w:r>
      <w:r w:rsidRPr="008B17C0">
        <w:rPr>
          <w:noProof/>
        </w:rPr>
        <w:t xml:space="preserve"> privatretlige organer, der har fået overdraget samfundsopgaver, forudsat at de stiller tilstrækkelige finansielle garantier</w:t>
      </w:r>
    </w:p>
    <w:p w14:paraId="250805A7" w14:textId="77777777" w:rsidR="00ED2926" w:rsidRPr="008B17C0" w:rsidRDefault="00ED2926" w:rsidP="00ED2926">
      <w:pPr>
        <w:pStyle w:val="Text1"/>
        <w:rPr>
          <w:noProof/>
        </w:rPr>
      </w:pPr>
      <w:r w:rsidRPr="008B17C0">
        <w:rPr>
          <w:noProof/>
        </w:rPr>
        <w:sym w:font="Wingdings" w:char="F0A8"/>
      </w:r>
      <w:r w:rsidRPr="008B17C0">
        <w:rPr>
          <w:noProof/>
        </w:rPr>
        <w:t xml:space="preserve"> privatretlige organer, undergivet lovgivningen i en medlemsstat, som har fået overdraget gennemførelsen af et offentlig-privat partnerskab, og som stiller tilstrækkelige finansielle garantier</w:t>
      </w:r>
    </w:p>
    <w:p w14:paraId="3FCD98B5" w14:textId="77777777" w:rsidR="00ED2926" w:rsidRPr="008B17C0" w:rsidRDefault="00ED2926" w:rsidP="00ED2926">
      <w:pPr>
        <w:pStyle w:val="Text1"/>
        <w:rPr>
          <w:noProof/>
        </w:rPr>
      </w:pPr>
      <w:r w:rsidRPr="008B17C0">
        <w:rPr>
          <w:noProof/>
        </w:rPr>
        <w:sym w:font="Wingdings" w:char="F0A8"/>
      </w:r>
      <w:r w:rsidRPr="008B17C0">
        <w:rPr>
          <w:noProof/>
        </w:rPr>
        <w:t xml:space="preserve"> personer, der har fået overdraget gennemførelsen af specifikke aktioner i den fælles udenrigs- og sikkerhedspolitik i henhold til afsnit V i traktaten om Den Europæiske Union, og som er anført i den relevante basisretsakt.</w:t>
      </w:r>
    </w:p>
    <w:p w14:paraId="4D6824B4" w14:textId="77777777" w:rsidR="00ED2926" w:rsidRPr="008B17C0" w:rsidRDefault="00436363" w:rsidP="00ED2926">
      <w:pPr>
        <w:rPr>
          <w:noProof/>
        </w:rPr>
      </w:pPr>
      <w:r w:rsidRPr="008B17C0">
        <w:rPr>
          <w:noProof/>
        </w:rPr>
        <w:t xml:space="preserve">Bemærkninger </w:t>
      </w:r>
    </w:p>
    <w:p w14:paraId="2F54FC23" w14:textId="4F5900C0" w:rsidR="00ED2926" w:rsidRPr="008B17C0" w:rsidRDefault="00ED2926" w:rsidP="00ED2926">
      <w:pPr>
        <w:pBdr>
          <w:top w:val="single" w:sz="4" w:space="1" w:color="auto"/>
          <w:left w:val="single" w:sz="4" w:space="4" w:color="auto"/>
          <w:bottom w:val="single" w:sz="4" w:space="1" w:color="auto"/>
          <w:right w:val="single" w:sz="4" w:space="4" w:color="auto"/>
        </w:pBdr>
        <w:rPr>
          <w:noProof/>
        </w:rPr>
      </w:pPr>
      <w:r w:rsidRPr="008B17C0">
        <w:rPr>
          <w:noProof/>
        </w:rPr>
        <w:t>Tallene for finansielle og menneskelige ressourcer kombinerer det samlede beløb afsat til gennemførelsen af terrorbekæmpelsesregistret, det nye sagsforvaltningssystem og andre krav som følge af undersøgelsen om digital strafferet, der er planlagt for perioden 2024-2027, minus de 9,5 mio. EUR, der allerede er afsat til Eurojust i andet halvår 2021. Det omfatter yderligere finansielle behov til den tekniske gennemførelse (herunder drifts- og vedligeholdelsesomkostninger) samt personalebehov.</w:t>
      </w:r>
      <w:r w:rsidRPr="008B17C0">
        <w:rPr>
          <w:noProof/>
          <w:color w:val="00B050"/>
        </w:rPr>
        <w:t xml:space="preserve"> </w:t>
      </w:r>
      <w:r w:rsidRPr="008B17C0">
        <w:rPr>
          <w:noProof/>
          <w:color w:val="0000FF"/>
        </w:rPr>
        <w:t>Omkostningerne til sagsforvaltningssystemet omfatter terrorbekæmpelsesregistret, da terrorbekæmpelsesregistret skal være en integreret del af sagsforvaltningssystemet. Denne tekniske integration af terrorbekæmpelsesregistret er et af initiativets mål. Desuden skal det nye sagsforvaltningssystem f.eks. omfatte et integrationslag, der sikrer interoperabilitet, som krævet i undersøgelsen om digital strafferet.</w:t>
      </w:r>
    </w:p>
    <w:p w14:paraId="08F710B2" w14:textId="2CE2B811" w:rsidR="00ED2926" w:rsidRPr="008B17C0" w:rsidRDefault="00ED2926" w:rsidP="000F0981">
      <w:pPr>
        <w:rPr>
          <w:noProof/>
        </w:rPr>
      </w:pPr>
    </w:p>
    <w:p w14:paraId="09484054" w14:textId="77777777" w:rsidR="00436363" w:rsidRPr="008B17C0" w:rsidRDefault="00ED2926" w:rsidP="00ED2926">
      <w:pPr>
        <w:tabs>
          <w:tab w:val="left" w:pos="768"/>
        </w:tabs>
        <w:rPr>
          <w:noProof/>
        </w:rPr>
        <w:sectPr w:rsidR="00436363" w:rsidRPr="008B17C0" w:rsidSect="00EA3F52">
          <w:pgSz w:w="11907" w:h="16840" w:code="9"/>
          <w:pgMar w:top="1134" w:right="1418" w:bottom="1134" w:left="1418" w:header="709" w:footer="709" w:gutter="0"/>
          <w:cols w:space="708"/>
          <w:docGrid w:linePitch="360"/>
        </w:sectPr>
      </w:pPr>
      <w:r w:rsidRPr="008B17C0">
        <w:rPr>
          <w:noProof/>
        </w:rPr>
        <w:tab/>
      </w:r>
    </w:p>
    <w:p w14:paraId="33D88AD1" w14:textId="4B345AAA" w:rsidR="00436363" w:rsidRPr="008B17C0" w:rsidRDefault="003433F5" w:rsidP="003433F5">
      <w:pPr>
        <w:pStyle w:val="ManualHeading1"/>
        <w:rPr>
          <w:bCs/>
          <w:noProof/>
          <w:szCs w:val="24"/>
        </w:rPr>
      </w:pPr>
      <w:bookmarkStart w:id="86" w:name="_Toc514938041"/>
      <w:bookmarkStart w:id="87" w:name="_Toc520485042"/>
      <w:bookmarkStart w:id="88" w:name="_Toc84517589"/>
      <w:r w:rsidRPr="003433F5">
        <w:t>2.</w:t>
      </w:r>
      <w:r w:rsidRPr="003433F5">
        <w:tab/>
      </w:r>
      <w:r w:rsidR="00436363" w:rsidRPr="008B17C0">
        <w:rPr>
          <w:noProof/>
        </w:rPr>
        <w:t>FORVALTNINGSFORANSTALTNINGER</w:t>
      </w:r>
      <w:bookmarkEnd w:id="86"/>
      <w:bookmarkEnd w:id="87"/>
      <w:bookmarkEnd w:id="88"/>
      <w:r w:rsidR="00436363" w:rsidRPr="008B17C0">
        <w:rPr>
          <w:noProof/>
        </w:rPr>
        <w:t xml:space="preserve"> </w:t>
      </w:r>
    </w:p>
    <w:p w14:paraId="15524587" w14:textId="2B0DCB13" w:rsidR="00436363" w:rsidRPr="008B17C0" w:rsidRDefault="003433F5" w:rsidP="003433F5">
      <w:pPr>
        <w:pStyle w:val="ManualHeading2"/>
        <w:rPr>
          <w:noProof/>
        </w:rPr>
      </w:pPr>
      <w:bookmarkStart w:id="89" w:name="_Toc514938042"/>
      <w:bookmarkStart w:id="90" w:name="_Toc520485043"/>
      <w:bookmarkStart w:id="91" w:name="_Toc84517590"/>
      <w:r w:rsidRPr="003433F5">
        <w:t>2.1.</w:t>
      </w:r>
      <w:r w:rsidRPr="003433F5">
        <w:tab/>
      </w:r>
      <w:r w:rsidR="00436363" w:rsidRPr="008B17C0">
        <w:rPr>
          <w:noProof/>
        </w:rPr>
        <w:t>Bestemmelser om overvågning og rapportering</w:t>
      </w:r>
      <w:bookmarkEnd w:id="89"/>
      <w:bookmarkEnd w:id="90"/>
      <w:bookmarkEnd w:id="91"/>
      <w:r w:rsidR="00436363" w:rsidRPr="008B17C0">
        <w:rPr>
          <w:noProof/>
        </w:rPr>
        <w:t xml:space="preserve"> </w:t>
      </w:r>
    </w:p>
    <w:p w14:paraId="1041F81B" w14:textId="77777777" w:rsidR="004D3101" w:rsidRPr="008B17C0" w:rsidRDefault="00436363" w:rsidP="004D3101">
      <w:pPr>
        <w:pStyle w:val="Text1"/>
        <w:rPr>
          <w:i/>
          <w:noProof/>
          <w:sz w:val="20"/>
        </w:rPr>
      </w:pPr>
      <w:r w:rsidRPr="008B17C0">
        <w:rPr>
          <w:i/>
          <w:noProof/>
          <w:sz w:val="20"/>
        </w:rPr>
        <w:t>Angiv hyppighed og betingelser.</w:t>
      </w:r>
    </w:p>
    <w:p w14:paraId="4DD7CFCA" w14:textId="77777777" w:rsidR="004D3101" w:rsidRPr="008B17C0" w:rsidRDefault="004D3101" w:rsidP="004D3101">
      <w:pPr>
        <w:pStyle w:val="Text1"/>
        <w:pBdr>
          <w:top w:val="single" w:sz="4" w:space="1" w:color="auto"/>
          <w:left w:val="single" w:sz="4" w:space="4" w:color="auto"/>
          <w:bottom w:val="single" w:sz="4" w:space="1" w:color="auto"/>
          <w:right w:val="single" w:sz="4" w:space="4" w:color="auto"/>
        </w:pBdr>
        <w:rPr>
          <w:noProof/>
        </w:rPr>
      </w:pPr>
      <w:r w:rsidRPr="008B17C0">
        <w:rPr>
          <w:noProof/>
          <w:color w:val="0000FF"/>
        </w:rPr>
        <w:t>Det er vigtigt at overvåge og evaluere gennemførelsen af digitaliseringen af agenturets dataudveksling for at sikre Eurojusts effektivitet. Overvågningen og rapporteringen af forslaget vil følge principperne i Eurojustforordningen</w:t>
      </w:r>
      <w:r w:rsidRPr="008B17C0">
        <w:rPr>
          <w:rStyle w:val="FootnoteReference"/>
          <w:noProof/>
          <w:color w:val="0000FF"/>
        </w:rPr>
        <w:footnoteReference w:id="50"/>
      </w:r>
      <w:r w:rsidRPr="008B17C0">
        <w:rPr>
          <w:noProof/>
          <w:color w:val="0000FF"/>
        </w:rPr>
        <w:t xml:space="preserve"> og være i overensstemmelse med den fælles tilgang til decentraliserede agenturer</w:t>
      </w:r>
      <w:r w:rsidRPr="008B17C0">
        <w:rPr>
          <w:rStyle w:val="FootnoteReference"/>
          <w:noProof/>
          <w:color w:val="0000FF"/>
        </w:rPr>
        <w:footnoteReference w:id="51"/>
      </w:r>
      <w:r w:rsidRPr="008B17C0">
        <w:rPr>
          <w:noProof/>
          <w:color w:val="0000FF"/>
        </w:rPr>
        <w:t>.</w:t>
      </w:r>
    </w:p>
    <w:p w14:paraId="6B4B6A1F" w14:textId="6768C15B" w:rsidR="004D3101" w:rsidRPr="008B17C0" w:rsidRDefault="004D3101" w:rsidP="004D3101">
      <w:pPr>
        <w:pStyle w:val="Text1"/>
        <w:pBdr>
          <w:top w:val="single" w:sz="4" w:space="1" w:color="auto"/>
          <w:left w:val="single" w:sz="4" w:space="4" w:color="auto"/>
          <w:bottom w:val="single" w:sz="4" w:space="1" w:color="auto"/>
          <w:right w:val="single" w:sz="4" w:space="4" w:color="auto"/>
        </w:pBdr>
        <w:rPr>
          <w:noProof/>
          <w:color w:val="0000FF"/>
        </w:rPr>
      </w:pPr>
      <w:r w:rsidRPr="008B17C0">
        <w:rPr>
          <w:noProof/>
          <w:color w:val="0000FF"/>
        </w:rPr>
        <w:t xml:space="preserve">Ud over de horisontale forvaltningsregler, der gælder for agenturer, skal Eurojust navnlig hvert år sende Kommissionen, Europa-Parlamentet og Rådet et samlet programmeringsdokument med flerårige og årlige arbejdsprogrammer og ressourceprogrammering. Enhedsprogrammeringsdokumentet indeholder målsætninger, forventede resultater og resultatindikatorer med henblik på at overvåge opfyldelsen af målsætningerne og resultaterne. </w:t>
      </w:r>
    </w:p>
    <w:p w14:paraId="47331D20" w14:textId="77777777" w:rsidR="004D3101" w:rsidRPr="008B17C0" w:rsidRDefault="004D3101" w:rsidP="004D3101">
      <w:pPr>
        <w:pStyle w:val="Text1"/>
        <w:pBdr>
          <w:top w:val="single" w:sz="4" w:space="1" w:color="auto"/>
          <w:left w:val="single" w:sz="4" w:space="4" w:color="auto"/>
          <w:bottom w:val="single" w:sz="4" w:space="1" w:color="auto"/>
          <w:right w:val="single" w:sz="4" w:space="4" w:color="auto"/>
        </w:pBdr>
        <w:rPr>
          <w:noProof/>
        </w:rPr>
      </w:pPr>
      <w:r w:rsidRPr="008B17C0">
        <w:rPr>
          <w:noProof/>
          <w:color w:val="0000FF"/>
        </w:rPr>
        <w:t>Eurojust rapporterer også om sit arbejde i en detaljeret årsberetning. Eurojust sender denne årsberetning til Parlamentet, Rådet og de nationale parlamenter.</w:t>
      </w:r>
      <w:r w:rsidRPr="008B17C0">
        <w:rPr>
          <w:noProof/>
        </w:rPr>
        <w:t xml:space="preserve"> Eurojust underretter desuden Parlamentet og de nationale parlamenter om de samarbejdsordninger, der er indgået med tredjeparter. </w:t>
      </w:r>
    </w:p>
    <w:p w14:paraId="0EF123D4" w14:textId="77777777" w:rsidR="004D3101" w:rsidRPr="008B17C0" w:rsidRDefault="004D3101" w:rsidP="004D3101">
      <w:pPr>
        <w:pStyle w:val="Text1"/>
        <w:pBdr>
          <w:top w:val="single" w:sz="4" w:space="1" w:color="auto"/>
          <w:left w:val="single" w:sz="4" w:space="4" w:color="auto"/>
          <w:bottom w:val="single" w:sz="4" w:space="1" w:color="auto"/>
          <w:right w:val="single" w:sz="4" w:space="4" w:color="auto"/>
        </w:pBdr>
        <w:rPr>
          <w:noProof/>
        </w:rPr>
      </w:pPr>
      <w:r w:rsidRPr="008B17C0">
        <w:rPr>
          <w:noProof/>
        </w:rPr>
        <w:t>Senest den 13. december 2024 og hvert femte år herefter bestiller Kommissionen en ekstern uafhængig evaluering af gennemførelsen af forordningen og af Eurojusts virke for at evaluere gennemførelsen og virkningen af forordningen og Eurojusts effektivitet og produktivitet, jf. Eurojustforordningens artikel 69, stk. 1.</w:t>
      </w:r>
    </w:p>
    <w:p w14:paraId="53F82F44" w14:textId="77777777" w:rsidR="004D3101" w:rsidRPr="008B17C0" w:rsidRDefault="004D3101" w:rsidP="004D3101">
      <w:pPr>
        <w:pStyle w:val="Text1"/>
        <w:ind w:left="0"/>
        <w:rPr>
          <w:i/>
          <w:noProof/>
          <w:sz w:val="20"/>
        </w:rPr>
      </w:pPr>
    </w:p>
    <w:p w14:paraId="733A26D5" w14:textId="7EF57EC8" w:rsidR="00436363" w:rsidRPr="008B17C0" w:rsidRDefault="003433F5" w:rsidP="003433F5">
      <w:pPr>
        <w:pStyle w:val="ManualHeading2"/>
        <w:rPr>
          <w:bCs/>
          <w:noProof/>
          <w:szCs w:val="24"/>
        </w:rPr>
      </w:pPr>
      <w:bookmarkStart w:id="92" w:name="_Toc514938045"/>
      <w:bookmarkStart w:id="93" w:name="_Toc520485044"/>
      <w:bookmarkStart w:id="94" w:name="_Toc84517591"/>
      <w:r w:rsidRPr="003433F5">
        <w:t>2.2.</w:t>
      </w:r>
      <w:r w:rsidRPr="003433F5">
        <w:tab/>
      </w:r>
      <w:r w:rsidR="00436363" w:rsidRPr="008B17C0">
        <w:rPr>
          <w:noProof/>
        </w:rPr>
        <w:t>Forvaltnings- og kontrolsystem(er)</w:t>
      </w:r>
      <w:bookmarkEnd w:id="92"/>
      <w:bookmarkEnd w:id="93"/>
      <w:bookmarkEnd w:id="94"/>
      <w:r w:rsidR="00436363" w:rsidRPr="008B17C0">
        <w:rPr>
          <w:noProof/>
        </w:rPr>
        <w:t xml:space="preserve"> </w:t>
      </w:r>
    </w:p>
    <w:p w14:paraId="18F09F22" w14:textId="0AFDB488" w:rsidR="004D3101" w:rsidRPr="008B17C0" w:rsidRDefault="003433F5" w:rsidP="003433F5">
      <w:pPr>
        <w:pStyle w:val="ManualHeading3"/>
        <w:rPr>
          <w:noProof/>
        </w:rPr>
      </w:pPr>
      <w:bookmarkStart w:id="95" w:name="_Toc514938046"/>
      <w:bookmarkStart w:id="96" w:name="_Toc520485045"/>
      <w:bookmarkStart w:id="97" w:name="_Toc84517592"/>
      <w:r w:rsidRPr="003433F5">
        <w:t>2.2.1.</w:t>
      </w:r>
      <w:r w:rsidRPr="003433F5">
        <w:tab/>
      </w:r>
      <w:r w:rsidR="00436363" w:rsidRPr="008B17C0">
        <w:rPr>
          <w:noProof/>
        </w:rPr>
        <w:t>Begrundelse for den/de foreslåede forvaltningsmetode(r), finansieringsmekanisme(r), betalingsvilkår og kontrolstrategi</w:t>
      </w:r>
      <w:bookmarkStart w:id="98" w:name="_Toc514938047"/>
      <w:bookmarkStart w:id="99" w:name="_Toc520485046"/>
      <w:bookmarkEnd w:id="95"/>
      <w:bookmarkEnd w:id="96"/>
      <w:bookmarkEnd w:id="97"/>
    </w:p>
    <w:p w14:paraId="6215A89A" w14:textId="77777777" w:rsidR="004D3101" w:rsidRPr="008B17C0" w:rsidRDefault="004D3101" w:rsidP="004D3101">
      <w:pPr>
        <w:pStyle w:val="Text1"/>
        <w:pBdr>
          <w:top w:val="single" w:sz="4" w:space="1" w:color="auto"/>
          <w:left w:val="single" w:sz="4" w:space="4" w:color="auto"/>
          <w:bottom w:val="single" w:sz="4" w:space="1" w:color="auto"/>
          <w:right w:val="single" w:sz="4" w:space="4" w:color="auto"/>
        </w:pBdr>
        <w:rPr>
          <w:noProof/>
          <w:color w:val="0000FF"/>
        </w:rPr>
      </w:pPr>
      <w:r w:rsidRPr="008B17C0">
        <w:rPr>
          <w:noProof/>
          <w:color w:val="0000FF"/>
        </w:rPr>
        <w:t xml:space="preserve">I betragtning af at forslaget har indvirkning på EU's årlige bidrag til Eurojust, vil EU-budgettet blive gennemført ved indirekte forvaltning. </w:t>
      </w:r>
    </w:p>
    <w:p w14:paraId="73F20032" w14:textId="77777777" w:rsidR="004D3101" w:rsidRPr="008B17C0" w:rsidRDefault="004D3101" w:rsidP="004D3101">
      <w:pPr>
        <w:pStyle w:val="Text1"/>
        <w:pBdr>
          <w:top w:val="single" w:sz="4" w:space="1" w:color="auto"/>
          <w:left w:val="single" w:sz="4" w:space="4" w:color="auto"/>
          <w:bottom w:val="single" w:sz="4" w:space="1" w:color="auto"/>
          <w:right w:val="single" w:sz="4" w:space="4" w:color="auto"/>
        </w:pBdr>
        <w:rPr>
          <w:noProof/>
          <w:color w:val="0000FF"/>
        </w:rPr>
      </w:pPr>
      <w:r w:rsidRPr="008B17C0">
        <w:rPr>
          <w:noProof/>
          <w:color w:val="0000FF"/>
        </w:rPr>
        <w:t xml:space="preserve">I henhold til princippet om forsvarlig økonomisk forvaltning gennemføres Eurojusts budget under overholdelse af en effektiv og produktiv intern kontrol. </w:t>
      </w:r>
    </w:p>
    <w:p w14:paraId="25FE7FB8" w14:textId="77777777" w:rsidR="004D3101" w:rsidRPr="008B17C0" w:rsidRDefault="004D3101" w:rsidP="004D3101">
      <w:pPr>
        <w:pStyle w:val="Text1"/>
        <w:pBdr>
          <w:top w:val="single" w:sz="4" w:space="1" w:color="auto"/>
          <w:left w:val="single" w:sz="4" w:space="4" w:color="auto"/>
          <w:bottom w:val="single" w:sz="4" w:space="1" w:color="auto"/>
          <w:right w:val="single" w:sz="4" w:space="4" w:color="auto"/>
        </w:pBdr>
        <w:rPr>
          <w:noProof/>
          <w:color w:val="0000FF"/>
        </w:rPr>
      </w:pPr>
      <w:r w:rsidRPr="008B17C0">
        <w:rPr>
          <w:noProof/>
          <w:color w:val="0000FF"/>
        </w:rPr>
        <w:t xml:space="preserve">Hvad angår efterfølgende kontrol, er Eurojust som et decentraliseret agentur navnlig underlagt: </w:t>
      </w:r>
    </w:p>
    <w:p w14:paraId="2F766B92" w14:textId="591EAFF7" w:rsidR="004D3101" w:rsidRPr="008B17C0" w:rsidRDefault="004D3101" w:rsidP="006D1312">
      <w:pPr>
        <w:pStyle w:val="Tiret1"/>
        <w:pBdr>
          <w:top w:val="single" w:sz="4" w:space="1" w:color="auto"/>
          <w:left w:val="single" w:sz="4" w:space="4" w:color="auto"/>
          <w:bottom w:val="single" w:sz="4" w:space="1" w:color="auto"/>
          <w:right w:val="single" w:sz="4" w:space="4" w:color="auto"/>
        </w:pBdr>
        <w:rPr>
          <w:noProof/>
          <w:color w:val="0000FF"/>
        </w:rPr>
      </w:pPr>
      <w:r w:rsidRPr="008B17C0">
        <w:rPr>
          <w:noProof/>
          <w:color w:val="0000FF"/>
        </w:rPr>
        <w:t>intern revision foretaget af Kommissionens Interne Revisionstjeneste</w:t>
      </w:r>
    </w:p>
    <w:p w14:paraId="6D097C94" w14:textId="63DC33A4" w:rsidR="004D3101" w:rsidRPr="008B17C0" w:rsidRDefault="004D3101" w:rsidP="006D1312">
      <w:pPr>
        <w:pStyle w:val="Tiret1"/>
        <w:pBdr>
          <w:top w:val="single" w:sz="4" w:space="1" w:color="auto"/>
          <w:left w:val="single" w:sz="4" w:space="4" w:color="auto"/>
          <w:bottom w:val="single" w:sz="4" w:space="1" w:color="auto"/>
          <w:right w:val="single" w:sz="4" w:space="4" w:color="auto"/>
        </w:pBdr>
        <w:rPr>
          <w:noProof/>
          <w:color w:val="0000FF"/>
        </w:rPr>
      </w:pPr>
      <w:r w:rsidRPr="008B17C0">
        <w:rPr>
          <w:noProof/>
          <w:color w:val="0000FF"/>
        </w:rPr>
        <w:t>den Europæiske Revisionsrets årsberetninger med en erklæring om regnskabernes rigtighed og de underliggende transaktioners lovlighed og formelle rigtighed</w:t>
      </w:r>
    </w:p>
    <w:p w14:paraId="1FFD30FB" w14:textId="33CF749B" w:rsidR="004D3101" w:rsidRPr="008B17C0" w:rsidRDefault="004D3101" w:rsidP="006D1312">
      <w:pPr>
        <w:pStyle w:val="Tiret1"/>
        <w:pBdr>
          <w:top w:val="single" w:sz="4" w:space="1" w:color="auto"/>
          <w:left w:val="single" w:sz="4" w:space="4" w:color="auto"/>
          <w:bottom w:val="single" w:sz="4" w:space="1" w:color="auto"/>
          <w:right w:val="single" w:sz="4" w:space="4" w:color="auto"/>
        </w:pBdr>
        <w:rPr>
          <w:noProof/>
          <w:color w:val="0000FF"/>
        </w:rPr>
      </w:pPr>
      <w:r w:rsidRPr="008B17C0">
        <w:rPr>
          <w:noProof/>
          <w:color w:val="0000FF"/>
        </w:rPr>
        <w:t>årlig decharge meddelt af Europa-Parlamentet</w:t>
      </w:r>
    </w:p>
    <w:p w14:paraId="4F4CC05C" w14:textId="16240198" w:rsidR="004D3101" w:rsidRPr="008B17C0" w:rsidRDefault="004D3101" w:rsidP="006D1312">
      <w:pPr>
        <w:pStyle w:val="Tiret1"/>
        <w:pBdr>
          <w:top w:val="single" w:sz="4" w:space="1" w:color="auto"/>
          <w:left w:val="single" w:sz="4" w:space="4" w:color="auto"/>
          <w:bottom w:val="single" w:sz="4" w:space="1" w:color="auto"/>
          <w:right w:val="single" w:sz="4" w:space="4" w:color="auto"/>
        </w:pBdr>
        <w:rPr>
          <w:noProof/>
          <w:color w:val="0000FF"/>
        </w:rPr>
      </w:pPr>
      <w:r w:rsidRPr="008B17C0">
        <w:rPr>
          <w:noProof/>
          <w:color w:val="0000FF"/>
        </w:rPr>
        <w:t>eventuelle undersøgelser foretaget af OLAF for navnlig at sikre, at de ressourcer, der er afsat til agenturerne, anvendes</w:t>
      </w:r>
    </w:p>
    <w:p w14:paraId="4E7C6595" w14:textId="42995DD5" w:rsidR="004D3101" w:rsidRPr="008B17C0" w:rsidRDefault="004D3101" w:rsidP="006D1312">
      <w:pPr>
        <w:pStyle w:val="Tiret1"/>
        <w:pBdr>
          <w:top w:val="single" w:sz="4" w:space="1" w:color="auto"/>
          <w:left w:val="single" w:sz="4" w:space="4" w:color="auto"/>
          <w:bottom w:val="single" w:sz="4" w:space="1" w:color="auto"/>
          <w:right w:val="single" w:sz="4" w:space="4" w:color="auto"/>
        </w:pBdr>
        <w:rPr>
          <w:noProof/>
          <w:color w:val="0000FF"/>
        </w:rPr>
      </w:pPr>
      <w:r w:rsidRPr="008B17C0">
        <w:rPr>
          <w:noProof/>
          <w:color w:val="0000FF"/>
        </w:rPr>
        <w:t>endelig sørger Den Europæiske Ombudsmand for endnu et lag af kontrol og ansvarlighed i Eurojust.</w:t>
      </w:r>
    </w:p>
    <w:p w14:paraId="1551EF01" w14:textId="12596829" w:rsidR="007D50BA" w:rsidRPr="008B17C0" w:rsidRDefault="003433F5" w:rsidP="003433F5">
      <w:pPr>
        <w:pStyle w:val="ManualHeading3"/>
        <w:rPr>
          <w:noProof/>
        </w:rPr>
      </w:pPr>
      <w:bookmarkStart w:id="100" w:name="_Toc84517593"/>
      <w:r w:rsidRPr="003433F5">
        <w:t>2.2.2.</w:t>
      </w:r>
      <w:r w:rsidRPr="003433F5">
        <w:tab/>
      </w:r>
      <w:r w:rsidR="00436363" w:rsidRPr="008B17C0">
        <w:rPr>
          <w:noProof/>
        </w:rPr>
        <w:t>Oplysninger om de konstaterede risici og det/de interne kontrolsystem(er), der etableres for at afbøde dem</w:t>
      </w:r>
      <w:bookmarkEnd w:id="98"/>
      <w:bookmarkEnd w:id="99"/>
      <w:bookmarkEnd w:id="100"/>
    </w:p>
    <w:p w14:paraId="034AC618" w14:textId="77777777" w:rsidR="007D50BA" w:rsidRPr="008B17C0" w:rsidRDefault="007D50BA" w:rsidP="007D50BA">
      <w:pPr>
        <w:pStyle w:val="Text1"/>
        <w:pBdr>
          <w:top w:val="single" w:sz="4" w:space="1" w:color="auto"/>
          <w:left w:val="single" w:sz="4" w:space="4" w:color="auto"/>
          <w:bottom w:val="single" w:sz="4" w:space="0" w:color="auto"/>
          <w:right w:val="single" w:sz="4" w:space="4" w:color="auto"/>
        </w:pBdr>
        <w:rPr>
          <w:noProof/>
          <w:color w:val="0000FF"/>
        </w:rPr>
      </w:pPr>
      <w:r w:rsidRPr="008B17C0">
        <w:rPr>
          <w:noProof/>
        </w:rPr>
        <w:t>Der er på nuværende tidspunkt ikke konstateret nogen særlige risici, hvad angår forvaltnings- og kontrolsystemer. Eurojust er underlagt administrativ kontrol, herunder budgetkontrol, intern revision, Den Europæiske Revisionsrets årsberetninger og den årlige decharge for gennemførelsen af EU-budgettet som beskrevet ovenfor.</w:t>
      </w:r>
    </w:p>
    <w:p w14:paraId="669E3A31" w14:textId="073EE164" w:rsidR="00436363" w:rsidRPr="008B17C0" w:rsidRDefault="003433F5" w:rsidP="003433F5">
      <w:pPr>
        <w:pStyle w:val="ManualHeading3"/>
        <w:rPr>
          <w:noProof/>
        </w:rPr>
      </w:pPr>
      <w:bookmarkStart w:id="101" w:name="_Toc514938048"/>
      <w:bookmarkStart w:id="102" w:name="_Toc520485047"/>
      <w:bookmarkStart w:id="103" w:name="_Toc84517594"/>
      <w:r w:rsidRPr="003433F5">
        <w:t>2.2.3.</w:t>
      </w:r>
      <w:r w:rsidRPr="003433F5">
        <w:tab/>
      </w:r>
      <w:r w:rsidR="00436363" w:rsidRPr="008B17C0">
        <w:rPr>
          <w:noProof/>
        </w:rPr>
        <w:t>Vurdering af og begrundelse for kontrolforanstaltningernes omkostningseffektivitet (forholdet mellem kontrolomkostningerne og værdien af de forvaltede midler) samt vurdering af den forventede risiko for fejl (ved betaling og ved afslutning)</w:t>
      </w:r>
      <w:bookmarkEnd w:id="101"/>
      <w:bookmarkEnd w:id="102"/>
      <w:bookmarkEnd w:id="103"/>
      <w:r w:rsidR="00436363" w:rsidRPr="008B17C0">
        <w:rPr>
          <w:noProof/>
        </w:rPr>
        <w:t xml:space="preserve"> </w:t>
      </w:r>
    </w:p>
    <w:p w14:paraId="5F2B61D6" w14:textId="77777777" w:rsidR="007D50BA" w:rsidRPr="008B17C0" w:rsidRDefault="007D50BA" w:rsidP="007D50BA">
      <w:pPr>
        <w:pBdr>
          <w:top w:val="single" w:sz="4" w:space="1" w:color="auto"/>
          <w:left w:val="single" w:sz="4" w:space="4" w:color="auto"/>
          <w:bottom w:val="single" w:sz="4" w:space="1" w:color="auto"/>
          <w:right w:val="single" w:sz="4" w:space="4" w:color="auto"/>
        </w:pBdr>
        <w:rPr>
          <w:noProof/>
          <w:color w:val="0000FF"/>
        </w:rPr>
      </w:pPr>
      <w:r w:rsidRPr="008B17C0">
        <w:rPr>
          <w:noProof/>
          <w:color w:val="0000FF"/>
        </w:rPr>
        <w:t>Forholdet mellem "kontrolomkostningerne og betalingen af de forvaltede midler" indberettes af Kommissionen. I GD JUST's årlige aktivitetsrapport fra 2020 angives dette forhold at være 0,74 % med hensyn til indirekte forvaltede bemyndigede enheder og decentrale agenturer, herunder Eurojust.</w:t>
      </w:r>
    </w:p>
    <w:p w14:paraId="1E553F23" w14:textId="77777777" w:rsidR="007D50BA" w:rsidRPr="008B17C0" w:rsidRDefault="007D50BA" w:rsidP="007D50BA">
      <w:pPr>
        <w:pBdr>
          <w:top w:val="single" w:sz="4" w:space="1" w:color="auto"/>
          <w:left w:val="single" w:sz="4" w:space="4" w:color="auto"/>
          <w:bottom w:val="single" w:sz="4" w:space="1" w:color="auto"/>
          <w:right w:val="single" w:sz="4" w:space="4" w:color="auto"/>
        </w:pBdr>
        <w:rPr>
          <w:noProof/>
          <w:color w:val="0000FF"/>
        </w:rPr>
      </w:pPr>
    </w:p>
    <w:p w14:paraId="4763E6E0" w14:textId="77777777" w:rsidR="007D50BA" w:rsidRPr="008B17C0" w:rsidRDefault="007D50BA" w:rsidP="002F68FE">
      <w:pPr>
        <w:pBdr>
          <w:top w:val="single" w:sz="4" w:space="1" w:color="auto"/>
          <w:left w:val="single" w:sz="4" w:space="4" w:color="auto"/>
          <w:bottom w:val="single" w:sz="4" w:space="1" w:color="auto"/>
          <w:right w:val="single" w:sz="4" w:space="4" w:color="auto"/>
        </w:pBdr>
        <w:rPr>
          <w:noProof/>
          <w:color w:val="0000FF"/>
        </w:rPr>
      </w:pPr>
      <w:r w:rsidRPr="008B17C0">
        <w:rPr>
          <w:noProof/>
          <w:color w:val="0000FF"/>
        </w:rPr>
        <w:t>Den Europæiske Revisionsret bekræftede lovligheden og den formelle rigtighed af Eurojusts årsregnskab for 2019, hvilket indebærer en fejlprocent på under 2 %. Der er intet, der tyder på, at fejlprocenten vil stige i de kommende år. Dette bekræftes også foreløbigt for 2020 på grundlag af en uafhængig ekstern revisors kontrol af Eurojusts årsregnskab. Revisionsrettens erklæring om regnskabernes rigtighed er betinget af, at Revisionsretten bekræfter, at den uafhængige revisors resultater er pålidelige, og den er endnu ikke afgivet.</w:t>
      </w:r>
    </w:p>
    <w:p w14:paraId="5E9CEBF3" w14:textId="77777777" w:rsidR="007D50BA" w:rsidRPr="008B17C0" w:rsidRDefault="007D50BA" w:rsidP="007D50BA">
      <w:pPr>
        <w:pStyle w:val="Text1"/>
        <w:rPr>
          <w:noProof/>
        </w:rPr>
      </w:pPr>
    </w:p>
    <w:p w14:paraId="4514BB8B" w14:textId="372450DC" w:rsidR="00436363" w:rsidRPr="008B17C0" w:rsidRDefault="003433F5" w:rsidP="003433F5">
      <w:pPr>
        <w:pStyle w:val="ManualHeading2"/>
        <w:rPr>
          <w:bCs/>
          <w:noProof/>
          <w:szCs w:val="24"/>
        </w:rPr>
      </w:pPr>
      <w:bookmarkStart w:id="104" w:name="_Toc514938049"/>
      <w:bookmarkStart w:id="105" w:name="_Toc520485048"/>
      <w:bookmarkStart w:id="106" w:name="_Toc84517595"/>
      <w:r w:rsidRPr="003433F5">
        <w:t>2.3.</w:t>
      </w:r>
      <w:r w:rsidRPr="003433F5">
        <w:tab/>
      </w:r>
      <w:r w:rsidR="00436363" w:rsidRPr="008B17C0">
        <w:rPr>
          <w:noProof/>
        </w:rPr>
        <w:t>Foranstaltninger til forebyggelse af svig og uregelmæssigheder</w:t>
      </w:r>
      <w:bookmarkEnd w:id="104"/>
      <w:bookmarkEnd w:id="105"/>
      <w:bookmarkEnd w:id="106"/>
      <w:r w:rsidR="00436363" w:rsidRPr="008B17C0">
        <w:rPr>
          <w:noProof/>
        </w:rPr>
        <w:t xml:space="preserve"> </w:t>
      </w:r>
    </w:p>
    <w:p w14:paraId="476B9D69" w14:textId="77777777" w:rsidR="00436363" w:rsidRPr="008B17C0" w:rsidRDefault="00436363" w:rsidP="00ED2926">
      <w:pPr>
        <w:pStyle w:val="Text1"/>
        <w:rPr>
          <w:i/>
          <w:noProof/>
          <w:sz w:val="20"/>
        </w:rPr>
      </w:pPr>
      <w:r w:rsidRPr="008B17C0">
        <w:rPr>
          <w:i/>
          <w:noProof/>
          <w:sz w:val="20"/>
        </w:rPr>
        <w:t>Angiv eksisterende eller påtænkte forebyggelses- og beskyttelsesforanstaltninger, f.eks. fra strategien til bekæmpelse af svig.</w:t>
      </w:r>
    </w:p>
    <w:p w14:paraId="06829DCA" w14:textId="77777777" w:rsidR="007D50BA" w:rsidRPr="008B17C0" w:rsidRDefault="007D50BA" w:rsidP="007D50BA">
      <w:pPr>
        <w:pStyle w:val="Text1"/>
        <w:pBdr>
          <w:top w:val="single" w:sz="4" w:space="1" w:color="auto"/>
          <w:left w:val="single" w:sz="4" w:space="31" w:color="auto"/>
          <w:bottom w:val="single" w:sz="4" w:space="1" w:color="auto"/>
          <w:right w:val="single" w:sz="4" w:space="4" w:color="auto"/>
        </w:pBdr>
        <w:ind w:left="720"/>
        <w:rPr>
          <w:noProof/>
        </w:rPr>
      </w:pPr>
      <w:r w:rsidRPr="008B17C0">
        <w:rPr>
          <w:noProof/>
        </w:rPr>
        <w:t xml:space="preserve">Foranstaltningerne vedrørende bekæmpelse af svig, bestikkelse og anden ulovlig aktivitet er bl.a. beskrevet i artikel 75 i Eurojustforordningen. </w:t>
      </w:r>
      <w:r w:rsidRPr="008B17C0">
        <w:rPr>
          <w:noProof/>
          <w:color w:val="0000FF"/>
        </w:rPr>
        <w:t>Eurojust deltager navnlig i Det Europæiske Kontor for Bekæmpelse af Svigs aktiviteter til forebyggelse af svig og underretter straks Kommissionen om tilfælde af formodet svig og andre finansielle uregelmæssigheder.</w:t>
      </w:r>
    </w:p>
    <w:p w14:paraId="5BEBFD49" w14:textId="77777777" w:rsidR="00436363" w:rsidRPr="008B17C0" w:rsidRDefault="00436363" w:rsidP="00ED2926">
      <w:pPr>
        <w:rPr>
          <w:noProof/>
        </w:rPr>
        <w:sectPr w:rsidR="00436363" w:rsidRPr="008B17C0" w:rsidSect="00EA3F52">
          <w:pgSz w:w="11907" w:h="16840" w:code="9"/>
          <w:pgMar w:top="1134" w:right="1418" w:bottom="1134" w:left="1418" w:header="709" w:footer="709" w:gutter="0"/>
          <w:cols w:space="708"/>
          <w:docGrid w:linePitch="360"/>
        </w:sectPr>
      </w:pPr>
    </w:p>
    <w:p w14:paraId="0760CE7D" w14:textId="27A319DF" w:rsidR="00436363" w:rsidRPr="008B17C0" w:rsidRDefault="003433F5" w:rsidP="003433F5">
      <w:pPr>
        <w:pStyle w:val="ManualHeading1"/>
        <w:rPr>
          <w:bCs/>
          <w:noProof/>
          <w:szCs w:val="24"/>
        </w:rPr>
      </w:pPr>
      <w:bookmarkStart w:id="107" w:name="_Toc514938050"/>
      <w:bookmarkStart w:id="108" w:name="_Toc520485049"/>
      <w:bookmarkStart w:id="109" w:name="_Toc84517596"/>
      <w:r w:rsidRPr="003433F5">
        <w:t>3.</w:t>
      </w:r>
      <w:r w:rsidRPr="003433F5">
        <w:tab/>
      </w:r>
      <w:r w:rsidR="00436363" w:rsidRPr="008B17C0">
        <w:rPr>
          <w:noProof/>
        </w:rPr>
        <w:t>FORSLAGETS/INITIATIVETS ANSLÅEDE FINANSIELLE VIRKNINGER</w:t>
      </w:r>
      <w:bookmarkEnd w:id="107"/>
      <w:bookmarkEnd w:id="108"/>
      <w:bookmarkEnd w:id="109"/>
      <w:r w:rsidR="00436363" w:rsidRPr="008B17C0">
        <w:rPr>
          <w:noProof/>
        </w:rPr>
        <w:t xml:space="preserve"> </w:t>
      </w:r>
    </w:p>
    <w:p w14:paraId="27DE3348" w14:textId="7A22E473" w:rsidR="00436363" w:rsidRPr="008B17C0" w:rsidRDefault="003433F5" w:rsidP="003433F5">
      <w:pPr>
        <w:pStyle w:val="ManualHeading2"/>
        <w:rPr>
          <w:noProof/>
        </w:rPr>
      </w:pPr>
      <w:bookmarkStart w:id="110" w:name="_Toc514938051"/>
      <w:bookmarkStart w:id="111" w:name="_Toc520485050"/>
      <w:bookmarkStart w:id="112" w:name="_Toc84517597"/>
      <w:r w:rsidRPr="003433F5">
        <w:t>3.1.</w:t>
      </w:r>
      <w:r w:rsidRPr="003433F5">
        <w:tab/>
      </w:r>
      <w:r w:rsidR="00436363" w:rsidRPr="008B17C0">
        <w:rPr>
          <w:noProof/>
        </w:rPr>
        <w:t>Berørt(e) udgiftsområde(r) i den flerårige finansielle ramme og udgiftspost(er) på budgettet</w:t>
      </w:r>
      <w:bookmarkEnd w:id="110"/>
      <w:bookmarkEnd w:id="111"/>
      <w:bookmarkEnd w:id="112"/>
      <w:r w:rsidR="00436363" w:rsidRPr="008B17C0">
        <w:rPr>
          <w:noProof/>
        </w:rPr>
        <w:t xml:space="preserve"> </w:t>
      </w:r>
    </w:p>
    <w:p w14:paraId="12620888" w14:textId="77777777" w:rsidR="00436363" w:rsidRPr="008B17C0" w:rsidRDefault="00436363" w:rsidP="00917AAD">
      <w:pPr>
        <w:pStyle w:val="ListBullet1"/>
        <w:rPr>
          <w:noProof/>
        </w:rPr>
      </w:pPr>
      <w:r w:rsidRPr="008B17C0">
        <w:rPr>
          <w:noProof/>
        </w:rPr>
        <w:t xml:space="preserve">Eksisterende budgetposter </w:t>
      </w:r>
    </w:p>
    <w:p w14:paraId="55EE05CC" w14:textId="77777777" w:rsidR="00436363" w:rsidRPr="008B17C0" w:rsidRDefault="00436363" w:rsidP="00ED2926">
      <w:pPr>
        <w:pStyle w:val="Text1"/>
        <w:rPr>
          <w:i/>
          <w:noProof/>
        </w:rPr>
      </w:pPr>
      <w:r w:rsidRPr="008B17C0">
        <w:rPr>
          <w:i/>
          <w:noProof/>
          <w:u w:val="single"/>
        </w:rPr>
        <w:t>I samme rækkefølge</w:t>
      </w:r>
      <w:r w:rsidRPr="008B17C0">
        <w:rPr>
          <w:i/>
          <w:noProof/>
        </w:rPr>
        <w:t xml:space="preserve"> som udgiftsområderne i den flerårige finansielle ramme og budgetposterne.</w:t>
      </w:r>
    </w:p>
    <w:p w14:paraId="27614C63" w14:textId="77777777" w:rsidR="00436363" w:rsidRPr="008B17C0" w:rsidRDefault="00436363" w:rsidP="00ED2926">
      <w:pPr>
        <w:pStyle w:val="Text1"/>
        <w:rPr>
          <w:i/>
          <w:noProof/>
        </w:rPr>
      </w:pPr>
    </w:p>
    <w:tbl>
      <w:tblPr>
        <w:tblW w:w="985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746"/>
      </w:tblGrid>
      <w:tr w:rsidR="00436363" w:rsidRPr="008B17C0" w14:paraId="1D97BB16" w14:textId="77777777" w:rsidTr="006A0D14">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5ABC2D4F" w14:textId="77777777" w:rsidR="00436363" w:rsidRPr="008B17C0" w:rsidRDefault="00436363" w:rsidP="00ED2926">
            <w:pPr>
              <w:spacing w:before="60" w:after="60" w:line="276" w:lineRule="auto"/>
              <w:jc w:val="center"/>
              <w:rPr>
                <w:noProof/>
                <w:sz w:val="18"/>
              </w:rPr>
            </w:pPr>
            <w:r w:rsidRPr="008B17C0">
              <w:rPr>
                <w:noProof/>
                <w:sz w:val="18"/>
              </w:rPr>
              <w:t>Udgiftsområde i den flerårige finansielle ramme</w:t>
            </w:r>
          </w:p>
        </w:tc>
        <w:tc>
          <w:tcPr>
            <w:tcW w:w="3960" w:type="dxa"/>
            <w:tcBorders>
              <w:top w:val="single" w:sz="4" w:space="0" w:color="auto"/>
              <w:left w:val="single" w:sz="4" w:space="0" w:color="auto"/>
              <w:bottom w:val="single" w:sz="4" w:space="0" w:color="auto"/>
              <w:right w:val="single" w:sz="4" w:space="0" w:color="auto"/>
            </w:tcBorders>
            <w:vAlign w:val="center"/>
            <w:hideMark/>
          </w:tcPr>
          <w:p w14:paraId="00230426" w14:textId="77777777" w:rsidR="00436363" w:rsidRPr="008B17C0" w:rsidRDefault="00436363" w:rsidP="00ED2926">
            <w:pPr>
              <w:spacing w:before="60" w:after="60" w:line="276" w:lineRule="auto"/>
              <w:jc w:val="center"/>
              <w:rPr>
                <w:noProof/>
              </w:rPr>
            </w:pPr>
            <w:r w:rsidRPr="008B17C0">
              <w:rPr>
                <w:noProof/>
                <w:sz w:val="20"/>
              </w:rPr>
              <w:t>Budgetpost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62CE1D" w14:textId="77777777" w:rsidR="00436363" w:rsidRPr="008B17C0" w:rsidRDefault="00436363" w:rsidP="00ED2926">
            <w:pPr>
              <w:spacing w:before="60" w:after="60" w:line="276" w:lineRule="auto"/>
              <w:jc w:val="center"/>
              <w:rPr>
                <w:noProof/>
              </w:rPr>
            </w:pPr>
            <w:r w:rsidRPr="008B17C0">
              <w:rPr>
                <w:noProof/>
                <w:sz w:val="18"/>
              </w:rPr>
              <w:t>Udgiftens</w:t>
            </w:r>
            <w:r w:rsidRPr="008B17C0">
              <w:rPr>
                <w:noProof/>
              </w:rPr>
              <w:br/>
            </w:r>
            <w:r w:rsidRPr="008B17C0">
              <w:rPr>
                <w:noProof/>
                <w:sz w:val="18"/>
              </w:rPr>
              <w:t>art</w:t>
            </w:r>
          </w:p>
        </w:tc>
        <w:tc>
          <w:tcPr>
            <w:tcW w:w="3738" w:type="dxa"/>
            <w:gridSpan w:val="4"/>
            <w:tcBorders>
              <w:top w:val="single" w:sz="4" w:space="0" w:color="auto"/>
              <w:left w:val="single" w:sz="4" w:space="0" w:color="auto"/>
              <w:bottom w:val="single" w:sz="4" w:space="0" w:color="auto"/>
              <w:right w:val="single" w:sz="4" w:space="0" w:color="auto"/>
            </w:tcBorders>
            <w:vAlign w:val="center"/>
            <w:hideMark/>
          </w:tcPr>
          <w:p w14:paraId="1B8A241A" w14:textId="77777777" w:rsidR="00436363" w:rsidRPr="008B17C0" w:rsidRDefault="00436363" w:rsidP="00ED2926">
            <w:pPr>
              <w:spacing w:before="60" w:after="60" w:line="276" w:lineRule="auto"/>
              <w:jc w:val="center"/>
              <w:rPr>
                <w:noProof/>
              </w:rPr>
            </w:pPr>
            <w:r w:rsidRPr="008B17C0">
              <w:rPr>
                <w:noProof/>
                <w:sz w:val="20"/>
              </w:rPr>
              <w:t xml:space="preserve">Bidrag </w:t>
            </w:r>
          </w:p>
        </w:tc>
      </w:tr>
      <w:tr w:rsidR="00436363" w:rsidRPr="008B17C0" w14:paraId="32F74CA3" w14:textId="77777777" w:rsidTr="006A0D14">
        <w:tc>
          <w:tcPr>
            <w:tcW w:w="1080" w:type="dxa"/>
            <w:vMerge/>
            <w:tcBorders>
              <w:top w:val="single" w:sz="4" w:space="0" w:color="auto"/>
              <w:left w:val="single" w:sz="4" w:space="0" w:color="auto"/>
              <w:bottom w:val="single" w:sz="4" w:space="0" w:color="auto"/>
              <w:right w:val="single" w:sz="4" w:space="0" w:color="auto"/>
            </w:tcBorders>
            <w:vAlign w:val="center"/>
            <w:hideMark/>
          </w:tcPr>
          <w:p w14:paraId="60F0F2F6" w14:textId="77777777" w:rsidR="00436363" w:rsidRPr="008B17C0" w:rsidRDefault="00436363" w:rsidP="00ED2926">
            <w:pPr>
              <w:spacing w:before="0" w:after="0" w:line="276" w:lineRule="auto"/>
              <w:jc w:val="left"/>
              <w:rPr>
                <w:noProof/>
                <w:sz w:val="18"/>
                <w:lang w:eastAsia="en-GB"/>
              </w:rPr>
            </w:pPr>
          </w:p>
        </w:tc>
        <w:tc>
          <w:tcPr>
            <w:tcW w:w="3960" w:type="dxa"/>
            <w:tcBorders>
              <w:top w:val="single" w:sz="4" w:space="0" w:color="auto"/>
              <w:left w:val="single" w:sz="4" w:space="0" w:color="auto"/>
              <w:bottom w:val="single" w:sz="4" w:space="0" w:color="auto"/>
              <w:right w:val="single" w:sz="4" w:space="0" w:color="auto"/>
            </w:tcBorders>
            <w:vAlign w:val="center"/>
            <w:hideMark/>
          </w:tcPr>
          <w:p w14:paraId="16A5BB82" w14:textId="1B166969" w:rsidR="00436363" w:rsidRPr="008B17C0" w:rsidRDefault="00436363" w:rsidP="00ED2926">
            <w:pPr>
              <w:spacing w:line="276" w:lineRule="auto"/>
              <w:rPr>
                <w:noProof/>
              </w:rPr>
            </w:pPr>
            <w:r w:rsidRPr="008B17C0">
              <w:rPr>
                <w:noProof/>
                <w:sz w:val="20"/>
              </w:rPr>
              <w:t xml:space="preserve">Nummer </w:t>
            </w:r>
            <w:r w:rsidRPr="008B17C0">
              <w:rPr>
                <w:noProof/>
              </w:rPr>
              <w:br/>
            </w:r>
          </w:p>
        </w:tc>
        <w:tc>
          <w:tcPr>
            <w:tcW w:w="1080" w:type="dxa"/>
            <w:tcBorders>
              <w:top w:val="single" w:sz="4" w:space="0" w:color="auto"/>
              <w:left w:val="single" w:sz="4" w:space="0" w:color="auto"/>
              <w:bottom w:val="single" w:sz="4" w:space="0" w:color="auto"/>
              <w:right w:val="single" w:sz="4" w:space="0" w:color="auto"/>
            </w:tcBorders>
            <w:vAlign w:val="center"/>
            <w:hideMark/>
          </w:tcPr>
          <w:p w14:paraId="6F173288" w14:textId="77777777" w:rsidR="00436363" w:rsidRPr="008B17C0" w:rsidRDefault="00436363" w:rsidP="00ED2926">
            <w:pPr>
              <w:spacing w:line="276" w:lineRule="auto"/>
              <w:jc w:val="center"/>
              <w:rPr>
                <w:noProof/>
              </w:rPr>
            </w:pPr>
            <w:r w:rsidRPr="008B17C0">
              <w:rPr>
                <w:noProof/>
                <w:sz w:val="18"/>
                <w:szCs w:val="18"/>
              </w:rPr>
              <w:t>OB/IOB</w:t>
            </w:r>
            <w:r w:rsidRPr="008B17C0">
              <w:rPr>
                <w:rStyle w:val="FootnoteReference"/>
                <w:noProof/>
                <w:sz w:val="18"/>
                <w:szCs w:val="18"/>
              </w:rPr>
              <w:footnoteReference w:id="52"/>
            </w:r>
          </w:p>
        </w:tc>
        <w:tc>
          <w:tcPr>
            <w:tcW w:w="956" w:type="dxa"/>
            <w:tcBorders>
              <w:top w:val="single" w:sz="4" w:space="0" w:color="auto"/>
              <w:left w:val="single" w:sz="4" w:space="0" w:color="auto"/>
              <w:bottom w:val="single" w:sz="4" w:space="0" w:color="auto"/>
              <w:right w:val="single" w:sz="4" w:space="0" w:color="auto"/>
            </w:tcBorders>
            <w:vAlign w:val="center"/>
            <w:hideMark/>
          </w:tcPr>
          <w:p w14:paraId="67FA701C" w14:textId="77777777" w:rsidR="00436363" w:rsidRPr="008B17C0" w:rsidRDefault="00436363" w:rsidP="00ED2926">
            <w:pPr>
              <w:spacing w:line="276" w:lineRule="auto"/>
              <w:jc w:val="center"/>
              <w:rPr>
                <w:noProof/>
              </w:rPr>
            </w:pPr>
            <w:r w:rsidRPr="008B17C0">
              <w:rPr>
                <w:noProof/>
                <w:sz w:val="18"/>
                <w:szCs w:val="18"/>
              </w:rPr>
              <w:t>fra EFTA</w:t>
            </w:r>
            <w:r w:rsidRPr="008B17C0">
              <w:rPr>
                <w:noProof/>
                <w:sz w:val="18"/>
                <w:szCs w:val="18"/>
              </w:rPr>
              <w:softHyphen/>
              <w:t>lande</w:t>
            </w:r>
            <w:r w:rsidRPr="008B17C0">
              <w:rPr>
                <w:rStyle w:val="FootnoteReference"/>
                <w:noProof/>
                <w:sz w:val="18"/>
                <w:szCs w:val="18"/>
              </w:rPr>
              <w:footnoteReference w:id="53"/>
            </w:r>
          </w:p>
        </w:tc>
        <w:tc>
          <w:tcPr>
            <w:tcW w:w="1080" w:type="dxa"/>
            <w:tcBorders>
              <w:top w:val="single" w:sz="4" w:space="0" w:color="auto"/>
              <w:left w:val="single" w:sz="4" w:space="0" w:color="auto"/>
              <w:bottom w:val="single" w:sz="4" w:space="0" w:color="auto"/>
              <w:right w:val="single" w:sz="4" w:space="0" w:color="auto"/>
            </w:tcBorders>
            <w:vAlign w:val="center"/>
            <w:hideMark/>
          </w:tcPr>
          <w:p w14:paraId="0DABC0CF" w14:textId="77777777" w:rsidR="00436363" w:rsidRPr="008B17C0" w:rsidRDefault="00436363" w:rsidP="00ED2926">
            <w:pPr>
              <w:spacing w:line="276" w:lineRule="auto"/>
              <w:jc w:val="center"/>
              <w:rPr>
                <w:noProof/>
                <w:sz w:val="18"/>
              </w:rPr>
            </w:pPr>
            <w:r w:rsidRPr="008B17C0">
              <w:rPr>
                <w:noProof/>
                <w:sz w:val="18"/>
                <w:szCs w:val="18"/>
              </w:rPr>
              <w:t>fra kandidat</w:t>
            </w:r>
            <w:r w:rsidRPr="008B17C0">
              <w:rPr>
                <w:noProof/>
                <w:sz w:val="18"/>
                <w:szCs w:val="18"/>
              </w:rPr>
              <w:softHyphen/>
              <w:t>lande</w:t>
            </w:r>
            <w:r w:rsidRPr="008B17C0">
              <w:rPr>
                <w:rStyle w:val="FootnoteReference"/>
                <w:noProof/>
                <w:sz w:val="18"/>
                <w:szCs w:val="18"/>
              </w:rPr>
              <w:footnoteReference w:id="54"/>
            </w:r>
          </w:p>
        </w:tc>
        <w:tc>
          <w:tcPr>
            <w:tcW w:w="956" w:type="dxa"/>
            <w:tcBorders>
              <w:top w:val="single" w:sz="4" w:space="0" w:color="auto"/>
              <w:left w:val="single" w:sz="4" w:space="0" w:color="auto"/>
              <w:bottom w:val="single" w:sz="4" w:space="0" w:color="auto"/>
              <w:right w:val="single" w:sz="4" w:space="0" w:color="auto"/>
            </w:tcBorders>
            <w:vAlign w:val="center"/>
            <w:hideMark/>
          </w:tcPr>
          <w:p w14:paraId="1110887D" w14:textId="77777777" w:rsidR="00436363" w:rsidRPr="008B17C0" w:rsidRDefault="00436363" w:rsidP="00ED2926">
            <w:pPr>
              <w:spacing w:line="276" w:lineRule="auto"/>
              <w:jc w:val="center"/>
              <w:rPr>
                <w:noProof/>
                <w:sz w:val="18"/>
              </w:rPr>
            </w:pPr>
            <w:r w:rsidRPr="008B17C0">
              <w:rPr>
                <w:noProof/>
                <w:sz w:val="18"/>
              </w:rPr>
              <w:t>fra tredjelande</w:t>
            </w:r>
          </w:p>
        </w:tc>
        <w:tc>
          <w:tcPr>
            <w:tcW w:w="746" w:type="dxa"/>
            <w:tcBorders>
              <w:top w:val="single" w:sz="4" w:space="0" w:color="auto"/>
              <w:left w:val="single" w:sz="4" w:space="0" w:color="auto"/>
              <w:bottom w:val="single" w:sz="4" w:space="0" w:color="auto"/>
              <w:right w:val="single" w:sz="4" w:space="0" w:color="auto"/>
            </w:tcBorders>
            <w:vAlign w:val="center"/>
            <w:hideMark/>
          </w:tcPr>
          <w:p w14:paraId="4250DB3B" w14:textId="77777777" w:rsidR="00436363" w:rsidRPr="008B17C0" w:rsidRDefault="00436363" w:rsidP="00ED2926">
            <w:pPr>
              <w:spacing w:line="276" w:lineRule="auto"/>
              <w:jc w:val="center"/>
              <w:rPr>
                <w:noProof/>
                <w:sz w:val="16"/>
                <w:szCs w:val="16"/>
              </w:rPr>
            </w:pPr>
            <w:r w:rsidRPr="008B17C0">
              <w:rPr>
                <w:noProof/>
                <w:sz w:val="16"/>
                <w:szCs w:val="16"/>
              </w:rPr>
              <w:t xml:space="preserve">iht. finansforordningens artikel 21, stk. 2, litra b) </w:t>
            </w:r>
          </w:p>
        </w:tc>
      </w:tr>
      <w:tr w:rsidR="00436363" w:rsidRPr="008B17C0" w14:paraId="092F114D" w14:textId="77777777" w:rsidTr="006A0D14">
        <w:tc>
          <w:tcPr>
            <w:tcW w:w="1080" w:type="dxa"/>
            <w:tcBorders>
              <w:top w:val="single" w:sz="4" w:space="0" w:color="auto"/>
              <w:left w:val="single" w:sz="4" w:space="0" w:color="auto"/>
              <w:bottom w:val="single" w:sz="4" w:space="0" w:color="auto"/>
              <w:right w:val="single" w:sz="4" w:space="0" w:color="auto"/>
            </w:tcBorders>
            <w:vAlign w:val="center"/>
            <w:hideMark/>
          </w:tcPr>
          <w:p w14:paraId="5443D9C3" w14:textId="5C7AD902" w:rsidR="00436363" w:rsidRPr="008B17C0" w:rsidRDefault="00A838BB" w:rsidP="00ED2926">
            <w:pPr>
              <w:spacing w:line="276" w:lineRule="auto"/>
              <w:jc w:val="center"/>
              <w:rPr>
                <w:noProof/>
                <w:color w:val="0000FF"/>
              </w:rPr>
            </w:pPr>
            <w:r w:rsidRPr="008B17C0">
              <w:rPr>
                <w:noProof/>
                <w:color w:val="0000FF"/>
              </w:rPr>
              <w:t>2b</w:t>
            </w:r>
          </w:p>
        </w:tc>
        <w:tc>
          <w:tcPr>
            <w:tcW w:w="3960" w:type="dxa"/>
            <w:tcBorders>
              <w:top w:val="single" w:sz="4" w:space="0" w:color="auto"/>
              <w:left w:val="single" w:sz="4" w:space="0" w:color="auto"/>
              <w:bottom w:val="single" w:sz="4" w:space="0" w:color="auto"/>
              <w:right w:val="single" w:sz="4" w:space="0" w:color="auto"/>
            </w:tcBorders>
            <w:vAlign w:val="center"/>
          </w:tcPr>
          <w:p w14:paraId="4A05F1CB" w14:textId="77777777" w:rsidR="00436363" w:rsidRPr="008B17C0" w:rsidRDefault="00436363" w:rsidP="00ED2926">
            <w:pPr>
              <w:spacing w:before="60" w:line="276" w:lineRule="auto"/>
              <w:rPr>
                <w:noProof/>
              </w:rPr>
            </w:pPr>
            <w:r w:rsidRPr="008B17C0">
              <w:rPr>
                <w:noProof/>
              </w:rPr>
              <w:t>071007</w:t>
            </w:r>
          </w:p>
          <w:p w14:paraId="6119DE6C" w14:textId="77777777" w:rsidR="00436363" w:rsidRPr="008B17C0" w:rsidRDefault="00436363" w:rsidP="00ED2926">
            <w:pPr>
              <w:spacing w:after="60" w:line="276" w:lineRule="auto"/>
              <w:rPr>
                <w:noProof/>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3876C1BB" w14:textId="77777777" w:rsidR="00436363" w:rsidRPr="008B17C0" w:rsidRDefault="00436363" w:rsidP="00ED2926">
            <w:pPr>
              <w:spacing w:line="276" w:lineRule="auto"/>
              <w:jc w:val="center"/>
              <w:rPr>
                <w:noProof/>
                <w:color w:val="0000FF"/>
              </w:rPr>
            </w:pPr>
            <w:r w:rsidRPr="008B17C0">
              <w:rPr>
                <w:noProof/>
                <w:sz w:val="18"/>
              </w:rPr>
              <w:t>OB/IOB</w:t>
            </w:r>
          </w:p>
        </w:tc>
        <w:tc>
          <w:tcPr>
            <w:tcW w:w="956" w:type="dxa"/>
            <w:tcBorders>
              <w:top w:val="single" w:sz="4" w:space="0" w:color="auto"/>
              <w:left w:val="single" w:sz="4" w:space="0" w:color="auto"/>
              <w:bottom w:val="single" w:sz="4" w:space="0" w:color="auto"/>
              <w:right w:val="single" w:sz="4" w:space="0" w:color="auto"/>
            </w:tcBorders>
            <w:vAlign w:val="center"/>
            <w:hideMark/>
          </w:tcPr>
          <w:p w14:paraId="3EF2FD5F" w14:textId="77777777" w:rsidR="00436363" w:rsidRPr="008B17C0" w:rsidRDefault="00436363" w:rsidP="006A0D14">
            <w:pPr>
              <w:spacing w:line="276" w:lineRule="auto"/>
              <w:jc w:val="center"/>
              <w:rPr>
                <w:noProof/>
                <w:sz w:val="20"/>
                <w:szCs w:val="20"/>
              </w:rPr>
            </w:pPr>
            <w:r w:rsidRPr="008B17C0">
              <w:rPr>
                <w:noProof/>
                <w:sz w:val="20"/>
                <w:szCs w:val="20"/>
              </w:rPr>
              <w:t>NEJ</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AEF0892" w14:textId="77777777" w:rsidR="00436363" w:rsidRPr="008B17C0" w:rsidRDefault="00436363" w:rsidP="006A0D14">
            <w:pPr>
              <w:spacing w:line="276" w:lineRule="auto"/>
              <w:jc w:val="center"/>
              <w:rPr>
                <w:noProof/>
                <w:sz w:val="20"/>
                <w:szCs w:val="20"/>
              </w:rPr>
            </w:pPr>
            <w:r w:rsidRPr="008B17C0">
              <w:rPr>
                <w:noProof/>
                <w:sz w:val="20"/>
                <w:szCs w:val="20"/>
              </w:rPr>
              <w:t>NEJ</w:t>
            </w:r>
          </w:p>
        </w:tc>
        <w:tc>
          <w:tcPr>
            <w:tcW w:w="956" w:type="dxa"/>
            <w:tcBorders>
              <w:top w:val="single" w:sz="4" w:space="0" w:color="auto"/>
              <w:left w:val="single" w:sz="4" w:space="0" w:color="auto"/>
              <w:bottom w:val="single" w:sz="4" w:space="0" w:color="auto"/>
              <w:right w:val="single" w:sz="4" w:space="0" w:color="auto"/>
            </w:tcBorders>
            <w:vAlign w:val="center"/>
            <w:hideMark/>
          </w:tcPr>
          <w:p w14:paraId="0F288177" w14:textId="77777777" w:rsidR="00436363" w:rsidRPr="008B17C0" w:rsidRDefault="00436363" w:rsidP="006A0D14">
            <w:pPr>
              <w:spacing w:line="276" w:lineRule="auto"/>
              <w:jc w:val="center"/>
              <w:rPr>
                <w:noProof/>
                <w:sz w:val="20"/>
                <w:szCs w:val="20"/>
              </w:rPr>
            </w:pPr>
            <w:r w:rsidRPr="008B17C0">
              <w:rPr>
                <w:noProof/>
                <w:sz w:val="20"/>
                <w:szCs w:val="20"/>
              </w:rPr>
              <w:t>JA</w:t>
            </w:r>
          </w:p>
        </w:tc>
        <w:tc>
          <w:tcPr>
            <w:tcW w:w="746" w:type="dxa"/>
            <w:tcBorders>
              <w:top w:val="single" w:sz="4" w:space="0" w:color="auto"/>
              <w:left w:val="single" w:sz="4" w:space="0" w:color="auto"/>
              <w:bottom w:val="single" w:sz="4" w:space="0" w:color="auto"/>
              <w:right w:val="single" w:sz="4" w:space="0" w:color="auto"/>
            </w:tcBorders>
            <w:vAlign w:val="center"/>
            <w:hideMark/>
          </w:tcPr>
          <w:p w14:paraId="1FFB5D17" w14:textId="77777777" w:rsidR="00436363" w:rsidRPr="008B17C0" w:rsidRDefault="00436363" w:rsidP="006A0D14">
            <w:pPr>
              <w:spacing w:line="276" w:lineRule="auto"/>
              <w:jc w:val="center"/>
              <w:rPr>
                <w:noProof/>
                <w:sz w:val="20"/>
                <w:szCs w:val="20"/>
              </w:rPr>
            </w:pPr>
            <w:r w:rsidRPr="008B17C0">
              <w:rPr>
                <w:noProof/>
                <w:sz w:val="20"/>
                <w:szCs w:val="20"/>
              </w:rPr>
              <w:t>NEJ</w:t>
            </w:r>
          </w:p>
        </w:tc>
      </w:tr>
    </w:tbl>
    <w:p w14:paraId="6DB7778F" w14:textId="77777777" w:rsidR="00436363" w:rsidRPr="008B17C0" w:rsidRDefault="00436363" w:rsidP="00ED2926">
      <w:pPr>
        <w:pStyle w:val="Text1"/>
        <w:rPr>
          <w:noProof/>
        </w:rPr>
      </w:pPr>
    </w:p>
    <w:p w14:paraId="327298D1" w14:textId="77777777" w:rsidR="00436363" w:rsidRPr="008B17C0" w:rsidRDefault="00436363" w:rsidP="00917AAD">
      <w:pPr>
        <w:pStyle w:val="ListBullet1"/>
        <w:rPr>
          <w:noProof/>
        </w:rPr>
      </w:pPr>
      <w:r w:rsidRPr="008B17C0">
        <w:rPr>
          <w:noProof/>
        </w:rPr>
        <w:t xml:space="preserve">Nye budgetposter, som der anmodes om </w:t>
      </w:r>
    </w:p>
    <w:p w14:paraId="715D6B1B" w14:textId="77777777" w:rsidR="000217AE" w:rsidRPr="008B17C0" w:rsidRDefault="000217AE" w:rsidP="000217AE">
      <w:pPr>
        <w:pStyle w:val="Text1"/>
        <w:rPr>
          <w:i/>
          <w:noProof/>
          <w:sz w:val="20"/>
        </w:rPr>
      </w:pPr>
      <w:r w:rsidRPr="008B17C0">
        <w:rPr>
          <w:noProof/>
          <w:u w:val="single"/>
        </w:rPr>
        <w:t>I samme rækkefølge</w:t>
      </w:r>
      <w:r w:rsidRPr="008B17C0">
        <w:rPr>
          <w:noProof/>
        </w:rPr>
        <w:t xml:space="preserve"> som udgiftsområderne i den flerårige finansielle ramme og budgetposterne.</w:t>
      </w:r>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887"/>
      </w:tblGrid>
      <w:tr w:rsidR="000217AE" w:rsidRPr="008B17C0" w14:paraId="3072DE4A" w14:textId="77777777" w:rsidTr="006A0D14">
        <w:tc>
          <w:tcPr>
            <w:tcW w:w="1080" w:type="dxa"/>
            <w:vMerge w:val="restart"/>
            <w:vAlign w:val="center"/>
          </w:tcPr>
          <w:p w14:paraId="27E2DB34" w14:textId="77777777" w:rsidR="000217AE" w:rsidRPr="008B17C0" w:rsidRDefault="000217AE" w:rsidP="00B2088F">
            <w:pPr>
              <w:spacing w:before="60" w:after="60"/>
              <w:jc w:val="center"/>
              <w:rPr>
                <w:noProof/>
              </w:rPr>
            </w:pPr>
            <w:r w:rsidRPr="008B17C0">
              <w:rPr>
                <w:noProof/>
                <w:sz w:val="18"/>
              </w:rPr>
              <w:t>Udgiftsområde i den flerårige finansielle ramme</w:t>
            </w:r>
          </w:p>
        </w:tc>
        <w:tc>
          <w:tcPr>
            <w:tcW w:w="3960" w:type="dxa"/>
            <w:vAlign w:val="center"/>
          </w:tcPr>
          <w:p w14:paraId="45001F0D" w14:textId="77777777" w:rsidR="000217AE" w:rsidRPr="008B17C0" w:rsidRDefault="000217AE" w:rsidP="00B2088F">
            <w:pPr>
              <w:spacing w:before="60" w:after="60"/>
              <w:jc w:val="center"/>
              <w:rPr>
                <w:noProof/>
              </w:rPr>
            </w:pPr>
            <w:r w:rsidRPr="008B17C0">
              <w:rPr>
                <w:noProof/>
                <w:sz w:val="20"/>
              </w:rPr>
              <w:t>Budgetpost</w:t>
            </w:r>
          </w:p>
        </w:tc>
        <w:tc>
          <w:tcPr>
            <w:tcW w:w="1080" w:type="dxa"/>
            <w:vAlign w:val="center"/>
          </w:tcPr>
          <w:p w14:paraId="30B4024D" w14:textId="77777777" w:rsidR="000217AE" w:rsidRPr="008B17C0" w:rsidRDefault="000217AE" w:rsidP="00B2088F">
            <w:pPr>
              <w:spacing w:before="60" w:after="60"/>
              <w:jc w:val="center"/>
              <w:rPr>
                <w:noProof/>
              </w:rPr>
            </w:pPr>
            <w:r w:rsidRPr="008B17C0">
              <w:rPr>
                <w:noProof/>
                <w:sz w:val="18"/>
              </w:rPr>
              <w:t>Udgiftens</w:t>
            </w:r>
            <w:r w:rsidRPr="008B17C0">
              <w:rPr>
                <w:noProof/>
              </w:rPr>
              <w:t xml:space="preserve"> </w:t>
            </w:r>
            <w:r w:rsidRPr="008B17C0">
              <w:rPr>
                <w:noProof/>
              </w:rPr>
              <w:br/>
            </w:r>
            <w:r w:rsidRPr="008B17C0">
              <w:rPr>
                <w:noProof/>
                <w:sz w:val="18"/>
              </w:rPr>
              <w:t>art</w:t>
            </w:r>
          </w:p>
        </w:tc>
        <w:tc>
          <w:tcPr>
            <w:tcW w:w="3879" w:type="dxa"/>
            <w:gridSpan w:val="4"/>
            <w:vAlign w:val="center"/>
          </w:tcPr>
          <w:p w14:paraId="04C90FE1" w14:textId="77777777" w:rsidR="000217AE" w:rsidRPr="008B17C0" w:rsidRDefault="000217AE" w:rsidP="00B2088F">
            <w:pPr>
              <w:spacing w:before="60" w:after="60"/>
              <w:jc w:val="center"/>
              <w:rPr>
                <w:noProof/>
              </w:rPr>
            </w:pPr>
            <w:r w:rsidRPr="008B17C0">
              <w:rPr>
                <w:noProof/>
                <w:sz w:val="20"/>
              </w:rPr>
              <w:t xml:space="preserve">Bidrag </w:t>
            </w:r>
          </w:p>
        </w:tc>
      </w:tr>
      <w:tr w:rsidR="000217AE" w:rsidRPr="008B17C0" w14:paraId="5AE3AA54" w14:textId="77777777" w:rsidTr="006A0D14">
        <w:tc>
          <w:tcPr>
            <w:tcW w:w="1080" w:type="dxa"/>
            <w:vMerge/>
            <w:vAlign w:val="center"/>
          </w:tcPr>
          <w:p w14:paraId="41C69586" w14:textId="77777777" w:rsidR="000217AE" w:rsidRPr="008B17C0" w:rsidRDefault="000217AE" w:rsidP="00B2088F">
            <w:pPr>
              <w:rPr>
                <w:noProof/>
              </w:rPr>
            </w:pPr>
          </w:p>
        </w:tc>
        <w:tc>
          <w:tcPr>
            <w:tcW w:w="3960" w:type="dxa"/>
            <w:vAlign w:val="center"/>
          </w:tcPr>
          <w:p w14:paraId="7A630AF2" w14:textId="5398F2F7" w:rsidR="000217AE" w:rsidRPr="008B17C0" w:rsidRDefault="000217AE" w:rsidP="00B2088F">
            <w:pPr>
              <w:rPr>
                <w:noProof/>
              </w:rPr>
            </w:pPr>
            <w:r w:rsidRPr="008B17C0">
              <w:rPr>
                <w:noProof/>
                <w:sz w:val="20"/>
              </w:rPr>
              <w:t xml:space="preserve">Nummer </w:t>
            </w:r>
            <w:r w:rsidRPr="008B17C0">
              <w:rPr>
                <w:noProof/>
              </w:rPr>
              <w:br/>
            </w:r>
          </w:p>
        </w:tc>
        <w:tc>
          <w:tcPr>
            <w:tcW w:w="1080" w:type="dxa"/>
            <w:vAlign w:val="center"/>
          </w:tcPr>
          <w:p w14:paraId="44A7DAE1" w14:textId="77777777" w:rsidR="000217AE" w:rsidRPr="008B17C0" w:rsidRDefault="000217AE" w:rsidP="00B2088F">
            <w:pPr>
              <w:jc w:val="center"/>
              <w:rPr>
                <w:noProof/>
              </w:rPr>
            </w:pPr>
            <w:r w:rsidRPr="008B17C0">
              <w:rPr>
                <w:noProof/>
                <w:sz w:val="18"/>
              </w:rPr>
              <w:t>OB/IOB</w:t>
            </w:r>
          </w:p>
        </w:tc>
        <w:tc>
          <w:tcPr>
            <w:tcW w:w="956" w:type="dxa"/>
            <w:vAlign w:val="center"/>
          </w:tcPr>
          <w:p w14:paraId="7684B20B" w14:textId="77777777" w:rsidR="000217AE" w:rsidRPr="008B17C0" w:rsidRDefault="000217AE" w:rsidP="00B2088F">
            <w:pPr>
              <w:jc w:val="center"/>
              <w:rPr>
                <w:noProof/>
                <w:sz w:val="18"/>
              </w:rPr>
            </w:pPr>
            <w:r w:rsidRPr="008B17C0">
              <w:rPr>
                <w:noProof/>
                <w:sz w:val="18"/>
              </w:rPr>
              <w:t>fra EFTA-lande</w:t>
            </w:r>
          </w:p>
        </w:tc>
        <w:tc>
          <w:tcPr>
            <w:tcW w:w="1080" w:type="dxa"/>
            <w:vAlign w:val="center"/>
          </w:tcPr>
          <w:p w14:paraId="5BAF34B3" w14:textId="77777777" w:rsidR="000217AE" w:rsidRPr="008B17C0" w:rsidRDefault="000217AE" w:rsidP="00B2088F">
            <w:pPr>
              <w:jc w:val="center"/>
              <w:rPr>
                <w:noProof/>
                <w:sz w:val="18"/>
              </w:rPr>
            </w:pPr>
            <w:r w:rsidRPr="008B17C0">
              <w:rPr>
                <w:noProof/>
                <w:sz w:val="18"/>
              </w:rPr>
              <w:t>fra kandidatlande</w:t>
            </w:r>
          </w:p>
        </w:tc>
        <w:tc>
          <w:tcPr>
            <w:tcW w:w="956" w:type="dxa"/>
            <w:vAlign w:val="center"/>
          </w:tcPr>
          <w:p w14:paraId="6B8595A9" w14:textId="77777777" w:rsidR="000217AE" w:rsidRPr="008B17C0" w:rsidRDefault="000217AE" w:rsidP="00B2088F">
            <w:pPr>
              <w:jc w:val="center"/>
              <w:rPr>
                <w:noProof/>
                <w:sz w:val="18"/>
              </w:rPr>
            </w:pPr>
            <w:r w:rsidRPr="008B17C0">
              <w:rPr>
                <w:noProof/>
                <w:sz w:val="18"/>
              </w:rPr>
              <w:t>fra tredjelande</w:t>
            </w:r>
          </w:p>
        </w:tc>
        <w:tc>
          <w:tcPr>
            <w:tcW w:w="887" w:type="dxa"/>
            <w:vAlign w:val="center"/>
          </w:tcPr>
          <w:p w14:paraId="7ECB5E0A" w14:textId="77777777" w:rsidR="000217AE" w:rsidRPr="008B17C0" w:rsidRDefault="000217AE" w:rsidP="00B2088F">
            <w:pPr>
              <w:jc w:val="center"/>
              <w:rPr>
                <w:noProof/>
              </w:rPr>
            </w:pPr>
            <w:r w:rsidRPr="008B17C0">
              <w:rPr>
                <w:noProof/>
                <w:sz w:val="16"/>
              </w:rPr>
              <w:t xml:space="preserve">iht. finansforordningens artikel 21, stk. 2, litra b) </w:t>
            </w:r>
          </w:p>
        </w:tc>
      </w:tr>
      <w:tr w:rsidR="000217AE" w:rsidRPr="008B17C0" w14:paraId="5679B0CC" w14:textId="77777777" w:rsidTr="006A0D14">
        <w:tc>
          <w:tcPr>
            <w:tcW w:w="1080" w:type="dxa"/>
            <w:vAlign w:val="center"/>
          </w:tcPr>
          <w:p w14:paraId="6B0A4CBA" w14:textId="77777777" w:rsidR="000217AE" w:rsidRPr="008B17C0" w:rsidRDefault="000217AE" w:rsidP="00B2088F">
            <w:pPr>
              <w:jc w:val="center"/>
              <w:rPr>
                <w:noProof/>
                <w:color w:val="0000FF"/>
              </w:rPr>
            </w:pPr>
          </w:p>
        </w:tc>
        <w:tc>
          <w:tcPr>
            <w:tcW w:w="3960" w:type="dxa"/>
            <w:vAlign w:val="center"/>
          </w:tcPr>
          <w:p w14:paraId="052E7136" w14:textId="77777777" w:rsidR="000217AE" w:rsidRPr="008B17C0" w:rsidRDefault="000217AE" w:rsidP="00B2088F">
            <w:pPr>
              <w:spacing w:before="60"/>
              <w:rPr>
                <w:noProof/>
              </w:rPr>
            </w:pPr>
            <w:r w:rsidRPr="008B17C0">
              <w:rPr>
                <w:noProof/>
              </w:rPr>
              <w:t>[XX.YY.YY.YY]</w:t>
            </w:r>
          </w:p>
          <w:p w14:paraId="61B9DEFC" w14:textId="77777777" w:rsidR="000217AE" w:rsidRPr="008B17C0" w:rsidRDefault="000217AE" w:rsidP="00B2088F">
            <w:pPr>
              <w:spacing w:after="60"/>
              <w:rPr>
                <w:noProof/>
              </w:rPr>
            </w:pPr>
          </w:p>
        </w:tc>
        <w:tc>
          <w:tcPr>
            <w:tcW w:w="1080" w:type="dxa"/>
            <w:vAlign w:val="center"/>
          </w:tcPr>
          <w:p w14:paraId="32AC567E" w14:textId="77777777" w:rsidR="000217AE" w:rsidRPr="008B17C0" w:rsidRDefault="000217AE" w:rsidP="00B2088F">
            <w:pPr>
              <w:jc w:val="center"/>
              <w:rPr>
                <w:noProof/>
                <w:color w:val="0000FF"/>
              </w:rPr>
            </w:pPr>
          </w:p>
        </w:tc>
        <w:tc>
          <w:tcPr>
            <w:tcW w:w="956" w:type="dxa"/>
            <w:vAlign w:val="center"/>
          </w:tcPr>
          <w:p w14:paraId="187EFDA9" w14:textId="77777777" w:rsidR="000217AE" w:rsidRPr="008B17C0" w:rsidRDefault="000217AE">
            <w:pPr>
              <w:jc w:val="center"/>
              <w:rPr>
                <w:noProof/>
                <w:sz w:val="20"/>
                <w:szCs w:val="20"/>
              </w:rPr>
            </w:pPr>
            <w:r w:rsidRPr="008B17C0">
              <w:rPr>
                <w:noProof/>
                <w:sz w:val="20"/>
                <w:szCs w:val="20"/>
              </w:rPr>
              <w:t>JA/NEJ</w:t>
            </w:r>
          </w:p>
        </w:tc>
        <w:tc>
          <w:tcPr>
            <w:tcW w:w="1080" w:type="dxa"/>
            <w:vAlign w:val="center"/>
          </w:tcPr>
          <w:p w14:paraId="5AD606B9" w14:textId="77777777" w:rsidR="000217AE" w:rsidRPr="008B17C0" w:rsidRDefault="000217AE">
            <w:pPr>
              <w:jc w:val="center"/>
              <w:rPr>
                <w:noProof/>
                <w:color w:val="0000FF"/>
                <w:sz w:val="20"/>
                <w:szCs w:val="20"/>
              </w:rPr>
            </w:pPr>
            <w:r w:rsidRPr="008B17C0">
              <w:rPr>
                <w:noProof/>
                <w:sz w:val="20"/>
                <w:szCs w:val="20"/>
              </w:rPr>
              <w:t>JA/NEJ</w:t>
            </w:r>
          </w:p>
        </w:tc>
        <w:tc>
          <w:tcPr>
            <w:tcW w:w="956" w:type="dxa"/>
            <w:vAlign w:val="center"/>
          </w:tcPr>
          <w:p w14:paraId="5FCCC83D" w14:textId="77777777" w:rsidR="000217AE" w:rsidRPr="008B17C0" w:rsidRDefault="000217AE">
            <w:pPr>
              <w:jc w:val="center"/>
              <w:rPr>
                <w:noProof/>
                <w:color w:val="0000FF"/>
                <w:sz w:val="20"/>
                <w:szCs w:val="20"/>
              </w:rPr>
            </w:pPr>
            <w:r w:rsidRPr="008B17C0">
              <w:rPr>
                <w:noProof/>
                <w:sz w:val="20"/>
                <w:szCs w:val="20"/>
              </w:rPr>
              <w:t>JA/NEJ</w:t>
            </w:r>
          </w:p>
        </w:tc>
        <w:tc>
          <w:tcPr>
            <w:tcW w:w="887" w:type="dxa"/>
            <w:vAlign w:val="center"/>
          </w:tcPr>
          <w:p w14:paraId="4E2AAE9E" w14:textId="77777777" w:rsidR="000217AE" w:rsidRPr="008B17C0" w:rsidRDefault="000217AE">
            <w:pPr>
              <w:jc w:val="center"/>
              <w:rPr>
                <w:noProof/>
                <w:sz w:val="20"/>
                <w:szCs w:val="20"/>
              </w:rPr>
            </w:pPr>
            <w:r w:rsidRPr="008B17C0">
              <w:rPr>
                <w:noProof/>
                <w:sz w:val="20"/>
                <w:szCs w:val="20"/>
              </w:rPr>
              <w:t>JA/NEJ</w:t>
            </w:r>
          </w:p>
        </w:tc>
      </w:tr>
    </w:tbl>
    <w:p w14:paraId="1580744E" w14:textId="77777777" w:rsidR="00436363" w:rsidRPr="008B17C0" w:rsidRDefault="00436363" w:rsidP="00ED2926">
      <w:pPr>
        <w:rPr>
          <w:noProof/>
        </w:rPr>
        <w:sectPr w:rsidR="00436363" w:rsidRPr="008B17C0" w:rsidSect="00EA3F52">
          <w:pgSz w:w="11907" w:h="16840" w:code="1"/>
          <w:pgMar w:top="1134" w:right="1418" w:bottom="1134" w:left="1418" w:header="709" w:footer="709" w:gutter="0"/>
          <w:cols w:space="708"/>
          <w:docGrid w:linePitch="360"/>
        </w:sectPr>
      </w:pPr>
    </w:p>
    <w:p w14:paraId="7BFA80EA" w14:textId="5CBA823A" w:rsidR="00436363" w:rsidRPr="008B17C0" w:rsidRDefault="003433F5" w:rsidP="003433F5">
      <w:pPr>
        <w:pStyle w:val="ManualHeading2"/>
        <w:rPr>
          <w:bCs/>
          <w:noProof/>
          <w:szCs w:val="24"/>
        </w:rPr>
      </w:pPr>
      <w:bookmarkStart w:id="113" w:name="_Toc514938052"/>
      <w:bookmarkStart w:id="114" w:name="_Toc520485051"/>
      <w:bookmarkStart w:id="115" w:name="_Toc84517598"/>
      <w:r w:rsidRPr="003433F5">
        <w:t>3.2.</w:t>
      </w:r>
      <w:r w:rsidRPr="003433F5">
        <w:tab/>
      </w:r>
      <w:r w:rsidR="00436363" w:rsidRPr="008B17C0">
        <w:rPr>
          <w:noProof/>
        </w:rPr>
        <w:t>Forslagets anslåede finansielle virkninger for bevillingerne</w:t>
      </w:r>
      <w:bookmarkEnd w:id="113"/>
      <w:bookmarkEnd w:id="114"/>
      <w:bookmarkEnd w:id="115"/>
      <w:r w:rsidR="00436363" w:rsidRPr="008B17C0">
        <w:rPr>
          <w:noProof/>
        </w:rPr>
        <w:t xml:space="preserve"> </w:t>
      </w:r>
    </w:p>
    <w:p w14:paraId="54309422" w14:textId="2A676C82" w:rsidR="00436363" w:rsidRPr="008B17C0" w:rsidRDefault="003433F5" w:rsidP="003433F5">
      <w:pPr>
        <w:pStyle w:val="ManualHeading3"/>
        <w:rPr>
          <w:noProof/>
        </w:rPr>
      </w:pPr>
      <w:bookmarkStart w:id="116" w:name="_Toc514938053"/>
      <w:bookmarkStart w:id="117" w:name="_Toc520485052"/>
      <w:bookmarkStart w:id="118" w:name="_Toc84517599"/>
      <w:r w:rsidRPr="003433F5">
        <w:t>3.2.1.</w:t>
      </w:r>
      <w:r w:rsidRPr="003433F5">
        <w:tab/>
      </w:r>
      <w:r w:rsidR="00436363" w:rsidRPr="008B17C0">
        <w:rPr>
          <w:noProof/>
        </w:rPr>
        <w:t>Sammenfatning af de anslåede virkninger for aktionsbevillingerne</w:t>
      </w:r>
      <w:bookmarkEnd w:id="116"/>
      <w:bookmarkEnd w:id="117"/>
      <w:bookmarkEnd w:id="118"/>
      <w:r w:rsidR="00436363" w:rsidRPr="008B17C0">
        <w:rPr>
          <w:noProof/>
        </w:rPr>
        <w:t xml:space="preserve"> </w:t>
      </w:r>
    </w:p>
    <w:p w14:paraId="66AFB165" w14:textId="77777777" w:rsidR="00436363" w:rsidRPr="008B17C0" w:rsidRDefault="00436363" w:rsidP="00917AAD">
      <w:pPr>
        <w:pStyle w:val="ListDash1"/>
        <w:rPr>
          <w:noProof/>
        </w:rPr>
      </w:pPr>
      <w:r w:rsidRPr="008B17C0">
        <w:rPr>
          <w:noProof/>
        </w:rPr>
        <w:sym w:font="Wingdings" w:char="F0A8"/>
      </w:r>
      <w:r w:rsidRPr="008B17C0">
        <w:rPr>
          <w:noProof/>
        </w:rPr>
        <w:tab/>
        <w:t xml:space="preserve">Forslaget/initiativet medfører ikke anvendelse af aktionsbevillinger </w:t>
      </w:r>
    </w:p>
    <w:p w14:paraId="7D354FBF" w14:textId="6B208523" w:rsidR="00436363" w:rsidRPr="008B17C0" w:rsidRDefault="002B3C40" w:rsidP="00917AAD">
      <w:pPr>
        <w:pStyle w:val="ListDash1"/>
        <w:rPr>
          <w:noProof/>
        </w:rPr>
      </w:pPr>
      <w:r w:rsidRPr="008B17C0">
        <w:rPr>
          <w:noProof/>
        </w:rPr>
        <w:sym w:font="Wingdings" w:char="F0FE"/>
      </w:r>
      <w:r w:rsidRPr="008B17C0">
        <w:rPr>
          <w:noProof/>
        </w:rPr>
        <w:tab/>
        <w:t>Forslaget/initiativet medfører anvendelse af aktionsbevillinger som anført herunder:</w:t>
      </w:r>
    </w:p>
    <w:p w14:paraId="01414D59" w14:textId="77777777" w:rsidR="00436363" w:rsidRPr="008B17C0" w:rsidRDefault="00436363" w:rsidP="00ED2926">
      <w:pPr>
        <w:jc w:val="right"/>
        <w:rPr>
          <w:noProof/>
          <w:sz w:val="18"/>
          <w:szCs w:val="18"/>
        </w:rPr>
      </w:pPr>
      <w:r w:rsidRPr="008B17C0">
        <w:rPr>
          <w:noProof/>
          <w:sz w:val="18"/>
          <w:szCs w:val="18"/>
        </w:rPr>
        <w:t>i mio. EUR (tre decimaler)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462"/>
      </w:tblGrid>
      <w:tr w:rsidR="00436363" w:rsidRPr="008B17C0" w14:paraId="6A4CB58F" w14:textId="77777777" w:rsidTr="006A0D14">
        <w:trPr>
          <w:jc w:val="center"/>
        </w:trPr>
        <w:tc>
          <w:tcPr>
            <w:tcW w:w="4744" w:type="dxa"/>
            <w:shd w:val="clear" w:color="auto" w:fill="auto"/>
            <w:vAlign w:val="center"/>
          </w:tcPr>
          <w:p w14:paraId="414105A8" w14:textId="77777777" w:rsidR="00436363" w:rsidRPr="008B17C0" w:rsidRDefault="00436363" w:rsidP="00ED2926">
            <w:pPr>
              <w:spacing w:before="60" w:after="60"/>
              <w:jc w:val="center"/>
              <w:rPr>
                <w:b/>
                <w:noProof/>
              </w:rPr>
            </w:pPr>
            <w:r w:rsidRPr="008B17C0">
              <w:rPr>
                <w:noProof/>
              </w:rPr>
              <w:t>Udgifts</w:t>
            </w:r>
            <w:r w:rsidRPr="008B17C0">
              <w:rPr>
                <w:noProof/>
              </w:rPr>
              <w:softHyphen/>
              <w:t>område i den flerårige finansielle ramme</w:t>
            </w:r>
            <w:r w:rsidRPr="008B17C0">
              <w:rPr>
                <w:b/>
                <w:noProof/>
                <w:sz w:val="22"/>
              </w:rPr>
              <w:t xml:space="preserve"> </w:t>
            </w:r>
          </w:p>
        </w:tc>
        <w:tc>
          <w:tcPr>
            <w:tcW w:w="1080" w:type="dxa"/>
            <w:vAlign w:val="center"/>
          </w:tcPr>
          <w:p w14:paraId="7682CBF4" w14:textId="77777777" w:rsidR="00436363" w:rsidRPr="008B17C0" w:rsidRDefault="00436363" w:rsidP="00ED2926">
            <w:pPr>
              <w:spacing w:before="60" w:after="60"/>
              <w:jc w:val="center"/>
              <w:rPr>
                <w:noProof/>
              </w:rPr>
            </w:pPr>
            <w:r w:rsidRPr="008B17C0">
              <w:rPr>
                <w:noProof/>
                <w:sz w:val="22"/>
              </w:rPr>
              <w:t>Nummer</w:t>
            </w:r>
          </w:p>
        </w:tc>
        <w:tc>
          <w:tcPr>
            <w:tcW w:w="7462" w:type="dxa"/>
            <w:vAlign w:val="center"/>
          </w:tcPr>
          <w:p w14:paraId="12D757B7" w14:textId="77777777" w:rsidR="00436363" w:rsidRPr="008B17C0" w:rsidRDefault="000217AE" w:rsidP="00ED2926">
            <w:pPr>
              <w:spacing w:before="60" w:after="60"/>
              <w:rPr>
                <w:noProof/>
              </w:rPr>
            </w:pPr>
            <w:r w:rsidRPr="008B17C0">
              <w:rPr>
                <w:noProof/>
              </w:rPr>
              <w:t>Udgiftsområde 7 — Investering i mennesker, social samhørighed og værdier</w:t>
            </w:r>
          </w:p>
        </w:tc>
      </w:tr>
    </w:tbl>
    <w:p w14:paraId="1BDE23FD" w14:textId="77777777" w:rsidR="00436363" w:rsidRPr="008B17C0" w:rsidRDefault="00436363" w:rsidP="00ED2926">
      <w:pPr>
        <w:rPr>
          <w:noProof/>
          <w:sz w:val="16"/>
        </w:rPr>
      </w:pPr>
    </w:p>
    <w:tbl>
      <w:tblPr>
        <w:tblW w:w="1332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3"/>
        <w:gridCol w:w="1440"/>
        <w:gridCol w:w="35"/>
        <w:gridCol w:w="619"/>
        <w:gridCol w:w="1369"/>
        <w:gridCol w:w="1369"/>
        <w:gridCol w:w="1369"/>
        <w:gridCol w:w="1369"/>
        <w:gridCol w:w="2551"/>
      </w:tblGrid>
      <w:tr w:rsidR="009A3AD8" w:rsidRPr="008B17C0" w14:paraId="7C32E8C4" w14:textId="77777777" w:rsidTr="006A0D14">
        <w:tc>
          <w:tcPr>
            <w:tcW w:w="3203" w:type="dxa"/>
            <w:vAlign w:val="center"/>
          </w:tcPr>
          <w:p w14:paraId="3417701C" w14:textId="77777777" w:rsidR="009A3AD8" w:rsidRPr="008B17C0" w:rsidRDefault="009A3AD8" w:rsidP="000217AE">
            <w:pPr>
              <w:jc w:val="center"/>
              <w:rPr>
                <w:noProof/>
              </w:rPr>
            </w:pPr>
            <w:r w:rsidRPr="008B17C0">
              <w:rPr>
                <w:noProof/>
                <w:sz w:val="22"/>
              </w:rPr>
              <w:t xml:space="preserve">[Organ]: </w:t>
            </w:r>
            <w:r w:rsidRPr="008B17C0">
              <w:rPr>
                <w:noProof/>
              </w:rPr>
              <w:t>Eurojust</w:t>
            </w:r>
          </w:p>
        </w:tc>
        <w:tc>
          <w:tcPr>
            <w:tcW w:w="1475" w:type="dxa"/>
            <w:gridSpan w:val="2"/>
          </w:tcPr>
          <w:p w14:paraId="0234BBCA" w14:textId="77777777" w:rsidR="009A3AD8" w:rsidRPr="008B17C0" w:rsidRDefault="009A3AD8" w:rsidP="000217AE">
            <w:pPr>
              <w:rPr>
                <w:noProof/>
                <w:sz w:val="20"/>
                <w:lang w:eastAsia="en-GB"/>
              </w:rPr>
            </w:pPr>
          </w:p>
        </w:tc>
        <w:tc>
          <w:tcPr>
            <w:tcW w:w="619" w:type="dxa"/>
          </w:tcPr>
          <w:p w14:paraId="3C14F126" w14:textId="77777777" w:rsidR="009A3AD8" w:rsidRPr="008B17C0" w:rsidRDefault="009A3AD8" w:rsidP="000217AE">
            <w:pPr>
              <w:jc w:val="center"/>
              <w:rPr>
                <w:noProof/>
                <w:sz w:val="20"/>
                <w:lang w:eastAsia="en-GB"/>
              </w:rPr>
            </w:pPr>
          </w:p>
        </w:tc>
        <w:tc>
          <w:tcPr>
            <w:tcW w:w="1369" w:type="dxa"/>
            <w:vAlign w:val="center"/>
          </w:tcPr>
          <w:p w14:paraId="0A742490" w14:textId="77777777" w:rsidR="009A3AD8" w:rsidRPr="008B17C0" w:rsidRDefault="009A3AD8" w:rsidP="000217AE">
            <w:pPr>
              <w:jc w:val="center"/>
              <w:rPr>
                <w:noProof/>
                <w:sz w:val="20"/>
              </w:rPr>
            </w:pPr>
            <w:r w:rsidRPr="008B17C0">
              <w:rPr>
                <w:noProof/>
                <w:sz w:val="20"/>
              </w:rPr>
              <w:t>År</w:t>
            </w:r>
            <w:r w:rsidRPr="008B17C0">
              <w:rPr>
                <w:noProof/>
              </w:rPr>
              <w:t xml:space="preserve"> </w:t>
            </w:r>
            <w:r w:rsidRPr="008B17C0">
              <w:rPr>
                <w:noProof/>
              </w:rPr>
              <w:br/>
            </w:r>
            <w:r w:rsidRPr="008B17C0">
              <w:rPr>
                <w:b/>
                <w:noProof/>
                <w:sz w:val="20"/>
              </w:rPr>
              <w:t>2024</w:t>
            </w:r>
          </w:p>
        </w:tc>
        <w:tc>
          <w:tcPr>
            <w:tcW w:w="1369" w:type="dxa"/>
            <w:vAlign w:val="center"/>
          </w:tcPr>
          <w:p w14:paraId="24AB660E" w14:textId="77777777" w:rsidR="009A3AD8" w:rsidRPr="008B17C0" w:rsidRDefault="009A3AD8" w:rsidP="000217AE">
            <w:pPr>
              <w:jc w:val="center"/>
              <w:rPr>
                <w:noProof/>
                <w:sz w:val="20"/>
              </w:rPr>
            </w:pPr>
            <w:r w:rsidRPr="008B17C0">
              <w:rPr>
                <w:noProof/>
                <w:sz w:val="20"/>
              </w:rPr>
              <w:t>År</w:t>
            </w:r>
            <w:r w:rsidRPr="008B17C0">
              <w:rPr>
                <w:noProof/>
              </w:rPr>
              <w:t xml:space="preserve"> </w:t>
            </w:r>
            <w:r w:rsidRPr="008B17C0">
              <w:rPr>
                <w:noProof/>
              </w:rPr>
              <w:br/>
            </w:r>
            <w:r w:rsidRPr="008B17C0">
              <w:rPr>
                <w:b/>
                <w:noProof/>
                <w:sz w:val="20"/>
              </w:rPr>
              <w:t>2025</w:t>
            </w:r>
          </w:p>
        </w:tc>
        <w:tc>
          <w:tcPr>
            <w:tcW w:w="1369" w:type="dxa"/>
            <w:vAlign w:val="center"/>
          </w:tcPr>
          <w:p w14:paraId="5E76F456" w14:textId="77777777" w:rsidR="009A3AD8" w:rsidRPr="008B17C0" w:rsidRDefault="009A3AD8" w:rsidP="000217AE">
            <w:pPr>
              <w:jc w:val="center"/>
              <w:rPr>
                <w:noProof/>
                <w:sz w:val="20"/>
              </w:rPr>
            </w:pPr>
            <w:r w:rsidRPr="008B17C0">
              <w:rPr>
                <w:noProof/>
                <w:sz w:val="20"/>
              </w:rPr>
              <w:t>År</w:t>
            </w:r>
            <w:r w:rsidRPr="008B17C0">
              <w:rPr>
                <w:noProof/>
              </w:rPr>
              <w:t xml:space="preserve"> </w:t>
            </w:r>
            <w:r w:rsidRPr="008B17C0">
              <w:rPr>
                <w:noProof/>
              </w:rPr>
              <w:br/>
            </w:r>
            <w:r w:rsidRPr="008B17C0">
              <w:rPr>
                <w:b/>
                <w:noProof/>
                <w:sz w:val="20"/>
              </w:rPr>
              <w:t>2026</w:t>
            </w:r>
          </w:p>
        </w:tc>
        <w:tc>
          <w:tcPr>
            <w:tcW w:w="1369" w:type="dxa"/>
            <w:vAlign w:val="center"/>
          </w:tcPr>
          <w:p w14:paraId="14886B80" w14:textId="77777777" w:rsidR="009A3AD8" w:rsidRPr="008B17C0" w:rsidRDefault="009A3AD8" w:rsidP="000217AE">
            <w:pPr>
              <w:jc w:val="center"/>
              <w:rPr>
                <w:noProof/>
                <w:sz w:val="20"/>
              </w:rPr>
            </w:pPr>
            <w:r w:rsidRPr="008B17C0">
              <w:rPr>
                <w:noProof/>
                <w:sz w:val="20"/>
              </w:rPr>
              <w:t>År</w:t>
            </w:r>
            <w:r w:rsidRPr="008B17C0">
              <w:rPr>
                <w:noProof/>
              </w:rPr>
              <w:t xml:space="preserve"> </w:t>
            </w:r>
            <w:r w:rsidRPr="008B17C0">
              <w:rPr>
                <w:noProof/>
              </w:rPr>
              <w:br/>
            </w:r>
            <w:r w:rsidRPr="008B17C0">
              <w:rPr>
                <w:b/>
                <w:noProof/>
                <w:sz w:val="20"/>
              </w:rPr>
              <w:t>2027</w:t>
            </w:r>
          </w:p>
        </w:tc>
        <w:tc>
          <w:tcPr>
            <w:tcW w:w="2551" w:type="dxa"/>
            <w:vAlign w:val="center"/>
          </w:tcPr>
          <w:p w14:paraId="27B59571" w14:textId="77777777" w:rsidR="009A3AD8" w:rsidRPr="008B17C0" w:rsidRDefault="009A3AD8" w:rsidP="000217AE">
            <w:pPr>
              <w:jc w:val="center"/>
              <w:rPr>
                <w:b/>
                <w:noProof/>
                <w:sz w:val="20"/>
              </w:rPr>
            </w:pPr>
            <w:r w:rsidRPr="008B17C0">
              <w:rPr>
                <w:b/>
                <w:noProof/>
                <w:sz w:val="20"/>
              </w:rPr>
              <w:t>I ALT</w:t>
            </w:r>
          </w:p>
        </w:tc>
      </w:tr>
      <w:tr w:rsidR="009A3AD8" w:rsidRPr="008B17C0" w14:paraId="5CDE7D4A" w14:textId="77777777" w:rsidTr="006A0D14">
        <w:trPr>
          <w:trHeight w:val="277"/>
        </w:trPr>
        <w:tc>
          <w:tcPr>
            <w:tcW w:w="3203" w:type="dxa"/>
            <w:vMerge w:val="restart"/>
            <w:vAlign w:val="center"/>
          </w:tcPr>
          <w:p w14:paraId="48188EF1" w14:textId="77777777" w:rsidR="009A3AD8" w:rsidRPr="008B17C0" w:rsidRDefault="009A3AD8" w:rsidP="000217AE">
            <w:pPr>
              <w:rPr>
                <w:noProof/>
                <w:sz w:val="20"/>
              </w:rPr>
            </w:pPr>
            <w:r w:rsidRPr="008B17C0">
              <w:rPr>
                <w:noProof/>
                <w:sz w:val="20"/>
              </w:rPr>
              <w:t>Afsnit 1 Personaleudgifter</w:t>
            </w:r>
          </w:p>
        </w:tc>
        <w:tc>
          <w:tcPr>
            <w:tcW w:w="1440" w:type="dxa"/>
            <w:vAlign w:val="center"/>
          </w:tcPr>
          <w:p w14:paraId="71308CCA" w14:textId="77777777" w:rsidR="009A3AD8" w:rsidRPr="008B17C0" w:rsidRDefault="009A3AD8" w:rsidP="000217AE">
            <w:pPr>
              <w:spacing w:before="20" w:after="20"/>
              <w:rPr>
                <w:noProof/>
              </w:rPr>
            </w:pPr>
            <w:r w:rsidRPr="008B17C0">
              <w:rPr>
                <w:noProof/>
                <w:sz w:val="18"/>
              </w:rPr>
              <w:t>Forpligtelser</w:t>
            </w:r>
          </w:p>
        </w:tc>
        <w:tc>
          <w:tcPr>
            <w:tcW w:w="654" w:type="dxa"/>
            <w:gridSpan w:val="2"/>
            <w:vAlign w:val="center"/>
          </w:tcPr>
          <w:p w14:paraId="6E960808" w14:textId="77777777" w:rsidR="009A3AD8" w:rsidRPr="008B17C0" w:rsidRDefault="009A3AD8" w:rsidP="000217AE">
            <w:pPr>
              <w:spacing w:before="20" w:after="20"/>
              <w:jc w:val="center"/>
              <w:rPr>
                <w:noProof/>
                <w:sz w:val="14"/>
              </w:rPr>
            </w:pPr>
            <w:r w:rsidRPr="008B17C0">
              <w:rPr>
                <w:noProof/>
                <w:sz w:val="14"/>
              </w:rPr>
              <w:t>1.</w:t>
            </w:r>
          </w:p>
        </w:tc>
        <w:tc>
          <w:tcPr>
            <w:tcW w:w="136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CBF156B" w14:textId="77777777" w:rsidR="009A3AD8" w:rsidRPr="008B17C0" w:rsidRDefault="009A3AD8" w:rsidP="006A0D14">
            <w:pPr>
              <w:spacing w:before="20" w:after="20"/>
              <w:jc w:val="right"/>
              <w:rPr>
                <w:noProof/>
                <w:sz w:val="20"/>
                <w:szCs w:val="20"/>
              </w:rPr>
            </w:pPr>
            <w:r w:rsidRPr="008B17C0">
              <w:rPr>
                <w:noProof/>
                <w:color w:val="000000"/>
                <w:sz w:val="20"/>
                <w:szCs w:val="20"/>
              </w:rPr>
              <w:t>1 125</w:t>
            </w:r>
          </w:p>
        </w:tc>
        <w:tc>
          <w:tcPr>
            <w:tcW w:w="1369" w:type="dxa"/>
            <w:tcBorders>
              <w:top w:val="single" w:sz="4" w:space="0" w:color="auto"/>
              <w:left w:val="nil"/>
              <w:bottom w:val="single" w:sz="4" w:space="0" w:color="auto"/>
              <w:right w:val="single" w:sz="4" w:space="0" w:color="auto"/>
            </w:tcBorders>
            <w:shd w:val="clear" w:color="auto" w:fill="FFFFFF" w:themeFill="background1"/>
            <w:vAlign w:val="bottom"/>
          </w:tcPr>
          <w:p w14:paraId="19A55CC0" w14:textId="77777777" w:rsidR="009A3AD8" w:rsidRPr="008B17C0" w:rsidRDefault="009A3AD8" w:rsidP="006A0D14">
            <w:pPr>
              <w:spacing w:before="20" w:after="20"/>
              <w:jc w:val="right"/>
              <w:rPr>
                <w:noProof/>
                <w:sz w:val="20"/>
                <w:szCs w:val="20"/>
              </w:rPr>
            </w:pPr>
            <w:r w:rsidRPr="008B17C0">
              <w:rPr>
                <w:noProof/>
                <w:color w:val="000000"/>
                <w:sz w:val="20"/>
                <w:szCs w:val="20"/>
              </w:rPr>
              <w:t>2 683</w:t>
            </w:r>
          </w:p>
        </w:tc>
        <w:tc>
          <w:tcPr>
            <w:tcW w:w="1369" w:type="dxa"/>
            <w:tcBorders>
              <w:top w:val="single" w:sz="4" w:space="0" w:color="auto"/>
              <w:left w:val="nil"/>
              <w:bottom w:val="single" w:sz="4" w:space="0" w:color="auto"/>
              <w:right w:val="single" w:sz="4" w:space="0" w:color="auto"/>
            </w:tcBorders>
            <w:shd w:val="clear" w:color="auto" w:fill="FFFFFF" w:themeFill="background1"/>
            <w:vAlign w:val="bottom"/>
          </w:tcPr>
          <w:p w14:paraId="77E3F209" w14:textId="77777777" w:rsidR="009A3AD8" w:rsidRPr="008B17C0" w:rsidRDefault="009A3AD8" w:rsidP="006A0D14">
            <w:pPr>
              <w:spacing w:before="20" w:after="20"/>
              <w:jc w:val="right"/>
              <w:rPr>
                <w:noProof/>
                <w:sz w:val="20"/>
                <w:szCs w:val="20"/>
              </w:rPr>
            </w:pPr>
            <w:r w:rsidRPr="008B17C0">
              <w:rPr>
                <w:noProof/>
                <w:color w:val="000000"/>
                <w:sz w:val="20"/>
                <w:szCs w:val="20"/>
              </w:rPr>
              <w:t>3 376</w:t>
            </w:r>
          </w:p>
        </w:tc>
        <w:tc>
          <w:tcPr>
            <w:tcW w:w="1369" w:type="dxa"/>
            <w:tcBorders>
              <w:top w:val="single" w:sz="4" w:space="0" w:color="auto"/>
              <w:left w:val="nil"/>
              <w:bottom w:val="single" w:sz="4" w:space="0" w:color="auto"/>
              <w:right w:val="single" w:sz="4" w:space="0" w:color="auto"/>
            </w:tcBorders>
            <w:shd w:val="clear" w:color="auto" w:fill="FFFFFF" w:themeFill="background1"/>
            <w:vAlign w:val="bottom"/>
          </w:tcPr>
          <w:p w14:paraId="7EC93DA0" w14:textId="669192ED" w:rsidR="009A3AD8" w:rsidRPr="008B17C0" w:rsidRDefault="007A7A43" w:rsidP="006A0D14">
            <w:pPr>
              <w:spacing w:before="20" w:after="20"/>
              <w:jc w:val="right"/>
              <w:rPr>
                <w:noProof/>
                <w:sz w:val="20"/>
                <w:szCs w:val="20"/>
              </w:rPr>
            </w:pPr>
            <w:r w:rsidRPr="008B17C0">
              <w:rPr>
                <w:bCs/>
                <w:noProof/>
                <w:color w:val="000000"/>
                <w:sz w:val="20"/>
                <w:szCs w:val="20"/>
              </w:rPr>
              <w:t>3 981</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B3F0CE5" w14:textId="1A949D9E" w:rsidR="009A3AD8" w:rsidRPr="008B17C0" w:rsidRDefault="009A3AD8" w:rsidP="006A0D14">
            <w:pPr>
              <w:spacing w:before="20" w:after="20"/>
              <w:jc w:val="right"/>
              <w:rPr>
                <w:b/>
                <w:bCs/>
                <w:noProof/>
                <w:sz w:val="20"/>
                <w:szCs w:val="20"/>
              </w:rPr>
            </w:pPr>
            <w:r w:rsidRPr="008B17C0">
              <w:rPr>
                <w:b/>
                <w:bCs/>
                <w:noProof/>
                <w:color w:val="000000"/>
                <w:sz w:val="20"/>
                <w:szCs w:val="20"/>
              </w:rPr>
              <w:t>11 165</w:t>
            </w:r>
          </w:p>
        </w:tc>
      </w:tr>
      <w:tr w:rsidR="009A3AD8" w:rsidRPr="008B17C0" w14:paraId="7FF1CA9A" w14:textId="77777777" w:rsidTr="006A0D14">
        <w:tc>
          <w:tcPr>
            <w:tcW w:w="3203" w:type="dxa"/>
            <w:vMerge/>
            <w:vAlign w:val="center"/>
          </w:tcPr>
          <w:p w14:paraId="5E796064" w14:textId="77777777" w:rsidR="009A3AD8" w:rsidRPr="008B17C0" w:rsidRDefault="009A3AD8" w:rsidP="000217AE">
            <w:pPr>
              <w:rPr>
                <w:noProof/>
                <w:lang w:eastAsia="en-GB"/>
              </w:rPr>
            </w:pPr>
          </w:p>
        </w:tc>
        <w:tc>
          <w:tcPr>
            <w:tcW w:w="1440" w:type="dxa"/>
            <w:vAlign w:val="center"/>
          </w:tcPr>
          <w:p w14:paraId="7173B45E" w14:textId="77777777" w:rsidR="009A3AD8" w:rsidRPr="008B17C0" w:rsidRDefault="009A3AD8" w:rsidP="000217AE">
            <w:pPr>
              <w:spacing w:before="20" w:after="20"/>
              <w:rPr>
                <w:noProof/>
                <w:sz w:val="18"/>
              </w:rPr>
            </w:pPr>
            <w:r w:rsidRPr="008B17C0">
              <w:rPr>
                <w:noProof/>
                <w:sz w:val="18"/>
              </w:rPr>
              <w:t>Betalinger</w:t>
            </w:r>
          </w:p>
        </w:tc>
        <w:tc>
          <w:tcPr>
            <w:tcW w:w="654" w:type="dxa"/>
            <w:gridSpan w:val="2"/>
            <w:vAlign w:val="center"/>
          </w:tcPr>
          <w:p w14:paraId="7EDB6465" w14:textId="77777777" w:rsidR="009A3AD8" w:rsidRPr="008B17C0" w:rsidRDefault="009A3AD8" w:rsidP="000217AE">
            <w:pPr>
              <w:spacing w:before="20" w:after="20"/>
              <w:jc w:val="center"/>
              <w:rPr>
                <w:noProof/>
                <w:sz w:val="14"/>
              </w:rPr>
            </w:pPr>
            <w:r w:rsidRPr="008B17C0">
              <w:rPr>
                <w:noProof/>
                <w:sz w:val="14"/>
              </w:rPr>
              <w:t>(2)</w:t>
            </w:r>
          </w:p>
        </w:tc>
        <w:tc>
          <w:tcPr>
            <w:tcW w:w="136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1A76669" w14:textId="77777777" w:rsidR="009A3AD8" w:rsidRPr="008B17C0" w:rsidRDefault="009A3AD8" w:rsidP="006A0D14">
            <w:pPr>
              <w:spacing w:before="20" w:after="20"/>
              <w:jc w:val="right"/>
              <w:rPr>
                <w:noProof/>
                <w:sz w:val="20"/>
                <w:szCs w:val="20"/>
              </w:rPr>
            </w:pPr>
            <w:r w:rsidRPr="008B17C0">
              <w:rPr>
                <w:noProof/>
                <w:color w:val="000000"/>
                <w:sz w:val="20"/>
                <w:szCs w:val="20"/>
              </w:rPr>
              <w:t>1 125</w:t>
            </w:r>
          </w:p>
        </w:tc>
        <w:tc>
          <w:tcPr>
            <w:tcW w:w="1369" w:type="dxa"/>
            <w:tcBorders>
              <w:top w:val="single" w:sz="4" w:space="0" w:color="auto"/>
              <w:left w:val="nil"/>
              <w:bottom w:val="single" w:sz="4" w:space="0" w:color="auto"/>
              <w:right w:val="single" w:sz="4" w:space="0" w:color="auto"/>
            </w:tcBorders>
            <w:shd w:val="clear" w:color="auto" w:fill="FFFFFF" w:themeFill="background1"/>
            <w:vAlign w:val="bottom"/>
          </w:tcPr>
          <w:p w14:paraId="4E109D64" w14:textId="77777777" w:rsidR="009A3AD8" w:rsidRPr="008B17C0" w:rsidRDefault="009A3AD8" w:rsidP="006A0D14">
            <w:pPr>
              <w:spacing w:before="20" w:after="20"/>
              <w:jc w:val="right"/>
              <w:rPr>
                <w:noProof/>
                <w:sz w:val="20"/>
                <w:szCs w:val="20"/>
              </w:rPr>
            </w:pPr>
            <w:r w:rsidRPr="008B17C0">
              <w:rPr>
                <w:noProof/>
                <w:color w:val="000000"/>
                <w:sz w:val="20"/>
                <w:szCs w:val="20"/>
              </w:rPr>
              <w:t>2 683</w:t>
            </w:r>
          </w:p>
        </w:tc>
        <w:tc>
          <w:tcPr>
            <w:tcW w:w="1369" w:type="dxa"/>
            <w:tcBorders>
              <w:top w:val="single" w:sz="4" w:space="0" w:color="auto"/>
              <w:left w:val="nil"/>
              <w:bottom w:val="single" w:sz="4" w:space="0" w:color="auto"/>
              <w:right w:val="single" w:sz="4" w:space="0" w:color="auto"/>
            </w:tcBorders>
            <w:shd w:val="clear" w:color="auto" w:fill="FFFFFF" w:themeFill="background1"/>
            <w:vAlign w:val="bottom"/>
          </w:tcPr>
          <w:p w14:paraId="6E72D799" w14:textId="77777777" w:rsidR="009A3AD8" w:rsidRPr="008B17C0" w:rsidRDefault="009A3AD8" w:rsidP="006A0D14">
            <w:pPr>
              <w:spacing w:before="20" w:after="20"/>
              <w:jc w:val="right"/>
              <w:rPr>
                <w:noProof/>
                <w:sz w:val="20"/>
                <w:szCs w:val="20"/>
              </w:rPr>
            </w:pPr>
            <w:r w:rsidRPr="008B17C0">
              <w:rPr>
                <w:noProof/>
                <w:color w:val="000000"/>
                <w:sz w:val="20"/>
                <w:szCs w:val="20"/>
              </w:rPr>
              <w:t>3 376</w:t>
            </w:r>
          </w:p>
        </w:tc>
        <w:tc>
          <w:tcPr>
            <w:tcW w:w="1369" w:type="dxa"/>
            <w:tcBorders>
              <w:top w:val="single" w:sz="4" w:space="0" w:color="auto"/>
              <w:left w:val="nil"/>
              <w:bottom w:val="single" w:sz="4" w:space="0" w:color="auto"/>
              <w:right w:val="single" w:sz="4" w:space="0" w:color="auto"/>
            </w:tcBorders>
            <w:shd w:val="clear" w:color="auto" w:fill="FFFFFF" w:themeFill="background1"/>
            <w:vAlign w:val="bottom"/>
          </w:tcPr>
          <w:p w14:paraId="46C5F35B" w14:textId="27640282" w:rsidR="009A3AD8" w:rsidRPr="008B17C0" w:rsidRDefault="007A7A43" w:rsidP="006A0D14">
            <w:pPr>
              <w:spacing w:before="20" w:after="20"/>
              <w:jc w:val="right"/>
              <w:rPr>
                <w:noProof/>
                <w:sz w:val="20"/>
                <w:szCs w:val="20"/>
              </w:rPr>
            </w:pPr>
            <w:r w:rsidRPr="008B17C0">
              <w:rPr>
                <w:bCs/>
                <w:noProof/>
                <w:color w:val="000000"/>
                <w:sz w:val="20"/>
                <w:szCs w:val="20"/>
              </w:rPr>
              <w:t>3 981</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725CB36" w14:textId="7FF678AD" w:rsidR="009A3AD8" w:rsidRPr="008B17C0" w:rsidRDefault="009A3AD8" w:rsidP="006A0D14">
            <w:pPr>
              <w:spacing w:before="20" w:after="20"/>
              <w:jc w:val="right"/>
              <w:rPr>
                <w:b/>
                <w:bCs/>
                <w:noProof/>
                <w:sz w:val="20"/>
                <w:szCs w:val="20"/>
              </w:rPr>
            </w:pPr>
            <w:r w:rsidRPr="008B17C0">
              <w:rPr>
                <w:b/>
                <w:bCs/>
                <w:noProof/>
                <w:color w:val="000000"/>
                <w:sz w:val="20"/>
                <w:szCs w:val="20"/>
              </w:rPr>
              <w:t>11 165</w:t>
            </w:r>
          </w:p>
        </w:tc>
      </w:tr>
      <w:tr w:rsidR="009A3AD8" w:rsidRPr="008B17C0" w14:paraId="42CFF0B6" w14:textId="77777777" w:rsidTr="006A0D14">
        <w:tc>
          <w:tcPr>
            <w:tcW w:w="3203" w:type="dxa"/>
            <w:vMerge w:val="restart"/>
            <w:vAlign w:val="center"/>
          </w:tcPr>
          <w:p w14:paraId="79F67D0A" w14:textId="77777777" w:rsidR="009A3AD8" w:rsidRPr="008B17C0" w:rsidRDefault="009A3AD8" w:rsidP="000217AE">
            <w:pPr>
              <w:rPr>
                <w:noProof/>
              </w:rPr>
            </w:pPr>
            <w:r w:rsidRPr="008B17C0">
              <w:rPr>
                <w:noProof/>
                <w:sz w:val="20"/>
              </w:rPr>
              <w:t>Afsnit 2:</w:t>
            </w:r>
            <w:r w:rsidRPr="008B17C0">
              <w:rPr>
                <w:noProof/>
              </w:rPr>
              <w:t xml:space="preserve"> </w:t>
            </w:r>
            <w:r w:rsidRPr="008B17C0">
              <w:rPr>
                <w:noProof/>
                <w:sz w:val="20"/>
              </w:rPr>
              <w:t>Infrastruktur- og driftsudgifter</w:t>
            </w:r>
          </w:p>
        </w:tc>
        <w:tc>
          <w:tcPr>
            <w:tcW w:w="1440" w:type="dxa"/>
            <w:vAlign w:val="center"/>
          </w:tcPr>
          <w:p w14:paraId="0027D5A8" w14:textId="77777777" w:rsidR="009A3AD8" w:rsidRPr="008B17C0" w:rsidRDefault="009A3AD8" w:rsidP="000217AE">
            <w:pPr>
              <w:spacing w:before="20" w:after="20"/>
              <w:rPr>
                <w:noProof/>
                <w:sz w:val="18"/>
              </w:rPr>
            </w:pPr>
            <w:r w:rsidRPr="008B17C0">
              <w:rPr>
                <w:noProof/>
                <w:sz w:val="18"/>
              </w:rPr>
              <w:t>Forpligtelser</w:t>
            </w:r>
          </w:p>
        </w:tc>
        <w:tc>
          <w:tcPr>
            <w:tcW w:w="654" w:type="dxa"/>
            <w:gridSpan w:val="2"/>
            <w:vAlign w:val="center"/>
          </w:tcPr>
          <w:p w14:paraId="133C4C99" w14:textId="77777777" w:rsidR="009A3AD8" w:rsidRPr="008B17C0" w:rsidRDefault="009A3AD8" w:rsidP="000217AE">
            <w:pPr>
              <w:spacing w:before="20" w:after="20"/>
              <w:jc w:val="center"/>
              <w:rPr>
                <w:noProof/>
                <w:sz w:val="14"/>
              </w:rPr>
            </w:pPr>
            <w:r w:rsidRPr="008B17C0">
              <w:rPr>
                <w:noProof/>
                <w:sz w:val="14"/>
              </w:rPr>
              <w:t>(1a)</w:t>
            </w:r>
          </w:p>
        </w:tc>
        <w:tc>
          <w:tcPr>
            <w:tcW w:w="1369" w:type="dxa"/>
            <w:tcBorders>
              <w:top w:val="single" w:sz="4" w:space="0" w:color="auto"/>
              <w:left w:val="single" w:sz="4" w:space="0" w:color="auto"/>
              <w:bottom w:val="single" w:sz="4" w:space="0" w:color="auto"/>
              <w:right w:val="single" w:sz="4" w:space="0" w:color="auto"/>
            </w:tcBorders>
            <w:vAlign w:val="center"/>
          </w:tcPr>
          <w:p w14:paraId="0B5356C3" w14:textId="77777777" w:rsidR="009A3AD8" w:rsidRPr="008B17C0" w:rsidRDefault="009A3AD8" w:rsidP="000217AE">
            <w:pPr>
              <w:spacing w:before="20" w:after="20"/>
              <w:jc w:val="right"/>
              <w:rPr>
                <w:noProof/>
                <w:sz w:val="20"/>
                <w:lang w:eastAsia="en-GB"/>
              </w:rPr>
            </w:pPr>
          </w:p>
        </w:tc>
        <w:tc>
          <w:tcPr>
            <w:tcW w:w="1369" w:type="dxa"/>
            <w:tcBorders>
              <w:top w:val="single" w:sz="4" w:space="0" w:color="auto"/>
              <w:left w:val="single" w:sz="4" w:space="0" w:color="auto"/>
              <w:bottom w:val="single" w:sz="4" w:space="0" w:color="auto"/>
              <w:right w:val="single" w:sz="4" w:space="0" w:color="auto"/>
            </w:tcBorders>
            <w:vAlign w:val="center"/>
          </w:tcPr>
          <w:p w14:paraId="17343C22" w14:textId="77777777" w:rsidR="009A3AD8" w:rsidRPr="008B17C0" w:rsidRDefault="009A3AD8" w:rsidP="000217AE">
            <w:pPr>
              <w:spacing w:before="20" w:after="20"/>
              <w:jc w:val="right"/>
              <w:rPr>
                <w:noProof/>
                <w:sz w:val="20"/>
                <w:lang w:eastAsia="en-GB"/>
              </w:rPr>
            </w:pPr>
          </w:p>
        </w:tc>
        <w:tc>
          <w:tcPr>
            <w:tcW w:w="1369" w:type="dxa"/>
            <w:tcBorders>
              <w:top w:val="single" w:sz="4" w:space="0" w:color="auto"/>
              <w:left w:val="single" w:sz="4" w:space="0" w:color="auto"/>
              <w:bottom w:val="single" w:sz="4" w:space="0" w:color="auto"/>
              <w:right w:val="single" w:sz="4" w:space="0" w:color="auto"/>
            </w:tcBorders>
            <w:vAlign w:val="center"/>
          </w:tcPr>
          <w:p w14:paraId="49F3A05A" w14:textId="77777777" w:rsidR="009A3AD8" w:rsidRPr="008B17C0" w:rsidRDefault="009A3AD8" w:rsidP="000217AE">
            <w:pPr>
              <w:spacing w:before="20" w:after="20"/>
              <w:jc w:val="right"/>
              <w:rPr>
                <w:noProof/>
                <w:sz w:val="20"/>
                <w:lang w:eastAsia="en-GB"/>
              </w:rPr>
            </w:pPr>
          </w:p>
        </w:tc>
        <w:tc>
          <w:tcPr>
            <w:tcW w:w="1369" w:type="dxa"/>
            <w:tcBorders>
              <w:top w:val="single" w:sz="4" w:space="0" w:color="auto"/>
              <w:left w:val="single" w:sz="4" w:space="0" w:color="auto"/>
              <w:bottom w:val="single" w:sz="4" w:space="0" w:color="auto"/>
              <w:right w:val="single" w:sz="4" w:space="0" w:color="auto"/>
            </w:tcBorders>
            <w:vAlign w:val="center"/>
          </w:tcPr>
          <w:p w14:paraId="225B6AFB" w14:textId="77777777" w:rsidR="009A3AD8" w:rsidRPr="008B17C0" w:rsidRDefault="009A3AD8" w:rsidP="000217AE">
            <w:pPr>
              <w:spacing w:before="20" w:after="20"/>
              <w:jc w:val="right"/>
              <w:rPr>
                <w:noProof/>
                <w:sz w:val="20"/>
                <w:lang w:eastAsia="en-GB"/>
              </w:rPr>
            </w:pPr>
          </w:p>
        </w:tc>
        <w:tc>
          <w:tcPr>
            <w:tcW w:w="2551" w:type="dxa"/>
            <w:tcBorders>
              <w:top w:val="single" w:sz="4" w:space="0" w:color="auto"/>
              <w:left w:val="single" w:sz="4" w:space="0" w:color="auto"/>
              <w:bottom w:val="single" w:sz="4" w:space="0" w:color="auto"/>
              <w:right w:val="single" w:sz="4" w:space="0" w:color="auto"/>
            </w:tcBorders>
            <w:vAlign w:val="center"/>
          </w:tcPr>
          <w:p w14:paraId="133DBEDD" w14:textId="77777777" w:rsidR="009A3AD8" w:rsidRPr="008B17C0" w:rsidRDefault="009A3AD8" w:rsidP="000217AE">
            <w:pPr>
              <w:spacing w:before="20" w:after="20"/>
              <w:jc w:val="right"/>
              <w:rPr>
                <w:b/>
                <w:noProof/>
                <w:sz w:val="20"/>
                <w:lang w:eastAsia="en-GB"/>
              </w:rPr>
            </w:pPr>
          </w:p>
        </w:tc>
      </w:tr>
      <w:tr w:rsidR="009A3AD8" w:rsidRPr="008B17C0" w14:paraId="0109B371" w14:textId="77777777" w:rsidTr="006A0D14">
        <w:tc>
          <w:tcPr>
            <w:tcW w:w="3203" w:type="dxa"/>
            <w:vMerge/>
            <w:vAlign w:val="center"/>
          </w:tcPr>
          <w:p w14:paraId="3E525A72" w14:textId="77777777" w:rsidR="009A3AD8" w:rsidRPr="008B17C0" w:rsidRDefault="009A3AD8" w:rsidP="000217AE">
            <w:pPr>
              <w:rPr>
                <w:noProof/>
                <w:lang w:eastAsia="en-GB"/>
              </w:rPr>
            </w:pPr>
          </w:p>
        </w:tc>
        <w:tc>
          <w:tcPr>
            <w:tcW w:w="1440" w:type="dxa"/>
            <w:vAlign w:val="center"/>
          </w:tcPr>
          <w:p w14:paraId="7864A991" w14:textId="77777777" w:rsidR="009A3AD8" w:rsidRPr="008B17C0" w:rsidRDefault="009A3AD8" w:rsidP="000217AE">
            <w:pPr>
              <w:spacing w:before="20" w:after="20"/>
              <w:rPr>
                <w:noProof/>
                <w:sz w:val="18"/>
              </w:rPr>
            </w:pPr>
            <w:r w:rsidRPr="008B17C0">
              <w:rPr>
                <w:noProof/>
                <w:sz w:val="18"/>
              </w:rPr>
              <w:t>Betalinger</w:t>
            </w:r>
          </w:p>
        </w:tc>
        <w:tc>
          <w:tcPr>
            <w:tcW w:w="654" w:type="dxa"/>
            <w:gridSpan w:val="2"/>
            <w:vAlign w:val="center"/>
          </w:tcPr>
          <w:p w14:paraId="48CA1DEE" w14:textId="77777777" w:rsidR="009A3AD8" w:rsidRPr="008B17C0" w:rsidRDefault="009A3AD8" w:rsidP="000217AE">
            <w:pPr>
              <w:spacing w:before="20" w:after="20"/>
              <w:jc w:val="center"/>
              <w:rPr>
                <w:noProof/>
                <w:sz w:val="14"/>
              </w:rPr>
            </w:pPr>
            <w:r w:rsidRPr="008B17C0">
              <w:rPr>
                <w:noProof/>
                <w:sz w:val="14"/>
              </w:rPr>
              <w:t>(2a)</w:t>
            </w:r>
          </w:p>
        </w:tc>
        <w:tc>
          <w:tcPr>
            <w:tcW w:w="1369" w:type="dxa"/>
            <w:tcBorders>
              <w:top w:val="single" w:sz="4" w:space="0" w:color="auto"/>
              <w:left w:val="single" w:sz="4" w:space="0" w:color="auto"/>
              <w:bottom w:val="single" w:sz="4" w:space="0" w:color="auto"/>
              <w:right w:val="single" w:sz="4" w:space="0" w:color="auto"/>
            </w:tcBorders>
            <w:vAlign w:val="center"/>
          </w:tcPr>
          <w:p w14:paraId="0CEB0FDA" w14:textId="77777777" w:rsidR="009A3AD8" w:rsidRPr="008B17C0" w:rsidRDefault="009A3AD8" w:rsidP="000217AE">
            <w:pPr>
              <w:spacing w:before="20" w:after="20"/>
              <w:jc w:val="right"/>
              <w:rPr>
                <w:noProof/>
                <w:sz w:val="20"/>
                <w:lang w:eastAsia="en-GB"/>
              </w:rPr>
            </w:pPr>
          </w:p>
        </w:tc>
        <w:tc>
          <w:tcPr>
            <w:tcW w:w="1369" w:type="dxa"/>
            <w:tcBorders>
              <w:top w:val="single" w:sz="4" w:space="0" w:color="auto"/>
              <w:left w:val="single" w:sz="4" w:space="0" w:color="auto"/>
              <w:bottom w:val="single" w:sz="4" w:space="0" w:color="auto"/>
              <w:right w:val="single" w:sz="4" w:space="0" w:color="auto"/>
            </w:tcBorders>
            <w:vAlign w:val="center"/>
          </w:tcPr>
          <w:p w14:paraId="30CBD040" w14:textId="77777777" w:rsidR="009A3AD8" w:rsidRPr="008B17C0" w:rsidRDefault="009A3AD8" w:rsidP="000217AE">
            <w:pPr>
              <w:spacing w:before="20" w:after="20"/>
              <w:jc w:val="right"/>
              <w:rPr>
                <w:noProof/>
                <w:sz w:val="20"/>
                <w:lang w:eastAsia="en-GB"/>
              </w:rPr>
            </w:pPr>
          </w:p>
        </w:tc>
        <w:tc>
          <w:tcPr>
            <w:tcW w:w="1369" w:type="dxa"/>
            <w:tcBorders>
              <w:top w:val="single" w:sz="4" w:space="0" w:color="auto"/>
              <w:left w:val="single" w:sz="4" w:space="0" w:color="auto"/>
              <w:bottom w:val="single" w:sz="4" w:space="0" w:color="auto"/>
              <w:right w:val="single" w:sz="4" w:space="0" w:color="auto"/>
            </w:tcBorders>
            <w:vAlign w:val="center"/>
          </w:tcPr>
          <w:p w14:paraId="1600E79E" w14:textId="77777777" w:rsidR="009A3AD8" w:rsidRPr="008B17C0" w:rsidRDefault="009A3AD8" w:rsidP="000217AE">
            <w:pPr>
              <w:spacing w:before="20" w:after="20"/>
              <w:jc w:val="right"/>
              <w:rPr>
                <w:noProof/>
                <w:sz w:val="20"/>
                <w:lang w:eastAsia="en-GB"/>
              </w:rPr>
            </w:pPr>
          </w:p>
        </w:tc>
        <w:tc>
          <w:tcPr>
            <w:tcW w:w="1369" w:type="dxa"/>
            <w:tcBorders>
              <w:top w:val="single" w:sz="4" w:space="0" w:color="auto"/>
              <w:left w:val="single" w:sz="4" w:space="0" w:color="auto"/>
              <w:bottom w:val="single" w:sz="4" w:space="0" w:color="auto"/>
              <w:right w:val="single" w:sz="4" w:space="0" w:color="auto"/>
            </w:tcBorders>
            <w:vAlign w:val="center"/>
          </w:tcPr>
          <w:p w14:paraId="3BC24D00" w14:textId="77777777" w:rsidR="009A3AD8" w:rsidRPr="008B17C0" w:rsidRDefault="009A3AD8" w:rsidP="000217AE">
            <w:pPr>
              <w:spacing w:before="20" w:after="20"/>
              <w:jc w:val="right"/>
              <w:rPr>
                <w:noProof/>
                <w:sz w:val="20"/>
                <w:lang w:eastAsia="en-GB"/>
              </w:rPr>
            </w:pPr>
          </w:p>
        </w:tc>
        <w:tc>
          <w:tcPr>
            <w:tcW w:w="2551" w:type="dxa"/>
            <w:tcBorders>
              <w:top w:val="single" w:sz="4" w:space="0" w:color="auto"/>
              <w:left w:val="single" w:sz="4" w:space="0" w:color="auto"/>
              <w:bottom w:val="single" w:sz="4" w:space="0" w:color="auto"/>
              <w:right w:val="single" w:sz="4" w:space="0" w:color="auto"/>
            </w:tcBorders>
            <w:vAlign w:val="center"/>
          </w:tcPr>
          <w:p w14:paraId="10329EFB" w14:textId="77777777" w:rsidR="009A3AD8" w:rsidRPr="008B17C0" w:rsidRDefault="009A3AD8" w:rsidP="000217AE">
            <w:pPr>
              <w:spacing w:before="20" w:after="20"/>
              <w:jc w:val="right"/>
              <w:rPr>
                <w:b/>
                <w:noProof/>
                <w:sz w:val="20"/>
                <w:lang w:eastAsia="en-GB"/>
              </w:rPr>
            </w:pPr>
          </w:p>
        </w:tc>
      </w:tr>
      <w:tr w:rsidR="009A3AD8" w:rsidRPr="008B17C0" w14:paraId="141597AB" w14:textId="77777777" w:rsidTr="006A0D14">
        <w:trPr>
          <w:trHeight w:val="319"/>
        </w:trPr>
        <w:tc>
          <w:tcPr>
            <w:tcW w:w="3203" w:type="dxa"/>
            <w:vAlign w:val="center"/>
          </w:tcPr>
          <w:p w14:paraId="6C35A8A0" w14:textId="77777777" w:rsidR="009A3AD8" w:rsidRPr="008B17C0" w:rsidRDefault="009A3AD8" w:rsidP="000217AE">
            <w:pPr>
              <w:spacing w:before="60" w:after="60"/>
              <w:rPr>
                <w:noProof/>
              </w:rPr>
            </w:pPr>
            <w:r w:rsidRPr="008B17C0">
              <w:rPr>
                <w:noProof/>
                <w:sz w:val="20"/>
                <w:szCs w:val="20"/>
              </w:rPr>
              <w:t>Afsnit 3:</w:t>
            </w:r>
            <w:r w:rsidRPr="008B17C0">
              <w:rPr>
                <w:noProof/>
              </w:rPr>
              <w:t xml:space="preserve"> </w:t>
            </w:r>
            <w:r w:rsidRPr="008B17C0">
              <w:rPr>
                <w:noProof/>
                <w:sz w:val="20"/>
                <w:szCs w:val="20"/>
              </w:rPr>
              <w:t>Driftsudgifter</w:t>
            </w:r>
            <w:r w:rsidRPr="008B17C0">
              <w:rPr>
                <w:rStyle w:val="FootnoteReference"/>
                <w:noProof/>
              </w:rPr>
              <w:footnoteReference w:id="55"/>
            </w:r>
          </w:p>
        </w:tc>
        <w:tc>
          <w:tcPr>
            <w:tcW w:w="1440" w:type="dxa"/>
            <w:vAlign w:val="center"/>
          </w:tcPr>
          <w:p w14:paraId="6192F344" w14:textId="77777777" w:rsidR="009A3AD8" w:rsidRPr="008B17C0" w:rsidRDefault="009A3AD8" w:rsidP="000217AE">
            <w:pPr>
              <w:spacing w:before="40" w:after="40"/>
              <w:rPr>
                <w:noProof/>
                <w:sz w:val="18"/>
              </w:rPr>
            </w:pPr>
            <w:r w:rsidRPr="008B17C0">
              <w:rPr>
                <w:noProof/>
                <w:sz w:val="18"/>
              </w:rPr>
              <w:t>Forpligtelser</w:t>
            </w:r>
          </w:p>
        </w:tc>
        <w:tc>
          <w:tcPr>
            <w:tcW w:w="654" w:type="dxa"/>
            <w:gridSpan w:val="2"/>
            <w:vAlign w:val="center"/>
          </w:tcPr>
          <w:p w14:paraId="5D8B67B8" w14:textId="77777777" w:rsidR="009A3AD8" w:rsidRPr="008B17C0" w:rsidRDefault="009A3AD8" w:rsidP="000217AE">
            <w:pPr>
              <w:spacing w:before="40" w:after="40"/>
              <w:jc w:val="center"/>
              <w:rPr>
                <w:noProof/>
                <w:sz w:val="14"/>
              </w:rPr>
            </w:pPr>
            <w:r w:rsidRPr="008B17C0">
              <w:rPr>
                <w:noProof/>
                <w:sz w:val="14"/>
              </w:rPr>
              <w:t>(3a)</w:t>
            </w:r>
          </w:p>
        </w:tc>
        <w:tc>
          <w:tcPr>
            <w:tcW w:w="1369" w:type="dxa"/>
            <w:tcBorders>
              <w:top w:val="single" w:sz="4" w:space="0" w:color="auto"/>
              <w:left w:val="single" w:sz="4" w:space="0" w:color="auto"/>
              <w:bottom w:val="single" w:sz="4" w:space="0" w:color="auto"/>
              <w:right w:val="single" w:sz="4" w:space="0" w:color="auto"/>
            </w:tcBorders>
            <w:vAlign w:val="bottom"/>
          </w:tcPr>
          <w:p w14:paraId="4816ECE3" w14:textId="6DEB22B5" w:rsidR="009A3AD8" w:rsidRPr="008B17C0" w:rsidRDefault="008E168D" w:rsidP="006A0D14">
            <w:pPr>
              <w:spacing w:before="40" w:after="40"/>
              <w:jc w:val="right"/>
              <w:rPr>
                <w:b/>
                <w:bCs/>
                <w:noProof/>
                <w:sz w:val="20"/>
                <w:szCs w:val="20"/>
              </w:rPr>
            </w:pPr>
            <w:r w:rsidRPr="008B17C0">
              <w:rPr>
                <w:noProof/>
                <w:color w:val="000000"/>
                <w:sz w:val="20"/>
                <w:szCs w:val="20"/>
              </w:rPr>
              <w:t>1 033</w:t>
            </w:r>
          </w:p>
        </w:tc>
        <w:tc>
          <w:tcPr>
            <w:tcW w:w="1369" w:type="dxa"/>
            <w:tcBorders>
              <w:top w:val="single" w:sz="4" w:space="0" w:color="auto"/>
              <w:left w:val="nil"/>
              <w:bottom w:val="single" w:sz="4" w:space="0" w:color="auto"/>
              <w:right w:val="single" w:sz="4" w:space="0" w:color="auto"/>
            </w:tcBorders>
            <w:vAlign w:val="bottom"/>
          </w:tcPr>
          <w:p w14:paraId="328AA1A6" w14:textId="766E4F7D" w:rsidR="009A3AD8" w:rsidRPr="008B17C0" w:rsidRDefault="009A3AD8" w:rsidP="008E168D">
            <w:pPr>
              <w:spacing w:before="40" w:after="40"/>
              <w:jc w:val="right"/>
              <w:rPr>
                <w:b/>
                <w:bCs/>
                <w:noProof/>
                <w:sz w:val="20"/>
                <w:szCs w:val="20"/>
              </w:rPr>
            </w:pPr>
            <w:r w:rsidRPr="008B17C0">
              <w:rPr>
                <w:noProof/>
                <w:color w:val="000000"/>
                <w:sz w:val="20"/>
                <w:szCs w:val="20"/>
              </w:rPr>
              <w:t>8 128</w:t>
            </w:r>
          </w:p>
        </w:tc>
        <w:tc>
          <w:tcPr>
            <w:tcW w:w="1369" w:type="dxa"/>
            <w:tcBorders>
              <w:top w:val="single" w:sz="4" w:space="0" w:color="auto"/>
              <w:left w:val="nil"/>
              <w:bottom w:val="single" w:sz="4" w:space="0" w:color="auto"/>
              <w:right w:val="single" w:sz="4" w:space="0" w:color="auto"/>
            </w:tcBorders>
            <w:vAlign w:val="bottom"/>
          </w:tcPr>
          <w:p w14:paraId="0B682756" w14:textId="77777777" w:rsidR="009A3AD8" w:rsidRPr="008B17C0" w:rsidRDefault="009A3AD8" w:rsidP="006A0D14">
            <w:pPr>
              <w:spacing w:before="40" w:after="40"/>
              <w:jc w:val="right"/>
              <w:rPr>
                <w:b/>
                <w:bCs/>
                <w:noProof/>
                <w:sz w:val="20"/>
                <w:szCs w:val="20"/>
              </w:rPr>
            </w:pPr>
            <w:r w:rsidRPr="008B17C0">
              <w:rPr>
                <w:noProof/>
                <w:color w:val="000000"/>
                <w:sz w:val="20"/>
                <w:szCs w:val="20"/>
              </w:rPr>
              <w:t>7 027</w:t>
            </w:r>
          </w:p>
        </w:tc>
        <w:tc>
          <w:tcPr>
            <w:tcW w:w="1369" w:type="dxa"/>
            <w:tcBorders>
              <w:top w:val="single" w:sz="4" w:space="0" w:color="auto"/>
              <w:left w:val="nil"/>
              <w:bottom w:val="single" w:sz="4" w:space="0" w:color="auto"/>
              <w:right w:val="single" w:sz="4" w:space="0" w:color="auto"/>
            </w:tcBorders>
            <w:vAlign w:val="bottom"/>
          </w:tcPr>
          <w:p w14:paraId="35B9D367" w14:textId="77777777" w:rsidR="009A3AD8" w:rsidRPr="008B17C0" w:rsidRDefault="009A3AD8" w:rsidP="006A0D14">
            <w:pPr>
              <w:spacing w:before="40" w:after="40"/>
              <w:jc w:val="right"/>
              <w:rPr>
                <w:b/>
                <w:bCs/>
                <w:noProof/>
                <w:sz w:val="20"/>
                <w:szCs w:val="20"/>
              </w:rPr>
            </w:pPr>
            <w:r w:rsidRPr="008B17C0">
              <w:rPr>
                <w:noProof/>
                <w:color w:val="000000"/>
                <w:sz w:val="20"/>
                <w:szCs w:val="20"/>
              </w:rPr>
              <w:t>5 390</w:t>
            </w:r>
          </w:p>
        </w:tc>
        <w:tc>
          <w:tcPr>
            <w:tcW w:w="2551" w:type="dxa"/>
            <w:tcBorders>
              <w:top w:val="single" w:sz="4" w:space="0" w:color="auto"/>
              <w:left w:val="single" w:sz="4" w:space="0" w:color="auto"/>
              <w:bottom w:val="single" w:sz="4" w:space="0" w:color="auto"/>
              <w:right w:val="single" w:sz="4" w:space="0" w:color="auto"/>
            </w:tcBorders>
            <w:vAlign w:val="bottom"/>
          </w:tcPr>
          <w:p w14:paraId="25ED1A45" w14:textId="268D7481" w:rsidR="009A3AD8" w:rsidRPr="008B17C0" w:rsidRDefault="008E168D" w:rsidP="006A0D14">
            <w:pPr>
              <w:spacing w:before="40" w:after="40"/>
              <w:jc w:val="right"/>
              <w:rPr>
                <w:b/>
                <w:bCs/>
                <w:noProof/>
                <w:sz w:val="20"/>
                <w:szCs w:val="20"/>
              </w:rPr>
            </w:pPr>
            <w:r w:rsidRPr="008B17C0">
              <w:rPr>
                <w:b/>
                <w:bCs/>
                <w:noProof/>
                <w:sz w:val="20"/>
                <w:szCs w:val="20"/>
              </w:rPr>
              <w:t>21 577</w:t>
            </w:r>
          </w:p>
        </w:tc>
      </w:tr>
      <w:tr w:rsidR="009A3AD8" w:rsidRPr="008B17C0" w14:paraId="50FC07B9" w14:textId="77777777" w:rsidTr="006A0D14">
        <w:trPr>
          <w:trHeight w:val="319"/>
        </w:trPr>
        <w:tc>
          <w:tcPr>
            <w:tcW w:w="3203" w:type="dxa"/>
            <w:vAlign w:val="center"/>
          </w:tcPr>
          <w:p w14:paraId="1B68435B" w14:textId="77777777" w:rsidR="009A3AD8" w:rsidRPr="008B17C0" w:rsidRDefault="009A3AD8" w:rsidP="000217AE">
            <w:pPr>
              <w:spacing w:before="60" w:after="60"/>
              <w:rPr>
                <w:b/>
                <w:noProof/>
                <w:sz w:val="20"/>
                <w:lang w:eastAsia="en-GB"/>
              </w:rPr>
            </w:pPr>
          </w:p>
        </w:tc>
        <w:tc>
          <w:tcPr>
            <w:tcW w:w="1440" w:type="dxa"/>
            <w:vAlign w:val="center"/>
          </w:tcPr>
          <w:p w14:paraId="09ECB16F" w14:textId="77777777" w:rsidR="009A3AD8" w:rsidRPr="008B17C0" w:rsidRDefault="009A3AD8" w:rsidP="000217AE">
            <w:pPr>
              <w:spacing w:before="40" w:after="40"/>
              <w:rPr>
                <w:noProof/>
                <w:sz w:val="18"/>
              </w:rPr>
            </w:pPr>
            <w:r w:rsidRPr="008B17C0">
              <w:rPr>
                <w:noProof/>
                <w:sz w:val="18"/>
              </w:rPr>
              <w:t>Betalinger</w:t>
            </w:r>
          </w:p>
        </w:tc>
        <w:tc>
          <w:tcPr>
            <w:tcW w:w="654" w:type="dxa"/>
            <w:gridSpan w:val="2"/>
            <w:vAlign w:val="center"/>
          </w:tcPr>
          <w:p w14:paraId="585FABB7" w14:textId="77777777" w:rsidR="009A3AD8" w:rsidRPr="008B17C0" w:rsidRDefault="009A3AD8" w:rsidP="000217AE">
            <w:pPr>
              <w:spacing w:before="40" w:after="40"/>
              <w:jc w:val="center"/>
              <w:rPr>
                <w:noProof/>
                <w:sz w:val="14"/>
              </w:rPr>
            </w:pPr>
            <w:r w:rsidRPr="008B17C0">
              <w:rPr>
                <w:noProof/>
                <w:sz w:val="14"/>
              </w:rPr>
              <w:t>(3b)</w:t>
            </w:r>
          </w:p>
        </w:tc>
        <w:tc>
          <w:tcPr>
            <w:tcW w:w="1369" w:type="dxa"/>
            <w:tcBorders>
              <w:top w:val="nil"/>
              <w:left w:val="single" w:sz="4" w:space="0" w:color="auto"/>
              <w:bottom w:val="single" w:sz="4" w:space="0" w:color="auto"/>
              <w:right w:val="single" w:sz="4" w:space="0" w:color="auto"/>
            </w:tcBorders>
            <w:vAlign w:val="bottom"/>
          </w:tcPr>
          <w:p w14:paraId="694B74C1" w14:textId="69964B04" w:rsidR="009A3AD8" w:rsidRPr="008B17C0" w:rsidRDefault="00900A33" w:rsidP="006A0D14">
            <w:pPr>
              <w:spacing w:before="40" w:after="40"/>
              <w:jc w:val="right"/>
              <w:rPr>
                <w:b/>
                <w:bCs/>
                <w:noProof/>
                <w:sz w:val="20"/>
                <w:szCs w:val="20"/>
              </w:rPr>
            </w:pPr>
            <w:r w:rsidRPr="008B17C0">
              <w:rPr>
                <w:noProof/>
                <w:color w:val="000000"/>
                <w:sz w:val="20"/>
                <w:szCs w:val="20"/>
              </w:rPr>
              <w:t>578</w:t>
            </w:r>
          </w:p>
        </w:tc>
        <w:tc>
          <w:tcPr>
            <w:tcW w:w="1369" w:type="dxa"/>
            <w:tcBorders>
              <w:top w:val="nil"/>
              <w:left w:val="nil"/>
              <w:bottom w:val="single" w:sz="4" w:space="0" w:color="auto"/>
              <w:right w:val="single" w:sz="4" w:space="0" w:color="auto"/>
            </w:tcBorders>
            <w:vAlign w:val="bottom"/>
          </w:tcPr>
          <w:p w14:paraId="0ECAF1D3" w14:textId="29FF38E8" w:rsidR="009A3AD8" w:rsidRPr="008B17C0" w:rsidRDefault="008E168D" w:rsidP="008E168D">
            <w:pPr>
              <w:spacing w:before="40" w:after="40"/>
              <w:jc w:val="right"/>
              <w:rPr>
                <w:b/>
                <w:bCs/>
                <w:noProof/>
                <w:sz w:val="20"/>
                <w:szCs w:val="20"/>
              </w:rPr>
            </w:pPr>
            <w:r w:rsidRPr="008B17C0">
              <w:rPr>
                <w:noProof/>
                <w:color w:val="000000"/>
                <w:sz w:val="20"/>
                <w:szCs w:val="20"/>
              </w:rPr>
              <w:t>4 780</w:t>
            </w:r>
          </w:p>
        </w:tc>
        <w:tc>
          <w:tcPr>
            <w:tcW w:w="1369" w:type="dxa"/>
            <w:tcBorders>
              <w:top w:val="nil"/>
              <w:left w:val="nil"/>
              <w:bottom w:val="single" w:sz="4" w:space="0" w:color="auto"/>
              <w:right w:val="single" w:sz="4" w:space="0" w:color="auto"/>
            </w:tcBorders>
            <w:vAlign w:val="bottom"/>
          </w:tcPr>
          <w:p w14:paraId="1AABD9BC" w14:textId="007D72C1" w:rsidR="009A3AD8" w:rsidRPr="008B17C0" w:rsidRDefault="009A3AD8" w:rsidP="008E168D">
            <w:pPr>
              <w:spacing w:before="40" w:after="40"/>
              <w:jc w:val="right"/>
              <w:rPr>
                <w:b/>
                <w:bCs/>
                <w:noProof/>
                <w:sz w:val="20"/>
                <w:szCs w:val="20"/>
              </w:rPr>
            </w:pPr>
            <w:r w:rsidRPr="008B17C0">
              <w:rPr>
                <w:noProof/>
                <w:color w:val="000000"/>
                <w:sz w:val="20"/>
                <w:szCs w:val="20"/>
              </w:rPr>
              <w:t>6 458</w:t>
            </w:r>
          </w:p>
        </w:tc>
        <w:tc>
          <w:tcPr>
            <w:tcW w:w="1369" w:type="dxa"/>
            <w:tcBorders>
              <w:top w:val="nil"/>
              <w:left w:val="nil"/>
              <w:bottom w:val="single" w:sz="4" w:space="0" w:color="auto"/>
              <w:right w:val="single" w:sz="4" w:space="0" w:color="auto"/>
            </w:tcBorders>
            <w:vAlign w:val="bottom"/>
          </w:tcPr>
          <w:p w14:paraId="4DCCCFF9" w14:textId="734E9638" w:rsidR="009A3AD8" w:rsidRPr="008B17C0" w:rsidRDefault="009A3AD8" w:rsidP="008E168D">
            <w:pPr>
              <w:spacing w:before="40" w:after="40"/>
              <w:jc w:val="right"/>
              <w:rPr>
                <w:b/>
                <w:bCs/>
                <w:noProof/>
                <w:sz w:val="20"/>
                <w:szCs w:val="20"/>
              </w:rPr>
            </w:pPr>
            <w:r w:rsidRPr="008B17C0">
              <w:rPr>
                <w:noProof/>
                <w:color w:val="000000"/>
                <w:sz w:val="20"/>
                <w:szCs w:val="20"/>
              </w:rPr>
              <w:t>9 771</w:t>
            </w:r>
          </w:p>
        </w:tc>
        <w:tc>
          <w:tcPr>
            <w:tcW w:w="2551" w:type="dxa"/>
            <w:tcBorders>
              <w:top w:val="single" w:sz="4" w:space="0" w:color="auto"/>
              <w:left w:val="single" w:sz="4" w:space="0" w:color="auto"/>
              <w:bottom w:val="single" w:sz="4" w:space="0" w:color="auto"/>
              <w:right w:val="single" w:sz="4" w:space="0" w:color="auto"/>
            </w:tcBorders>
            <w:vAlign w:val="bottom"/>
          </w:tcPr>
          <w:p w14:paraId="0635975A" w14:textId="61BB4573" w:rsidR="009A3AD8" w:rsidRPr="008B17C0" w:rsidRDefault="008E168D" w:rsidP="006A0D14">
            <w:pPr>
              <w:spacing w:before="40" w:after="40"/>
              <w:jc w:val="right"/>
              <w:rPr>
                <w:b/>
                <w:bCs/>
                <w:noProof/>
                <w:sz w:val="20"/>
                <w:szCs w:val="20"/>
              </w:rPr>
            </w:pPr>
            <w:r w:rsidRPr="008B17C0">
              <w:rPr>
                <w:b/>
                <w:bCs/>
                <w:noProof/>
                <w:sz w:val="20"/>
                <w:szCs w:val="20"/>
              </w:rPr>
              <w:t>21 577</w:t>
            </w:r>
          </w:p>
        </w:tc>
      </w:tr>
      <w:tr w:rsidR="009A3AD8" w:rsidRPr="008B17C0" w14:paraId="0AFD01F6" w14:textId="77777777" w:rsidTr="006A0D14">
        <w:tc>
          <w:tcPr>
            <w:tcW w:w="3203" w:type="dxa"/>
            <w:vMerge w:val="restart"/>
            <w:vAlign w:val="center"/>
          </w:tcPr>
          <w:p w14:paraId="6FC12E9A" w14:textId="77777777" w:rsidR="009A3AD8" w:rsidRPr="008B17C0" w:rsidRDefault="009A3AD8" w:rsidP="000217AE">
            <w:pPr>
              <w:jc w:val="center"/>
              <w:rPr>
                <w:noProof/>
              </w:rPr>
            </w:pPr>
            <w:r w:rsidRPr="008B17C0">
              <w:rPr>
                <w:b/>
                <w:noProof/>
                <w:sz w:val="22"/>
              </w:rPr>
              <w:t>Bevillinger I ALT</w:t>
            </w:r>
            <w:r w:rsidRPr="008B17C0">
              <w:rPr>
                <w:noProof/>
              </w:rPr>
              <w:t xml:space="preserve"> </w:t>
            </w:r>
            <w:r w:rsidRPr="008B17C0">
              <w:rPr>
                <w:noProof/>
              </w:rPr>
              <w:br/>
            </w:r>
            <w:r w:rsidRPr="008B17C0">
              <w:rPr>
                <w:b/>
                <w:noProof/>
                <w:sz w:val="22"/>
              </w:rPr>
              <w:t>for Eurojust</w:t>
            </w:r>
          </w:p>
        </w:tc>
        <w:tc>
          <w:tcPr>
            <w:tcW w:w="1440" w:type="dxa"/>
            <w:vAlign w:val="center"/>
          </w:tcPr>
          <w:p w14:paraId="6125C773" w14:textId="77777777" w:rsidR="009A3AD8" w:rsidRPr="008B17C0" w:rsidRDefault="009A3AD8" w:rsidP="000217AE">
            <w:pPr>
              <w:rPr>
                <w:noProof/>
                <w:sz w:val="18"/>
              </w:rPr>
            </w:pPr>
            <w:r w:rsidRPr="008B17C0">
              <w:rPr>
                <w:noProof/>
                <w:sz w:val="18"/>
              </w:rPr>
              <w:t>Forpligtelser</w:t>
            </w:r>
          </w:p>
        </w:tc>
        <w:tc>
          <w:tcPr>
            <w:tcW w:w="654" w:type="dxa"/>
            <w:gridSpan w:val="2"/>
            <w:vAlign w:val="center"/>
          </w:tcPr>
          <w:p w14:paraId="01616A36" w14:textId="77777777" w:rsidR="009A3AD8" w:rsidRPr="008B17C0" w:rsidRDefault="009A3AD8" w:rsidP="000217AE">
            <w:pPr>
              <w:jc w:val="center"/>
              <w:rPr>
                <w:noProof/>
                <w:sz w:val="14"/>
              </w:rPr>
            </w:pPr>
            <w:r w:rsidRPr="008B17C0">
              <w:rPr>
                <w:noProof/>
                <w:sz w:val="14"/>
              </w:rPr>
              <w:t>=1+1a +3a</w:t>
            </w:r>
          </w:p>
        </w:tc>
        <w:tc>
          <w:tcPr>
            <w:tcW w:w="1369" w:type="dxa"/>
            <w:tcBorders>
              <w:top w:val="single" w:sz="4" w:space="0" w:color="auto"/>
              <w:left w:val="nil"/>
              <w:bottom w:val="single" w:sz="4" w:space="0" w:color="auto"/>
              <w:right w:val="single" w:sz="4" w:space="0" w:color="auto"/>
            </w:tcBorders>
            <w:vAlign w:val="bottom"/>
          </w:tcPr>
          <w:p w14:paraId="11344E85" w14:textId="0D01E25B" w:rsidR="009A3AD8" w:rsidRPr="008B17C0" w:rsidRDefault="008E168D" w:rsidP="006A0D14">
            <w:pPr>
              <w:spacing w:before="20" w:after="20"/>
              <w:jc w:val="right"/>
              <w:rPr>
                <w:noProof/>
                <w:sz w:val="20"/>
                <w:szCs w:val="20"/>
              </w:rPr>
            </w:pPr>
            <w:r w:rsidRPr="008B17C0">
              <w:rPr>
                <w:noProof/>
                <w:color w:val="000000"/>
                <w:sz w:val="20"/>
                <w:szCs w:val="20"/>
              </w:rPr>
              <w:t>2 158</w:t>
            </w:r>
          </w:p>
        </w:tc>
        <w:tc>
          <w:tcPr>
            <w:tcW w:w="1369" w:type="dxa"/>
            <w:tcBorders>
              <w:top w:val="single" w:sz="4" w:space="0" w:color="auto"/>
              <w:left w:val="single" w:sz="4" w:space="0" w:color="auto"/>
              <w:bottom w:val="single" w:sz="4" w:space="0" w:color="auto"/>
              <w:right w:val="single" w:sz="4" w:space="0" w:color="auto"/>
            </w:tcBorders>
            <w:vAlign w:val="bottom"/>
          </w:tcPr>
          <w:p w14:paraId="1EB500F0" w14:textId="72F9D343" w:rsidR="009A3AD8" w:rsidRPr="008B17C0" w:rsidRDefault="008E168D" w:rsidP="006A0D14">
            <w:pPr>
              <w:spacing w:before="20" w:after="20"/>
              <w:jc w:val="right"/>
              <w:rPr>
                <w:noProof/>
                <w:sz w:val="20"/>
                <w:szCs w:val="20"/>
              </w:rPr>
            </w:pPr>
            <w:r w:rsidRPr="008B17C0">
              <w:rPr>
                <w:noProof/>
                <w:color w:val="000000"/>
                <w:sz w:val="20"/>
                <w:szCs w:val="20"/>
              </w:rPr>
              <w:t>10 811</w:t>
            </w:r>
          </w:p>
        </w:tc>
        <w:tc>
          <w:tcPr>
            <w:tcW w:w="1369" w:type="dxa"/>
            <w:tcBorders>
              <w:top w:val="single" w:sz="4" w:space="0" w:color="auto"/>
              <w:left w:val="single" w:sz="4" w:space="0" w:color="auto"/>
              <w:bottom w:val="single" w:sz="4" w:space="0" w:color="auto"/>
              <w:right w:val="single" w:sz="4" w:space="0" w:color="auto"/>
            </w:tcBorders>
            <w:vAlign w:val="bottom"/>
          </w:tcPr>
          <w:p w14:paraId="20F1B425" w14:textId="77777777" w:rsidR="009A3AD8" w:rsidRPr="008B17C0" w:rsidRDefault="009A3AD8" w:rsidP="006A0D14">
            <w:pPr>
              <w:spacing w:before="20" w:after="20"/>
              <w:jc w:val="right"/>
              <w:rPr>
                <w:noProof/>
                <w:sz w:val="20"/>
                <w:szCs w:val="20"/>
              </w:rPr>
            </w:pPr>
            <w:r w:rsidRPr="008B17C0">
              <w:rPr>
                <w:noProof/>
                <w:color w:val="000000"/>
                <w:sz w:val="20"/>
                <w:szCs w:val="20"/>
              </w:rPr>
              <w:t>10 403</w:t>
            </w:r>
          </w:p>
        </w:tc>
        <w:tc>
          <w:tcPr>
            <w:tcW w:w="1369" w:type="dxa"/>
            <w:tcBorders>
              <w:top w:val="single" w:sz="4" w:space="0" w:color="auto"/>
              <w:left w:val="single" w:sz="4" w:space="0" w:color="auto"/>
              <w:bottom w:val="single" w:sz="4" w:space="0" w:color="auto"/>
              <w:right w:val="single" w:sz="4" w:space="0" w:color="auto"/>
            </w:tcBorders>
            <w:vAlign w:val="bottom"/>
          </w:tcPr>
          <w:p w14:paraId="7398AD11" w14:textId="19690D0B" w:rsidR="009A3AD8" w:rsidRPr="008B17C0" w:rsidRDefault="009A3AD8" w:rsidP="006A0D14">
            <w:pPr>
              <w:spacing w:before="20" w:after="20"/>
              <w:jc w:val="right"/>
              <w:rPr>
                <w:noProof/>
                <w:sz w:val="20"/>
                <w:szCs w:val="20"/>
              </w:rPr>
            </w:pPr>
            <w:r w:rsidRPr="008B17C0">
              <w:rPr>
                <w:noProof/>
                <w:color w:val="000000"/>
                <w:sz w:val="20"/>
                <w:szCs w:val="20"/>
              </w:rPr>
              <w:t>9 371</w:t>
            </w:r>
          </w:p>
        </w:tc>
        <w:tc>
          <w:tcPr>
            <w:tcW w:w="2551" w:type="dxa"/>
            <w:tcBorders>
              <w:top w:val="single" w:sz="4" w:space="0" w:color="auto"/>
              <w:left w:val="single" w:sz="4" w:space="0" w:color="auto"/>
              <w:bottom w:val="single" w:sz="4" w:space="0" w:color="auto"/>
              <w:right w:val="single" w:sz="4" w:space="0" w:color="auto"/>
            </w:tcBorders>
            <w:vAlign w:val="bottom"/>
          </w:tcPr>
          <w:p w14:paraId="73CFEE7C" w14:textId="17D4DA17" w:rsidR="009A3AD8" w:rsidRPr="008B17C0" w:rsidRDefault="008E168D" w:rsidP="006A0D14">
            <w:pPr>
              <w:spacing w:before="20" w:after="20"/>
              <w:jc w:val="right"/>
              <w:rPr>
                <w:b/>
                <w:bCs/>
                <w:noProof/>
                <w:sz w:val="20"/>
                <w:szCs w:val="20"/>
              </w:rPr>
            </w:pPr>
            <w:r w:rsidRPr="008B17C0">
              <w:rPr>
                <w:b/>
                <w:bCs/>
                <w:noProof/>
                <w:color w:val="000000"/>
                <w:sz w:val="20"/>
                <w:szCs w:val="20"/>
              </w:rPr>
              <w:t>32 743</w:t>
            </w:r>
          </w:p>
        </w:tc>
      </w:tr>
      <w:tr w:rsidR="009A3AD8" w:rsidRPr="008B17C0" w14:paraId="04A06BB0" w14:textId="77777777" w:rsidTr="006A0D14">
        <w:tc>
          <w:tcPr>
            <w:tcW w:w="3203" w:type="dxa"/>
            <w:vMerge/>
            <w:vAlign w:val="center"/>
          </w:tcPr>
          <w:p w14:paraId="2740F809" w14:textId="77777777" w:rsidR="009A3AD8" w:rsidRPr="008B17C0" w:rsidRDefault="009A3AD8" w:rsidP="000217AE">
            <w:pPr>
              <w:rPr>
                <w:b/>
                <w:noProof/>
                <w:lang w:eastAsia="en-GB"/>
              </w:rPr>
            </w:pPr>
          </w:p>
        </w:tc>
        <w:tc>
          <w:tcPr>
            <w:tcW w:w="1440" w:type="dxa"/>
            <w:vAlign w:val="center"/>
          </w:tcPr>
          <w:p w14:paraId="0278378E" w14:textId="77777777" w:rsidR="009A3AD8" w:rsidRPr="008B17C0" w:rsidRDefault="009A3AD8" w:rsidP="000217AE">
            <w:pPr>
              <w:rPr>
                <w:noProof/>
                <w:sz w:val="18"/>
              </w:rPr>
            </w:pPr>
            <w:r w:rsidRPr="008B17C0">
              <w:rPr>
                <w:noProof/>
                <w:sz w:val="18"/>
              </w:rPr>
              <w:t>Betalinger</w:t>
            </w:r>
          </w:p>
        </w:tc>
        <w:tc>
          <w:tcPr>
            <w:tcW w:w="654" w:type="dxa"/>
            <w:gridSpan w:val="2"/>
            <w:vAlign w:val="center"/>
          </w:tcPr>
          <w:p w14:paraId="58F80499" w14:textId="77777777" w:rsidR="009A3AD8" w:rsidRPr="008B17C0" w:rsidRDefault="009A3AD8" w:rsidP="000217AE">
            <w:pPr>
              <w:jc w:val="center"/>
              <w:rPr>
                <w:noProof/>
                <w:sz w:val="14"/>
              </w:rPr>
            </w:pPr>
            <w:r w:rsidRPr="008B17C0">
              <w:rPr>
                <w:noProof/>
                <w:sz w:val="14"/>
              </w:rPr>
              <w:t>=2+2a</w:t>
            </w:r>
          </w:p>
          <w:p w14:paraId="3DD53C66" w14:textId="77777777" w:rsidR="009A3AD8" w:rsidRPr="008B17C0" w:rsidRDefault="009A3AD8" w:rsidP="000217AE">
            <w:pPr>
              <w:jc w:val="center"/>
              <w:rPr>
                <w:noProof/>
                <w:sz w:val="14"/>
              </w:rPr>
            </w:pPr>
            <w:r w:rsidRPr="008B17C0">
              <w:rPr>
                <w:noProof/>
                <w:sz w:val="14"/>
              </w:rPr>
              <w:t>+3b</w:t>
            </w:r>
          </w:p>
        </w:tc>
        <w:tc>
          <w:tcPr>
            <w:tcW w:w="1369" w:type="dxa"/>
            <w:tcBorders>
              <w:top w:val="single" w:sz="4" w:space="0" w:color="auto"/>
              <w:left w:val="nil"/>
              <w:bottom w:val="single" w:sz="4" w:space="0" w:color="auto"/>
              <w:right w:val="single" w:sz="4" w:space="0" w:color="auto"/>
            </w:tcBorders>
            <w:vAlign w:val="bottom"/>
          </w:tcPr>
          <w:p w14:paraId="387AE53B" w14:textId="6D4536BE" w:rsidR="009A3AD8" w:rsidRPr="008B17C0" w:rsidRDefault="008E168D" w:rsidP="006A0D14">
            <w:pPr>
              <w:spacing w:before="20" w:after="20"/>
              <w:jc w:val="right"/>
              <w:rPr>
                <w:noProof/>
                <w:sz w:val="20"/>
                <w:szCs w:val="20"/>
              </w:rPr>
            </w:pPr>
            <w:r w:rsidRPr="008B17C0">
              <w:rPr>
                <w:noProof/>
                <w:color w:val="000000"/>
                <w:sz w:val="20"/>
                <w:szCs w:val="20"/>
              </w:rPr>
              <w:t>1 693</w:t>
            </w:r>
          </w:p>
        </w:tc>
        <w:tc>
          <w:tcPr>
            <w:tcW w:w="1369" w:type="dxa"/>
            <w:tcBorders>
              <w:top w:val="single" w:sz="4" w:space="0" w:color="auto"/>
              <w:left w:val="single" w:sz="4" w:space="0" w:color="auto"/>
              <w:bottom w:val="single" w:sz="4" w:space="0" w:color="auto"/>
              <w:right w:val="single" w:sz="4" w:space="0" w:color="auto"/>
            </w:tcBorders>
            <w:vAlign w:val="bottom"/>
          </w:tcPr>
          <w:p w14:paraId="5DB8C98B" w14:textId="232B2E96" w:rsidR="009A3AD8" w:rsidRPr="008B17C0" w:rsidRDefault="008E168D" w:rsidP="006A0D14">
            <w:pPr>
              <w:spacing w:before="20" w:after="20"/>
              <w:jc w:val="right"/>
              <w:rPr>
                <w:noProof/>
                <w:sz w:val="20"/>
                <w:szCs w:val="20"/>
              </w:rPr>
            </w:pPr>
            <w:r w:rsidRPr="008B17C0">
              <w:rPr>
                <w:noProof/>
                <w:color w:val="000000"/>
                <w:sz w:val="20"/>
                <w:szCs w:val="20"/>
              </w:rPr>
              <w:t>7 463</w:t>
            </w:r>
          </w:p>
        </w:tc>
        <w:tc>
          <w:tcPr>
            <w:tcW w:w="1369" w:type="dxa"/>
            <w:tcBorders>
              <w:top w:val="single" w:sz="4" w:space="0" w:color="auto"/>
              <w:left w:val="single" w:sz="4" w:space="0" w:color="auto"/>
              <w:bottom w:val="single" w:sz="4" w:space="0" w:color="auto"/>
              <w:right w:val="single" w:sz="4" w:space="0" w:color="auto"/>
            </w:tcBorders>
            <w:vAlign w:val="bottom"/>
          </w:tcPr>
          <w:p w14:paraId="1518D3C8" w14:textId="3E0580D5" w:rsidR="009A3AD8" w:rsidRPr="008B17C0" w:rsidRDefault="008E168D" w:rsidP="006A0D14">
            <w:pPr>
              <w:spacing w:before="20" w:after="20"/>
              <w:jc w:val="right"/>
              <w:rPr>
                <w:noProof/>
                <w:sz w:val="20"/>
                <w:szCs w:val="20"/>
              </w:rPr>
            </w:pPr>
            <w:r w:rsidRPr="008B17C0">
              <w:rPr>
                <w:noProof/>
                <w:color w:val="000000"/>
                <w:sz w:val="20"/>
                <w:szCs w:val="20"/>
              </w:rPr>
              <w:t>9 834</w:t>
            </w:r>
          </w:p>
        </w:tc>
        <w:tc>
          <w:tcPr>
            <w:tcW w:w="1369" w:type="dxa"/>
            <w:tcBorders>
              <w:top w:val="single" w:sz="4" w:space="0" w:color="auto"/>
              <w:left w:val="single" w:sz="4" w:space="0" w:color="auto"/>
              <w:bottom w:val="single" w:sz="4" w:space="0" w:color="auto"/>
              <w:right w:val="single" w:sz="4" w:space="0" w:color="auto"/>
            </w:tcBorders>
            <w:vAlign w:val="bottom"/>
          </w:tcPr>
          <w:p w14:paraId="748163EA" w14:textId="5004B7A0" w:rsidR="009A3AD8" w:rsidRPr="008B17C0" w:rsidRDefault="002C7C73" w:rsidP="008E168D">
            <w:pPr>
              <w:spacing w:before="20" w:after="20"/>
              <w:jc w:val="right"/>
              <w:rPr>
                <w:noProof/>
                <w:sz w:val="20"/>
                <w:szCs w:val="20"/>
              </w:rPr>
            </w:pPr>
            <w:r w:rsidRPr="008B17C0">
              <w:rPr>
                <w:noProof/>
                <w:color w:val="000000"/>
                <w:sz w:val="20"/>
                <w:szCs w:val="20"/>
              </w:rPr>
              <w:t>13 752</w:t>
            </w:r>
          </w:p>
        </w:tc>
        <w:tc>
          <w:tcPr>
            <w:tcW w:w="2551" w:type="dxa"/>
            <w:tcBorders>
              <w:top w:val="single" w:sz="4" w:space="0" w:color="auto"/>
              <w:left w:val="single" w:sz="4" w:space="0" w:color="auto"/>
              <w:bottom w:val="single" w:sz="4" w:space="0" w:color="auto"/>
              <w:right w:val="single" w:sz="4" w:space="0" w:color="auto"/>
            </w:tcBorders>
            <w:vAlign w:val="bottom"/>
          </w:tcPr>
          <w:p w14:paraId="3557CEAC" w14:textId="5916CB46" w:rsidR="009A3AD8" w:rsidRPr="008B17C0" w:rsidRDefault="008E168D" w:rsidP="006A0D14">
            <w:pPr>
              <w:spacing w:before="20" w:after="20"/>
              <w:jc w:val="right"/>
              <w:rPr>
                <w:b/>
                <w:bCs/>
                <w:noProof/>
                <w:sz w:val="20"/>
                <w:szCs w:val="20"/>
              </w:rPr>
            </w:pPr>
            <w:r w:rsidRPr="008B17C0">
              <w:rPr>
                <w:b/>
                <w:bCs/>
                <w:noProof/>
                <w:color w:val="000000"/>
                <w:sz w:val="20"/>
                <w:szCs w:val="20"/>
              </w:rPr>
              <w:t>32 743</w:t>
            </w:r>
          </w:p>
        </w:tc>
      </w:tr>
    </w:tbl>
    <w:p w14:paraId="194FF231" w14:textId="77777777" w:rsidR="000217AE" w:rsidRPr="008B17C0" w:rsidRDefault="000217AE" w:rsidP="00ED2926">
      <w:pPr>
        <w:rPr>
          <w:noProof/>
        </w:rPr>
      </w:pPr>
    </w:p>
    <w:p w14:paraId="2B0AFE92" w14:textId="77777777" w:rsidR="000217AE" w:rsidRPr="008B17C0" w:rsidRDefault="000217AE" w:rsidP="00ED2926">
      <w:pPr>
        <w:rPr>
          <w:noProof/>
        </w:rPr>
      </w:pPr>
    </w:p>
    <w:p w14:paraId="5FD4E66D" w14:textId="124AF414" w:rsidR="000217AE" w:rsidRPr="008B17C0" w:rsidRDefault="000217AE" w:rsidP="00ED2926">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0217AE" w:rsidRPr="008B17C0" w14:paraId="116B9423" w14:textId="77777777" w:rsidTr="00B2088F">
        <w:trPr>
          <w:jc w:val="center"/>
        </w:trPr>
        <w:tc>
          <w:tcPr>
            <w:tcW w:w="4744" w:type="dxa"/>
            <w:shd w:val="thinDiagStripe" w:color="C0C0C0" w:fill="auto"/>
            <w:vAlign w:val="center"/>
          </w:tcPr>
          <w:p w14:paraId="0598D711" w14:textId="77777777" w:rsidR="000217AE" w:rsidRPr="008B17C0" w:rsidRDefault="000217AE" w:rsidP="000217AE">
            <w:pPr>
              <w:spacing w:before="60" w:after="60"/>
              <w:jc w:val="center"/>
              <w:rPr>
                <w:b/>
                <w:noProof/>
              </w:rPr>
            </w:pPr>
            <w:r w:rsidRPr="008B17C0">
              <w:rPr>
                <w:noProof/>
              </w:rPr>
              <w:br w:type="page"/>
              <w:t>Udgifts</w:t>
            </w:r>
            <w:r w:rsidRPr="008B17C0">
              <w:rPr>
                <w:noProof/>
              </w:rPr>
              <w:softHyphen/>
              <w:t>område i den flerårige finansielle ramme</w:t>
            </w:r>
            <w:r w:rsidRPr="008B17C0">
              <w:rPr>
                <w:b/>
                <w:noProof/>
                <w:sz w:val="22"/>
              </w:rPr>
              <w:t xml:space="preserve"> </w:t>
            </w:r>
          </w:p>
        </w:tc>
        <w:tc>
          <w:tcPr>
            <w:tcW w:w="1080" w:type="dxa"/>
            <w:shd w:val="thinDiagStripe" w:color="C0C0C0" w:fill="auto"/>
            <w:vAlign w:val="center"/>
          </w:tcPr>
          <w:p w14:paraId="537F5721" w14:textId="77777777" w:rsidR="000217AE" w:rsidRPr="008B17C0" w:rsidRDefault="000217AE" w:rsidP="000217AE">
            <w:pPr>
              <w:spacing w:before="60" w:after="60"/>
              <w:jc w:val="center"/>
              <w:rPr>
                <w:noProof/>
              </w:rPr>
            </w:pPr>
            <w:r w:rsidRPr="008B17C0">
              <w:rPr>
                <w:b/>
                <w:noProof/>
                <w:sz w:val="22"/>
              </w:rPr>
              <w:t>7</w:t>
            </w:r>
          </w:p>
        </w:tc>
        <w:tc>
          <w:tcPr>
            <w:tcW w:w="7817" w:type="dxa"/>
            <w:vAlign w:val="center"/>
          </w:tcPr>
          <w:p w14:paraId="573E706B" w14:textId="77777777" w:rsidR="000217AE" w:rsidRPr="008B17C0" w:rsidRDefault="000217AE" w:rsidP="000217AE">
            <w:pPr>
              <w:spacing w:before="60" w:after="60"/>
              <w:rPr>
                <w:noProof/>
              </w:rPr>
            </w:pPr>
            <w:r w:rsidRPr="008B17C0">
              <w:rPr>
                <w:noProof/>
                <w:sz w:val="22"/>
              </w:rPr>
              <w:t>"Administrationsudgifter"</w:t>
            </w:r>
          </w:p>
        </w:tc>
      </w:tr>
    </w:tbl>
    <w:p w14:paraId="671EBF54" w14:textId="77777777" w:rsidR="000217AE" w:rsidRPr="008B17C0" w:rsidRDefault="000217AE" w:rsidP="000217AE">
      <w:pPr>
        <w:jc w:val="right"/>
        <w:rPr>
          <w:noProof/>
          <w:sz w:val="20"/>
        </w:rPr>
      </w:pPr>
      <w:r w:rsidRPr="008B17C0">
        <w:rPr>
          <w:noProof/>
        </w:rPr>
        <w:tab/>
      </w:r>
      <w:r w:rsidRPr="008B17C0">
        <w:rPr>
          <w:noProof/>
          <w:sz w:val="20"/>
        </w:rPr>
        <w:t>i mio. EUR (tre decimaler)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868"/>
        <w:gridCol w:w="692"/>
        <w:gridCol w:w="176"/>
        <w:gridCol w:w="358"/>
        <w:gridCol w:w="1425"/>
        <w:gridCol w:w="1134"/>
        <w:gridCol w:w="1276"/>
        <w:gridCol w:w="1418"/>
        <w:gridCol w:w="2551"/>
      </w:tblGrid>
      <w:tr w:rsidR="001F14ED" w:rsidRPr="008B17C0" w14:paraId="3A703853" w14:textId="77777777" w:rsidTr="006A0D14">
        <w:tc>
          <w:tcPr>
            <w:tcW w:w="3960" w:type="dxa"/>
            <w:tcBorders>
              <w:top w:val="nil"/>
              <w:left w:val="nil"/>
              <w:right w:val="nil"/>
            </w:tcBorders>
            <w:vAlign w:val="center"/>
          </w:tcPr>
          <w:p w14:paraId="219EF7B2" w14:textId="77777777" w:rsidR="001F14ED" w:rsidRPr="008B17C0" w:rsidRDefault="001F14ED" w:rsidP="000217AE">
            <w:pPr>
              <w:jc w:val="center"/>
              <w:rPr>
                <w:noProof/>
                <w:lang w:eastAsia="en-GB"/>
              </w:rPr>
            </w:pPr>
          </w:p>
        </w:tc>
        <w:tc>
          <w:tcPr>
            <w:tcW w:w="1560" w:type="dxa"/>
            <w:gridSpan w:val="2"/>
            <w:tcBorders>
              <w:top w:val="nil"/>
              <w:left w:val="nil"/>
              <w:right w:val="nil"/>
            </w:tcBorders>
          </w:tcPr>
          <w:p w14:paraId="6A913D01" w14:textId="77777777" w:rsidR="001F14ED" w:rsidRPr="008B17C0" w:rsidRDefault="001F14ED" w:rsidP="000217AE">
            <w:pPr>
              <w:rPr>
                <w:noProof/>
                <w:sz w:val="20"/>
                <w:lang w:eastAsia="en-GB"/>
              </w:rPr>
            </w:pPr>
          </w:p>
        </w:tc>
        <w:tc>
          <w:tcPr>
            <w:tcW w:w="534" w:type="dxa"/>
            <w:gridSpan w:val="2"/>
            <w:tcBorders>
              <w:top w:val="nil"/>
              <w:left w:val="nil"/>
            </w:tcBorders>
          </w:tcPr>
          <w:p w14:paraId="60DE4B4B" w14:textId="77777777" w:rsidR="001F14ED" w:rsidRPr="008B17C0" w:rsidRDefault="001F14ED" w:rsidP="000217AE">
            <w:pPr>
              <w:jc w:val="center"/>
              <w:rPr>
                <w:noProof/>
                <w:sz w:val="20"/>
                <w:lang w:eastAsia="en-GB"/>
              </w:rPr>
            </w:pPr>
          </w:p>
        </w:tc>
        <w:tc>
          <w:tcPr>
            <w:tcW w:w="1425" w:type="dxa"/>
            <w:vAlign w:val="center"/>
          </w:tcPr>
          <w:p w14:paraId="4AFB66B8" w14:textId="77777777" w:rsidR="001F14ED" w:rsidRPr="008B17C0" w:rsidRDefault="001F14ED" w:rsidP="000217AE">
            <w:pPr>
              <w:jc w:val="center"/>
              <w:rPr>
                <w:noProof/>
                <w:sz w:val="20"/>
              </w:rPr>
            </w:pPr>
            <w:r w:rsidRPr="008B17C0">
              <w:rPr>
                <w:noProof/>
                <w:sz w:val="20"/>
              </w:rPr>
              <w:t>År</w:t>
            </w:r>
            <w:r w:rsidRPr="008B17C0">
              <w:rPr>
                <w:noProof/>
              </w:rPr>
              <w:t xml:space="preserve"> </w:t>
            </w:r>
            <w:r w:rsidRPr="008B17C0">
              <w:rPr>
                <w:noProof/>
              </w:rPr>
              <w:br/>
            </w:r>
            <w:r w:rsidRPr="008B17C0">
              <w:rPr>
                <w:b/>
                <w:noProof/>
                <w:sz w:val="20"/>
              </w:rPr>
              <w:t>2024</w:t>
            </w:r>
          </w:p>
        </w:tc>
        <w:tc>
          <w:tcPr>
            <w:tcW w:w="1134" w:type="dxa"/>
            <w:tcBorders>
              <w:bottom w:val="single" w:sz="4" w:space="0" w:color="auto"/>
            </w:tcBorders>
            <w:vAlign w:val="center"/>
          </w:tcPr>
          <w:p w14:paraId="29A07EF5" w14:textId="77777777" w:rsidR="001F14ED" w:rsidRPr="008B17C0" w:rsidRDefault="001F14ED" w:rsidP="000217AE">
            <w:pPr>
              <w:jc w:val="center"/>
              <w:rPr>
                <w:noProof/>
                <w:sz w:val="20"/>
              </w:rPr>
            </w:pPr>
            <w:r w:rsidRPr="008B17C0">
              <w:rPr>
                <w:noProof/>
                <w:sz w:val="20"/>
              </w:rPr>
              <w:t>År</w:t>
            </w:r>
            <w:r w:rsidRPr="008B17C0">
              <w:rPr>
                <w:noProof/>
              </w:rPr>
              <w:t xml:space="preserve"> </w:t>
            </w:r>
            <w:r w:rsidRPr="008B17C0">
              <w:rPr>
                <w:noProof/>
              </w:rPr>
              <w:br/>
            </w:r>
            <w:r w:rsidRPr="008B17C0">
              <w:rPr>
                <w:b/>
                <w:noProof/>
                <w:sz w:val="20"/>
              </w:rPr>
              <w:t>2025</w:t>
            </w:r>
          </w:p>
        </w:tc>
        <w:tc>
          <w:tcPr>
            <w:tcW w:w="1276" w:type="dxa"/>
            <w:tcBorders>
              <w:bottom w:val="single" w:sz="4" w:space="0" w:color="auto"/>
            </w:tcBorders>
            <w:vAlign w:val="center"/>
          </w:tcPr>
          <w:p w14:paraId="0D3335E1" w14:textId="77777777" w:rsidR="001F14ED" w:rsidRPr="008B17C0" w:rsidRDefault="001F14ED" w:rsidP="000217AE">
            <w:pPr>
              <w:jc w:val="center"/>
              <w:rPr>
                <w:noProof/>
                <w:sz w:val="20"/>
              </w:rPr>
            </w:pPr>
            <w:r w:rsidRPr="008B17C0">
              <w:rPr>
                <w:noProof/>
                <w:sz w:val="20"/>
              </w:rPr>
              <w:t>År</w:t>
            </w:r>
            <w:r w:rsidRPr="008B17C0">
              <w:rPr>
                <w:noProof/>
              </w:rPr>
              <w:t xml:space="preserve"> </w:t>
            </w:r>
            <w:r w:rsidRPr="008B17C0">
              <w:rPr>
                <w:noProof/>
              </w:rPr>
              <w:br/>
            </w:r>
            <w:r w:rsidRPr="008B17C0">
              <w:rPr>
                <w:b/>
                <w:noProof/>
                <w:sz w:val="20"/>
              </w:rPr>
              <w:t>2026</w:t>
            </w:r>
          </w:p>
        </w:tc>
        <w:tc>
          <w:tcPr>
            <w:tcW w:w="1418" w:type="dxa"/>
            <w:tcBorders>
              <w:bottom w:val="single" w:sz="4" w:space="0" w:color="auto"/>
            </w:tcBorders>
          </w:tcPr>
          <w:p w14:paraId="00A6A70C" w14:textId="77777777" w:rsidR="001F14ED" w:rsidRPr="008B17C0" w:rsidRDefault="001F14ED" w:rsidP="000217AE">
            <w:pPr>
              <w:jc w:val="center"/>
              <w:rPr>
                <w:noProof/>
                <w:sz w:val="20"/>
              </w:rPr>
            </w:pPr>
            <w:r w:rsidRPr="008B17C0">
              <w:rPr>
                <w:noProof/>
                <w:sz w:val="20"/>
              </w:rPr>
              <w:t>År</w:t>
            </w:r>
            <w:r w:rsidRPr="008B17C0">
              <w:rPr>
                <w:noProof/>
              </w:rPr>
              <w:t xml:space="preserve"> </w:t>
            </w:r>
            <w:r w:rsidRPr="008B17C0">
              <w:rPr>
                <w:noProof/>
              </w:rPr>
              <w:br/>
            </w:r>
            <w:r w:rsidRPr="008B17C0">
              <w:rPr>
                <w:b/>
                <w:noProof/>
                <w:sz w:val="20"/>
              </w:rPr>
              <w:t>2027</w:t>
            </w:r>
          </w:p>
        </w:tc>
        <w:tc>
          <w:tcPr>
            <w:tcW w:w="2551" w:type="dxa"/>
            <w:tcBorders>
              <w:bottom w:val="single" w:sz="4" w:space="0" w:color="auto"/>
            </w:tcBorders>
            <w:vAlign w:val="center"/>
          </w:tcPr>
          <w:p w14:paraId="31BCFE30" w14:textId="77777777" w:rsidR="001F14ED" w:rsidRPr="008B17C0" w:rsidRDefault="001F14ED" w:rsidP="000217AE">
            <w:pPr>
              <w:jc w:val="center"/>
              <w:rPr>
                <w:b/>
                <w:noProof/>
                <w:sz w:val="20"/>
              </w:rPr>
            </w:pPr>
            <w:r w:rsidRPr="008B17C0">
              <w:rPr>
                <w:b/>
                <w:noProof/>
                <w:sz w:val="20"/>
              </w:rPr>
              <w:t>I ALT</w:t>
            </w:r>
          </w:p>
        </w:tc>
      </w:tr>
      <w:tr w:rsidR="001F14ED" w:rsidRPr="008B17C0" w14:paraId="5BE214C9" w14:textId="77777777" w:rsidTr="006A0D14">
        <w:trPr>
          <w:gridAfter w:val="6"/>
          <w:wAfter w:w="8162" w:type="dxa"/>
        </w:trPr>
        <w:tc>
          <w:tcPr>
            <w:tcW w:w="3960" w:type="dxa"/>
            <w:vAlign w:val="center"/>
          </w:tcPr>
          <w:p w14:paraId="7E2DAD87" w14:textId="77777777" w:rsidR="001F14ED" w:rsidRPr="008B17C0" w:rsidRDefault="001F14ED" w:rsidP="000217AE">
            <w:pPr>
              <w:spacing w:before="60" w:after="60"/>
              <w:jc w:val="center"/>
              <w:rPr>
                <w:noProof/>
              </w:rPr>
            </w:pPr>
            <w:r w:rsidRPr="008B17C0">
              <w:rPr>
                <w:noProof/>
                <w:sz w:val="22"/>
              </w:rPr>
              <w:t xml:space="preserve">GD: </w:t>
            </w:r>
            <w:r w:rsidRPr="008B17C0">
              <w:rPr>
                <w:noProof/>
              </w:rPr>
              <w:t>GD JUST</w:t>
            </w:r>
          </w:p>
        </w:tc>
        <w:tc>
          <w:tcPr>
            <w:tcW w:w="868" w:type="dxa"/>
          </w:tcPr>
          <w:p w14:paraId="39670B08" w14:textId="77777777" w:rsidR="001F14ED" w:rsidRPr="008B17C0" w:rsidRDefault="001F14ED" w:rsidP="000217AE">
            <w:pPr>
              <w:spacing w:before="60" w:after="60"/>
              <w:jc w:val="center"/>
              <w:rPr>
                <w:noProof/>
                <w:sz w:val="22"/>
                <w:lang w:eastAsia="en-GB"/>
              </w:rPr>
            </w:pPr>
          </w:p>
        </w:tc>
        <w:tc>
          <w:tcPr>
            <w:tcW w:w="868" w:type="dxa"/>
            <w:gridSpan w:val="2"/>
          </w:tcPr>
          <w:p w14:paraId="411EF677" w14:textId="77777777" w:rsidR="001F14ED" w:rsidRPr="008B17C0" w:rsidRDefault="001F14ED" w:rsidP="000217AE">
            <w:pPr>
              <w:spacing w:before="60" w:after="60"/>
              <w:jc w:val="center"/>
              <w:rPr>
                <w:noProof/>
                <w:sz w:val="22"/>
                <w:lang w:eastAsia="en-GB"/>
              </w:rPr>
            </w:pPr>
          </w:p>
        </w:tc>
      </w:tr>
      <w:tr w:rsidR="001F14ED" w:rsidRPr="008B17C0" w14:paraId="0FF98B4E" w14:textId="77777777" w:rsidTr="006A0D14">
        <w:trPr>
          <w:trHeight w:val="313"/>
        </w:trPr>
        <w:tc>
          <w:tcPr>
            <w:tcW w:w="6054" w:type="dxa"/>
            <w:gridSpan w:val="5"/>
            <w:vAlign w:val="center"/>
          </w:tcPr>
          <w:p w14:paraId="0B444FE5" w14:textId="77777777" w:rsidR="001F14ED" w:rsidRPr="008B17C0" w:rsidRDefault="001F14ED" w:rsidP="000217AE">
            <w:pPr>
              <w:spacing w:before="20" w:after="20"/>
              <w:rPr>
                <w:noProof/>
              </w:rPr>
            </w:pPr>
            <w:r w:rsidRPr="008B17C0">
              <w:rPr>
                <w:noProof/>
                <w:sz w:val="22"/>
              </w:rPr>
              <w:sym w:font="Wingdings" w:char="F09F"/>
            </w:r>
            <w:r w:rsidRPr="008B17C0">
              <w:rPr>
                <w:noProof/>
                <w:sz w:val="22"/>
              </w:rPr>
              <w:t xml:space="preserve"> Menneskelige ressourcer </w:t>
            </w:r>
          </w:p>
        </w:tc>
        <w:tc>
          <w:tcPr>
            <w:tcW w:w="1425" w:type="dxa"/>
            <w:vAlign w:val="center"/>
          </w:tcPr>
          <w:p w14:paraId="56B9B4BE" w14:textId="60824D39" w:rsidR="001F14ED" w:rsidRPr="008B17C0" w:rsidRDefault="001F14ED" w:rsidP="006A0D14">
            <w:pPr>
              <w:spacing w:before="20" w:after="20"/>
              <w:jc w:val="right"/>
              <w:rPr>
                <w:noProof/>
                <w:sz w:val="20"/>
                <w:szCs w:val="20"/>
              </w:rPr>
            </w:pPr>
            <w:r w:rsidRPr="008B17C0">
              <w:rPr>
                <w:noProof/>
                <w:sz w:val="20"/>
                <w:szCs w:val="20"/>
              </w:rPr>
              <w:t>238</w:t>
            </w:r>
          </w:p>
        </w:tc>
        <w:tc>
          <w:tcPr>
            <w:tcW w:w="1134" w:type="dxa"/>
            <w:vAlign w:val="center"/>
          </w:tcPr>
          <w:p w14:paraId="2D57D1D7" w14:textId="01D97920" w:rsidR="001F14ED" w:rsidRPr="008B17C0" w:rsidRDefault="001F14ED" w:rsidP="006A0D14">
            <w:pPr>
              <w:spacing w:before="20" w:after="20"/>
              <w:jc w:val="right"/>
              <w:rPr>
                <w:noProof/>
                <w:sz w:val="20"/>
                <w:szCs w:val="20"/>
              </w:rPr>
            </w:pPr>
            <w:r w:rsidRPr="008B17C0">
              <w:rPr>
                <w:noProof/>
                <w:sz w:val="20"/>
                <w:szCs w:val="20"/>
              </w:rPr>
              <w:t>238</w:t>
            </w:r>
          </w:p>
        </w:tc>
        <w:tc>
          <w:tcPr>
            <w:tcW w:w="1276" w:type="dxa"/>
            <w:vAlign w:val="center"/>
          </w:tcPr>
          <w:p w14:paraId="1D19DF67" w14:textId="0F0865F1" w:rsidR="001F14ED" w:rsidRPr="008B17C0" w:rsidRDefault="001F14ED" w:rsidP="006A0D14">
            <w:pPr>
              <w:spacing w:before="20" w:after="20"/>
              <w:jc w:val="right"/>
              <w:rPr>
                <w:noProof/>
                <w:sz w:val="20"/>
                <w:szCs w:val="20"/>
              </w:rPr>
            </w:pPr>
            <w:r w:rsidRPr="008B17C0">
              <w:rPr>
                <w:noProof/>
                <w:sz w:val="20"/>
                <w:szCs w:val="20"/>
              </w:rPr>
              <w:t>238</w:t>
            </w:r>
          </w:p>
        </w:tc>
        <w:tc>
          <w:tcPr>
            <w:tcW w:w="1418" w:type="dxa"/>
          </w:tcPr>
          <w:p w14:paraId="049C3209" w14:textId="503B9390" w:rsidR="001F14ED" w:rsidRPr="008B17C0" w:rsidRDefault="001F14ED" w:rsidP="006A0D14">
            <w:pPr>
              <w:spacing w:before="20" w:after="20"/>
              <w:jc w:val="right"/>
              <w:rPr>
                <w:noProof/>
                <w:sz w:val="20"/>
                <w:szCs w:val="20"/>
              </w:rPr>
            </w:pPr>
            <w:r w:rsidRPr="008B17C0">
              <w:rPr>
                <w:noProof/>
                <w:sz w:val="20"/>
                <w:szCs w:val="20"/>
              </w:rPr>
              <w:t>238</w:t>
            </w:r>
          </w:p>
        </w:tc>
        <w:tc>
          <w:tcPr>
            <w:tcW w:w="2551" w:type="dxa"/>
            <w:vAlign w:val="center"/>
          </w:tcPr>
          <w:p w14:paraId="78DEA1FE" w14:textId="39951215" w:rsidR="001F14ED" w:rsidRPr="008B17C0" w:rsidRDefault="00E845AC" w:rsidP="006A0D14">
            <w:pPr>
              <w:spacing w:before="20" w:after="20"/>
              <w:jc w:val="right"/>
              <w:rPr>
                <w:b/>
                <w:bCs/>
                <w:noProof/>
                <w:sz w:val="20"/>
                <w:szCs w:val="20"/>
              </w:rPr>
            </w:pPr>
            <w:r w:rsidRPr="008B17C0">
              <w:rPr>
                <w:b/>
                <w:bCs/>
                <w:noProof/>
                <w:sz w:val="20"/>
                <w:szCs w:val="20"/>
              </w:rPr>
              <w:t>952</w:t>
            </w:r>
          </w:p>
        </w:tc>
      </w:tr>
      <w:tr w:rsidR="001F14ED" w:rsidRPr="008B17C0" w14:paraId="24F5AA1B" w14:textId="77777777" w:rsidTr="006A0D14">
        <w:trPr>
          <w:trHeight w:val="351"/>
        </w:trPr>
        <w:tc>
          <w:tcPr>
            <w:tcW w:w="6054" w:type="dxa"/>
            <w:gridSpan w:val="5"/>
            <w:vAlign w:val="center"/>
          </w:tcPr>
          <w:p w14:paraId="7361F6E4" w14:textId="77777777" w:rsidR="001F14ED" w:rsidRPr="008B17C0" w:rsidRDefault="001F14ED" w:rsidP="000217AE">
            <w:pPr>
              <w:spacing w:before="20" w:after="20"/>
              <w:rPr>
                <w:noProof/>
              </w:rPr>
            </w:pPr>
            <w:r w:rsidRPr="008B17C0">
              <w:rPr>
                <w:noProof/>
                <w:sz w:val="22"/>
              </w:rPr>
              <w:sym w:font="Wingdings" w:char="F09F"/>
            </w:r>
            <w:r w:rsidRPr="008B17C0">
              <w:rPr>
                <w:noProof/>
                <w:sz w:val="22"/>
              </w:rPr>
              <w:t xml:space="preserve"> Andre administrationsudgifter </w:t>
            </w:r>
          </w:p>
        </w:tc>
        <w:tc>
          <w:tcPr>
            <w:tcW w:w="1425" w:type="dxa"/>
            <w:vAlign w:val="center"/>
          </w:tcPr>
          <w:p w14:paraId="10497494" w14:textId="77777777" w:rsidR="001F14ED" w:rsidRPr="008B17C0" w:rsidRDefault="001F14ED" w:rsidP="000217AE">
            <w:pPr>
              <w:spacing w:before="20" w:after="20"/>
              <w:jc w:val="right"/>
              <w:rPr>
                <w:b/>
                <w:noProof/>
                <w:sz w:val="20"/>
              </w:rPr>
            </w:pPr>
            <w:r w:rsidRPr="008B17C0">
              <w:rPr>
                <w:b/>
                <w:noProof/>
                <w:sz w:val="20"/>
              </w:rPr>
              <w:t>0</w:t>
            </w:r>
          </w:p>
        </w:tc>
        <w:tc>
          <w:tcPr>
            <w:tcW w:w="1134" w:type="dxa"/>
            <w:vAlign w:val="center"/>
          </w:tcPr>
          <w:p w14:paraId="6D0A0D08" w14:textId="77777777" w:rsidR="001F14ED" w:rsidRPr="008B17C0" w:rsidRDefault="001F14ED" w:rsidP="000217AE">
            <w:pPr>
              <w:spacing w:before="20" w:after="20"/>
              <w:jc w:val="right"/>
              <w:rPr>
                <w:b/>
                <w:noProof/>
                <w:sz w:val="20"/>
              </w:rPr>
            </w:pPr>
            <w:r w:rsidRPr="008B17C0">
              <w:rPr>
                <w:b/>
                <w:noProof/>
                <w:sz w:val="20"/>
              </w:rPr>
              <w:t>0</w:t>
            </w:r>
          </w:p>
        </w:tc>
        <w:tc>
          <w:tcPr>
            <w:tcW w:w="1276" w:type="dxa"/>
            <w:vAlign w:val="center"/>
          </w:tcPr>
          <w:p w14:paraId="35A2DFBF" w14:textId="77777777" w:rsidR="001F14ED" w:rsidRPr="008B17C0" w:rsidRDefault="001F14ED" w:rsidP="000217AE">
            <w:pPr>
              <w:spacing w:before="20" w:after="20"/>
              <w:jc w:val="right"/>
              <w:rPr>
                <w:b/>
                <w:noProof/>
                <w:sz w:val="20"/>
              </w:rPr>
            </w:pPr>
            <w:r w:rsidRPr="008B17C0">
              <w:rPr>
                <w:b/>
                <w:noProof/>
                <w:sz w:val="20"/>
              </w:rPr>
              <w:t>0</w:t>
            </w:r>
          </w:p>
        </w:tc>
        <w:tc>
          <w:tcPr>
            <w:tcW w:w="1418" w:type="dxa"/>
          </w:tcPr>
          <w:p w14:paraId="446E7555" w14:textId="77777777" w:rsidR="001F14ED" w:rsidRPr="008B17C0" w:rsidRDefault="001F14ED" w:rsidP="000217AE">
            <w:pPr>
              <w:spacing w:before="20" w:after="20"/>
              <w:jc w:val="right"/>
              <w:rPr>
                <w:b/>
                <w:noProof/>
                <w:sz w:val="20"/>
              </w:rPr>
            </w:pPr>
            <w:r w:rsidRPr="008B17C0">
              <w:rPr>
                <w:b/>
                <w:noProof/>
                <w:sz w:val="20"/>
              </w:rPr>
              <w:t>0</w:t>
            </w:r>
          </w:p>
        </w:tc>
        <w:tc>
          <w:tcPr>
            <w:tcW w:w="2551" w:type="dxa"/>
            <w:vAlign w:val="center"/>
          </w:tcPr>
          <w:p w14:paraId="69C42614" w14:textId="77777777" w:rsidR="001F14ED" w:rsidRPr="008B17C0" w:rsidRDefault="001F14ED" w:rsidP="000217AE">
            <w:pPr>
              <w:spacing w:before="20" w:after="20"/>
              <w:jc w:val="right"/>
              <w:rPr>
                <w:b/>
                <w:noProof/>
                <w:sz w:val="20"/>
              </w:rPr>
            </w:pPr>
            <w:r w:rsidRPr="008B17C0">
              <w:rPr>
                <w:b/>
                <w:noProof/>
                <w:sz w:val="20"/>
              </w:rPr>
              <w:t>0</w:t>
            </w:r>
          </w:p>
        </w:tc>
      </w:tr>
      <w:tr w:rsidR="001F14ED" w:rsidRPr="008B17C0" w14:paraId="116774F9" w14:textId="77777777" w:rsidTr="006A0D14">
        <w:tc>
          <w:tcPr>
            <w:tcW w:w="3960" w:type="dxa"/>
            <w:vAlign w:val="center"/>
          </w:tcPr>
          <w:p w14:paraId="7F8B834E" w14:textId="77777777" w:rsidR="001F14ED" w:rsidRPr="008B17C0" w:rsidRDefault="001F14ED">
            <w:pPr>
              <w:jc w:val="center"/>
              <w:rPr>
                <w:b/>
                <w:bCs/>
                <w:noProof/>
              </w:rPr>
            </w:pPr>
            <w:r w:rsidRPr="008B17C0">
              <w:rPr>
                <w:b/>
                <w:noProof/>
              </w:rPr>
              <w:t xml:space="preserve">GD JUST </w:t>
            </w:r>
            <w:r w:rsidRPr="008B17C0">
              <w:rPr>
                <w:noProof/>
              </w:rPr>
              <w:t>I ALT</w:t>
            </w:r>
          </w:p>
        </w:tc>
        <w:tc>
          <w:tcPr>
            <w:tcW w:w="2094" w:type="dxa"/>
            <w:gridSpan w:val="4"/>
            <w:vAlign w:val="center"/>
          </w:tcPr>
          <w:p w14:paraId="26393BB4" w14:textId="77777777" w:rsidR="001F14ED" w:rsidRPr="008B17C0" w:rsidRDefault="001F14ED" w:rsidP="000217AE">
            <w:pPr>
              <w:rPr>
                <w:noProof/>
                <w:sz w:val="14"/>
              </w:rPr>
            </w:pPr>
            <w:r w:rsidRPr="008B17C0">
              <w:rPr>
                <w:noProof/>
                <w:sz w:val="18"/>
              </w:rPr>
              <w:t xml:space="preserve">Bevillinger </w:t>
            </w:r>
          </w:p>
        </w:tc>
        <w:tc>
          <w:tcPr>
            <w:tcW w:w="1425" w:type="dxa"/>
            <w:vAlign w:val="center"/>
          </w:tcPr>
          <w:p w14:paraId="7CB41F4F" w14:textId="77777777" w:rsidR="001F14ED" w:rsidRPr="008B17C0" w:rsidRDefault="001F14ED" w:rsidP="000217AE">
            <w:pPr>
              <w:spacing w:before="60" w:after="60"/>
              <w:jc w:val="right"/>
              <w:rPr>
                <w:noProof/>
                <w:sz w:val="20"/>
                <w:lang w:eastAsia="en-GB"/>
              </w:rPr>
            </w:pPr>
          </w:p>
        </w:tc>
        <w:tc>
          <w:tcPr>
            <w:tcW w:w="1134" w:type="dxa"/>
            <w:vAlign w:val="center"/>
          </w:tcPr>
          <w:p w14:paraId="25221F60" w14:textId="77777777" w:rsidR="001F14ED" w:rsidRPr="008B17C0" w:rsidRDefault="001F14ED" w:rsidP="000217AE">
            <w:pPr>
              <w:spacing w:before="20" w:after="20"/>
              <w:jc w:val="right"/>
              <w:rPr>
                <w:noProof/>
                <w:sz w:val="20"/>
                <w:lang w:eastAsia="en-GB"/>
              </w:rPr>
            </w:pPr>
          </w:p>
        </w:tc>
        <w:tc>
          <w:tcPr>
            <w:tcW w:w="1276" w:type="dxa"/>
            <w:vAlign w:val="center"/>
          </w:tcPr>
          <w:p w14:paraId="291A5B27" w14:textId="77777777" w:rsidR="001F14ED" w:rsidRPr="008B17C0" w:rsidRDefault="001F14ED" w:rsidP="000217AE">
            <w:pPr>
              <w:spacing w:before="20" w:after="20"/>
              <w:jc w:val="right"/>
              <w:rPr>
                <w:noProof/>
                <w:sz w:val="20"/>
                <w:lang w:eastAsia="en-GB"/>
              </w:rPr>
            </w:pPr>
          </w:p>
        </w:tc>
        <w:tc>
          <w:tcPr>
            <w:tcW w:w="1418" w:type="dxa"/>
          </w:tcPr>
          <w:p w14:paraId="7327A043" w14:textId="77777777" w:rsidR="001F14ED" w:rsidRPr="008B17C0" w:rsidRDefault="001F14ED" w:rsidP="000217AE">
            <w:pPr>
              <w:spacing w:before="20" w:after="20"/>
              <w:jc w:val="right"/>
              <w:rPr>
                <w:noProof/>
                <w:sz w:val="20"/>
                <w:lang w:eastAsia="en-GB"/>
              </w:rPr>
            </w:pPr>
          </w:p>
        </w:tc>
        <w:tc>
          <w:tcPr>
            <w:tcW w:w="2551" w:type="dxa"/>
            <w:vAlign w:val="center"/>
          </w:tcPr>
          <w:p w14:paraId="302187E7" w14:textId="77777777" w:rsidR="001F14ED" w:rsidRPr="008B17C0" w:rsidRDefault="001F14ED" w:rsidP="000217AE">
            <w:pPr>
              <w:spacing w:before="20" w:after="20"/>
              <w:jc w:val="right"/>
              <w:rPr>
                <w:b/>
                <w:noProof/>
                <w:sz w:val="20"/>
                <w:lang w:eastAsia="en-GB"/>
              </w:rPr>
            </w:pPr>
          </w:p>
        </w:tc>
      </w:tr>
    </w:tbl>
    <w:p w14:paraId="48FF35F2" w14:textId="77777777" w:rsidR="000217AE" w:rsidRPr="008B17C0" w:rsidRDefault="000217AE" w:rsidP="00ED2926">
      <w:pPr>
        <w:rPr>
          <w:noProof/>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1425"/>
        <w:gridCol w:w="1134"/>
        <w:gridCol w:w="1276"/>
        <w:gridCol w:w="1418"/>
        <w:gridCol w:w="2551"/>
      </w:tblGrid>
      <w:tr w:rsidR="001F14ED" w:rsidRPr="008B17C0" w14:paraId="5C4C61B8" w14:textId="77777777" w:rsidTr="006A0D14">
        <w:tc>
          <w:tcPr>
            <w:tcW w:w="3960" w:type="dxa"/>
            <w:shd w:val="clear" w:color="auto" w:fill="auto"/>
            <w:vAlign w:val="center"/>
          </w:tcPr>
          <w:p w14:paraId="01C55551" w14:textId="77777777" w:rsidR="001F14ED" w:rsidRPr="008B17C0" w:rsidRDefault="001F14ED" w:rsidP="00B2088F">
            <w:pPr>
              <w:jc w:val="center"/>
              <w:rPr>
                <w:b/>
                <w:noProof/>
              </w:rPr>
            </w:pPr>
            <w:r w:rsidRPr="008B17C0">
              <w:rPr>
                <w:b/>
                <w:noProof/>
                <w:sz w:val="22"/>
              </w:rPr>
              <w:t>Bevillinger I ALT</w:t>
            </w:r>
            <w:r w:rsidRPr="008B17C0">
              <w:rPr>
                <w:noProof/>
              </w:rPr>
              <w:t xml:space="preserve"> </w:t>
            </w:r>
            <w:r w:rsidRPr="008B17C0">
              <w:rPr>
                <w:noProof/>
              </w:rPr>
              <w:br/>
            </w:r>
            <w:r w:rsidRPr="008B17C0">
              <w:rPr>
                <w:b/>
                <w:noProof/>
                <w:sz w:val="22"/>
              </w:rPr>
              <w:t>under UDGIFTSOMRÅDE 7</w:t>
            </w:r>
            <w:r w:rsidRPr="008B17C0">
              <w:rPr>
                <w:noProof/>
              </w:rPr>
              <w:t xml:space="preserve"> </w:t>
            </w:r>
            <w:r w:rsidRPr="008B17C0">
              <w:rPr>
                <w:noProof/>
              </w:rPr>
              <w:br/>
            </w:r>
            <w:r w:rsidRPr="008B17C0">
              <w:rPr>
                <w:noProof/>
                <w:sz w:val="22"/>
              </w:rPr>
              <w:t>i den flerårige finansielle ramme</w:t>
            </w:r>
            <w:r w:rsidRPr="008B17C0">
              <w:rPr>
                <w:b/>
                <w:noProof/>
                <w:sz w:val="22"/>
              </w:rPr>
              <w:t xml:space="preserve"> </w:t>
            </w:r>
          </w:p>
        </w:tc>
        <w:tc>
          <w:tcPr>
            <w:tcW w:w="2094" w:type="dxa"/>
            <w:vAlign w:val="center"/>
          </w:tcPr>
          <w:p w14:paraId="0A66B415" w14:textId="77777777" w:rsidR="001F14ED" w:rsidRPr="008B17C0" w:rsidRDefault="001F14ED" w:rsidP="00B2088F">
            <w:pPr>
              <w:spacing w:before="40" w:after="40"/>
              <w:rPr>
                <w:noProof/>
              </w:rPr>
            </w:pPr>
            <w:r w:rsidRPr="008B17C0">
              <w:rPr>
                <w:noProof/>
                <w:sz w:val="18"/>
              </w:rPr>
              <w:t>(Forpligtelser i alt = betalinger i alt)</w:t>
            </w:r>
          </w:p>
        </w:tc>
        <w:tc>
          <w:tcPr>
            <w:tcW w:w="1425" w:type="dxa"/>
            <w:vAlign w:val="center"/>
          </w:tcPr>
          <w:p w14:paraId="21175131" w14:textId="26E3899F" w:rsidR="001F14ED" w:rsidRPr="008B17C0" w:rsidRDefault="001F14ED" w:rsidP="006A0D14">
            <w:pPr>
              <w:spacing w:before="20" w:after="20"/>
              <w:jc w:val="right"/>
              <w:rPr>
                <w:noProof/>
                <w:sz w:val="20"/>
                <w:szCs w:val="20"/>
              </w:rPr>
            </w:pPr>
            <w:r w:rsidRPr="008B17C0">
              <w:rPr>
                <w:noProof/>
                <w:sz w:val="20"/>
                <w:szCs w:val="20"/>
              </w:rPr>
              <w:t>238</w:t>
            </w:r>
          </w:p>
        </w:tc>
        <w:tc>
          <w:tcPr>
            <w:tcW w:w="1134" w:type="dxa"/>
            <w:vAlign w:val="center"/>
          </w:tcPr>
          <w:p w14:paraId="16927AD1" w14:textId="02235203" w:rsidR="001F14ED" w:rsidRPr="008B17C0" w:rsidRDefault="001F14ED" w:rsidP="006A0D14">
            <w:pPr>
              <w:spacing w:before="20" w:after="20"/>
              <w:jc w:val="right"/>
              <w:rPr>
                <w:noProof/>
                <w:sz w:val="20"/>
                <w:szCs w:val="20"/>
              </w:rPr>
            </w:pPr>
            <w:r w:rsidRPr="008B17C0">
              <w:rPr>
                <w:noProof/>
                <w:sz w:val="20"/>
                <w:szCs w:val="20"/>
              </w:rPr>
              <w:t>238</w:t>
            </w:r>
          </w:p>
        </w:tc>
        <w:tc>
          <w:tcPr>
            <w:tcW w:w="1276" w:type="dxa"/>
            <w:vAlign w:val="center"/>
          </w:tcPr>
          <w:p w14:paraId="0C7E6D19" w14:textId="200DE7E0" w:rsidR="001F14ED" w:rsidRPr="008B17C0" w:rsidRDefault="001F14ED" w:rsidP="006A0D14">
            <w:pPr>
              <w:spacing w:before="20" w:after="20"/>
              <w:jc w:val="right"/>
              <w:rPr>
                <w:noProof/>
                <w:sz w:val="20"/>
                <w:szCs w:val="20"/>
              </w:rPr>
            </w:pPr>
            <w:r w:rsidRPr="008B17C0">
              <w:rPr>
                <w:noProof/>
                <w:sz w:val="20"/>
                <w:szCs w:val="20"/>
              </w:rPr>
              <w:t>238</w:t>
            </w:r>
          </w:p>
        </w:tc>
        <w:tc>
          <w:tcPr>
            <w:tcW w:w="1418" w:type="dxa"/>
            <w:vAlign w:val="center"/>
          </w:tcPr>
          <w:p w14:paraId="692C06A6" w14:textId="50854B5A" w:rsidR="001F14ED" w:rsidRPr="008B17C0" w:rsidRDefault="001F14ED" w:rsidP="006A0D14">
            <w:pPr>
              <w:spacing w:before="20" w:after="20"/>
              <w:jc w:val="right"/>
              <w:rPr>
                <w:noProof/>
                <w:sz w:val="20"/>
                <w:szCs w:val="20"/>
              </w:rPr>
            </w:pPr>
            <w:r w:rsidRPr="008B17C0">
              <w:rPr>
                <w:noProof/>
                <w:sz w:val="20"/>
                <w:szCs w:val="20"/>
              </w:rPr>
              <w:t>238</w:t>
            </w:r>
          </w:p>
        </w:tc>
        <w:tc>
          <w:tcPr>
            <w:tcW w:w="2551" w:type="dxa"/>
            <w:vAlign w:val="center"/>
          </w:tcPr>
          <w:p w14:paraId="6FE9180B" w14:textId="72C55735" w:rsidR="001F14ED" w:rsidRPr="008B17C0" w:rsidRDefault="00E845AC" w:rsidP="006A0D14">
            <w:pPr>
              <w:spacing w:before="20" w:after="20"/>
              <w:jc w:val="right"/>
              <w:rPr>
                <w:b/>
                <w:bCs/>
                <w:noProof/>
                <w:sz w:val="20"/>
                <w:szCs w:val="20"/>
              </w:rPr>
            </w:pPr>
            <w:r w:rsidRPr="008B17C0">
              <w:rPr>
                <w:b/>
                <w:bCs/>
                <w:noProof/>
                <w:sz w:val="20"/>
                <w:szCs w:val="20"/>
              </w:rPr>
              <w:t>952</w:t>
            </w:r>
          </w:p>
        </w:tc>
      </w:tr>
    </w:tbl>
    <w:p w14:paraId="794DB644" w14:textId="77777777" w:rsidR="007270A0" w:rsidRPr="008B17C0" w:rsidRDefault="007270A0" w:rsidP="00ED2926">
      <w:pPr>
        <w:rPr>
          <w:noProof/>
        </w:rPr>
      </w:pPr>
    </w:p>
    <w:p w14:paraId="35565A85" w14:textId="77777777" w:rsidR="007270A0" w:rsidRPr="008B17C0" w:rsidRDefault="007270A0" w:rsidP="007270A0">
      <w:pPr>
        <w:jc w:val="right"/>
        <w:rPr>
          <w:noProof/>
          <w:sz w:val="20"/>
        </w:rPr>
      </w:pPr>
      <w:r w:rsidRPr="008B17C0">
        <w:rPr>
          <w:noProof/>
        </w:rPr>
        <w:tab/>
      </w:r>
      <w:r w:rsidRPr="008B17C0">
        <w:rPr>
          <w:noProof/>
          <w:sz w:val="20"/>
        </w:rPr>
        <w:t>i mio. EUR (tre decimaler)</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1425"/>
        <w:gridCol w:w="1134"/>
        <w:gridCol w:w="1276"/>
        <w:gridCol w:w="1418"/>
        <w:gridCol w:w="2551"/>
      </w:tblGrid>
      <w:tr w:rsidR="00A838BB" w:rsidRPr="008B17C0" w14:paraId="4C223C84" w14:textId="77777777" w:rsidTr="00F707AF">
        <w:tc>
          <w:tcPr>
            <w:tcW w:w="3960" w:type="dxa"/>
            <w:tcBorders>
              <w:top w:val="nil"/>
              <w:left w:val="nil"/>
              <w:right w:val="nil"/>
            </w:tcBorders>
            <w:vAlign w:val="center"/>
          </w:tcPr>
          <w:p w14:paraId="4CDB780F" w14:textId="77777777" w:rsidR="00A838BB" w:rsidRPr="008B17C0" w:rsidRDefault="00A838BB" w:rsidP="00B2088F">
            <w:pPr>
              <w:jc w:val="center"/>
              <w:rPr>
                <w:noProof/>
              </w:rPr>
            </w:pPr>
          </w:p>
        </w:tc>
        <w:tc>
          <w:tcPr>
            <w:tcW w:w="1560" w:type="dxa"/>
            <w:tcBorders>
              <w:top w:val="nil"/>
              <w:left w:val="nil"/>
              <w:right w:val="nil"/>
            </w:tcBorders>
          </w:tcPr>
          <w:p w14:paraId="1A99A5D4" w14:textId="77777777" w:rsidR="00A838BB" w:rsidRPr="008B17C0" w:rsidRDefault="00A838BB" w:rsidP="00B2088F">
            <w:pPr>
              <w:rPr>
                <w:noProof/>
                <w:sz w:val="20"/>
              </w:rPr>
            </w:pPr>
          </w:p>
        </w:tc>
        <w:tc>
          <w:tcPr>
            <w:tcW w:w="534" w:type="dxa"/>
            <w:tcBorders>
              <w:top w:val="nil"/>
              <w:left w:val="nil"/>
            </w:tcBorders>
          </w:tcPr>
          <w:p w14:paraId="137B6958" w14:textId="77777777" w:rsidR="00A838BB" w:rsidRPr="008B17C0" w:rsidRDefault="00A838BB" w:rsidP="00B2088F">
            <w:pPr>
              <w:jc w:val="center"/>
              <w:rPr>
                <w:noProof/>
                <w:sz w:val="20"/>
              </w:rPr>
            </w:pPr>
          </w:p>
        </w:tc>
        <w:tc>
          <w:tcPr>
            <w:tcW w:w="1425" w:type="dxa"/>
            <w:vAlign w:val="center"/>
          </w:tcPr>
          <w:p w14:paraId="008518B5" w14:textId="77777777" w:rsidR="00A838BB" w:rsidRPr="008B17C0" w:rsidRDefault="00A838BB" w:rsidP="00B2088F">
            <w:pPr>
              <w:jc w:val="center"/>
              <w:rPr>
                <w:noProof/>
                <w:sz w:val="20"/>
              </w:rPr>
            </w:pPr>
            <w:r w:rsidRPr="008B17C0">
              <w:rPr>
                <w:noProof/>
                <w:sz w:val="20"/>
                <w:szCs w:val="20"/>
              </w:rPr>
              <w:t>År</w:t>
            </w:r>
            <w:r w:rsidRPr="008B17C0">
              <w:rPr>
                <w:noProof/>
              </w:rPr>
              <w:t xml:space="preserve"> </w:t>
            </w:r>
            <w:r w:rsidRPr="008B17C0">
              <w:rPr>
                <w:noProof/>
              </w:rPr>
              <w:br/>
            </w:r>
            <w:r w:rsidRPr="008B17C0">
              <w:rPr>
                <w:b/>
                <w:bCs/>
                <w:noProof/>
                <w:sz w:val="20"/>
                <w:szCs w:val="20"/>
              </w:rPr>
              <w:t>2024</w:t>
            </w:r>
            <w:r w:rsidRPr="008B17C0">
              <w:rPr>
                <w:rStyle w:val="FootnoteReference"/>
                <w:b/>
                <w:bCs/>
                <w:noProof/>
                <w:sz w:val="20"/>
                <w:szCs w:val="20"/>
              </w:rPr>
              <w:footnoteReference w:id="56"/>
            </w:r>
          </w:p>
        </w:tc>
        <w:tc>
          <w:tcPr>
            <w:tcW w:w="1134" w:type="dxa"/>
            <w:vAlign w:val="center"/>
          </w:tcPr>
          <w:p w14:paraId="0D119307" w14:textId="6FE411F7" w:rsidR="00A838BB" w:rsidRPr="008B17C0" w:rsidRDefault="00A838BB" w:rsidP="00B2088F">
            <w:pPr>
              <w:jc w:val="center"/>
              <w:rPr>
                <w:noProof/>
                <w:sz w:val="20"/>
              </w:rPr>
            </w:pPr>
            <w:r w:rsidRPr="008B17C0">
              <w:rPr>
                <w:noProof/>
                <w:sz w:val="20"/>
              </w:rPr>
              <w:t>År</w:t>
            </w:r>
            <w:r w:rsidRPr="008B17C0">
              <w:rPr>
                <w:noProof/>
              </w:rPr>
              <w:t xml:space="preserve"> </w:t>
            </w:r>
            <w:r w:rsidRPr="008B17C0">
              <w:rPr>
                <w:noProof/>
              </w:rPr>
              <w:br/>
            </w:r>
            <w:r w:rsidRPr="008B17C0">
              <w:rPr>
                <w:b/>
                <w:noProof/>
                <w:sz w:val="20"/>
              </w:rPr>
              <w:t>2025</w:t>
            </w:r>
          </w:p>
        </w:tc>
        <w:tc>
          <w:tcPr>
            <w:tcW w:w="1276" w:type="dxa"/>
            <w:vAlign w:val="center"/>
          </w:tcPr>
          <w:p w14:paraId="76421AA7" w14:textId="1B9234AF" w:rsidR="00A838BB" w:rsidRPr="008B17C0" w:rsidRDefault="00A838BB" w:rsidP="00B2088F">
            <w:pPr>
              <w:jc w:val="center"/>
              <w:rPr>
                <w:noProof/>
                <w:sz w:val="20"/>
              </w:rPr>
            </w:pPr>
            <w:r w:rsidRPr="008B17C0">
              <w:rPr>
                <w:noProof/>
                <w:sz w:val="20"/>
              </w:rPr>
              <w:t>År</w:t>
            </w:r>
            <w:r w:rsidRPr="008B17C0">
              <w:rPr>
                <w:noProof/>
              </w:rPr>
              <w:t xml:space="preserve"> </w:t>
            </w:r>
            <w:r w:rsidRPr="008B17C0">
              <w:rPr>
                <w:noProof/>
              </w:rPr>
              <w:br/>
            </w:r>
            <w:r w:rsidRPr="008B17C0">
              <w:rPr>
                <w:b/>
                <w:noProof/>
                <w:sz w:val="20"/>
              </w:rPr>
              <w:t>2026</w:t>
            </w:r>
          </w:p>
        </w:tc>
        <w:tc>
          <w:tcPr>
            <w:tcW w:w="1418" w:type="dxa"/>
            <w:vAlign w:val="center"/>
          </w:tcPr>
          <w:p w14:paraId="61057D54" w14:textId="52FBCC1B" w:rsidR="00A838BB" w:rsidRPr="008B17C0" w:rsidRDefault="00A838BB" w:rsidP="00A838BB">
            <w:pPr>
              <w:jc w:val="center"/>
              <w:rPr>
                <w:noProof/>
                <w:sz w:val="20"/>
              </w:rPr>
            </w:pPr>
            <w:r w:rsidRPr="008B17C0">
              <w:rPr>
                <w:noProof/>
                <w:sz w:val="20"/>
              </w:rPr>
              <w:t>År</w:t>
            </w:r>
            <w:r w:rsidRPr="008B17C0">
              <w:rPr>
                <w:noProof/>
              </w:rPr>
              <w:t xml:space="preserve"> </w:t>
            </w:r>
            <w:r w:rsidRPr="008B17C0">
              <w:rPr>
                <w:noProof/>
              </w:rPr>
              <w:br/>
            </w:r>
            <w:r w:rsidRPr="008B17C0">
              <w:rPr>
                <w:b/>
                <w:noProof/>
                <w:sz w:val="20"/>
              </w:rPr>
              <w:t>2027</w:t>
            </w:r>
          </w:p>
        </w:tc>
        <w:tc>
          <w:tcPr>
            <w:tcW w:w="2551" w:type="dxa"/>
            <w:vAlign w:val="center"/>
          </w:tcPr>
          <w:p w14:paraId="3F2A12DB" w14:textId="77777777" w:rsidR="00A838BB" w:rsidRPr="008B17C0" w:rsidRDefault="00A838BB" w:rsidP="00B2088F">
            <w:pPr>
              <w:jc w:val="center"/>
              <w:rPr>
                <w:b/>
                <w:noProof/>
                <w:sz w:val="20"/>
              </w:rPr>
            </w:pPr>
            <w:r w:rsidRPr="008B17C0">
              <w:rPr>
                <w:b/>
                <w:noProof/>
                <w:sz w:val="20"/>
              </w:rPr>
              <w:t>I ALT</w:t>
            </w:r>
          </w:p>
        </w:tc>
      </w:tr>
      <w:tr w:rsidR="00A838BB" w:rsidRPr="008B17C0" w14:paraId="4099E2A0" w14:textId="77777777" w:rsidTr="00F707AF">
        <w:tc>
          <w:tcPr>
            <w:tcW w:w="3960" w:type="dxa"/>
            <w:vMerge w:val="restart"/>
            <w:shd w:val="clear" w:color="auto" w:fill="C0C0C0"/>
            <w:vAlign w:val="center"/>
          </w:tcPr>
          <w:p w14:paraId="58786F70" w14:textId="77777777" w:rsidR="00A838BB" w:rsidRPr="008B17C0" w:rsidRDefault="00A838BB" w:rsidP="00B2088F">
            <w:pPr>
              <w:jc w:val="center"/>
              <w:rPr>
                <w:b/>
                <w:noProof/>
              </w:rPr>
            </w:pPr>
            <w:r w:rsidRPr="008B17C0">
              <w:rPr>
                <w:b/>
                <w:noProof/>
                <w:sz w:val="22"/>
              </w:rPr>
              <w:t xml:space="preserve">Bevillinger I ALT </w:t>
            </w:r>
            <w:r w:rsidRPr="008B17C0">
              <w:rPr>
                <w:noProof/>
              </w:rPr>
              <w:br/>
            </w:r>
            <w:r w:rsidRPr="008B17C0">
              <w:rPr>
                <w:b/>
                <w:noProof/>
                <w:sz w:val="22"/>
              </w:rPr>
              <w:t>under UDGIFTSOMRÅDE 1-7</w:t>
            </w:r>
            <w:r w:rsidRPr="008B17C0">
              <w:rPr>
                <w:noProof/>
              </w:rPr>
              <w:t xml:space="preserve"> </w:t>
            </w:r>
            <w:r w:rsidRPr="008B17C0">
              <w:rPr>
                <w:noProof/>
              </w:rPr>
              <w:br/>
            </w:r>
            <w:r w:rsidRPr="008B17C0">
              <w:rPr>
                <w:noProof/>
                <w:sz w:val="22"/>
              </w:rPr>
              <w:t>i den flerårige finansielle ramme</w:t>
            </w:r>
            <w:r w:rsidRPr="008B17C0">
              <w:rPr>
                <w:b/>
                <w:noProof/>
                <w:sz w:val="22"/>
              </w:rPr>
              <w:t xml:space="preserve"> </w:t>
            </w:r>
          </w:p>
        </w:tc>
        <w:tc>
          <w:tcPr>
            <w:tcW w:w="2094" w:type="dxa"/>
            <w:gridSpan w:val="2"/>
            <w:vAlign w:val="center"/>
          </w:tcPr>
          <w:p w14:paraId="1F581393" w14:textId="77777777" w:rsidR="00A838BB" w:rsidRPr="008B17C0" w:rsidRDefault="00A838BB" w:rsidP="00B2088F">
            <w:pPr>
              <w:rPr>
                <w:noProof/>
                <w:sz w:val="14"/>
              </w:rPr>
            </w:pPr>
            <w:r w:rsidRPr="008B17C0">
              <w:rPr>
                <w:noProof/>
                <w:sz w:val="18"/>
              </w:rPr>
              <w:t>Forpligtelser</w:t>
            </w:r>
          </w:p>
        </w:tc>
        <w:tc>
          <w:tcPr>
            <w:tcW w:w="1425" w:type="dxa"/>
            <w:vAlign w:val="center"/>
          </w:tcPr>
          <w:p w14:paraId="10F3B9DC" w14:textId="149A36CA" w:rsidR="00A838BB" w:rsidRPr="008B17C0" w:rsidRDefault="00A838BB" w:rsidP="00B2088F">
            <w:pPr>
              <w:spacing w:before="60" w:after="60"/>
              <w:jc w:val="right"/>
              <w:rPr>
                <w:noProof/>
                <w:sz w:val="20"/>
              </w:rPr>
            </w:pPr>
            <w:r w:rsidRPr="008B17C0">
              <w:rPr>
                <w:noProof/>
                <w:sz w:val="20"/>
              </w:rPr>
              <w:t>2 396</w:t>
            </w:r>
          </w:p>
        </w:tc>
        <w:tc>
          <w:tcPr>
            <w:tcW w:w="1134" w:type="dxa"/>
            <w:vAlign w:val="center"/>
          </w:tcPr>
          <w:p w14:paraId="712DDD06" w14:textId="03BF15F8" w:rsidR="00A838BB" w:rsidRPr="008B17C0" w:rsidRDefault="00A838BB" w:rsidP="00B2088F">
            <w:pPr>
              <w:spacing w:before="60" w:after="60"/>
              <w:jc w:val="right"/>
              <w:rPr>
                <w:noProof/>
                <w:sz w:val="20"/>
              </w:rPr>
            </w:pPr>
            <w:r w:rsidRPr="008B17C0">
              <w:rPr>
                <w:noProof/>
                <w:sz w:val="20"/>
              </w:rPr>
              <w:t>11 049</w:t>
            </w:r>
          </w:p>
        </w:tc>
        <w:tc>
          <w:tcPr>
            <w:tcW w:w="1276" w:type="dxa"/>
            <w:vAlign w:val="center"/>
          </w:tcPr>
          <w:p w14:paraId="0785208D" w14:textId="62B53BCC" w:rsidR="00A838BB" w:rsidRPr="008B17C0" w:rsidRDefault="00A838BB" w:rsidP="00B2088F">
            <w:pPr>
              <w:spacing w:before="60" w:after="60"/>
              <w:jc w:val="right"/>
              <w:rPr>
                <w:noProof/>
                <w:sz w:val="20"/>
              </w:rPr>
            </w:pPr>
            <w:r w:rsidRPr="008B17C0">
              <w:rPr>
                <w:noProof/>
                <w:sz w:val="20"/>
              </w:rPr>
              <w:t>10 641</w:t>
            </w:r>
          </w:p>
        </w:tc>
        <w:tc>
          <w:tcPr>
            <w:tcW w:w="1418" w:type="dxa"/>
            <w:vAlign w:val="center"/>
          </w:tcPr>
          <w:p w14:paraId="193E6DF5" w14:textId="02F92E29" w:rsidR="00A838BB" w:rsidRPr="008B17C0" w:rsidRDefault="00A838BB" w:rsidP="00B2088F">
            <w:pPr>
              <w:spacing w:before="60" w:after="60"/>
              <w:jc w:val="right"/>
              <w:rPr>
                <w:noProof/>
                <w:sz w:val="20"/>
              </w:rPr>
            </w:pPr>
            <w:r w:rsidRPr="008B17C0">
              <w:rPr>
                <w:noProof/>
                <w:sz w:val="20"/>
              </w:rPr>
              <w:t>9 609</w:t>
            </w:r>
          </w:p>
        </w:tc>
        <w:tc>
          <w:tcPr>
            <w:tcW w:w="2551" w:type="dxa"/>
            <w:vAlign w:val="center"/>
          </w:tcPr>
          <w:p w14:paraId="0A4628DA" w14:textId="773585A8" w:rsidR="00A838BB" w:rsidRPr="008B17C0" w:rsidRDefault="00A838BB" w:rsidP="00B2088F">
            <w:pPr>
              <w:spacing w:before="60" w:after="60"/>
              <w:jc w:val="right"/>
              <w:rPr>
                <w:b/>
                <w:noProof/>
                <w:sz w:val="20"/>
              </w:rPr>
            </w:pPr>
            <w:r w:rsidRPr="008B17C0">
              <w:rPr>
                <w:b/>
                <w:noProof/>
                <w:sz w:val="20"/>
              </w:rPr>
              <w:t>33 695</w:t>
            </w:r>
          </w:p>
        </w:tc>
      </w:tr>
      <w:tr w:rsidR="00A838BB" w:rsidRPr="008B17C0" w14:paraId="739038D5" w14:textId="77777777" w:rsidTr="00F707AF">
        <w:tc>
          <w:tcPr>
            <w:tcW w:w="3960" w:type="dxa"/>
            <w:vMerge/>
            <w:vAlign w:val="center"/>
          </w:tcPr>
          <w:p w14:paraId="6A97ED23" w14:textId="77777777" w:rsidR="00A838BB" w:rsidRPr="008B17C0" w:rsidRDefault="00A838BB" w:rsidP="00B2088F">
            <w:pPr>
              <w:rPr>
                <w:b/>
                <w:noProof/>
              </w:rPr>
            </w:pPr>
          </w:p>
        </w:tc>
        <w:tc>
          <w:tcPr>
            <w:tcW w:w="2094" w:type="dxa"/>
            <w:gridSpan w:val="2"/>
            <w:vAlign w:val="center"/>
          </w:tcPr>
          <w:p w14:paraId="61714FD3" w14:textId="77777777" w:rsidR="00A838BB" w:rsidRPr="008B17C0" w:rsidRDefault="00A838BB" w:rsidP="00B2088F">
            <w:pPr>
              <w:rPr>
                <w:noProof/>
                <w:sz w:val="14"/>
              </w:rPr>
            </w:pPr>
            <w:r w:rsidRPr="008B17C0">
              <w:rPr>
                <w:noProof/>
                <w:sz w:val="18"/>
              </w:rPr>
              <w:t>Betalinger</w:t>
            </w:r>
          </w:p>
        </w:tc>
        <w:tc>
          <w:tcPr>
            <w:tcW w:w="1425" w:type="dxa"/>
            <w:vAlign w:val="center"/>
          </w:tcPr>
          <w:p w14:paraId="53103202" w14:textId="77C15916" w:rsidR="00A838BB" w:rsidRPr="008B17C0" w:rsidRDefault="00A838BB" w:rsidP="00B2088F">
            <w:pPr>
              <w:spacing w:before="60" w:after="60"/>
              <w:jc w:val="right"/>
              <w:rPr>
                <w:noProof/>
                <w:sz w:val="20"/>
              </w:rPr>
            </w:pPr>
            <w:r w:rsidRPr="008B17C0">
              <w:rPr>
                <w:noProof/>
                <w:sz w:val="20"/>
              </w:rPr>
              <w:t>1 931</w:t>
            </w:r>
          </w:p>
        </w:tc>
        <w:tc>
          <w:tcPr>
            <w:tcW w:w="1134" w:type="dxa"/>
            <w:vAlign w:val="center"/>
          </w:tcPr>
          <w:p w14:paraId="2F5B6732" w14:textId="0361AFA5" w:rsidR="00A838BB" w:rsidRPr="008B17C0" w:rsidRDefault="00A838BB" w:rsidP="00B2088F">
            <w:pPr>
              <w:spacing w:before="60" w:after="60"/>
              <w:jc w:val="right"/>
              <w:rPr>
                <w:noProof/>
                <w:sz w:val="20"/>
              </w:rPr>
            </w:pPr>
            <w:r w:rsidRPr="008B17C0">
              <w:rPr>
                <w:noProof/>
                <w:sz w:val="20"/>
              </w:rPr>
              <w:t>7 701</w:t>
            </w:r>
          </w:p>
        </w:tc>
        <w:tc>
          <w:tcPr>
            <w:tcW w:w="1276" w:type="dxa"/>
            <w:vAlign w:val="center"/>
          </w:tcPr>
          <w:p w14:paraId="6092B54A" w14:textId="3BF871A6" w:rsidR="00A838BB" w:rsidRPr="008B17C0" w:rsidRDefault="00A838BB" w:rsidP="00B2088F">
            <w:pPr>
              <w:spacing w:before="60" w:after="60"/>
              <w:jc w:val="right"/>
              <w:rPr>
                <w:noProof/>
                <w:sz w:val="20"/>
              </w:rPr>
            </w:pPr>
            <w:r w:rsidRPr="008B17C0">
              <w:rPr>
                <w:noProof/>
                <w:sz w:val="20"/>
              </w:rPr>
              <w:t>10 072</w:t>
            </w:r>
          </w:p>
        </w:tc>
        <w:tc>
          <w:tcPr>
            <w:tcW w:w="1418" w:type="dxa"/>
            <w:vAlign w:val="center"/>
          </w:tcPr>
          <w:p w14:paraId="7741C6B3" w14:textId="2F8A2537" w:rsidR="00A838BB" w:rsidRPr="008B17C0" w:rsidRDefault="00A838BB" w:rsidP="00B2088F">
            <w:pPr>
              <w:spacing w:before="60" w:after="60"/>
              <w:jc w:val="right"/>
              <w:rPr>
                <w:noProof/>
                <w:sz w:val="20"/>
              </w:rPr>
            </w:pPr>
            <w:r w:rsidRPr="008B17C0">
              <w:rPr>
                <w:noProof/>
                <w:sz w:val="20"/>
              </w:rPr>
              <w:t>13 991</w:t>
            </w:r>
          </w:p>
        </w:tc>
        <w:tc>
          <w:tcPr>
            <w:tcW w:w="2551" w:type="dxa"/>
            <w:vAlign w:val="center"/>
          </w:tcPr>
          <w:p w14:paraId="4046B4BB" w14:textId="40A6F2E0" w:rsidR="00A838BB" w:rsidRPr="008B17C0" w:rsidRDefault="00A838BB" w:rsidP="00B2088F">
            <w:pPr>
              <w:spacing w:before="60" w:after="60"/>
              <w:jc w:val="right"/>
              <w:rPr>
                <w:b/>
                <w:noProof/>
                <w:sz w:val="20"/>
              </w:rPr>
            </w:pPr>
            <w:r w:rsidRPr="008B17C0">
              <w:rPr>
                <w:b/>
                <w:noProof/>
                <w:sz w:val="20"/>
              </w:rPr>
              <w:t>33 695</w:t>
            </w:r>
          </w:p>
        </w:tc>
      </w:tr>
    </w:tbl>
    <w:p w14:paraId="0F9D80F1" w14:textId="77777777" w:rsidR="00436363" w:rsidRPr="008B17C0" w:rsidRDefault="00436363" w:rsidP="00ED2926">
      <w:pPr>
        <w:rPr>
          <w:noProof/>
        </w:rPr>
      </w:pPr>
    </w:p>
    <w:p w14:paraId="28685958" w14:textId="706D411A" w:rsidR="007270A0" w:rsidRPr="008B17C0" w:rsidRDefault="003433F5" w:rsidP="003433F5">
      <w:pPr>
        <w:pStyle w:val="ManualHeading3"/>
        <w:rPr>
          <w:noProof/>
        </w:rPr>
      </w:pPr>
      <w:bookmarkStart w:id="119" w:name="_Toc514938054"/>
      <w:bookmarkStart w:id="120" w:name="_Toc520485053"/>
      <w:bookmarkStart w:id="121" w:name="_Toc84517600"/>
      <w:r w:rsidRPr="003433F5">
        <w:t>3.2.2.</w:t>
      </w:r>
      <w:r w:rsidRPr="003433F5">
        <w:tab/>
      </w:r>
      <w:r w:rsidR="00436363" w:rsidRPr="008B17C0">
        <w:rPr>
          <w:noProof/>
        </w:rPr>
        <w:t>Anslåede resultater finansieret med aktionsbevillinger</w:t>
      </w:r>
      <w:bookmarkEnd w:id="119"/>
      <w:bookmarkEnd w:id="120"/>
      <w:bookmarkEnd w:id="121"/>
      <w:r w:rsidR="00436363" w:rsidRPr="008B17C0">
        <w:rPr>
          <w:noProof/>
        </w:rPr>
        <w:t xml:space="preserve"> </w:t>
      </w:r>
    </w:p>
    <w:p w14:paraId="46385CDC" w14:textId="77777777" w:rsidR="007270A0" w:rsidRPr="008B17C0" w:rsidRDefault="007270A0" w:rsidP="007270A0">
      <w:pPr>
        <w:pStyle w:val="ListDash1"/>
        <w:tabs>
          <w:tab w:val="clear" w:pos="1134"/>
          <w:tab w:val="num" w:pos="993"/>
        </w:tabs>
        <w:ind w:hanging="425"/>
        <w:rPr>
          <w:noProof/>
        </w:rPr>
      </w:pPr>
      <w:r w:rsidRPr="008B17C0">
        <w:rPr>
          <w:noProof/>
        </w:rPr>
        <w:sym w:font="Wingdings" w:char="F0A8"/>
      </w:r>
      <w:r w:rsidRPr="008B17C0">
        <w:rPr>
          <w:noProof/>
        </w:rPr>
        <w:tab/>
        <w:t xml:space="preserve">Forslaget/initiativet medfører ikke anvendelse af aktionsbevillinger </w:t>
      </w:r>
    </w:p>
    <w:p w14:paraId="7B4F403B" w14:textId="77777777" w:rsidR="007270A0" w:rsidRPr="008B17C0" w:rsidRDefault="007270A0" w:rsidP="00906BEE">
      <w:pPr>
        <w:pStyle w:val="ListDash1"/>
        <w:tabs>
          <w:tab w:val="clear" w:pos="1134"/>
          <w:tab w:val="num" w:pos="993"/>
        </w:tabs>
        <w:ind w:hanging="425"/>
        <w:rPr>
          <w:noProof/>
        </w:rPr>
      </w:pPr>
      <w:r w:rsidRPr="008B17C0">
        <w:rPr>
          <w:noProof/>
        </w:rPr>
        <w:sym w:font="Wingdings" w:char="F0FE"/>
      </w:r>
      <w:r w:rsidRPr="008B17C0">
        <w:rPr>
          <w:noProof/>
        </w:rPr>
        <w:tab/>
        <w:t>Forslaget/initiativet medfører anvendelse af aktionsbevillinger som anført herunder:</w:t>
      </w:r>
    </w:p>
    <w:p w14:paraId="2A600F3F" w14:textId="77777777" w:rsidR="007270A0" w:rsidRPr="008B17C0" w:rsidRDefault="00436363" w:rsidP="007270A0">
      <w:pPr>
        <w:jc w:val="right"/>
        <w:rPr>
          <w:noProof/>
          <w:sz w:val="20"/>
        </w:rPr>
      </w:pPr>
      <w:r w:rsidRPr="008B17C0">
        <w:rPr>
          <w:noProof/>
          <w:sz w:val="20"/>
        </w:rPr>
        <w:t>Forpligtelsesbevillinger i mio. EUR (tre decimaler)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63"/>
        <w:gridCol w:w="708"/>
        <w:gridCol w:w="567"/>
        <w:gridCol w:w="142"/>
        <w:gridCol w:w="616"/>
        <w:gridCol w:w="720"/>
        <w:gridCol w:w="900"/>
      </w:tblGrid>
      <w:tr w:rsidR="001B6792" w:rsidRPr="008B17C0" w14:paraId="1F828DA4" w14:textId="77777777" w:rsidTr="006A0D14">
        <w:trPr>
          <w:jc w:val="center"/>
        </w:trPr>
        <w:tc>
          <w:tcPr>
            <w:tcW w:w="1423" w:type="dxa"/>
            <w:vMerge w:val="restart"/>
            <w:vAlign w:val="center"/>
          </w:tcPr>
          <w:p w14:paraId="4235A872" w14:textId="77777777" w:rsidR="001B6792" w:rsidRPr="008B17C0" w:rsidRDefault="001B6792" w:rsidP="00B2088F">
            <w:pPr>
              <w:ind w:right="-29"/>
              <w:jc w:val="center"/>
              <w:rPr>
                <w:b/>
                <w:noProof/>
                <w:sz w:val="18"/>
              </w:rPr>
            </w:pPr>
            <w:r w:rsidRPr="008B17C0">
              <w:rPr>
                <w:b/>
                <w:noProof/>
                <w:sz w:val="18"/>
              </w:rPr>
              <w:t xml:space="preserve">Angiv mål og resultater </w:t>
            </w:r>
          </w:p>
          <w:p w14:paraId="1F8BFEF9" w14:textId="77777777" w:rsidR="001B6792" w:rsidRPr="008B17C0" w:rsidRDefault="001B6792" w:rsidP="00B2088F">
            <w:pPr>
              <w:ind w:right="-29"/>
              <w:jc w:val="center"/>
              <w:rPr>
                <w:b/>
                <w:noProof/>
                <w:sz w:val="18"/>
              </w:rPr>
            </w:pPr>
          </w:p>
          <w:p w14:paraId="58C15CF7" w14:textId="77777777" w:rsidR="001B6792" w:rsidRPr="008B17C0" w:rsidRDefault="001B6792" w:rsidP="00B2088F">
            <w:pPr>
              <w:ind w:right="-29"/>
              <w:jc w:val="center"/>
              <w:rPr>
                <w:noProof/>
                <w:sz w:val="18"/>
              </w:rPr>
            </w:pPr>
            <w:r w:rsidRPr="008B17C0">
              <w:rPr>
                <w:noProof/>
                <w:sz w:val="18"/>
              </w:rPr>
              <w:sym w:font="Wingdings" w:char="F0F2"/>
            </w:r>
          </w:p>
        </w:tc>
        <w:tc>
          <w:tcPr>
            <w:tcW w:w="720" w:type="dxa"/>
            <w:vAlign w:val="center"/>
          </w:tcPr>
          <w:p w14:paraId="0D1846A7" w14:textId="77777777" w:rsidR="001B6792" w:rsidRPr="008B17C0" w:rsidRDefault="001B6792" w:rsidP="00B2088F">
            <w:pPr>
              <w:ind w:right="-29"/>
              <w:jc w:val="center"/>
              <w:rPr>
                <w:noProof/>
                <w:sz w:val="18"/>
              </w:rPr>
            </w:pPr>
          </w:p>
        </w:tc>
        <w:tc>
          <w:tcPr>
            <w:tcW w:w="701" w:type="dxa"/>
            <w:vAlign w:val="center"/>
          </w:tcPr>
          <w:p w14:paraId="775B1CC0" w14:textId="77777777" w:rsidR="001B6792" w:rsidRPr="008B17C0" w:rsidRDefault="001B6792" w:rsidP="00B2088F">
            <w:pPr>
              <w:ind w:right="-29"/>
              <w:jc w:val="center"/>
              <w:rPr>
                <w:noProof/>
                <w:sz w:val="18"/>
              </w:rPr>
            </w:pPr>
          </w:p>
        </w:tc>
        <w:tc>
          <w:tcPr>
            <w:tcW w:w="1224" w:type="dxa"/>
            <w:gridSpan w:val="2"/>
            <w:tcBorders>
              <w:left w:val="nil"/>
            </w:tcBorders>
            <w:vAlign w:val="center"/>
          </w:tcPr>
          <w:p w14:paraId="7D6AF8C4" w14:textId="77777777" w:rsidR="001B6792" w:rsidRPr="008B17C0" w:rsidRDefault="001B6792" w:rsidP="00B2088F">
            <w:pPr>
              <w:ind w:right="-29"/>
              <w:jc w:val="center"/>
              <w:rPr>
                <w:noProof/>
                <w:sz w:val="18"/>
              </w:rPr>
            </w:pPr>
            <w:r w:rsidRPr="008B17C0">
              <w:rPr>
                <w:noProof/>
                <w:sz w:val="18"/>
              </w:rPr>
              <w:t>År</w:t>
            </w:r>
            <w:r w:rsidRPr="008B17C0">
              <w:rPr>
                <w:noProof/>
              </w:rPr>
              <w:t xml:space="preserve"> </w:t>
            </w:r>
            <w:r w:rsidRPr="008B17C0">
              <w:rPr>
                <w:noProof/>
              </w:rPr>
              <w:br/>
            </w:r>
            <w:r w:rsidRPr="008B17C0">
              <w:rPr>
                <w:b/>
                <w:noProof/>
                <w:sz w:val="18"/>
              </w:rPr>
              <w:t>2024</w:t>
            </w:r>
          </w:p>
        </w:tc>
        <w:tc>
          <w:tcPr>
            <w:tcW w:w="1260" w:type="dxa"/>
            <w:gridSpan w:val="2"/>
            <w:vAlign w:val="center"/>
          </w:tcPr>
          <w:p w14:paraId="0BD683B2" w14:textId="77777777" w:rsidR="001B6792" w:rsidRPr="008B17C0" w:rsidRDefault="001B6792" w:rsidP="00B2088F">
            <w:pPr>
              <w:ind w:right="-29"/>
              <w:jc w:val="center"/>
              <w:rPr>
                <w:noProof/>
                <w:sz w:val="18"/>
              </w:rPr>
            </w:pPr>
            <w:r w:rsidRPr="008B17C0">
              <w:rPr>
                <w:noProof/>
                <w:sz w:val="18"/>
              </w:rPr>
              <w:t>År</w:t>
            </w:r>
            <w:r w:rsidRPr="008B17C0">
              <w:rPr>
                <w:noProof/>
              </w:rPr>
              <w:t xml:space="preserve"> </w:t>
            </w:r>
            <w:r w:rsidRPr="008B17C0">
              <w:rPr>
                <w:noProof/>
              </w:rPr>
              <w:br/>
            </w:r>
            <w:r w:rsidRPr="008B17C0">
              <w:rPr>
                <w:b/>
                <w:noProof/>
                <w:sz w:val="18"/>
              </w:rPr>
              <w:t>2025</w:t>
            </w:r>
          </w:p>
        </w:tc>
        <w:tc>
          <w:tcPr>
            <w:tcW w:w="1471" w:type="dxa"/>
            <w:gridSpan w:val="2"/>
            <w:vAlign w:val="center"/>
          </w:tcPr>
          <w:p w14:paraId="3F870D52" w14:textId="77777777" w:rsidR="001B6792" w:rsidRPr="008B17C0" w:rsidRDefault="001B6792" w:rsidP="00B2088F">
            <w:pPr>
              <w:ind w:right="-29"/>
              <w:jc w:val="center"/>
              <w:rPr>
                <w:noProof/>
                <w:sz w:val="18"/>
              </w:rPr>
            </w:pPr>
            <w:r w:rsidRPr="008B17C0">
              <w:rPr>
                <w:noProof/>
                <w:sz w:val="18"/>
              </w:rPr>
              <w:t>År</w:t>
            </w:r>
            <w:r w:rsidRPr="008B17C0">
              <w:rPr>
                <w:noProof/>
              </w:rPr>
              <w:t xml:space="preserve"> </w:t>
            </w:r>
            <w:r w:rsidRPr="008B17C0">
              <w:rPr>
                <w:noProof/>
              </w:rPr>
              <w:br/>
            </w:r>
            <w:r w:rsidRPr="008B17C0">
              <w:rPr>
                <w:b/>
                <w:noProof/>
                <w:sz w:val="18"/>
              </w:rPr>
              <w:t>2026</w:t>
            </w:r>
          </w:p>
        </w:tc>
        <w:tc>
          <w:tcPr>
            <w:tcW w:w="1325" w:type="dxa"/>
            <w:gridSpan w:val="3"/>
            <w:tcBorders>
              <w:bottom w:val="single" w:sz="4" w:space="0" w:color="auto"/>
            </w:tcBorders>
            <w:vAlign w:val="center"/>
          </w:tcPr>
          <w:p w14:paraId="3B16CB78" w14:textId="77777777" w:rsidR="001B6792" w:rsidRPr="008B17C0" w:rsidRDefault="001B6792" w:rsidP="00B2088F">
            <w:pPr>
              <w:ind w:right="-29"/>
              <w:jc w:val="center"/>
              <w:rPr>
                <w:noProof/>
                <w:sz w:val="18"/>
              </w:rPr>
            </w:pPr>
            <w:r w:rsidRPr="008B17C0">
              <w:rPr>
                <w:noProof/>
                <w:sz w:val="18"/>
              </w:rPr>
              <w:t>År</w:t>
            </w:r>
            <w:r w:rsidRPr="008B17C0">
              <w:rPr>
                <w:noProof/>
              </w:rPr>
              <w:t xml:space="preserve"> </w:t>
            </w:r>
            <w:r w:rsidRPr="008B17C0">
              <w:rPr>
                <w:noProof/>
              </w:rPr>
              <w:br/>
            </w:r>
            <w:r w:rsidRPr="008B17C0">
              <w:rPr>
                <w:b/>
                <w:noProof/>
                <w:sz w:val="18"/>
              </w:rPr>
              <w:t>2027</w:t>
            </w:r>
          </w:p>
        </w:tc>
        <w:tc>
          <w:tcPr>
            <w:tcW w:w="1620" w:type="dxa"/>
            <w:gridSpan w:val="2"/>
            <w:tcBorders>
              <w:left w:val="nil"/>
              <w:bottom w:val="single" w:sz="4" w:space="0" w:color="auto"/>
            </w:tcBorders>
            <w:vAlign w:val="center"/>
          </w:tcPr>
          <w:p w14:paraId="4B6C9450" w14:textId="77777777" w:rsidR="001B6792" w:rsidRPr="008B17C0" w:rsidRDefault="001B6792" w:rsidP="00B2088F">
            <w:pPr>
              <w:ind w:right="-29"/>
              <w:jc w:val="center"/>
              <w:rPr>
                <w:noProof/>
                <w:sz w:val="18"/>
              </w:rPr>
            </w:pPr>
            <w:r w:rsidRPr="008B17C0">
              <w:rPr>
                <w:b/>
                <w:noProof/>
                <w:sz w:val="18"/>
              </w:rPr>
              <w:t>I ALT</w:t>
            </w:r>
          </w:p>
        </w:tc>
      </w:tr>
      <w:tr w:rsidR="001B6792" w:rsidRPr="008B17C0" w14:paraId="56668099" w14:textId="77777777" w:rsidTr="00B2088F">
        <w:trPr>
          <w:gridAfter w:val="13"/>
          <w:wAfter w:w="8321" w:type="dxa"/>
          <w:trHeight w:val="447"/>
          <w:jc w:val="center"/>
        </w:trPr>
        <w:tc>
          <w:tcPr>
            <w:tcW w:w="1423" w:type="dxa"/>
            <w:vMerge/>
            <w:vAlign w:val="center"/>
          </w:tcPr>
          <w:p w14:paraId="6E80987A" w14:textId="77777777" w:rsidR="001B6792" w:rsidRPr="008B17C0" w:rsidRDefault="001B6792" w:rsidP="00B2088F">
            <w:pPr>
              <w:rPr>
                <w:noProof/>
                <w:sz w:val="18"/>
              </w:rPr>
            </w:pPr>
          </w:p>
        </w:tc>
      </w:tr>
      <w:tr w:rsidR="001B6792" w:rsidRPr="008B17C0" w14:paraId="046D3087" w14:textId="77777777" w:rsidTr="006A0D14">
        <w:trPr>
          <w:cantSplit/>
          <w:trHeight w:val="1134"/>
          <w:jc w:val="center"/>
        </w:trPr>
        <w:tc>
          <w:tcPr>
            <w:tcW w:w="1423" w:type="dxa"/>
            <w:vMerge/>
            <w:vAlign w:val="center"/>
          </w:tcPr>
          <w:p w14:paraId="35604639" w14:textId="77777777" w:rsidR="001B6792" w:rsidRPr="008B17C0" w:rsidRDefault="001B6792" w:rsidP="00B2088F">
            <w:pPr>
              <w:rPr>
                <w:noProof/>
                <w:sz w:val="18"/>
              </w:rPr>
            </w:pPr>
          </w:p>
        </w:tc>
        <w:tc>
          <w:tcPr>
            <w:tcW w:w="720" w:type="dxa"/>
            <w:vAlign w:val="center"/>
          </w:tcPr>
          <w:p w14:paraId="4972CDFA" w14:textId="77777777" w:rsidR="001B6792" w:rsidRPr="008B17C0" w:rsidRDefault="001B6792" w:rsidP="00B2088F">
            <w:pPr>
              <w:jc w:val="center"/>
              <w:rPr>
                <w:noProof/>
                <w:sz w:val="18"/>
              </w:rPr>
            </w:pPr>
            <w:r w:rsidRPr="008B17C0">
              <w:rPr>
                <w:noProof/>
                <w:sz w:val="18"/>
                <w:szCs w:val="18"/>
              </w:rPr>
              <w:t>Type</w:t>
            </w:r>
            <w:r w:rsidRPr="008B17C0">
              <w:rPr>
                <w:rStyle w:val="FootnoteReference"/>
                <w:noProof/>
                <w:sz w:val="18"/>
                <w:szCs w:val="18"/>
              </w:rPr>
              <w:footnoteReference w:id="57"/>
            </w:r>
          </w:p>
        </w:tc>
        <w:tc>
          <w:tcPr>
            <w:tcW w:w="701" w:type="dxa"/>
            <w:vAlign w:val="center"/>
          </w:tcPr>
          <w:p w14:paraId="5454BE6B" w14:textId="77777777" w:rsidR="001B6792" w:rsidRPr="008B17C0" w:rsidRDefault="001B6792" w:rsidP="00B2088F">
            <w:pPr>
              <w:jc w:val="center"/>
              <w:rPr>
                <w:noProof/>
              </w:rPr>
            </w:pPr>
            <w:r w:rsidRPr="008B17C0">
              <w:rPr>
                <w:noProof/>
                <w:sz w:val="18"/>
              </w:rPr>
              <w:t>Gnsntl. om</w:t>
            </w:r>
            <w:r w:rsidRPr="008B17C0">
              <w:rPr>
                <w:noProof/>
                <w:sz w:val="18"/>
              </w:rPr>
              <w:softHyphen/>
              <w:t>kost</w:t>
            </w:r>
            <w:r w:rsidRPr="008B17C0">
              <w:rPr>
                <w:noProof/>
                <w:sz w:val="18"/>
              </w:rPr>
              <w:softHyphen/>
              <w:t>ninger</w:t>
            </w:r>
          </w:p>
        </w:tc>
        <w:tc>
          <w:tcPr>
            <w:tcW w:w="504" w:type="dxa"/>
            <w:tcBorders>
              <w:left w:val="nil"/>
              <w:right w:val="dashSmallGap" w:sz="4" w:space="0" w:color="auto"/>
            </w:tcBorders>
            <w:shd w:val="clear" w:color="auto" w:fill="auto"/>
            <w:textDirection w:val="btLr"/>
            <w:vAlign w:val="center"/>
          </w:tcPr>
          <w:p w14:paraId="5219FD77" w14:textId="77777777" w:rsidR="001B6792" w:rsidRPr="008B17C0" w:rsidRDefault="001B6792" w:rsidP="00B2088F">
            <w:pPr>
              <w:ind w:left="113" w:right="113"/>
              <w:jc w:val="center"/>
              <w:rPr>
                <w:noProof/>
              </w:rPr>
            </w:pPr>
            <w:r w:rsidRPr="008B17C0">
              <w:rPr>
                <w:noProof/>
                <w:sz w:val="18"/>
              </w:rPr>
              <w:t>Antal</w:t>
            </w:r>
          </w:p>
        </w:tc>
        <w:tc>
          <w:tcPr>
            <w:tcW w:w="720" w:type="dxa"/>
            <w:tcBorders>
              <w:left w:val="dashSmallGap" w:sz="4" w:space="0" w:color="auto"/>
            </w:tcBorders>
            <w:shd w:val="clear" w:color="auto" w:fill="auto"/>
            <w:vAlign w:val="center"/>
          </w:tcPr>
          <w:p w14:paraId="4A1D9BF7" w14:textId="77777777" w:rsidR="001B6792" w:rsidRPr="008B17C0" w:rsidRDefault="001B6792" w:rsidP="00B2088F">
            <w:pPr>
              <w:jc w:val="center"/>
              <w:rPr>
                <w:noProof/>
                <w:sz w:val="18"/>
              </w:rPr>
            </w:pPr>
            <w:r w:rsidRPr="008B17C0">
              <w:rPr>
                <w:noProof/>
                <w:sz w:val="18"/>
              </w:rPr>
              <w:t>Omkostninger</w:t>
            </w:r>
          </w:p>
        </w:tc>
        <w:tc>
          <w:tcPr>
            <w:tcW w:w="540" w:type="dxa"/>
            <w:tcBorders>
              <w:right w:val="dashSmallGap" w:sz="4" w:space="0" w:color="auto"/>
            </w:tcBorders>
            <w:shd w:val="clear" w:color="auto" w:fill="auto"/>
            <w:textDirection w:val="btLr"/>
            <w:vAlign w:val="center"/>
          </w:tcPr>
          <w:p w14:paraId="6CF5357C" w14:textId="77777777" w:rsidR="001B6792" w:rsidRPr="008B17C0" w:rsidRDefault="001B6792" w:rsidP="00B2088F">
            <w:pPr>
              <w:ind w:left="113" w:right="113"/>
              <w:jc w:val="center"/>
              <w:rPr>
                <w:noProof/>
              </w:rPr>
            </w:pPr>
            <w:r w:rsidRPr="008B17C0">
              <w:rPr>
                <w:noProof/>
                <w:sz w:val="18"/>
              </w:rPr>
              <w:t>Antal</w:t>
            </w:r>
          </w:p>
        </w:tc>
        <w:tc>
          <w:tcPr>
            <w:tcW w:w="720" w:type="dxa"/>
            <w:tcBorders>
              <w:left w:val="dashSmallGap" w:sz="4" w:space="0" w:color="auto"/>
            </w:tcBorders>
            <w:shd w:val="clear" w:color="auto" w:fill="auto"/>
            <w:vAlign w:val="center"/>
          </w:tcPr>
          <w:p w14:paraId="1611BF53" w14:textId="77777777" w:rsidR="001B6792" w:rsidRPr="008B17C0" w:rsidRDefault="001B6792" w:rsidP="00B2088F">
            <w:pPr>
              <w:jc w:val="center"/>
              <w:rPr>
                <w:noProof/>
                <w:sz w:val="18"/>
              </w:rPr>
            </w:pPr>
            <w:r w:rsidRPr="008B17C0">
              <w:rPr>
                <w:noProof/>
                <w:sz w:val="18"/>
              </w:rPr>
              <w:t>Omkostninger</w:t>
            </w:r>
          </w:p>
        </w:tc>
        <w:tc>
          <w:tcPr>
            <w:tcW w:w="763" w:type="dxa"/>
            <w:tcBorders>
              <w:right w:val="dashSmallGap" w:sz="4" w:space="0" w:color="auto"/>
            </w:tcBorders>
            <w:shd w:val="clear" w:color="auto" w:fill="auto"/>
            <w:textDirection w:val="btLr"/>
            <w:vAlign w:val="center"/>
          </w:tcPr>
          <w:p w14:paraId="41E58E92" w14:textId="77777777" w:rsidR="001B6792" w:rsidRPr="008B17C0" w:rsidRDefault="001B6792" w:rsidP="00B2088F">
            <w:pPr>
              <w:ind w:left="113" w:right="113"/>
              <w:jc w:val="center"/>
              <w:rPr>
                <w:noProof/>
              </w:rPr>
            </w:pPr>
            <w:r w:rsidRPr="008B17C0">
              <w:rPr>
                <w:noProof/>
                <w:sz w:val="18"/>
              </w:rPr>
              <w:t>Antal</w:t>
            </w:r>
          </w:p>
        </w:tc>
        <w:tc>
          <w:tcPr>
            <w:tcW w:w="708" w:type="dxa"/>
            <w:tcBorders>
              <w:left w:val="dashSmallGap" w:sz="4" w:space="0" w:color="auto"/>
            </w:tcBorders>
            <w:shd w:val="clear" w:color="auto" w:fill="auto"/>
            <w:vAlign w:val="center"/>
          </w:tcPr>
          <w:p w14:paraId="1E9B5274" w14:textId="77777777" w:rsidR="001B6792" w:rsidRPr="008B17C0" w:rsidRDefault="001B6792" w:rsidP="00B2088F">
            <w:pPr>
              <w:jc w:val="center"/>
              <w:rPr>
                <w:noProof/>
                <w:sz w:val="18"/>
              </w:rPr>
            </w:pPr>
            <w:r w:rsidRPr="008B17C0">
              <w:rPr>
                <w:noProof/>
                <w:sz w:val="18"/>
              </w:rPr>
              <w:t>Omkostninger</w:t>
            </w:r>
          </w:p>
        </w:tc>
        <w:tc>
          <w:tcPr>
            <w:tcW w:w="567" w:type="dxa"/>
            <w:tcBorders>
              <w:right w:val="dashSmallGap" w:sz="4" w:space="0" w:color="auto"/>
            </w:tcBorders>
            <w:shd w:val="clear" w:color="auto" w:fill="auto"/>
            <w:textDirection w:val="btLr"/>
            <w:vAlign w:val="center"/>
          </w:tcPr>
          <w:p w14:paraId="47B6F6B2" w14:textId="77777777" w:rsidR="001B6792" w:rsidRPr="008B17C0" w:rsidRDefault="001B6792" w:rsidP="00B2088F">
            <w:pPr>
              <w:ind w:left="113" w:right="113"/>
              <w:jc w:val="center"/>
              <w:rPr>
                <w:noProof/>
              </w:rPr>
            </w:pPr>
            <w:r w:rsidRPr="008B17C0">
              <w:rPr>
                <w:noProof/>
                <w:sz w:val="18"/>
              </w:rPr>
              <w:t>Antal</w:t>
            </w:r>
          </w:p>
        </w:tc>
        <w:tc>
          <w:tcPr>
            <w:tcW w:w="758" w:type="dxa"/>
            <w:gridSpan w:val="2"/>
            <w:tcBorders>
              <w:left w:val="dashSmallGap" w:sz="4" w:space="0" w:color="auto"/>
            </w:tcBorders>
            <w:shd w:val="clear" w:color="auto" w:fill="auto"/>
            <w:vAlign w:val="center"/>
          </w:tcPr>
          <w:p w14:paraId="5122DA3D" w14:textId="77777777" w:rsidR="001B6792" w:rsidRPr="008B17C0" w:rsidRDefault="001B6792" w:rsidP="00B2088F">
            <w:pPr>
              <w:jc w:val="center"/>
              <w:rPr>
                <w:noProof/>
                <w:sz w:val="18"/>
              </w:rPr>
            </w:pPr>
            <w:r w:rsidRPr="008B17C0">
              <w:rPr>
                <w:noProof/>
                <w:sz w:val="18"/>
              </w:rPr>
              <w:t>Omkostninger</w:t>
            </w:r>
          </w:p>
        </w:tc>
        <w:tc>
          <w:tcPr>
            <w:tcW w:w="720" w:type="dxa"/>
            <w:tcBorders>
              <w:right w:val="dashSmallGap" w:sz="4" w:space="0" w:color="auto"/>
            </w:tcBorders>
            <w:shd w:val="clear" w:color="auto" w:fill="auto"/>
            <w:vAlign w:val="center"/>
          </w:tcPr>
          <w:p w14:paraId="6C6C6E3F" w14:textId="77777777" w:rsidR="001B6792" w:rsidRPr="008B17C0" w:rsidRDefault="001B6792" w:rsidP="00B2088F">
            <w:pPr>
              <w:jc w:val="center"/>
              <w:rPr>
                <w:noProof/>
                <w:sz w:val="18"/>
              </w:rPr>
            </w:pPr>
            <w:r w:rsidRPr="008B17C0">
              <w:rPr>
                <w:noProof/>
                <w:sz w:val="18"/>
              </w:rPr>
              <w:t>Antal resultater i alt</w:t>
            </w:r>
          </w:p>
        </w:tc>
        <w:tc>
          <w:tcPr>
            <w:tcW w:w="900" w:type="dxa"/>
            <w:tcBorders>
              <w:left w:val="dashSmallGap" w:sz="4" w:space="0" w:color="auto"/>
            </w:tcBorders>
            <w:shd w:val="clear" w:color="auto" w:fill="auto"/>
            <w:vAlign w:val="center"/>
          </w:tcPr>
          <w:p w14:paraId="16CE53AF" w14:textId="77777777" w:rsidR="001B6792" w:rsidRPr="008B17C0" w:rsidRDefault="001B6792" w:rsidP="00B2088F">
            <w:pPr>
              <w:jc w:val="center"/>
              <w:rPr>
                <w:noProof/>
              </w:rPr>
            </w:pPr>
            <w:r w:rsidRPr="008B17C0">
              <w:rPr>
                <w:noProof/>
                <w:sz w:val="18"/>
              </w:rPr>
              <w:t>Omkostninger i alt</w:t>
            </w:r>
          </w:p>
        </w:tc>
      </w:tr>
      <w:tr w:rsidR="001B6792" w:rsidRPr="008B17C0" w14:paraId="21AF9619" w14:textId="77777777" w:rsidTr="006A0D14">
        <w:trPr>
          <w:jc w:val="center"/>
        </w:trPr>
        <w:tc>
          <w:tcPr>
            <w:tcW w:w="2844" w:type="dxa"/>
            <w:gridSpan w:val="3"/>
            <w:vAlign w:val="center"/>
          </w:tcPr>
          <w:p w14:paraId="6BEB5740" w14:textId="77777777" w:rsidR="001B6792" w:rsidRPr="008B17C0" w:rsidRDefault="001B6792" w:rsidP="00B2088F">
            <w:pPr>
              <w:spacing w:before="60" w:after="60"/>
              <w:ind w:right="-29"/>
              <w:jc w:val="center"/>
              <w:rPr>
                <w:noProof/>
                <w:sz w:val="18"/>
              </w:rPr>
            </w:pPr>
            <w:r w:rsidRPr="008B17C0">
              <w:rPr>
                <w:noProof/>
                <w:sz w:val="18"/>
                <w:szCs w:val="18"/>
              </w:rPr>
              <w:t>SPECIFIKT MÅL NR. 1</w:t>
            </w:r>
            <w:r w:rsidRPr="008B17C0">
              <w:rPr>
                <w:rStyle w:val="FootnoteReference"/>
                <w:noProof/>
                <w:sz w:val="18"/>
                <w:szCs w:val="18"/>
              </w:rPr>
              <w:footnoteReference w:id="58"/>
            </w:r>
          </w:p>
          <w:p w14:paraId="3E7F1289" w14:textId="77777777" w:rsidR="001B6792" w:rsidRPr="008B17C0" w:rsidRDefault="001B6792" w:rsidP="00906BEE">
            <w:pPr>
              <w:spacing w:before="60" w:after="60"/>
              <w:ind w:right="-29"/>
              <w:jc w:val="center"/>
              <w:rPr>
                <w:noProof/>
                <w:sz w:val="18"/>
              </w:rPr>
            </w:pPr>
            <w:r w:rsidRPr="008B17C0">
              <w:rPr>
                <w:noProof/>
                <w:sz w:val="18"/>
              </w:rPr>
              <w:t>At give Eurojust mulighed for at identificere forbindelser mellem parallelle grænseoverskridende efterforskninger og retsforfølgninger vedrørende terrorhandlinger mere effektivt og give feedback om disse forbindelser til medlemsstaterne</w:t>
            </w:r>
          </w:p>
        </w:tc>
        <w:tc>
          <w:tcPr>
            <w:tcW w:w="504" w:type="dxa"/>
            <w:tcBorders>
              <w:top w:val="nil"/>
              <w:left w:val="nil"/>
              <w:bottom w:val="nil"/>
              <w:right w:val="nil"/>
            </w:tcBorders>
          </w:tcPr>
          <w:p w14:paraId="2BF6D4FB" w14:textId="77777777" w:rsidR="001B6792" w:rsidRPr="008B17C0" w:rsidRDefault="001B6792" w:rsidP="00B2088F">
            <w:pPr>
              <w:spacing w:before="60" w:after="60"/>
              <w:ind w:right="-29"/>
              <w:jc w:val="center"/>
              <w:rPr>
                <w:noProof/>
                <w:sz w:val="18"/>
              </w:rPr>
            </w:pPr>
          </w:p>
        </w:tc>
        <w:tc>
          <w:tcPr>
            <w:tcW w:w="720" w:type="dxa"/>
            <w:tcBorders>
              <w:top w:val="nil"/>
              <w:left w:val="nil"/>
              <w:bottom w:val="nil"/>
              <w:right w:val="nil"/>
            </w:tcBorders>
          </w:tcPr>
          <w:p w14:paraId="37557867" w14:textId="77777777" w:rsidR="001B6792" w:rsidRPr="008B17C0" w:rsidRDefault="001B6792" w:rsidP="00B2088F">
            <w:pPr>
              <w:spacing w:before="60" w:after="60"/>
              <w:ind w:right="-29"/>
              <w:jc w:val="center"/>
              <w:rPr>
                <w:noProof/>
                <w:sz w:val="18"/>
              </w:rPr>
            </w:pPr>
          </w:p>
        </w:tc>
        <w:tc>
          <w:tcPr>
            <w:tcW w:w="540" w:type="dxa"/>
            <w:tcBorders>
              <w:top w:val="nil"/>
              <w:left w:val="nil"/>
              <w:bottom w:val="nil"/>
              <w:right w:val="nil"/>
            </w:tcBorders>
          </w:tcPr>
          <w:p w14:paraId="64F8CB60" w14:textId="77777777" w:rsidR="001B6792" w:rsidRPr="008B17C0" w:rsidRDefault="001B6792" w:rsidP="00B2088F">
            <w:pPr>
              <w:spacing w:before="60" w:after="60"/>
              <w:ind w:right="-29"/>
              <w:jc w:val="center"/>
              <w:rPr>
                <w:noProof/>
                <w:sz w:val="18"/>
              </w:rPr>
            </w:pPr>
          </w:p>
        </w:tc>
        <w:tc>
          <w:tcPr>
            <w:tcW w:w="720" w:type="dxa"/>
            <w:tcBorders>
              <w:top w:val="nil"/>
              <w:left w:val="nil"/>
              <w:bottom w:val="nil"/>
              <w:right w:val="nil"/>
            </w:tcBorders>
          </w:tcPr>
          <w:p w14:paraId="379F186A" w14:textId="77777777" w:rsidR="001B6792" w:rsidRPr="008B17C0" w:rsidRDefault="001B6792" w:rsidP="00B2088F">
            <w:pPr>
              <w:spacing w:before="60" w:after="60"/>
              <w:ind w:right="-29"/>
              <w:jc w:val="center"/>
              <w:rPr>
                <w:noProof/>
                <w:sz w:val="18"/>
              </w:rPr>
            </w:pPr>
          </w:p>
        </w:tc>
        <w:tc>
          <w:tcPr>
            <w:tcW w:w="763" w:type="dxa"/>
            <w:tcBorders>
              <w:top w:val="nil"/>
              <w:left w:val="nil"/>
              <w:bottom w:val="nil"/>
              <w:right w:val="nil"/>
            </w:tcBorders>
          </w:tcPr>
          <w:p w14:paraId="6D785B9E" w14:textId="77777777" w:rsidR="001B6792" w:rsidRPr="008B17C0" w:rsidRDefault="001B6792" w:rsidP="00B2088F">
            <w:pPr>
              <w:spacing w:before="60" w:after="60"/>
              <w:ind w:right="-29"/>
              <w:jc w:val="center"/>
              <w:rPr>
                <w:noProof/>
                <w:sz w:val="18"/>
              </w:rPr>
            </w:pPr>
          </w:p>
        </w:tc>
        <w:tc>
          <w:tcPr>
            <w:tcW w:w="708" w:type="dxa"/>
            <w:tcBorders>
              <w:top w:val="nil"/>
              <w:left w:val="nil"/>
              <w:bottom w:val="nil"/>
              <w:right w:val="nil"/>
            </w:tcBorders>
          </w:tcPr>
          <w:p w14:paraId="3D5FB6AF" w14:textId="77777777" w:rsidR="001B6792" w:rsidRPr="008B17C0" w:rsidRDefault="001B6792" w:rsidP="00B2088F">
            <w:pPr>
              <w:spacing w:before="60" w:after="60"/>
              <w:ind w:right="-29"/>
              <w:jc w:val="center"/>
              <w:rPr>
                <w:noProof/>
                <w:sz w:val="18"/>
              </w:rPr>
            </w:pPr>
          </w:p>
        </w:tc>
        <w:tc>
          <w:tcPr>
            <w:tcW w:w="567" w:type="dxa"/>
            <w:tcBorders>
              <w:top w:val="nil"/>
              <w:left w:val="nil"/>
              <w:bottom w:val="nil"/>
              <w:right w:val="nil"/>
            </w:tcBorders>
          </w:tcPr>
          <w:p w14:paraId="1BF01BD6" w14:textId="77777777" w:rsidR="001B6792" w:rsidRPr="008B17C0" w:rsidRDefault="001B6792" w:rsidP="00B2088F">
            <w:pPr>
              <w:spacing w:before="60" w:after="60"/>
              <w:ind w:right="-29"/>
              <w:jc w:val="center"/>
              <w:rPr>
                <w:noProof/>
                <w:sz w:val="18"/>
              </w:rPr>
            </w:pPr>
          </w:p>
        </w:tc>
        <w:tc>
          <w:tcPr>
            <w:tcW w:w="758" w:type="dxa"/>
            <w:gridSpan w:val="2"/>
            <w:tcBorders>
              <w:top w:val="nil"/>
              <w:left w:val="nil"/>
              <w:bottom w:val="nil"/>
              <w:right w:val="nil"/>
            </w:tcBorders>
          </w:tcPr>
          <w:p w14:paraId="6568A66C" w14:textId="77777777" w:rsidR="001B6792" w:rsidRPr="008B17C0" w:rsidRDefault="001B6792" w:rsidP="00B2088F">
            <w:pPr>
              <w:spacing w:before="60" w:after="60"/>
              <w:ind w:right="-29"/>
              <w:jc w:val="center"/>
              <w:rPr>
                <w:noProof/>
                <w:sz w:val="18"/>
              </w:rPr>
            </w:pPr>
          </w:p>
        </w:tc>
        <w:tc>
          <w:tcPr>
            <w:tcW w:w="720" w:type="dxa"/>
            <w:tcBorders>
              <w:top w:val="nil"/>
              <w:left w:val="nil"/>
              <w:bottom w:val="nil"/>
              <w:right w:val="nil"/>
            </w:tcBorders>
          </w:tcPr>
          <w:p w14:paraId="3B27CF44" w14:textId="77777777" w:rsidR="001B6792" w:rsidRPr="008B17C0" w:rsidRDefault="001B6792" w:rsidP="00B2088F">
            <w:pPr>
              <w:spacing w:before="60" w:after="60"/>
              <w:ind w:right="-29"/>
              <w:jc w:val="center"/>
              <w:rPr>
                <w:noProof/>
                <w:sz w:val="18"/>
              </w:rPr>
            </w:pPr>
          </w:p>
        </w:tc>
        <w:tc>
          <w:tcPr>
            <w:tcW w:w="900" w:type="dxa"/>
            <w:tcBorders>
              <w:top w:val="nil"/>
              <w:left w:val="nil"/>
              <w:bottom w:val="nil"/>
              <w:right w:val="nil"/>
            </w:tcBorders>
          </w:tcPr>
          <w:p w14:paraId="014726FE" w14:textId="77777777" w:rsidR="001B6792" w:rsidRPr="008B17C0" w:rsidRDefault="001B6792" w:rsidP="00B2088F">
            <w:pPr>
              <w:spacing w:before="60" w:after="60"/>
              <w:ind w:right="-29"/>
              <w:jc w:val="center"/>
              <w:rPr>
                <w:noProof/>
                <w:sz w:val="18"/>
              </w:rPr>
            </w:pPr>
          </w:p>
        </w:tc>
      </w:tr>
      <w:tr w:rsidR="001B6792" w:rsidRPr="008B17C0" w14:paraId="13238EFB" w14:textId="77777777" w:rsidTr="006A0D14">
        <w:trPr>
          <w:trHeight w:hRule="exact" w:val="1194"/>
          <w:jc w:val="center"/>
        </w:trPr>
        <w:tc>
          <w:tcPr>
            <w:tcW w:w="1423" w:type="dxa"/>
          </w:tcPr>
          <w:p w14:paraId="681DFCEC" w14:textId="77777777" w:rsidR="001B6792" w:rsidRPr="008B17C0" w:rsidRDefault="001B6792" w:rsidP="00B2088F">
            <w:pPr>
              <w:ind w:right="-29"/>
              <w:jc w:val="center"/>
              <w:rPr>
                <w:noProof/>
                <w:sz w:val="18"/>
              </w:rPr>
            </w:pPr>
            <w:r w:rsidRPr="008B17C0">
              <w:rPr>
                <w:noProof/>
                <w:sz w:val="18"/>
              </w:rPr>
              <w:t>— Resultat</w:t>
            </w:r>
          </w:p>
        </w:tc>
        <w:tc>
          <w:tcPr>
            <w:tcW w:w="1421" w:type="dxa"/>
            <w:gridSpan w:val="2"/>
          </w:tcPr>
          <w:p w14:paraId="617CC5C8" w14:textId="77777777" w:rsidR="001B6792" w:rsidRPr="008B17C0" w:rsidRDefault="001B6792" w:rsidP="00B2088F">
            <w:pPr>
              <w:ind w:right="-29"/>
              <w:jc w:val="center"/>
              <w:rPr>
                <w:noProof/>
                <w:sz w:val="18"/>
              </w:rPr>
            </w:pPr>
            <w:r w:rsidRPr="008B17C0">
              <w:rPr>
                <w:noProof/>
                <w:sz w:val="18"/>
              </w:rPr>
              <w:t>Forbindelser mellem grænseoverskridende sager, som Eurojust har identificeret</w:t>
            </w:r>
          </w:p>
        </w:tc>
        <w:tc>
          <w:tcPr>
            <w:tcW w:w="504" w:type="dxa"/>
            <w:tcBorders>
              <w:top w:val="single" w:sz="4" w:space="0" w:color="auto"/>
              <w:left w:val="single" w:sz="4" w:space="0" w:color="auto"/>
              <w:bottom w:val="single" w:sz="4" w:space="0" w:color="auto"/>
              <w:right w:val="dashSmallGap" w:sz="4" w:space="0" w:color="auto"/>
            </w:tcBorders>
          </w:tcPr>
          <w:p w14:paraId="0ABC7C4D" w14:textId="77777777" w:rsidR="001B6792" w:rsidRPr="008B17C0" w:rsidRDefault="001B6792" w:rsidP="00B2088F">
            <w:pPr>
              <w:ind w:right="-29"/>
              <w:jc w:val="center"/>
              <w:rPr>
                <w:noProof/>
                <w:sz w:val="18"/>
              </w:rPr>
            </w:pPr>
          </w:p>
        </w:tc>
        <w:tc>
          <w:tcPr>
            <w:tcW w:w="720" w:type="dxa"/>
            <w:tcBorders>
              <w:top w:val="single" w:sz="4" w:space="0" w:color="auto"/>
              <w:left w:val="dashSmallGap" w:sz="4" w:space="0" w:color="auto"/>
              <w:bottom w:val="single" w:sz="4" w:space="0" w:color="auto"/>
              <w:right w:val="single" w:sz="4" w:space="0" w:color="auto"/>
            </w:tcBorders>
          </w:tcPr>
          <w:p w14:paraId="7BF94600" w14:textId="34076C4F" w:rsidR="001B6792" w:rsidRPr="008B17C0" w:rsidRDefault="00900A33" w:rsidP="00B2088F">
            <w:pPr>
              <w:ind w:right="-29"/>
              <w:jc w:val="center"/>
              <w:rPr>
                <w:noProof/>
                <w:sz w:val="18"/>
              </w:rPr>
            </w:pPr>
            <w:r w:rsidRPr="008B17C0">
              <w:rPr>
                <w:noProof/>
                <w:sz w:val="18"/>
              </w:rPr>
              <w:t>1 835</w:t>
            </w:r>
          </w:p>
        </w:tc>
        <w:tc>
          <w:tcPr>
            <w:tcW w:w="540" w:type="dxa"/>
            <w:tcBorders>
              <w:top w:val="single" w:sz="4" w:space="0" w:color="auto"/>
              <w:left w:val="single" w:sz="4" w:space="0" w:color="auto"/>
              <w:bottom w:val="single" w:sz="4" w:space="0" w:color="auto"/>
              <w:right w:val="dashSmallGap" w:sz="4" w:space="0" w:color="auto"/>
            </w:tcBorders>
          </w:tcPr>
          <w:p w14:paraId="24FF5866" w14:textId="77777777" w:rsidR="001B6792" w:rsidRPr="008B17C0" w:rsidRDefault="001B6792" w:rsidP="00B2088F">
            <w:pPr>
              <w:ind w:right="-29"/>
              <w:jc w:val="center"/>
              <w:rPr>
                <w:noProof/>
                <w:sz w:val="18"/>
              </w:rPr>
            </w:pPr>
          </w:p>
        </w:tc>
        <w:tc>
          <w:tcPr>
            <w:tcW w:w="720" w:type="dxa"/>
            <w:tcBorders>
              <w:top w:val="single" w:sz="4" w:space="0" w:color="auto"/>
              <w:left w:val="dashSmallGap" w:sz="4" w:space="0" w:color="auto"/>
              <w:bottom w:val="single" w:sz="4" w:space="0" w:color="auto"/>
              <w:right w:val="single" w:sz="4" w:space="0" w:color="auto"/>
            </w:tcBorders>
          </w:tcPr>
          <w:p w14:paraId="72EF1832" w14:textId="7D421C71" w:rsidR="001B6792" w:rsidRPr="008B17C0" w:rsidRDefault="001B6792" w:rsidP="00900A33">
            <w:pPr>
              <w:ind w:right="-29"/>
              <w:jc w:val="center"/>
              <w:rPr>
                <w:noProof/>
                <w:sz w:val="18"/>
              </w:rPr>
            </w:pPr>
            <w:r w:rsidRPr="008B17C0">
              <w:rPr>
                <w:noProof/>
                <w:sz w:val="18"/>
              </w:rPr>
              <w:t>9 190</w:t>
            </w:r>
          </w:p>
        </w:tc>
        <w:tc>
          <w:tcPr>
            <w:tcW w:w="763" w:type="dxa"/>
            <w:tcBorders>
              <w:top w:val="single" w:sz="4" w:space="0" w:color="auto"/>
              <w:left w:val="single" w:sz="4" w:space="0" w:color="auto"/>
              <w:bottom w:val="single" w:sz="4" w:space="0" w:color="auto"/>
              <w:right w:val="dashSmallGap" w:sz="4" w:space="0" w:color="auto"/>
            </w:tcBorders>
          </w:tcPr>
          <w:p w14:paraId="59801985" w14:textId="77777777" w:rsidR="001B6792" w:rsidRPr="008B17C0" w:rsidRDefault="001B6792" w:rsidP="00B2088F">
            <w:pPr>
              <w:ind w:right="-29"/>
              <w:jc w:val="center"/>
              <w:rPr>
                <w:noProof/>
                <w:sz w:val="18"/>
              </w:rPr>
            </w:pPr>
          </w:p>
        </w:tc>
        <w:tc>
          <w:tcPr>
            <w:tcW w:w="708" w:type="dxa"/>
            <w:tcBorders>
              <w:top w:val="single" w:sz="4" w:space="0" w:color="auto"/>
              <w:left w:val="dashSmallGap" w:sz="4" w:space="0" w:color="auto"/>
              <w:bottom w:val="single" w:sz="4" w:space="0" w:color="auto"/>
              <w:right w:val="single" w:sz="4" w:space="0" w:color="auto"/>
            </w:tcBorders>
          </w:tcPr>
          <w:p w14:paraId="225FD7C3" w14:textId="77777777" w:rsidR="001B6792" w:rsidRPr="008B17C0" w:rsidRDefault="001B6792" w:rsidP="00B2088F">
            <w:pPr>
              <w:ind w:right="-29"/>
              <w:jc w:val="center"/>
              <w:rPr>
                <w:noProof/>
                <w:sz w:val="18"/>
              </w:rPr>
            </w:pPr>
            <w:r w:rsidRPr="008B17C0">
              <w:rPr>
                <w:noProof/>
                <w:sz w:val="18"/>
              </w:rPr>
              <w:t>8 843</w:t>
            </w:r>
          </w:p>
        </w:tc>
        <w:tc>
          <w:tcPr>
            <w:tcW w:w="709" w:type="dxa"/>
            <w:gridSpan w:val="2"/>
            <w:tcBorders>
              <w:top w:val="single" w:sz="4" w:space="0" w:color="auto"/>
              <w:left w:val="single" w:sz="4" w:space="0" w:color="auto"/>
              <w:bottom w:val="single" w:sz="4" w:space="0" w:color="auto"/>
              <w:right w:val="dashSmallGap" w:sz="4" w:space="0" w:color="auto"/>
            </w:tcBorders>
          </w:tcPr>
          <w:p w14:paraId="51E52284" w14:textId="77777777" w:rsidR="001B6792" w:rsidRPr="008B17C0" w:rsidRDefault="001B6792" w:rsidP="00B2088F">
            <w:pPr>
              <w:ind w:right="-29"/>
              <w:jc w:val="center"/>
              <w:rPr>
                <w:noProof/>
                <w:sz w:val="18"/>
              </w:rPr>
            </w:pPr>
          </w:p>
        </w:tc>
        <w:tc>
          <w:tcPr>
            <w:tcW w:w="616" w:type="dxa"/>
            <w:tcBorders>
              <w:top w:val="single" w:sz="4" w:space="0" w:color="auto"/>
              <w:left w:val="dashSmallGap" w:sz="4" w:space="0" w:color="auto"/>
              <w:bottom w:val="single" w:sz="4" w:space="0" w:color="auto"/>
              <w:right w:val="single" w:sz="4" w:space="0" w:color="auto"/>
            </w:tcBorders>
          </w:tcPr>
          <w:p w14:paraId="5E69F127" w14:textId="2EF29A7F" w:rsidR="001B6792" w:rsidRPr="008B17C0" w:rsidRDefault="00900A33" w:rsidP="00D051F5">
            <w:pPr>
              <w:ind w:right="-29"/>
              <w:jc w:val="center"/>
              <w:rPr>
                <w:noProof/>
                <w:sz w:val="18"/>
                <w:szCs w:val="18"/>
              </w:rPr>
            </w:pPr>
            <w:r w:rsidRPr="008B17C0">
              <w:rPr>
                <w:noProof/>
                <w:sz w:val="18"/>
              </w:rPr>
              <w:t>7 965</w:t>
            </w:r>
          </w:p>
        </w:tc>
        <w:tc>
          <w:tcPr>
            <w:tcW w:w="720" w:type="dxa"/>
            <w:tcBorders>
              <w:top w:val="single" w:sz="4" w:space="0" w:color="auto"/>
              <w:left w:val="single" w:sz="4" w:space="0" w:color="auto"/>
              <w:bottom w:val="single" w:sz="4" w:space="0" w:color="auto"/>
              <w:right w:val="single" w:sz="4" w:space="0" w:color="auto"/>
            </w:tcBorders>
          </w:tcPr>
          <w:p w14:paraId="20A4073A" w14:textId="77777777" w:rsidR="001B6792" w:rsidRPr="008B17C0" w:rsidRDefault="001B6792" w:rsidP="00B2088F">
            <w:pPr>
              <w:ind w:right="-29"/>
              <w:jc w:val="center"/>
              <w:rPr>
                <w:noProof/>
                <w:sz w:val="18"/>
              </w:rPr>
            </w:pPr>
          </w:p>
        </w:tc>
        <w:tc>
          <w:tcPr>
            <w:tcW w:w="900" w:type="dxa"/>
            <w:tcBorders>
              <w:top w:val="single" w:sz="4" w:space="0" w:color="auto"/>
              <w:left w:val="single" w:sz="4" w:space="0" w:color="auto"/>
              <w:bottom w:val="single" w:sz="4" w:space="0" w:color="auto"/>
              <w:right w:val="single" w:sz="4" w:space="0" w:color="auto"/>
            </w:tcBorders>
          </w:tcPr>
          <w:p w14:paraId="4FB5F923" w14:textId="6733FE3A" w:rsidR="001B6792" w:rsidRPr="008B17C0" w:rsidRDefault="00900A33">
            <w:pPr>
              <w:ind w:right="-29"/>
              <w:jc w:val="center"/>
              <w:rPr>
                <w:noProof/>
                <w:sz w:val="18"/>
                <w:szCs w:val="18"/>
              </w:rPr>
            </w:pPr>
            <w:r w:rsidRPr="008B17C0">
              <w:rPr>
                <w:noProof/>
                <w:sz w:val="18"/>
              </w:rPr>
              <w:t>27 832</w:t>
            </w:r>
          </w:p>
        </w:tc>
      </w:tr>
      <w:tr w:rsidR="001B6792" w:rsidRPr="008B17C0" w14:paraId="22690312" w14:textId="77777777" w:rsidTr="006A0D14">
        <w:trPr>
          <w:jc w:val="center"/>
        </w:trPr>
        <w:tc>
          <w:tcPr>
            <w:tcW w:w="2844" w:type="dxa"/>
            <w:gridSpan w:val="3"/>
            <w:vAlign w:val="center"/>
          </w:tcPr>
          <w:p w14:paraId="5630EFCD" w14:textId="77777777" w:rsidR="001B6792" w:rsidRPr="008B17C0" w:rsidRDefault="001B6792" w:rsidP="00B2088F">
            <w:pPr>
              <w:spacing w:before="60" w:after="60"/>
              <w:ind w:right="-29"/>
              <w:jc w:val="center"/>
              <w:rPr>
                <w:noProof/>
                <w:sz w:val="18"/>
              </w:rPr>
            </w:pPr>
            <w:r w:rsidRPr="008B17C0">
              <w:rPr>
                <w:noProof/>
                <w:sz w:val="18"/>
              </w:rPr>
              <w:t xml:space="preserve">SPECIFIKT MÅL NR. 2 </w:t>
            </w:r>
          </w:p>
          <w:p w14:paraId="2E6C634A" w14:textId="77777777" w:rsidR="001B6792" w:rsidRPr="008B17C0" w:rsidRDefault="001B6792" w:rsidP="00906BEE">
            <w:pPr>
              <w:spacing w:before="60" w:after="60"/>
              <w:ind w:right="-29"/>
              <w:jc w:val="center"/>
              <w:rPr>
                <w:noProof/>
                <w:sz w:val="18"/>
              </w:rPr>
            </w:pPr>
            <w:r w:rsidRPr="008B17C0">
              <w:rPr>
                <w:noProof/>
                <w:sz w:val="18"/>
              </w:rPr>
              <w:t>At gøre dataudvekslingen mellem medlemsstaterne, Eurojust og tredjelande mere effektiv og sikker.</w:t>
            </w:r>
          </w:p>
        </w:tc>
        <w:tc>
          <w:tcPr>
            <w:tcW w:w="504" w:type="dxa"/>
            <w:tcBorders>
              <w:top w:val="nil"/>
              <w:left w:val="nil"/>
              <w:bottom w:val="nil"/>
              <w:right w:val="nil"/>
            </w:tcBorders>
          </w:tcPr>
          <w:p w14:paraId="0F29E33B" w14:textId="77777777" w:rsidR="001B6792" w:rsidRPr="008B17C0" w:rsidRDefault="001B6792" w:rsidP="00B2088F">
            <w:pPr>
              <w:spacing w:before="60" w:after="60"/>
              <w:ind w:right="-29"/>
              <w:jc w:val="center"/>
              <w:rPr>
                <w:noProof/>
                <w:sz w:val="18"/>
              </w:rPr>
            </w:pPr>
          </w:p>
        </w:tc>
        <w:tc>
          <w:tcPr>
            <w:tcW w:w="720" w:type="dxa"/>
            <w:tcBorders>
              <w:top w:val="nil"/>
              <w:left w:val="nil"/>
              <w:bottom w:val="nil"/>
              <w:right w:val="nil"/>
            </w:tcBorders>
          </w:tcPr>
          <w:p w14:paraId="54FEFDA3" w14:textId="77777777" w:rsidR="001B6792" w:rsidRPr="008B17C0" w:rsidRDefault="001B6792" w:rsidP="00B2088F">
            <w:pPr>
              <w:spacing w:before="60" w:after="60"/>
              <w:ind w:right="-29"/>
              <w:jc w:val="center"/>
              <w:rPr>
                <w:noProof/>
                <w:sz w:val="18"/>
              </w:rPr>
            </w:pPr>
          </w:p>
        </w:tc>
        <w:tc>
          <w:tcPr>
            <w:tcW w:w="540" w:type="dxa"/>
            <w:tcBorders>
              <w:top w:val="nil"/>
              <w:left w:val="nil"/>
              <w:bottom w:val="nil"/>
              <w:right w:val="nil"/>
            </w:tcBorders>
          </w:tcPr>
          <w:p w14:paraId="555540B0" w14:textId="77777777" w:rsidR="001B6792" w:rsidRPr="008B17C0" w:rsidRDefault="001B6792" w:rsidP="00B2088F">
            <w:pPr>
              <w:spacing w:before="60" w:after="60"/>
              <w:ind w:right="-29"/>
              <w:jc w:val="center"/>
              <w:rPr>
                <w:noProof/>
                <w:sz w:val="18"/>
              </w:rPr>
            </w:pPr>
          </w:p>
        </w:tc>
        <w:tc>
          <w:tcPr>
            <w:tcW w:w="720" w:type="dxa"/>
            <w:tcBorders>
              <w:top w:val="nil"/>
              <w:left w:val="nil"/>
              <w:bottom w:val="nil"/>
              <w:right w:val="nil"/>
            </w:tcBorders>
          </w:tcPr>
          <w:p w14:paraId="429F7E0C" w14:textId="77777777" w:rsidR="001B6792" w:rsidRPr="008B17C0" w:rsidRDefault="001B6792" w:rsidP="00B2088F">
            <w:pPr>
              <w:spacing w:before="60" w:after="60"/>
              <w:ind w:right="-29"/>
              <w:jc w:val="center"/>
              <w:rPr>
                <w:noProof/>
                <w:sz w:val="18"/>
              </w:rPr>
            </w:pPr>
          </w:p>
        </w:tc>
        <w:tc>
          <w:tcPr>
            <w:tcW w:w="763" w:type="dxa"/>
            <w:tcBorders>
              <w:top w:val="nil"/>
              <w:left w:val="nil"/>
              <w:bottom w:val="nil"/>
              <w:right w:val="nil"/>
            </w:tcBorders>
          </w:tcPr>
          <w:p w14:paraId="7BB37197" w14:textId="77777777" w:rsidR="001B6792" w:rsidRPr="008B17C0" w:rsidRDefault="001B6792" w:rsidP="00B2088F">
            <w:pPr>
              <w:spacing w:before="60" w:after="60"/>
              <w:ind w:right="-29"/>
              <w:jc w:val="center"/>
              <w:rPr>
                <w:noProof/>
                <w:sz w:val="18"/>
              </w:rPr>
            </w:pPr>
          </w:p>
        </w:tc>
        <w:tc>
          <w:tcPr>
            <w:tcW w:w="708" w:type="dxa"/>
            <w:tcBorders>
              <w:top w:val="nil"/>
              <w:left w:val="nil"/>
              <w:bottom w:val="nil"/>
              <w:right w:val="nil"/>
            </w:tcBorders>
          </w:tcPr>
          <w:p w14:paraId="2E19A8E4" w14:textId="77777777" w:rsidR="001B6792" w:rsidRPr="008B17C0" w:rsidRDefault="001B6792" w:rsidP="00B2088F">
            <w:pPr>
              <w:spacing w:before="60" w:after="60"/>
              <w:ind w:right="-29"/>
              <w:jc w:val="center"/>
              <w:rPr>
                <w:noProof/>
                <w:sz w:val="18"/>
              </w:rPr>
            </w:pPr>
          </w:p>
        </w:tc>
        <w:tc>
          <w:tcPr>
            <w:tcW w:w="567" w:type="dxa"/>
            <w:tcBorders>
              <w:top w:val="nil"/>
              <w:left w:val="nil"/>
              <w:bottom w:val="nil"/>
              <w:right w:val="nil"/>
            </w:tcBorders>
          </w:tcPr>
          <w:p w14:paraId="2970F032" w14:textId="77777777" w:rsidR="001B6792" w:rsidRPr="008B17C0" w:rsidRDefault="001B6792" w:rsidP="00B2088F">
            <w:pPr>
              <w:spacing w:before="60" w:after="60"/>
              <w:ind w:right="-29"/>
              <w:jc w:val="center"/>
              <w:rPr>
                <w:noProof/>
                <w:sz w:val="18"/>
              </w:rPr>
            </w:pPr>
          </w:p>
        </w:tc>
        <w:tc>
          <w:tcPr>
            <w:tcW w:w="758" w:type="dxa"/>
            <w:gridSpan w:val="2"/>
            <w:tcBorders>
              <w:top w:val="nil"/>
              <w:left w:val="nil"/>
              <w:bottom w:val="nil"/>
              <w:right w:val="nil"/>
            </w:tcBorders>
          </w:tcPr>
          <w:p w14:paraId="6CBB7EEF" w14:textId="77777777" w:rsidR="001B6792" w:rsidRPr="008B17C0" w:rsidRDefault="001B6792" w:rsidP="00B2088F">
            <w:pPr>
              <w:spacing w:before="60" w:after="60"/>
              <w:ind w:right="-29"/>
              <w:jc w:val="center"/>
              <w:rPr>
                <w:noProof/>
                <w:sz w:val="18"/>
              </w:rPr>
            </w:pPr>
          </w:p>
        </w:tc>
        <w:tc>
          <w:tcPr>
            <w:tcW w:w="720" w:type="dxa"/>
            <w:tcBorders>
              <w:top w:val="nil"/>
              <w:left w:val="nil"/>
              <w:bottom w:val="nil"/>
              <w:right w:val="nil"/>
            </w:tcBorders>
          </w:tcPr>
          <w:p w14:paraId="29C4B459" w14:textId="77777777" w:rsidR="001B6792" w:rsidRPr="008B17C0" w:rsidRDefault="001B6792" w:rsidP="00B2088F">
            <w:pPr>
              <w:spacing w:before="60" w:after="60"/>
              <w:ind w:right="-29"/>
              <w:jc w:val="center"/>
              <w:rPr>
                <w:noProof/>
                <w:sz w:val="18"/>
              </w:rPr>
            </w:pPr>
          </w:p>
        </w:tc>
        <w:tc>
          <w:tcPr>
            <w:tcW w:w="900" w:type="dxa"/>
            <w:tcBorders>
              <w:top w:val="nil"/>
              <w:left w:val="nil"/>
              <w:bottom w:val="nil"/>
              <w:right w:val="nil"/>
            </w:tcBorders>
          </w:tcPr>
          <w:p w14:paraId="7A477539" w14:textId="77777777" w:rsidR="001B6792" w:rsidRPr="008B17C0" w:rsidRDefault="001B6792" w:rsidP="00B2088F">
            <w:pPr>
              <w:spacing w:before="60" w:after="60"/>
              <w:ind w:right="-29"/>
              <w:jc w:val="center"/>
              <w:rPr>
                <w:noProof/>
                <w:sz w:val="18"/>
              </w:rPr>
            </w:pPr>
          </w:p>
        </w:tc>
      </w:tr>
      <w:tr w:rsidR="001B6792" w:rsidRPr="008B17C0" w14:paraId="7E077A55" w14:textId="77777777" w:rsidTr="006A0D14">
        <w:trPr>
          <w:trHeight w:hRule="exact" w:val="1329"/>
          <w:jc w:val="center"/>
        </w:trPr>
        <w:tc>
          <w:tcPr>
            <w:tcW w:w="1423" w:type="dxa"/>
          </w:tcPr>
          <w:p w14:paraId="31A78AA7" w14:textId="77777777" w:rsidR="001B6792" w:rsidRPr="008B17C0" w:rsidRDefault="001B6792" w:rsidP="00B2088F">
            <w:pPr>
              <w:ind w:right="-29"/>
              <w:jc w:val="center"/>
              <w:rPr>
                <w:noProof/>
                <w:sz w:val="18"/>
              </w:rPr>
            </w:pPr>
            <w:r w:rsidRPr="008B17C0">
              <w:rPr>
                <w:noProof/>
                <w:sz w:val="18"/>
              </w:rPr>
              <w:t>— Resultat</w:t>
            </w:r>
          </w:p>
        </w:tc>
        <w:tc>
          <w:tcPr>
            <w:tcW w:w="1421" w:type="dxa"/>
            <w:gridSpan w:val="2"/>
          </w:tcPr>
          <w:p w14:paraId="037EFC97" w14:textId="77777777" w:rsidR="001B6792" w:rsidRPr="008B17C0" w:rsidRDefault="001B6792" w:rsidP="00B2088F">
            <w:pPr>
              <w:ind w:right="-29"/>
              <w:jc w:val="center"/>
              <w:rPr>
                <w:noProof/>
                <w:sz w:val="18"/>
              </w:rPr>
            </w:pPr>
            <w:r w:rsidRPr="008B17C0">
              <w:rPr>
                <w:noProof/>
                <w:sz w:val="18"/>
              </w:rPr>
              <w:t>Personoplysninger fra medlemsstaterne fremsendt sikkert til Eurojust</w:t>
            </w:r>
          </w:p>
        </w:tc>
        <w:tc>
          <w:tcPr>
            <w:tcW w:w="504" w:type="dxa"/>
            <w:tcBorders>
              <w:top w:val="single" w:sz="4" w:space="0" w:color="auto"/>
              <w:left w:val="single" w:sz="4" w:space="0" w:color="auto"/>
              <w:bottom w:val="single" w:sz="4" w:space="0" w:color="auto"/>
              <w:right w:val="single" w:sz="4" w:space="0" w:color="auto"/>
            </w:tcBorders>
          </w:tcPr>
          <w:p w14:paraId="39ACF11E" w14:textId="77777777" w:rsidR="001B6792" w:rsidRPr="008B17C0" w:rsidRDefault="001B6792" w:rsidP="00B2088F">
            <w:pPr>
              <w:ind w:right="-29"/>
              <w:jc w:val="center"/>
              <w:rPr>
                <w:noProof/>
                <w:sz w:val="18"/>
              </w:rPr>
            </w:pPr>
          </w:p>
        </w:tc>
        <w:tc>
          <w:tcPr>
            <w:tcW w:w="720" w:type="dxa"/>
            <w:tcBorders>
              <w:top w:val="single" w:sz="4" w:space="0" w:color="auto"/>
              <w:left w:val="single" w:sz="4" w:space="0" w:color="auto"/>
              <w:bottom w:val="single" w:sz="4" w:space="0" w:color="auto"/>
              <w:right w:val="single" w:sz="4" w:space="0" w:color="auto"/>
            </w:tcBorders>
          </w:tcPr>
          <w:p w14:paraId="3AAAD195" w14:textId="7373ADA4" w:rsidR="001B6792" w:rsidRPr="008B17C0" w:rsidRDefault="00900A33" w:rsidP="00B2088F">
            <w:pPr>
              <w:ind w:right="-29"/>
              <w:jc w:val="center"/>
              <w:rPr>
                <w:noProof/>
                <w:sz w:val="18"/>
              </w:rPr>
            </w:pPr>
            <w:r w:rsidRPr="008B17C0">
              <w:rPr>
                <w:noProof/>
                <w:sz w:val="18"/>
              </w:rPr>
              <w:t>108</w:t>
            </w:r>
          </w:p>
        </w:tc>
        <w:tc>
          <w:tcPr>
            <w:tcW w:w="540" w:type="dxa"/>
            <w:tcBorders>
              <w:top w:val="single" w:sz="4" w:space="0" w:color="auto"/>
              <w:left w:val="single" w:sz="4" w:space="0" w:color="auto"/>
              <w:bottom w:val="single" w:sz="4" w:space="0" w:color="auto"/>
              <w:right w:val="single" w:sz="4" w:space="0" w:color="auto"/>
            </w:tcBorders>
          </w:tcPr>
          <w:p w14:paraId="4637181F" w14:textId="77777777" w:rsidR="001B6792" w:rsidRPr="008B17C0" w:rsidRDefault="001B6792" w:rsidP="00B2088F">
            <w:pPr>
              <w:ind w:right="-29"/>
              <w:jc w:val="center"/>
              <w:rPr>
                <w:noProof/>
                <w:sz w:val="18"/>
              </w:rPr>
            </w:pPr>
          </w:p>
        </w:tc>
        <w:tc>
          <w:tcPr>
            <w:tcW w:w="720" w:type="dxa"/>
            <w:tcBorders>
              <w:top w:val="single" w:sz="4" w:space="0" w:color="auto"/>
              <w:left w:val="single" w:sz="4" w:space="0" w:color="auto"/>
              <w:bottom w:val="single" w:sz="4" w:space="0" w:color="auto"/>
              <w:right w:val="single" w:sz="4" w:space="0" w:color="auto"/>
            </w:tcBorders>
          </w:tcPr>
          <w:p w14:paraId="4AA532AE" w14:textId="0FDECF68" w:rsidR="001B6792" w:rsidRPr="008B17C0" w:rsidRDefault="001B6792" w:rsidP="00900A33">
            <w:pPr>
              <w:ind w:right="-29"/>
              <w:jc w:val="center"/>
              <w:rPr>
                <w:noProof/>
                <w:sz w:val="18"/>
              </w:rPr>
            </w:pPr>
            <w:r w:rsidRPr="008B17C0">
              <w:rPr>
                <w:noProof/>
                <w:sz w:val="18"/>
              </w:rPr>
              <w:t>541</w:t>
            </w:r>
          </w:p>
        </w:tc>
        <w:tc>
          <w:tcPr>
            <w:tcW w:w="763" w:type="dxa"/>
            <w:tcBorders>
              <w:top w:val="single" w:sz="4" w:space="0" w:color="auto"/>
              <w:left w:val="single" w:sz="4" w:space="0" w:color="auto"/>
              <w:bottom w:val="single" w:sz="4" w:space="0" w:color="auto"/>
              <w:right w:val="single" w:sz="4" w:space="0" w:color="auto"/>
            </w:tcBorders>
          </w:tcPr>
          <w:p w14:paraId="3E9619BF" w14:textId="77777777" w:rsidR="001B6792" w:rsidRPr="008B17C0" w:rsidRDefault="001B6792" w:rsidP="00B2088F">
            <w:pPr>
              <w:ind w:right="-29"/>
              <w:jc w:val="center"/>
              <w:rPr>
                <w:noProof/>
                <w:sz w:val="18"/>
              </w:rPr>
            </w:pPr>
          </w:p>
        </w:tc>
        <w:tc>
          <w:tcPr>
            <w:tcW w:w="708" w:type="dxa"/>
            <w:tcBorders>
              <w:top w:val="single" w:sz="4" w:space="0" w:color="auto"/>
              <w:left w:val="single" w:sz="4" w:space="0" w:color="auto"/>
              <w:bottom w:val="single" w:sz="4" w:space="0" w:color="auto"/>
              <w:right w:val="single" w:sz="4" w:space="0" w:color="auto"/>
            </w:tcBorders>
          </w:tcPr>
          <w:p w14:paraId="1F669ABE" w14:textId="77777777" w:rsidR="001B6792" w:rsidRPr="008B17C0" w:rsidRDefault="001B6792" w:rsidP="00B2088F">
            <w:pPr>
              <w:ind w:right="-29"/>
              <w:jc w:val="center"/>
              <w:rPr>
                <w:noProof/>
                <w:sz w:val="18"/>
              </w:rPr>
            </w:pPr>
            <w:r w:rsidRPr="008B17C0">
              <w:rPr>
                <w:noProof/>
                <w:sz w:val="18"/>
              </w:rPr>
              <w:t>520</w:t>
            </w:r>
          </w:p>
        </w:tc>
        <w:tc>
          <w:tcPr>
            <w:tcW w:w="567" w:type="dxa"/>
            <w:tcBorders>
              <w:top w:val="single" w:sz="4" w:space="0" w:color="auto"/>
              <w:left w:val="single" w:sz="4" w:space="0" w:color="auto"/>
              <w:bottom w:val="single" w:sz="4" w:space="0" w:color="auto"/>
              <w:right w:val="single" w:sz="4" w:space="0" w:color="auto"/>
            </w:tcBorders>
          </w:tcPr>
          <w:p w14:paraId="3E4B2325" w14:textId="77777777" w:rsidR="001B6792" w:rsidRPr="008B17C0" w:rsidRDefault="001B6792" w:rsidP="00B2088F">
            <w:pPr>
              <w:ind w:right="-29"/>
              <w:jc w:val="center"/>
              <w:rPr>
                <w:noProof/>
                <w:sz w:val="18"/>
              </w:rPr>
            </w:pPr>
          </w:p>
        </w:tc>
        <w:tc>
          <w:tcPr>
            <w:tcW w:w="758" w:type="dxa"/>
            <w:gridSpan w:val="2"/>
            <w:tcBorders>
              <w:top w:val="single" w:sz="4" w:space="0" w:color="auto"/>
              <w:left w:val="single" w:sz="4" w:space="0" w:color="auto"/>
              <w:bottom w:val="single" w:sz="4" w:space="0" w:color="auto"/>
              <w:right w:val="single" w:sz="4" w:space="0" w:color="auto"/>
            </w:tcBorders>
          </w:tcPr>
          <w:p w14:paraId="63901E27" w14:textId="60201C6C" w:rsidR="001B6792" w:rsidRPr="008B17C0" w:rsidRDefault="00D03B63" w:rsidP="00B2088F">
            <w:pPr>
              <w:ind w:right="-29"/>
              <w:jc w:val="center"/>
              <w:rPr>
                <w:noProof/>
                <w:sz w:val="18"/>
              </w:rPr>
            </w:pPr>
            <w:r w:rsidRPr="008B17C0">
              <w:rPr>
                <w:noProof/>
                <w:sz w:val="18"/>
              </w:rPr>
              <w:t>469</w:t>
            </w:r>
          </w:p>
        </w:tc>
        <w:tc>
          <w:tcPr>
            <w:tcW w:w="720" w:type="dxa"/>
            <w:tcBorders>
              <w:top w:val="single" w:sz="4" w:space="0" w:color="auto"/>
              <w:left w:val="single" w:sz="4" w:space="0" w:color="auto"/>
              <w:bottom w:val="single" w:sz="4" w:space="0" w:color="auto"/>
              <w:right w:val="single" w:sz="4" w:space="0" w:color="auto"/>
            </w:tcBorders>
          </w:tcPr>
          <w:p w14:paraId="71778C52" w14:textId="77777777" w:rsidR="001B6792" w:rsidRPr="008B17C0" w:rsidRDefault="001B6792" w:rsidP="00B2088F">
            <w:pPr>
              <w:ind w:right="-29"/>
              <w:jc w:val="center"/>
              <w:rPr>
                <w:noProof/>
                <w:sz w:val="18"/>
              </w:rPr>
            </w:pPr>
          </w:p>
        </w:tc>
        <w:tc>
          <w:tcPr>
            <w:tcW w:w="900" w:type="dxa"/>
            <w:tcBorders>
              <w:top w:val="single" w:sz="4" w:space="0" w:color="auto"/>
              <w:left w:val="single" w:sz="4" w:space="0" w:color="auto"/>
              <w:bottom w:val="single" w:sz="4" w:space="0" w:color="auto"/>
              <w:right w:val="single" w:sz="4" w:space="0" w:color="auto"/>
            </w:tcBorders>
          </w:tcPr>
          <w:p w14:paraId="124F0F37" w14:textId="2B2F72A1" w:rsidR="001B6792" w:rsidRPr="008B17C0" w:rsidRDefault="00E47757" w:rsidP="00D03B63">
            <w:pPr>
              <w:ind w:right="-29"/>
              <w:jc w:val="center"/>
              <w:rPr>
                <w:noProof/>
                <w:sz w:val="18"/>
                <w:szCs w:val="18"/>
              </w:rPr>
            </w:pPr>
            <w:r w:rsidRPr="008B17C0">
              <w:rPr>
                <w:noProof/>
                <w:sz w:val="18"/>
                <w:szCs w:val="18"/>
              </w:rPr>
              <w:t>1 637</w:t>
            </w:r>
          </w:p>
        </w:tc>
      </w:tr>
      <w:tr w:rsidR="001B6792" w:rsidRPr="008B17C0" w14:paraId="14A24E71" w14:textId="77777777" w:rsidTr="006A0D14">
        <w:trPr>
          <w:trHeight w:hRule="exact" w:val="1329"/>
          <w:jc w:val="center"/>
        </w:trPr>
        <w:tc>
          <w:tcPr>
            <w:tcW w:w="1423" w:type="dxa"/>
          </w:tcPr>
          <w:p w14:paraId="7FED0869" w14:textId="77777777" w:rsidR="001B6792" w:rsidRPr="008B17C0" w:rsidRDefault="001B6792" w:rsidP="00B2088F">
            <w:pPr>
              <w:ind w:right="-29"/>
              <w:jc w:val="center"/>
              <w:rPr>
                <w:noProof/>
                <w:sz w:val="18"/>
              </w:rPr>
            </w:pPr>
            <w:r w:rsidRPr="008B17C0">
              <w:rPr>
                <w:noProof/>
                <w:sz w:val="18"/>
              </w:rPr>
              <w:t>— Resultat</w:t>
            </w:r>
          </w:p>
        </w:tc>
        <w:tc>
          <w:tcPr>
            <w:tcW w:w="1421" w:type="dxa"/>
            <w:gridSpan w:val="2"/>
          </w:tcPr>
          <w:p w14:paraId="436895F6" w14:textId="77777777" w:rsidR="001B6792" w:rsidRPr="008B17C0" w:rsidRDefault="001B6792" w:rsidP="00B2088F">
            <w:pPr>
              <w:ind w:right="-29"/>
              <w:jc w:val="center"/>
              <w:rPr>
                <w:noProof/>
                <w:sz w:val="18"/>
              </w:rPr>
            </w:pPr>
            <w:r w:rsidRPr="008B17C0">
              <w:rPr>
                <w:noProof/>
                <w:sz w:val="18"/>
              </w:rPr>
              <w:t>Personoplysninger videregivet på en struktureret, halvautomatisk måde</w:t>
            </w:r>
          </w:p>
        </w:tc>
        <w:tc>
          <w:tcPr>
            <w:tcW w:w="504" w:type="dxa"/>
            <w:tcBorders>
              <w:top w:val="single" w:sz="4" w:space="0" w:color="auto"/>
              <w:left w:val="single" w:sz="4" w:space="0" w:color="auto"/>
              <w:bottom w:val="single" w:sz="4" w:space="0" w:color="auto"/>
              <w:right w:val="single" w:sz="4" w:space="0" w:color="auto"/>
            </w:tcBorders>
          </w:tcPr>
          <w:p w14:paraId="1E4DD4E9" w14:textId="77777777" w:rsidR="001B6792" w:rsidRPr="008B17C0" w:rsidRDefault="001B6792" w:rsidP="00B2088F">
            <w:pPr>
              <w:ind w:right="-29"/>
              <w:jc w:val="center"/>
              <w:rPr>
                <w:noProof/>
                <w:sz w:val="18"/>
              </w:rPr>
            </w:pPr>
          </w:p>
        </w:tc>
        <w:tc>
          <w:tcPr>
            <w:tcW w:w="720" w:type="dxa"/>
            <w:tcBorders>
              <w:top w:val="single" w:sz="4" w:space="0" w:color="auto"/>
              <w:left w:val="single" w:sz="4" w:space="0" w:color="auto"/>
              <w:bottom w:val="single" w:sz="4" w:space="0" w:color="auto"/>
              <w:right w:val="single" w:sz="4" w:space="0" w:color="auto"/>
            </w:tcBorders>
          </w:tcPr>
          <w:p w14:paraId="2AEDC09E" w14:textId="3EF0429F" w:rsidR="001B6792" w:rsidRPr="008B17C0" w:rsidRDefault="00900A33" w:rsidP="00B2088F">
            <w:pPr>
              <w:ind w:right="-29"/>
              <w:jc w:val="center"/>
              <w:rPr>
                <w:noProof/>
                <w:sz w:val="18"/>
              </w:rPr>
            </w:pPr>
            <w:r w:rsidRPr="008B17C0">
              <w:rPr>
                <w:noProof/>
                <w:sz w:val="18"/>
              </w:rPr>
              <w:t>108</w:t>
            </w:r>
          </w:p>
        </w:tc>
        <w:tc>
          <w:tcPr>
            <w:tcW w:w="540" w:type="dxa"/>
            <w:tcBorders>
              <w:top w:val="single" w:sz="4" w:space="0" w:color="auto"/>
              <w:left w:val="single" w:sz="4" w:space="0" w:color="auto"/>
              <w:bottom w:val="single" w:sz="4" w:space="0" w:color="auto"/>
              <w:right w:val="single" w:sz="4" w:space="0" w:color="auto"/>
            </w:tcBorders>
          </w:tcPr>
          <w:p w14:paraId="7E033C4B" w14:textId="77777777" w:rsidR="001B6792" w:rsidRPr="008B17C0" w:rsidRDefault="001B6792" w:rsidP="00B2088F">
            <w:pPr>
              <w:ind w:right="-29"/>
              <w:jc w:val="center"/>
              <w:rPr>
                <w:noProof/>
                <w:sz w:val="18"/>
              </w:rPr>
            </w:pPr>
          </w:p>
        </w:tc>
        <w:tc>
          <w:tcPr>
            <w:tcW w:w="720" w:type="dxa"/>
            <w:tcBorders>
              <w:top w:val="single" w:sz="4" w:space="0" w:color="auto"/>
              <w:left w:val="single" w:sz="4" w:space="0" w:color="auto"/>
              <w:bottom w:val="single" w:sz="4" w:space="0" w:color="auto"/>
              <w:right w:val="single" w:sz="4" w:space="0" w:color="auto"/>
            </w:tcBorders>
          </w:tcPr>
          <w:p w14:paraId="5D2D13B6" w14:textId="6BB03D45" w:rsidR="001B6792" w:rsidRPr="008B17C0" w:rsidRDefault="001B6792" w:rsidP="00900A33">
            <w:pPr>
              <w:ind w:right="-29"/>
              <w:jc w:val="center"/>
              <w:rPr>
                <w:noProof/>
                <w:sz w:val="18"/>
              </w:rPr>
            </w:pPr>
            <w:r w:rsidRPr="008B17C0">
              <w:rPr>
                <w:noProof/>
                <w:sz w:val="18"/>
              </w:rPr>
              <w:t>541</w:t>
            </w:r>
          </w:p>
        </w:tc>
        <w:tc>
          <w:tcPr>
            <w:tcW w:w="763" w:type="dxa"/>
            <w:tcBorders>
              <w:top w:val="single" w:sz="4" w:space="0" w:color="auto"/>
              <w:left w:val="single" w:sz="4" w:space="0" w:color="auto"/>
              <w:bottom w:val="single" w:sz="4" w:space="0" w:color="auto"/>
              <w:right w:val="single" w:sz="4" w:space="0" w:color="auto"/>
            </w:tcBorders>
          </w:tcPr>
          <w:p w14:paraId="255A20BC" w14:textId="77777777" w:rsidR="001B6792" w:rsidRPr="008B17C0" w:rsidRDefault="001B6792" w:rsidP="00B2088F">
            <w:pPr>
              <w:ind w:right="-29"/>
              <w:jc w:val="center"/>
              <w:rPr>
                <w:noProof/>
                <w:sz w:val="18"/>
              </w:rPr>
            </w:pPr>
          </w:p>
        </w:tc>
        <w:tc>
          <w:tcPr>
            <w:tcW w:w="708" w:type="dxa"/>
            <w:tcBorders>
              <w:top w:val="single" w:sz="4" w:space="0" w:color="auto"/>
              <w:left w:val="single" w:sz="4" w:space="0" w:color="auto"/>
              <w:bottom w:val="single" w:sz="4" w:space="0" w:color="auto"/>
              <w:right w:val="single" w:sz="4" w:space="0" w:color="auto"/>
            </w:tcBorders>
          </w:tcPr>
          <w:p w14:paraId="0DA68A31" w14:textId="77777777" w:rsidR="001B6792" w:rsidRPr="008B17C0" w:rsidRDefault="001B6792" w:rsidP="00B2088F">
            <w:pPr>
              <w:ind w:right="-29"/>
              <w:jc w:val="center"/>
              <w:rPr>
                <w:noProof/>
                <w:sz w:val="18"/>
              </w:rPr>
            </w:pPr>
            <w:r w:rsidRPr="008B17C0">
              <w:rPr>
                <w:noProof/>
                <w:sz w:val="18"/>
              </w:rPr>
              <w:t>520</w:t>
            </w:r>
          </w:p>
        </w:tc>
        <w:tc>
          <w:tcPr>
            <w:tcW w:w="567" w:type="dxa"/>
            <w:tcBorders>
              <w:top w:val="single" w:sz="4" w:space="0" w:color="auto"/>
              <w:left w:val="single" w:sz="4" w:space="0" w:color="auto"/>
              <w:bottom w:val="single" w:sz="4" w:space="0" w:color="auto"/>
              <w:right w:val="single" w:sz="4" w:space="0" w:color="auto"/>
            </w:tcBorders>
          </w:tcPr>
          <w:p w14:paraId="49102EA0" w14:textId="77777777" w:rsidR="001B6792" w:rsidRPr="008B17C0" w:rsidRDefault="001B6792" w:rsidP="00B2088F">
            <w:pPr>
              <w:ind w:right="-29"/>
              <w:jc w:val="center"/>
              <w:rPr>
                <w:noProof/>
                <w:sz w:val="18"/>
              </w:rPr>
            </w:pPr>
          </w:p>
        </w:tc>
        <w:tc>
          <w:tcPr>
            <w:tcW w:w="758" w:type="dxa"/>
            <w:gridSpan w:val="2"/>
            <w:tcBorders>
              <w:top w:val="single" w:sz="4" w:space="0" w:color="auto"/>
              <w:left w:val="single" w:sz="4" w:space="0" w:color="auto"/>
              <w:bottom w:val="single" w:sz="4" w:space="0" w:color="auto"/>
              <w:right w:val="single" w:sz="4" w:space="0" w:color="auto"/>
            </w:tcBorders>
          </w:tcPr>
          <w:p w14:paraId="0CD98C24" w14:textId="77E14350" w:rsidR="001B6792" w:rsidRPr="008B17C0" w:rsidRDefault="00D03B63" w:rsidP="00B2088F">
            <w:pPr>
              <w:ind w:right="-29"/>
              <w:jc w:val="center"/>
              <w:rPr>
                <w:noProof/>
                <w:sz w:val="18"/>
              </w:rPr>
            </w:pPr>
            <w:r w:rsidRPr="008B17C0">
              <w:rPr>
                <w:noProof/>
                <w:sz w:val="18"/>
              </w:rPr>
              <w:t>469</w:t>
            </w:r>
          </w:p>
        </w:tc>
        <w:tc>
          <w:tcPr>
            <w:tcW w:w="720" w:type="dxa"/>
            <w:tcBorders>
              <w:top w:val="single" w:sz="4" w:space="0" w:color="auto"/>
              <w:left w:val="single" w:sz="4" w:space="0" w:color="auto"/>
              <w:bottom w:val="single" w:sz="4" w:space="0" w:color="auto"/>
              <w:right w:val="single" w:sz="4" w:space="0" w:color="auto"/>
            </w:tcBorders>
          </w:tcPr>
          <w:p w14:paraId="3489A6F6" w14:textId="77777777" w:rsidR="001B6792" w:rsidRPr="008B17C0" w:rsidRDefault="001B6792" w:rsidP="00B2088F">
            <w:pPr>
              <w:ind w:right="-29"/>
              <w:jc w:val="center"/>
              <w:rPr>
                <w:noProof/>
                <w:sz w:val="18"/>
              </w:rPr>
            </w:pPr>
          </w:p>
        </w:tc>
        <w:tc>
          <w:tcPr>
            <w:tcW w:w="900" w:type="dxa"/>
            <w:tcBorders>
              <w:top w:val="single" w:sz="4" w:space="0" w:color="auto"/>
              <w:left w:val="single" w:sz="4" w:space="0" w:color="auto"/>
              <w:bottom w:val="single" w:sz="4" w:space="0" w:color="auto"/>
              <w:right w:val="single" w:sz="4" w:space="0" w:color="auto"/>
            </w:tcBorders>
          </w:tcPr>
          <w:p w14:paraId="1FD6F5D9" w14:textId="795A11C8" w:rsidR="001B6792" w:rsidRPr="008B17C0" w:rsidRDefault="00E47757" w:rsidP="00D03B63">
            <w:pPr>
              <w:ind w:right="-29"/>
              <w:jc w:val="center"/>
              <w:rPr>
                <w:noProof/>
                <w:sz w:val="18"/>
                <w:szCs w:val="18"/>
              </w:rPr>
            </w:pPr>
            <w:r w:rsidRPr="008B17C0">
              <w:rPr>
                <w:noProof/>
                <w:sz w:val="18"/>
                <w:szCs w:val="18"/>
              </w:rPr>
              <w:t>1 637</w:t>
            </w:r>
          </w:p>
        </w:tc>
      </w:tr>
      <w:tr w:rsidR="001B6792" w:rsidRPr="008B17C0" w14:paraId="3A697551" w14:textId="77777777" w:rsidTr="006A0D14">
        <w:trPr>
          <w:trHeight w:hRule="exact" w:val="1329"/>
          <w:jc w:val="center"/>
        </w:trPr>
        <w:tc>
          <w:tcPr>
            <w:tcW w:w="1423" w:type="dxa"/>
          </w:tcPr>
          <w:p w14:paraId="31A7F8E7" w14:textId="77777777" w:rsidR="001B6792" w:rsidRPr="008B17C0" w:rsidRDefault="001B6792" w:rsidP="00B2088F">
            <w:pPr>
              <w:ind w:right="-29"/>
              <w:jc w:val="center"/>
              <w:rPr>
                <w:noProof/>
                <w:sz w:val="18"/>
              </w:rPr>
            </w:pPr>
            <w:r w:rsidRPr="008B17C0">
              <w:rPr>
                <w:noProof/>
                <w:sz w:val="18"/>
              </w:rPr>
              <w:t>— Resultat</w:t>
            </w:r>
          </w:p>
        </w:tc>
        <w:tc>
          <w:tcPr>
            <w:tcW w:w="1421" w:type="dxa"/>
            <w:gridSpan w:val="2"/>
          </w:tcPr>
          <w:p w14:paraId="14048412" w14:textId="77777777" w:rsidR="001B6792" w:rsidRPr="008B17C0" w:rsidRDefault="001B6792" w:rsidP="00B2088F">
            <w:pPr>
              <w:ind w:right="-29"/>
              <w:jc w:val="center"/>
              <w:rPr>
                <w:noProof/>
                <w:sz w:val="18"/>
              </w:rPr>
            </w:pPr>
            <w:r w:rsidRPr="008B17C0">
              <w:rPr>
                <w:noProof/>
                <w:sz w:val="18"/>
              </w:rPr>
              <w:t>Udveksling af oplysninger med tredjelande</w:t>
            </w:r>
          </w:p>
        </w:tc>
        <w:tc>
          <w:tcPr>
            <w:tcW w:w="504" w:type="dxa"/>
            <w:tcBorders>
              <w:top w:val="single" w:sz="4" w:space="0" w:color="auto"/>
              <w:left w:val="single" w:sz="4" w:space="0" w:color="auto"/>
              <w:bottom w:val="single" w:sz="4" w:space="0" w:color="auto"/>
              <w:right w:val="single" w:sz="4" w:space="0" w:color="auto"/>
            </w:tcBorders>
          </w:tcPr>
          <w:p w14:paraId="0C4B6B54" w14:textId="77777777" w:rsidR="001B6792" w:rsidRPr="008B17C0" w:rsidRDefault="001B6792" w:rsidP="00B2088F">
            <w:pPr>
              <w:ind w:right="-29"/>
              <w:jc w:val="center"/>
              <w:rPr>
                <w:noProof/>
                <w:sz w:val="18"/>
              </w:rPr>
            </w:pPr>
          </w:p>
        </w:tc>
        <w:tc>
          <w:tcPr>
            <w:tcW w:w="720" w:type="dxa"/>
            <w:tcBorders>
              <w:top w:val="single" w:sz="4" w:space="0" w:color="auto"/>
              <w:left w:val="single" w:sz="4" w:space="0" w:color="auto"/>
              <w:bottom w:val="single" w:sz="4" w:space="0" w:color="auto"/>
              <w:right w:val="single" w:sz="4" w:space="0" w:color="auto"/>
            </w:tcBorders>
          </w:tcPr>
          <w:p w14:paraId="44611F40" w14:textId="1BD1BF46" w:rsidR="001B6792" w:rsidRPr="008B17C0" w:rsidRDefault="00900A33" w:rsidP="00B2088F">
            <w:pPr>
              <w:ind w:right="-29"/>
              <w:jc w:val="center"/>
              <w:rPr>
                <w:noProof/>
                <w:sz w:val="18"/>
              </w:rPr>
            </w:pPr>
            <w:r w:rsidRPr="008B17C0">
              <w:rPr>
                <w:noProof/>
                <w:sz w:val="18"/>
              </w:rPr>
              <w:t>108</w:t>
            </w:r>
          </w:p>
        </w:tc>
        <w:tc>
          <w:tcPr>
            <w:tcW w:w="540" w:type="dxa"/>
            <w:tcBorders>
              <w:top w:val="single" w:sz="4" w:space="0" w:color="auto"/>
              <w:left w:val="single" w:sz="4" w:space="0" w:color="auto"/>
              <w:bottom w:val="single" w:sz="4" w:space="0" w:color="auto"/>
              <w:right w:val="single" w:sz="4" w:space="0" w:color="auto"/>
            </w:tcBorders>
          </w:tcPr>
          <w:p w14:paraId="5CF8BAC2" w14:textId="77777777" w:rsidR="001B6792" w:rsidRPr="008B17C0" w:rsidRDefault="001B6792" w:rsidP="00B2088F">
            <w:pPr>
              <w:ind w:right="-29"/>
              <w:jc w:val="center"/>
              <w:rPr>
                <w:noProof/>
                <w:sz w:val="18"/>
              </w:rPr>
            </w:pPr>
          </w:p>
        </w:tc>
        <w:tc>
          <w:tcPr>
            <w:tcW w:w="720" w:type="dxa"/>
            <w:tcBorders>
              <w:top w:val="single" w:sz="4" w:space="0" w:color="auto"/>
              <w:left w:val="single" w:sz="4" w:space="0" w:color="auto"/>
              <w:bottom w:val="single" w:sz="4" w:space="0" w:color="auto"/>
              <w:right w:val="single" w:sz="4" w:space="0" w:color="auto"/>
            </w:tcBorders>
          </w:tcPr>
          <w:p w14:paraId="4D217C84" w14:textId="3C149A86" w:rsidR="001B6792" w:rsidRPr="008B17C0" w:rsidRDefault="001B6792" w:rsidP="00900A33">
            <w:pPr>
              <w:ind w:right="-29"/>
              <w:jc w:val="center"/>
              <w:rPr>
                <w:noProof/>
                <w:sz w:val="18"/>
              </w:rPr>
            </w:pPr>
            <w:r w:rsidRPr="008B17C0">
              <w:rPr>
                <w:noProof/>
                <w:sz w:val="18"/>
              </w:rPr>
              <w:t>541</w:t>
            </w:r>
          </w:p>
        </w:tc>
        <w:tc>
          <w:tcPr>
            <w:tcW w:w="763" w:type="dxa"/>
            <w:tcBorders>
              <w:top w:val="single" w:sz="4" w:space="0" w:color="auto"/>
              <w:left w:val="single" w:sz="4" w:space="0" w:color="auto"/>
              <w:bottom w:val="single" w:sz="4" w:space="0" w:color="auto"/>
              <w:right w:val="single" w:sz="4" w:space="0" w:color="auto"/>
            </w:tcBorders>
          </w:tcPr>
          <w:p w14:paraId="18B2BE34" w14:textId="77777777" w:rsidR="001B6792" w:rsidRPr="008B17C0" w:rsidRDefault="001B6792" w:rsidP="00B2088F">
            <w:pPr>
              <w:ind w:right="-29"/>
              <w:jc w:val="center"/>
              <w:rPr>
                <w:noProof/>
                <w:sz w:val="18"/>
              </w:rPr>
            </w:pPr>
          </w:p>
        </w:tc>
        <w:tc>
          <w:tcPr>
            <w:tcW w:w="708" w:type="dxa"/>
            <w:tcBorders>
              <w:top w:val="single" w:sz="4" w:space="0" w:color="auto"/>
              <w:left w:val="single" w:sz="4" w:space="0" w:color="auto"/>
              <w:bottom w:val="single" w:sz="4" w:space="0" w:color="auto"/>
              <w:right w:val="single" w:sz="4" w:space="0" w:color="auto"/>
            </w:tcBorders>
          </w:tcPr>
          <w:p w14:paraId="1C379A19" w14:textId="77777777" w:rsidR="001B6792" w:rsidRPr="008B17C0" w:rsidRDefault="001B6792" w:rsidP="00B2088F">
            <w:pPr>
              <w:ind w:right="-29"/>
              <w:jc w:val="center"/>
              <w:rPr>
                <w:noProof/>
                <w:sz w:val="18"/>
              </w:rPr>
            </w:pPr>
            <w:r w:rsidRPr="008B17C0">
              <w:rPr>
                <w:noProof/>
                <w:sz w:val="18"/>
              </w:rPr>
              <w:t>520</w:t>
            </w:r>
          </w:p>
        </w:tc>
        <w:tc>
          <w:tcPr>
            <w:tcW w:w="567" w:type="dxa"/>
            <w:tcBorders>
              <w:top w:val="single" w:sz="4" w:space="0" w:color="auto"/>
              <w:left w:val="single" w:sz="4" w:space="0" w:color="auto"/>
              <w:bottom w:val="single" w:sz="4" w:space="0" w:color="auto"/>
              <w:right w:val="single" w:sz="4" w:space="0" w:color="auto"/>
            </w:tcBorders>
          </w:tcPr>
          <w:p w14:paraId="1C1F7651" w14:textId="77777777" w:rsidR="001B6792" w:rsidRPr="008B17C0" w:rsidRDefault="001B6792" w:rsidP="00B2088F">
            <w:pPr>
              <w:ind w:right="-29"/>
              <w:jc w:val="center"/>
              <w:rPr>
                <w:noProof/>
                <w:sz w:val="18"/>
              </w:rPr>
            </w:pPr>
          </w:p>
        </w:tc>
        <w:tc>
          <w:tcPr>
            <w:tcW w:w="758" w:type="dxa"/>
            <w:gridSpan w:val="2"/>
            <w:tcBorders>
              <w:top w:val="single" w:sz="4" w:space="0" w:color="auto"/>
              <w:left w:val="single" w:sz="4" w:space="0" w:color="auto"/>
              <w:bottom w:val="single" w:sz="4" w:space="0" w:color="auto"/>
              <w:right w:val="single" w:sz="4" w:space="0" w:color="auto"/>
            </w:tcBorders>
          </w:tcPr>
          <w:p w14:paraId="7E0AD4F8" w14:textId="37909939" w:rsidR="001B6792" w:rsidRPr="008B17C0" w:rsidRDefault="00D03B63" w:rsidP="00B2088F">
            <w:pPr>
              <w:ind w:right="-29"/>
              <w:jc w:val="center"/>
              <w:rPr>
                <w:noProof/>
                <w:sz w:val="18"/>
              </w:rPr>
            </w:pPr>
            <w:r w:rsidRPr="008B17C0">
              <w:rPr>
                <w:noProof/>
                <w:sz w:val="18"/>
              </w:rPr>
              <w:t>469</w:t>
            </w:r>
          </w:p>
        </w:tc>
        <w:tc>
          <w:tcPr>
            <w:tcW w:w="720" w:type="dxa"/>
            <w:tcBorders>
              <w:top w:val="single" w:sz="4" w:space="0" w:color="auto"/>
              <w:left w:val="single" w:sz="4" w:space="0" w:color="auto"/>
              <w:bottom w:val="single" w:sz="4" w:space="0" w:color="auto"/>
              <w:right w:val="single" w:sz="4" w:space="0" w:color="auto"/>
            </w:tcBorders>
          </w:tcPr>
          <w:p w14:paraId="196ACB60" w14:textId="77777777" w:rsidR="001B6792" w:rsidRPr="008B17C0" w:rsidRDefault="001B6792" w:rsidP="00B2088F">
            <w:pPr>
              <w:ind w:right="-29"/>
              <w:jc w:val="center"/>
              <w:rPr>
                <w:noProof/>
                <w:sz w:val="18"/>
              </w:rPr>
            </w:pPr>
          </w:p>
        </w:tc>
        <w:tc>
          <w:tcPr>
            <w:tcW w:w="900" w:type="dxa"/>
            <w:tcBorders>
              <w:top w:val="single" w:sz="4" w:space="0" w:color="auto"/>
              <w:left w:val="single" w:sz="4" w:space="0" w:color="auto"/>
              <w:bottom w:val="single" w:sz="4" w:space="0" w:color="auto"/>
              <w:right w:val="single" w:sz="4" w:space="0" w:color="auto"/>
            </w:tcBorders>
          </w:tcPr>
          <w:p w14:paraId="3108D1E8" w14:textId="4E4FF536" w:rsidR="001B6792" w:rsidRPr="008B17C0" w:rsidRDefault="00E47757" w:rsidP="00D03B63">
            <w:pPr>
              <w:ind w:right="-29"/>
              <w:jc w:val="center"/>
              <w:rPr>
                <w:noProof/>
                <w:sz w:val="18"/>
                <w:szCs w:val="18"/>
              </w:rPr>
            </w:pPr>
            <w:r w:rsidRPr="008B17C0">
              <w:rPr>
                <w:noProof/>
                <w:sz w:val="18"/>
                <w:szCs w:val="18"/>
              </w:rPr>
              <w:t>1 637</w:t>
            </w:r>
          </w:p>
        </w:tc>
      </w:tr>
      <w:tr w:rsidR="001B6792" w:rsidRPr="008B17C0" w14:paraId="0B04F63B" w14:textId="77777777" w:rsidTr="006A0D14">
        <w:trPr>
          <w:jc w:val="center"/>
        </w:trPr>
        <w:tc>
          <w:tcPr>
            <w:tcW w:w="2844" w:type="dxa"/>
            <w:gridSpan w:val="3"/>
            <w:tcBorders>
              <w:bottom w:val="single" w:sz="12" w:space="0" w:color="auto"/>
            </w:tcBorders>
            <w:vAlign w:val="center"/>
          </w:tcPr>
          <w:p w14:paraId="7AC67B90" w14:textId="77777777" w:rsidR="001B6792" w:rsidRPr="008B17C0" w:rsidRDefault="001B6792" w:rsidP="00B2088F">
            <w:pPr>
              <w:jc w:val="center"/>
              <w:rPr>
                <w:noProof/>
                <w:sz w:val="18"/>
              </w:rPr>
            </w:pPr>
            <w:r w:rsidRPr="008B17C0">
              <w:rPr>
                <w:noProof/>
                <w:sz w:val="18"/>
              </w:rPr>
              <w:t>Subtotal for specifikt mål nr. 2</w:t>
            </w:r>
          </w:p>
        </w:tc>
        <w:tc>
          <w:tcPr>
            <w:tcW w:w="504" w:type="dxa"/>
            <w:tcBorders>
              <w:bottom w:val="single" w:sz="12" w:space="0" w:color="auto"/>
            </w:tcBorders>
          </w:tcPr>
          <w:p w14:paraId="2B7F4D08" w14:textId="77777777" w:rsidR="001B6792" w:rsidRPr="008B17C0" w:rsidRDefault="001B6792" w:rsidP="00B2088F">
            <w:pPr>
              <w:ind w:right="-29"/>
              <w:jc w:val="center"/>
              <w:rPr>
                <w:noProof/>
                <w:sz w:val="18"/>
              </w:rPr>
            </w:pPr>
          </w:p>
        </w:tc>
        <w:tc>
          <w:tcPr>
            <w:tcW w:w="720" w:type="dxa"/>
            <w:tcBorders>
              <w:top w:val="single" w:sz="4" w:space="0" w:color="auto"/>
              <w:left w:val="single" w:sz="4" w:space="0" w:color="auto"/>
              <w:bottom w:val="single" w:sz="12" w:space="0" w:color="auto"/>
              <w:right w:val="single" w:sz="4" w:space="0" w:color="auto"/>
            </w:tcBorders>
          </w:tcPr>
          <w:p w14:paraId="4DBB005A" w14:textId="2DBC7E19" w:rsidR="001B6792" w:rsidRPr="008B17C0" w:rsidRDefault="00900A33" w:rsidP="00B2088F">
            <w:pPr>
              <w:ind w:right="-29"/>
              <w:jc w:val="center"/>
              <w:rPr>
                <w:noProof/>
                <w:sz w:val="18"/>
              </w:rPr>
            </w:pPr>
            <w:r w:rsidRPr="008B17C0">
              <w:rPr>
                <w:noProof/>
                <w:sz w:val="18"/>
              </w:rPr>
              <w:t>324</w:t>
            </w:r>
          </w:p>
        </w:tc>
        <w:tc>
          <w:tcPr>
            <w:tcW w:w="540" w:type="dxa"/>
            <w:tcBorders>
              <w:top w:val="single" w:sz="4" w:space="0" w:color="auto"/>
              <w:left w:val="single" w:sz="4" w:space="0" w:color="auto"/>
              <w:bottom w:val="single" w:sz="12" w:space="0" w:color="auto"/>
              <w:right w:val="single" w:sz="4" w:space="0" w:color="auto"/>
            </w:tcBorders>
          </w:tcPr>
          <w:p w14:paraId="1A094B5F" w14:textId="77777777" w:rsidR="001B6792" w:rsidRPr="008B17C0" w:rsidRDefault="001B6792" w:rsidP="00B2088F">
            <w:pPr>
              <w:ind w:right="-29"/>
              <w:jc w:val="center"/>
              <w:rPr>
                <w:noProof/>
                <w:sz w:val="18"/>
              </w:rPr>
            </w:pPr>
          </w:p>
        </w:tc>
        <w:tc>
          <w:tcPr>
            <w:tcW w:w="720" w:type="dxa"/>
            <w:tcBorders>
              <w:top w:val="single" w:sz="4" w:space="0" w:color="auto"/>
              <w:left w:val="single" w:sz="4" w:space="0" w:color="auto"/>
              <w:bottom w:val="single" w:sz="12" w:space="0" w:color="auto"/>
              <w:right w:val="single" w:sz="4" w:space="0" w:color="auto"/>
            </w:tcBorders>
          </w:tcPr>
          <w:p w14:paraId="719D4AB5" w14:textId="0C8712C0" w:rsidR="001B6792" w:rsidRPr="008B17C0" w:rsidRDefault="001B6792" w:rsidP="00900A33">
            <w:pPr>
              <w:ind w:right="-29"/>
              <w:jc w:val="center"/>
              <w:rPr>
                <w:noProof/>
                <w:sz w:val="18"/>
              </w:rPr>
            </w:pPr>
            <w:r w:rsidRPr="008B17C0">
              <w:rPr>
                <w:noProof/>
                <w:sz w:val="18"/>
              </w:rPr>
              <w:t>1 622</w:t>
            </w:r>
          </w:p>
        </w:tc>
        <w:tc>
          <w:tcPr>
            <w:tcW w:w="763" w:type="dxa"/>
            <w:tcBorders>
              <w:top w:val="single" w:sz="4" w:space="0" w:color="auto"/>
              <w:left w:val="single" w:sz="4" w:space="0" w:color="auto"/>
              <w:bottom w:val="single" w:sz="12" w:space="0" w:color="auto"/>
              <w:right w:val="single" w:sz="4" w:space="0" w:color="auto"/>
            </w:tcBorders>
          </w:tcPr>
          <w:p w14:paraId="3A4801BB" w14:textId="77777777" w:rsidR="001B6792" w:rsidRPr="008B17C0" w:rsidRDefault="001B6792" w:rsidP="00B2088F">
            <w:pPr>
              <w:ind w:right="-29"/>
              <w:jc w:val="center"/>
              <w:rPr>
                <w:noProof/>
                <w:sz w:val="18"/>
              </w:rPr>
            </w:pPr>
          </w:p>
        </w:tc>
        <w:tc>
          <w:tcPr>
            <w:tcW w:w="708" w:type="dxa"/>
            <w:tcBorders>
              <w:top w:val="single" w:sz="4" w:space="0" w:color="auto"/>
              <w:left w:val="single" w:sz="4" w:space="0" w:color="auto"/>
              <w:bottom w:val="single" w:sz="12" w:space="0" w:color="auto"/>
              <w:right w:val="single" w:sz="4" w:space="0" w:color="auto"/>
            </w:tcBorders>
          </w:tcPr>
          <w:p w14:paraId="77774610" w14:textId="77777777" w:rsidR="001B6792" w:rsidRPr="008B17C0" w:rsidRDefault="001B6792" w:rsidP="00B2088F">
            <w:pPr>
              <w:ind w:right="-29"/>
              <w:jc w:val="center"/>
              <w:rPr>
                <w:noProof/>
                <w:sz w:val="18"/>
              </w:rPr>
            </w:pPr>
            <w:r w:rsidRPr="008B17C0">
              <w:rPr>
                <w:noProof/>
                <w:sz w:val="18"/>
              </w:rPr>
              <w:t>1 560</w:t>
            </w:r>
          </w:p>
        </w:tc>
        <w:tc>
          <w:tcPr>
            <w:tcW w:w="567" w:type="dxa"/>
            <w:tcBorders>
              <w:top w:val="single" w:sz="4" w:space="0" w:color="auto"/>
              <w:left w:val="single" w:sz="4" w:space="0" w:color="auto"/>
              <w:bottom w:val="single" w:sz="12" w:space="0" w:color="auto"/>
              <w:right w:val="single" w:sz="4" w:space="0" w:color="auto"/>
            </w:tcBorders>
          </w:tcPr>
          <w:p w14:paraId="35C7B991" w14:textId="77777777" w:rsidR="001B6792" w:rsidRPr="008B17C0" w:rsidRDefault="001B6792" w:rsidP="00B2088F">
            <w:pPr>
              <w:ind w:right="-29"/>
              <w:jc w:val="center"/>
              <w:rPr>
                <w:noProof/>
                <w:sz w:val="18"/>
              </w:rPr>
            </w:pPr>
          </w:p>
        </w:tc>
        <w:tc>
          <w:tcPr>
            <w:tcW w:w="758" w:type="dxa"/>
            <w:gridSpan w:val="2"/>
            <w:tcBorders>
              <w:top w:val="single" w:sz="4" w:space="0" w:color="auto"/>
              <w:left w:val="single" w:sz="4" w:space="0" w:color="auto"/>
              <w:bottom w:val="single" w:sz="12" w:space="0" w:color="auto"/>
              <w:right w:val="single" w:sz="4" w:space="0" w:color="auto"/>
            </w:tcBorders>
          </w:tcPr>
          <w:p w14:paraId="4A26BCED" w14:textId="39DDA9EB" w:rsidR="001B6792" w:rsidRPr="008B17C0" w:rsidRDefault="00D03B63" w:rsidP="00B2088F">
            <w:pPr>
              <w:ind w:right="-29"/>
              <w:jc w:val="center"/>
              <w:rPr>
                <w:noProof/>
                <w:sz w:val="18"/>
              </w:rPr>
            </w:pPr>
            <w:r w:rsidRPr="008B17C0">
              <w:rPr>
                <w:noProof/>
                <w:sz w:val="18"/>
              </w:rPr>
              <w:t>1 406</w:t>
            </w:r>
          </w:p>
        </w:tc>
        <w:tc>
          <w:tcPr>
            <w:tcW w:w="720" w:type="dxa"/>
            <w:tcBorders>
              <w:top w:val="single" w:sz="4" w:space="0" w:color="auto"/>
              <w:left w:val="single" w:sz="4" w:space="0" w:color="auto"/>
              <w:bottom w:val="single" w:sz="12" w:space="0" w:color="auto"/>
              <w:right w:val="single" w:sz="4" w:space="0" w:color="auto"/>
            </w:tcBorders>
          </w:tcPr>
          <w:p w14:paraId="77DD8BEC" w14:textId="77777777" w:rsidR="001B6792" w:rsidRPr="008B17C0" w:rsidRDefault="001B6792" w:rsidP="00B2088F">
            <w:pPr>
              <w:ind w:right="-29"/>
              <w:jc w:val="center"/>
              <w:rPr>
                <w:noProof/>
                <w:sz w:val="18"/>
              </w:rPr>
            </w:pPr>
          </w:p>
        </w:tc>
        <w:tc>
          <w:tcPr>
            <w:tcW w:w="900" w:type="dxa"/>
            <w:tcBorders>
              <w:top w:val="single" w:sz="4" w:space="0" w:color="auto"/>
              <w:left w:val="single" w:sz="4" w:space="0" w:color="auto"/>
              <w:bottom w:val="single" w:sz="12" w:space="0" w:color="auto"/>
              <w:right w:val="single" w:sz="4" w:space="0" w:color="auto"/>
            </w:tcBorders>
          </w:tcPr>
          <w:p w14:paraId="094DDC31" w14:textId="56F36107" w:rsidR="001B6792" w:rsidRPr="008B17C0" w:rsidRDefault="00D03B63">
            <w:pPr>
              <w:ind w:right="-29"/>
              <w:jc w:val="center"/>
              <w:rPr>
                <w:noProof/>
                <w:sz w:val="18"/>
                <w:szCs w:val="18"/>
              </w:rPr>
            </w:pPr>
            <w:r w:rsidRPr="008B17C0">
              <w:rPr>
                <w:noProof/>
                <w:sz w:val="18"/>
                <w:szCs w:val="18"/>
              </w:rPr>
              <w:t>4 911</w:t>
            </w:r>
          </w:p>
        </w:tc>
      </w:tr>
      <w:tr w:rsidR="001B6792" w:rsidRPr="008B17C0" w14:paraId="4D9B4B3F" w14:textId="77777777" w:rsidTr="006A0D14">
        <w:trPr>
          <w:jc w:val="center"/>
        </w:trPr>
        <w:tc>
          <w:tcPr>
            <w:tcW w:w="2844" w:type="dxa"/>
            <w:gridSpan w:val="3"/>
            <w:tcBorders>
              <w:top w:val="single" w:sz="12" w:space="0" w:color="auto"/>
              <w:left w:val="single" w:sz="12" w:space="0" w:color="auto"/>
              <w:bottom w:val="single" w:sz="12" w:space="0" w:color="auto"/>
            </w:tcBorders>
            <w:vAlign w:val="center"/>
          </w:tcPr>
          <w:p w14:paraId="5866F246" w14:textId="77777777" w:rsidR="001B6792" w:rsidRPr="008B17C0" w:rsidRDefault="001B6792" w:rsidP="00B2088F">
            <w:pPr>
              <w:ind w:right="-29"/>
              <w:jc w:val="center"/>
              <w:rPr>
                <w:noProof/>
                <w:sz w:val="18"/>
              </w:rPr>
            </w:pPr>
            <w:r w:rsidRPr="008B17C0">
              <w:rPr>
                <w:b/>
                <w:noProof/>
                <w:sz w:val="18"/>
              </w:rPr>
              <w:t>OMKOSTNINGER I ALT</w:t>
            </w:r>
          </w:p>
        </w:tc>
        <w:tc>
          <w:tcPr>
            <w:tcW w:w="504" w:type="dxa"/>
            <w:tcBorders>
              <w:top w:val="single" w:sz="12" w:space="0" w:color="auto"/>
              <w:bottom w:val="single" w:sz="12" w:space="0" w:color="auto"/>
            </w:tcBorders>
          </w:tcPr>
          <w:p w14:paraId="00695428" w14:textId="77777777" w:rsidR="001B6792" w:rsidRPr="008B17C0" w:rsidRDefault="001B6792" w:rsidP="00B2088F">
            <w:pPr>
              <w:spacing w:before="180" w:after="180"/>
              <w:ind w:right="-29"/>
              <w:jc w:val="center"/>
              <w:rPr>
                <w:noProof/>
                <w:sz w:val="18"/>
              </w:rPr>
            </w:pPr>
          </w:p>
        </w:tc>
        <w:tc>
          <w:tcPr>
            <w:tcW w:w="720" w:type="dxa"/>
            <w:tcBorders>
              <w:top w:val="single" w:sz="12" w:space="0" w:color="auto"/>
              <w:left w:val="single" w:sz="4" w:space="0" w:color="auto"/>
              <w:bottom w:val="single" w:sz="12" w:space="0" w:color="auto"/>
              <w:right w:val="single" w:sz="4" w:space="0" w:color="auto"/>
            </w:tcBorders>
          </w:tcPr>
          <w:p w14:paraId="63CE2525" w14:textId="0950268F" w:rsidR="001B6792" w:rsidRPr="008B17C0" w:rsidRDefault="00900A33" w:rsidP="00B2088F">
            <w:pPr>
              <w:spacing w:before="180" w:after="180"/>
              <w:ind w:right="-29"/>
              <w:jc w:val="center"/>
              <w:rPr>
                <w:noProof/>
                <w:sz w:val="18"/>
              </w:rPr>
            </w:pPr>
            <w:r w:rsidRPr="008B17C0">
              <w:rPr>
                <w:b/>
                <w:noProof/>
                <w:sz w:val="18"/>
              </w:rPr>
              <w:t>2 158</w:t>
            </w:r>
          </w:p>
        </w:tc>
        <w:tc>
          <w:tcPr>
            <w:tcW w:w="540" w:type="dxa"/>
            <w:tcBorders>
              <w:top w:val="single" w:sz="12" w:space="0" w:color="auto"/>
              <w:left w:val="single" w:sz="4" w:space="0" w:color="auto"/>
              <w:bottom w:val="single" w:sz="12" w:space="0" w:color="auto"/>
              <w:right w:val="single" w:sz="4" w:space="0" w:color="auto"/>
            </w:tcBorders>
          </w:tcPr>
          <w:p w14:paraId="7673F97F" w14:textId="77777777" w:rsidR="001B6792" w:rsidRPr="008B17C0" w:rsidRDefault="001B6792" w:rsidP="00B2088F">
            <w:pPr>
              <w:spacing w:before="180" w:after="180"/>
              <w:ind w:right="-29"/>
              <w:jc w:val="center"/>
              <w:rPr>
                <w:noProof/>
                <w:sz w:val="18"/>
              </w:rPr>
            </w:pPr>
          </w:p>
        </w:tc>
        <w:tc>
          <w:tcPr>
            <w:tcW w:w="720" w:type="dxa"/>
            <w:tcBorders>
              <w:top w:val="single" w:sz="12" w:space="0" w:color="auto"/>
              <w:left w:val="single" w:sz="4" w:space="0" w:color="auto"/>
              <w:bottom w:val="single" w:sz="12" w:space="0" w:color="auto"/>
              <w:right w:val="single" w:sz="4" w:space="0" w:color="auto"/>
            </w:tcBorders>
          </w:tcPr>
          <w:p w14:paraId="5A376B6E" w14:textId="5F27400D" w:rsidR="001B6792" w:rsidRPr="008B17C0" w:rsidRDefault="00900A33" w:rsidP="00B2088F">
            <w:pPr>
              <w:spacing w:before="180" w:after="180"/>
              <w:ind w:right="-29"/>
              <w:jc w:val="center"/>
              <w:rPr>
                <w:noProof/>
                <w:sz w:val="18"/>
              </w:rPr>
            </w:pPr>
            <w:r w:rsidRPr="008B17C0">
              <w:rPr>
                <w:b/>
                <w:noProof/>
                <w:sz w:val="18"/>
              </w:rPr>
              <w:t>10 811</w:t>
            </w:r>
          </w:p>
        </w:tc>
        <w:tc>
          <w:tcPr>
            <w:tcW w:w="763" w:type="dxa"/>
            <w:tcBorders>
              <w:top w:val="single" w:sz="12" w:space="0" w:color="auto"/>
              <w:left w:val="single" w:sz="4" w:space="0" w:color="auto"/>
              <w:bottom w:val="single" w:sz="12" w:space="0" w:color="auto"/>
              <w:right w:val="single" w:sz="4" w:space="0" w:color="auto"/>
            </w:tcBorders>
          </w:tcPr>
          <w:p w14:paraId="1B214330" w14:textId="77777777" w:rsidR="001B6792" w:rsidRPr="008B17C0" w:rsidRDefault="001B6792" w:rsidP="00B2088F">
            <w:pPr>
              <w:spacing w:before="180" w:after="180"/>
              <w:ind w:right="-29"/>
              <w:jc w:val="center"/>
              <w:rPr>
                <w:noProof/>
                <w:sz w:val="18"/>
              </w:rPr>
            </w:pPr>
          </w:p>
        </w:tc>
        <w:tc>
          <w:tcPr>
            <w:tcW w:w="708" w:type="dxa"/>
            <w:tcBorders>
              <w:top w:val="single" w:sz="12" w:space="0" w:color="auto"/>
              <w:left w:val="single" w:sz="4" w:space="0" w:color="auto"/>
              <w:bottom w:val="single" w:sz="12" w:space="0" w:color="auto"/>
              <w:right w:val="single" w:sz="4" w:space="0" w:color="auto"/>
            </w:tcBorders>
          </w:tcPr>
          <w:p w14:paraId="661B5550" w14:textId="77777777" w:rsidR="001B6792" w:rsidRPr="008B17C0" w:rsidRDefault="001B6792" w:rsidP="00B2088F">
            <w:pPr>
              <w:spacing w:before="180" w:after="180"/>
              <w:ind w:right="-29"/>
              <w:jc w:val="center"/>
              <w:rPr>
                <w:noProof/>
                <w:sz w:val="18"/>
              </w:rPr>
            </w:pPr>
            <w:r w:rsidRPr="008B17C0">
              <w:rPr>
                <w:b/>
                <w:noProof/>
                <w:sz w:val="18"/>
              </w:rPr>
              <w:t>10 403</w:t>
            </w:r>
          </w:p>
        </w:tc>
        <w:tc>
          <w:tcPr>
            <w:tcW w:w="567" w:type="dxa"/>
            <w:tcBorders>
              <w:top w:val="single" w:sz="12" w:space="0" w:color="auto"/>
              <w:left w:val="single" w:sz="4" w:space="0" w:color="auto"/>
              <w:bottom w:val="single" w:sz="12" w:space="0" w:color="auto"/>
              <w:right w:val="single" w:sz="4" w:space="0" w:color="auto"/>
            </w:tcBorders>
          </w:tcPr>
          <w:p w14:paraId="41A4C5D7" w14:textId="77777777" w:rsidR="001B6792" w:rsidRPr="008B17C0" w:rsidRDefault="001B6792" w:rsidP="00B2088F">
            <w:pPr>
              <w:spacing w:before="180" w:after="180"/>
              <w:ind w:right="-29"/>
              <w:jc w:val="center"/>
              <w:rPr>
                <w:noProof/>
                <w:sz w:val="18"/>
              </w:rPr>
            </w:pPr>
          </w:p>
        </w:tc>
        <w:tc>
          <w:tcPr>
            <w:tcW w:w="758" w:type="dxa"/>
            <w:gridSpan w:val="2"/>
            <w:tcBorders>
              <w:top w:val="single" w:sz="12" w:space="0" w:color="auto"/>
              <w:left w:val="single" w:sz="4" w:space="0" w:color="auto"/>
              <w:bottom w:val="single" w:sz="12" w:space="0" w:color="auto"/>
              <w:right w:val="single" w:sz="4" w:space="0" w:color="auto"/>
            </w:tcBorders>
          </w:tcPr>
          <w:p w14:paraId="69469288" w14:textId="17A698F0" w:rsidR="001B6792" w:rsidRPr="008B17C0" w:rsidRDefault="001B6792" w:rsidP="006A0D14">
            <w:pPr>
              <w:spacing w:before="180" w:after="180"/>
              <w:ind w:right="-29"/>
              <w:jc w:val="center"/>
              <w:rPr>
                <w:noProof/>
                <w:sz w:val="18"/>
                <w:szCs w:val="18"/>
              </w:rPr>
            </w:pPr>
            <w:r w:rsidRPr="008B17C0">
              <w:rPr>
                <w:b/>
                <w:bCs/>
                <w:noProof/>
                <w:sz w:val="18"/>
                <w:szCs w:val="18"/>
              </w:rPr>
              <w:t>9 371</w:t>
            </w:r>
          </w:p>
        </w:tc>
        <w:tc>
          <w:tcPr>
            <w:tcW w:w="720" w:type="dxa"/>
            <w:tcBorders>
              <w:top w:val="single" w:sz="12" w:space="0" w:color="auto"/>
              <w:left w:val="single" w:sz="4" w:space="0" w:color="auto"/>
              <w:bottom w:val="single" w:sz="12" w:space="0" w:color="auto"/>
              <w:right w:val="single" w:sz="4" w:space="0" w:color="auto"/>
            </w:tcBorders>
          </w:tcPr>
          <w:p w14:paraId="766B4A88" w14:textId="77777777" w:rsidR="001B6792" w:rsidRPr="008B17C0" w:rsidRDefault="001B6792" w:rsidP="00B2088F">
            <w:pPr>
              <w:spacing w:before="180" w:after="180"/>
              <w:ind w:right="-29"/>
              <w:jc w:val="center"/>
              <w:rPr>
                <w:noProof/>
                <w:sz w:val="18"/>
              </w:rPr>
            </w:pPr>
          </w:p>
        </w:tc>
        <w:tc>
          <w:tcPr>
            <w:tcW w:w="900" w:type="dxa"/>
            <w:tcBorders>
              <w:top w:val="single" w:sz="12" w:space="0" w:color="auto"/>
              <w:left w:val="single" w:sz="4" w:space="0" w:color="auto"/>
              <w:bottom w:val="single" w:sz="12" w:space="0" w:color="auto"/>
              <w:right w:val="single" w:sz="12" w:space="0" w:color="auto"/>
            </w:tcBorders>
          </w:tcPr>
          <w:p w14:paraId="0D17300E" w14:textId="54B037C8" w:rsidR="001B6792" w:rsidRPr="008B17C0" w:rsidRDefault="00D03B63" w:rsidP="006A0D14">
            <w:pPr>
              <w:spacing w:before="180" w:after="180"/>
              <w:ind w:right="-29"/>
              <w:jc w:val="center"/>
              <w:rPr>
                <w:noProof/>
                <w:sz w:val="18"/>
                <w:szCs w:val="18"/>
              </w:rPr>
            </w:pPr>
            <w:r w:rsidRPr="008B17C0">
              <w:rPr>
                <w:b/>
                <w:bCs/>
                <w:noProof/>
                <w:sz w:val="18"/>
                <w:szCs w:val="18"/>
              </w:rPr>
              <w:t>32 743</w:t>
            </w:r>
          </w:p>
        </w:tc>
      </w:tr>
    </w:tbl>
    <w:p w14:paraId="59A298A3" w14:textId="77777777" w:rsidR="007270A0" w:rsidRPr="008B17C0" w:rsidRDefault="007270A0" w:rsidP="007270A0">
      <w:pPr>
        <w:tabs>
          <w:tab w:val="left" w:pos="973"/>
        </w:tabs>
        <w:rPr>
          <w:noProof/>
        </w:rPr>
      </w:pPr>
    </w:p>
    <w:p w14:paraId="4DC67C81" w14:textId="77777777" w:rsidR="00436363" w:rsidRPr="008B17C0" w:rsidRDefault="007270A0" w:rsidP="007270A0">
      <w:pPr>
        <w:tabs>
          <w:tab w:val="left" w:pos="973"/>
        </w:tabs>
        <w:rPr>
          <w:noProof/>
        </w:rPr>
        <w:sectPr w:rsidR="00436363" w:rsidRPr="008B17C0" w:rsidSect="00EA3F52">
          <w:headerReference w:type="default" r:id="rId15"/>
          <w:footerReference w:type="default" r:id="rId16"/>
          <w:headerReference w:type="first" r:id="rId17"/>
          <w:footerReference w:type="first" r:id="rId18"/>
          <w:pgSz w:w="16840" w:h="11907" w:orient="landscape" w:code="9"/>
          <w:pgMar w:top="1134" w:right="1418" w:bottom="567" w:left="1418" w:header="709" w:footer="709" w:gutter="0"/>
          <w:cols w:space="708"/>
          <w:docGrid w:linePitch="360"/>
        </w:sectPr>
      </w:pPr>
      <w:r w:rsidRPr="008B17C0">
        <w:rPr>
          <w:noProof/>
        </w:rPr>
        <w:tab/>
      </w:r>
    </w:p>
    <w:p w14:paraId="52A35227" w14:textId="09788AB0" w:rsidR="00436363" w:rsidRPr="008B17C0" w:rsidRDefault="003433F5" w:rsidP="003433F5">
      <w:pPr>
        <w:pStyle w:val="ManualHeading3"/>
        <w:rPr>
          <w:noProof/>
        </w:rPr>
      </w:pPr>
      <w:bookmarkStart w:id="122" w:name="_Toc514938055"/>
      <w:bookmarkStart w:id="123" w:name="_Toc520485054"/>
      <w:bookmarkStart w:id="124" w:name="_Toc84517601"/>
      <w:r w:rsidRPr="003433F5">
        <w:t>3.2.3.</w:t>
      </w:r>
      <w:r w:rsidRPr="003433F5">
        <w:tab/>
      </w:r>
      <w:r w:rsidR="00436363" w:rsidRPr="008B17C0">
        <w:rPr>
          <w:noProof/>
        </w:rPr>
        <w:t>Sammenfatning af de anslåede virkninger for administrationsbevillingerne</w:t>
      </w:r>
      <w:bookmarkEnd w:id="122"/>
      <w:bookmarkEnd w:id="123"/>
      <w:bookmarkEnd w:id="124"/>
      <w:r w:rsidR="00436363" w:rsidRPr="008B17C0">
        <w:rPr>
          <w:noProof/>
        </w:rPr>
        <w:t xml:space="preserve"> </w:t>
      </w:r>
    </w:p>
    <w:p w14:paraId="5E939495" w14:textId="00FD1E1A" w:rsidR="00906BEE" w:rsidRPr="008B17C0" w:rsidRDefault="003433F5" w:rsidP="003433F5">
      <w:pPr>
        <w:pStyle w:val="ManualHeading4"/>
        <w:rPr>
          <w:bCs/>
          <w:noProof/>
          <w:szCs w:val="24"/>
        </w:rPr>
      </w:pPr>
      <w:r w:rsidRPr="003433F5">
        <w:t>3.2.3.1.</w:t>
      </w:r>
      <w:r w:rsidRPr="003433F5">
        <w:tab/>
      </w:r>
      <w:r w:rsidR="00906BEE" w:rsidRPr="008B17C0">
        <w:rPr>
          <w:noProof/>
        </w:rPr>
        <w:t xml:space="preserve">Resumé </w:t>
      </w:r>
    </w:p>
    <w:p w14:paraId="5EB7FFFA" w14:textId="77777777" w:rsidR="00906BEE" w:rsidRPr="008B17C0" w:rsidRDefault="00906BEE" w:rsidP="00906BEE">
      <w:pPr>
        <w:pStyle w:val="ListDash1"/>
        <w:rPr>
          <w:noProof/>
        </w:rPr>
      </w:pPr>
      <w:r w:rsidRPr="008B17C0">
        <w:rPr>
          <w:noProof/>
        </w:rPr>
        <w:sym w:font="Wingdings" w:char="F0A8"/>
      </w:r>
      <w:r w:rsidRPr="008B17C0">
        <w:rPr>
          <w:noProof/>
        </w:rPr>
        <w:tab/>
        <w:t xml:space="preserve">Forslaget/initiativet medfører ikke anvendelse af administrationsbevillinger </w:t>
      </w:r>
    </w:p>
    <w:p w14:paraId="53E41095" w14:textId="77777777" w:rsidR="00906BEE" w:rsidRPr="008B17C0" w:rsidRDefault="00906BEE" w:rsidP="00906BEE">
      <w:pPr>
        <w:pStyle w:val="ListDash1"/>
        <w:rPr>
          <w:noProof/>
        </w:rPr>
      </w:pPr>
      <w:r w:rsidRPr="008B17C0">
        <w:rPr>
          <w:noProof/>
        </w:rPr>
        <w:sym w:font="Wingdings" w:char="F0FE"/>
      </w:r>
      <w:r w:rsidRPr="008B17C0">
        <w:rPr>
          <w:noProof/>
        </w:rPr>
        <w:tab/>
        <w:t>Forslaget/initiativet medfører anvendelse af administrationsbevillinger som anført herunder</w:t>
      </w:r>
      <w:r w:rsidRPr="008B17C0">
        <w:rPr>
          <w:rStyle w:val="FootnoteReference"/>
          <w:noProof/>
        </w:rPr>
        <w:footnoteReference w:id="59"/>
      </w:r>
      <w:r w:rsidRPr="008B17C0">
        <w:rPr>
          <w:noProof/>
        </w:rPr>
        <w:t>:</w:t>
      </w:r>
    </w:p>
    <w:p w14:paraId="6F5CFA25" w14:textId="77777777" w:rsidR="00436363" w:rsidRPr="008B17C0" w:rsidRDefault="00436363" w:rsidP="00906BEE">
      <w:pPr>
        <w:jc w:val="right"/>
        <w:rPr>
          <w:noProof/>
          <w:sz w:val="20"/>
        </w:rPr>
      </w:pPr>
      <w:r w:rsidRPr="008B17C0">
        <w:rPr>
          <w:noProof/>
          <w:sz w:val="20"/>
        </w:rPr>
        <w:t>i mio. EUR (tre decimaler)</w:t>
      </w:r>
    </w:p>
    <w:tbl>
      <w:tblPr>
        <w:tblW w:w="9651"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351"/>
      </w:tblGrid>
      <w:tr w:rsidR="008911CF" w:rsidRPr="008B17C0" w14:paraId="0DE05ED2" w14:textId="77777777" w:rsidTr="006A0D14">
        <w:trPr>
          <w:trHeight w:val="585"/>
        </w:trPr>
        <w:tc>
          <w:tcPr>
            <w:tcW w:w="1980" w:type="dxa"/>
          </w:tcPr>
          <w:p w14:paraId="5CF54B5C" w14:textId="77777777" w:rsidR="008911CF" w:rsidRPr="008B17C0" w:rsidRDefault="008911CF" w:rsidP="00B2088F">
            <w:pPr>
              <w:spacing w:before="60" w:after="60"/>
              <w:rPr>
                <w:noProof/>
                <w:sz w:val="20"/>
              </w:rPr>
            </w:pPr>
          </w:p>
        </w:tc>
        <w:tc>
          <w:tcPr>
            <w:tcW w:w="1080" w:type="dxa"/>
            <w:vAlign w:val="center"/>
          </w:tcPr>
          <w:p w14:paraId="4958F43E" w14:textId="77777777" w:rsidR="008911CF" w:rsidRPr="008B17C0" w:rsidRDefault="008911CF" w:rsidP="00B2088F">
            <w:pPr>
              <w:spacing w:before="60" w:after="60"/>
              <w:jc w:val="center"/>
              <w:rPr>
                <w:noProof/>
                <w:sz w:val="20"/>
              </w:rPr>
            </w:pPr>
            <w:r w:rsidRPr="008B17C0">
              <w:rPr>
                <w:noProof/>
                <w:sz w:val="20"/>
              </w:rPr>
              <w:t>År</w:t>
            </w:r>
            <w:r w:rsidRPr="008B17C0">
              <w:rPr>
                <w:noProof/>
              </w:rPr>
              <w:t xml:space="preserve"> </w:t>
            </w:r>
            <w:r w:rsidRPr="008B17C0">
              <w:rPr>
                <w:noProof/>
              </w:rPr>
              <w:br/>
            </w:r>
            <w:r w:rsidRPr="008B17C0">
              <w:rPr>
                <w:b/>
                <w:noProof/>
                <w:sz w:val="20"/>
              </w:rPr>
              <w:t xml:space="preserve">2024 </w:t>
            </w:r>
          </w:p>
        </w:tc>
        <w:tc>
          <w:tcPr>
            <w:tcW w:w="1080" w:type="dxa"/>
            <w:vAlign w:val="center"/>
          </w:tcPr>
          <w:p w14:paraId="749ED6F8" w14:textId="77777777" w:rsidR="008911CF" w:rsidRPr="008B17C0" w:rsidRDefault="008911CF" w:rsidP="00B2088F">
            <w:pPr>
              <w:spacing w:before="60" w:after="60"/>
              <w:jc w:val="center"/>
              <w:rPr>
                <w:noProof/>
                <w:sz w:val="20"/>
              </w:rPr>
            </w:pPr>
            <w:r w:rsidRPr="008B17C0">
              <w:rPr>
                <w:noProof/>
                <w:sz w:val="20"/>
              </w:rPr>
              <w:t>År</w:t>
            </w:r>
            <w:r w:rsidRPr="008B17C0">
              <w:rPr>
                <w:noProof/>
              </w:rPr>
              <w:t xml:space="preserve"> </w:t>
            </w:r>
            <w:r w:rsidRPr="008B17C0">
              <w:rPr>
                <w:noProof/>
              </w:rPr>
              <w:br/>
            </w:r>
            <w:r w:rsidRPr="008B17C0">
              <w:rPr>
                <w:b/>
                <w:noProof/>
                <w:sz w:val="20"/>
              </w:rPr>
              <w:t>2025</w:t>
            </w:r>
          </w:p>
        </w:tc>
        <w:tc>
          <w:tcPr>
            <w:tcW w:w="1080" w:type="dxa"/>
            <w:vAlign w:val="center"/>
          </w:tcPr>
          <w:p w14:paraId="0CA9F03E" w14:textId="77777777" w:rsidR="008911CF" w:rsidRPr="008B17C0" w:rsidRDefault="008911CF" w:rsidP="00B2088F">
            <w:pPr>
              <w:spacing w:before="60" w:after="60"/>
              <w:jc w:val="center"/>
              <w:rPr>
                <w:noProof/>
                <w:sz w:val="20"/>
              </w:rPr>
            </w:pPr>
            <w:r w:rsidRPr="008B17C0">
              <w:rPr>
                <w:noProof/>
                <w:sz w:val="20"/>
              </w:rPr>
              <w:t>År</w:t>
            </w:r>
            <w:r w:rsidRPr="008B17C0">
              <w:rPr>
                <w:noProof/>
              </w:rPr>
              <w:t xml:space="preserve"> </w:t>
            </w:r>
            <w:r w:rsidRPr="008B17C0">
              <w:rPr>
                <w:noProof/>
              </w:rPr>
              <w:br/>
            </w:r>
            <w:r w:rsidRPr="008B17C0">
              <w:rPr>
                <w:b/>
                <w:noProof/>
                <w:sz w:val="20"/>
              </w:rPr>
              <w:t>2026</w:t>
            </w:r>
          </w:p>
        </w:tc>
        <w:tc>
          <w:tcPr>
            <w:tcW w:w="1080" w:type="dxa"/>
            <w:vAlign w:val="center"/>
          </w:tcPr>
          <w:p w14:paraId="6E722FA5" w14:textId="77777777" w:rsidR="008911CF" w:rsidRPr="008B17C0" w:rsidRDefault="008911CF" w:rsidP="00B2088F">
            <w:pPr>
              <w:spacing w:before="60" w:after="60"/>
              <w:jc w:val="center"/>
              <w:rPr>
                <w:noProof/>
                <w:sz w:val="20"/>
              </w:rPr>
            </w:pPr>
            <w:r w:rsidRPr="008B17C0">
              <w:rPr>
                <w:noProof/>
                <w:sz w:val="20"/>
              </w:rPr>
              <w:t>År</w:t>
            </w:r>
            <w:r w:rsidRPr="008B17C0">
              <w:rPr>
                <w:noProof/>
              </w:rPr>
              <w:t xml:space="preserve"> </w:t>
            </w:r>
            <w:r w:rsidRPr="008B17C0">
              <w:rPr>
                <w:noProof/>
              </w:rPr>
              <w:br/>
            </w:r>
            <w:r w:rsidRPr="008B17C0">
              <w:rPr>
                <w:b/>
                <w:noProof/>
                <w:sz w:val="20"/>
              </w:rPr>
              <w:t>2027</w:t>
            </w:r>
          </w:p>
        </w:tc>
        <w:tc>
          <w:tcPr>
            <w:tcW w:w="3351" w:type="dxa"/>
            <w:vAlign w:val="center"/>
          </w:tcPr>
          <w:p w14:paraId="64E7060F" w14:textId="77777777" w:rsidR="008911CF" w:rsidRPr="008B17C0" w:rsidRDefault="008911CF" w:rsidP="00B2088F">
            <w:pPr>
              <w:spacing w:before="60" w:after="60"/>
              <w:jc w:val="center"/>
              <w:rPr>
                <w:b/>
                <w:noProof/>
                <w:sz w:val="20"/>
              </w:rPr>
            </w:pPr>
            <w:r w:rsidRPr="008B17C0">
              <w:rPr>
                <w:b/>
                <w:noProof/>
                <w:sz w:val="20"/>
              </w:rPr>
              <w:t>I ALT</w:t>
            </w:r>
          </w:p>
        </w:tc>
      </w:tr>
    </w:tbl>
    <w:p w14:paraId="73A24AF2" w14:textId="77777777" w:rsidR="00906BEE" w:rsidRPr="008B17C0" w:rsidRDefault="00906BEE" w:rsidP="00906BEE">
      <w:pPr>
        <w:rPr>
          <w:noProof/>
          <w:sz w:val="18"/>
        </w:rPr>
      </w:pPr>
    </w:p>
    <w:tbl>
      <w:tblPr>
        <w:tblW w:w="9651"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351"/>
      </w:tblGrid>
      <w:tr w:rsidR="008911CF" w:rsidRPr="008B17C0" w14:paraId="0B469F0B" w14:textId="77777777" w:rsidTr="006A0D14">
        <w:trPr>
          <w:trHeight w:val="585"/>
        </w:trPr>
        <w:tc>
          <w:tcPr>
            <w:tcW w:w="1980" w:type="dxa"/>
            <w:shd w:val="clear" w:color="auto" w:fill="D9D9D9" w:themeFill="background1" w:themeFillShade="D9"/>
            <w:vAlign w:val="center"/>
          </w:tcPr>
          <w:p w14:paraId="342209A5" w14:textId="77777777" w:rsidR="008911CF" w:rsidRPr="008B17C0" w:rsidRDefault="008911CF" w:rsidP="00B2088F">
            <w:pPr>
              <w:spacing w:before="60" w:after="60"/>
              <w:jc w:val="center"/>
              <w:rPr>
                <w:noProof/>
              </w:rPr>
            </w:pPr>
            <w:r w:rsidRPr="008B17C0">
              <w:rPr>
                <w:noProof/>
                <w:sz w:val="18"/>
              </w:rPr>
              <w:t>Midlertidigt ansatte (AD)</w:t>
            </w:r>
          </w:p>
        </w:tc>
        <w:tc>
          <w:tcPr>
            <w:tcW w:w="1080" w:type="dxa"/>
            <w:tcBorders>
              <w:top w:val="single" w:sz="4" w:space="0" w:color="auto"/>
              <w:left w:val="single" w:sz="4" w:space="0" w:color="auto"/>
              <w:bottom w:val="single" w:sz="4" w:space="0" w:color="auto"/>
              <w:right w:val="single" w:sz="4" w:space="0" w:color="auto"/>
            </w:tcBorders>
            <w:vAlign w:val="bottom"/>
          </w:tcPr>
          <w:p w14:paraId="18D8CFCB" w14:textId="77777777" w:rsidR="008911CF" w:rsidRPr="008B17C0" w:rsidRDefault="008911CF" w:rsidP="006A0D14">
            <w:pPr>
              <w:spacing w:before="60" w:after="60"/>
              <w:jc w:val="right"/>
              <w:rPr>
                <w:noProof/>
                <w:sz w:val="20"/>
                <w:szCs w:val="20"/>
              </w:rPr>
            </w:pPr>
            <w:r w:rsidRPr="008B17C0">
              <w:rPr>
                <w:noProof/>
                <w:color w:val="000000"/>
                <w:sz w:val="18"/>
                <w:szCs w:val="18"/>
              </w:rPr>
              <w:t>952</w:t>
            </w:r>
          </w:p>
        </w:tc>
        <w:tc>
          <w:tcPr>
            <w:tcW w:w="1080" w:type="dxa"/>
            <w:tcBorders>
              <w:top w:val="single" w:sz="4" w:space="0" w:color="auto"/>
              <w:left w:val="nil"/>
              <w:bottom w:val="single" w:sz="4" w:space="0" w:color="auto"/>
              <w:right w:val="single" w:sz="4" w:space="0" w:color="auto"/>
            </w:tcBorders>
            <w:vAlign w:val="bottom"/>
          </w:tcPr>
          <w:p w14:paraId="50A851D9" w14:textId="77777777" w:rsidR="008911CF" w:rsidRPr="008B17C0" w:rsidRDefault="008911CF" w:rsidP="006A0D14">
            <w:pPr>
              <w:spacing w:before="60" w:after="60"/>
              <w:jc w:val="right"/>
              <w:rPr>
                <w:noProof/>
                <w:sz w:val="20"/>
                <w:szCs w:val="20"/>
              </w:rPr>
            </w:pPr>
            <w:r w:rsidRPr="008B17C0">
              <w:rPr>
                <w:noProof/>
                <w:color w:val="000000"/>
                <w:sz w:val="18"/>
                <w:szCs w:val="18"/>
              </w:rPr>
              <w:t>2 337</w:t>
            </w:r>
          </w:p>
        </w:tc>
        <w:tc>
          <w:tcPr>
            <w:tcW w:w="1080" w:type="dxa"/>
            <w:tcBorders>
              <w:top w:val="single" w:sz="4" w:space="0" w:color="auto"/>
              <w:left w:val="nil"/>
              <w:bottom w:val="single" w:sz="4" w:space="0" w:color="auto"/>
              <w:right w:val="single" w:sz="4" w:space="0" w:color="auto"/>
            </w:tcBorders>
            <w:vAlign w:val="bottom"/>
          </w:tcPr>
          <w:p w14:paraId="6458C706" w14:textId="77777777" w:rsidR="008911CF" w:rsidRPr="008B17C0" w:rsidRDefault="008911CF" w:rsidP="006A0D14">
            <w:pPr>
              <w:spacing w:before="60" w:after="60"/>
              <w:jc w:val="right"/>
              <w:rPr>
                <w:noProof/>
                <w:sz w:val="20"/>
                <w:szCs w:val="20"/>
              </w:rPr>
            </w:pPr>
            <w:r w:rsidRPr="008B17C0">
              <w:rPr>
                <w:noProof/>
                <w:color w:val="000000"/>
                <w:sz w:val="18"/>
                <w:szCs w:val="18"/>
              </w:rPr>
              <w:t>2 943</w:t>
            </w:r>
          </w:p>
        </w:tc>
        <w:tc>
          <w:tcPr>
            <w:tcW w:w="1080" w:type="dxa"/>
            <w:tcBorders>
              <w:top w:val="single" w:sz="4" w:space="0" w:color="auto"/>
              <w:left w:val="nil"/>
              <w:bottom w:val="single" w:sz="4" w:space="0" w:color="auto"/>
              <w:right w:val="single" w:sz="4" w:space="0" w:color="auto"/>
            </w:tcBorders>
            <w:vAlign w:val="bottom"/>
          </w:tcPr>
          <w:p w14:paraId="3CD81F2D" w14:textId="77777777" w:rsidR="008911CF" w:rsidRPr="008B17C0" w:rsidRDefault="008911CF" w:rsidP="006A0D14">
            <w:pPr>
              <w:spacing w:before="60" w:after="60"/>
              <w:jc w:val="right"/>
              <w:rPr>
                <w:noProof/>
                <w:sz w:val="20"/>
                <w:szCs w:val="20"/>
              </w:rPr>
            </w:pPr>
            <w:r w:rsidRPr="008B17C0">
              <w:rPr>
                <w:noProof/>
                <w:color w:val="000000"/>
                <w:sz w:val="18"/>
                <w:szCs w:val="18"/>
              </w:rPr>
              <w:t>3 289</w:t>
            </w:r>
          </w:p>
        </w:tc>
        <w:tc>
          <w:tcPr>
            <w:tcW w:w="3351" w:type="dxa"/>
            <w:tcBorders>
              <w:top w:val="single" w:sz="4" w:space="0" w:color="auto"/>
              <w:left w:val="nil"/>
              <w:bottom w:val="single" w:sz="4" w:space="0" w:color="auto"/>
              <w:right w:val="single" w:sz="4" w:space="0" w:color="auto"/>
            </w:tcBorders>
            <w:vAlign w:val="bottom"/>
          </w:tcPr>
          <w:p w14:paraId="1750A13F" w14:textId="25E1D541" w:rsidR="008911CF" w:rsidRPr="008B17C0" w:rsidRDefault="009A3AD8" w:rsidP="006A0D14">
            <w:pPr>
              <w:spacing w:before="60" w:after="60"/>
              <w:jc w:val="right"/>
              <w:rPr>
                <w:b/>
                <w:bCs/>
                <w:noProof/>
                <w:sz w:val="20"/>
                <w:szCs w:val="20"/>
              </w:rPr>
            </w:pPr>
            <w:r w:rsidRPr="008B17C0">
              <w:rPr>
                <w:b/>
                <w:bCs/>
                <w:noProof/>
                <w:color w:val="000000"/>
                <w:sz w:val="18"/>
                <w:szCs w:val="18"/>
              </w:rPr>
              <w:t>9 521</w:t>
            </w:r>
          </w:p>
        </w:tc>
      </w:tr>
      <w:tr w:rsidR="008911CF" w:rsidRPr="008B17C0" w14:paraId="718B9458" w14:textId="77777777" w:rsidTr="006A0D14">
        <w:trPr>
          <w:trHeight w:val="585"/>
        </w:trPr>
        <w:tc>
          <w:tcPr>
            <w:tcW w:w="1980" w:type="dxa"/>
            <w:shd w:val="clear" w:color="auto" w:fill="BFBFBF" w:themeFill="background1" w:themeFillShade="BF"/>
            <w:vAlign w:val="center"/>
          </w:tcPr>
          <w:p w14:paraId="2F502278" w14:textId="77777777" w:rsidR="008911CF" w:rsidRPr="008B17C0" w:rsidRDefault="008911CF" w:rsidP="00B2088F">
            <w:pPr>
              <w:spacing w:before="60" w:after="60"/>
              <w:ind w:left="72"/>
              <w:rPr>
                <w:noProof/>
              </w:rPr>
            </w:pPr>
            <w:r w:rsidRPr="008B17C0">
              <w:rPr>
                <w:noProof/>
                <w:sz w:val="20"/>
              </w:rPr>
              <w:t>Midlertidigt ansatte (AST)</w:t>
            </w:r>
          </w:p>
        </w:tc>
        <w:tc>
          <w:tcPr>
            <w:tcW w:w="1080" w:type="dxa"/>
            <w:tcBorders>
              <w:top w:val="nil"/>
              <w:left w:val="single" w:sz="4" w:space="0" w:color="auto"/>
              <w:bottom w:val="single" w:sz="4" w:space="0" w:color="auto"/>
              <w:right w:val="single" w:sz="4" w:space="0" w:color="auto"/>
            </w:tcBorders>
            <w:vAlign w:val="bottom"/>
          </w:tcPr>
          <w:p w14:paraId="30471549" w14:textId="77777777" w:rsidR="008911CF" w:rsidRPr="008B17C0" w:rsidRDefault="008911CF" w:rsidP="006A0D14">
            <w:pPr>
              <w:spacing w:before="60" w:after="60"/>
              <w:jc w:val="right"/>
              <w:rPr>
                <w:noProof/>
                <w:sz w:val="20"/>
                <w:szCs w:val="20"/>
              </w:rPr>
            </w:pPr>
            <w:r w:rsidRPr="008B17C0">
              <w:rPr>
                <w:noProof/>
                <w:color w:val="000000"/>
                <w:sz w:val="18"/>
                <w:szCs w:val="18"/>
              </w:rPr>
              <w:t>173</w:t>
            </w:r>
          </w:p>
        </w:tc>
        <w:tc>
          <w:tcPr>
            <w:tcW w:w="1080" w:type="dxa"/>
            <w:tcBorders>
              <w:top w:val="nil"/>
              <w:left w:val="nil"/>
              <w:bottom w:val="single" w:sz="4" w:space="0" w:color="auto"/>
              <w:right w:val="single" w:sz="4" w:space="0" w:color="auto"/>
            </w:tcBorders>
            <w:vAlign w:val="bottom"/>
          </w:tcPr>
          <w:p w14:paraId="32085422" w14:textId="77777777" w:rsidR="008911CF" w:rsidRPr="008B17C0" w:rsidRDefault="008911CF" w:rsidP="006A0D14">
            <w:pPr>
              <w:spacing w:before="60" w:after="60"/>
              <w:jc w:val="right"/>
              <w:rPr>
                <w:noProof/>
                <w:sz w:val="20"/>
                <w:szCs w:val="20"/>
              </w:rPr>
            </w:pPr>
            <w:r w:rsidRPr="008B17C0">
              <w:rPr>
                <w:noProof/>
                <w:color w:val="000000"/>
                <w:sz w:val="18"/>
                <w:szCs w:val="18"/>
              </w:rPr>
              <w:t>346</w:t>
            </w:r>
          </w:p>
        </w:tc>
        <w:tc>
          <w:tcPr>
            <w:tcW w:w="1080" w:type="dxa"/>
            <w:tcBorders>
              <w:top w:val="nil"/>
              <w:left w:val="nil"/>
              <w:bottom w:val="single" w:sz="4" w:space="0" w:color="auto"/>
              <w:right w:val="single" w:sz="4" w:space="0" w:color="auto"/>
            </w:tcBorders>
            <w:vAlign w:val="bottom"/>
          </w:tcPr>
          <w:p w14:paraId="04906230" w14:textId="77777777" w:rsidR="008911CF" w:rsidRPr="008B17C0" w:rsidRDefault="008911CF" w:rsidP="006A0D14">
            <w:pPr>
              <w:spacing w:before="60" w:after="60"/>
              <w:jc w:val="right"/>
              <w:rPr>
                <w:noProof/>
                <w:sz w:val="20"/>
                <w:szCs w:val="20"/>
              </w:rPr>
            </w:pPr>
            <w:r w:rsidRPr="008B17C0">
              <w:rPr>
                <w:noProof/>
                <w:color w:val="000000"/>
                <w:sz w:val="18"/>
                <w:szCs w:val="18"/>
              </w:rPr>
              <w:t>433</w:t>
            </w:r>
          </w:p>
        </w:tc>
        <w:tc>
          <w:tcPr>
            <w:tcW w:w="1080" w:type="dxa"/>
            <w:tcBorders>
              <w:top w:val="nil"/>
              <w:left w:val="nil"/>
              <w:bottom w:val="single" w:sz="4" w:space="0" w:color="auto"/>
              <w:right w:val="single" w:sz="4" w:space="0" w:color="auto"/>
            </w:tcBorders>
            <w:vAlign w:val="bottom"/>
          </w:tcPr>
          <w:p w14:paraId="32138A01" w14:textId="2B0FE836" w:rsidR="008911CF" w:rsidRPr="008B17C0" w:rsidRDefault="008911CF" w:rsidP="006A0D14">
            <w:pPr>
              <w:spacing w:before="60" w:after="60"/>
              <w:jc w:val="right"/>
              <w:rPr>
                <w:noProof/>
                <w:sz w:val="20"/>
                <w:szCs w:val="20"/>
              </w:rPr>
            </w:pPr>
            <w:r w:rsidRPr="008B17C0">
              <w:rPr>
                <w:noProof/>
                <w:color w:val="000000"/>
                <w:sz w:val="18"/>
                <w:szCs w:val="18"/>
              </w:rPr>
              <w:t>692</w:t>
            </w:r>
          </w:p>
        </w:tc>
        <w:tc>
          <w:tcPr>
            <w:tcW w:w="3351" w:type="dxa"/>
            <w:tcBorders>
              <w:top w:val="nil"/>
              <w:left w:val="nil"/>
              <w:bottom w:val="single" w:sz="4" w:space="0" w:color="auto"/>
              <w:right w:val="single" w:sz="4" w:space="0" w:color="auto"/>
            </w:tcBorders>
            <w:vAlign w:val="bottom"/>
          </w:tcPr>
          <w:p w14:paraId="06B1E42F" w14:textId="764AF014" w:rsidR="008911CF" w:rsidRPr="008B17C0" w:rsidRDefault="009A3AD8" w:rsidP="006A0D14">
            <w:pPr>
              <w:spacing w:before="60" w:after="60"/>
              <w:jc w:val="right"/>
              <w:rPr>
                <w:b/>
                <w:bCs/>
                <w:noProof/>
                <w:sz w:val="20"/>
                <w:szCs w:val="20"/>
              </w:rPr>
            </w:pPr>
            <w:r w:rsidRPr="008B17C0">
              <w:rPr>
                <w:b/>
                <w:bCs/>
                <w:noProof/>
                <w:color w:val="000000"/>
                <w:sz w:val="18"/>
                <w:szCs w:val="18"/>
              </w:rPr>
              <w:t>1 644</w:t>
            </w:r>
          </w:p>
        </w:tc>
      </w:tr>
      <w:tr w:rsidR="008911CF" w:rsidRPr="008B17C0" w14:paraId="1C9EA698" w14:textId="77777777" w:rsidTr="006A0D14">
        <w:trPr>
          <w:trHeight w:val="585"/>
        </w:trPr>
        <w:tc>
          <w:tcPr>
            <w:tcW w:w="1980" w:type="dxa"/>
            <w:shd w:val="clear" w:color="auto" w:fill="BFBFBF" w:themeFill="background1" w:themeFillShade="BF"/>
            <w:vAlign w:val="center"/>
          </w:tcPr>
          <w:p w14:paraId="12C6F9CB" w14:textId="77777777" w:rsidR="008911CF" w:rsidRPr="008B17C0" w:rsidRDefault="008911CF" w:rsidP="00B2088F">
            <w:pPr>
              <w:spacing w:before="60" w:after="60"/>
              <w:ind w:left="72"/>
              <w:rPr>
                <w:noProof/>
              </w:rPr>
            </w:pPr>
            <w:r w:rsidRPr="008B17C0">
              <w:rPr>
                <w:noProof/>
                <w:sz w:val="20"/>
              </w:rPr>
              <w:t>Kontraktansatte</w:t>
            </w:r>
          </w:p>
        </w:tc>
        <w:tc>
          <w:tcPr>
            <w:tcW w:w="1080" w:type="dxa"/>
            <w:tcBorders>
              <w:top w:val="nil"/>
              <w:left w:val="single" w:sz="4" w:space="0" w:color="auto"/>
              <w:bottom w:val="single" w:sz="4" w:space="0" w:color="auto"/>
              <w:right w:val="single" w:sz="4" w:space="0" w:color="auto"/>
            </w:tcBorders>
            <w:vAlign w:val="bottom"/>
          </w:tcPr>
          <w:p w14:paraId="7669A41B" w14:textId="77777777" w:rsidR="008911CF" w:rsidRPr="008B17C0" w:rsidRDefault="008911CF" w:rsidP="00B2088F">
            <w:pPr>
              <w:spacing w:before="60" w:after="60"/>
              <w:jc w:val="right"/>
              <w:rPr>
                <w:noProof/>
                <w:sz w:val="20"/>
              </w:rPr>
            </w:pPr>
          </w:p>
        </w:tc>
        <w:tc>
          <w:tcPr>
            <w:tcW w:w="1080" w:type="dxa"/>
            <w:tcBorders>
              <w:top w:val="nil"/>
              <w:left w:val="nil"/>
              <w:bottom w:val="single" w:sz="4" w:space="0" w:color="auto"/>
              <w:right w:val="single" w:sz="4" w:space="0" w:color="auto"/>
            </w:tcBorders>
            <w:vAlign w:val="bottom"/>
          </w:tcPr>
          <w:p w14:paraId="4DC984F6" w14:textId="77777777" w:rsidR="008911CF" w:rsidRPr="008B17C0" w:rsidRDefault="008911CF" w:rsidP="00B2088F">
            <w:pPr>
              <w:spacing w:before="60" w:after="60"/>
              <w:jc w:val="right"/>
              <w:rPr>
                <w:noProof/>
                <w:sz w:val="20"/>
              </w:rPr>
            </w:pPr>
          </w:p>
        </w:tc>
        <w:tc>
          <w:tcPr>
            <w:tcW w:w="1080" w:type="dxa"/>
            <w:tcBorders>
              <w:top w:val="nil"/>
              <w:left w:val="nil"/>
              <w:bottom w:val="single" w:sz="4" w:space="0" w:color="auto"/>
              <w:right w:val="single" w:sz="4" w:space="0" w:color="auto"/>
            </w:tcBorders>
            <w:vAlign w:val="bottom"/>
          </w:tcPr>
          <w:p w14:paraId="46FEB399" w14:textId="77777777" w:rsidR="008911CF" w:rsidRPr="008B17C0" w:rsidRDefault="008911CF" w:rsidP="00B2088F">
            <w:pPr>
              <w:spacing w:before="60" w:after="60"/>
              <w:jc w:val="right"/>
              <w:rPr>
                <w:noProof/>
                <w:sz w:val="20"/>
              </w:rPr>
            </w:pPr>
          </w:p>
        </w:tc>
        <w:tc>
          <w:tcPr>
            <w:tcW w:w="1080" w:type="dxa"/>
            <w:tcBorders>
              <w:top w:val="nil"/>
              <w:left w:val="nil"/>
              <w:bottom w:val="single" w:sz="4" w:space="0" w:color="auto"/>
              <w:right w:val="single" w:sz="4" w:space="0" w:color="auto"/>
            </w:tcBorders>
            <w:vAlign w:val="bottom"/>
          </w:tcPr>
          <w:p w14:paraId="343CD371" w14:textId="77777777" w:rsidR="008911CF" w:rsidRPr="008B17C0" w:rsidRDefault="008911CF" w:rsidP="00B2088F">
            <w:pPr>
              <w:spacing w:before="60" w:after="60"/>
              <w:jc w:val="right"/>
              <w:rPr>
                <w:noProof/>
                <w:sz w:val="20"/>
              </w:rPr>
            </w:pPr>
          </w:p>
        </w:tc>
        <w:tc>
          <w:tcPr>
            <w:tcW w:w="3351" w:type="dxa"/>
            <w:tcBorders>
              <w:top w:val="nil"/>
              <w:left w:val="nil"/>
              <w:bottom w:val="single" w:sz="4" w:space="0" w:color="auto"/>
              <w:right w:val="single" w:sz="4" w:space="0" w:color="auto"/>
            </w:tcBorders>
            <w:vAlign w:val="bottom"/>
          </w:tcPr>
          <w:p w14:paraId="6C9EA14B" w14:textId="77777777" w:rsidR="008911CF" w:rsidRPr="008B17C0" w:rsidRDefault="008911CF" w:rsidP="00B2088F">
            <w:pPr>
              <w:spacing w:before="60" w:after="60"/>
              <w:jc w:val="center"/>
              <w:rPr>
                <w:b/>
                <w:noProof/>
                <w:sz w:val="20"/>
              </w:rPr>
            </w:pPr>
          </w:p>
        </w:tc>
      </w:tr>
      <w:tr w:rsidR="008911CF" w:rsidRPr="008B17C0" w14:paraId="49449C39" w14:textId="77777777" w:rsidTr="006A0D14">
        <w:trPr>
          <w:trHeight w:val="585"/>
        </w:trPr>
        <w:tc>
          <w:tcPr>
            <w:tcW w:w="1980" w:type="dxa"/>
            <w:shd w:val="clear" w:color="auto" w:fill="CCCCCC"/>
            <w:vAlign w:val="center"/>
          </w:tcPr>
          <w:p w14:paraId="0D69E1E0" w14:textId="77777777" w:rsidR="008911CF" w:rsidRPr="008B17C0" w:rsidRDefault="008911CF" w:rsidP="00B2088F">
            <w:pPr>
              <w:spacing w:before="60" w:after="60"/>
              <w:jc w:val="center"/>
              <w:rPr>
                <w:noProof/>
              </w:rPr>
            </w:pPr>
            <w:r w:rsidRPr="008B17C0">
              <w:rPr>
                <w:noProof/>
                <w:sz w:val="18"/>
              </w:rPr>
              <w:t>Udstationerede nationale eksperter</w:t>
            </w:r>
          </w:p>
        </w:tc>
        <w:tc>
          <w:tcPr>
            <w:tcW w:w="1080" w:type="dxa"/>
            <w:tcBorders>
              <w:top w:val="single" w:sz="2" w:space="0" w:color="auto"/>
              <w:left w:val="single" w:sz="2" w:space="0" w:color="auto"/>
              <w:bottom w:val="single" w:sz="2" w:space="0" w:color="auto"/>
              <w:right w:val="single" w:sz="2" w:space="0" w:color="auto"/>
            </w:tcBorders>
            <w:vAlign w:val="center"/>
          </w:tcPr>
          <w:p w14:paraId="320AFAE2" w14:textId="77777777" w:rsidR="008911CF" w:rsidRPr="008B17C0" w:rsidRDefault="008911CF" w:rsidP="00B2088F">
            <w:pPr>
              <w:spacing w:before="60" w:after="60"/>
              <w:jc w:val="right"/>
              <w:rPr>
                <w:noProof/>
                <w:sz w:val="20"/>
              </w:rPr>
            </w:pPr>
          </w:p>
        </w:tc>
        <w:tc>
          <w:tcPr>
            <w:tcW w:w="1080" w:type="dxa"/>
            <w:tcBorders>
              <w:top w:val="single" w:sz="2" w:space="0" w:color="auto"/>
              <w:left w:val="single" w:sz="2" w:space="0" w:color="auto"/>
              <w:bottom w:val="single" w:sz="2" w:space="0" w:color="auto"/>
              <w:right w:val="single" w:sz="2" w:space="0" w:color="auto"/>
            </w:tcBorders>
            <w:vAlign w:val="center"/>
          </w:tcPr>
          <w:p w14:paraId="6A4785E4" w14:textId="77777777" w:rsidR="008911CF" w:rsidRPr="008B17C0" w:rsidRDefault="008911CF" w:rsidP="00B2088F">
            <w:pPr>
              <w:spacing w:before="60" w:after="60"/>
              <w:jc w:val="right"/>
              <w:rPr>
                <w:noProof/>
                <w:sz w:val="20"/>
              </w:rPr>
            </w:pPr>
          </w:p>
        </w:tc>
        <w:tc>
          <w:tcPr>
            <w:tcW w:w="1080" w:type="dxa"/>
            <w:tcBorders>
              <w:top w:val="single" w:sz="2" w:space="0" w:color="auto"/>
              <w:left w:val="single" w:sz="2" w:space="0" w:color="auto"/>
              <w:bottom w:val="single" w:sz="2" w:space="0" w:color="auto"/>
              <w:right w:val="single" w:sz="2" w:space="0" w:color="auto"/>
            </w:tcBorders>
            <w:vAlign w:val="center"/>
          </w:tcPr>
          <w:p w14:paraId="54E87B35" w14:textId="77777777" w:rsidR="008911CF" w:rsidRPr="008B17C0" w:rsidRDefault="008911CF" w:rsidP="00B2088F">
            <w:pPr>
              <w:spacing w:before="60" w:after="60"/>
              <w:jc w:val="right"/>
              <w:rPr>
                <w:noProof/>
                <w:sz w:val="20"/>
              </w:rPr>
            </w:pPr>
          </w:p>
        </w:tc>
        <w:tc>
          <w:tcPr>
            <w:tcW w:w="1080" w:type="dxa"/>
            <w:tcBorders>
              <w:top w:val="single" w:sz="2" w:space="0" w:color="auto"/>
              <w:left w:val="single" w:sz="2" w:space="0" w:color="auto"/>
              <w:bottom w:val="single" w:sz="2" w:space="0" w:color="auto"/>
              <w:right w:val="single" w:sz="2" w:space="0" w:color="auto"/>
            </w:tcBorders>
            <w:vAlign w:val="center"/>
          </w:tcPr>
          <w:p w14:paraId="75CB71FF" w14:textId="77777777" w:rsidR="008911CF" w:rsidRPr="008B17C0" w:rsidRDefault="008911CF" w:rsidP="00B2088F">
            <w:pPr>
              <w:spacing w:before="60" w:after="60"/>
              <w:jc w:val="right"/>
              <w:rPr>
                <w:noProof/>
                <w:sz w:val="20"/>
              </w:rPr>
            </w:pPr>
          </w:p>
        </w:tc>
        <w:tc>
          <w:tcPr>
            <w:tcW w:w="3351" w:type="dxa"/>
            <w:tcBorders>
              <w:top w:val="single" w:sz="2" w:space="0" w:color="auto"/>
              <w:left w:val="single" w:sz="2" w:space="0" w:color="auto"/>
              <w:bottom w:val="single" w:sz="2" w:space="0" w:color="auto"/>
              <w:right w:val="single" w:sz="2" w:space="0" w:color="auto"/>
            </w:tcBorders>
            <w:vAlign w:val="center"/>
          </w:tcPr>
          <w:p w14:paraId="782547E9" w14:textId="77777777" w:rsidR="008911CF" w:rsidRPr="008B17C0" w:rsidRDefault="008911CF" w:rsidP="00B2088F">
            <w:pPr>
              <w:spacing w:before="60" w:after="60"/>
              <w:jc w:val="right"/>
              <w:rPr>
                <w:b/>
                <w:noProof/>
                <w:sz w:val="20"/>
              </w:rPr>
            </w:pPr>
          </w:p>
        </w:tc>
      </w:tr>
    </w:tbl>
    <w:p w14:paraId="682A03CE" w14:textId="77777777" w:rsidR="00906BEE" w:rsidRPr="008B17C0" w:rsidRDefault="00906BEE" w:rsidP="00906BEE">
      <w:pPr>
        <w:tabs>
          <w:tab w:val="left" w:pos="2573"/>
        </w:tabs>
        <w:rPr>
          <w:noProof/>
          <w:sz w:val="18"/>
        </w:rPr>
      </w:pPr>
    </w:p>
    <w:tbl>
      <w:tblPr>
        <w:tblW w:w="9651" w:type="dxa"/>
        <w:tblInd w:w="-612" w:type="dxa"/>
        <w:tblLayout w:type="fixed"/>
        <w:tblLook w:val="01E0" w:firstRow="1" w:lastRow="1" w:firstColumn="1" w:lastColumn="1" w:noHBand="0" w:noVBand="0"/>
      </w:tblPr>
      <w:tblGrid>
        <w:gridCol w:w="1980"/>
        <w:gridCol w:w="1080"/>
        <w:gridCol w:w="1080"/>
        <w:gridCol w:w="1080"/>
        <w:gridCol w:w="1080"/>
        <w:gridCol w:w="3351"/>
      </w:tblGrid>
      <w:tr w:rsidR="008911CF" w:rsidRPr="008B17C0" w14:paraId="7F8F7FF4" w14:textId="77777777" w:rsidTr="006A0D14">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2EE0F285" w14:textId="77777777" w:rsidR="008911CF" w:rsidRPr="008B17C0" w:rsidRDefault="008911CF" w:rsidP="00B2088F">
            <w:pPr>
              <w:spacing w:before="60" w:after="60"/>
              <w:jc w:val="center"/>
              <w:rPr>
                <w:noProof/>
                <w:sz w:val="20"/>
              </w:rPr>
            </w:pPr>
            <w:r w:rsidRPr="008B17C0">
              <w:rPr>
                <w:b/>
                <w:noProof/>
                <w:sz w:val="20"/>
              </w:rPr>
              <w:t>I ALT</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6C49563" w14:textId="7E149A89" w:rsidR="008911CF" w:rsidRPr="008B17C0" w:rsidRDefault="008911CF" w:rsidP="006A0D14">
            <w:pPr>
              <w:spacing w:before="60" w:after="60"/>
              <w:jc w:val="right"/>
              <w:rPr>
                <w:b/>
                <w:bCs/>
                <w:noProof/>
                <w:sz w:val="20"/>
                <w:szCs w:val="20"/>
              </w:rPr>
            </w:pPr>
            <w:r w:rsidRPr="008B17C0">
              <w:rPr>
                <w:b/>
                <w:bCs/>
                <w:noProof/>
                <w:color w:val="000000"/>
                <w:sz w:val="18"/>
                <w:szCs w:val="18"/>
              </w:rPr>
              <w:t>1 125</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3EA3ABDD" w14:textId="5CA0571A" w:rsidR="008911CF" w:rsidRPr="008B17C0" w:rsidRDefault="008911CF" w:rsidP="006A0D14">
            <w:pPr>
              <w:spacing w:before="60" w:after="60"/>
              <w:jc w:val="right"/>
              <w:rPr>
                <w:b/>
                <w:bCs/>
                <w:noProof/>
                <w:sz w:val="20"/>
                <w:szCs w:val="20"/>
              </w:rPr>
            </w:pPr>
            <w:r w:rsidRPr="008B17C0">
              <w:rPr>
                <w:b/>
                <w:bCs/>
                <w:noProof/>
                <w:color w:val="000000"/>
                <w:sz w:val="18"/>
                <w:szCs w:val="18"/>
              </w:rPr>
              <w:t>2 683</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28052044" w14:textId="47786ACE" w:rsidR="008911CF" w:rsidRPr="008B17C0" w:rsidRDefault="008911CF" w:rsidP="006A0D14">
            <w:pPr>
              <w:spacing w:before="60" w:after="60"/>
              <w:jc w:val="right"/>
              <w:rPr>
                <w:b/>
                <w:bCs/>
                <w:noProof/>
                <w:sz w:val="20"/>
                <w:szCs w:val="20"/>
              </w:rPr>
            </w:pPr>
            <w:r w:rsidRPr="008B17C0">
              <w:rPr>
                <w:b/>
                <w:bCs/>
                <w:noProof/>
                <w:color w:val="000000"/>
                <w:sz w:val="18"/>
                <w:szCs w:val="18"/>
              </w:rPr>
              <w:t>3 376</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67B3A884" w14:textId="57B0C7B4" w:rsidR="008911CF" w:rsidRPr="008B17C0" w:rsidRDefault="00F1149B" w:rsidP="006A0D14">
            <w:pPr>
              <w:spacing w:before="60" w:after="60"/>
              <w:jc w:val="right"/>
              <w:rPr>
                <w:b/>
                <w:bCs/>
                <w:noProof/>
                <w:sz w:val="20"/>
                <w:szCs w:val="20"/>
              </w:rPr>
            </w:pPr>
            <w:r w:rsidRPr="008B17C0">
              <w:rPr>
                <w:b/>
                <w:bCs/>
                <w:noProof/>
                <w:color w:val="000000"/>
                <w:sz w:val="18"/>
                <w:szCs w:val="18"/>
              </w:rPr>
              <w:t>3 981</w:t>
            </w:r>
          </w:p>
        </w:tc>
        <w:tc>
          <w:tcPr>
            <w:tcW w:w="3351"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7570B2FD" w14:textId="3734D381" w:rsidR="008911CF" w:rsidRPr="008B17C0" w:rsidRDefault="009A3AD8" w:rsidP="006A0D14">
            <w:pPr>
              <w:spacing w:before="60" w:after="60"/>
              <w:jc w:val="right"/>
              <w:rPr>
                <w:b/>
                <w:bCs/>
                <w:noProof/>
                <w:sz w:val="20"/>
                <w:szCs w:val="20"/>
              </w:rPr>
            </w:pPr>
            <w:r w:rsidRPr="008B17C0">
              <w:rPr>
                <w:b/>
                <w:bCs/>
                <w:noProof/>
                <w:color w:val="000000"/>
                <w:sz w:val="18"/>
                <w:szCs w:val="18"/>
              </w:rPr>
              <w:t>11 165</w:t>
            </w:r>
          </w:p>
        </w:tc>
      </w:tr>
    </w:tbl>
    <w:p w14:paraId="3F2CB125" w14:textId="77777777" w:rsidR="00906BEE" w:rsidRPr="008B17C0" w:rsidRDefault="00906BEE" w:rsidP="00906BEE">
      <w:pPr>
        <w:rPr>
          <w:noProof/>
          <w:sz w:val="20"/>
        </w:rPr>
      </w:pPr>
    </w:p>
    <w:p w14:paraId="3094BBDF" w14:textId="77777777" w:rsidR="00906BEE" w:rsidRPr="008B17C0" w:rsidRDefault="00906BEE" w:rsidP="00906BEE">
      <w:pPr>
        <w:rPr>
          <w:noProof/>
          <w:sz w:val="20"/>
        </w:rPr>
      </w:pPr>
      <w:r w:rsidRPr="008B17C0">
        <w:rPr>
          <w:noProof/>
          <w:sz w:val="20"/>
          <w:szCs w:val="20"/>
        </w:rPr>
        <w:t>Personalebehov</w:t>
      </w:r>
      <w:r w:rsidRPr="008B17C0">
        <w:rPr>
          <w:rStyle w:val="FootnoteReference"/>
          <w:noProof/>
          <w:sz w:val="20"/>
          <w:szCs w:val="20"/>
        </w:rPr>
        <w:footnoteReference w:id="60"/>
      </w:r>
      <w:r w:rsidRPr="008B17C0">
        <w:rPr>
          <w:noProof/>
          <w:sz w:val="20"/>
          <w:szCs w:val="20"/>
        </w:rPr>
        <w:t xml:space="preserve"> (FTE):</w:t>
      </w:r>
    </w:p>
    <w:tbl>
      <w:tblPr>
        <w:tblW w:w="9651"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351"/>
      </w:tblGrid>
      <w:tr w:rsidR="008911CF" w:rsidRPr="008B17C0" w14:paraId="0C33360F" w14:textId="77777777" w:rsidTr="006A0D14">
        <w:trPr>
          <w:trHeight w:val="585"/>
        </w:trPr>
        <w:tc>
          <w:tcPr>
            <w:tcW w:w="1980" w:type="dxa"/>
          </w:tcPr>
          <w:p w14:paraId="54F83546" w14:textId="77777777" w:rsidR="008911CF" w:rsidRPr="008B17C0" w:rsidRDefault="008911CF" w:rsidP="00B2088F">
            <w:pPr>
              <w:spacing w:before="60" w:after="60"/>
              <w:rPr>
                <w:noProof/>
                <w:sz w:val="20"/>
              </w:rPr>
            </w:pPr>
          </w:p>
        </w:tc>
        <w:tc>
          <w:tcPr>
            <w:tcW w:w="1080" w:type="dxa"/>
            <w:vAlign w:val="center"/>
          </w:tcPr>
          <w:p w14:paraId="5120A169" w14:textId="77777777" w:rsidR="008911CF" w:rsidRPr="008B17C0" w:rsidRDefault="008911CF" w:rsidP="00B2088F">
            <w:pPr>
              <w:spacing w:before="60" w:after="60"/>
              <w:jc w:val="center"/>
              <w:rPr>
                <w:noProof/>
                <w:sz w:val="20"/>
              </w:rPr>
            </w:pPr>
            <w:r w:rsidRPr="008B17C0">
              <w:rPr>
                <w:noProof/>
                <w:sz w:val="20"/>
              </w:rPr>
              <w:t>År</w:t>
            </w:r>
            <w:r w:rsidRPr="008B17C0">
              <w:rPr>
                <w:noProof/>
              </w:rPr>
              <w:t xml:space="preserve"> </w:t>
            </w:r>
            <w:r w:rsidRPr="008B17C0">
              <w:rPr>
                <w:noProof/>
              </w:rPr>
              <w:br/>
            </w:r>
            <w:r w:rsidRPr="008B17C0">
              <w:rPr>
                <w:b/>
                <w:noProof/>
                <w:sz w:val="20"/>
              </w:rPr>
              <w:t xml:space="preserve">2024 </w:t>
            </w:r>
          </w:p>
        </w:tc>
        <w:tc>
          <w:tcPr>
            <w:tcW w:w="1080" w:type="dxa"/>
            <w:vAlign w:val="center"/>
          </w:tcPr>
          <w:p w14:paraId="6BDD10F5" w14:textId="77777777" w:rsidR="008911CF" w:rsidRPr="008B17C0" w:rsidRDefault="008911CF" w:rsidP="00B2088F">
            <w:pPr>
              <w:spacing w:before="60" w:after="60"/>
              <w:jc w:val="center"/>
              <w:rPr>
                <w:noProof/>
                <w:sz w:val="20"/>
              </w:rPr>
            </w:pPr>
            <w:r w:rsidRPr="008B17C0">
              <w:rPr>
                <w:noProof/>
                <w:sz w:val="20"/>
              </w:rPr>
              <w:t>År</w:t>
            </w:r>
            <w:r w:rsidRPr="008B17C0">
              <w:rPr>
                <w:noProof/>
              </w:rPr>
              <w:t xml:space="preserve"> </w:t>
            </w:r>
            <w:r w:rsidRPr="008B17C0">
              <w:rPr>
                <w:noProof/>
              </w:rPr>
              <w:br/>
            </w:r>
            <w:r w:rsidRPr="008B17C0">
              <w:rPr>
                <w:b/>
                <w:noProof/>
                <w:sz w:val="20"/>
              </w:rPr>
              <w:t>2025</w:t>
            </w:r>
          </w:p>
        </w:tc>
        <w:tc>
          <w:tcPr>
            <w:tcW w:w="1080" w:type="dxa"/>
            <w:vAlign w:val="center"/>
          </w:tcPr>
          <w:p w14:paraId="1AE082B7" w14:textId="77777777" w:rsidR="008911CF" w:rsidRPr="008B17C0" w:rsidRDefault="008911CF" w:rsidP="00B2088F">
            <w:pPr>
              <w:spacing w:before="60" w:after="60"/>
              <w:jc w:val="center"/>
              <w:rPr>
                <w:noProof/>
                <w:sz w:val="20"/>
              </w:rPr>
            </w:pPr>
            <w:r w:rsidRPr="008B17C0">
              <w:rPr>
                <w:noProof/>
                <w:sz w:val="20"/>
              </w:rPr>
              <w:t>År</w:t>
            </w:r>
            <w:r w:rsidRPr="008B17C0">
              <w:rPr>
                <w:noProof/>
              </w:rPr>
              <w:t xml:space="preserve"> </w:t>
            </w:r>
            <w:r w:rsidRPr="008B17C0">
              <w:rPr>
                <w:noProof/>
              </w:rPr>
              <w:br/>
            </w:r>
            <w:r w:rsidRPr="008B17C0">
              <w:rPr>
                <w:b/>
                <w:noProof/>
                <w:sz w:val="20"/>
              </w:rPr>
              <w:t>2026</w:t>
            </w:r>
          </w:p>
        </w:tc>
        <w:tc>
          <w:tcPr>
            <w:tcW w:w="1080" w:type="dxa"/>
            <w:vAlign w:val="center"/>
          </w:tcPr>
          <w:p w14:paraId="320355C3" w14:textId="77777777" w:rsidR="008911CF" w:rsidRPr="008B17C0" w:rsidRDefault="008911CF" w:rsidP="00B2088F">
            <w:pPr>
              <w:spacing w:before="60" w:after="60"/>
              <w:jc w:val="center"/>
              <w:rPr>
                <w:noProof/>
                <w:sz w:val="20"/>
              </w:rPr>
            </w:pPr>
            <w:r w:rsidRPr="008B17C0">
              <w:rPr>
                <w:noProof/>
                <w:sz w:val="20"/>
              </w:rPr>
              <w:t>År</w:t>
            </w:r>
            <w:r w:rsidRPr="008B17C0">
              <w:rPr>
                <w:noProof/>
              </w:rPr>
              <w:t xml:space="preserve"> </w:t>
            </w:r>
            <w:r w:rsidRPr="008B17C0">
              <w:rPr>
                <w:noProof/>
              </w:rPr>
              <w:br/>
            </w:r>
            <w:r w:rsidRPr="008B17C0">
              <w:rPr>
                <w:b/>
                <w:noProof/>
                <w:sz w:val="20"/>
              </w:rPr>
              <w:t>2027</w:t>
            </w:r>
          </w:p>
        </w:tc>
        <w:tc>
          <w:tcPr>
            <w:tcW w:w="3351" w:type="dxa"/>
            <w:vAlign w:val="center"/>
          </w:tcPr>
          <w:p w14:paraId="56C2DA08" w14:textId="77777777" w:rsidR="008911CF" w:rsidRPr="008B17C0" w:rsidRDefault="008911CF" w:rsidP="00B2088F">
            <w:pPr>
              <w:spacing w:before="60" w:after="60"/>
              <w:jc w:val="center"/>
              <w:rPr>
                <w:b/>
                <w:noProof/>
                <w:sz w:val="20"/>
              </w:rPr>
            </w:pPr>
            <w:r w:rsidRPr="008B17C0">
              <w:rPr>
                <w:b/>
                <w:noProof/>
                <w:sz w:val="20"/>
              </w:rPr>
              <w:t>I ALT</w:t>
            </w:r>
          </w:p>
        </w:tc>
      </w:tr>
    </w:tbl>
    <w:p w14:paraId="23AD8610" w14:textId="77777777" w:rsidR="00906BEE" w:rsidRPr="008B17C0" w:rsidRDefault="00906BEE" w:rsidP="00906BEE">
      <w:pPr>
        <w:tabs>
          <w:tab w:val="left" w:pos="2573"/>
        </w:tabs>
        <w:rPr>
          <w:noProof/>
          <w:sz w:val="18"/>
        </w:rPr>
      </w:pPr>
    </w:p>
    <w:tbl>
      <w:tblPr>
        <w:tblW w:w="9651"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351"/>
      </w:tblGrid>
      <w:tr w:rsidR="008911CF" w:rsidRPr="008B17C0" w14:paraId="095AFF78" w14:textId="77777777" w:rsidTr="006A0D14">
        <w:trPr>
          <w:trHeight w:val="585"/>
        </w:trPr>
        <w:tc>
          <w:tcPr>
            <w:tcW w:w="1980" w:type="dxa"/>
            <w:shd w:val="clear" w:color="auto" w:fill="D9D9D9" w:themeFill="background1" w:themeFillShade="D9"/>
            <w:vAlign w:val="center"/>
          </w:tcPr>
          <w:p w14:paraId="52FCD885" w14:textId="77777777" w:rsidR="008911CF" w:rsidRPr="008B17C0" w:rsidRDefault="008911CF" w:rsidP="00B2088F">
            <w:pPr>
              <w:spacing w:before="60" w:after="60"/>
              <w:jc w:val="center"/>
              <w:rPr>
                <w:noProof/>
              </w:rPr>
            </w:pPr>
            <w:r w:rsidRPr="008B17C0">
              <w:rPr>
                <w:noProof/>
                <w:sz w:val="18"/>
              </w:rPr>
              <w:t>Midlertidigt ansatte (AD)</w:t>
            </w:r>
          </w:p>
        </w:tc>
        <w:tc>
          <w:tcPr>
            <w:tcW w:w="1080" w:type="dxa"/>
            <w:tcBorders>
              <w:top w:val="single" w:sz="4" w:space="0" w:color="auto"/>
              <w:left w:val="single" w:sz="4" w:space="0" w:color="auto"/>
              <w:bottom w:val="single" w:sz="4" w:space="0" w:color="auto"/>
              <w:right w:val="single" w:sz="4" w:space="0" w:color="auto"/>
            </w:tcBorders>
            <w:vAlign w:val="center"/>
          </w:tcPr>
          <w:p w14:paraId="490B55CF" w14:textId="77777777" w:rsidR="008911CF" w:rsidRPr="008B17C0" w:rsidRDefault="008911CF" w:rsidP="006A0D14">
            <w:pPr>
              <w:spacing w:before="60" w:after="60"/>
              <w:jc w:val="center"/>
              <w:rPr>
                <w:noProof/>
                <w:sz w:val="20"/>
                <w:szCs w:val="20"/>
              </w:rPr>
            </w:pPr>
            <w:r w:rsidRPr="008B17C0">
              <w:rPr>
                <w:noProof/>
                <w:color w:val="000000"/>
                <w:sz w:val="20"/>
                <w:szCs w:val="20"/>
              </w:rPr>
              <w:t>11</w:t>
            </w:r>
          </w:p>
        </w:tc>
        <w:tc>
          <w:tcPr>
            <w:tcW w:w="1080" w:type="dxa"/>
            <w:tcBorders>
              <w:top w:val="single" w:sz="4" w:space="0" w:color="auto"/>
              <w:left w:val="single" w:sz="4" w:space="0" w:color="auto"/>
              <w:bottom w:val="single" w:sz="4" w:space="0" w:color="auto"/>
              <w:right w:val="single" w:sz="4" w:space="0" w:color="auto"/>
            </w:tcBorders>
            <w:vAlign w:val="center"/>
          </w:tcPr>
          <w:p w14:paraId="52E7CAD4" w14:textId="00A2C7EB" w:rsidR="008911CF" w:rsidRPr="008B17C0" w:rsidRDefault="008911CF" w:rsidP="006A0D14">
            <w:pPr>
              <w:spacing w:before="60" w:after="60"/>
              <w:jc w:val="center"/>
              <w:rPr>
                <w:noProof/>
                <w:sz w:val="20"/>
                <w:szCs w:val="20"/>
              </w:rPr>
            </w:pPr>
            <w:r w:rsidRPr="008B17C0">
              <w:rPr>
                <w:noProof/>
                <w:color w:val="000000"/>
                <w:sz w:val="20"/>
                <w:szCs w:val="20"/>
              </w:rPr>
              <w:t>16</w:t>
            </w:r>
          </w:p>
        </w:tc>
        <w:tc>
          <w:tcPr>
            <w:tcW w:w="1080" w:type="dxa"/>
            <w:tcBorders>
              <w:top w:val="single" w:sz="4" w:space="0" w:color="auto"/>
              <w:left w:val="single" w:sz="4" w:space="0" w:color="auto"/>
              <w:bottom w:val="single" w:sz="4" w:space="0" w:color="auto"/>
              <w:right w:val="single" w:sz="4" w:space="0" w:color="auto"/>
            </w:tcBorders>
            <w:vAlign w:val="center"/>
          </w:tcPr>
          <w:p w14:paraId="215CFEAF" w14:textId="7FDC43DB" w:rsidR="008911CF" w:rsidRPr="008B17C0" w:rsidRDefault="008911CF" w:rsidP="006A0D14">
            <w:pPr>
              <w:spacing w:before="60" w:after="60"/>
              <w:jc w:val="right"/>
              <w:rPr>
                <w:noProof/>
                <w:sz w:val="20"/>
                <w:szCs w:val="20"/>
              </w:rPr>
            </w:pPr>
            <w:r w:rsidRPr="008B17C0">
              <w:rPr>
                <w:noProof/>
                <w:sz w:val="20"/>
                <w:szCs w:val="20"/>
              </w:rPr>
              <w:t>18</w:t>
            </w:r>
          </w:p>
        </w:tc>
        <w:tc>
          <w:tcPr>
            <w:tcW w:w="1080" w:type="dxa"/>
            <w:tcBorders>
              <w:top w:val="single" w:sz="4" w:space="0" w:color="auto"/>
              <w:left w:val="single" w:sz="4" w:space="0" w:color="auto"/>
              <w:bottom w:val="single" w:sz="4" w:space="0" w:color="auto"/>
              <w:right w:val="single" w:sz="4" w:space="0" w:color="auto"/>
            </w:tcBorders>
            <w:vAlign w:val="center"/>
          </w:tcPr>
          <w:p w14:paraId="07A346FC" w14:textId="40241F52" w:rsidR="008911CF" w:rsidRPr="008B17C0" w:rsidRDefault="008911CF" w:rsidP="006A0D14">
            <w:pPr>
              <w:spacing w:before="60" w:after="60"/>
              <w:jc w:val="right"/>
              <w:rPr>
                <w:noProof/>
                <w:sz w:val="20"/>
                <w:szCs w:val="20"/>
              </w:rPr>
            </w:pPr>
            <w:r w:rsidRPr="008B17C0">
              <w:rPr>
                <w:noProof/>
                <w:sz w:val="20"/>
                <w:szCs w:val="20"/>
              </w:rPr>
              <w:t>20</w:t>
            </w:r>
          </w:p>
        </w:tc>
        <w:tc>
          <w:tcPr>
            <w:tcW w:w="3351" w:type="dxa"/>
            <w:tcBorders>
              <w:top w:val="single" w:sz="4" w:space="0" w:color="auto"/>
              <w:left w:val="single" w:sz="4" w:space="0" w:color="auto"/>
              <w:bottom w:val="single" w:sz="4" w:space="0" w:color="auto"/>
              <w:right w:val="single" w:sz="4" w:space="0" w:color="auto"/>
            </w:tcBorders>
            <w:vAlign w:val="center"/>
          </w:tcPr>
          <w:p w14:paraId="1941B8CB" w14:textId="77777777" w:rsidR="008911CF" w:rsidRPr="008B17C0" w:rsidRDefault="008911CF" w:rsidP="00B2088F">
            <w:pPr>
              <w:spacing w:before="60" w:after="60"/>
              <w:jc w:val="right"/>
              <w:rPr>
                <w:b/>
                <w:noProof/>
                <w:sz w:val="20"/>
              </w:rPr>
            </w:pPr>
            <w:r w:rsidRPr="008B17C0">
              <w:rPr>
                <w:noProof/>
                <w:sz w:val="20"/>
                <w:szCs w:val="20"/>
              </w:rPr>
              <w:t>20</w:t>
            </w:r>
          </w:p>
        </w:tc>
      </w:tr>
      <w:tr w:rsidR="008911CF" w:rsidRPr="008B17C0" w14:paraId="1529AFBC" w14:textId="77777777" w:rsidTr="006A0D14">
        <w:trPr>
          <w:trHeight w:val="585"/>
        </w:trPr>
        <w:tc>
          <w:tcPr>
            <w:tcW w:w="1980" w:type="dxa"/>
            <w:shd w:val="clear" w:color="auto" w:fill="BFBFBF" w:themeFill="background1" w:themeFillShade="BF"/>
            <w:vAlign w:val="center"/>
          </w:tcPr>
          <w:p w14:paraId="03074928" w14:textId="77777777" w:rsidR="008911CF" w:rsidRPr="008B17C0" w:rsidRDefault="008911CF" w:rsidP="00B2088F">
            <w:pPr>
              <w:spacing w:before="60" w:after="60"/>
              <w:ind w:left="72"/>
              <w:rPr>
                <w:noProof/>
              </w:rPr>
            </w:pPr>
            <w:r w:rsidRPr="008B17C0">
              <w:rPr>
                <w:noProof/>
                <w:sz w:val="20"/>
              </w:rPr>
              <w:t>Midlertidigt ansatte (AST)</w:t>
            </w:r>
          </w:p>
        </w:tc>
        <w:tc>
          <w:tcPr>
            <w:tcW w:w="1080" w:type="dxa"/>
            <w:tcBorders>
              <w:top w:val="single" w:sz="4" w:space="0" w:color="auto"/>
              <w:left w:val="single" w:sz="4" w:space="0" w:color="auto"/>
              <w:bottom w:val="single" w:sz="4" w:space="0" w:color="auto"/>
              <w:right w:val="single" w:sz="4" w:space="0" w:color="auto"/>
            </w:tcBorders>
            <w:vAlign w:val="center"/>
          </w:tcPr>
          <w:p w14:paraId="498E3D9A" w14:textId="77777777" w:rsidR="008911CF" w:rsidRPr="008B17C0" w:rsidRDefault="008911CF" w:rsidP="00B2088F">
            <w:pPr>
              <w:spacing w:before="60" w:after="60"/>
              <w:jc w:val="right"/>
              <w:rPr>
                <w:noProof/>
                <w:sz w:val="20"/>
              </w:rPr>
            </w:pPr>
            <w:r w:rsidRPr="008B17C0">
              <w:rPr>
                <w:noProof/>
                <w:sz w:val="20"/>
                <w:szCs w:val="20"/>
              </w:rPr>
              <w:t>2</w:t>
            </w:r>
          </w:p>
        </w:tc>
        <w:tc>
          <w:tcPr>
            <w:tcW w:w="1080" w:type="dxa"/>
            <w:tcBorders>
              <w:top w:val="single" w:sz="4" w:space="0" w:color="auto"/>
              <w:left w:val="single" w:sz="4" w:space="0" w:color="auto"/>
              <w:bottom w:val="single" w:sz="4" w:space="0" w:color="auto"/>
              <w:right w:val="single" w:sz="4" w:space="0" w:color="auto"/>
            </w:tcBorders>
            <w:vAlign w:val="center"/>
          </w:tcPr>
          <w:p w14:paraId="70DE0E04" w14:textId="28FD39E6" w:rsidR="008911CF" w:rsidRPr="008B17C0" w:rsidRDefault="008911CF" w:rsidP="006A0D14">
            <w:pPr>
              <w:spacing w:before="60" w:after="60"/>
              <w:jc w:val="right"/>
              <w:rPr>
                <w:noProof/>
                <w:sz w:val="20"/>
                <w:szCs w:val="20"/>
              </w:rPr>
            </w:pPr>
            <w:r w:rsidRPr="008B17C0">
              <w:rPr>
                <w:noProof/>
                <w:sz w:val="20"/>
                <w:szCs w:val="20"/>
              </w:rPr>
              <w:t>2</w:t>
            </w:r>
          </w:p>
        </w:tc>
        <w:tc>
          <w:tcPr>
            <w:tcW w:w="1080" w:type="dxa"/>
            <w:tcBorders>
              <w:top w:val="single" w:sz="4" w:space="0" w:color="auto"/>
              <w:left w:val="single" w:sz="4" w:space="0" w:color="auto"/>
              <w:bottom w:val="single" w:sz="4" w:space="0" w:color="auto"/>
              <w:right w:val="single" w:sz="4" w:space="0" w:color="auto"/>
            </w:tcBorders>
            <w:vAlign w:val="center"/>
          </w:tcPr>
          <w:p w14:paraId="11CCB4D4" w14:textId="44D26E6C" w:rsidR="008911CF" w:rsidRPr="008B17C0" w:rsidRDefault="008911CF" w:rsidP="006A0D14">
            <w:pPr>
              <w:spacing w:before="60" w:after="60"/>
              <w:jc w:val="right"/>
              <w:rPr>
                <w:noProof/>
                <w:sz w:val="20"/>
                <w:szCs w:val="20"/>
              </w:rPr>
            </w:pPr>
            <w:r w:rsidRPr="008B17C0">
              <w:rPr>
                <w:noProof/>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14:paraId="7541E8C7" w14:textId="57E2F2B6" w:rsidR="008911CF" w:rsidRPr="008B17C0" w:rsidRDefault="008911CF" w:rsidP="006A0D14">
            <w:pPr>
              <w:spacing w:before="60" w:after="60"/>
              <w:jc w:val="center"/>
              <w:rPr>
                <w:noProof/>
                <w:sz w:val="20"/>
                <w:szCs w:val="20"/>
              </w:rPr>
            </w:pPr>
            <w:r w:rsidRPr="008B17C0">
              <w:rPr>
                <w:noProof/>
                <w:sz w:val="20"/>
                <w:szCs w:val="20"/>
              </w:rPr>
              <w:t>5</w:t>
            </w:r>
          </w:p>
        </w:tc>
        <w:tc>
          <w:tcPr>
            <w:tcW w:w="3351" w:type="dxa"/>
            <w:tcBorders>
              <w:top w:val="single" w:sz="4" w:space="0" w:color="auto"/>
              <w:left w:val="single" w:sz="4" w:space="0" w:color="auto"/>
              <w:bottom w:val="single" w:sz="4" w:space="0" w:color="auto"/>
              <w:right w:val="single" w:sz="4" w:space="0" w:color="auto"/>
            </w:tcBorders>
            <w:vAlign w:val="center"/>
          </w:tcPr>
          <w:p w14:paraId="557C1B21" w14:textId="77777777" w:rsidR="008911CF" w:rsidRPr="008B17C0" w:rsidRDefault="008911CF" w:rsidP="00B2088F">
            <w:pPr>
              <w:spacing w:before="60" w:after="60"/>
              <w:jc w:val="right"/>
              <w:rPr>
                <w:b/>
                <w:noProof/>
                <w:sz w:val="20"/>
              </w:rPr>
            </w:pPr>
            <w:r w:rsidRPr="008B17C0">
              <w:rPr>
                <w:noProof/>
                <w:sz w:val="20"/>
                <w:szCs w:val="20"/>
              </w:rPr>
              <w:t>5</w:t>
            </w:r>
          </w:p>
        </w:tc>
      </w:tr>
      <w:tr w:rsidR="008911CF" w:rsidRPr="008B17C0" w14:paraId="7757E98B" w14:textId="77777777" w:rsidTr="006A0D14">
        <w:trPr>
          <w:trHeight w:val="585"/>
        </w:trPr>
        <w:tc>
          <w:tcPr>
            <w:tcW w:w="1980" w:type="dxa"/>
            <w:shd w:val="clear" w:color="auto" w:fill="BFBFBF" w:themeFill="background1" w:themeFillShade="BF"/>
            <w:vAlign w:val="center"/>
          </w:tcPr>
          <w:p w14:paraId="7B47849A" w14:textId="77777777" w:rsidR="008911CF" w:rsidRPr="008B17C0" w:rsidRDefault="008911CF" w:rsidP="00B2088F">
            <w:pPr>
              <w:spacing w:before="60" w:after="60"/>
              <w:ind w:left="72"/>
              <w:rPr>
                <w:noProof/>
              </w:rPr>
            </w:pPr>
            <w:r w:rsidRPr="008B17C0">
              <w:rPr>
                <w:noProof/>
                <w:sz w:val="20"/>
              </w:rPr>
              <w:t>Kontraktansatte</w:t>
            </w:r>
          </w:p>
        </w:tc>
        <w:tc>
          <w:tcPr>
            <w:tcW w:w="1080" w:type="dxa"/>
            <w:shd w:val="clear" w:color="auto" w:fill="BFBFBF" w:themeFill="background1" w:themeFillShade="BF"/>
            <w:vAlign w:val="center"/>
          </w:tcPr>
          <w:p w14:paraId="01B708D3" w14:textId="77777777" w:rsidR="008911CF" w:rsidRPr="008B17C0" w:rsidRDefault="008911CF" w:rsidP="00B2088F">
            <w:pPr>
              <w:spacing w:before="60" w:after="60"/>
              <w:jc w:val="center"/>
              <w:rPr>
                <w:noProof/>
                <w:sz w:val="20"/>
              </w:rPr>
            </w:pPr>
          </w:p>
        </w:tc>
        <w:tc>
          <w:tcPr>
            <w:tcW w:w="1080" w:type="dxa"/>
            <w:shd w:val="clear" w:color="auto" w:fill="BFBFBF" w:themeFill="background1" w:themeFillShade="BF"/>
            <w:vAlign w:val="center"/>
          </w:tcPr>
          <w:p w14:paraId="65DA4A50" w14:textId="77777777" w:rsidR="008911CF" w:rsidRPr="008B17C0" w:rsidRDefault="008911CF" w:rsidP="00B2088F">
            <w:pPr>
              <w:spacing w:before="60" w:after="60"/>
              <w:jc w:val="right"/>
              <w:rPr>
                <w:noProof/>
                <w:sz w:val="20"/>
              </w:rPr>
            </w:pPr>
          </w:p>
        </w:tc>
        <w:tc>
          <w:tcPr>
            <w:tcW w:w="1080" w:type="dxa"/>
            <w:shd w:val="clear" w:color="auto" w:fill="BFBFBF" w:themeFill="background1" w:themeFillShade="BF"/>
            <w:vAlign w:val="center"/>
          </w:tcPr>
          <w:p w14:paraId="0261B9BB" w14:textId="77777777" w:rsidR="008911CF" w:rsidRPr="008B17C0" w:rsidRDefault="008911CF" w:rsidP="00B2088F">
            <w:pPr>
              <w:spacing w:before="60" w:after="60"/>
              <w:jc w:val="right"/>
              <w:rPr>
                <w:noProof/>
                <w:sz w:val="20"/>
              </w:rPr>
            </w:pPr>
          </w:p>
        </w:tc>
        <w:tc>
          <w:tcPr>
            <w:tcW w:w="1080" w:type="dxa"/>
            <w:shd w:val="clear" w:color="auto" w:fill="BFBFBF" w:themeFill="background1" w:themeFillShade="BF"/>
            <w:vAlign w:val="center"/>
          </w:tcPr>
          <w:p w14:paraId="7A1EFD2B" w14:textId="77777777" w:rsidR="008911CF" w:rsidRPr="008B17C0" w:rsidRDefault="008911CF" w:rsidP="00B2088F">
            <w:pPr>
              <w:spacing w:before="60" w:after="60"/>
              <w:jc w:val="right"/>
              <w:rPr>
                <w:noProof/>
                <w:sz w:val="20"/>
              </w:rPr>
            </w:pPr>
          </w:p>
        </w:tc>
        <w:tc>
          <w:tcPr>
            <w:tcW w:w="3351" w:type="dxa"/>
            <w:shd w:val="clear" w:color="auto" w:fill="BFBFBF" w:themeFill="background1" w:themeFillShade="BF"/>
            <w:vAlign w:val="center"/>
          </w:tcPr>
          <w:p w14:paraId="5CC11BE4" w14:textId="77777777" w:rsidR="008911CF" w:rsidRPr="008B17C0" w:rsidRDefault="008911CF" w:rsidP="00B2088F">
            <w:pPr>
              <w:spacing w:before="60" w:after="60"/>
              <w:jc w:val="right"/>
              <w:rPr>
                <w:b/>
                <w:noProof/>
                <w:sz w:val="20"/>
              </w:rPr>
            </w:pPr>
          </w:p>
        </w:tc>
      </w:tr>
      <w:tr w:rsidR="008911CF" w:rsidRPr="008B17C0" w14:paraId="1D244B06" w14:textId="77777777" w:rsidTr="006A0D14">
        <w:trPr>
          <w:trHeight w:val="585"/>
        </w:trPr>
        <w:tc>
          <w:tcPr>
            <w:tcW w:w="1980" w:type="dxa"/>
            <w:shd w:val="clear" w:color="auto" w:fill="CCCCCC"/>
            <w:vAlign w:val="center"/>
          </w:tcPr>
          <w:p w14:paraId="02A77309" w14:textId="77777777" w:rsidR="008911CF" w:rsidRPr="008B17C0" w:rsidRDefault="008911CF" w:rsidP="00B2088F">
            <w:pPr>
              <w:spacing w:before="60" w:after="60"/>
              <w:jc w:val="center"/>
              <w:rPr>
                <w:noProof/>
              </w:rPr>
            </w:pPr>
            <w:r w:rsidRPr="008B17C0">
              <w:rPr>
                <w:noProof/>
                <w:sz w:val="18"/>
              </w:rPr>
              <w:t>Udstationerede nationale eksperter</w:t>
            </w:r>
          </w:p>
        </w:tc>
        <w:tc>
          <w:tcPr>
            <w:tcW w:w="1080" w:type="dxa"/>
            <w:vAlign w:val="center"/>
          </w:tcPr>
          <w:p w14:paraId="6CF4C55B" w14:textId="77777777" w:rsidR="008911CF" w:rsidRPr="008B17C0" w:rsidRDefault="008911CF" w:rsidP="00B2088F">
            <w:pPr>
              <w:spacing w:before="60" w:after="60"/>
              <w:jc w:val="right"/>
              <w:rPr>
                <w:noProof/>
                <w:sz w:val="20"/>
              </w:rPr>
            </w:pPr>
          </w:p>
        </w:tc>
        <w:tc>
          <w:tcPr>
            <w:tcW w:w="1080" w:type="dxa"/>
            <w:vAlign w:val="center"/>
          </w:tcPr>
          <w:p w14:paraId="054430E5" w14:textId="77777777" w:rsidR="008911CF" w:rsidRPr="008B17C0" w:rsidRDefault="008911CF" w:rsidP="00B2088F">
            <w:pPr>
              <w:spacing w:before="60" w:after="60"/>
              <w:jc w:val="right"/>
              <w:rPr>
                <w:noProof/>
                <w:sz w:val="20"/>
              </w:rPr>
            </w:pPr>
          </w:p>
        </w:tc>
        <w:tc>
          <w:tcPr>
            <w:tcW w:w="1080" w:type="dxa"/>
            <w:vAlign w:val="center"/>
          </w:tcPr>
          <w:p w14:paraId="24147CE9" w14:textId="77777777" w:rsidR="008911CF" w:rsidRPr="008B17C0" w:rsidRDefault="008911CF" w:rsidP="00B2088F">
            <w:pPr>
              <w:spacing w:before="60" w:after="60"/>
              <w:jc w:val="right"/>
              <w:rPr>
                <w:noProof/>
                <w:sz w:val="20"/>
              </w:rPr>
            </w:pPr>
          </w:p>
        </w:tc>
        <w:tc>
          <w:tcPr>
            <w:tcW w:w="1080" w:type="dxa"/>
            <w:vAlign w:val="center"/>
          </w:tcPr>
          <w:p w14:paraId="4108C791" w14:textId="77777777" w:rsidR="008911CF" w:rsidRPr="008B17C0" w:rsidRDefault="008911CF" w:rsidP="00B2088F">
            <w:pPr>
              <w:spacing w:before="60" w:after="60"/>
              <w:jc w:val="right"/>
              <w:rPr>
                <w:noProof/>
                <w:sz w:val="20"/>
              </w:rPr>
            </w:pPr>
          </w:p>
        </w:tc>
        <w:tc>
          <w:tcPr>
            <w:tcW w:w="3351" w:type="dxa"/>
            <w:vAlign w:val="center"/>
          </w:tcPr>
          <w:p w14:paraId="1BF4E5E5" w14:textId="77777777" w:rsidR="008911CF" w:rsidRPr="008B17C0" w:rsidRDefault="008911CF" w:rsidP="00B2088F">
            <w:pPr>
              <w:spacing w:before="60" w:after="60"/>
              <w:jc w:val="right"/>
              <w:rPr>
                <w:b/>
                <w:noProof/>
                <w:sz w:val="20"/>
              </w:rPr>
            </w:pPr>
          </w:p>
        </w:tc>
      </w:tr>
    </w:tbl>
    <w:p w14:paraId="145EEDF0" w14:textId="77777777" w:rsidR="00906BEE" w:rsidRPr="008B17C0" w:rsidRDefault="00906BEE" w:rsidP="00906BEE">
      <w:pPr>
        <w:tabs>
          <w:tab w:val="left" w:pos="2573"/>
        </w:tabs>
        <w:rPr>
          <w:noProof/>
          <w:sz w:val="18"/>
        </w:rPr>
      </w:pPr>
    </w:p>
    <w:tbl>
      <w:tblPr>
        <w:tblW w:w="9651" w:type="dxa"/>
        <w:tblInd w:w="-612" w:type="dxa"/>
        <w:tblLayout w:type="fixed"/>
        <w:tblLook w:val="01E0" w:firstRow="1" w:lastRow="1" w:firstColumn="1" w:lastColumn="1" w:noHBand="0" w:noVBand="0"/>
      </w:tblPr>
      <w:tblGrid>
        <w:gridCol w:w="1980"/>
        <w:gridCol w:w="1080"/>
        <w:gridCol w:w="1080"/>
        <w:gridCol w:w="1080"/>
        <w:gridCol w:w="1080"/>
        <w:gridCol w:w="3351"/>
      </w:tblGrid>
      <w:tr w:rsidR="008911CF" w:rsidRPr="008B17C0" w14:paraId="780DDD4B" w14:textId="77777777" w:rsidTr="006A0D14">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18DAD1FA" w14:textId="77777777" w:rsidR="008911CF" w:rsidRPr="008B17C0" w:rsidRDefault="008911CF" w:rsidP="00B2088F">
            <w:pPr>
              <w:spacing w:before="60" w:after="60"/>
              <w:jc w:val="center"/>
              <w:rPr>
                <w:noProof/>
                <w:sz w:val="20"/>
              </w:rPr>
            </w:pPr>
            <w:r w:rsidRPr="008B17C0">
              <w:rPr>
                <w:b/>
                <w:noProof/>
                <w:sz w:val="20"/>
              </w:rPr>
              <w:t>I ALT</w:t>
            </w:r>
          </w:p>
        </w:tc>
        <w:tc>
          <w:tcPr>
            <w:tcW w:w="1080" w:type="dxa"/>
            <w:tcBorders>
              <w:top w:val="single" w:sz="12" w:space="0" w:color="auto"/>
              <w:left w:val="single" w:sz="2" w:space="0" w:color="auto"/>
              <w:bottom w:val="single" w:sz="12" w:space="0" w:color="auto"/>
              <w:right w:val="single" w:sz="2" w:space="0" w:color="auto"/>
            </w:tcBorders>
            <w:vAlign w:val="center"/>
          </w:tcPr>
          <w:p w14:paraId="1DB629BB" w14:textId="77777777" w:rsidR="008911CF" w:rsidRPr="008B17C0" w:rsidRDefault="008911CF" w:rsidP="00B2088F">
            <w:pPr>
              <w:spacing w:before="60" w:after="60"/>
              <w:jc w:val="right"/>
              <w:rPr>
                <w:b/>
                <w:noProof/>
                <w:sz w:val="20"/>
              </w:rPr>
            </w:pPr>
            <w:r w:rsidRPr="008B17C0">
              <w:rPr>
                <w:b/>
                <w:noProof/>
                <w:sz w:val="20"/>
                <w:szCs w:val="20"/>
              </w:rPr>
              <w:t>13</w:t>
            </w:r>
          </w:p>
        </w:tc>
        <w:tc>
          <w:tcPr>
            <w:tcW w:w="1080" w:type="dxa"/>
            <w:tcBorders>
              <w:top w:val="single" w:sz="12" w:space="0" w:color="auto"/>
              <w:left w:val="single" w:sz="2" w:space="0" w:color="auto"/>
              <w:bottom w:val="single" w:sz="12" w:space="0" w:color="auto"/>
              <w:right w:val="single" w:sz="2" w:space="0" w:color="auto"/>
            </w:tcBorders>
            <w:vAlign w:val="center"/>
          </w:tcPr>
          <w:p w14:paraId="706BB077" w14:textId="388602EA" w:rsidR="008911CF" w:rsidRPr="008B17C0" w:rsidRDefault="008911CF" w:rsidP="006A0D14">
            <w:pPr>
              <w:spacing w:before="60" w:after="60"/>
              <w:jc w:val="right"/>
              <w:rPr>
                <w:b/>
                <w:bCs/>
                <w:noProof/>
                <w:sz w:val="20"/>
                <w:szCs w:val="20"/>
              </w:rPr>
            </w:pPr>
            <w:r w:rsidRPr="008B17C0">
              <w:rPr>
                <w:b/>
                <w:bCs/>
                <w:noProof/>
                <w:sz w:val="20"/>
                <w:szCs w:val="20"/>
              </w:rPr>
              <w:t>18</w:t>
            </w:r>
          </w:p>
        </w:tc>
        <w:tc>
          <w:tcPr>
            <w:tcW w:w="1080" w:type="dxa"/>
            <w:tcBorders>
              <w:top w:val="single" w:sz="12" w:space="0" w:color="auto"/>
              <w:left w:val="single" w:sz="2" w:space="0" w:color="auto"/>
              <w:bottom w:val="single" w:sz="12" w:space="0" w:color="auto"/>
              <w:right w:val="single" w:sz="2" w:space="0" w:color="auto"/>
            </w:tcBorders>
            <w:vAlign w:val="center"/>
          </w:tcPr>
          <w:p w14:paraId="6E5DB4A5" w14:textId="082A99D6" w:rsidR="008911CF" w:rsidRPr="008B17C0" w:rsidRDefault="008911CF" w:rsidP="006A0D14">
            <w:pPr>
              <w:spacing w:before="60" w:after="60"/>
              <w:jc w:val="right"/>
              <w:rPr>
                <w:b/>
                <w:bCs/>
                <w:noProof/>
                <w:sz w:val="20"/>
                <w:szCs w:val="20"/>
              </w:rPr>
            </w:pPr>
            <w:r w:rsidRPr="008B17C0">
              <w:rPr>
                <w:b/>
                <w:bCs/>
                <w:noProof/>
                <w:sz w:val="20"/>
                <w:szCs w:val="20"/>
              </w:rPr>
              <w:t>21</w:t>
            </w:r>
          </w:p>
        </w:tc>
        <w:tc>
          <w:tcPr>
            <w:tcW w:w="1080" w:type="dxa"/>
            <w:tcBorders>
              <w:top w:val="single" w:sz="12" w:space="0" w:color="auto"/>
              <w:left w:val="single" w:sz="2" w:space="0" w:color="auto"/>
              <w:bottom w:val="single" w:sz="12" w:space="0" w:color="auto"/>
              <w:right w:val="single" w:sz="2" w:space="0" w:color="auto"/>
            </w:tcBorders>
            <w:vAlign w:val="center"/>
          </w:tcPr>
          <w:p w14:paraId="1BE8220B" w14:textId="655C5D83" w:rsidR="008911CF" w:rsidRPr="008B17C0" w:rsidRDefault="008911CF" w:rsidP="006A0D14">
            <w:pPr>
              <w:spacing w:before="60" w:after="60"/>
              <w:jc w:val="right"/>
              <w:rPr>
                <w:b/>
                <w:bCs/>
                <w:noProof/>
                <w:sz w:val="20"/>
                <w:szCs w:val="20"/>
              </w:rPr>
            </w:pPr>
            <w:r w:rsidRPr="008B17C0">
              <w:rPr>
                <w:b/>
                <w:bCs/>
                <w:noProof/>
                <w:sz w:val="20"/>
                <w:szCs w:val="20"/>
              </w:rPr>
              <w:t>25</w:t>
            </w:r>
          </w:p>
        </w:tc>
        <w:tc>
          <w:tcPr>
            <w:tcW w:w="3351" w:type="dxa"/>
            <w:tcBorders>
              <w:top w:val="single" w:sz="12" w:space="0" w:color="auto"/>
              <w:left w:val="single" w:sz="2" w:space="0" w:color="auto"/>
              <w:bottom w:val="single" w:sz="12" w:space="0" w:color="auto"/>
              <w:right w:val="single" w:sz="12" w:space="0" w:color="auto"/>
            </w:tcBorders>
            <w:vAlign w:val="center"/>
          </w:tcPr>
          <w:p w14:paraId="67886EC1" w14:textId="77777777" w:rsidR="008911CF" w:rsidRPr="008B17C0" w:rsidRDefault="008911CF" w:rsidP="00B2088F">
            <w:pPr>
              <w:spacing w:before="60" w:after="60"/>
              <w:jc w:val="right"/>
              <w:rPr>
                <w:b/>
                <w:noProof/>
                <w:sz w:val="20"/>
              </w:rPr>
            </w:pPr>
            <w:r w:rsidRPr="008B17C0">
              <w:rPr>
                <w:b/>
                <w:noProof/>
                <w:sz w:val="20"/>
                <w:szCs w:val="20"/>
              </w:rPr>
              <w:t>25</w:t>
            </w:r>
          </w:p>
        </w:tc>
      </w:tr>
    </w:tbl>
    <w:p w14:paraId="46EF77C3" w14:textId="77777777" w:rsidR="00D42205" w:rsidRPr="008B17C0" w:rsidRDefault="00D42205" w:rsidP="002F68FE">
      <w:pPr>
        <w:rPr>
          <w:noProof/>
          <w:szCs w:val="24"/>
          <w:u w:val="single"/>
        </w:rPr>
      </w:pPr>
      <w:r w:rsidRPr="008B17C0">
        <w:rPr>
          <w:noProof/>
        </w:rPr>
        <w:t xml:space="preserve">Der er planlagt ansættelsesdatoer midt i året. For hvert nyt år er 50 % af personaleomkostningerne til nyansatte blevet anslået. Der er ingen antagelser om en eventuel forhøjelse af lønindekseringen eller justeringskoefficienten for Nederlandene. </w:t>
      </w:r>
    </w:p>
    <w:p w14:paraId="6BD254DF" w14:textId="77777777" w:rsidR="002F68FE" w:rsidRPr="008B17C0" w:rsidRDefault="002F68FE" w:rsidP="002F68FE">
      <w:pPr>
        <w:rPr>
          <w:noProof/>
          <w:szCs w:val="24"/>
          <w:u w:val="single"/>
        </w:rPr>
      </w:pPr>
    </w:p>
    <w:p w14:paraId="7F0ED177" w14:textId="77777777" w:rsidR="00D42205" w:rsidRPr="008B17C0" w:rsidRDefault="00D42205" w:rsidP="00D42205">
      <w:pPr>
        <w:rPr>
          <w:noProof/>
          <w:u w:val="single"/>
        </w:rPr>
      </w:pPr>
      <w:r w:rsidRPr="008B17C0">
        <w:rPr>
          <w:noProof/>
          <w:u w:val="single"/>
        </w:rPr>
        <w:t xml:space="preserve">Nærmere oplysninger om personaleforøgelsen: </w:t>
      </w:r>
    </w:p>
    <w:tbl>
      <w:tblPr>
        <w:tblStyle w:val="TableGrid"/>
        <w:tblW w:w="9209" w:type="dxa"/>
        <w:tblLook w:val="04A0" w:firstRow="1" w:lastRow="0" w:firstColumn="1" w:lastColumn="0" w:noHBand="0" w:noVBand="1"/>
      </w:tblPr>
      <w:tblGrid>
        <w:gridCol w:w="1896"/>
        <w:gridCol w:w="7313"/>
      </w:tblGrid>
      <w:tr w:rsidR="00D42205" w:rsidRPr="008B17C0" w14:paraId="79E732E6" w14:textId="77777777" w:rsidTr="160710AA">
        <w:tc>
          <w:tcPr>
            <w:tcW w:w="1556" w:type="dxa"/>
            <w:shd w:val="clear" w:color="auto" w:fill="BFBFBF" w:themeFill="background1" w:themeFillShade="BF"/>
          </w:tcPr>
          <w:p w14:paraId="7686B624" w14:textId="77777777" w:rsidR="00D42205" w:rsidRPr="008B17C0" w:rsidRDefault="00D42205" w:rsidP="00B2088F">
            <w:pPr>
              <w:spacing w:before="0" w:after="0"/>
              <w:jc w:val="left"/>
              <w:rPr>
                <w:noProof/>
                <w:szCs w:val="24"/>
              </w:rPr>
            </w:pPr>
            <w:r w:rsidRPr="008B17C0">
              <w:rPr>
                <w:noProof/>
              </w:rPr>
              <w:t>Specifikt mål</w:t>
            </w:r>
          </w:p>
        </w:tc>
        <w:tc>
          <w:tcPr>
            <w:tcW w:w="7653" w:type="dxa"/>
            <w:shd w:val="clear" w:color="auto" w:fill="BFBFBF" w:themeFill="background1" w:themeFillShade="BF"/>
          </w:tcPr>
          <w:p w14:paraId="29068348" w14:textId="77777777" w:rsidR="00D42205" w:rsidRPr="008B17C0" w:rsidRDefault="00D42205" w:rsidP="160710AA">
            <w:pPr>
              <w:spacing w:before="0" w:after="0"/>
              <w:jc w:val="left"/>
              <w:rPr>
                <w:noProof/>
                <w:szCs w:val="24"/>
              </w:rPr>
            </w:pPr>
            <w:r w:rsidRPr="008B17C0">
              <w:rPr>
                <w:noProof/>
              </w:rPr>
              <w:t>Yderligere personale</w:t>
            </w:r>
          </w:p>
        </w:tc>
      </w:tr>
      <w:tr w:rsidR="00D42205" w:rsidRPr="008B17C0" w14:paraId="6E529934" w14:textId="77777777" w:rsidTr="006A0D14">
        <w:tc>
          <w:tcPr>
            <w:tcW w:w="1556" w:type="dxa"/>
            <w:vMerge w:val="restart"/>
          </w:tcPr>
          <w:p w14:paraId="3598A847" w14:textId="32F8B1D8" w:rsidR="00D42205" w:rsidRPr="008B17C0" w:rsidRDefault="0008003B" w:rsidP="00B2088F">
            <w:pPr>
              <w:spacing w:before="0" w:after="0"/>
              <w:jc w:val="left"/>
              <w:rPr>
                <w:noProof/>
                <w:szCs w:val="24"/>
              </w:rPr>
            </w:pPr>
            <w:r>
              <w:rPr>
                <w:noProof/>
              </w:rPr>
              <w:t xml:space="preserve">Specifikt mål nr. 1: </w:t>
            </w:r>
            <w:r w:rsidR="00D42205" w:rsidRPr="008B17C0">
              <w:rPr>
                <w:noProof/>
              </w:rPr>
              <w:t>At give Eurojust mulighed for at identificere forbindelser mere effektivt og give proaktiv feedback til medlemsstaterne.</w:t>
            </w:r>
          </w:p>
        </w:tc>
        <w:tc>
          <w:tcPr>
            <w:tcW w:w="7653" w:type="dxa"/>
            <w:tcBorders>
              <w:top w:val="single" w:sz="4" w:space="0" w:color="auto"/>
              <w:left w:val="single" w:sz="4" w:space="0" w:color="auto"/>
              <w:bottom w:val="single" w:sz="4" w:space="0" w:color="auto"/>
              <w:right w:val="single" w:sz="4" w:space="0" w:color="auto"/>
            </w:tcBorders>
          </w:tcPr>
          <w:p w14:paraId="3C7C760C" w14:textId="77777777" w:rsidR="00D42205" w:rsidRPr="008B17C0" w:rsidRDefault="00D42205" w:rsidP="160710AA">
            <w:pPr>
              <w:spacing w:before="0" w:after="0"/>
              <w:rPr>
                <w:noProof/>
                <w:szCs w:val="24"/>
              </w:rPr>
            </w:pPr>
            <w:r w:rsidRPr="008B17C0">
              <w:rPr>
                <w:noProof/>
              </w:rPr>
              <w:t>Der er behov for 2* sagsanalytikere for at sikre, at sagsforvaltningssystemet overholder Eurojustforordningen og aftaler (med medlemsstaterne, tredjelande, agenturer) og EU's eksisterende retlige ramme for udveksling af oplysninger, digitalisering og interoperabilitet.</w:t>
            </w:r>
          </w:p>
          <w:p w14:paraId="0DC9846D" w14:textId="77777777" w:rsidR="00D42205" w:rsidRPr="008B17C0" w:rsidRDefault="00D42205" w:rsidP="00B2088F">
            <w:pPr>
              <w:spacing w:before="0" w:after="0"/>
              <w:rPr>
                <w:noProof/>
                <w:szCs w:val="24"/>
              </w:rPr>
            </w:pPr>
          </w:p>
          <w:p w14:paraId="06EA09D1" w14:textId="77777777" w:rsidR="00D42205" w:rsidRPr="008B17C0" w:rsidRDefault="00D42205" w:rsidP="006A0D14">
            <w:pPr>
              <w:spacing w:before="0" w:after="0"/>
              <w:rPr>
                <w:i/>
                <w:iCs/>
                <w:noProof/>
              </w:rPr>
            </w:pPr>
            <w:r w:rsidRPr="008B17C0">
              <w:rPr>
                <w:i/>
                <w:iCs/>
                <w:noProof/>
              </w:rPr>
              <w:t xml:space="preserve">Anslået behov i FTE'er — yderligere FTE'er, der skal ansættes pr. år (ikke kumulativt): </w:t>
            </w:r>
          </w:p>
          <w:p w14:paraId="5B873D96" w14:textId="77777777" w:rsidR="00D42205" w:rsidRPr="008B17C0" w:rsidRDefault="00D42205" w:rsidP="160710AA">
            <w:pPr>
              <w:spacing w:before="0" w:after="0"/>
              <w:rPr>
                <w:noProof/>
                <w:szCs w:val="24"/>
              </w:rPr>
            </w:pPr>
            <w:r w:rsidRPr="008B17C0">
              <w:rPr>
                <w:i/>
                <w:iCs/>
                <w:noProof/>
              </w:rPr>
              <w:t>2024: +1, 2025: +1</w:t>
            </w:r>
          </w:p>
        </w:tc>
      </w:tr>
      <w:tr w:rsidR="00D42205" w:rsidRPr="008B17C0" w14:paraId="4D1654F5" w14:textId="77777777" w:rsidTr="006A0D14">
        <w:tc>
          <w:tcPr>
            <w:tcW w:w="1556" w:type="dxa"/>
            <w:vMerge/>
          </w:tcPr>
          <w:p w14:paraId="71CC4770" w14:textId="77777777" w:rsidR="00D42205" w:rsidRPr="008B17C0" w:rsidRDefault="00D42205" w:rsidP="00B2088F">
            <w:pPr>
              <w:spacing w:before="0" w:after="0"/>
              <w:jc w:val="left"/>
              <w:rPr>
                <w:noProof/>
                <w:szCs w:val="24"/>
              </w:rPr>
            </w:pPr>
          </w:p>
        </w:tc>
        <w:tc>
          <w:tcPr>
            <w:tcW w:w="7653" w:type="dxa"/>
            <w:tcBorders>
              <w:top w:val="single" w:sz="4" w:space="0" w:color="auto"/>
              <w:left w:val="single" w:sz="4" w:space="0" w:color="auto"/>
              <w:bottom w:val="single" w:sz="4" w:space="0" w:color="auto"/>
              <w:right w:val="single" w:sz="4" w:space="0" w:color="auto"/>
            </w:tcBorders>
          </w:tcPr>
          <w:p w14:paraId="44DD9517" w14:textId="77777777" w:rsidR="00D42205" w:rsidRPr="008B17C0" w:rsidRDefault="00D42205" w:rsidP="160710AA">
            <w:pPr>
              <w:spacing w:before="0" w:after="0"/>
              <w:rPr>
                <w:noProof/>
                <w:szCs w:val="24"/>
              </w:rPr>
            </w:pPr>
            <w:r w:rsidRPr="008B17C0">
              <w:rPr>
                <w:noProof/>
              </w:rPr>
              <w:t>2* Der er behov for datastyringsansvarlige, der skal deltage i evalueringen og udvælgelsen af sagsforvaltningssystemet, bistå i omstillingen af forretningsprocesser, kravanalyse- og udformningsfaserne, gennemførelsen og accepten af det nye sagsforvaltningssystem og integrationen med andre systemer (f.eks. Hit/No-Hit), projekter (f.eks. e-CODEX, e-EDES) og projekter vedrørende interoperabilitetsrammen (SIS II osv.) og sikre, at der indføres korrekte politikker og procedurer til håndtering af oplysninger, der frembringes med gennemførelsen af nye systemer.</w:t>
            </w:r>
          </w:p>
          <w:p w14:paraId="03AD6182" w14:textId="77777777" w:rsidR="00D42205" w:rsidRPr="008B17C0" w:rsidRDefault="00D42205" w:rsidP="00B2088F">
            <w:pPr>
              <w:spacing w:before="0" w:after="0"/>
              <w:rPr>
                <w:noProof/>
                <w:szCs w:val="24"/>
              </w:rPr>
            </w:pPr>
          </w:p>
          <w:p w14:paraId="2D827D03" w14:textId="77777777" w:rsidR="00D42205" w:rsidRPr="008B17C0" w:rsidRDefault="00D42205" w:rsidP="006A0D14">
            <w:pPr>
              <w:spacing w:before="0" w:after="0"/>
              <w:rPr>
                <w:i/>
                <w:iCs/>
                <w:noProof/>
              </w:rPr>
            </w:pPr>
            <w:r w:rsidRPr="008B17C0">
              <w:rPr>
                <w:i/>
                <w:iCs/>
                <w:noProof/>
              </w:rPr>
              <w:t xml:space="preserve">Anslået behov i FTE'er — yderligere FTE'er, der skal ansættes pr. år (ikke kumulativt): </w:t>
            </w:r>
          </w:p>
          <w:p w14:paraId="0202AC31" w14:textId="77777777" w:rsidR="00D42205" w:rsidRPr="008B17C0" w:rsidRDefault="00D42205" w:rsidP="006A0D14">
            <w:pPr>
              <w:spacing w:before="0" w:after="0"/>
              <w:rPr>
                <w:i/>
                <w:iCs/>
                <w:noProof/>
              </w:rPr>
            </w:pPr>
            <w:r w:rsidRPr="008B17C0">
              <w:rPr>
                <w:i/>
                <w:iCs/>
                <w:noProof/>
              </w:rPr>
              <w:t>2024: +1, 2025: +1</w:t>
            </w:r>
          </w:p>
          <w:p w14:paraId="3B948DF2" w14:textId="77777777" w:rsidR="002F68FE" w:rsidRPr="008B17C0" w:rsidRDefault="002F68FE" w:rsidP="00B2088F">
            <w:pPr>
              <w:spacing w:before="0" w:after="0"/>
              <w:rPr>
                <w:noProof/>
                <w:szCs w:val="24"/>
              </w:rPr>
            </w:pPr>
          </w:p>
        </w:tc>
      </w:tr>
      <w:tr w:rsidR="00D42205" w:rsidRPr="008B17C0" w14:paraId="007389AB" w14:textId="77777777" w:rsidTr="006A0D14">
        <w:tc>
          <w:tcPr>
            <w:tcW w:w="1556" w:type="dxa"/>
            <w:vMerge/>
          </w:tcPr>
          <w:p w14:paraId="6CC615E4" w14:textId="77777777" w:rsidR="00D42205" w:rsidRPr="008B17C0" w:rsidRDefault="00D42205" w:rsidP="00B2088F">
            <w:pPr>
              <w:spacing w:before="0" w:after="0"/>
              <w:jc w:val="left"/>
              <w:rPr>
                <w:noProof/>
                <w:szCs w:val="24"/>
              </w:rPr>
            </w:pPr>
          </w:p>
        </w:tc>
        <w:tc>
          <w:tcPr>
            <w:tcW w:w="7653" w:type="dxa"/>
            <w:tcBorders>
              <w:top w:val="single" w:sz="4" w:space="0" w:color="auto"/>
              <w:left w:val="single" w:sz="4" w:space="0" w:color="auto"/>
              <w:bottom w:val="single" w:sz="4" w:space="0" w:color="auto"/>
              <w:right w:val="single" w:sz="4" w:space="0" w:color="auto"/>
            </w:tcBorders>
          </w:tcPr>
          <w:p w14:paraId="0642B255" w14:textId="77777777" w:rsidR="00D42205" w:rsidRPr="008B17C0" w:rsidRDefault="00D42205" w:rsidP="006A0D14">
            <w:pPr>
              <w:autoSpaceDE w:val="0"/>
              <w:autoSpaceDN w:val="0"/>
              <w:adjustRightInd w:val="0"/>
              <w:spacing w:before="0" w:after="0"/>
              <w:rPr>
                <w:noProof/>
                <w:color w:val="000000" w:themeColor="text1"/>
              </w:rPr>
            </w:pPr>
            <w:r w:rsidRPr="008B17C0">
              <w:rPr>
                <w:noProof/>
                <w:color w:val="000000"/>
              </w:rPr>
              <w:t>Der er behov for 2* sagsassistenter til at håndtere den forventede betydelige stigning i datamængden, udføre operationel databehandling i sagsforvaltningssystemet (herunder oversættelser), sikre et overblik over sagsforløbet i uafsluttede sager og udarbejde ad hoc-rapporter og regelmæssige rapporter (månedligt, årligt) og statistikker.</w:t>
            </w:r>
          </w:p>
          <w:p w14:paraId="47C02CF0" w14:textId="77777777" w:rsidR="00D42205" w:rsidRPr="008B17C0" w:rsidRDefault="00D42205" w:rsidP="00B2088F">
            <w:pPr>
              <w:autoSpaceDE w:val="0"/>
              <w:autoSpaceDN w:val="0"/>
              <w:adjustRightInd w:val="0"/>
              <w:spacing w:before="0" w:after="0"/>
              <w:rPr>
                <w:noProof/>
                <w:color w:val="000000"/>
                <w:szCs w:val="24"/>
              </w:rPr>
            </w:pPr>
          </w:p>
          <w:p w14:paraId="3288C6A9" w14:textId="77777777" w:rsidR="00D42205" w:rsidRPr="008B17C0" w:rsidRDefault="00D42205" w:rsidP="006A0D14">
            <w:pPr>
              <w:autoSpaceDE w:val="0"/>
              <w:autoSpaceDN w:val="0"/>
              <w:adjustRightInd w:val="0"/>
              <w:spacing w:before="0" w:after="0"/>
              <w:rPr>
                <w:i/>
                <w:iCs/>
                <w:noProof/>
                <w:color w:val="000000" w:themeColor="text1"/>
              </w:rPr>
            </w:pPr>
            <w:r w:rsidRPr="008B17C0">
              <w:rPr>
                <w:i/>
                <w:iCs/>
                <w:noProof/>
                <w:color w:val="000000"/>
              </w:rPr>
              <w:t xml:space="preserve">Anslået behov i FTE'er — yderligere FTE'er, der skal ansættes pr. år (ikke kumulativt): </w:t>
            </w:r>
          </w:p>
          <w:p w14:paraId="443A0235" w14:textId="237C6254" w:rsidR="00D42205" w:rsidRPr="008B17C0" w:rsidRDefault="00D42205" w:rsidP="160710AA">
            <w:pPr>
              <w:spacing w:before="0" w:after="0"/>
              <w:rPr>
                <w:noProof/>
                <w:szCs w:val="24"/>
              </w:rPr>
            </w:pPr>
            <w:r w:rsidRPr="008B17C0">
              <w:rPr>
                <w:i/>
                <w:iCs/>
                <w:noProof/>
              </w:rPr>
              <w:t>2026: +1, 2027: +1</w:t>
            </w:r>
          </w:p>
        </w:tc>
      </w:tr>
      <w:tr w:rsidR="00D42205" w:rsidRPr="008B17C0" w14:paraId="4CFD2361" w14:textId="77777777" w:rsidTr="006A0D14">
        <w:tc>
          <w:tcPr>
            <w:tcW w:w="1556" w:type="dxa"/>
            <w:vMerge/>
          </w:tcPr>
          <w:p w14:paraId="6B751380" w14:textId="77777777" w:rsidR="00D42205" w:rsidRPr="008B17C0" w:rsidRDefault="00D42205" w:rsidP="00B2088F">
            <w:pPr>
              <w:spacing w:before="0" w:after="0"/>
              <w:jc w:val="left"/>
              <w:rPr>
                <w:noProof/>
                <w:szCs w:val="24"/>
              </w:rPr>
            </w:pPr>
          </w:p>
        </w:tc>
        <w:tc>
          <w:tcPr>
            <w:tcW w:w="7653" w:type="dxa"/>
            <w:tcBorders>
              <w:top w:val="single" w:sz="4" w:space="0" w:color="auto"/>
              <w:left w:val="single" w:sz="4" w:space="0" w:color="auto"/>
              <w:bottom w:val="single" w:sz="4" w:space="0" w:color="auto"/>
              <w:right w:val="single" w:sz="4" w:space="0" w:color="auto"/>
            </w:tcBorders>
          </w:tcPr>
          <w:p w14:paraId="057A000E" w14:textId="77777777" w:rsidR="00D42205" w:rsidRPr="008B17C0" w:rsidRDefault="00D42205" w:rsidP="160710AA">
            <w:pPr>
              <w:spacing w:before="0" w:after="0"/>
              <w:rPr>
                <w:noProof/>
                <w:szCs w:val="24"/>
              </w:rPr>
            </w:pPr>
            <w:r w:rsidRPr="008B17C0">
              <w:rPr>
                <w:noProof/>
              </w:rPr>
              <w:t>Der er behov for 1* datastyringsansvarlig til at foretage datakvalitetskontrol, som skal sikre, at oplysninger fra Eurojust er af høj kvalitet, aktuelle, fuldstændige, klart forståelige, konsistente og tilgængelige, når det er nødvendigt.</w:t>
            </w:r>
          </w:p>
          <w:p w14:paraId="3460BCFA" w14:textId="77777777" w:rsidR="00D42205" w:rsidRPr="008B17C0" w:rsidRDefault="00D42205" w:rsidP="00B2088F">
            <w:pPr>
              <w:spacing w:before="0" w:after="0"/>
              <w:rPr>
                <w:noProof/>
                <w:szCs w:val="24"/>
              </w:rPr>
            </w:pPr>
          </w:p>
          <w:p w14:paraId="7E3E9CE1" w14:textId="77777777" w:rsidR="00D42205" w:rsidRPr="008B17C0" w:rsidRDefault="00D42205" w:rsidP="006A0D14">
            <w:pPr>
              <w:spacing w:before="0" w:after="0"/>
              <w:rPr>
                <w:i/>
                <w:iCs/>
                <w:noProof/>
              </w:rPr>
            </w:pPr>
            <w:r w:rsidRPr="008B17C0">
              <w:rPr>
                <w:i/>
                <w:iCs/>
                <w:noProof/>
              </w:rPr>
              <w:t xml:space="preserve">Anslået behov i FTE'er — yderligere FTE'er, der skal ansættes pr. år (ikke kumulativt): </w:t>
            </w:r>
          </w:p>
          <w:p w14:paraId="431570AE" w14:textId="77777777" w:rsidR="00D42205" w:rsidRPr="008B17C0" w:rsidRDefault="00D42205" w:rsidP="00B2088F">
            <w:pPr>
              <w:spacing w:before="0" w:after="0"/>
              <w:rPr>
                <w:i/>
                <w:noProof/>
                <w:szCs w:val="24"/>
              </w:rPr>
            </w:pPr>
            <w:r w:rsidRPr="008B17C0">
              <w:rPr>
                <w:i/>
                <w:noProof/>
                <w:szCs w:val="24"/>
              </w:rPr>
              <w:t>2026: +1</w:t>
            </w:r>
          </w:p>
          <w:p w14:paraId="28909050" w14:textId="77777777" w:rsidR="002F68FE" w:rsidRPr="008B17C0" w:rsidRDefault="002F68FE" w:rsidP="00B2088F">
            <w:pPr>
              <w:spacing w:before="0" w:after="0"/>
              <w:rPr>
                <w:i/>
                <w:noProof/>
                <w:szCs w:val="24"/>
              </w:rPr>
            </w:pPr>
          </w:p>
        </w:tc>
      </w:tr>
      <w:tr w:rsidR="00D42205" w:rsidRPr="008B17C0" w14:paraId="7FA1A76F" w14:textId="77777777" w:rsidTr="006A0D14">
        <w:tc>
          <w:tcPr>
            <w:tcW w:w="1556" w:type="dxa"/>
            <w:vMerge/>
          </w:tcPr>
          <w:p w14:paraId="264323AC" w14:textId="77777777" w:rsidR="00D42205" w:rsidRPr="008B17C0" w:rsidRDefault="00D42205" w:rsidP="00B2088F">
            <w:pPr>
              <w:spacing w:before="0" w:after="0"/>
              <w:jc w:val="left"/>
              <w:rPr>
                <w:noProof/>
                <w:szCs w:val="24"/>
              </w:rPr>
            </w:pPr>
          </w:p>
        </w:tc>
        <w:tc>
          <w:tcPr>
            <w:tcW w:w="7653" w:type="dxa"/>
            <w:tcBorders>
              <w:top w:val="single" w:sz="4" w:space="0" w:color="auto"/>
              <w:left w:val="single" w:sz="4" w:space="0" w:color="auto"/>
              <w:bottom w:val="single" w:sz="4" w:space="0" w:color="auto"/>
              <w:right w:val="single" w:sz="4" w:space="0" w:color="auto"/>
            </w:tcBorders>
          </w:tcPr>
          <w:p w14:paraId="78BC3261" w14:textId="77777777" w:rsidR="00D42205" w:rsidRPr="008B17C0" w:rsidRDefault="00D42205" w:rsidP="00B2088F">
            <w:pPr>
              <w:spacing w:before="0" w:after="0"/>
              <w:rPr>
                <w:noProof/>
                <w:szCs w:val="24"/>
              </w:rPr>
            </w:pPr>
            <w:r w:rsidRPr="008B17C0">
              <w:rPr>
                <w:noProof/>
              </w:rPr>
              <w:t>Der er behov for 1* sagsanalytiker på grund af den forventede stigning i antallet af meddelelser fremsendt til Eurojust vedrørende identificering af forbindelser mellem igangværende retssager baseret på analysen af de oplysninger, Eurojust modtager fra Europol, OLAF, EPPO og nationale myndigheder og til at analysere store datasæt med henblik på retlig koordinering.</w:t>
            </w:r>
          </w:p>
          <w:p w14:paraId="66E5BC94" w14:textId="77777777" w:rsidR="00D42205" w:rsidRPr="008B17C0" w:rsidRDefault="00D42205" w:rsidP="00B2088F">
            <w:pPr>
              <w:autoSpaceDE w:val="0"/>
              <w:autoSpaceDN w:val="0"/>
              <w:adjustRightInd w:val="0"/>
              <w:spacing w:before="0" w:after="0"/>
              <w:rPr>
                <w:i/>
                <w:noProof/>
                <w:color w:val="000000"/>
                <w:szCs w:val="24"/>
              </w:rPr>
            </w:pPr>
          </w:p>
          <w:p w14:paraId="16807806" w14:textId="77777777" w:rsidR="00D42205" w:rsidRPr="008B17C0" w:rsidRDefault="00D42205" w:rsidP="006A0D14">
            <w:pPr>
              <w:autoSpaceDE w:val="0"/>
              <w:autoSpaceDN w:val="0"/>
              <w:adjustRightInd w:val="0"/>
              <w:spacing w:before="0" w:after="0"/>
              <w:rPr>
                <w:i/>
                <w:iCs/>
                <w:noProof/>
                <w:color w:val="000000" w:themeColor="text1"/>
              </w:rPr>
            </w:pPr>
            <w:r w:rsidRPr="008B17C0">
              <w:rPr>
                <w:i/>
                <w:iCs/>
                <w:noProof/>
                <w:color w:val="000000"/>
              </w:rPr>
              <w:t xml:space="preserve">Anslået behov i FTE'er — yderligere FTE'er, der skal ansættes pr. år (ikke kumulativt): </w:t>
            </w:r>
          </w:p>
          <w:p w14:paraId="59893420" w14:textId="77777777" w:rsidR="00D42205" w:rsidRPr="008B17C0" w:rsidRDefault="00D42205" w:rsidP="00B2088F">
            <w:pPr>
              <w:spacing w:before="0" w:after="0"/>
              <w:rPr>
                <w:i/>
                <w:noProof/>
                <w:szCs w:val="24"/>
              </w:rPr>
            </w:pPr>
            <w:r w:rsidRPr="008B17C0">
              <w:rPr>
                <w:i/>
                <w:noProof/>
                <w:szCs w:val="24"/>
              </w:rPr>
              <w:t>2026: +1</w:t>
            </w:r>
          </w:p>
        </w:tc>
      </w:tr>
      <w:tr w:rsidR="00D42205" w:rsidRPr="008B17C0" w14:paraId="7221ECC6" w14:textId="77777777" w:rsidTr="006A0D14">
        <w:tc>
          <w:tcPr>
            <w:tcW w:w="1556" w:type="dxa"/>
            <w:vMerge/>
          </w:tcPr>
          <w:p w14:paraId="77A1382B" w14:textId="77777777" w:rsidR="00D42205" w:rsidRPr="008B17C0" w:rsidRDefault="00D42205" w:rsidP="00B2088F">
            <w:pPr>
              <w:spacing w:before="0" w:after="0"/>
              <w:jc w:val="left"/>
              <w:rPr>
                <w:noProof/>
                <w:szCs w:val="24"/>
              </w:rPr>
            </w:pPr>
          </w:p>
        </w:tc>
        <w:tc>
          <w:tcPr>
            <w:tcW w:w="7653" w:type="dxa"/>
            <w:tcBorders>
              <w:top w:val="single" w:sz="4" w:space="0" w:color="auto"/>
              <w:left w:val="single" w:sz="4" w:space="0" w:color="auto"/>
              <w:bottom w:val="single" w:sz="4" w:space="0" w:color="auto"/>
              <w:right w:val="single" w:sz="4" w:space="0" w:color="auto"/>
            </w:tcBorders>
          </w:tcPr>
          <w:p w14:paraId="7EF4CAB8" w14:textId="77777777" w:rsidR="00D42205" w:rsidRPr="008B17C0" w:rsidRDefault="00D42205" w:rsidP="160710AA">
            <w:pPr>
              <w:spacing w:before="0" w:after="0"/>
              <w:rPr>
                <w:noProof/>
                <w:szCs w:val="24"/>
              </w:rPr>
            </w:pPr>
            <w:r w:rsidRPr="008B17C0">
              <w:rPr>
                <w:noProof/>
              </w:rPr>
              <w:t>Der er behov for 1* sagsanalytiker til at udarbejde (fælles) anmodninger til medlemsstaterne på grundlag af en analyse af udvekslede oplysninger, der dækker alle de operationelle opgaver, der er anført i artikel 4, stk. 2, i Eurojustforordningen, til at afdække tilbagevendende problemer i forbindelse med anvendelsen af værktøjer til retligt samarbejde, til at udarbejde forslag til udvidelse af sager til andre medlemsstater og udtalelser om gentagne afslag eller vanskeligheder i forbindelse med det retlige samarbejde og om, hvor det er bedst at retsforfølge.</w:t>
            </w:r>
          </w:p>
          <w:p w14:paraId="1011F3DA" w14:textId="77777777" w:rsidR="00D42205" w:rsidRPr="008B17C0" w:rsidRDefault="00D42205" w:rsidP="006A0D14">
            <w:pPr>
              <w:spacing w:before="0" w:after="0"/>
              <w:rPr>
                <w:i/>
                <w:iCs/>
                <w:noProof/>
              </w:rPr>
            </w:pPr>
            <w:r w:rsidRPr="008B17C0">
              <w:rPr>
                <w:i/>
                <w:iCs/>
                <w:noProof/>
              </w:rPr>
              <w:t xml:space="preserve">Anslået behov i FTE'er — yderligere FTE'er, der skal ansættes pr. år (ikke kumulativt): </w:t>
            </w:r>
          </w:p>
          <w:p w14:paraId="1BC4A12E" w14:textId="77777777" w:rsidR="00D42205" w:rsidRPr="008B17C0" w:rsidRDefault="00D42205" w:rsidP="006A0D14">
            <w:pPr>
              <w:spacing w:before="0" w:after="0"/>
              <w:rPr>
                <w:i/>
                <w:iCs/>
                <w:noProof/>
              </w:rPr>
            </w:pPr>
            <w:r w:rsidRPr="008B17C0">
              <w:rPr>
                <w:i/>
                <w:iCs/>
                <w:noProof/>
              </w:rPr>
              <w:t>2027: +1</w:t>
            </w:r>
          </w:p>
          <w:p w14:paraId="616810EA" w14:textId="77777777" w:rsidR="00D42205" w:rsidRPr="008B17C0" w:rsidRDefault="00D42205" w:rsidP="00B2088F">
            <w:pPr>
              <w:spacing w:before="0" w:after="0"/>
              <w:rPr>
                <w:i/>
                <w:noProof/>
                <w:szCs w:val="24"/>
              </w:rPr>
            </w:pPr>
          </w:p>
          <w:p w14:paraId="705DCB7A" w14:textId="77777777" w:rsidR="00D42205" w:rsidRPr="008B17C0" w:rsidRDefault="00D42205" w:rsidP="160710AA">
            <w:pPr>
              <w:spacing w:before="0" w:after="0"/>
              <w:rPr>
                <w:noProof/>
                <w:szCs w:val="24"/>
              </w:rPr>
            </w:pPr>
            <w:r w:rsidRPr="008B17C0">
              <w:rPr>
                <w:noProof/>
              </w:rPr>
              <w:t>Der er behov for 1* programforvalter og 1* projektleder til at fastlægge styringen og forvaltningen af programmet (herunder kommunikation og risikostyring, overvågning og statusrapportering til programrådet og interessenter) — lige fra oprettelsen til afslutningen — og til at støtte den forebyggende og evaluerende vedligeholdelse af det nye system.</w:t>
            </w:r>
          </w:p>
          <w:p w14:paraId="59540BCB" w14:textId="77777777" w:rsidR="00D42205" w:rsidRPr="008B17C0" w:rsidRDefault="00D42205" w:rsidP="00B2088F">
            <w:pPr>
              <w:spacing w:before="0" w:after="0"/>
              <w:rPr>
                <w:i/>
                <w:noProof/>
                <w:szCs w:val="24"/>
              </w:rPr>
            </w:pPr>
          </w:p>
          <w:p w14:paraId="085549FC" w14:textId="77777777" w:rsidR="00D42205" w:rsidRPr="008B17C0" w:rsidRDefault="00D42205" w:rsidP="006A0D14">
            <w:pPr>
              <w:spacing w:before="0" w:after="0"/>
              <w:rPr>
                <w:i/>
                <w:iCs/>
                <w:noProof/>
              </w:rPr>
            </w:pPr>
            <w:r w:rsidRPr="008B17C0">
              <w:rPr>
                <w:i/>
                <w:iCs/>
                <w:noProof/>
              </w:rPr>
              <w:t xml:space="preserve">Anslået behov i FTE'er — yderligere FTE'er, der skal ansættes pr. år (ikke kumulativt): </w:t>
            </w:r>
          </w:p>
          <w:p w14:paraId="4B03F6DA" w14:textId="77777777" w:rsidR="00D42205" w:rsidRPr="008B17C0" w:rsidRDefault="00D42205" w:rsidP="006A0D14">
            <w:pPr>
              <w:spacing w:before="0" w:after="0"/>
              <w:rPr>
                <w:i/>
                <w:iCs/>
                <w:noProof/>
              </w:rPr>
            </w:pPr>
            <w:r w:rsidRPr="008B17C0">
              <w:rPr>
                <w:i/>
                <w:iCs/>
                <w:noProof/>
              </w:rPr>
              <w:t>2024: +2</w:t>
            </w:r>
          </w:p>
        </w:tc>
      </w:tr>
      <w:tr w:rsidR="00D42205" w:rsidRPr="008B17C0" w14:paraId="79D01833" w14:textId="77777777" w:rsidTr="006A0D14">
        <w:tc>
          <w:tcPr>
            <w:tcW w:w="1556" w:type="dxa"/>
            <w:vMerge/>
          </w:tcPr>
          <w:p w14:paraId="1A855122" w14:textId="77777777" w:rsidR="00D42205" w:rsidRPr="008B17C0" w:rsidRDefault="00D42205" w:rsidP="00B2088F">
            <w:pPr>
              <w:spacing w:before="0" w:after="0"/>
              <w:jc w:val="left"/>
              <w:rPr>
                <w:noProof/>
                <w:szCs w:val="24"/>
              </w:rPr>
            </w:pPr>
          </w:p>
        </w:tc>
        <w:tc>
          <w:tcPr>
            <w:tcW w:w="7653" w:type="dxa"/>
            <w:tcBorders>
              <w:top w:val="single" w:sz="4" w:space="0" w:color="auto"/>
              <w:left w:val="single" w:sz="4" w:space="0" w:color="auto"/>
              <w:bottom w:val="single" w:sz="4" w:space="0" w:color="auto"/>
              <w:right w:val="single" w:sz="4" w:space="0" w:color="auto"/>
            </w:tcBorders>
          </w:tcPr>
          <w:p w14:paraId="078639BB" w14:textId="77777777" w:rsidR="00D42205" w:rsidRPr="008B17C0" w:rsidRDefault="00D42205" w:rsidP="160710AA">
            <w:pPr>
              <w:spacing w:before="0" w:after="0"/>
              <w:rPr>
                <w:noProof/>
                <w:szCs w:val="24"/>
              </w:rPr>
            </w:pPr>
            <w:r w:rsidRPr="008B17C0">
              <w:rPr>
                <w:noProof/>
              </w:rPr>
              <w:t>Der er behov for 1* IT-arkitekt til at definere arkitekturen på højt niveau, udforme og etablere infrastrukturen til gennemførelse af det nye sagsforvaltningssystem og vedligeholde den tekniske arkitektur, forbindelser og systemer, der understøtter det nye sagsforvaltningssystem.</w:t>
            </w:r>
          </w:p>
          <w:p w14:paraId="43616D23" w14:textId="77777777" w:rsidR="00D42205" w:rsidRPr="008B17C0" w:rsidRDefault="00D42205" w:rsidP="00B2088F">
            <w:pPr>
              <w:spacing w:before="0" w:after="0"/>
              <w:rPr>
                <w:i/>
                <w:noProof/>
                <w:szCs w:val="24"/>
              </w:rPr>
            </w:pPr>
          </w:p>
          <w:p w14:paraId="0BA4A605" w14:textId="77777777" w:rsidR="00D42205" w:rsidRPr="008B17C0" w:rsidRDefault="00D42205" w:rsidP="006A0D14">
            <w:pPr>
              <w:spacing w:before="0" w:after="0"/>
              <w:rPr>
                <w:i/>
                <w:iCs/>
                <w:noProof/>
              </w:rPr>
            </w:pPr>
            <w:r w:rsidRPr="008B17C0">
              <w:rPr>
                <w:i/>
                <w:iCs/>
                <w:noProof/>
              </w:rPr>
              <w:t xml:space="preserve">Anslået behov i FTE'er — yderligere FTE'er, der skal ansættes pr. år (ikke kumulativt): </w:t>
            </w:r>
          </w:p>
          <w:p w14:paraId="4681BA2D" w14:textId="77777777" w:rsidR="00D42205" w:rsidRPr="008B17C0" w:rsidRDefault="00D42205" w:rsidP="006A0D14">
            <w:pPr>
              <w:spacing w:before="0" w:after="0"/>
              <w:rPr>
                <w:i/>
                <w:iCs/>
                <w:noProof/>
              </w:rPr>
            </w:pPr>
            <w:r w:rsidRPr="008B17C0">
              <w:rPr>
                <w:i/>
                <w:iCs/>
                <w:noProof/>
              </w:rPr>
              <w:t xml:space="preserve">2024: +1 </w:t>
            </w:r>
          </w:p>
        </w:tc>
      </w:tr>
      <w:tr w:rsidR="00D42205" w:rsidRPr="008B17C0" w14:paraId="082BB09B" w14:textId="77777777" w:rsidTr="006A0D14">
        <w:tc>
          <w:tcPr>
            <w:tcW w:w="1556" w:type="dxa"/>
            <w:vMerge/>
          </w:tcPr>
          <w:p w14:paraId="3F3D6426" w14:textId="77777777" w:rsidR="00D42205" w:rsidRPr="008B17C0" w:rsidRDefault="00D42205" w:rsidP="00B2088F">
            <w:pPr>
              <w:spacing w:before="0" w:after="0"/>
              <w:jc w:val="left"/>
              <w:rPr>
                <w:noProof/>
                <w:szCs w:val="24"/>
              </w:rPr>
            </w:pPr>
          </w:p>
        </w:tc>
        <w:tc>
          <w:tcPr>
            <w:tcW w:w="7653" w:type="dxa"/>
            <w:tcBorders>
              <w:top w:val="single" w:sz="4" w:space="0" w:color="auto"/>
              <w:left w:val="single" w:sz="4" w:space="0" w:color="auto"/>
              <w:bottom w:val="single" w:sz="4" w:space="0" w:color="auto"/>
              <w:right w:val="single" w:sz="4" w:space="0" w:color="auto"/>
            </w:tcBorders>
          </w:tcPr>
          <w:p w14:paraId="3137D6F4" w14:textId="77777777" w:rsidR="00D42205" w:rsidRPr="008B17C0" w:rsidRDefault="00D42205" w:rsidP="006A0D14">
            <w:pPr>
              <w:autoSpaceDE w:val="0"/>
              <w:autoSpaceDN w:val="0"/>
              <w:adjustRightInd w:val="0"/>
              <w:spacing w:before="0" w:after="0"/>
              <w:rPr>
                <w:noProof/>
                <w:color w:val="000000" w:themeColor="text1"/>
              </w:rPr>
            </w:pPr>
            <w:r w:rsidRPr="008B17C0">
              <w:rPr>
                <w:noProof/>
                <w:color w:val="000000"/>
              </w:rPr>
              <w:t>Der er behov for 1* virksomhedsanalytiker til at udføre kravanalysen, herunder</w:t>
            </w:r>
            <w:r w:rsidRPr="008B17C0">
              <w:rPr>
                <w:noProof/>
              </w:rPr>
              <w:t xml:space="preserve"> konceptbevis pr. teknisk løsning, og til at støtte den forebyggende og evaluerende vedligeholdelse af det nye system.</w:t>
            </w:r>
            <w:r w:rsidRPr="008B17C0">
              <w:rPr>
                <w:noProof/>
                <w:color w:val="000000"/>
              </w:rPr>
              <w:t xml:space="preserve"> </w:t>
            </w:r>
          </w:p>
          <w:p w14:paraId="463E1D9D" w14:textId="77777777" w:rsidR="00D42205" w:rsidRPr="008B17C0" w:rsidRDefault="00D42205" w:rsidP="00B2088F">
            <w:pPr>
              <w:autoSpaceDE w:val="0"/>
              <w:autoSpaceDN w:val="0"/>
              <w:adjustRightInd w:val="0"/>
              <w:spacing w:before="0" w:after="0"/>
              <w:rPr>
                <w:noProof/>
                <w:color w:val="000000"/>
                <w:szCs w:val="24"/>
              </w:rPr>
            </w:pPr>
          </w:p>
          <w:p w14:paraId="5802FB1B" w14:textId="77777777" w:rsidR="00D42205" w:rsidRPr="008B17C0" w:rsidRDefault="00D42205" w:rsidP="006A0D14">
            <w:pPr>
              <w:spacing w:before="0" w:after="0"/>
              <w:rPr>
                <w:i/>
                <w:iCs/>
                <w:noProof/>
              </w:rPr>
            </w:pPr>
            <w:r w:rsidRPr="008B17C0">
              <w:rPr>
                <w:i/>
                <w:iCs/>
                <w:noProof/>
              </w:rPr>
              <w:t xml:space="preserve">Anslået behov i FTE'er — yderligere FTE'er, der skal ansættes pr. år (ikke kumulativt): </w:t>
            </w:r>
          </w:p>
          <w:p w14:paraId="05682A4E" w14:textId="77777777" w:rsidR="00D42205" w:rsidRPr="008B17C0" w:rsidRDefault="00D42205" w:rsidP="006A0D14">
            <w:pPr>
              <w:spacing w:before="0" w:after="0"/>
              <w:rPr>
                <w:i/>
                <w:iCs/>
                <w:noProof/>
              </w:rPr>
            </w:pPr>
            <w:r w:rsidRPr="008B17C0">
              <w:rPr>
                <w:i/>
                <w:iCs/>
                <w:noProof/>
              </w:rPr>
              <w:t>2024: +1</w:t>
            </w:r>
          </w:p>
        </w:tc>
      </w:tr>
      <w:tr w:rsidR="00D42205" w:rsidRPr="008B17C0" w14:paraId="0F8B4FCE" w14:textId="77777777" w:rsidTr="006A0D14">
        <w:tc>
          <w:tcPr>
            <w:tcW w:w="1556" w:type="dxa"/>
            <w:vMerge/>
          </w:tcPr>
          <w:p w14:paraId="0F22DB9D" w14:textId="77777777" w:rsidR="00D42205" w:rsidRPr="008B17C0" w:rsidRDefault="00D42205" w:rsidP="00B2088F">
            <w:pPr>
              <w:spacing w:before="0" w:after="0"/>
              <w:jc w:val="left"/>
              <w:rPr>
                <w:noProof/>
                <w:szCs w:val="24"/>
              </w:rPr>
            </w:pPr>
          </w:p>
        </w:tc>
        <w:tc>
          <w:tcPr>
            <w:tcW w:w="7653" w:type="dxa"/>
            <w:tcBorders>
              <w:top w:val="single" w:sz="4" w:space="0" w:color="auto"/>
              <w:left w:val="single" w:sz="4" w:space="0" w:color="auto"/>
              <w:bottom w:val="single" w:sz="4" w:space="0" w:color="auto"/>
              <w:right w:val="single" w:sz="4" w:space="0" w:color="auto"/>
            </w:tcBorders>
          </w:tcPr>
          <w:p w14:paraId="474FDD71" w14:textId="77777777" w:rsidR="00D42205" w:rsidRPr="008B17C0" w:rsidRDefault="00D42205" w:rsidP="006A0D14">
            <w:pPr>
              <w:autoSpaceDE w:val="0"/>
              <w:autoSpaceDN w:val="0"/>
              <w:adjustRightInd w:val="0"/>
              <w:spacing w:before="0" w:after="0"/>
              <w:rPr>
                <w:noProof/>
                <w:color w:val="000000" w:themeColor="text1"/>
              </w:rPr>
            </w:pPr>
            <w:r w:rsidRPr="008B17C0">
              <w:rPr>
                <w:noProof/>
                <w:color w:val="000000"/>
              </w:rPr>
              <w:t>Der er behov for 1* IKT-sikkerhedsansvarlig for at sikre en sikker udformning, gennemførelse og drift af sagsforvaltningssystemet og en sikker udveksling af oplysninger med eksterne systemer.</w:t>
            </w:r>
          </w:p>
          <w:p w14:paraId="5DEF15DC" w14:textId="77777777" w:rsidR="00D42205" w:rsidRPr="008B17C0" w:rsidRDefault="00D42205" w:rsidP="00B2088F">
            <w:pPr>
              <w:autoSpaceDE w:val="0"/>
              <w:autoSpaceDN w:val="0"/>
              <w:adjustRightInd w:val="0"/>
              <w:spacing w:before="0" w:after="0"/>
              <w:rPr>
                <w:noProof/>
                <w:color w:val="000000"/>
                <w:szCs w:val="24"/>
              </w:rPr>
            </w:pPr>
          </w:p>
          <w:p w14:paraId="382682A6" w14:textId="77777777" w:rsidR="00D42205" w:rsidRPr="008B17C0" w:rsidRDefault="00D42205" w:rsidP="006A0D14">
            <w:pPr>
              <w:spacing w:before="0" w:after="0"/>
              <w:rPr>
                <w:i/>
                <w:iCs/>
                <w:noProof/>
              </w:rPr>
            </w:pPr>
            <w:r w:rsidRPr="008B17C0">
              <w:rPr>
                <w:i/>
                <w:iCs/>
                <w:noProof/>
              </w:rPr>
              <w:t xml:space="preserve">Anslået behov i FTE'er — yderligere FTE'er, der skal ansættes pr. år (ikke kumulativt): </w:t>
            </w:r>
          </w:p>
          <w:p w14:paraId="386ED918" w14:textId="77777777" w:rsidR="00D42205" w:rsidRPr="008B17C0" w:rsidRDefault="00D42205" w:rsidP="160710AA">
            <w:pPr>
              <w:spacing w:before="0" w:after="0"/>
              <w:rPr>
                <w:noProof/>
                <w:szCs w:val="24"/>
              </w:rPr>
            </w:pPr>
            <w:r w:rsidRPr="008B17C0">
              <w:rPr>
                <w:i/>
                <w:iCs/>
                <w:noProof/>
              </w:rPr>
              <w:t>2024: +1</w:t>
            </w:r>
          </w:p>
        </w:tc>
      </w:tr>
      <w:tr w:rsidR="00D42205" w:rsidRPr="008B17C0" w14:paraId="5059804B" w14:textId="77777777" w:rsidTr="006A0D14">
        <w:tc>
          <w:tcPr>
            <w:tcW w:w="1556" w:type="dxa"/>
            <w:vMerge/>
          </w:tcPr>
          <w:p w14:paraId="6E813C65" w14:textId="77777777" w:rsidR="00D42205" w:rsidRPr="008B17C0" w:rsidRDefault="00D42205" w:rsidP="00B2088F">
            <w:pPr>
              <w:spacing w:before="0" w:after="0"/>
              <w:jc w:val="left"/>
              <w:rPr>
                <w:noProof/>
                <w:szCs w:val="24"/>
              </w:rPr>
            </w:pPr>
          </w:p>
        </w:tc>
        <w:tc>
          <w:tcPr>
            <w:tcW w:w="7653" w:type="dxa"/>
            <w:tcBorders>
              <w:top w:val="single" w:sz="4" w:space="0" w:color="auto"/>
              <w:left w:val="single" w:sz="4" w:space="0" w:color="auto"/>
              <w:bottom w:val="single" w:sz="4" w:space="0" w:color="auto"/>
              <w:right w:val="single" w:sz="4" w:space="0" w:color="auto"/>
            </w:tcBorders>
          </w:tcPr>
          <w:p w14:paraId="6EF6CF1F" w14:textId="77777777" w:rsidR="00D42205" w:rsidRPr="008B17C0" w:rsidRDefault="00D42205" w:rsidP="006A0D14">
            <w:pPr>
              <w:autoSpaceDE w:val="0"/>
              <w:autoSpaceDN w:val="0"/>
              <w:adjustRightInd w:val="0"/>
              <w:spacing w:before="0" w:after="0"/>
              <w:rPr>
                <w:noProof/>
                <w:color w:val="000000" w:themeColor="text1"/>
              </w:rPr>
            </w:pPr>
            <w:r w:rsidRPr="008B17C0">
              <w:rPr>
                <w:noProof/>
                <w:color w:val="000000"/>
              </w:rPr>
              <w:t>Der er behov for 1* databeskyttelsesspecialist til at sikre databeskyttelse gennem design, og at databeskyttelsesreglerne anvendes på operationelle oplysninger.</w:t>
            </w:r>
          </w:p>
          <w:p w14:paraId="0D74CFC7" w14:textId="77777777" w:rsidR="00D42205" w:rsidRPr="008B17C0" w:rsidRDefault="00D42205" w:rsidP="00B2088F">
            <w:pPr>
              <w:autoSpaceDE w:val="0"/>
              <w:autoSpaceDN w:val="0"/>
              <w:adjustRightInd w:val="0"/>
              <w:spacing w:before="0" w:after="0"/>
              <w:rPr>
                <w:noProof/>
                <w:color w:val="000000"/>
                <w:szCs w:val="24"/>
              </w:rPr>
            </w:pPr>
          </w:p>
          <w:p w14:paraId="5553ADFA" w14:textId="77777777" w:rsidR="00D42205" w:rsidRPr="008B17C0" w:rsidRDefault="00D42205" w:rsidP="006A0D14">
            <w:pPr>
              <w:spacing w:before="0" w:after="0"/>
              <w:rPr>
                <w:i/>
                <w:iCs/>
                <w:noProof/>
              </w:rPr>
            </w:pPr>
            <w:r w:rsidRPr="008B17C0">
              <w:rPr>
                <w:i/>
                <w:iCs/>
                <w:noProof/>
              </w:rPr>
              <w:t xml:space="preserve">Anslået behov i FTE'er — yderligere FTE'er, der skal ansættes pr. år (ikke kumulativt): </w:t>
            </w:r>
          </w:p>
          <w:p w14:paraId="064641DD" w14:textId="77777777" w:rsidR="00D42205" w:rsidRPr="008B17C0" w:rsidRDefault="00D42205" w:rsidP="160710AA">
            <w:pPr>
              <w:spacing w:before="0" w:after="0"/>
              <w:rPr>
                <w:noProof/>
                <w:szCs w:val="24"/>
              </w:rPr>
            </w:pPr>
            <w:r w:rsidRPr="008B17C0">
              <w:rPr>
                <w:i/>
                <w:iCs/>
                <w:noProof/>
              </w:rPr>
              <w:t>2024: +1</w:t>
            </w:r>
          </w:p>
        </w:tc>
      </w:tr>
      <w:tr w:rsidR="00D42205" w:rsidRPr="008B17C0" w14:paraId="1ED3ED6F" w14:textId="77777777" w:rsidTr="006A0D14">
        <w:tc>
          <w:tcPr>
            <w:tcW w:w="1556" w:type="dxa"/>
            <w:vMerge/>
          </w:tcPr>
          <w:p w14:paraId="149BA241" w14:textId="77777777" w:rsidR="00D42205" w:rsidRPr="008B17C0" w:rsidRDefault="00D42205" w:rsidP="00B2088F">
            <w:pPr>
              <w:spacing w:before="0" w:after="0"/>
              <w:jc w:val="left"/>
              <w:rPr>
                <w:noProof/>
                <w:szCs w:val="24"/>
              </w:rPr>
            </w:pPr>
          </w:p>
        </w:tc>
        <w:tc>
          <w:tcPr>
            <w:tcW w:w="7653" w:type="dxa"/>
            <w:tcBorders>
              <w:top w:val="single" w:sz="4" w:space="0" w:color="auto"/>
              <w:left w:val="single" w:sz="4" w:space="0" w:color="auto"/>
              <w:bottom w:val="single" w:sz="4" w:space="0" w:color="auto"/>
              <w:right w:val="single" w:sz="4" w:space="0" w:color="auto"/>
            </w:tcBorders>
          </w:tcPr>
          <w:p w14:paraId="31AC4565" w14:textId="77777777" w:rsidR="00D42205" w:rsidRPr="008B17C0" w:rsidRDefault="00D42205" w:rsidP="006A0D14">
            <w:pPr>
              <w:autoSpaceDE w:val="0"/>
              <w:autoSpaceDN w:val="0"/>
              <w:adjustRightInd w:val="0"/>
              <w:spacing w:before="0" w:after="0"/>
              <w:rPr>
                <w:noProof/>
                <w:color w:val="000000" w:themeColor="text1"/>
              </w:rPr>
            </w:pPr>
            <w:r w:rsidRPr="008B17C0">
              <w:rPr>
                <w:noProof/>
                <w:color w:val="000000"/>
              </w:rPr>
              <w:t>Der er behov for 3* IKT-operationelle medarbejdere til applikations- og IT-politikforvaltning, til omstilling af Eurojusts forretningsprocesser, til udarbejdelse af håndbøger (herunder levering af uddannelse til brugere) og til administration af Eurojusts netværk, databaser, systemer, virtualiseringsplatforme og -applikationer.</w:t>
            </w:r>
          </w:p>
          <w:p w14:paraId="38EF0CDB" w14:textId="77777777" w:rsidR="00D42205" w:rsidRPr="008B17C0" w:rsidRDefault="00D42205" w:rsidP="00B2088F">
            <w:pPr>
              <w:autoSpaceDE w:val="0"/>
              <w:autoSpaceDN w:val="0"/>
              <w:adjustRightInd w:val="0"/>
              <w:spacing w:before="0" w:after="0"/>
              <w:rPr>
                <w:noProof/>
                <w:color w:val="000000"/>
                <w:szCs w:val="24"/>
              </w:rPr>
            </w:pPr>
          </w:p>
          <w:p w14:paraId="45CD0D3E" w14:textId="77777777" w:rsidR="00D42205" w:rsidRPr="008B17C0" w:rsidRDefault="00D42205" w:rsidP="006A0D14">
            <w:pPr>
              <w:spacing w:before="0" w:after="0"/>
              <w:rPr>
                <w:i/>
                <w:iCs/>
                <w:noProof/>
              </w:rPr>
            </w:pPr>
            <w:r w:rsidRPr="008B17C0">
              <w:rPr>
                <w:i/>
                <w:iCs/>
                <w:noProof/>
              </w:rPr>
              <w:t xml:space="preserve">Anslået behov i FTE'er — yderligere FTE'er, der skal ansættes pr. år (ikke kumulativt): </w:t>
            </w:r>
          </w:p>
          <w:p w14:paraId="6681DBA3" w14:textId="77777777" w:rsidR="00D42205" w:rsidRPr="008B17C0" w:rsidRDefault="00D42205" w:rsidP="160710AA">
            <w:pPr>
              <w:spacing w:before="0" w:after="0"/>
              <w:rPr>
                <w:noProof/>
                <w:szCs w:val="24"/>
              </w:rPr>
            </w:pPr>
            <w:r w:rsidRPr="008B17C0">
              <w:rPr>
                <w:i/>
                <w:iCs/>
                <w:noProof/>
              </w:rPr>
              <w:t>2024: +1, 2025: +2</w:t>
            </w:r>
          </w:p>
        </w:tc>
      </w:tr>
      <w:tr w:rsidR="00D42205" w:rsidRPr="008B17C0" w14:paraId="2AFE7FCE" w14:textId="77777777" w:rsidTr="006A0D14">
        <w:tc>
          <w:tcPr>
            <w:tcW w:w="1556" w:type="dxa"/>
            <w:vMerge/>
          </w:tcPr>
          <w:p w14:paraId="43488069" w14:textId="77777777" w:rsidR="00D42205" w:rsidRPr="008B17C0" w:rsidRDefault="00D42205" w:rsidP="00B2088F">
            <w:pPr>
              <w:spacing w:before="0" w:after="0"/>
              <w:jc w:val="left"/>
              <w:rPr>
                <w:noProof/>
                <w:szCs w:val="24"/>
              </w:rPr>
            </w:pPr>
          </w:p>
        </w:tc>
        <w:tc>
          <w:tcPr>
            <w:tcW w:w="7653" w:type="dxa"/>
            <w:tcBorders>
              <w:top w:val="single" w:sz="4" w:space="0" w:color="auto"/>
              <w:left w:val="single" w:sz="4" w:space="0" w:color="auto"/>
              <w:bottom w:val="single" w:sz="4" w:space="0" w:color="auto"/>
              <w:right w:val="single" w:sz="4" w:space="0" w:color="auto"/>
            </w:tcBorders>
          </w:tcPr>
          <w:p w14:paraId="4F7301C1" w14:textId="77777777" w:rsidR="00D42205" w:rsidRPr="008B17C0" w:rsidRDefault="00D42205" w:rsidP="006A0D14">
            <w:pPr>
              <w:autoSpaceDE w:val="0"/>
              <w:autoSpaceDN w:val="0"/>
              <w:adjustRightInd w:val="0"/>
              <w:spacing w:before="0" w:after="0"/>
              <w:rPr>
                <w:noProof/>
                <w:color w:val="000000" w:themeColor="text1"/>
              </w:rPr>
            </w:pPr>
            <w:r w:rsidRPr="008B17C0">
              <w:rPr>
                <w:noProof/>
                <w:color w:val="000000"/>
              </w:rPr>
              <w:t>Der er behov for 2* administrative medarbejdere til at udarbejde jobbeskrivelser, udvælge medarbejdere og håndtere nye medarbejderes uddannelsesbehov og rettigheder ved ansættelsen og til at forvalte udbudsprocedurerne og sikre budgetgennemførelsen, kontrol og rapportering om modtagne midler</w:t>
            </w:r>
          </w:p>
          <w:p w14:paraId="0A171924" w14:textId="77777777" w:rsidR="00D42205" w:rsidRPr="008B17C0" w:rsidRDefault="00D42205" w:rsidP="00B2088F">
            <w:pPr>
              <w:autoSpaceDE w:val="0"/>
              <w:autoSpaceDN w:val="0"/>
              <w:adjustRightInd w:val="0"/>
              <w:spacing w:before="0" w:after="0"/>
              <w:rPr>
                <w:noProof/>
                <w:color w:val="000000"/>
                <w:szCs w:val="24"/>
              </w:rPr>
            </w:pPr>
          </w:p>
          <w:p w14:paraId="332C2D41" w14:textId="77777777" w:rsidR="00D42205" w:rsidRPr="008B17C0" w:rsidRDefault="00D42205" w:rsidP="006A0D14">
            <w:pPr>
              <w:autoSpaceDE w:val="0"/>
              <w:autoSpaceDN w:val="0"/>
              <w:adjustRightInd w:val="0"/>
              <w:spacing w:before="0" w:after="0"/>
              <w:rPr>
                <w:i/>
                <w:iCs/>
                <w:noProof/>
                <w:color w:val="000000" w:themeColor="text1"/>
              </w:rPr>
            </w:pPr>
            <w:r w:rsidRPr="008B17C0">
              <w:rPr>
                <w:i/>
                <w:iCs/>
                <w:noProof/>
                <w:color w:val="000000"/>
              </w:rPr>
              <w:t xml:space="preserve">Anslået behov i FTE'er — yderligere FTE'er, der skal ansættes pr. år (ikke kumulativt): </w:t>
            </w:r>
          </w:p>
          <w:p w14:paraId="40D0F2C6" w14:textId="77777777" w:rsidR="00D42205" w:rsidRPr="008B17C0" w:rsidRDefault="00D42205" w:rsidP="160710AA">
            <w:pPr>
              <w:spacing w:before="0" w:after="0"/>
              <w:rPr>
                <w:noProof/>
                <w:szCs w:val="24"/>
              </w:rPr>
            </w:pPr>
            <w:r w:rsidRPr="008B17C0">
              <w:rPr>
                <w:i/>
                <w:iCs/>
                <w:noProof/>
                <w:color w:val="000000"/>
              </w:rPr>
              <w:t>2024: +2</w:t>
            </w:r>
          </w:p>
        </w:tc>
      </w:tr>
      <w:tr w:rsidR="00D42205" w:rsidRPr="008B17C0" w14:paraId="7242ECE2" w14:textId="77777777" w:rsidTr="006A0D14">
        <w:tc>
          <w:tcPr>
            <w:tcW w:w="1556" w:type="dxa"/>
            <w:vMerge w:val="restart"/>
          </w:tcPr>
          <w:p w14:paraId="0079CE91" w14:textId="77777777" w:rsidR="00D42205" w:rsidRPr="008B17C0" w:rsidRDefault="00D42205" w:rsidP="00B2088F">
            <w:pPr>
              <w:spacing w:before="0" w:after="0"/>
              <w:jc w:val="left"/>
              <w:rPr>
                <w:noProof/>
                <w:szCs w:val="24"/>
              </w:rPr>
            </w:pPr>
            <w:r w:rsidRPr="008B17C0">
              <w:rPr>
                <w:noProof/>
              </w:rPr>
              <w:t>Specifikt mål nr. 2: At gøre dataudvekslingen mellem medlemsstaterne, Eurojust og tredjelande mere effektiv og sikker.</w:t>
            </w:r>
          </w:p>
        </w:tc>
        <w:tc>
          <w:tcPr>
            <w:tcW w:w="7653" w:type="dxa"/>
          </w:tcPr>
          <w:p w14:paraId="5BF64426" w14:textId="77777777" w:rsidR="00D42205" w:rsidRPr="008B17C0" w:rsidRDefault="00D42205" w:rsidP="160710AA">
            <w:pPr>
              <w:spacing w:before="0" w:after="0"/>
              <w:rPr>
                <w:noProof/>
                <w:szCs w:val="24"/>
              </w:rPr>
            </w:pPr>
            <w:r w:rsidRPr="008B17C0">
              <w:rPr>
                <w:noProof/>
              </w:rPr>
              <w:t xml:space="preserve"> Der er behov for 1* sagsassistent til at håndtere den forventede betydelige stigning i datamængden, udføre operationel databehandling i sagsforvaltningssystemet (herunder oversættelser), sikre et overblik over sagsforløbet i uafsluttede sager og udarbejde ad hoc-rapporter og regelmæssige rapporter (månedligt, årligt) og statistikker.</w:t>
            </w:r>
          </w:p>
          <w:p w14:paraId="11A15DD8" w14:textId="77777777" w:rsidR="00D42205" w:rsidRPr="008B17C0" w:rsidRDefault="00D42205" w:rsidP="00B2088F">
            <w:pPr>
              <w:spacing w:before="0" w:after="0"/>
              <w:rPr>
                <w:noProof/>
                <w:szCs w:val="24"/>
              </w:rPr>
            </w:pPr>
          </w:p>
          <w:p w14:paraId="7699E5F5" w14:textId="77777777" w:rsidR="00D42205" w:rsidRPr="008B17C0" w:rsidRDefault="00D42205" w:rsidP="006A0D14">
            <w:pPr>
              <w:spacing w:before="0" w:after="0"/>
              <w:rPr>
                <w:i/>
                <w:iCs/>
                <w:noProof/>
              </w:rPr>
            </w:pPr>
            <w:r w:rsidRPr="008B17C0">
              <w:rPr>
                <w:i/>
                <w:iCs/>
                <w:noProof/>
              </w:rPr>
              <w:t xml:space="preserve">Anslået behov i FTE'er — yderligere FTE'er, der skal ansættes pr. år (ikke kumulativt): </w:t>
            </w:r>
          </w:p>
          <w:p w14:paraId="0917D494" w14:textId="77777777" w:rsidR="00D42205" w:rsidRPr="008B17C0" w:rsidRDefault="00D42205" w:rsidP="160710AA">
            <w:pPr>
              <w:spacing w:before="0" w:after="0"/>
              <w:rPr>
                <w:noProof/>
                <w:szCs w:val="24"/>
              </w:rPr>
            </w:pPr>
            <w:r w:rsidRPr="008B17C0">
              <w:rPr>
                <w:i/>
                <w:iCs/>
                <w:noProof/>
              </w:rPr>
              <w:t>2027: +1,</w:t>
            </w:r>
          </w:p>
        </w:tc>
      </w:tr>
      <w:tr w:rsidR="00D42205" w:rsidRPr="008B17C0" w14:paraId="3A1B3AED" w14:textId="77777777" w:rsidTr="160710AA">
        <w:tc>
          <w:tcPr>
            <w:tcW w:w="1556" w:type="dxa"/>
            <w:vMerge/>
          </w:tcPr>
          <w:p w14:paraId="0C868002" w14:textId="77777777" w:rsidR="00D42205" w:rsidRPr="008B17C0" w:rsidRDefault="00D42205" w:rsidP="00B2088F">
            <w:pPr>
              <w:spacing w:before="0" w:after="0"/>
              <w:jc w:val="left"/>
              <w:rPr>
                <w:noProof/>
                <w:szCs w:val="24"/>
              </w:rPr>
            </w:pPr>
          </w:p>
        </w:tc>
        <w:tc>
          <w:tcPr>
            <w:tcW w:w="7653" w:type="dxa"/>
          </w:tcPr>
          <w:p w14:paraId="1EE98167" w14:textId="77777777" w:rsidR="00D42205" w:rsidRPr="008B17C0" w:rsidRDefault="00D42205" w:rsidP="160710AA">
            <w:pPr>
              <w:spacing w:before="0" w:after="0"/>
              <w:rPr>
                <w:noProof/>
                <w:szCs w:val="24"/>
              </w:rPr>
            </w:pPr>
            <w:r w:rsidRPr="008B17C0">
              <w:rPr>
                <w:noProof/>
              </w:rPr>
              <w:t>Der er behov for 1* datastyringsansvarlig til at foretage datakvalitetskontrol, som skal sikre, at oplysninger fra Eurojust er af høj kvalitet, aktuelle, fuldstændige, klart forståelige, konsistente og tilgængelige, når det er nødvendigt.</w:t>
            </w:r>
          </w:p>
          <w:p w14:paraId="7F161A7D" w14:textId="77777777" w:rsidR="00D42205" w:rsidRPr="008B17C0" w:rsidRDefault="00D42205" w:rsidP="00B2088F">
            <w:pPr>
              <w:spacing w:before="0" w:after="0"/>
              <w:rPr>
                <w:noProof/>
                <w:szCs w:val="24"/>
              </w:rPr>
            </w:pPr>
          </w:p>
          <w:p w14:paraId="0E0337F5" w14:textId="77777777" w:rsidR="00D42205" w:rsidRPr="008B17C0" w:rsidRDefault="00D42205" w:rsidP="006A0D14">
            <w:pPr>
              <w:spacing w:before="0" w:after="0"/>
              <w:rPr>
                <w:i/>
                <w:iCs/>
                <w:noProof/>
              </w:rPr>
            </w:pPr>
            <w:r w:rsidRPr="008B17C0">
              <w:rPr>
                <w:i/>
                <w:iCs/>
                <w:noProof/>
              </w:rPr>
              <w:t xml:space="preserve">Anslået behov i FTE'er — yderligere FTE'er, der skal ansættes pr. år (ikke kumulativt): </w:t>
            </w:r>
          </w:p>
          <w:p w14:paraId="2C865FF0" w14:textId="77777777" w:rsidR="00D42205" w:rsidRPr="008B17C0" w:rsidRDefault="00D42205" w:rsidP="160710AA">
            <w:pPr>
              <w:spacing w:before="0" w:after="0"/>
              <w:rPr>
                <w:noProof/>
                <w:szCs w:val="24"/>
              </w:rPr>
            </w:pPr>
            <w:r w:rsidRPr="008B17C0">
              <w:rPr>
                <w:i/>
                <w:iCs/>
                <w:noProof/>
              </w:rPr>
              <w:t>2027: +1</w:t>
            </w:r>
          </w:p>
        </w:tc>
      </w:tr>
      <w:tr w:rsidR="00D42205" w:rsidRPr="008B17C0" w14:paraId="383F7930" w14:textId="77777777" w:rsidTr="160710AA">
        <w:tc>
          <w:tcPr>
            <w:tcW w:w="1556" w:type="dxa"/>
            <w:vMerge/>
          </w:tcPr>
          <w:p w14:paraId="41B06D8A" w14:textId="77777777" w:rsidR="00D42205" w:rsidRPr="008B17C0" w:rsidRDefault="00D42205" w:rsidP="00B2088F">
            <w:pPr>
              <w:spacing w:before="0" w:after="0"/>
              <w:jc w:val="left"/>
              <w:rPr>
                <w:noProof/>
                <w:szCs w:val="24"/>
              </w:rPr>
            </w:pPr>
          </w:p>
        </w:tc>
        <w:tc>
          <w:tcPr>
            <w:tcW w:w="7653" w:type="dxa"/>
          </w:tcPr>
          <w:p w14:paraId="28672000" w14:textId="77777777" w:rsidR="00D42205" w:rsidRPr="008B17C0" w:rsidRDefault="00D42205" w:rsidP="006A0D14">
            <w:pPr>
              <w:autoSpaceDE w:val="0"/>
              <w:autoSpaceDN w:val="0"/>
              <w:adjustRightInd w:val="0"/>
              <w:spacing w:before="0" w:after="0"/>
              <w:rPr>
                <w:noProof/>
                <w:color w:val="000000" w:themeColor="text1"/>
              </w:rPr>
            </w:pPr>
            <w:r w:rsidRPr="008B17C0">
              <w:rPr>
                <w:noProof/>
                <w:color w:val="000000"/>
              </w:rPr>
              <w:t>Der er behov for 1* juridisk medarbejder og 1* politisk koordinator til at deltage i Kommissionens forhandlinger om internationale aftaler og til at forhandle og udarbejde strategiske og/eller gennemførelsesmæssige samarbejdsordninger med tredjelande.</w:t>
            </w:r>
          </w:p>
          <w:p w14:paraId="174363D0" w14:textId="77777777" w:rsidR="00D42205" w:rsidRPr="008B17C0" w:rsidRDefault="00D42205" w:rsidP="00B2088F">
            <w:pPr>
              <w:autoSpaceDE w:val="0"/>
              <w:autoSpaceDN w:val="0"/>
              <w:adjustRightInd w:val="0"/>
              <w:spacing w:before="0" w:after="0"/>
              <w:rPr>
                <w:noProof/>
                <w:color w:val="000000"/>
                <w:szCs w:val="24"/>
              </w:rPr>
            </w:pPr>
          </w:p>
          <w:p w14:paraId="0F58E4CD" w14:textId="77777777" w:rsidR="00D42205" w:rsidRPr="008B17C0" w:rsidRDefault="00D42205" w:rsidP="006A0D14">
            <w:pPr>
              <w:autoSpaceDE w:val="0"/>
              <w:autoSpaceDN w:val="0"/>
              <w:adjustRightInd w:val="0"/>
              <w:spacing w:before="0" w:after="0"/>
              <w:rPr>
                <w:i/>
                <w:iCs/>
                <w:noProof/>
                <w:color w:val="000000" w:themeColor="text1"/>
              </w:rPr>
            </w:pPr>
            <w:r w:rsidRPr="008B17C0">
              <w:rPr>
                <w:i/>
                <w:iCs/>
                <w:noProof/>
                <w:color w:val="000000"/>
              </w:rPr>
              <w:t xml:space="preserve">Anslået behov i FTE'er — yderligere FTE'er, der skal ansættes pr. år (ikke kumulativt): </w:t>
            </w:r>
          </w:p>
          <w:p w14:paraId="604E55D3" w14:textId="77777777" w:rsidR="00D42205" w:rsidRPr="008B17C0" w:rsidRDefault="00D42205" w:rsidP="006A0D14">
            <w:pPr>
              <w:autoSpaceDE w:val="0"/>
              <w:autoSpaceDN w:val="0"/>
              <w:adjustRightInd w:val="0"/>
              <w:spacing w:before="0" w:after="0"/>
              <w:rPr>
                <w:noProof/>
                <w:color w:val="000000" w:themeColor="text1"/>
              </w:rPr>
            </w:pPr>
            <w:r w:rsidRPr="008B17C0">
              <w:rPr>
                <w:i/>
                <w:iCs/>
                <w:noProof/>
                <w:color w:val="000000"/>
              </w:rPr>
              <w:t>2024: +2,</w:t>
            </w:r>
          </w:p>
        </w:tc>
      </w:tr>
      <w:tr w:rsidR="00D42205" w:rsidRPr="008B17C0" w14:paraId="6878A6E2" w14:textId="77777777" w:rsidTr="160710AA">
        <w:tc>
          <w:tcPr>
            <w:tcW w:w="1556" w:type="dxa"/>
            <w:vMerge/>
          </w:tcPr>
          <w:p w14:paraId="7618F1BD" w14:textId="77777777" w:rsidR="00D42205" w:rsidRPr="008B17C0" w:rsidRDefault="00D42205" w:rsidP="00B2088F">
            <w:pPr>
              <w:spacing w:before="0" w:after="0"/>
              <w:jc w:val="left"/>
              <w:rPr>
                <w:noProof/>
                <w:szCs w:val="24"/>
              </w:rPr>
            </w:pPr>
          </w:p>
        </w:tc>
        <w:tc>
          <w:tcPr>
            <w:tcW w:w="7653" w:type="dxa"/>
          </w:tcPr>
          <w:p w14:paraId="35FECE8E" w14:textId="77777777" w:rsidR="00D42205" w:rsidRPr="008B17C0" w:rsidRDefault="00D42205" w:rsidP="006A0D14">
            <w:pPr>
              <w:autoSpaceDE w:val="0"/>
              <w:autoSpaceDN w:val="0"/>
              <w:adjustRightInd w:val="0"/>
              <w:spacing w:before="0" w:after="0"/>
              <w:rPr>
                <w:noProof/>
                <w:color w:val="000000" w:themeColor="text1"/>
              </w:rPr>
            </w:pPr>
            <w:r w:rsidRPr="008B17C0">
              <w:rPr>
                <w:noProof/>
                <w:color w:val="000000"/>
              </w:rPr>
              <w:t>Der er behov for 1* juridisk medarbejder til at forhandle, udarbejde, evaluere og gennemgå samarbejdsinstrumenter/samarbejdsaftaler/aftalememoranda med partneragenturer og -organer.</w:t>
            </w:r>
          </w:p>
          <w:p w14:paraId="0B46F0D6" w14:textId="77777777" w:rsidR="00D42205" w:rsidRPr="008B17C0" w:rsidRDefault="00D42205" w:rsidP="00B2088F">
            <w:pPr>
              <w:autoSpaceDE w:val="0"/>
              <w:autoSpaceDN w:val="0"/>
              <w:adjustRightInd w:val="0"/>
              <w:spacing w:before="0" w:after="0"/>
              <w:rPr>
                <w:i/>
                <w:noProof/>
                <w:color w:val="000000"/>
                <w:szCs w:val="24"/>
              </w:rPr>
            </w:pPr>
          </w:p>
          <w:p w14:paraId="3B91EDA7" w14:textId="77777777" w:rsidR="00D42205" w:rsidRPr="008B17C0" w:rsidRDefault="00D42205" w:rsidP="006A0D14">
            <w:pPr>
              <w:autoSpaceDE w:val="0"/>
              <w:autoSpaceDN w:val="0"/>
              <w:adjustRightInd w:val="0"/>
              <w:spacing w:before="0" w:after="0"/>
              <w:rPr>
                <w:i/>
                <w:iCs/>
                <w:noProof/>
                <w:color w:val="000000" w:themeColor="text1"/>
              </w:rPr>
            </w:pPr>
            <w:r w:rsidRPr="008B17C0">
              <w:rPr>
                <w:i/>
                <w:iCs/>
                <w:noProof/>
                <w:color w:val="000000"/>
              </w:rPr>
              <w:t xml:space="preserve">Anslået behov i FTE'er — yderligere FTE'er, der skal ansættes pr. år (ikke kumulativt): </w:t>
            </w:r>
          </w:p>
          <w:p w14:paraId="6856E413" w14:textId="77777777" w:rsidR="00D42205" w:rsidRPr="008B17C0" w:rsidRDefault="00D42205" w:rsidP="00B2088F">
            <w:pPr>
              <w:spacing w:before="0"/>
              <w:rPr>
                <w:i/>
                <w:noProof/>
                <w:szCs w:val="24"/>
              </w:rPr>
            </w:pPr>
            <w:r w:rsidRPr="008B17C0">
              <w:rPr>
                <w:i/>
                <w:noProof/>
                <w:szCs w:val="24"/>
              </w:rPr>
              <w:t>2025: +1</w:t>
            </w:r>
          </w:p>
        </w:tc>
      </w:tr>
    </w:tbl>
    <w:p w14:paraId="77A72136" w14:textId="77777777" w:rsidR="00436363" w:rsidRPr="008B17C0" w:rsidRDefault="00906BEE" w:rsidP="00906BEE">
      <w:pPr>
        <w:tabs>
          <w:tab w:val="left" w:pos="2573"/>
        </w:tabs>
        <w:rPr>
          <w:noProof/>
          <w:sz w:val="18"/>
        </w:rPr>
        <w:sectPr w:rsidR="00436363" w:rsidRPr="008B17C0" w:rsidSect="00EA3F52">
          <w:headerReference w:type="default" r:id="rId19"/>
          <w:footerReference w:type="default" r:id="rId20"/>
          <w:headerReference w:type="first" r:id="rId21"/>
          <w:footerReference w:type="first" r:id="rId22"/>
          <w:pgSz w:w="11907" w:h="16840"/>
          <w:pgMar w:top="1134" w:right="1418" w:bottom="1134" w:left="1418" w:header="709" w:footer="709" w:gutter="0"/>
          <w:cols w:space="708"/>
          <w:docGrid w:linePitch="360"/>
        </w:sectPr>
      </w:pPr>
      <w:r w:rsidRPr="008B17C0">
        <w:rPr>
          <w:noProof/>
        </w:rPr>
        <w:tab/>
      </w:r>
    </w:p>
    <w:p w14:paraId="61B21125" w14:textId="6774A57A" w:rsidR="00436363" w:rsidRPr="008B17C0" w:rsidRDefault="003433F5" w:rsidP="003433F5">
      <w:pPr>
        <w:pStyle w:val="ManualHeading4"/>
        <w:rPr>
          <w:bCs/>
          <w:noProof/>
          <w:szCs w:val="24"/>
        </w:rPr>
      </w:pPr>
      <w:r w:rsidRPr="003433F5">
        <w:t>3.2.3.2.</w:t>
      </w:r>
      <w:r w:rsidRPr="003433F5">
        <w:tab/>
      </w:r>
      <w:r w:rsidR="00436363" w:rsidRPr="008B17C0">
        <w:rPr>
          <w:noProof/>
        </w:rPr>
        <w:t xml:space="preserve">Anslået behov for menneskelige ressourcer </w:t>
      </w:r>
    </w:p>
    <w:p w14:paraId="0748B474" w14:textId="77777777" w:rsidR="00D42205" w:rsidRPr="008B17C0" w:rsidRDefault="00D42205" w:rsidP="00D42205">
      <w:pPr>
        <w:pStyle w:val="ListDash1"/>
        <w:tabs>
          <w:tab w:val="clear" w:pos="1134"/>
          <w:tab w:val="num" w:pos="709"/>
        </w:tabs>
        <w:ind w:left="993" w:hanging="567"/>
        <w:rPr>
          <w:noProof/>
        </w:rPr>
      </w:pPr>
      <w:r w:rsidRPr="008B17C0">
        <w:rPr>
          <w:noProof/>
        </w:rPr>
        <w:sym w:font="Wingdings" w:char="F0A8"/>
      </w:r>
      <w:r w:rsidRPr="008B17C0">
        <w:rPr>
          <w:noProof/>
        </w:rPr>
        <w:tab/>
        <w:t xml:space="preserve">Forslaget/initiativet medfører ikke anvendelse af menneskelige ressourcer. </w:t>
      </w:r>
    </w:p>
    <w:p w14:paraId="0B3F6ADC" w14:textId="77777777" w:rsidR="00D42205" w:rsidRPr="008B17C0" w:rsidRDefault="00D42205" w:rsidP="00D42205">
      <w:pPr>
        <w:pStyle w:val="ListDash1"/>
        <w:tabs>
          <w:tab w:val="clear" w:pos="1134"/>
          <w:tab w:val="num" w:pos="709"/>
        </w:tabs>
        <w:ind w:left="993" w:hanging="567"/>
        <w:rPr>
          <w:noProof/>
        </w:rPr>
      </w:pPr>
      <w:r w:rsidRPr="008B17C0">
        <w:rPr>
          <w:noProof/>
        </w:rPr>
        <w:sym w:font="Wingdings" w:char="F0FE"/>
      </w:r>
      <w:r w:rsidRPr="008B17C0">
        <w:rPr>
          <w:noProof/>
        </w:rPr>
        <w:tab/>
        <w:t>Forslaget/initiativet medfører anvendelse af menneskelige ressourcer som anført herunder:</w:t>
      </w:r>
    </w:p>
    <w:p w14:paraId="1AF32D8D" w14:textId="77777777" w:rsidR="00436363" w:rsidRPr="008B17C0" w:rsidRDefault="00D42205" w:rsidP="00D42205">
      <w:pPr>
        <w:spacing w:after="60"/>
        <w:jc w:val="right"/>
        <w:rPr>
          <w:i/>
          <w:noProof/>
          <w:sz w:val="20"/>
        </w:rPr>
      </w:pPr>
      <w:r w:rsidRPr="008B17C0">
        <w:rPr>
          <w:i/>
          <w:noProof/>
          <w:sz w:val="20"/>
        </w:rPr>
        <w:t>Overslag angives i hele tal (eller med højst én decimal)</w:t>
      </w:r>
    </w:p>
    <w:tbl>
      <w:tblPr>
        <w:tblW w:w="4632" w:type="pct"/>
        <w:tblInd w:w="6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8"/>
        <w:gridCol w:w="2009"/>
        <w:gridCol w:w="1124"/>
        <w:gridCol w:w="1136"/>
        <w:gridCol w:w="1136"/>
        <w:gridCol w:w="1220"/>
      </w:tblGrid>
      <w:tr w:rsidR="008911CF" w:rsidRPr="008B17C0" w14:paraId="1924D9F8" w14:textId="77777777" w:rsidTr="006A0D14">
        <w:trPr>
          <w:trHeight w:val="1053"/>
        </w:trPr>
        <w:tc>
          <w:tcPr>
            <w:tcW w:w="2317" w:type="pct"/>
            <w:gridSpan w:val="2"/>
            <w:shd w:val="clear" w:color="auto" w:fill="auto"/>
          </w:tcPr>
          <w:p w14:paraId="7E273377" w14:textId="77777777" w:rsidR="008911CF" w:rsidRPr="008B17C0" w:rsidRDefault="008911CF" w:rsidP="00B2088F">
            <w:pPr>
              <w:pStyle w:val="Text1"/>
              <w:spacing w:before="40" w:after="40"/>
              <w:ind w:left="0"/>
              <w:jc w:val="center"/>
              <w:rPr>
                <w:i/>
                <w:noProof/>
                <w:sz w:val="20"/>
              </w:rPr>
            </w:pPr>
          </w:p>
        </w:tc>
        <w:tc>
          <w:tcPr>
            <w:tcW w:w="653" w:type="pct"/>
            <w:shd w:val="clear" w:color="auto" w:fill="auto"/>
            <w:vAlign w:val="center"/>
          </w:tcPr>
          <w:p w14:paraId="40EE53BE" w14:textId="77777777" w:rsidR="008911CF" w:rsidRPr="008B17C0" w:rsidRDefault="008911CF" w:rsidP="00B2088F">
            <w:pPr>
              <w:spacing w:before="20" w:after="20"/>
              <w:jc w:val="center"/>
              <w:rPr>
                <w:noProof/>
                <w:sz w:val="20"/>
              </w:rPr>
            </w:pPr>
            <w:r w:rsidRPr="008B17C0">
              <w:rPr>
                <w:noProof/>
                <w:sz w:val="20"/>
              </w:rPr>
              <w:t xml:space="preserve">År </w:t>
            </w:r>
            <w:r w:rsidRPr="008B17C0">
              <w:rPr>
                <w:b/>
                <w:noProof/>
                <w:sz w:val="20"/>
              </w:rPr>
              <w:t>2024</w:t>
            </w:r>
          </w:p>
        </w:tc>
        <w:tc>
          <w:tcPr>
            <w:tcW w:w="660" w:type="pct"/>
            <w:shd w:val="clear" w:color="auto" w:fill="auto"/>
            <w:vAlign w:val="center"/>
          </w:tcPr>
          <w:p w14:paraId="120F6F13" w14:textId="77777777" w:rsidR="008911CF" w:rsidRPr="008B17C0" w:rsidRDefault="008911CF" w:rsidP="00B2088F">
            <w:pPr>
              <w:spacing w:before="20" w:after="20"/>
              <w:jc w:val="center"/>
              <w:rPr>
                <w:noProof/>
                <w:sz w:val="20"/>
              </w:rPr>
            </w:pPr>
            <w:r w:rsidRPr="008B17C0">
              <w:rPr>
                <w:noProof/>
                <w:sz w:val="20"/>
              </w:rPr>
              <w:t xml:space="preserve">År </w:t>
            </w:r>
            <w:r w:rsidRPr="008B17C0">
              <w:rPr>
                <w:b/>
                <w:noProof/>
                <w:sz w:val="20"/>
              </w:rPr>
              <w:t>2025</w:t>
            </w:r>
          </w:p>
        </w:tc>
        <w:tc>
          <w:tcPr>
            <w:tcW w:w="659" w:type="pct"/>
            <w:shd w:val="clear" w:color="auto" w:fill="auto"/>
            <w:vAlign w:val="center"/>
          </w:tcPr>
          <w:p w14:paraId="7524F794" w14:textId="77777777" w:rsidR="008911CF" w:rsidRPr="008B17C0" w:rsidRDefault="008911CF" w:rsidP="00B2088F">
            <w:pPr>
              <w:spacing w:before="20" w:after="20"/>
              <w:jc w:val="center"/>
              <w:rPr>
                <w:noProof/>
                <w:sz w:val="20"/>
              </w:rPr>
            </w:pPr>
            <w:r w:rsidRPr="008B17C0">
              <w:rPr>
                <w:noProof/>
                <w:sz w:val="20"/>
              </w:rPr>
              <w:t xml:space="preserve">År </w:t>
            </w:r>
            <w:r w:rsidRPr="008B17C0">
              <w:rPr>
                <w:b/>
                <w:noProof/>
                <w:sz w:val="20"/>
              </w:rPr>
              <w:t>2026</w:t>
            </w:r>
          </w:p>
        </w:tc>
        <w:tc>
          <w:tcPr>
            <w:tcW w:w="710" w:type="pct"/>
            <w:shd w:val="clear" w:color="auto" w:fill="auto"/>
            <w:vAlign w:val="center"/>
          </w:tcPr>
          <w:p w14:paraId="263AD424" w14:textId="77777777" w:rsidR="008911CF" w:rsidRPr="008B17C0" w:rsidRDefault="008911CF" w:rsidP="00B2088F">
            <w:pPr>
              <w:spacing w:before="20" w:after="20"/>
              <w:jc w:val="center"/>
              <w:rPr>
                <w:noProof/>
                <w:sz w:val="20"/>
              </w:rPr>
            </w:pPr>
            <w:r w:rsidRPr="008B17C0">
              <w:rPr>
                <w:noProof/>
                <w:sz w:val="20"/>
              </w:rPr>
              <w:t xml:space="preserve">År </w:t>
            </w:r>
            <w:r w:rsidRPr="008B17C0">
              <w:rPr>
                <w:b/>
                <w:noProof/>
                <w:sz w:val="20"/>
              </w:rPr>
              <w:t>2027</w:t>
            </w:r>
          </w:p>
        </w:tc>
      </w:tr>
      <w:tr w:rsidR="008911CF" w:rsidRPr="008B17C0" w14:paraId="51C0F200" w14:textId="77777777" w:rsidTr="006A0D14">
        <w:trPr>
          <w:trHeight w:val="289"/>
        </w:trPr>
        <w:tc>
          <w:tcPr>
            <w:tcW w:w="2317" w:type="pct"/>
            <w:gridSpan w:val="2"/>
            <w:shd w:val="clear" w:color="auto" w:fill="auto"/>
            <w:vAlign w:val="center"/>
          </w:tcPr>
          <w:p w14:paraId="35CAB8CA" w14:textId="77777777" w:rsidR="008911CF" w:rsidRPr="008B17C0" w:rsidRDefault="008911CF" w:rsidP="00221FF8">
            <w:pPr>
              <w:pStyle w:val="Text1"/>
              <w:numPr>
                <w:ilvl w:val="0"/>
                <w:numId w:val="27"/>
              </w:numPr>
              <w:tabs>
                <w:tab w:val="left" w:pos="208"/>
              </w:tabs>
              <w:spacing w:beforeLines="20" w:before="48" w:afterLines="20" w:after="48"/>
              <w:ind w:left="208" w:hanging="120"/>
              <w:jc w:val="left"/>
              <w:rPr>
                <w:b/>
                <w:noProof/>
                <w:sz w:val="20"/>
              </w:rPr>
            </w:pPr>
            <w:r w:rsidRPr="008B17C0">
              <w:rPr>
                <w:b/>
                <w:noProof/>
                <w:sz w:val="20"/>
              </w:rPr>
              <w:t>Stillinger i stillingsfortegnelsen (tjenestemænd og midlertidigt ansatte)</w:t>
            </w:r>
          </w:p>
        </w:tc>
        <w:tc>
          <w:tcPr>
            <w:tcW w:w="653" w:type="pct"/>
            <w:shd w:val="clear" w:color="auto" w:fill="auto"/>
            <w:vAlign w:val="center"/>
          </w:tcPr>
          <w:p w14:paraId="3D1FF1FA" w14:textId="77777777" w:rsidR="008911CF" w:rsidRPr="008B17C0" w:rsidRDefault="008911CF" w:rsidP="00B2088F">
            <w:pPr>
              <w:spacing w:beforeLines="20" w:before="48" w:afterLines="20" w:after="48"/>
              <w:jc w:val="center"/>
              <w:rPr>
                <w:noProof/>
                <w:sz w:val="20"/>
              </w:rPr>
            </w:pPr>
          </w:p>
        </w:tc>
        <w:tc>
          <w:tcPr>
            <w:tcW w:w="660" w:type="pct"/>
            <w:shd w:val="clear" w:color="auto" w:fill="auto"/>
            <w:vAlign w:val="center"/>
          </w:tcPr>
          <w:p w14:paraId="0D92E06F" w14:textId="77777777" w:rsidR="008911CF" w:rsidRPr="008B17C0" w:rsidRDefault="008911CF" w:rsidP="00B2088F">
            <w:pPr>
              <w:spacing w:beforeLines="20" w:before="48" w:afterLines="20" w:after="48"/>
              <w:jc w:val="center"/>
              <w:rPr>
                <w:noProof/>
                <w:sz w:val="20"/>
              </w:rPr>
            </w:pPr>
          </w:p>
        </w:tc>
        <w:tc>
          <w:tcPr>
            <w:tcW w:w="660" w:type="pct"/>
            <w:shd w:val="clear" w:color="auto" w:fill="auto"/>
            <w:vAlign w:val="center"/>
          </w:tcPr>
          <w:p w14:paraId="56B8C948" w14:textId="77777777" w:rsidR="008911CF" w:rsidRPr="008B17C0" w:rsidRDefault="008911CF" w:rsidP="00B2088F">
            <w:pPr>
              <w:spacing w:beforeLines="20" w:before="48" w:afterLines="20" w:after="48"/>
              <w:jc w:val="center"/>
              <w:rPr>
                <w:noProof/>
                <w:sz w:val="20"/>
              </w:rPr>
            </w:pPr>
          </w:p>
        </w:tc>
        <w:tc>
          <w:tcPr>
            <w:tcW w:w="710" w:type="pct"/>
            <w:shd w:val="clear" w:color="auto" w:fill="auto"/>
            <w:vAlign w:val="center"/>
          </w:tcPr>
          <w:p w14:paraId="0A0EA986" w14:textId="77777777" w:rsidR="008911CF" w:rsidRPr="008B17C0" w:rsidRDefault="008911CF" w:rsidP="00B2088F">
            <w:pPr>
              <w:spacing w:beforeLines="20" w:before="48" w:afterLines="20" w:after="48"/>
              <w:jc w:val="center"/>
              <w:rPr>
                <w:noProof/>
                <w:sz w:val="20"/>
              </w:rPr>
            </w:pPr>
          </w:p>
        </w:tc>
      </w:tr>
      <w:tr w:rsidR="008911CF" w:rsidRPr="008B17C0" w14:paraId="0D577956" w14:textId="77777777" w:rsidTr="006A0D14">
        <w:trPr>
          <w:trHeight w:val="289"/>
        </w:trPr>
        <w:tc>
          <w:tcPr>
            <w:tcW w:w="2317" w:type="pct"/>
            <w:gridSpan w:val="2"/>
            <w:shd w:val="clear" w:color="auto" w:fill="auto"/>
            <w:vAlign w:val="center"/>
          </w:tcPr>
          <w:p w14:paraId="7210C376" w14:textId="77777777" w:rsidR="008911CF" w:rsidRPr="008B17C0" w:rsidRDefault="008911CF" w:rsidP="00B2088F">
            <w:pPr>
              <w:pStyle w:val="Text1"/>
              <w:spacing w:beforeLines="20" w:before="48" w:afterLines="20" w:after="48"/>
              <w:ind w:left="984"/>
              <w:jc w:val="left"/>
              <w:rPr>
                <w:b/>
                <w:noProof/>
                <w:sz w:val="20"/>
              </w:rPr>
            </w:pPr>
            <w:r w:rsidRPr="008B17C0">
              <w:rPr>
                <w:noProof/>
                <w:sz w:val="20"/>
              </w:rPr>
              <w:t>20 01 02 01 og 20 01 02 02 (i hovedsædet og i Kommissionens repræsentationskontorer)</w:t>
            </w:r>
          </w:p>
        </w:tc>
        <w:tc>
          <w:tcPr>
            <w:tcW w:w="653" w:type="pct"/>
            <w:shd w:val="clear" w:color="auto" w:fill="auto"/>
            <w:vAlign w:val="center"/>
          </w:tcPr>
          <w:p w14:paraId="0827816D" w14:textId="77777777" w:rsidR="008911CF" w:rsidRPr="008B17C0" w:rsidRDefault="008911CF" w:rsidP="00B2088F">
            <w:pPr>
              <w:spacing w:beforeLines="20" w:before="48" w:afterLines="20" w:after="48"/>
              <w:jc w:val="center"/>
              <w:rPr>
                <w:noProof/>
                <w:sz w:val="20"/>
              </w:rPr>
            </w:pPr>
            <w:r w:rsidRPr="008B17C0">
              <w:rPr>
                <w:noProof/>
                <w:sz w:val="20"/>
              </w:rPr>
              <w:t>1</w:t>
            </w:r>
          </w:p>
        </w:tc>
        <w:tc>
          <w:tcPr>
            <w:tcW w:w="660" w:type="pct"/>
            <w:shd w:val="clear" w:color="auto" w:fill="auto"/>
            <w:vAlign w:val="center"/>
          </w:tcPr>
          <w:p w14:paraId="6E9CFA4D" w14:textId="77777777" w:rsidR="008911CF" w:rsidRPr="008B17C0" w:rsidRDefault="008911CF" w:rsidP="00B2088F">
            <w:pPr>
              <w:spacing w:beforeLines="20" w:before="48" w:afterLines="20" w:after="48"/>
              <w:jc w:val="center"/>
              <w:rPr>
                <w:noProof/>
                <w:sz w:val="20"/>
              </w:rPr>
            </w:pPr>
            <w:r w:rsidRPr="008B17C0">
              <w:rPr>
                <w:noProof/>
                <w:sz w:val="20"/>
              </w:rPr>
              <w:t>1</w:t>
            </w:r>
          </w:p>
        </w:tc>
        <w:tc>
          <w:tcPr>
            <w:tcW w:w="660" w:type="pct"/>
            <w:shd w:val="clear" w:color="auto" w:fill="auto"/>
            <w:vAlign w:val="center"/>
          </w:tcPr>
          <w:p w14:paraId="173B55A9" w14:textId="77777777" w:rsidR="008911CF" w:rsidRPr="008B17C0" w:rsidRDefault="008911CF" w:rsidP="00B2088F">
            <w:pPr>
              <w:spacing w:beforeLines="20" w:before="48" w:afterLines="20" w:after="48"/>
              <w:jc w:val="center"/>
              <w:rPr>
                <w:noProof/>
                <w:sz w:val="20"/>
              </w:rPr>
            </w:pPr>
            <w:r w:rsidRPr="008B17C0">
              <w:rPr>
                <w:noProof/>
                <w:sz w:val="20"/>
              </w:rPr>
              <w:t>1</w:t>
            </w:r>
          </w:p>
        </w:tc>
        <w:tc>
          <w:tcPr>
            <w:tcW w:w="710" w:type="pct"/>
            <w:shd w:val="clear" w:color="auto" w:fill="auto"/>
            <w:vAlign w:val="center"/>
          </w:tcPr>
          <w:p w14:paraId="5A51E745" w14:textId="77777777" w:rsidR="008911CF" w:rsidRPr="008B17C0" w:rsidRDefault="008911CF" w:rsidP="00B2088F">
            <w:pPr>
              <w:spacing w:beforeLines="20" w:before="48" w:afterLines="20" w:after="48"/>
              <w:jc w:val="center"/>
              <w:rPr>
                <w:noProof/>
                <w:sz w:val="20"/>
              </w:rPr>
            </w:pPr>
            <w:r w:rsidRPr="008B17C0">
              <w:rPr>
                <w:noProof/>
                <w:sz w:val="20"/>
              </w:rPr>
              <w:t>1</w:t>
            </w:r>
          </w:p>
        </w:tc>
      </w:tr>
      <w:tr w:rsidR="008911CF" w:rsidRPr="008B17C0" w14:paraId="3FF6EEDB" w14:textId="77777777" w:rsidTr="006A0D14">
        <w:trPr>
          <w:trHeight w:val="289"/>
        </w:trPr>
        <w:tc>
          <w:tcPr>
            <w:tcW w:w="2317" w:type="pct"/>
            <w:gridSpan w:val="2"/>
            <w:shd w:val="clear" w:color="auto" w:fill="auto"/>
            <w:vAlign w:val="center"/>
          </w:tcPr>
          <w:p w14:paraId="6FD699CD" w14:textId="77777777" w:rsidR="008911CF" w:rsidRPr="008B17C0" w:rsidRDefault="008911CF" w:rsidP="00B2088F">
            <w:pPr>
              <w:pStyle w:val="Text1"/>
              <w:spacing w:beforeLines="20" w:before="48" w:afterLines="20" w:after="48"/>
              <w:ind w:left="984"/>
              <w:jc w:val="left"/>
              <w:rPr>
                <w:noProof/>
                <w:sz w:val="20"/>
              </w:rPr>
            </w:pPr>
            <w:r w:rsidRPr="008B17C0">
              <w:rPr>
                <w:noProof/>
                <w:sz w:val="20"/>
              </w:rPr>
              <w:t>20 01 02 03 (i delegationerne)</w:t>
            </w:r>
          </w:p>
        </w:tc>
        <w:tc>
          <w:tcPr>
            <w:tcW w:w="653" w:type="pct"/>
            <w:shd w:val="clear" w:color="auto" w:fill="auto"/>
            <w:vAlign w:val="center"/>
          </w:tcPr>
          <w:p w14:paraId="16D74B35" w14:textId="77777777" w:rsidR="008911CF" w:rsidRPr="008B17C0" w:rsidRDefault="008911CF" w:rsidP="00B2088F">
            <w:pPr>
              <w:spacing w:beforeLines="20" w:before="48" w:afterLines="20" w:after="48"/>
              <w:jc w:val="center"/>
              <w:rPr>
                <w:noProof/>
                <w:sz w:val="20"/>
              </w:rPr>
            </w:pPr>
          </w:p>
        </w:tc>
        <w:tc>
          <w:tcPr>
            <w:tcW w:w="660" w:type="pct"/>
            <w:shd w:val="clear" w:color="auto" w:fill="auto"/>
            <w:vAlign w:val="center"/>
          </w:tcPr>
          <w:p w14:paraId="5C6CDBF0" w14:textId="77777777" w:rsidR="008911CF" w:rsidRPr="008B17C0" w:rsidRDefault="008911CF" w:rsidP="00B2088F">
            <w:pPr>
              <w:spacing w:beforeLines="20" w:before="48" w:afterLines="20" w:after="48"/>
              <w:jc w:val="center"/>
              <w:rPr>
                <w:noProof/>
                <w:sz w:val="20"/>
              </w:rPr>
            </w:pPr>
          </w:p>
        </w:tc>
        <w:tc>
          <w:tcPr>
            <w:tcW w:w="660" w:type="pct"/>
            <w:shd w:val="clear" w:color="auto" w:fill="auto"/>
            <w:vAlign w:val="center"/>
          </w:tcPr>
          <w:p w14:paraId="573E5C0E" w14:textId="77777777" w:rsidR="008911CF" w:rsidRPr="008B17C0" w:rsidRDefault="008911CF" w:rsidP="00B2088F">
            <w:pPr>
              <w:spacing w:beforeLines="20" w:before="48" w:afterLines="20" w:after="48"/>
              <w:jc w:val="center"/>
              <w:rPr>
                <w:noProof/>
                <w:sz w:val="20"/>
              </w:rPr>
            </w:pPr>
          </w:p>
        </w:tc>
        <w:tc>
          <w:tcPr>
            <w:tcW w:w="710" w:type="pct"/>
            <w:shd w:val="clear" w:color="auto" w:fill="auto"/>
            <w:vAlign w:val="center"/>
          </w:tcPr>
          <w:p w14:paraId="0E5E6513" w14:textId="77777777" w:rsidR="008911CF" w:rsidRPr="008B17C0" w:rsidRDefault="008911CF" w:rsidP="00B2088F">
            <w:pPr>
              <w:spacing w:beforeLines="20" w:before="48" w:afterLines="20" w:after="48"/>
              <w:jc w:val="center"/>
              <w:rPr>
                <w:noProof/>
                <w:sz w:val="20"/>
              </w:rPr>
            </w:pPr>
          </w:p>
        </w:tc>
      </w:tr>
      <w:tr w:rsidR="008911CF" w:rsidRPr="008B17C0" w14:paraId="5BFDDE9F" w14:textId="77777777" w:rsidTr="006A0D14">
        <w:trPr>
          <w:trHeight w:val="953"/>
        </w:trPr>
        <w:tc>
          <w:tcPr>
            <w:tcW w:w="2317" w:type="pct"/>
            <w:gridSpan w:val="2"/>
            <w:shd w:val="clear" w:color="auto" w:fill="auto"/>
            <w:vAlign w:val="center"/>
          </w:tcPr>
          <w:p w14:paraId="7F362571" w14:textId="77777777" w:rsidR="008911CF" w:rsidRPr="008B17C0" w:rsidRDefault="008911CF" w:rsidP="00B2088F">
            <w:pPr>
              <w:pStyle w:val="Text1"/>
              <w:spacing w:beforeLines="20" w:before="48" w:afterLines="20" w:after="48"/>
              <w:ind w:left="984"/>
              <w:jc w:val="left"/>
              <w:rPr>
                <w:noProof/>
                <w:sz w:val="20"/>
              </w:rPr>
            </w:pPr>
            <w:r w:rsidRPr="008B17C0">
              <w:rPr>
                <w:noProof/>
                <w:sz w:val="20"/>
              </w:rPr>
              <w:t>01 01 01 01 (indirekte forskning)</w:t>
            </w:r>
          </w:p>
        </w:tc>
        <w:tc>
          <w:tcPr>
            <w:tcW w:w="653" w:type="pct"/>
            <w:shd w:val="clear" w:color="auto" w:fill="auto"/>
            <w:vAlign w:val="center"/>
          </w:tcPr>
          <w:p w14:paraId="5B4750BE" w14:textId="77777777" w:rsidR="008911CF" w:rsidRPr="008B17C0" w:rsidRDefault="008911CF" w:rsidP="00B2088F">
            <w:pPr>
              <w:spacing w:beforeLines="20" w:before="48" w:afterLines="20" w:after="48"/>
              <w:jc w:val="center"/>
              <w:rPr>
                <w:noProof/>
                <w:sz w:val="20"/>
              </w:rPr>
            </w:pPr>
          </w:p>
        </w:tc>
        <w:tc>
          <w:tcPr>
            <w:tcW w:w="660" w:type="pct"/>
            <w:shd w:val="clear" w:color="auto" w:fill="auto"/>
            <w:vAlign w:val="center"/>
          </w:tcPr>
          <w:p w14:paraId="59F16A0E" w14:textId="77777777" w:rsidR="008911CF" w:rsidRPr="008B17C0" w:rsidRDefault="008911CF" w:rsidP="00B2088F">
            <w:pPr>
              <w:spacing w:beforeLines="20" w:before="48" w:afterLines="20" w:after="48"/>
              <w:jc w:val="center"/>
              <w:rPr>
                <w:noProof/>
                <w:sz w:val="20"/>
              </w:rPr>
            </w:pPr>
          </w:p>
        </w:tc>
        <w:tc>
          <w:tcPr>
            <w:tcW w:w="660" w:type="pct"/>
            <w:shd w:val="clear" w:color="auto" w:fill="auto"/>
            <w:vAlign w:val="center"/>
          </w:tcPr>
          <w:p w14:paraId="1D7E7D8B" w14:textId="77777777" w:rsidR="008911CF" w:rsidRPr="008B17C0" w:rsidRDefault="008911CF" w:rsidP="00B2088F">
            <w:pPr>
              <w:spacing w:beforeLines="20" w:before="48" w:afterLines="20" w:after="48"/>
              <w:jc w:val="center"/>
              <w:rPr>
                <w:noProof/>
                <w:sz w:val="20"/>
              </w:rPr>
            </w:pPr>
          </w:p>
        </w:tc>
        <w:tc>
          <w:tcPr>
            <w:tcW w:w="710" w:type="pct"/>
            <w:shd w:val="clear" w:color="auto" w:fill="auto"/>
            <w:vAlign w:val="center"/>
          </w:tcPr>
          <w:p w14:paraId="18A30AE6" w14:textId="77777777" w:rsidR="008911CF" w:rsidRPr="008B17C0" w:rsidRDefault="008911CF" w:rsidP="00B2088F">
            <w:pPr>
              <w:spacing w:beforeLines="20" w:before="48" w:afterLines="20" w:after="48"/>
              <w:jc w:val="center"/>
              <w:rPr>
                <w:noProof/>
                <w:sz w:val="20"/>
              </w:rPr>
            </w:pPr>
          </w:p>
        </w:tc>
      </w:tr>
      <w:tr w:rsidR="008911CF" w:rsidRPr="008B17C0" w14:paraId="33520490" w14:textId="77777777" w:rsidTr="006A0D14">
        <w:trPr>
          <w:trHeight w:val="289"/>
        </w:trPr>
        <w:tc>
          <w:tcPr>
            <w:tcW w:w="2317" w:type="pct"/>
            <w:gridSpan w:val="2"/>
            <w:shd w:val="clear" w:color="auto" w:fill="auto"/>
            <w:vAlign w:val="center"/>
          </w:tcPr>
          <w:p w14:paraId="35524EA8" w14:textId="77777777" w:rsidR="008911CF" w:rsidRPr="008B17C0" w:rsidRDefault="008911CF" w:rsidP="00B2088F">
            <w:pPr>
              <w:pStyle w:val="Text1"/>
              <w:spacing w:beforeLines="20" w:before="48" w:afterLines="20" w:after="48"/>
              <w:ind w:left="984"/>
              <w:jc w:val="left"/>
              <w:rPr>
                <w:noProof/>
                <w:sz w:val="20"/>
              </w:rPr>
            </w:pPr>
            <w:r w:rsidRPr="008B17C0">
              <w:rPr>
                <w:noProof/>
                <w:sz w:val="20"/>
              </w:rPr>
              <w:t>10 01 05 01 (direkte forskning)</w:t>
            </w:r>
          </w:p>
        </w:tc>
        <w:tc>
          <w:tcPr>
            <w:tcW w:w="653" w:type="pct"/>
            <w:shd w:val="clear" w:color="auto" w:fill="auto"/>
            <w:vAlign w:val="center"/>
          </w:tcPr>
          <w:p w14:paraId="31A05527" w14:textId="77777777" w:rsidR="008911CF" w:rsidRPr="008B17C0" w:rsidRDefault="008911CF" w:rsidP="00B2088F">
            <w:pPr>
              <w:spacing w:beforeLines="20" w:before="48" w:afterLines="20" w:after="48"/>
              <w:jc w:val="center"/>
              <w:rPr>
                <w:noProof/>
                <w:sz w:val="20"/>
              </w:rPr>
            </w:pPr>
          </w:p>
        </w:tc>
        <w:tc>
          <w:tcPr>
            <w:tcW w:w="660" w:type="pct"/>
            <w:shd w:val="clear" w:color="auto" w:fill="auto"/>
            <w:vAlign w:val="center"/>
          </w:tcPr>
          <w:p w14:paraId="6EEF9600" w14:textId="77777777" w:rsidR="008911CF" w:rsidRPr="008B17C0" w:rsidRDefault="008911CF" w:rsidP="00B2088F">
            <w:pPr>
              <w:spacing w:beforeLines="20" w:before="48" w:afterLines="20" w:after="48"/>
              <w:jc w:val="center"/>
              <w:rPr>
                <w:noProof/>
                <w:sz w:val="20"/>
              </w:rPr>
            </w:pPr>
          </w:p>
        </w:tc>
        <w:tc>
          <w:tcPr>
            <w:tcW w:w="660" w:type="pct"/>
            <w:shd w:val="clear" w:color="auto" w:fill="auto"/>
            <w:vAlign w:val="center"/>
          </w:tcPr>
          <w:p w14:paraId="785A8039" w14:textId="77777777" w:rsidR="008911CF" w:rsidRPr="008B17C0" w:rsidRDefault="008911CF" w:rsidP="00B2088F">
            <w:pPr>
              <w:spacing w:beforeLines="20" w:before="48" w:afterLines="20" w:after="48"/>
              <w:jc w:val="center"/>
              <w:rPr>
                <w:noProof/>
                <w:sz w:val="20"/>
              </w:rPr>
            </w:pPr>
          </w:p>
        </w:tc>
        <w:tc>
          <w:tcPr>
            <w:tcW w:w="710" w:type="pct"/>
            <w:shd w:val="clear" w:color="auto" w:fill="auto"/>
            <w:vAlign w:val="center"/>
          </w:tcPr>
          <w:p w14:paraId="42F5FF38" w14:textId="77777777" w:rsidR="008911CF" w:rsidRPr="008B17C0" w:rsidRDefault="008911CF" w:rsidP="00B2088F">
            <w:pPr>
              <w:spacing w:beforeLines="20" w:before="48" w:afterLines="20" w:after="48"/>
              <w:jc w:val="center"/>
              <w:rPr>
                <w:noProof/>
                <w:sz w:val="20"/>
              </w:rPr>
            </w:pPr>
          </w:p>
        </w:tc>
      </w:tr>
      <w:tr w:rsidR="008911CF" w:rsidRPr="008B17C0" w14:paraId="047BFC0B" w14:textId="77777777" w:rsidTr="006A0D14">
        <w:trPr>
          <w:trHeight w:val="289"/>
        </w:trPr>
        <w:tc>
          <w:tcPr>
            <w:tcW w:w="2317" w:type="pct"/>
            <w:gridSpan w:val="2"/>
            <w:shd w:val="clear" w:color="auto" w:fill="auto"/>
            <w:vAlign w:val="center"/>
          </w:tcPr>
          <w:p w14:paraId="6C85C84D" w14:textId="77777777" w:rsidR="008911CF" w:rsidRPr="008B17C0" w:rsidRDefault="008911CF" w:rsidP="00B2088F">
            <w:pPr>
              <w:pStyle w:val="Text1"/>
              <w:spacing w:beforeLines="20" w:before="48" w:afterLines="20" w:after="48"/>
              <w:ind w:left="984"/>
              <w:jc w:val="left"/>
              <w:rPr>
                <w:noProof/>
                <w:sz w:val="20"/>
              </w:rPr>
            </w:pPr>
          </w:p>
        </w:tc>
        <w:tc>
          <w:tcPr>
            <w:tcW w:w="653" w:type="pct"/>
            <w:shd w:val="clear" w:color="auto" w:fill="auto"/>
            <w:vAlign w:val="center"/>
          </w:tcPr>
          <w:p w14:paraId="63621075" w14:textId="77777777" w:rsidR="008911CF" w:rsidRPr="008B17C0" w:rsidRDefault="008911CF" w:rsidP="00B2088F">
            <w:pPr>
              <w:spacing w:beforeLines="20" w:before="48" w:afterLines="20" w:after="48"/>
              <w:jc w:val="center"/>
              <w:rPr>
                <w:noProof/>
                <w:sz w:val="20"/>
              </w:rPr>
            </w:pPr>
          </w:p>
        </w:tc>
        <w:tc>
          <w:tcPr>
            <w:tcW w:w="660" w:type="pct"/>
            <w:shd w:val="clear" w:color="auto" w:fill="auto"/>
            <w:vAlign w:val="center"/>
          </w:tcPr>
          <w:p w14:paraId="441E344B" w14:textId="77777777" w:rsidR="008911CF" w:rsidRPr="008B17C0" w:rsidRDefault="008911CF" w:rsidP="00B2088F">
            <w:pPr>
              <w:spacing w:beforeLines="20" w:before="48" w:afterLines="20" w:after="48"/>
              <w:jc w:val="center"/>
              <w:rPr>
                <w:noProof/>
                <w:sz w:val="20"/>
              </w:rPr>
            </w:pPr>
          </w:p>
        </w:tc>
        <w:tc>
          <w:tcPr>
            <w:tcW w:w="660" w:type="pct"/>
            <w:shd w:val="clear" w:color="auto" w:fill="auto"/>
            <w:vAlign w:val="center"/>
          </w:tcPr>
          <w:p w14:paraId="55C8E847" w14:textId="77777777" w:rsidR="008911CF" w:rsidRPr="008B17C0" w:rsidRDefault="008911CF" w:rsidP="00B2088F">
            <w:pPr>
              <w:spacing w:beforeLines="20" w:before="48" w:afterLines="20" w:after="48"/>
              <w:jc w:val="center"/>
              <w:rPr>
                <w:noProof/>
                <w:sz w:val="20"/>
              </w:rPr>
            </w:pPr>
          </w:p>
        </w:tc>
        <w:tc>
          <w:tcPr>
            <w:tcW w:w="710" w:type="pct"/>
            <w:shd w:val="clear" w:color="auto" w:fill="auto"/>
            <w:vAlign w:val="center"/>
          </w:tcPr>
          <w:p w14:paraId="1783CD21" w14:textId="77777777" w:rsidR="008911CF" w:rsidRPr="008B17C0" w:rsidRDefault="008911CF" w:rsidP="00B2088F">
            <w:pPr>
              <w:spacing w:beforeLines="20" w:before="48" w:afterLines="20" w:after="48"/>
              <w:jc w:val="center"/>
              <w:rPr>
                <w:noProof/>
                <w:sz w:val="20"/>
              </w:rPr>
            </w:pPr>
          </w:p>
        </w:tc>
      </w:tr>
      <w:tr w:rsidR="008911CF" w:rsidRPr="008B17C0" w14:paraId="2E080D7E" w14:textId="77777777" w:rsidTr="006A0D14">
        <w:trPr>
          <w:trHeight w:val="289"/>
        </w:trPr>
        <w:tc>
          <w:tcPr>
            <w:tcW w:w="2317" w:type="pct"/>
            <w:gridSpan w:val="2"/>
            <w:shd w:val="clear" w:color="auto" w:fill="auto"/>
            <w:vAlign w:val="center"/>
          </w:tcPr>
          <w:p w14:paraId="2380F6DB" w14:textId="77777777" w:rsidR="008911CF" w:rsidRPr="008B17C0" w:rsidRDefault="008911CF" w:rsidP="00B2088F">
            <w:pPr>
              <w:pStyle w:val="Text1"/>
              <w:spacing w:beforeLines="20" w:before="48" w:afterLines="20" w:after="48"/>
              <w:ind w:left="208" w:hanging="120"/>
              <w:jc w:val="left"/>
              <w:rPr>
                <w:noProof/>
                <w:sz w:val="20"/>
              </w:rPr>
            </w:pPr>
            <w:r w:rsidRPr="008B17C0">
              <w:rPr>
                <w:b/>
                <w:noProof/>
                <w:sz w:val="20"/>
              </w:rPr>
              <w:sym w:font="Wingdings" w:char="F09F"/>
            </w:r>
            <w:r w:rsidRPr="008B17C0">
              <w:rPr>
                <w:b/>
                <w:bCs/>
                <w:noProof/>
                <w:sz w:val="20"/>
                <w:szCs w:val="20"/>
              </w:rPr>
              <w:t xml:space="preserve"> Eksternt personale (i årsværk: FTE)</w:t>
            </w:r>
            <w:r w:rsidRPr="008B17C0">
              <w:rPr>
                <w:rStyle w:val="FootnoteReference"/>
                <w:b/>
                <w:bCs/>
                <w:noProof/>
                <w:sz w:val="20"/>
                <w:szCs w:val="20"/>
              </w:rPr>
              <w:footnoteReference w:id="61"/>
            </w:r>
          </w:p>
        </w:tc>
        <w:tc>
          <w:tcPr>
            <w:tcW w:w="653" w:type="pct"/>
            <w:shd w:val="clear" w:color="auto" w:fill="auto"/>
            <w:vAlign w:val="center"/>
          </w:tcPr>
          <w:p w14:paraId="258B06A1" w14:textId="77777777" w:rsidR="008911CF" w:rsidRPr="008B17C0" w:rsidRDefault="008911CF" w:rsidP="00B2088F">
            <w:pPr>
              <w:spacing w:beforeLines="20" w:before="48" w:afterLines="20" w:after="48"/>
              <w:jc w:val="center"/>
              <w:rPr>
                <w:noProof/>
                <w:sz w:val="20"/>
              </w:rPr>
            </w:pPr>
          </w:p>
        </w:tc>
        <w:tc>
          <w:tcPr>
            <w:tcW w:w="660" w:type="pct"/>
            <w:shd w:val="clear" w:color="auto" w:fill="auto"/>
            <w:vAlign w:val="center"/>
          </w:tcPr>
          <w:p w14:paraId="618A0483" w14:textId="77777777" w:rsidR="008911CF" w:rsidRPr="008B17C0" w:rsidRDefault="008911CF" w:rsidP="00B2088F">
            <w:pPr>
              <w:spacing w:beforeLines="20" w:before="48" w:afterLines="20" w:after="48"/>
              <w:jc w:val="center"/>
              <w:rPr>
                <w:noProof/>
                <w:sz w:val="20"/>
              </w:rPr>
            </w:pPr>
          </w:p>
        </w:tc>
        <w:tc>
          <w:tcPr>
            <w:tcW w:w="660" w:type="pct"/>
            <w:shd w:val="clear" w:color="auto" w:fill="auto"/>
            <w:vAlign w:val="center"/>
          </w:tcPr>
          <w:p w14:paraId="06DBEE02" w14:textId="77777777" w:rsidR="008911CF" w:rsidRPr="008B17C0" w:rsidRDefault="008911CF" w:rsidP="00B2088F">
            <w:pPr>
              <w:spacing w:beforeLines="20" w:before="48" w:afterLines="20" w:after="48"/>
              <w:jc w:val="center"/>
              <w:rPr>
                <w:noProof/>
                <w:sz w:val="20"/>
              </w:rPr>
            </w:pPr>
          </w:p>
        </w:tc>
        <w:tc>
          <w:tcPr>
            <w:tcW w:w="710" w:type="pct"/>
            <w:shd w:val="clear" w:color="auto" w:fill="auto"/>
            <w:vAlign w:val="center"/>
          </w:tcPr>
          <w:p w14:paraId="3E468317" w14:textId="77777777" w:rsidR="008911CF" w:rsidRPr="008B17C0" w:rsidRDefault="008911CF" w:rsidP="00B2088F">
            <w:pPr>
              <w:spacing w:beforeLines="20" w:before="48" w:afterLines="20" w:after="48"/>
              <w:jc w:val="center"/>
              <w:rPr>
                <w:noProof/>
                <w:sz w:val="20"/>
              </w:rPr>
            </w:pPr>
          </w:p>
        </w:tc>
      </w:tr>
      <w:tr w:rsidR="008911CF" w:rsidRPr="008B17C0" w14:paraId="26B2FECF" w14:textId="77777777" w:rsidTr="006A0D14">
        <w:trPr>
          <w:trHeight w:val="289"/>
        </w:trPr>
        <w:tc>
          <w:tcPr>
            <w:tcW w:w="2317" w:type="pct"/>
            <w:gridSpan w:val="2"/>
            <w:shd w:val="clear" w:color="auto" w:fill="auto"/>
            <w:vAlign w:val="center"/>
          </w:tcPr>
          <w:p w14:paraId="05FA6E9F" w14:textId="77777777" w:rsidR="008911CF" w:rsidRPr="008B17C0" w:rsidRDefault="008911CF" w:rsidP="00B2088F">
            <w:pPr>
              <w:pStyle w:val="Text1"/>
              <w:spacing w:beforeLines="20" w:before="48" w:afterLines="20" w:after="48"/>
              <w:ind w:left="986"/>
              <w:jc w:val="left"/>
              <w:rPr>
                <w:b/>
                <w:noProof/>
                <w:sz w:val="20"/>
              </w:rPr>
            </w:pPr>
            <w:r w:rsidRPr="008B17C0">
              <w:rPr>
                <w:noProof/>
                <w:sz w:val="20"/>
              </w:rPr>
              <w:t>20 02 01 (KA, UNE, V under den samlede bevillingsramme)</w:t>
            </w:r>
          </w:p>
        </w:tc>
        <w:tc>
          <w:tcPr>
            <w:tcW w:w="653" w:type="pct"/>
            <w:shd w:val="clear" w:color="auto" w:fill="auto"/>
            <w:vAlign w:val="center"/>
          </w:tcPr>
          <w:p w14:paraId="7372870D" w14:textId="77777777" w:rsidR="008911CF" w:rsidRPr="008B17C0" w:rsidRDefault="008911CF" w:rsidP="00B2088F">
            <w:pPr>
              <w:spacing w:beforeLines="20" w:before="48" w:afterLines="20" w:after="48"/>
              <w:jc w:val="center"/>
              <w:rPr>
                <w:noProof/>
                <w:sz w:val="20"/>
              </w:rPr>
            </w:pPr>
            <w:r w:rsidRPr="008B17C0">
              <w:rPr>
                <w:noProof/>
                <w:sz w:val="20"/>
              </w:rPr>
              <w:t>1</w:t>
            </w:r>
          </w:p>
        </w:tc>
        <w:tc>
          <w:tcPr>
            <w:tcW w:w="660" w:type="pct"/>
            <w:shd w:val="clear" w:color="auto" w:fill="auto"/>
            <w:vAlign w:val="center"/>
          </w:tcPr>
          <w:p w14:paraId="0BB3EDE5" w14:textId="77777777" w:rsidR="008911CF" w:rsidRPr="008B17C0" w:rsidRDefault="008911CF" w:rsidP="00B2088F">
            <w:pPr>
              <w:spacing w:beforeLines="20" w:before="48" w:afterLines="20" w:after="48"/>
              <w:jc w:val="center"/>
              <w:rPr>
                <w:noProof/>
                <w:sz w:val="20"/>
              </w:rPr>
            </w:pPr>
            <w:r w:rsidRPr="008B17C0">
              <w:rPr>
                <w:noProof/>
                <w:sz w:val="20"/>
              </w:rPr>
              <w:t>1</w:t>
            </w:r>
          </w:p>
        </w:tc>
        <w:tc>
          <w:tcPr>
            <w:tcW w:w="660" w:type="pct"/>
            <w:shd w:val="clear" w:color="auto" w:fill="auto"/>
            <w:vAlign w:val="center"/>
          </w:tcPr>
          <w:p w14:paraId="10BA1A86" w14:textId="77777777" w:rsidR="008911CF" w:rsidRPr="008B17C0" w:rsidRDefault="008911CF" w:rsidP="00B2088F">
            <w:pPr>
              <w:spacing w:beforeLines="20" w:before="48" w:afterLines="20" w:after="48"/>
              <w:jc w:val="center"/>
              <w:rPr>
                <w:noProof/>
                <w:sz w:val="20"/>
              </w:rPr>
            </w:pPr>
            <w:r w:rsidRPr="008B17C0">
              <w:rPr>
                <w:noProof/>
                <w:sz w:val="20"/>
              </w:rPr>
              <w:t>1</w:t>
            </w:r>
          </w:p>
        </w:tc>
        <w:tc>
          <w:tcPr>
            <w:tcW w:w="710" w:type="pct"/>
            <w:shd w:val="clear" w:color="auto" w:fill="auto"/>
            <w:vAlign w:val="center"/>
          </w:tcPr>
          <w:p w14:paraId="4E984039" w14:textId="77777777" w:rsidR="008911CF" w:rsidRPr="008B17C0" w:rsidRDefault="008911CF" w:rsidP="00B2088F">
            <w:pPr>
              <w:spacing w:beforeLines="20" w:before="48" w:afterLines="20" w:after="48"/>
              <w:jc w:val="center"/>
              <w:rPr>
                <w:noProof/>
                <w:sz w:val="20"/>
              </w:rPr>
            </w:pPr>
            <w:r w:rsidRPr="008B17C0">
              <w:rPr>
                <w:noProof/>
                <w:sz w:val="20"/>
              </w:rPr>
              <w:t>1</w:t>
            </w:r>
          </w:p>
        </w:tc>
      </w:tr>
      <w:tr w:rsidR="008911CF" w:rsidRPr="008B17C0" w14:paraId="28F4D935" w14:textId="77777777" w:rsidTr="006A0D14">
        <w:trPr>
          <w:trHeight w:val="289"/>
        </w:trPr>
        <w:tc>
          <w:tcPr>
            <w:tcW w:w="2317" w:type="pct"/>
            <w:gridSpan w:val="2"/>
            <w:shd w:val="clear" w:color="auto" w:fill="auto"/>
            <w:vAlign w:val="center"/>
          </w:tcPr>
          <w:p w14:paraId="3BE60651" w14:textId="77777777" w:rsidR="008911CF" w:rsidRPr="008B17C0" w:rsidRDefault="008911CF" w:rsidP="00B2088F">
            <w:pPr>
              <w:pStyle w:val="Text1"/>
              <w:spacing w:beforeLines="20" w:before="48" w:afterLines="20" w:after="48"/>
              <w:ind w:left="986"/>
              <w:jc w:val="left"/>
              <w:rPr>
                <w:noProof/>
                <w:sz w:val="20"/>
              </w:rPr>
            </w:pPr>
            <w:r w:rsidRPr="008B17C0">
              <w:rPr>
                <w:noProof/>
                <w:sz w:val="20"/>
              </w:rPr>
              <w:t>20 02 03 (KA, LA, UNE, V og JMD i delegationerne)</w:t>
            </w:r>
          </w:p>
        </w:tc>
        <w:tc>
          <w:tcPr>
            <w:tcW w:w="653" w:type="pct"/>
            <w:shd w:val="clear" w:color="auto" w:fill="auto"/>
            <w:vAlign w:val="center"/>
          </w:tcPr>
          <w:p w14:paraId="028D3755" w14:textId="77777777" w:rsidR="008911CF" w:rsidRPr="008B17C0" w:rsidRDefault="008911CF" w:rsidP="00B2088F">
            <w:pPr>
              <w:spacing w:beforeLines="20" w:before="48" w:afterLines="20" w:after="48"/>
              <w:jc w:val="center"/>
              <w:rPr>
                <w:noProof/>
                <w:sz w:val="20"/>
              </w:rPr>
            </w:pPr>
          </w:p>
        </w:tc>
        <w:tc>
          <w:tcPr>
            <w:tcW w:w="660" w:type="pct"/>
            <w:shd w:val="clear" w:color="auto" w:fill="auto"/>
            <w:vAlign w:val="center"/>
          </w:tcPr>
          <w:p w14:paraId="7E906C8D" w14:textId="77777777" w:rsidR="008911CF" w:rsidRPr="008B17C0" w:rsidRDefault="008911CF" w:rsidP="00B2088F">
            <w:pPr>
              <w:spacing w:beforeLines="20" w:before="48" w:afterLines="20" w:after="48"/>
              <w:jc w:val="center"/>
              <w:rPr>
                <w:noProof/>
                <w:sz w:val="20"/>
              </w:rPr>
            </w:pPr>
          </w:p>
        </w:tc>
        <w:tc>
          <w:tcPr>
            <w:tcW w:w="660" w:type="pct"/>
            <w:shd w:val="clear" w:color="auto" w:fill="auto"/>
            <w:vAlign w:val="center"/>
          </w:tcPr>
          <w:p w14:paraId="05A151AB" w14:textId="77777777" w:rsidR="008911CF" w:rsidRPr="008B17C0" w:rsidRDefault="008911CF" w:rsidP="00B2088F">
            <w:pPr>
              <w:spacing w:beforeLines="20" w:before="48" w:afterLines="20" w:after="48"/>
              <w:jc w:val="center"/>
              <w:rPr>
                <w:noProof/>
                <w:sz w:val="20"/>
              </w:rPr>
            </w:pPr>
          </w:p>
        </w:tc>
        <w:tc>
          <w:tcPr>
            <w:tcW w:w="710" w:type="pct"/>
            <w:shd w:val="clear" w:color="auto" w:fill="auto"/>
            <w:vAlign w:val="center"/>
          </w:tcPr>
          <w:p w14:paraId="18C6BBA7" w14:textId="77777777" w:rsidR="008911CF" w:rsidRPr="008B17C0" w:rsidRDefault="008911CF" w:rsidP="00B2088F">
            <w:pPr>
              <w:spacing w:beforeLines="20" w:before="48" w:afterLines="20" w:after="48"/>
              <w:jc w:val="center"/>
              <w:rPr>
                <w:noProof/>
                <w:sz w:val="20"/>
              </w:rPr>
            </w:pPr>
          </w:p>
        </w:tc>
      </w:tr>
      <w:tr w:rsidR="008911CF" w:rsidRPr="008B17C0" w14:paraId="6EE2DF75" w14:textId="77777777" w:rsidTr="006A0D14">
        <w:trPr>
          <w:trHeight w:val="289"/>
        </w:trPr>
        <w:tc>
          <w:tcPr>
            <w:tcW w:w="1150" w:type="pct"/>
            <w:vMerge w:val="restart"/>
            <w:shd w:val="clear" w:color="auto" w:fill="auto"/>
            <w:vAlign w:val="center"/>
          </w:tcPr>
          <w:p w14:paraId="543D9441" w14:textId="77777777" w:rsidR="008911CF" w:rsidRPr="008B17C0" w:rsidRDefault="008911CF" w:rsidP="00B2088F">
            <w:pPr>
              <w:pStyle w:val="Text1"/>
              <w:spacing w:beforeLines="20" w:before="48" w:afterLines="20" w:after="48"/>
              <w:ind w:left="986"/>
              <w:jc w:val="left"/>
              <w:rPr>
                <w:b/>
                <w:noProof/>
                <w:sz w:val="20"/>
              </w:rPr>
            </w:pPr>
            <w:r w:rsidRPr="008B17C0">
              <w:rPr>
                <w:noProof/>
                <w:sz w:val="20"/>
                <w:szCs w:val="20"/>
              </w:rPr>
              <w:t>Budgetpost(er) (angiv nærmere)</w:t>
            </w:r>
            <w:r w:rsidRPr="008B17C0">
              <w:rPr>
                <w:b/>
                <w:bCs/>
                <w:noProof/>
                <w:sz w:val="20"/>
                <w:szCs w:val="20"/>
              </w:rPr>
              <w:t xml:space="preserve"> </w:t>
            </w:r>
            <w:r w:rsidRPr="008B17C0">
              <w:rPr>
                <w:rStyle w:val="FootnoteReference"/>
                <w:b/>
                <w:bCs/>
                <w:noProof/>
                <w:sz w:val="20"/>
                <w:szCs w:val="20"/>
              </w:rPr>
              <w:footnoteReference w:id="62"/>
            </w:r>
          </w:p>
        </w:tc>
        <w:tc>
          <w:tcPr>
            <w:tcW w:w="1168" w:type="pct"/>
            <w:shd w:val="clear" w:color="auto" w:fill="auto"/>
            <w:vAlign w:val="center"/>
          </w:tcPr>
          <w:p w14:paraId="596D5ED3" w14:textId="77777777" w:rsidR="008911CF" w:rsidRPr="008B17C0" w:rsidRDefault="008911CF" w:rsidP="00B2088F">
            <w:pPr>
              <w:pStyle w:val="Text1"/>
              <w:spacing w:beforeLines="20" w:before="48" w:afterLines="20" w:after="48"/>
              <w:ind w:left="598"/>
              <w:jc w:val="left"/>
              <w:rPr>
                <w:b/>
                <w:noProof/>
                <w:sz w:val="20"/>
              </w:rPr>
            </w:pPr>
            <w:r w:rsidRPr="008B17C0">
              <w:rPr>
                <w:noProof/>
                <w:sz w:val="20"/>
                <w:szCs w:val="20"/>
              </w:rPr>
              <w:t>— i hovedsædet</w:t>
            </w:r>
            <w:r w:rsidRPr="008B17C0">
              <w:rPr>
                <w:rStyle w:val="FootnoteReference"/>
                <w:noProof/>
                <w:sz w:val="20"/>
                <w:szCs w:val="20"/>
              </w:rPr>
              <w:footnoteReference w:id="63"/>
            </w:r>
            <w:r w:rsidRPr="008B17C0">
              <w:rPr>
                <w:noProof/>
              </w:rPr>
              <w:t xml:space="preserve"> </w:t>
            </w:r>
            <w:r w:rsidRPr="008B17C0">
              <w:rPr>
                <w:noProof/>
              </w:rPr>
              <w:br/>
            </w:r>
          </w:p>
        </w:tc>
        <w:tc>
          <w:tcPr>
            <w:tcW w:w="653" w:type="pct"/>
            <w:shd w:val="clear" w:color="auto" w:fill="auto"/>
            <w:vAlign w:val="center"/>
          </w:tcPr>
          <w:p w14:paraId="53DB9CFE" w14:textId="77777777" w:rsidR="008911CF" w:rsidRPr="008B17C0" w:rsidRDefault="008911CF" w:rsidP="00B2088F">
            <w:pPr>
              <w:pStyle w:val="Text1"/>
              <w:spacing w:beforeLines="20" w:before="48" w:afterLines="20" w:after="48"/>
              <w:rPr>
                <w:noProof/>
                <w:sz w:val="20"/>
              </w:rPr>
            </w:pPr>
          </w:p>
        </w:tc>
        <w:tc>
          <w:tcPr>
            <w:tcW w:w="660" w:type="pct"/>
            <w:shd w:val="clear" w:color="auto" w:fill="auto"/>
            <w:vAlign w:val="center"/>
          </w:tcPr>
          <w:p w14:paraId="2B229C09" w14:textId="77777777" w:rsidR="008911CF" w:rsidRPr="008B17C0" w:rsidRDefault="008911CF" w:rsidP="00B2088F">
            <w:pPr>
              <w:spacing w:beforeLines="20" w:before="48" w:afterLines="20" w:after="48"/>
              <w:jc w:val="center"/>
              <w:rPr>
                <w:noProof/>
                <w:sz w:val="20"/>
              </w:rPr>
            </w:pPr>
          </w:p>
        </w:tc>
        <w:tc>
          <w:tcPr>
            <w:tcW w:w="660" w:type="pct"/>
            <w:shd w:val="clear" w:color="auto" w:fill="auto"/>
            <w:vAlign w:val="center"/>
          </w:tcPr>
          <w:p w14:paraId="69C8BDFD" w14:textId="77777777" w:rsidR="008911CF" w:rsidRPr="008B17C0" w:rsidRDefault="008911CF" w:rsidP="00B2088F">
            <w:pPr>
              <w:spacing w:beforeLines="20" w:before="48" w:afterLines="20" w:after="48"/>
              <w:jc w:val="center"/>
              <w:rPr>
                <w:noProof/>
                <w:sz w:val="20"/>
              </w:rPr>
            </w:pPr>
          </w:p>
        </w:tc>
        <w:tc>
          <w:tcPr>
            <w:tcW w:w="710" w:type="pct"/>
            <w:shd w:val="clear" w:color="auto" w:fill="auto"/>
            <w:vAlign w:val="center"/>
          </w:tcPr>
          <w:p w14:paraId="552D8001" w14:textId="77777777" w:rsidR="008911CF" w:rsidRPr="008B17C0" w:rsidRDefault="008911CF" w:rsidP="00B2088F">
            <w:pPr>
              <w:spacing w:beforeLines="20" w:before="48" w:afterLines="20" w:after="48"/>
              <w:jc w:val="center"/>
              <w:rPr>
                <w:noProof/>
                <w:sz w:val="20"/>
              </w:rPr>
            </w:pPr>
          </w:p>
        </w:tc>
      </w:tr>
      <w:tr w:rsidR="008911CF" w:rsidRPr="008B17C0" w14:paraId="76BF9031" w14:textId="77777777" w:rsidTr="006A0D14">
        <w:trPr>
          <w:trHeight w:val="289"/>
        </w:trPr>
        <w:tc>
          <w:tcPr>
            <w:tcW w:w="1150" w:type="pct"/>
            <w:vMerge/>
            <w:shd w:val="clear" w:color="auto" w:fill="auto"/>
            <w:vAlign w:val="center"/>
          </w:tcPr>
          <w:p w14:paraId="10A38D48" w14:textId="77777777" w:rsidR="008911CF" w:rsidRPr="008B17C0" w:rsidRDefault="008911CF" w:rsidP="00B2088F">
            <w:pPr>
              <w:rPr>
                <w:b/>
                <w:noProof/>
                <w:sz w:val="20"/>
              </w:rPr>
            </w:pPr>
          </w:p>
        </w:tc>
        <w:tc>
          <w:tcPr>
            <w:tcW w:w="1168" w:type="pct"/>
            <w:shd w:val="clear" w:color="auto" w:fill="auto"/>
            <w:vAlign w:val="center"/>
          </w:tcPr>
          <w:p w14:paraId="6D6FCDB5" w14:textId="77777777" w:rsidR="008911CF" w:rsidRPr="008B17C0" w:rsidRDefault="008911CF" w:rsidP="00B2088F">
            <w:pPr>
              <w:pStyle w:val="Text1"/>
              <w:spacing w:beforeLines="20" w:before="48" w:afterLines="20" w:after="48"/>
              <w:ind w:left="598"/>
              <w:jc w:val="left"/>
              <w:rPr>
                <w:b/>
                <w:noProof/>
                <w:sz w:val="20"/>
              </w:rPr>
            </w:pPr>
            <w:r w:rsidRPr="008B17C0">
              <w:rPr>
                <w:noProof/>
                <w:sz w:val="20"/>
              </w:rPr>
              <w:t xml:space="preserve">— i delegationerne </w:t>
            </w:r>
          </w:p>
        </w:tc>
        <w:tc>
          <w:tcPr>
            <w:tcW w:w="653" w:type="pct"/>
            <w:shd w:val="clear" w:color="auto" w:fill="auto"/>
            <w:vAlign w:val="center"/>
          </w:tcPr>
          <w:p w14:paraId="75338EB0" w14:textId="77777777" w:rsidR="008911CF" w:rsidRPr="008B17C0" w:rsidRDefault="008911CF" w:rsidP="00B2088F">
            <w:pPr>
              <w:pStyle w:val="Text1"/>
              <w:spacing w:beforeLines="20" w:before="48" w:afterLines="20" w:after="48"/>
              <w:rPr>
                <w:noProof/>
                <w:sz w:val="20"/>
              </w:rPr>
            </w:pPr>
          </w:p>
        </w:tc>
        <w:tc>
          <w:tcPr>
            <w:tcW w:w="660" w:type="pct"/>
            <w:shd w:val="clear" w:color="auto" w:fill="auto"/>
            <w:vAlign w:val="center"/>
          </w:tcPr>
          <w:p w14:paraId="55F5F28B" w14:textId="77777777" w:rsidR="008911CF" w:rsidRPr="008B17C0" w:rsidRDefault="008911CF" w:rsidP="00B2088F">
            <w:pPr>
              <w:spacing w:beforeLines="20" w:before="48" w:afterLines="20" w:after="48"/>
              <w:jc w:val="center"/>
              <w:rPr>
                <w:noProof/>
                <w:sz w:val="20"/>
              </w:rPr>
            </w:pPr>
          </w:p>
        </w:tc>
        <w:tc>
          <w:tcPr>
            <w:tcW w:w="660" w:type="pct"/>
            <w:shd w:val="clear" w:color="auto" w:fill="auto"/>
            <w:vAlign w:val="center"/>
          </w:tcPr>
          <w:p w14:paraId="57669B08" w14:textId="77777777" w:rsidR="008911CF" w:rsidRPr="008B17C0" w:rsidRDefault="008911CF" w:rsidP="00B2088F">
            <w:pPr>
              <w:spacing w:beforeLines="20" w:before="48" w:afterLines="20" w:after="48"/>
              <w:jc w:val="center"/>
              <w:rPr>
                <w:noProof/>
                <w:sz w:val="20"/>
              </w:rPr>
            </w:pPr>
          </w:p>
        </w:tc>
        <w:tc>
          <w:tcPr>
            <w:tcW w:w="710" w:type="pct"/>
            <w:shd w:val="clear" w:color="auto" w:fill="auto"/>
            <w:vAlign w:val="center"/>
          </w:tcPr>
          <w:p w14:paraId="16566843" w14:textId="77777777" w:rsidR="008911CF" w:rsidRPr="008B17C0" w:rsidRDefault="008911CF" w:rsidP="00B2088F">
            <w:pPr>
              <w:spacing w:beforeLines="20" w:before="48" w:afterLines="20" w:after="48"/>
              <w:jc w:val="center"/>
              <w:rPr>
                <w:noProof/>
                <w:sz w:val="20"/>
              </w:rPr>
            </w:pPr>
          </w:p>
        </w:tc>
      </w:tr>
      <w:tr w:rsidR="008911CF" w:rsidRPr="008B17C0" w14:paraId="2C8A9F40" w14:textId="77777777" w:rsidTr="006A0D14">
        <w:trPr>
          <w:trHeight w:val="289"/>
        </w:trPr>
        <w:tc>
          <w:tcPr>
            <w:tcW w:w="2317" w:type="pct"/>
            <w:gridSpan w:val="2"/>
            <w:shd w:val="clear" w:color="auto" w:fill="auto"/>
            <w:vAlign w:val="center"/>
          </w:tcPr>
          <w:p w14:paraId="2E0B8D41" w14:textId="77777777" w:rsidR="008911CF" w:rsidRPr="008B17C0" w:rsidRDefault="008911CF" w:rsidP="00B2088F">
            <w:pPr>
              <w:pStyle w:val="Text1"/>
              <w:spacing w:beforeLines="20" w:before="48" w:afterLines="20" w:after="48"/>
              <w:ind w:left="986"/>
              <w:jc w:val="left"/>
              <w:rPr>
                <w:noProof/>
                <w:sz w:val="20"/>
              </w:rPr>
            </w:pPr>
            <w:r w:rsidRPr="008B17C0">
              <w:rPr>
                <w:b/>
                <w:noProof/>
                <w:sz w:val="20"/>
              </w:rPr>
              <w:t xml:space="preserve">01 01 01 02 </w:t>
            </w:r>
            <w:r w:rsidRPr="008B17C0">
              <w:rPr>
                <w:noProof/>
                <w:sz w:val="20"/>
              </w:rPr>
              <w:t>(KA, UNE, V — indirekte forskning)</w:t>
            </w:r>
          </w:p>
        </w:tc>
        <w:tc>
          <w:tcPr>
            <w:tcW w:w="653" w:type="pct"/>
            <w:shd w:val="clear" w:color="auto" w:fill="auto"/>
            <w:vAlign w:val="center"/>
          </w:tcPr>
          <w:p w14:paraId="0C36CE5C" w14:textId="77777777" w:rsidR="008911CF" w:rsidRPr="008B17C0" w:rsidRDefault="008911CF" w:rsidP="00B2088F">
            <w:pPr>
              <w:spacing w:beforeLines="20" w:before="48" w:afterLines="20" w:after="48"/>
              <w:jc w:val="center"/>
              <w:rPr>
                <w:noProof/>
                <w:sz w:val="20"/>
              </w:rPr>
            </w:pPr>
          </w:p>
        </w:tc>
        <w:tc>
          <w:tcPr>
            <w:tcW w:w="660" w:type="pct"/>
            <w:shd w:val="clear" w:color="auto" w:fill="auto"/>
            <w:vAlign w:val="center"/>
          </w:tcPr>
          <w:p w14:paraId="2D97476F" w14:textId="77777777" w:rsidR="008911CF" w:rsidRPr="008B17C0" w:rsidRDefault="008911CF" w:rsidP="00B2088F">
            <w:pPr>
              <w:spacing w:beforeLines="20" w:before="48" w:afterLines="20" w:after="48"/>
              <w:jc w:val="center"/>
              <w:rPr>
                <w:noProof/>
                <w:sz w:val="20"/>
              </w:rPr>
            </w:pPr>
          </w:p>
        </w:tc>
        <w:tc>
          <w:tcPr>
            <w:tcW w:w="660" w:type="pct"/>
            <w:shd w:val="clear" w:color="auto" w:fill="auto"/>
            <w:vAlign w:val="center"/>
          </w:tcPr>
          <w:p w14:paraId="1F9C4704" w14:textId="77777777" w:rsidR="008911CF" w:rsidRPr="008B17C0" w:rsidRDefault="008911CF" w:rsidP="00B2088F">
            <w:pPr>
              <w:spacing w:beforeLines="20" w:before="48" w:afterLines="20" w:after="48"/>
              <w:jc w:val="center"/>
              <w:rPr>
                <w:noProof/>
                <w:sz w:val="20"/>
              </w:rPr>
            </w:pPr>
          </w:p>
        </w:tc>
        <w:tc>
          <w:tcPr>
            <w:tcW w:w="710" w:type="pct"/>
            <w:shd w:val="clear" w:color="auto" w:fill="auto"/>
            <w:vAlign w:val="center"/>
          </w:tcPr>
          <w:p w14:paraId="495D2830" w14:textId="77777777" w:rsidR="008911CF" w:rsidRPr="008B17C0" w:rsidRDefault="008911CF" w:rsidP="00B2088F">
            <w:pPr>
              <w:spacing w:beforeLines="20" w:before="48" w:afterLines="20" w:after="48"/>
              <w:jc w:val="center"/>
              <w:rPr>
                <w:noProof/>
                <w:sz w:val="20"/>
              </w:rPr>
            </w:pPr>
          </w:p>
        </w:tc>
      </w:tr>
      <w:tr w:rsidR="008911CF" w:rsidRPr="008B17C0" w14:paraId="60834098" w14:textId="77777777" w:rsidTr="006A0D14">
        <w:trPr>
          <w:trHeight w:val="289"/>
        </w:trPr>
        <w:tc>
          <w:tcPr>
            <w:tcW w:w="2317" w:type="pct"/>
            <w:gridSpan w:val="2"/>
            <w:shd w:val="clear" w:color="auto" w:fill="auto"/>
            <w:vAlign w:val="center"/>
          </w:tcPr>
          <w:p w14:paraId="5D0C2913" w14:textId="77777777" w:rsidR="008911CF" w:rsidRPr="008B17C0" w:rsidRDefault="008911CF" w:rsidP="00B2088F">
            <w:pPr>
              <w:pStyle w:val="Text1"/>
              <w:spacing w:beforeLines="20" w:before="48" w:afterLines="20" w:after="48"/>
              <w:ind w:left="986"/>
              <w:jc w:val="left"/>
              <w:rPr>
                <w:noProof/>
                <w:sz w:val="20"/>
              </w:rPr>
            </w:pPr>
            <w:r w:rsidRPr="008B17C0">
              <w:rPr>
                <w:noProof/>
                <w:sz w:val="20"/>
              </w:rPr>
              <w:t>10 01 05 02 (KA, UNE, V — direkte forskning)</w:t>
            </w:r>
          </w:p>
        </w:tc>
        <w:tc>
          <w:tcPr>
            <w:tcW w:w="653" w:type="pct"/>
            <w:shd w:val="clear" w:color="auto" w:fill="auto"/>
            <w:vAlign w:val="center"/>
          </w:tcPr>
          <w:p w14:paraId="36909B0A" w14:textId="77777777" w:rsidR="008911CF" w:rsidRPr="008B17C0" w:rsidRDefault="008911CF" w:rsidP="00B2088F">
            <w:pPr>
              <w:spacing w:beforeLines="20" w:before="48" w:afterLines="20" w:after="48"/>
              <w:jc w:val="center"/>
              <w:rPr>
                <w:noProof/>
                <w:sz w:val="20"/>
              </w:rPr>
            </w:pPr>
          </w:p>
        </w:tc>
        <w:tc>
          <w:tcPr>
            <w:tcW w:w="660" w:type="pct"/>
            <w:shd w:val="clear" w:color="auto" w:fill="auto"/>
            <w:vAlign w:val="center"/>
          </w:tcPr>
          <w:p w14:paraId="6498A001" w14:textId="77777777" w:rsidR="008911CF" w:rsidRPr="008B17C0" w:rsidRDefault="008911CF" w:rsidP="00B2088F">
            <w:pPr>
              <w:spacing w:beforeLines="20" w:before="48" w:afterLines="20" w:after="48"/>
              <w:jc w:val="center"/>
              <w:rPr>
                <w:noProof/>
                <w:sz w:val="20"/>
              </w:rPr>
            </w:pPr>
          </w:p>
        </w:tc>
        <w:tc>
          <w:tcPr>
            <w:tcW w:w="660" w:type="pct"/>
            <w:shd w:val="clear" w:color="auto" w:fill="auto"/>
            <w:vAlign w:val="center"/>
          </w:tcPr>
          <w:p w14:paraId="4E3F2A3E" w14:textId="77777777" w:rsidR="008911CF" w:rsidRPr="008B17C0" w:rsidRDefault="008911CF" w:rsidP="00B2088F">
            <w:pPr>
              <w:spacing w:beforeLines="20" w:before="48" w:afterLines="20" w:after="48"/>
              <w:jc w:val="center"/>
              <w:rPr>
                <w:noProof/>
                <w:sz w:val="20"/>
              </w:rPr>
            </w:pPr>
          </w:p>
        </w:tc>
        <w:tc>
          <w:tcPr>
            <w:tcW w:w="710" w:type="pct"/>
            <w:shd w:val="clear" w:color="auto" w:fill="auto"/>
            <w:vAlign w:val="center"/>
          </w:tcPr>
          <w:p w14:paraId="68446B3B" w14:textId="77777777" w:rsidR="008911CF" w:rsidRPr="008B17C0" w:rsidRDefault="008911CF" w:rsidP="00B2088F">
            <w:pPr>
              <w:spacing w:beforeLines="20" w:before="48" w:afterLines="20" w:after="48"/>
              <w:jc w:val="center"/>
              <w:rPr>
                <w:noProof/>
                <w:sz w:val="20"/>
              </w:rPr>
            </w:pPr>
          </w:p>
        </w:tc>
      </w:tr>
      <w:tr w:rsidR="008911CF" w:rsidRPr="008B17C0" w14:paraId="30C8EB9E" w14:textId="77777777" w:rsidTr="006A0D14">
        <w:trPr>
          <w:trHeight w:val="289"/>
        </w:trPr>
        <w:tc>
          <w:tcPr>
            <w:tcW w:w="2317" w:type="pct"/>
            <w:gridSpan w:val="2"/>
            <w:tcBorders>
              <w:bottom w:val="double" w:sz="4" w:space="0" w:color="auto"/>
            </w:tcBorders>
            <w:shd w:val="clear" w:color="auto" w:fill="auto"/>
            <w:vAlign w:val="center"/>
          </w:tcPr>
          <w:p w14:paraId="2651FA9C" w14:textId="77777777" w:rsidR="008911CF" w:rsidRPr="008B17C0" w:rsidRDefault="008911CF" w:rsidP="00B2088F">
            <w:pPr>
              <w:pStyle w:val="Text1"/>
              <w:spacing w:beforeLines="20" w:before="48" w:afterLines="20" w:after="48"/>
              <w:ind w:left="984"/>
              <w:jc w:val="left"/>
              <w:rPr>
                <w:noProof/>
                <w:sz w:val="20"/>
              </w:rPr>
            </w:pPr>
            <w:r w:rsidRPr="008B17C0">
              <w:rPr>
                <w:noProof/>
                <w:sz w:val="20"/>
              </w:rPr>
              <w:t>Andre budgetposter (angiv nærmere)</w:t>
            </w:r>
          </w:p>
        </w:tc>
        <w:tc>
          <w:tcPr>
            <w:tcW w:w="653" w:type="pct"/>
            <w:tcBorders>
              <w:bottom w:val="double" w:sz="4" w:space="0" w:color="auto"/>
            </w:tcBorders>
            <w:shd w:val="clear" w:color="auto" w:fill="auto"/>
            <w:vAlign w:val="center"/>
          </w:tcPr>
          <w:p w14:paraId="32080206" w14:textId="77777777" w:rsidR="008911CF" w:rsidRPr="008B17C0" w:rsidRDefault="008911CF" w:rsidP="00B2088F">
            <w:pPr>
              <w:spacing w:beforeLines="20" w:before="48" w:afterLines="20" w:after="48"/>
              <w:jc w:val="center"/>
              <w:rPr>
                <w:noProof/>
                <w:sz w:val="20"/>
              </w:rPr>
            </w:pPr>
          </w:p>
        </w:tc>
        <w:tc>
          <w:tcPr>
            <w:tcW w:w="660" w:type="pct"/>
            <w:tcBorders>
              <w:bottom w:val="double" w:sz="4" w:space="0" w:color="auto"/>
            </w:tcBorders>
            <w:shd w:val="clear" w:color="auto" w:fill="auto"/>
            <w:vAlign w:val="center"/>
          </w:tcPr>
          <w:p w14:paraId="7842615D" w14:textId="77777777" w:rsidR="008911CF" w:rsidRPr="008B17C0" w:rsidRDefault="008911CF" w:rsidP="00B2088F">
            <w:pPr>
              <w:spacing w:beforeLines="20" w:before="48" w:afterLines="20" w:after="48"/>
              <w:jc w:val="center"/>
              <w:rPr>
                <w:noProof/>
                <w:sz w:val="20"/>
              </w:rPr>
            </w:pPr>
          </w:p>
        </w:tc>
        <w:tc>
          <w:tcPr>
            <w:tcW w:w="660" w:type="pct"/>
            <w:tcBorders>
              <w:bottom w:val="double" w:sz="4" w:space="0" w:color="auto"/>
            </w:tcBorders>
            <w:shd w:val="clear" w:color="auto" w:fill="auto"/>
            <w:vAlign w:val="center"/>
          </w:tcPr>
          <w:p w14:paraId="259E2E0A" w14:textId="77777777" w:rsidR="008911CF" w:rsidRPr="008B17C0" w:rsidRDefault="008911CF" w:rsidP="00B2088F">
            <w:pPr>
              <w:spacing w:beforeLines="20" w:before="48" w:afterLines="20" w:after="48"/>
              <w:jc w:val="center"/>
              <w:rPr>
                <w:noProof/>
                <w:sz w:val="20"/>
              </w:rPr>
            </w:pPr>
          </w:p>
        </w:tc>
        <w:tc>
          <w:tcPr>
            <w:tcW w:w="710" w:type="pct"/>
            <w:tcBorders>
              <w:bottom w:val="double" w:sz="4" w:space="0" w:color="auto"/>
            </w:tcBorders>
            <w:shd w:val="clear" w:color="auto" w:fill="auto"/>
            <w:vAlign w:val="center"/>
          </w:tcPr>
          <w:p w14:paraId="4058F5D9" w14:textId="77777777" w:rsidR="008911CF" w:rsidRPr="008B17C0" w:rsidRDefault="008911CF" w:rsidP="00B2088F">
            <w:pPr>
              <w:spacing w:beforeLines="20" w:before="48" w:afterLines="20" w:after="48"/>
              <w:jc w:val="center"/>
              <w:rPr>
                <w:noProof/>
                <w:sz w:val="20"/>
              </w:rPr>
            </w:pPr>
          </w:p>
        </w:tc>
      </w:tr>
      <w:tr w:rsidR="008911CF" w:rsidRPr="008B17C0" w14:paraId="2DF0C23A" w14:textId="77777777" w:rsidTr="006A0D14">
        <w:trPr>
          <w:trHeight w:val="289"/>
        </w:trPr>
        <w:tc>
          <w:tcPr>
            <w:tcW w:w="2317" w:type="pct"/>
            <w:gridSpan w:val="2"/>
            <w:tcBorders>
              <w:top w:val="double" w:sz="4" w:space="0" w:color="auto"/>
            </w:tcBorders>
            <w:shd w:val="clear" w:color="auto" w:fill="auto"/>
            <w:vAlign w:val="center"/>
          </w:tcPr>
          <w:p w14:paraId="2703E74A" w14:textId="77777777" w:rsidR="008911CF" w:rsidRPr="008B17C0" w:rsidRDefault="008911CF" w:rsidP="00B2088F">
            <w:pPr>
              <w:pStyle w:val="Text1"/>
              <w:spacing w:beforeLines="20" w:before="48" w:afterLines="20" w:after="48"/>
              <w:ind w:left="986"/>
              <w:jc w:val="left"/>
              <w:rPr>
                <w:noProof/>
                <w:sz w:val="20"/>
              </w:rPr>
            </w:pPr>
            <w:r w:rsidRPr="008B17C0">
              <w:rPr>
                <w:b/>
                <w:noProof/>
                <w:sz w:val="20"/>
              </w:rPr>
              <w:t>I ALT</w:t>
            </w:r>
          </w:p>
        </w:tc>
        <w:tc>
          <w:tcPr>
            <w:tcW w:w="653" w:type="pct"/>
            <w:tcBorders>
              <w:top w:val="double" w:sz="4" w:space="0" w:color="auto"/>
            </w:tcBorders>
            <w:shd w:val="clear" w:color="auto" w:fill="auto"/>
            <w:vAlign w:val="center"/>
          </w:tcPr>
          <w:p w14:paraId="5BCCC205" w14:textId="77777777" w:rsidR="008911CF" w:rsidRPr="008B17C0" w:rsidRDefault="008911CF" w:rsidP="00B2088F">
            <w:pPr>
              <w:spacing w:beforeLines="20" w:before="48" w:afterLines="20" w:after="48"/>
              <w:jc w:val="center"/>
              <w:rPr>
                <w:b/>
                <w:noProof/>
                <w:sz w:val="20"/>
              </w:rPr>
            </w:pPr>
            <w:r w:rsidRPr="008B17C0">
              <w:rPr>
                <w:b/>
                <w:noProof/>
                <w:sz w:val="20"/>
              </w:rPr>
              <w:t>2</w:t>
            </w:r>
          </w:p>
        </w:tc>
        <w:tc>
          <w:tcPr>
            <w:tcW w:w="660" w:type="pct"/>
            <w:tcBorders>
              <w:top w:val="double" w:sz="4" w:space="0" w:color="auto"/>
            </w:tcBorders>
            <w:shd w:val="clear" w:color="auto" w:fill="auto"/>
            <w:vAlign w:val="center"/>
          </w:tcPr>
          <w:p w14:paraId="593C263D" w14:textId="77777777" w:rsidR="008911CF" w:rsidRPr="008B17C0" w:rsidRDefault="008911CF" w:rsidP="00B2088F">
            <w:pPr>
              <w:spacing w:beforeLines="20" w:before="48" w:afterLines="20" w:after="48"/>
              <w:jc w:val="center"/>
              <w:rPr>
                <w:b/>
                <w:noProof/>
                <w:sz w:val="20"/>
              </w:rPr>
            </w:pPr>
            <w:r w:rsidRPr="008B17C0">
              <w:rPr>
                <w:b/>
                <w:noProof/>
                <w:sz w:val="20"/>
              </w:rPr>
              <w:t>2</w:t>
            </w:r>
          </w:p>
        </w:tc>
        <w:tc>
          <w:tcPr>
            <w:tcW w:w="660" w:type="pct"/>
            <w:tcBorders>
              <w:top w:val="double" w:sz="4" w:space="0" w:color="auto"/>
            </w:tcBorders>
            <w:shd w:val="clear" w:color="auto" w:fill="auto"/>
            <w:vAlign w:val="center"/>
          </w:tcPr>
          <w:p w14:paraId="7393C5A1" w14:textId="77777777" w:rsidR="008911CF" w:rsidRPr="008B17C0" w:rsidRDefault="008911CF" w:rsidP="00B2088F">
            <w:pPr>
              <w:spacing w:beforeLines="20" w:before="48" w:afterLines="20" w:after="48"/>
              <w:jc w:val="center"/>
              <w:rPr>
                <w:b/>
                <w:noProof/>
                <w:sz w:val="20"/>
              </w:rPr>
            </w:pPr>
            <w:r w:rsidRPr="008B17C0">
              <w:rPr>
                <w:b/>
                <w:noProof/>
                <w:sz w:val="20"/>
              </w:rPr>
              <w:t>2</w:t>
            </w:r>
          </w:p>
        </w:tc>
        <w:tc>
          <w:tcPr>
            <w:tcW w:w="710" w:type="pct"/>
            <w:tcBorders>
              <w:top w:val="double" w:sz="4" w:space="0" w:color="auto"/>
            </w:tcBorders>
            <w:shd w:val="clear" w:color="auto" w:fill="auto"/>
            <w:vAlign w:val="center"/>
          </w:tcPr>
          <w:p w14:paraId="071198AB" w14:textId="77777777" w:rsidR="008911CF" w:rsidRPr="008B17C0" w:rsidRDefault="008911CF" w:rsidP="00B2088F">
            <w:pPr>
              <w:spacing w:beforeLines="20" w:before="48" w:afterLines="20" w:after="48"/>
              <w:jc w:val="center"/>
              <w:rPr>
                <w:b/>
                <w:noProof/>
                <w:sz w:val="20"/>
              </w:rPr>
            </w:pPr>
            <w:r w:rsidRPr="008B17C0">
              <w:rPr>
                <w:b/>
                <w:noProof/>
                <w:sz w:val="20"/>
              </w:rPr>
              <w:t>2</w:t>
            </w:r>
          </w:p>
        </w:tc>
      </w:tr>
    </w:tbl>
    <w:p w14:paraId="0857EA2A" w14:textId="77777777" w:rsidR="00D42205" w:rsidRPr="008B17C0" w:rsidRDefault="00D42205" w:rsidP="00D42205">
      <w:pPr>
        <w:pStyle w:val="Text1"/>
        <w:rPr>
          <w:noProof/>
          <w:sz w:val="22"/>
        </w:rPr>
      </w:pPr>
      <w:r w:rsidRPr="008B17C0">
        <w:rPr>
          <w:noProof/>
          <w:sz w:val="22"/>
        </w:rPr>
        <w:t>Personalebehovet vil blive dækket ved hjælp af det personale, som generaldirektoratet allerede har afsat til aktionen, og/eller interne rokader i generaldirektoratet, eventuelt suppleret med yderligere bevillinger, som tildeles det ansvarlige generaldirektorat i forbindelse med den årlige tildelingsprocedure under hensyntagen til de budgetmæssige begrænsninger.</w:t>
      </w:r>
    </w:p>
    <w:p w14:paraId="2FBEFE7D" w14:textId="77777777" w:rsidR="00D42205" w:rsidRPr="008B17C0" w:rsidRDefault="00D42205" w:rsidP="00ED2926">
      <w:pPr>
        <w:pStyle w:val="Text1"/>
        <w:rPr>
          <w:noProof/>
          <w:sz w:val="18"/>
        </w:rPr>
      </w:pPr>
    </w:p>
    <w:p w14:paraId="4D35C1D9" w14:textId="77777777" w:rsidR="00D42205" w:rsidRPr="008B17C0" w:rsidRDefault="00D42205" w:rsidP="00ED2926">
      <w:pPr>
        <w:pStyle w:val="Text1"/>
        <w:rPr>
          <w:noProof/>
          <w:sz w:val="18"/>
          <w:szCs w:val="18"/>
        </w:rPr>
      </w:pPr>
    </w:p>
    <w:p w14:paraId="225A83C4" w14:textId="77777777" w:rsidR="00D42205" w:rsidRPr="008B17C0" w:rsidRDefault="00436363" w:rsidP="00ED2926">
      <w:pPr>
        <w:rPr>
          <w:noProof/>
          <w:sz w:val="20"/>
          <w:u w:val="single"/>
        </w:rPr>
      </w:pPr>
      <w:r w:rsidRPr="008B17C0">
        <w:rPr>
          <w:noProof/>
          <w:sz w:val="20"/>
          <w:u w:val="single"/>
        </w:rPr>
        <w:t>Opgavebeskrivelse:</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D42205" w:rsidRPr="008B17C0" w14:paraId="1585DBDC" w14:textId="77777777" w:rsidTr="00B2088F">
        <w:tc>
          <w:tcPr>
            <w:tcW w:w="3240" w:type="dxa"/>
          </w:tcPr>
          <w:p w14:paraId="057DB931" w14:textId="77777777" w:rsidR="00D42205" w:rsidRPr="008B17C0" w:rsidRDefault="00D42205" w:rsidP="00B2088F">
            <w:pPr>
              <w:rPr>
                <w:noProof/>
                <w:sz w:val="20"/>
              </w:rPr>
            </w:pPr>
            <w:r w:rsidRPr="008B17C0">
              <w:rPr>
                <w:noProof/>
                <w:sz w:val="20"/>
              </w:rPr>
              <w:t>Tjenestemænd og midlertidigt ansatte</w:t>
            </w:r>
          </w:p>
        </w:tc>
        <w:tc>
          <w:tcPr>
            <w:tcW w:w="7200" w:type="dxa"/>
          </w:tcPr>
          <w:p w14:paraId="43364F1D" w14:textId="77777777" w:rsidR="00D42205" w:rsidRPr="008B17C0" w:rsidRDefault="00D42205" w:rsidP="00B2088F">
            <w:pPr>
              <w:rPr>
                <w:noProof/>
                <w:sz w:val="20"/>
              </w:rPr>
            </w:pPr>
            <w:r w:rsidRPr="008B17C0">
              <w:rPr>
                <w:noProof/>
                <w:sz w:val="20"/>
              </w:rPr>
              <w:t>Repræsentere Kommissionen i agenturets bestyrelse. Udarbejde Kommissionens udtalelse om det årlige arbejdsprogram og føre tilsyn med dets gennemførelse. Føre tilsyn med gennemførelsen af budgettet. Bistå agenturet med at udvikle dets aktiviteter i overensstemmelse med EU's politik, herunder ved at deltage i ekspertmøder.</w:t>
            </w:r>
          </w:p>
        </w:tc>
      </w:tr>
      <w:tr w:rsidR="00D42205" w:rsidRPr="008B17C0" w14:paraId="4841ECB9" w14:textId="77777777" w:rsidTr="00B2088F">
        <w:tc>
          <w:tcPr>
            <w:tcW w:w="3240" w:type="dxa"/>
          </w:tcPr>
          <w:p w14:paraId="4B5055F9" w14:textId="77777777" w:rsidR="00D42205" w:rsidRPr="008B17C0" w:rsidRDefault="00D42205" w:rsidP="00B2088F">
            <w:pPr>
              <w:spacing w:before="60" w:after="60"/>
              <w:rPr>
                <w:noProof/>
                <w:sz w:val="20"/>
              </w:rPr>
            </w:pPr>
            <w:r w:rsidRPr="008B17C0">
              <w:rPr>
                <w:noProof/>
                <w:sz w:val="20"/>
              </w:rPr>
              <w:t>Eksternt personale</w:t>
            </w:r>
          </w:p>
        </w:tc>
        <w:tc>
          <w:tcPr>
            <w:tcW w:w="7200" w:type="dxa"/>
          </w:tcPr>
          <w:p w14:paraId="63FEFD22" w14:textId="77777777" w:rsidR="00D42205" w:rsidRPr="008B17C0" w:rsidRDefault="00D42205" w:rsidP="00B2088F">
            <w:pPr>
              <w:rPr>
                <w:noProof/>
                <w:sz w:val="20"/>
              </w:rPr>
            </w:pPr>
            <w:r w:rsidRPr="008B17C0">
              <w:rPr>
                <w:noProof/>
                <w:sz w:val="20"/>
              </w:rPr>
              <w:t>Én UNE vil hjælpe embedsmændene og de midlertidigt ansatte i ovenstående opgaver og bistå agenturet i udviklingen af dets aktiviteter i overensstemmelse med EU's politik, herunder ved at deltage i ekspertmøder.</w:t>
            </w:r>
          </w:p>
        </w:tc>
      </w:tr>
    </w:tbl>
    <w:p w14:paraId="24235A36" w14:textId="77777777" w:rsidR="00D42205" w:rsidRPr="008B17C0" w:rsidRDefault="00D42205" w:rsidP="00D42205">
      <w:pPr>
        <w:rPr>
          <w:noProof/>
        </w:rPr>
      </w:pPr>
    </w:p>
    <w:p w14:paraId="7B489DC2" w14:textId="77777777" w:rsidR="00D42205" w:rsidRPr="008B17C0" w:rsidRDefault="00D42205" w:rsidP="00D42205">
      <w:pPr>
        <w:rPr>
          <w:noProof/>
        </w:rPr>
      </w:pPr>
      <w:r w:rsidRPr="008B17C0">
        <w:rPr>
          <w:noProof/>
        </w:rPr>
        <w:t xml:space="preserve">Beskrivelsen af, hvordan udgifterne til fuldtidsækvivalenterne er beregnet, bør medtages i afsnit 3 i bilag V. </w:t>
      </w:r>
    </w:p>
    <w:p w14:paraId="2BD91B02" w14:textId="77777777" w:rsidR="00D42205" w:rsidRPr="008B17C0" w:rsidRDefault="00D42205" w:rsidP="00ED2926">
      <w:pPr>
        <w:rPr>
          <w:noProof/>
        </w:rPr>
        <w:sectPr w:rsidR="00D42205" w:rsidRPr="008B17C0" w:rsidSect="00EA3F52">
          <w:pgSz w:w="11907" w:h="16840"/>
          <w:pgMar w:top="1134" w:right="1418" w:bottom="1134" w:left="1418" w:header="709" w:footer="709" w:gutter="0"/>
          <w:cols w:space="708"/>
          <w:docGrid w:linePitch="360"/>
        </w:sectPr>
      </w:pPr>
    </w:p>
    <w:p w14:paraId="42EDD532" w14:textId="14773C90" w:rsidR="00D42205" w:rsidRPr="008B17C0" w:rsidRDefault="003433F5" w:rsidP="003433F5">
      <w:pPr>
        <w:pStyle w:val="ManualHeading3"/>
        <w:rPr>
          <w:noProof/>
        </w:rPr>
      </w:pPr>
      <w:bookmarkStart w:id="125" w:name="_Toc514938056"/>
      <w:bookmarkStart w:id="126" w:name="_Toc520485055"/>
      <w:bookmarkStart w:id="127" w:name="_Toc84517602"/>
      <w:r w:rsidRPr="003433F5">
        <w:t>3.2.4.</w:t>
      </w:r>
      <w:r w:rsidRPr="003433F5">
        <w:tab/>
      </w:r>
      <w:r w:rsidR="00436363" w:rsidRPr="008B17C0">
        <w:rPr>
          <w:noProof/>
        </w:rPr>
        <w:t>Forenelighed med indeværende flerårige finansielle ramme</w:t>
      </w:r>
      <w:bookmarkEnd w:id="125"/>
      <w:bookmarkEnd w:id="126"/>
      <w:bookmarkEnd w:id="127"/>
      <w:r w:rsidR="00436363" w:rsidRPr="008B17C0">
        <w:rPr>
          <w:noProof/>
        </w:rPr>
        <w:t xml:space="preserve"> </w:t>
      </w:r>
      <w:bookmarkStart w:id="128" w:name="_Toc514938058"/>
      <w:bookmarkStart w:id="129" w:name="_Toc520485056"/>
    </w:p>
    <w:p w14:paraId="5CA68DD8" w14:textId="0D33D949" w:rsidR="006E524A" w:rsidRPr="008B17C0" w:rsidRDefault="006E524A" w:rsidP="006E524A">
      <w:pPr>
        <w:pStyle w:val="Text1"/>
        <w:rPr>
          <w:noProof/>
        </w:rPr>
      </w:pPr>
      <w:r w:rsidRPr="008B17C0">
        <w:rPr>
          <w:noProof/>
        </w:rPr>
        <w:t>Forslaget/initiativet:</w:t>
      </w:r>
    </w:p>
    <w:p w14:paraId="7C9C6C36" w14:textId="77777777" w:rsidR="006E524A" w:rsidRPr="008B17C0" w:rsidRDefault="006E524A" w:rsidP="00221FF8">
      <w:pPr>
        <w:pStyle w:val="ListDash1"/>
        <w:numPr>
          <w:ilvl w:val="0"/>
          <w:numId w:val="30"/>
        </w:numPr>
        <w:rPr>
          <w:noProof/>
        </w:rPr>
      </w:pPr>
      <w:r w:rsidRPr="008B17C0">
        <w:rPr>
          <w:rFonts w:ascii="Wingdings" w:hAnsi="Wingdings"/>
          <w:noProof/>
        </w:rPr>
        <w:t></w:t>
      </w:r>
      <w:r w:rsidRPr="008B17C0">
        <w:rPr>
          <w:noProof/>
        </w:rPr>
        <w:tab/>
        <w:t>kan finansieres fuldt ud gennem omfordeling inden for det relevante udgiftsområde i den flerårige finansielle ramme (FFR).</w:t>
      </w:r>
    </w:p>
    <w:p w14:paraId="17F03E2B" w14:textId="77777777" w:rsidR="006E524A" w:rsidRPr="008B17C0" w:rsidRDefault="006E524A" w:rsidP="006E524A">
      <w:pPr>
        <w:pStyle w:val="Text1"/>
        <w:rPr>
          <w:noProof/>
          <w:sz w:val="20"/>
          <w:szCs w:val="20"/>
        </w:rPr>
      </w:pPr>
      <w:r w:rsidRPr="008B17C0">
        <w:rPr>
          <w:noProof/>
          <w:sz w:val="20"/>
          <w:szCs w:val="20"/>
        </w:rPr>
        <w:t>Gør rede for omlægningen med angivelse af de berørte budgetposter og de beløb, der er tale om.</w:t>
      </w:r>
      <w:r w:rsidRPr="008B17C0">
        <w:rPr>
          <w:noProof/>
        </w:rPr>
        <w:t xml:space="preserve"> </w:t>
      </w:r>
      <w:r w:rsidRPr="008B17C0">
        <w:rPr>
          <w:noProof/>
          <w:sz w:val="20"/>
          <w:szCs w:val="20"/>
        </w:rPr>
        <w:t>I tilfælde af omfattende omlægning gives oplysningerne i form af en Excel-tabel.</w:t>
      </w:r>
    </w:p>
    <w:p w14:paraId="768DB67C" w14:textId="3A325AEF" w:rsidR="006E524A" w:rsidRPr="008B17C0" w:rsidRDefault="006E524A" w:rsidP="00221FF8">
      <w:pPr>
        <w:pStyle w:val="ListDash1"/>
        <w:numPr>
          <w:ilvl w:val="0"/>
          <w:numId w:val="30"/>
        </w:numPr>
        <w:rPr>
          <w:noProof/>
        </w:rPr>
      </w:pPr>
      <w:r w:rsidRPr="008B17C0">
        <w:rPr>
          <w:noProof/>
        </w:rPr>
        <w:sym w:font="Wingdings" w:char="F0FE"/>
      </w:r>
      <w:r w:rsidRPr="008B17C0">
        <w:rPr>
          <w:rFonts w:ascii="Wingdings" w:hAnsi="Wingdings"/>
          <w:noProof/>
        </w:rPr>
        <w:t></w:t>
      </w:r>
      <w:r w:rsidRPr="008B17C0">
        <w:rPr>
          <w:noProof/>
        </w:rPr>
        <w:t>kræver anvendelse af den uudnyttede margen under det relevante udgiftsområde i FFR og/eller anvendelse af særlige instrumenter som fastlagt i FFR-forordningen.</w:t>
      </w:r>
    </w:p>
    <w:p w14:paraId="359E9C19" w14:textId="77777777" w:rsidR="006E524A" w:rsidRPr="008B17C0" w:rsidRDefault="006E524A" w:rsidP="006E524A">
      <w:pPr>
        <w:pStyle w:val="Text1"/>
        <w:rPr>
          <w:noProof/>
          <w:sz w:val="20"/>
          <w:szCs w:val="20"/>
        </w:rPr>
      </w:pPr>
      <w:r w:rsidRPr="008B17C0">
        <w:rPr>
          <w:noProof/>
          <w:sz w:val="20"/>
          <w:szCs w:val="20"/>
        </w:rPr>
        <w:t>Gør rede for behovet med angivelse af de berørte udgiftsområder og budgetposter, de beløb, der er tale om, og de instrumenter, der foreslås anvendt.</w:t>
      </w:r>
    </w:p>
    <w:p w14:paraId="2E67F7D7" w14:textId="1161DB37" w:rsidR="00D42205" w:rsidRPr="008B17C0" w:rsidRDefault="006E524A" w:rsidP="00D42205">
      <w:pPr>
        <w:pStyle w:val="Text1"/>
        <w:pBdr>
          <w:top w:val="single" w:sz="4" w:space="1" w:color="auto"/>
          <w:left w:val="single" w:sz="4" w:space="4" w:color="auto"/>
          <w:bottom w:val="single" w:sz="4" w:space="1" w:color="auto"/>
          <w:right w:val="single" w:sz="4" w:space="4" w:color="auto"/>
        </w:pBdr>
        <w:rPr>
          <w:noProof/>
        </w:rPr>
      </w:pPr>
      <w:r w:rsidRPr="008B17C0">
        <w:rPr>
          <w:noProof/>
        </w:rPr>
        <w:t>Forslaget kræver anvendelse af den uudnyttede margen under udgiftsområde 2b i FFR som følger: på budgetpost 07.1007 — Eurojust — i 2024 — 2 158 mio. EUR, i 2025 — 10 811 mio. EUR, i 2026 — 10 403 mio. EUR og i 2027 — 9 371 mio. EUR.</w:t>
      </w:r>
    </w:p>
    <w:p w14:paraId="1D494286" w14:textId="77777777" w:rsidR="00D42205" w:rsidRPr="008B17C0" w:rsidRDefault="00D42205" w:rsidP="00D42205">
      <w:pPr>
        <w:pStyle w:val="Text1"/>
        <w:rPr>
          <w:noProof/>
        </w:rPr>
      </w:pPr>
    </w:p>
    <w:p w14:paraId="1E89C3F5" w14:textId="1A178C8A" w:rsidR="00436363" w:rsidRPr="008B17C0" w:rsidRDefault="003433F5" w:rsidP="003433F5">
      <w:pPr>
        <w:pStyle w:val="ManualHeading3"/>
        <w:rPr>
          <w:bCs/>
          <w:noProof/>
          <w:szCs w:val="24"/>
        </w:rPr>
      </w:pPr>
      <w:bookmarkStart w:id="130" w:name="_Toc84517603"/>
      <w:r w:rsidRPr="003433F5">
        <w:t>3.2.5.</w:t>
      </w:r>
      <w:r w:rsidRPr="003433F5">
        <w:tab/>
      </w:r>
      <w:r w:rsidR="00436363" w:rsidRPr="008B17C0">
        <w:rPr>
          <w:noProof/>
        </w:rPr>
        <w:t>Bidrag fra tredjemand</w:t>
      </w:r>
      <w:bookmarkEnd w:id="128"/>
      <w:bookmarkEnd w:id="129"/>
      <w:bookmarkEnd w:id="130"/>
      <w:r w:rsidR="00436363" w:rsidRPr="008B17C0">
        <w:rPr>
          <w:noProof/>
        </w:rPr>
        <w:t xml:space="preserve"> </w:t>
      </w:r>
    </w:p>
    <w:p w14:paraId="262F471A" w14:textId="77777777" w:rsidR="00436363" w:rsidRPr="008B17C0" w:rsidRDefault="00436363" w:rsidP="00ED2926">
      <w:pPr>
        <w:pStyle w:val="Text1"/>
        <w:rPr>
          <w:noProof/>
        </w:rPr>
      </w:pPr>
      <w:r w:rsidRPr="008B17C0">
        <w:rPr>
          <w:noProof/>
        </w:rPr>
        <w:t>Forslaget/initiativet:</w:t>
      </w:r>
    </w:p>
    <w:p w14:paraId="7EC773A7" w14:textId="77777777" w:rsidR="00B50AC3" w:rsidRPr="008B17C0" w:rsidRDefault="00B50AC3" w:rsidP="00B50AC3">
      <w:pPr>
        <w:pStyle w:val="ListDash1"/>
        <w:rPr>
          <w:noProof/>
        </w:rPr>
      </w:pPr>
      <w:r w:rsidRPr="008B17C0">
        <w:rPr>
          <w:noProof/>
        </w:rPr>
        <w:sym w:font="Wingdings" w:char="F0FE"/>
      </w:r>
      <w:r w:rsidRPr="008B17C0">
        <w:rPr>
          <w:noProof/>
        </w:rPr>
        <w:tab/>
        <w:t xml:space="preserve">Forslaget/initiativet indeholder ikke bestemmelser om samfinansiering med tredjemand. </w:t>
      </w:r>
    </w:p>
    <w:p w14:paraId="44ACCB3F" w14:textId="77777777" w:rsidR="00B50AC3" w:rsidRPr="008B17C0" w:rsidRDefault="00B50AC3" w:rsidP="00B50AC3">
      <w:pPr>
        <w:pStyle w:val="ListDash1"/>
        <w:rPr>
          <w:noProof/>
        </w:rPr>
      </w:pPr>
      <w:r w:rsidRPr="008B17C0">
        <w:rPr>
          <w:noProof/>
        </w:rPr>
        <w:t>Forslaget/initiativet indeholder bestemmelser om samfinansiering med tredjemand, jf. følgende overslag:</w:t>
      </w:r>
    </w:p>
    <w:p w14:paraId="364059CB" w14:textId="77777777" w:rsidR="00B50AC3" w:rsidRPr="008B17C0" w:rsidRDefault="00B50AC3" w:rsidP="00B50AC3">
      <w:pPr>
        <w:jc w:val="right"/>
        <w:rPr>
          <w:noProof/>
          <w:sz w:val="20"/>
        </w:rPr>
      </w:pPr>
      <w:r w:rsidRPr="008B17C0">
        <w:rPr>
          <w:noProof/>
          <w:sz w:val="20"/>
        </w:rPr>
        <w:t>i mio. EUR (tre decimaler)</w:t>
      </w:r>
    </w:p>
    <w:tbl>
      <w:tblPr>
        <w:tblW w:w="0" w:type="auto"/>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B50AC3" w:rsidRPr="008B17C0" w14:paraId="5EE9DD7E" w14:textId="77777777" w:rsidTr="00B2088F">
        <w:trPr>
          <w:cantSplit/>
        </w:trPr>
        <w:tc>
          <w:tcPr>
            <w:tcW w:w="2340" w:type="dxa"/>
          </w:tcPr>
          <w:p w14:paraId="5DC181DB" w14:textId="77777777" w:rsidR="00B50AC3" w:rsidRPr="008B17C0" w:rsidRDefault="00B50AC3" w:rsidP="00B2088F">
            <w:pPr>
              <w:spacing w:before="60" w:after="60"/>
              <w:rPr>
                <w:noProof/>
                <w:sz w:val="20"/>
              </w:rPr>
            </w:pPr>
          </w:p>
        </w:tc>
        <w:tc>
          <w:tcPr>
            <w:tcW w:w="964" w:type="dxa"/>
            <w:vAlign w:val="center"/>
          </w:tcPr>
          <w:p w14:paraId="639FA8D7" w14:textId="77777777" w:rsidR="00B50AC3" w:rsidRPr="008B17C0" w:rsidRDefault="00B50AC3" w:rsidP="00B2088F">
            <w:pPr>
              <w:jc w:val="center"/>
              <w:rPr>
                <w:noProof/>
                <w:sz w:val="20"/>
              </w:rPr>
            </w:pPr>
            <w:r w:rsidRPr="008B17C0">
              <w:rPr>
                <w:noProof/>
                <w:sz w:val="20"/>
              </w:rPr>
              <w:t>År</w:t>
            </w:r>
            <w:r w:rsidRPr="008B17C0">
              <w:rPr>
                <w:noProof/>
              </w:rPr>
              <w:t xml:space="preserve"> </w:t>
            </w:r>
            <w:r w:rsidRPr="008B17C0">
              <w:rPr>
                <w:noProof/>
              </w:rPr>
              <w:br/>
            </w:r>
            <w:r w:rsidRPr="008B17C0">
              <w:rPr>
                <w:b/>
                <w:noProof/>
                <w:sz w:val="20"/>
              </w:rPr>
              <w:t>n</w:t>
            </w:r>
          </w:p>
        </w:tc>
        <w:tc>
          <w:tcPr>
            <w:tcW w:w="964" w:type="dxa"/>
            <w:vAlign w:val="center"/>
          </w:tcPr>
          <w:p w14:paraId="7F1D2ABA" w14:textId="77777777" w:rsidR="00B50AC3" w:rsidRPr="008B17C0" w:rsidRDefault="00B50AC3" w:rsidP="00B2088F">
            <w:pPr>
              <w:jc w:val="center"/>
              <w:rPr>
                <w:noProof/>
                <w:sz w:val="20"/>
              </w:rPr>
            </w:pPr>
            <w:r w:rsidRPr="008B17C0">
              <w:rPr>
                <w:noProof/>
                <w:sz w:val="20"/>
              </w:rPr>
              <w:t>År</w:t>
            </w:r>
            <w:r w:rsidRPr="008B17C0">
              <w:rPr>
                <w:noProof/>
              </w:rPr>
              <w:t xml:space="preserve"> </w:t>
            </w:r>
            <w:r w:rsidRPr="008B17C0">
              <w:rPr>
                <w:noProof/>
              </w:rPr>
              <w:br/>
            </w:r>
            <w:r w:rsidRPr="008B17C0">
              <w:rPr>
                <w:b/>
                <w:noProof/>
                <w:sz w:val="20"/>
              </w:rPr>
              <w:t>n+1</w:t>
            </w:r>
          </w:p>
        </w:tc>
        <w:tc>
          <w:tcPr>
            <w:tcW w:w="964" w:type="dxa"/>
            <w:vAlign w:val="center"/>
          </w:tcPr>
          <w:p w14:paraId="1CFD0D9F" w14:textId="77777777" w:rsidR="00B50AC3" w:rsidRPr="008B17C0" w:rsidRDefault="00B50AC3" w:rsidP="00B2088F">
            <w:pPr>
              <w:jc w:val="center"/>
              <w:rPr>
                <w:noProof/>
                <w:sz w:val="20"/>
              </w:rPr>
            </w:pPr>
            <w:r w:rsidRPr="008B17C0">
              <w:rPr>
                <w:noProof/>
                <w:sz w:val="20"/>
              </w:rPr>
              <w:t>År</w:t>
            </w:r>
            <w:r w:rsidRPr="008B17C0">
              <w:rPr>
                <w:noProof/>
              </w:rPr>
              <w:t xml:space="preserve"> </w:t>
            </w:r>
            <w:r w:rsidRPr="008B17C0">
              <w:rPr>
                <w:noProof/>
              </w:rPr>
              <w:br/>
            </w:r>
            <w:r w:rsidRPr="008B17C0">
              <w:rPr>
                <w:b/>
                <w:noProof/>
                <w:sz w:val="20"/>
              </w:rPr>
              <w:t>n+2</w:t>
            </w:r>
          </w:p>
        </w:tc>
        <w:tc>
          <w:tcPr>
            <w:tcW w:w="964" w:type="dxa"/>
            <w:vAlign w:val="center"/>
          </w:tcPr>
          <w:p w14:paraId="33003D8B" w14:textId="77777777" w:rsidR="00B50AC3" w:rsidRPr="008B17C0" w:rsidRDefault="00B50AC3" w:rsidP="00B2088F">
            <w:pPr>
              <w:jc w:val="center"/>
              <w:rPr>
                <w:noProof/>
                <w:sz w:val="20"/>
              </w:rPr>
            </w:pPr>
            <w:r w:rsidRPr="008B17C0">
              <w:rPr>
                <w:noProof/>
                <w:sz w:val="20"/>
              </w:rPr>
              <w:t>År</w:t>
            </w:r>
            <w:r w:rsidRPr="008B17C0">
              <w:rPr>
                <w:noProof/>
              </w:rPr>
              <w:t xml:space="preserve"> </w:t>
            </w:r>
            <w:r w:rsidRPr="008B17C0">
              <w:rPr>
                <w:noProof/>
              </w:rPr>
              <w:br/>
            </w:r>
            <w:r w:rsidRPr="008B17C0">
              <w:rPr>
                <w:b/>
                <w:noProof/>
                <w:sz w:val="20"/>
              </w:rPr>
              <w:t>n+3</w:t>
            </w:r>
          </w:p>
        </w:tc>
        <w:tc>
          <w:tcPr>
            <w:tcW w:w="2892" w:type="dxa"/>
            <w:gridSpan w:val="3"/>
            <w:vAlign w:val="center"/>
          </w:tcPr>
          <w:p w14:paraId="2B45BA7D" w14:textId="77777777" w:rsidR="00B50AC3" w:rsidRPr="008B17C0" w:rsidRDefault="00B50AC3" w:rsidP="00B2088F">
            <w:pPr>
              <w:jc w:val="center"/>
              <w:rPr>
                <w:b/>
                <w:noProof/>
                <w:sz w:val="20"/>
              </w:rPr>
            </w:pPr>
            <w:r w:rsidRPr="008B17C0">
              <w:rPr>
                <w:noProof/>
                <w:sz w:val="20"/>
              </w:rPr>
              <w:t>Indsæt så mange år som nødvendigt for at vise virkningernes varighed (jf. punkt 1.6)</w:t>
            </w:r>
          </w:p>
        </w:tc>
        <w:tc>
          <w:tcPr>
            <w:tcW w:w="1158" w:type="dxa"/>
            <w:vAlign w:val="center"/>
          </w:tcPr>
          <w:p w14:paraId="2D1021B5" w14:textId="77777777" w:rsidR="00B50AC3" w:rsidRPr="008B17C0" w:rsidRDefault="00B50AC3" w:rsidP="00B2088F">
            <w:pPr>
              <w:spacing w:before="60" w:after="60"/>
              <w:jc w:val="center"/>
              <w:rPr>
                <w:noProof/>
                <w:sz w:val="20"/>
              </w:rPr>
            </w:pPr>
            <w:r w:rsidRPr="008B17C0">
              <w:rPr>
                <w:noProof/>
                <w:sz w:val="20"/>
              </w:rPr>
              <w:t>I alt</w:t>
            </w:r>
          </w:p>
        </w:tc>
      </w:tr>
      <w:tr w:rsidR="00B50AC3" w:rsidRPr="008B17C0" w14:paraId="6ACC11EC" w14:textId="77777777" w:rsidTr="00B2088F">
        <w:trPr>
          <w:cantSplit/>
        </w:trPr>
        <w:tc>
          <w:tcPr>
            <w:tcW w:w="2340" w:type="dxa"/>
          </w:tcPr>
          <w:p w14:paraId="4CE30237" w14:textId="77777777" w:rsidR="00B50AC3" w:rsidRPr="008B17C0" w:rsidRDefault="00B50AC3" w:rsidP="00B2088F">
            <w:pPr>
              <w:rPr>
                <w:noProof/>
              </w:rPr>
            </w:pPr>
            <w:r w:rsidRPr="008B17C0">
              <w:rPr>
                <w:noProof/>
                <w:sz w:val="20"/>
              </w:rPr>
              <w:t>Angiv det organ, der deltager i samfinansieringen</w:t>
            </w:r>
            <w:r w:rsidRPr="008B17C0">
              <w:rPr>
                <w:i/>
                <w:noProof/>
                <w:sz w:val="20"/>
              </w:rPr>
              <w:t xml:space="preserve"> </w:t>
            </w:r>
          </w:p>
        </w:tc>
        <w:tc>
          <w:tcPr>
            <w:tcW w:w="964" w:type="dxa"/>
            <w:vAlign w:val="center"/>
          </w:tcPr>
          <w:p w14:paraId="3BD8D0D9" w14:textId="77777777" w:rsidR="00B50AC3" w:rsidRPr="008B17C0" w:rsidRDefault="00B50AC3" w:rsidP="00B2088F">
            <w:pPr>
              <w:spacing w:before="60" w:after="60"/>
              <w:jc w:val="center"/>
              <w:rPr>
                <w:noProof/>
                <w:sz w:val="20"/>
              </w:rPr>
            </w:pPr>
          </w:p>
        </w:tc>
        <w:tc>
          <w:tcPr>
            <w:tcW w:w="964" w:type="dxa"/>
            <w:vAlign w:val="center"/>
          </w:tcPr>
          <w:p w14:paraId="07D0D8A5" w14:textId="77777777" w:rsidR="00B50AC3" w:rsidRPr="008B17C0" w:rsidRDefault="00B50AC3" w:rsidP="00B2088F">
            <w:pPr>
              <w:spacing w:before="60" w:after="60"/>
              <w:jc w:val="center"/>
              <w:rPr>
                <w:noProof/>
                <w:sz w:val="20"/>
              </w:rPr>
            </w:pPr>
          </w:p>
        </w:tc>
        <w:tc>
          <w:tcPr>
            <w:tcW w:w="964" w:type="dxa"/>
            <w:vAlign w:val="center"/>
          </w:tcPr>
          <w:p w14:paraId="7213F42D" w14:textId="77777777" w:rsidR="00B50AC3" w:rsidRPr="008B17C0" w:rsidRDefault="00B50AC3" w:rsidP="00B2088F">
            <w:pPr>
              <w:spacing w:before="60" w:after="60"/>
              <w:jc w:val="center"/>
              <w:rPr>
                <w:noProof/>
                <w:sz w:val="20"/>
              </w:rPr>
            </w:pPr>
          </w:p>
        </w:tc>
        <w:tc>
          <w:tcPr>
            <w:tcW w:w="964" w:type="dxa"/>
            <w:vAlign w:val="center"/>
          </w:tcPr>
          <w:p w14:paraId="028B5212" w14:textId="77777777" w:rsidR="00B50AC3" w:rsidRPr="008B17C0" w:rsidRDefault="00B50AC3" w:rsidP="00B2088F">
            <w:pPr>
              <w:spacing w:before="60" w:after="60"/>
              <w:jc w:val="center"/>
              <w:rPr>
                <w:noProof/>
                <w:sz w:val="20"/>
              </w:rPr>
            </w:pPr>
          </w:p>
        </w:tc>
        <w:tc>
          <w:tcPr>
            <w:tcW w:w="964" w:type="dxa"/>
            <w:vAlign w:val="center"/>
          </w:tcPr>
          <w:p w14:paraId="35D8296C" w14:textId="77777777" w:rsidR="00B50AC3" w:rsidRPr="008B17C0" w:rsidRDefault="00B50AC3" w:rsidP="00B2088F">
            <w:pPr>
              <w:spacing w:before="60" w:after="60"/>
              <w:jc w:val="center"/>
              <w:rPr>
                <w:noProof/>
                <w:sz w:val="20"/>
              </w:rPr>
            </w:pPr>
          </w:p>
        </w:tc>
        <w:tc>
          <w:tcPr>
            <w:tcW w:w="964" w:type="dxa"/>
            <w:vAlign w:val="center"/>
          </w:tcPr>
          <w:p w14:paraId="40B9E682" w14:textId="77777777" w:rsidR="00B50AC3" w:rsidRPr="008B17C0" w:rsidRDefault="00B50AC3" w:rsidP="00B2088F">
            <w:pPr>
              <w:spacing w:before="60" w:after="60"/>
              <w:jc w:val="center"/>
              <w:rPr>
                <w:noProof/>
                <w:sz w:val="20"/>
              </w:rPr>
            </w:pPr>
          </w:p>
        </w:tc>
        <w:tc>
          <w:tcPr>
            <w:tcW w:w="964" w:type="dxa"/>
            <w:vAlign w:val="center"/>
          </w:tcPr>
          <w:p w14:paraId="36CCE4A4" w14:textId="77777777" w:rsidR="00B50AC3" w:rsidRPr="008B17C0" w:rsidRDefault="00B50AC3" w:rsidP="00B2088F">
            <w:pPr>
              <w:spacing w:before="60" w:after="60"/>
              <w:jc w:val="center"/>
              <w:rPr>
                <w:noProof/>
                <w:sz w:val="20"/>
              </w:rPr>
            </w:pPr>
          </w:p>
        </w:tc>
        <w:tc>
          <w:tcPr>
            <w:tcW w:w="1158" w:type="dxa"/>
            <w:vAlign w:val="center"/>
          </w:tcPr>
          <w:p w14:paraId="6D6C3221" w14:textId="77777777" w:rsidR="00B50AC3" w:rsidRPr="008B17C0" w:rsidRDefault="00B50AC3" w:rsidP="00B2088F">
            <w:pPr>
              <w:spacing w:before="60" w:after="60"/>
              <w:jc w:val="center"/>
              <w:rPr>
                <w:noProof/>
                <w:sz w:val="20"/>
              </w:rPr>
            </w:pPr>
          </w:p>
        </w:tc>
      </w:tr>
      <w:tr w:rsidR="00B50AC3" w:rsidRPr="008B17C0" w14:paraId="05B18121" w14:textId="77777777" w:rsidTr="00B2088F">
        <w:trPr>
          <w:cantSplit/>
        </w:trPr>
        <w:tc>
          <w:tcPr>
            <w:tcW w:w="2340" w:type="dxa"/>
          </w:tcPr>
          <w:p w14:paraId="31D88757" w14:textId="77777777" w:rsidR="00B50AC3" w:rsidRPr="008B17C0" w:rsidRDefault="00B50AC3" w:rsidP="00B2088F">
            <w:pPr>
              <w:spacing w:before="60" w:after="60"/>
              <w:rPr>
                <w:noProof/>
                <w:sz w:val="20"/>
              </w:rPr>
            </w:pPr>
            <w:r w:rsidRPr="008B17C0">
              <w:rPr>
                <w:noProof/>
                <w:sz w:val="20"/>
              </w:rPr>
              <w:t xml:space="preserve">Samfinansierede bevillinger I ALT </w:t>
            </w:r>
          </w:p>
        </w:tc>
        <w:tc>
          <w:tcPr>
            <w:tcW w:w="964" w:type="dxa"/>
            <w:vAlign w:val="center"/>
          </w:tcPr>
          <w:p w14:paraId="5ACCF124" w14:textId="77777777" w:rsidR="00B50AC3" w:rsidRPr="008B17C0" w:rsidRDefault="00B50AC3" w:rsidP="00B2088F">
            <w:pPr>
              <w:spacing w:before="60" w:after="60"/>
              <w:jc w:val="center"/>
              <w:rPr>
                <w:noProof/>
                <w:sz w:val="20"/>
              </w:rPr>
            </w:pPr>
          </w:p>
        </w:tc>
        <w:tc>
          <w:tcPr>
            <w:tcW w:w="964" w:type="dxa"/>
            <w:vAlign w:val="center"/>
          </w:tcPr>
          <w:p w14:paraId="034BD86F" w14:textId="77777777" w:rsidR="00B50AC3" w:rsidRPr="008B17C0" w:rsidRDefault="00B50AC3" w:rsidP="00B2088F">
            <w:pPr>
              <w:spacing w:before="60" w:after="60"/>
              <w:jc w:val="center"/>
              <w:rPr>
                <w:noProof/>
                <w:sz w:val="20"/>
              </w:rPr>
            </w:pPr>
          </w:p>
        </w:tc>
        <w:tc>
          <w:tcPr>
            <w:tcW w:w="964" w:type="dxa"/>
            <w:vAlign w:val="center"/>
          </w:tcPr>
          <w:p w14:paraId="0FBAD273" w14:textId="77777777" w:rsidR="00B50AC3" w:rsidRPr="008B17C0" w:rsidRDefault="00B50AC3" w:rsidP="00B2088F">
            <w:pPr>
              <w:spacing w:before="60" w:after="60"/>
              <w:jc w:val="center"/>
              <w:rPr>
                <w:noProof/>
                <w:sz w:val="20"/>
              </w:rPr>
            </w:pPr>
          </w:p>
        </w:tc>
        <w:tc>
          <w:tcPr>
            <w:tcW w:w="964" w:type="dxa"/>
            <w:vAlign w:val="center"/>
          </w:tcPr>
          <w:p w14:paraId="0D283B22" w14:textId="77777777" w:rsidR="00B50AC3" w:rsidRPr="008B17C0" w:rsidRDefault="00B50AC3" w:rsidP="00B2088F">
            <w:pPr>
              <w:spacing w:before="60" w:after="60"/>
              <w:jc w:val="center"/>
              <w:rPr>
                <w:noProof/>
                <w:sz w:val="20"/>
              </w:rPr>
            </w:pPr>
          </w:p>
        </w:tc>
        <w:tc>
          <w:tcPr>
            <w:tcW w:w="964" w:type="dxa"/>
            <w:vAlign w:val="center"/>
          </w:tcPr>
          <w:p w14:paraId="5B71380E" w14:textId="77777777" w:rsidR="00B50AC3" w:rsidRPr="008B17C0" w:rsidRDefault="00B50AC3" w:rsidP="00B2088F">
            <w:pPr>
              <w:spacing w:before="60" w:after="60"/>
              <w:jc w:val="center"/>
              <w:rPr>
                <w:noProof/>
                <w:sz w:val="20"/>
              </w:rPr>
            </w:pPr>
          </w:p>
        </w:tc>
        <w:tc>
          <w:tcPr>
            <w:tcW w:w="964" w:type="dxa"/>
            <w:vAlign w:val="center"/>
          </w:tcPr>
          <w:p w14:paraId="21804D7A" w14:textId="77777777" w:rsidR="00B50AC3" w:rsidRPr="008B17C0" w:rsidRDefault="00B50AC3" w:rsidP="00B2088F">
            <w:pPr>
              <w:spacing w:before="60" w:after="60"/>
              <w:jc w:val="center"/>
              <w:rPr>
                <w:noProof/>
                <w:sz w:val="20"/>
              </w:rPr>
            </w:pPr>
          </w:p>
        </w:tc>
        <w:tc>
          <w:tcPr>
            <w:tcW w:w="964" w:type="dxa"/>
            <w:vAlign w:val="center"/>
          </w:tcPr>
          <w:p w14:paraId="5228F35F" w14:textId="77777777" w:rsidR="00B50AC3" w:rsidRPr="008B17C0" w:rsidRDefault="00B50AC3" w:rsidP="00B2088F">
            <w:pPr>
              <w:spacing w:before="60" w:after="60"/>
              <w:jc w:val="center"/>
              <w:rPr>
                <w:noProof/>
                <w:sz w:val="20"/>
              </w:rPr>
            </w:pPr>
          </w:p>
        </w:tc>
        <w:tc>
          <w:tcPr>
            <w:tcW w:w="1158" w:type="dxa"/>
            <w:vAlign w:val="center"/>
          </w:tcPr>
          <w:p w14:paraId="080D6A3E" w14:textId="77777777" w:rsidR="00B50AC3" w:rsidRPr="008B17C0" w:rsidRDefault="00B50AC3" w:rsidP="00B2088F">
            <w:pPr>
              <w:spacing w:before="60" w:after="60"/>
              <w:jc w:val="center"/>
              <w:rPr>
                <w:noProof/>
                <w:sz w:val="20"/>
              </w:rPr>
            </w:pPr>
          </w:p>
        </w:tc>
      </w:tr>
    </w:tbl>
    <w:p w14:paraId="05B36FBC" w14:textId="77777777" w:rsidR="00436363" w:rsidRPr="008B17C0" w:rsidRDefault="00436363" w:rsidP="00ED2926">
      <w:pPr>
        <w:rPr>
          <w:noProof/>
        </w:rPr>
      </w:pPr>
      <w:r w:rsidRPr="008B17C0">
        <w:rPr>
          <w:noProof/>
        </w:rPr>
        <w:t xml:space="preserve"> </w:t>
      </w:r>
      <w:r w:rsidRPr="008B17C0">
        <w:rPr>
          <w:noProof/>
        </w:rPr>
        <w:br/>
      </w:r>
    </w:p>
    <w:p w14:paraId="4FD2413C" w14:textId="7F592619" w:rsidR="00436363" w:rsidRPr="008B17C0" w:rsidRDefault="00436363" w:rsidP="003433F5">
      <w:pPr>
        <w:pStyle w:val="ManualHeading2"/>
        <w:rPr>
          <w:bCs/>
          <w:noProof/>
          <w:szCs w:val="24"/>
        </w:rPr>
      </w:pPr>
      <w:r w:rsidRPr="008B17C0">
        <w:rPr>
          <w:noProof/>
        </w:rPr>
        <w:br w:type="page"/>
      </w:r>
      <w:bookmarkStart w:id="131" w:name="_Toc514938059"/>
      <w:bookmarkStart w:id="132" w:name="_Toc520485057"/>
      <w:bookmarkStart w:id="133" w:name="_Toc84517604"/>
      <w:r w:rsidR="003433F5" w:rsidRPr="003433F5">
        <w:t>3.3.</w:t>
      </w:r>
      <w:r w:rsidR="003433F5" w:rsidRPr="003433F5">
        <w:tab/>
      </w:r>
      <w:r w:rsidRPr="008B17C0">
        <w:rPr>
          <w:noProof/>
        </w:rPr>
        <w:t>Anslåede virkninger for indtægterne</w:t>
      </w:r>
      <w:bookmarkEnd w:id="131"/>
      <w:bookmarkEnd w:id="132"/>
      <w:bookmarkEnd w:id="133"/>
      <w:r w:rsidRPr="008B17C0">
        <w:rPr>
          <w:noProof/>
        </w:rPr>
        <w:t xml:space="preserve"> </w:t>
      </w:r>
    </w:p>
    <w:p w14:paraId="501D6EA4" w14:textId="77777777" w:rsidR="000D757F" w:rsidRPr="008B17C0" w:rsidRDefault="000D757F" w:rsidP="000D757F">
      <w:pPr>
        <w:pStyle w:val="ListDash1"/>
        <w:rPr>
          <w:noProof/>
        </w:rPr>
      </w:pPr>
      <w:r w:rsidRPr="008B17C0">
        <w:rPr>
          <w:noProof/>
        </w:rPr>
        <w:sym w:font="Wingdings" w:char="F0FE"/>
      </w:r>
      <w:r w:rsidRPr="008B17C0">
        <w:rPr>
          <w:noProof/>
        </w:rPr>
        <w:tab/>
        <w:t>Forslaget/initiativet har ingen finansielle virkninger for indtægterne.</w:t>
      </w:r>
    </w:p>
    <w:p w14:paraId="142A6D3C" w14:textId="77777777" w:rsidR="000D757F" w:rsidRPr="008B17C0" w:rsidRDefault="000D757F" w:rsidP="000D757F">
      <w:pPr>
        <w:pStyle w:val="ListDash1"/>
        <w:rPr>
          <w:noProof/>
        </w:rPr>
      </w:pPr>
      <w:r w:rsidRPr="008B17C0">
        <w:rPr>
          <w:noProof/>
        </w:rPr>
        <w:sym w:font="Wingdings" w:char="F0A8"/>
      </w:r>
      <w:r w:rsidRPr="008B17C0">
        <w:rPr>
          <w:noProof/>
        </w:rPr>
        <w:tab/>
        <w:t>Forslaget/initiativet har følgende finansielle virkninger:</w:t>
      </w:r>
    </w:p>
    <w:p w14:paraId="3AAD609A" w14:textId="7474C133" w:rsidR="000D757F" w:rsidRPr="008B17C0" w:rsidRDefault="000D757F" w:rsidP="00221FF8">
      <w:pPr>
        <w:pStyle w:val="Tiret2"/>
        <w:numPr>
          <w:ilvl w:val="0"/>
          <w:numId w:val="29"/>
        </w:numPr>
        <w:rPr>
          <w:noProof/>
        </w:rPr>
      </w:pPr>
      <w:r w:rsidRPr="008B17C0">
        <w:rPr>
          <w:noProof/>
        </w:rPr>
        <w:sym w:font="Wingdings" w:char="F0A8"/>
      </w:r>
      <w:r w:rsidRPr="008B17C0">
        <w:rPr>
          <w:noProof/>
        </w:rPr>
        <w:tab/>
        <w:t xml:space="preserve">for egne indtægter </w:t>
      </w:r>
    </w:p>
    <w:p w14:paraId="285FCA90" w14:textId="23D56CEC" w:rsidR="000D757F" w:rsidRPr="008B17C0" w:rsidRDefault="000D757F" w:rsidP="003053B5">
      <w:pPr>
        <w:pStyle w:val="Tiret2"/>
        <w:rPr>
          <w:noProof/>
        </w:rPr>
      </w:pPr>
      <w:r w:rsidRPr="008B17C0">
        <w:rPr>
          <w:noProof/>
        </w:rPr>
        <w:sym w:font="Wingdings" w:char="F0A8"/>
      </w:r>
      <w:r w:rsidRPr="008B17C0">
        <w:rPr>
          <w:noProof/>
        </w:rPr>
        <w:tab/>
        <w:t xml:space="preserve">for andre indtægter </w:t>
      </w:r>
    </w:p>
    <w:p w14:paraId="7DEACF40" w14:textId="6989524F" w:rsidR="000D757F" w:rsidRPr="008B17C0" w:rsidRDefault="000D757F" w:rsidP="003053B5">
      <w:pPr>
        <w:pStyle w:val="Tiret2"/>
        <w:rPr>
          <w:noProof/>
        </w:rPr>
      </w:pPr>
      <w:r w:rsidRPr="008B17C0">
        <w:rPr>
          <w:noProof/>
        </w:rPr>
        <w:t xml:space="preserve"> </w:t>
      </w:r>
      <w:r w:rsidRPr="008B17C0">
        <w:rPr>
          <w:noProof/>
        </w:rPr>
        <w:sym w:font="Wingdings" w:char="F0A8"/>
      </w:r>
      <w:r w:rsidRPr="008B17C0">
        <w:rPr>
          <w:noProof/>
        </w:rPr>
        <w:tab/>
        <w:t xml:space="preserve">Angiv, om indtægterne er formålsbestemte </w:t>
      </w:r>
    </w:p>
    <w:p w14:paraId="341DBB65" w14:textId="77777777" w:rsidR="000D757F" w:rsidRPr="008B17C0" w:rsidRDefault="00436363" w:rsidP="00ED2926">
      <w:pPr>
        <w:ind w:left="4320"/>
        <w:rPr>
          <w:noProof/>
        </w:rPr>
      </w:pPr>
      <w:r w:rsidRPr="008B17C0">
        <w:rPr>
          <w:noProof/>
        </w:rPr>
        <w:t xml:space="preserve"> </w:t>
      </w:r>
    </w:p>
    <w:p w14:paraId="73AACFF4" w14:textId="77777777" w:rsidR="000D757F" w:rsidRPr="008B17C0" w:rsidRDefault="000D757F" w:rsidP="000D757F">
      <w:pPr>
        <w:jc w:val="right"/>
        <w:rPr>
          <w:i/>
          <w:noProof/>
          <w:sz w:val="20"/>
        </w:rPr>
      </w:pPr>
      <w:r w:rsidRPr="008B17C0">
        <w:rPr>
          <w:noProof/>
          <w:sz w:val="20"/>
        </w:rPr>
        <w:t>i mio. EUR (tre decimaler)</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rsidR="000D757F" w:rsidRPr="008B17C0" w14:paraId="1DFC6C98" w14:textId="77777777" w:rsidTr="006A0D14">
        <w:trPr>
          <w:trHeight w:val="388"/>
        </w:trPr>
        <w:tc>
          <w:tcPr>
            <w:tcW w:w="2144" w:type="dxa"/>
            <w:vMerge w:val="restart"/>
            <w:vAlign w:val="center"/>
          </w:tcPr>
          <w:p w14:paraId="7AF8C1AB" w14:textId="77777777" w:rsidR="000D757F" w:rsidRPr="008B17C0" w:rsidRDefault="000D757F" w:rsidP="000D757F">
            <w:pPr>
              <w:spacing w:before="40" w:after="40"/>
              <w:rPr>
                <w:noProof/>
                <w:sz w:val="18"/>
              </w:rPr>
            </w:pPr>
            <w:r w:rsidRPr="008B17C0">
              <w:rPr>
                <w:noProof/>
                <w:sz w:val="18"/>
              </w:rPr>
              <w:t>Indtægtspost på budgettet:</w:t>
            </w:r>
          </w:p>
        </w:tc>
        <w:tc>
          <w:tcPr>
            <w:tcW w:w="1276" w:type="dxa"/>
            <w:vMerge w:val="restart"/>
            <w:vAlign w:val="center"/>
          </w:tcPr>
          <w:p w14:paraId="342AAB0B" w14:textId="77777777" w:rsidR="000D757F" w:rsidRPr="008B17C0" w:rsidRDefault="000D757F" w:rsidP="000D757F">
            <w:pPr>
              <w:jc w:val="center"/>
              <w:rPr>
                <w:noProof/>
                <w:sz w:val="18"/>
              </w:rPr>
            </w:pPr>
            <w:r w:rsidRPr="008B17C0">
              <w:rPr>
                <w:noProof/>
                <w:sz w:val="18"/>
              </w:rPr>
              <w:t>Bevillinger til rådighed i indeværende regnskabsår</w:t>
            </w:r>
          </w:p>
        </w:tc>
        <w:tc>
          <w:tcPr>
            <w:tcW w:w="7200" w:type="dxa"/>
            <w:gridSpan w:val="7"/>
            <w:vAlign w:val="center"/>
          </w:tcPr>
          <w:p w14:paraId="63F08A74" w14:textId="77777777" w:rsidR="000D757F" w:rsidRPr="008B17C0" w:rsidRDefault="000D757F" w:rsidP="000D757F">
            <w:pPr>
              <w:jc w:val="center"/>
              <w:rPr>
                <w:noProof/>
                <w:sz w:val="18"/>
              </w:rPr>
            </w:pPr>
            <w:r w:rsidRPr="008B17C0">
              <w:rPr>
                <w:noProof/>
                <w:sz w:val="18"/>
                <w:szCs w:val="18"/>
              </w:rPr>
              <w:t>Forslagets/initiativets virkninger</w:t>
            </w:r>
            <w:r w:rsidRPr="008B17C0">
              <w:rPr>
                <w:rStyle w:val="FootnoteReference"/>
                <w:noProof/>
              </w:rPr>
              <w:footnoteReference w:id="64"/>
            </w:r>
          </w:p>
        </w:tc>
      </w:tr>
      <w:tr w:rsidR="000D757F" w:rsidRPr="008B17C0" w14:paraId="475A1BBF" w14:textId="77777777" w:rsidTr="006A0D14">
        <w:trPr>
          <w:trHeight w:val="388"/>
        </w:trPr>
        <w:tc>
          <w:tcPr>
            <w:tcW w:w="2144" w:type="dxa"/>
            <w:vMerge/>
            <w:vAlign w:val="center"/>
          </w:tcPr>
          <w:p w14:paraId="77DEBEA2" w14:textId="77777777" w:rsidR="000D757F" w:rsidRPr="008B17C0" w:rsidRDefault="000D757F" w:rsidP="000D757F">
            <w:pPr>
              <w:rPr>
                <w:noProof/>
                <w:sz w:val="18"/>
                <w:lang w:eastAsia="en-GB"/>
              </w:rPr>
            </w:pPr>
          </w:p>
        </w:tc>
        <w:tc>
          <w:tcPr>
            <w:tcW w:w="1276" w:type="dxa"/>
            <w:vMerge/>
            <w:vAlign w:val="center"/>
          </w:tcPr>
          <w:p w14:paraId="37444EA1" w14:textId="77777777" w:rsidR="000D757F" w:rsidRPr="008B17C0" w:rsidRDefault="000D757F" w:rsidP="000D757F">
            <w:pPr>
              <w:rPr>
                <w:noProof/>
                <w:sz w:val="18"/>
                <w:lang w:eastAsia="en-GB"/>
              </w:rPr>
            </w:pPr>
          </w:p>
        </w:tc>
        <w:tc>
          <w:tcPr>
            <w:tcW w:w="1080" w:type="dxa"/>
            <w:vAlign w:val="center"/>
          </w:tcPr>
          <w:p w14:paraId="5289410B" w14:textId="77777777" w:rsidR="000D757F" w:rsidRPr="008B17C0" w:rsidRDefault="000D757F" w:rsidP="000D757F">
            <w:pPr>
              <w:jc w:val="center"/>
              <w:rPr>
                <w:noProof/>
                <w:sz w:val="18"/>
              </w:rPr>
            </w:pPr>
            <w:r w:rsidRPr="008B17C0">
              <w:rPr>
                <w:noProof/>
                <w:sz w:val="18"/>
              </w:rPr>
              <w:t>År</w:t>
            </w:r>
            <w:r w:rsidRPr="008B17C0">
              <w:rPr>
                <w:noProof/>
              </w:rPr>
              <w:t xml:space="preserve"> </w:t>
            </w:r>
            <w:r w:rsidRPr="008B17C0">
              <w:rPr>
                <w:noProof/>
              </w:rPr>
              <w:br/>
            </w:r>
            <w:r w:rsidRPr="008B17C0">
              <w:rPr>
                <w:b/>
                <w:noProof/>
                <w:sz w:val="18"/>
              </w:rPr>
              <w:t>n</w:t>
            </w:r>
          </w:p>
        </w:tc>
        <w:tc>
          <w:tcPr>
            <w:tcW w:w="900" w:type="dxa"/>
            <w:vAlign w:val="center"/>
          </w:tcPr>
          <w:p w14:paraId="76911291" w14:textId="77777777" w:rsidR="000D757F" w:rsidRPr="008B17C0" w:rsidRDefault="000D757F" w:rsidP="000D757F">
            <w:pPr>
              <w:jc w:val="center"/>
              <w:rPr>
                <w:noProof/>
                <w:sz w:val="18"/>
              </w:rPr>
            </w:pPr>
            <w:r w:rsidRPr="008B17C0">
              <w:rPr>
                <w:noProof/>
                <w:sz w:val="18"/>
              </w:rPr>
              <w:t>År</w:t>
            </w:r>
            <w:r w:rsidRPr="008B17C0">
              <w:rPr>
                <w:noProof/>
              </w:rPr>
              <w:t xml:space="preserve"> </w:t>
            </w:r>
            <w:r w:rsidRPr="008B17C0">
              <w:rPr>
                <w:noProof/>
              </w:rPr>
              <w:br/>
            </w:r>
            <w:r w:rsidRPr="008B17C0">
              <w:rPr>
                <w:b/>
                <w:noProof/>
                <w:sz w:val="18"/>
              </w:rPr>
              <w:t>n+1</w:t>
            </w:r>
          </w:p>
        </w:tc>
        <w:tc>
          <w:tcPr>
            <w:tcW w:w="900" w:type="dxa"/>
            <w:vAlign w:val="center"/>
          </w:tcPr>
          <w:p w14:paraId="36824122" w14:textId="77777777" w:rsidR="000D757F" w:rsidRPr="008B17C0" w:rsidRDefault="000D757F" w:rsidP="000D757F">
            <w:pPr>
              <w:jc w:val="center"/>
              <w:rPr>
                <w:noProof/>
                <w:sz w:val="18"/>
              </w:rPr>
            </w:pPr>
            <w:r w:rsidRPr="008B17C0">
              <w:rPr>
                <w:noProof/>
                <w:sz w:val="18"/>
              </w:rPr>
              <w:t>År</w:t>
            </w:r>
            <w:r w:rsidRPr="008B17C0">
              <w:rPr>
                <w:noProof/>
              </w:rPr>
              <w:t xml:space="preserve"> </w:t>
            </w:r>
            <w:r w:rsidRPr="008B17C0">
              <w:rPr>
                <w:noProof/>
              </w:rPr>
              <w:br/>
            </w:r>
            <w:r w:rsidRPr="008B17C0">
              <w:rPr>
                <w:b/>
                <w:noProof/>
                <w:sz w:val="18"/>
              </w:rPr>
              <w:t>n+2</w:t>
            </w:r>
          </w:p>
        </w:tc>
        <w:tc>
          <w:tcPr>
            <w:tcW w:w="1080" w:type="dxa"/>
            <w:vAlign w:val="center"/>
          </w:tcPr>
          <w:p w14:paraId="3E0983F4" w14:textId="77777777" w:rsidR="000D757F" w:rsidRPr="008B17C0" w:rsidRDefault="000D757F" w:rsidP="000D757F">
            <w:pPr>
              <w:jc w:val="center"/>
              <w:rPr>
                <w:noProof/>
                <w:sz w:val="18"/>
              </w:rPr>
            </w:pPr>
            <w:r w:rsidRPr="008B17C0">
              <w:rPr>
                <w:noProof/>
                <w:sz w:val="18"/>
              </w:rPr>
              <w:t>År</w:t>
            </w:r>
            <w:r w:rsidRPr="008B17C0">
              <w:rPr>
                <w:noProof/>
              </w:rPr>
              <w:t xml:space="preserve"> </w:t>
            </w:r>
            <w:r w:rsidRPr="008B17C0">
              <w:rPr>
                <w:noProof/>
              </w:rPr>
              <w:br/>
            </w:r>
            <w:r w:rsidRPr="008B17C0">
              <w:rPr>
                <w:b/>
                <w:noProof/>
                <w:sz w:val="18"/>
              </w:rPr>
              <w:t>n+3</w:t>
            </w:r>
          </w:p>
        </w:tc>
        <w:tc>
          <w:tcPr>
            <w:tcW w:w="3240" w:type="dxa"/>
            <w:gridSpan w:val="3"/>
            <w:vAlign w:val="center"/>
          </w:tcPr>
          <w:p w14:paraId="0E17EFE0" w14:textId="77777777" w:rsidR="000D757F" w:rsidRPr="008B17C0" w:rsidRDefault="000D757F" w:rsidP="000D757F">
            <w:pPr>
              <w:jc w:val="center"/>
              <w:rPr>
                <w:b/>
                <w:noProof/>
                <w:sz w:val="18"/>
              </w:rPr>
            </w:pPr>
            <w:r w:rsidRPr="008B17C0">
              <w:rPr>
                <w:noProof/>
                <w:sz w:val="18"/>
              </w:rPr>
              <w:t>Indsæt så mange år som nødvendigt for at vise virkningernes varighed (jf. punkt 1.6)</w:t>
            </w:r>
          </w:p>
        </w:tc>
      </w:tr>
      <w:tr w:rsidR="000D757F" w:rsidRPr="008B17C0" w14:paraId="1B1915B9" w14:textId="77777777" w:rsidTr="006A0D14">
        <w:trPr>
          <w:trHeight w:val="388"/>
        </w:trPr>
        <w:tc>
          <w:tcPr>
            <w:tcW w:w="2144" w:type="dxa"/>
            <w:vAlign w:val="center"/>
          </w:tcPr>
          <w:p w14:paraId="66E75124" w14:textId="77777777" w:rsidR="000D757F" w:rsidRPr="008B17C0" w:rsidRDefault="000D757F" w:rsidP="000D757F">
            <w:pPr>
              <w:spacing w:before="40" w:after="40"/>
              <w:rPr>
                <w:noProof/>
                <w:sz w:val="18"/>
              </w:rPr>
            </w:pPr>
            <w:r w:rsidRPr="008B17C0">
              <w:rPr>
                <w:noProof/>
                <w:sz w:val="18"/>
              </w:rPr>
              <w:t>Artikel …</w:t>
            </w:r>
          </w:p>
        </w:tc>
        <w:tc>
          <w:tcPr>
            <w:tcW w:w="1276" w:type="dxa"/>
          </w:tcPr>
          <w:p w14:paraId="5320BB5A" w14:textId="77777777" w:rsidR="000D757F" w:rsidRPr="008B17C0" w:rsidRDefault="000D757F" w:rsidP="000D757F">
            <w:pPr>
              <w:spacing w:beforeLines="40" w:before="96" w:afterLines="40" w:after="96"/>
              <w:jc w:val="center"/>
              <w:rPr>
                <w:i/>
                <w:noProof/>
                <w:sz w:val="18"/>
                <w:lang w:eastAsia="en-GB"/>
              </w:rPr>
            </w:pPr>
          </w:p>
        </w:tc>
        <w:tc>
          <w:tcPr>
            <w:tcW w:w="1080" w:type="dxa"/>
          </w:tcPr>
          <w:p w14:paraId="29C04D67" w14:textId="77777777" w:rsidR="000D757F" w:rsidRPr="008B17C0" w:rsidRDefault="000D757F" w:rsidP="000D757F">
            <w:pPr>
              <w:spacing w:beforeLines="40" w:before="96" w:afterLines="40" w:after="96"/>
              <w:jc w:val="center"/>
              <w:rPr>
                <w:noProof/>
                <w:sz w:val="18"/>
                <w:lang w:eastAsia="en-GB"/>
              </w:rPr>
            </w:pPr>
          </w:p>
        </w:tc>
        <w:tc>
          <w:tcPr>
            <w:tcW w:w="900" w:type="dxa"/>
          </w:tcPr>
          <w:p w14:paraId="51663CDD" w14:textId="77777777" w:rsidR="000D757F" w:rsidRPr="008B17C0" w:rsidRDefault="000D757F" w:rsidP="000D757F">
            <w:pPr>
              <w:spacing w:beforeLines="40" w:before="96" w:afterLines="40" w:after="96"/>
              <w:jc w:val="center"/>
              <w:rPr>
                <w:noProof/>
                <w:sz w:val="18"/>
                <w:lang w:eastAsia="en-GB"/>
              </w:rPr>
            </w:pPr>
          </w:p>
        </w:tc>
        <w:tc>
          <w:tcPr>
            <w:tcW w:w="900" w:type="dxa"/>
          </w:tcPr>
          <w:p w14:paraId="5A39B8F5" w14:textId="77777777" w:rsidR="000D757F" w:rsidRPr="008B17C0" w:rsidRDefault="000D757F" w:rsidP="000D757F">
            <w:pPr>
              <w:spacing w:beforeLines="40" w:before="96" w:afterLines="40" w:after="96"/>
              <w:jc w:val="center"/>
              <w:rPr>
                <w:noProof/>
                <w:sz w:val="18"/>
                <w:lang w:eastAsia="en-GB"/>
              </w:rPr>
            </w:pPr>
          </w:p>
        </w:tc>
        <w:tc>
          <w:tcPr>
            <w:tcW w:w="1080" w:type="dxa"/>
          </w:tcPr>
          <w:p w14:paraId="73798490" w14:textId="77777777" w:rsidR="000D757F" w:rsidRPr="008B17C0" w:rsidRDefault="000D757F" w:rsidP="000D757F">
            <w:pPr>
              <w:spacing w:beforeLines="40" w:before="96" w:afterLines="40" w:after="96"/>
              <w:jc w:val="center"/>
              <w:rPr>
                <w:noProof/>
                <w:sz w:val="18"/>
                <w:lang w:eastAsia="en-GB"/>
              </w:rPr>
            </w:pPr>
          </w:p>
        </w:tc>
        <w:tc>
          <w:tcPr>
            <w:tcW w:w="1080" w:type="dxa"/>
          </w:tcPr>
          <w:p w14:paraId="17DF884B" w14:textId="77777777" w:rsidR="000D757F" w:rsidRPr="008B17C0" w:rsidRDefault="000D757F" w:rsidP="000D757F">
            <w:pPr>
              <w:spacing w:beforeLines="40" w:before="96" w:afterLines="40" w:after="96"/>
              <w:jc w:val="center"/>
              <w:rPr>
                <w:noProof/>
                <w:sz w:val="18"/>
                <w:lang w:eastAsia="en-GB"/>
              </w:rPr>
            </w:pPr>
          </w:p>
        </w:tc>
        <w:tc>
          <w:tcPr>
            <w:tcW w:w="1080" w:type="dxa"/>
          </w:tcPr>
          <w:p w14:paraId="757C6203" w14:textId="77777777" w:rsidR="000D757F" w:rsidRPr="008B17C0" w:rsidRDefault="000D757F" w:rsidP="000D757F">
            <w:pPr>
              <w:spacing w:beforeLines="40" w:before="96" w:afterLines="40" w:after="96"/>
              <w:jc w:val="center"/>
              <w:rPr>
                <w:noProof/>
                <w:sz w:val="18"/>
                <w:lang w:eastAsia="en-GB"/>
              </w:rPr>
            </w:pPr>
          </w:p>
        </w:tc>
        <w:tc>
          <w:tcPr>
            <w:tcW w:w="1080" w:type="dxa"/>
          </w:tcPr>
          <w:p w14:paraId="3FC8F2D8" w14:textId="77777777" w:rsidR="000D757F" w:rsidRPr="008B17C0" w:rsidRDefault="000D757F" w:rsidP="000D757F">
            <w:pPr>
              <w:spacing w:beforeLines="40" w:before="96" w:afterLines="40" w:after="96"/>
              <w:jc w:val="center"/>
              <w:rPr>
                <w:noProof/>
                <w:sz w:val="18"/>
                <w:lang w:eastAsia="en-GB"/>
              </w:rPr>
            </w:pPr>
          </w:p>
        </w:tc>
      </w:tr>
    </w:tbl>
    <w:p w14:paraId="2C631819" w14:textId="77777777" w:rsidR="000D757F" w:rsidRPr="008B17C0" w:rsidRDefault="000D757F">
      <w:pPr>
        <w:ind w:left="850"/>
        <w:rPr>
          <w:noProof/>
          <w:sz w:val="20"/>
          <w:szCs w:val="20"/>
        </w:rPr>
      </w:pPr>
      <w:r w:rsidRPr="008B17C0">
        <w:rPr>
          <w:noProof/>
          <w:sz w:val="20"/>
          <w:szCs w:val="20"/>
        </w:rPr>
        <w:t>For indtægter, der er formålsbestemte, angives det, hvilke af budgettets udgiftsposter der berøres.</w:t>
      </w:r>
    </w:p>
    <w:p w14:paraId="70A05244" w14:textId="77777777" w:rsidR="000D757F" w:rsidRPr="008B17C0" w:rsidRDefault="000D757F" w:rsidP="000D757F">
      <w:pPr>
        <w:pBdr>
          <w:top w:val="single" w:sz="4" w:space="1" w:color="auto"/>
          <w:left w:val="single" w:sz="4" w:space="4" w:color="auto"/>
          <w:bottom w:val="single" w:sz="4" w:space="1" w:color="auto"/>
          <w:right w:val="single" w:sz="4" w:space="4" w:color="auto"/>
        </w:pBdr>
        <w:ind w:left="850"/>
        <w:rPr>
          <w:noProof/>
        </w:rPr>
      </w:pPr>
      <w:r w:rsidRPr="008B17C0">
        <w:rPr>
          <w:noProof/>
          <w:color w:val="0000FF"/>
        </w:rPr>
        <w:t>[…]</w:t>
      </w:r>
    </w:p>
    <w:p w14:paraId="5180FD14" w14:textId="77777777" w:rsidR="000D757F" w:rsidRPr="008B17C0" w:rsidRDefault="000D757F">
      <w:pPr>
        <w:ind w:left="850"/>
        <w:rPr>
          <w:noProof/>
          <w:sz w:val="20"/>
          <w:szCs w:val="20"/>
        </w:rPr>
      </w:pPr>
      <w:r w:rsidRPr="008B17C0">
        <w:rPr>
          <w:noProof/>
          <w:sz w:val="20"/>
          <w:szCs w:val="20"/>
        </w:rPr>
        <w:t>Det angives, hvilken metode, der er benyttet til at beregne virkningerne for</w:t>
      </w:r>
      <w:r w:rsidRPr="008B17C0">
        <w:rPr>
          <w:noProof/>
          <w:sz w:val="20"/>
          <w:szCs w:val="20"/>
        </w:rPr>
        <w:cr/>
      </w:r>
      <w:r w:rsidRPr="008B17C0">
        <w:rPr>
          <w:noProof/>
          <w:sz w:val="20"/>
          <w:szCs w:val="20"/>
        </w:rPr>
        <w:br/>
        <w:t>indtægterne.</w:t>
      </w:r>
    </w:p>
    <w:p w14:paraId="5C79C434" w14:textId="77777777" w:rsidR="000D757F" w:rsidRPr="008B17C0" w:rsidRDefault="000D757F" w:rsidP="000D757F">
      <w:pPr>
        <w:pBdr>
          <w:top w:val="single" w:sz="4" w:space="1" w:color="auto"/>
          <w:left w:val="single" w:sz="4" w:space="4" w:color="auto"/>
          <w:bottom w:val="single" w:sz="4" w:space="1" w:color="auto"/>
          <w:right w:val="single" w:sz="4" w:space="4" w:color="auto"/>
        </w:pBdr>
        <w:ind w:left="850"/>
        <w:rPr>
          <w:noProof/>
        </w:rPr>
      </w:pPr>
      <w:r w:rsidRPr="008B17C0">
        <w:rPr>
          <w:noProof/>
          <w:color w:val="0000FF"/>
        </w:rPr>
        <w:t>[…]</w:t>
      </w:r>
    </w:p>
    <w:p w14:paraId="4668D3DC" w14:textId="77777777" w:rsidR="00436363" w:rsidRPr="008B17C0" w:rsidRDefault="00436363" w:rsidP="000D757F">
      <w:pPr>
        <w:ind w:left="4320"/>
        <w:rPr>
          <w:noProof/>
        </w:rPr>
      </w:pPr>
      <w:r w:rsidRPr="008B17C0">
        <w:rPr>
          <w:noProof/>
        </w:rPr>
        <w:t xml:space="preserve"> </w:t>
      </w:r>
    </w:p>
    <w:sectPr w:rsidR="00436363" w:rsidRPr="008B17C0" w:rsidSect="00EA3F52">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53443" w14:textId="77777777" w:rsidR="00CF260E" w:rsidRDefault="00CF260E" w:rsidP="00EB0A3C">
      <w:pPr>
        <w:spacing w:before="0" w:after="0"/>
      </w:pPr>
      <w:r>
        <w:separator/>
      </w:r>
    </w:p>
  </w:endnote>
  <w:endnote w:type="continuationSeparator" w:id="0">
    <w:p w14:paraId="1317F061" w14:textId="77777777" w:rsidR="00CF260E" w:rsidRDefault="00CF260E" w:rsidP="00EB0A3C">
      <w:pPr>
        <w:spacing w:before="0" w:after="0"/>
      </w:pPr>
      <w:r>
        <w:continuationSeparator/>
      </w:r>
    </w:p>
  </w:endnote>
  <w:endnote w:type="continuationNotice" w:id="1">
    <w:p w14:paraId="397A73F2" w14:textId="77777777" w:rsidR="00CF260E" w:rsidRDefault="00CF260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73577" w14:textId="313EF08F" w:rsidR="00CF260E" w:rsidRPr="00EA3F52" w:rsidRDefault="00EA3F52" w:rsidP="00EA3F52">
    <w:pPr>
      <w:pStyle w:val="Footer"/>
      <w:rPr>
        <w:rFonts w:ascii="Arial" w:hAnsi="Arial" w:cs="Arial"/>
        <w:b/>
        <w:sz w:val="48"/>
      </w:rPr>
    </w:pPr>
    <w:r w:rsidRPr="00EA3F52">
      <w:rPr>
        <w:rFonts w:ascii="Arial" w:hAnsi="Arial" w:cs="Arial"/>
        <w:b/>
        <w:sz w:val="48"/>
      </w:rPr>
      <w:t>DA</w:t>
    </w:r>
    <w:r w:rsidRPr="00EA3F52">
      <w:rPr>
        <w:rFonts w:ascii="Arial" w:hAnsi="Arial" w:cs="Arial"/>
        <w:b/>
        <w:sz w:val="48"/>
      </w:rPr>
      <w:tab/>
    </w:r>
    <w:r w:rsidRPr="00EA3F52">
      <w:rPr>
        <w:rFonts w:ascii="Arial" w:hAnsi="Arial" w:cs="Arial"/>
        <w:b/>
        <w:sz w:val="48"/>
      </w:rPr>
      <w:tab/>
    </w:r>
    <w:r w:rsidRPr="00EA3F52">
      <w:tab/>
    </w:r>
    <w:r w:rsidRPr="00EA3F52">
      <w:rPr>
        <w:rFonts w:ascii="Arial" w:hAnsi="Arial" w:cs="Arial"/>
        <w:b/>
        <w:sz w:val="48"/>
      </w:rPr>
      <w:t>DA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B2AFE" w14:textId="76630E11" w:rsidR="00EA3F52" w:rsidRPr="00EA3F52" w:rsidRDefault="00EA3F52" w:rsidP="00EA3F52">
    <w:pPr>
      <w:pStyle w:val="Footer"/>
      <w:rPr>
        <w:rFonts w:ascii="Arial" w:hAnsi="Arial" w:cs="Arial"/>
        <w:b/>
        <w:sz w:val="48"/>
      </w:rPr>
    </w:pPr>
    <w:r w:rsidRPr="00EA3F52">
      <w:rPr>
        <w:rFonts w:ascii="Arial" w:hAnsi="Arial" w:cs="Arial"/>
        <w:b/>
        <w:sz w:val="48"/>
      </w:rPr>
      <w:t>DA</w:t>
    </w:r>
    <w:r w:rsidRPr="00EA3F52">
      <w:rPr>
        <w:rFonts w:ascii="Arial" w:hAnsi="Arial" w:cs="Arial"/>
        <w:b/>
        <w:sz w:val="48"/>
      </w:rPr>
      <w:tab/>
    </w:r>
    <w:r>
      <w:fldChar w:fldCharType="begin"/>
    </w:r>
    <w:r>
      <w:instrText xml:space="preserve"> PAGE  \* MERGEFORMAT </w:instrText>
    </w:r>
    <w:r>
      <w:fldChar w:fldCharType="separate"/>
    </w:r>
    <w:r w:rsidR="003302AF">
      <w:rPr>
        <w:noProof/>
      </w:rPr>
      <w:t>24</w:t>
    </w:r>
    <w:r>
      <w:fldChar w:fldCharType="end"/>
    </w:r>
    <w:r>
      <w:tab/>
    </w:r>
    <w:r w:rsidRPr="00EA3F52">
      <w:tab/>
    </w:r>
    <w:r w:rsidRPr="00EA3F52">
      <w:rPr>
        <w:rFonts w:ascii="Arial" w:hAnsi="Arial" w:cs="Arial"/>
        <w:b/>
        <w:sz w:val="48"/>
      </w:rPr>
      <w:t>DA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4AFC3" w14:textId="77777777" w:rsidR="00EA3F52" w:rsidRPr="00EA3F52" w:rsidRDefault="00EA3F52" w:rsidP="00EA3F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3852B" w14:textId="512AE7D9" w:rsidR="00EA3F52" w:rsidRPr="00EA3F52" w:rsidRDefault="00EA3F52" w:rsidP="00EA3F52">
    <w:pPr>
      <w:pStyle w:val="FooterLandscape"/>
      <w:rPr>
        <w:rFonts w:ascii="Arial" w:hAnsi="Arial" w:cs="Arial"/>
        <w:b/>
        <w:sz w:val="48"/>
      </w:rPr>
    </w:pPr>
    <w:r w:rsidRPr="00EA3F52">
      <w:rPr>
        <w:rFonts w:ascii="Arial" w:hAnsi="Arial" w:cs="Arial"/>
        <w:b/>
        <w:sz w:val="48"/>
      </w:rPr>
      <w:t>DA</w:t>
    </w:r>
    <w:r w:rsidRPr="00EA3F52">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EA3F52">
      <w:tab/>
    </w:r>
    <w:r w:rsidRPr="00EA3F52">
      <w:rPr>
        <w:rFonts w:ascii="Arial" w:hAnsi="Arial" w:cs="Arial"/>
        <w:b/>
        <w:sz w:val="48"/>
      </w:rPr>
      <w:t>DA</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AFADD" w14:textId="77777777" w:rsidR="00EA3F52" w:rsidRPr="00EA3F52" w:rsidRDefault="00EA3F52" w:rsidP="00EA3F52">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A5D98" w14:textId="11D54B32" w:rsidR="005E020D" w:rsidRPr="00EA3F52" w:rsidRDefault="00EA3F52" w:rsidP="00EA3F52">
    <w:pPr>
      <w:pStyle w:val="Footer"/>
      <w:rPr>
        <w:rFonts w:ascii="Arial" w:hAnsi="Arial" w:cs="Arial"/>
        <w:b/>
        <w:sz w:val="48"/>
      </w:rPr>
    </w:pPr>
    <w:r w:rsidRPr="00EA3F52">
      <w:rPr>
        <w:rFonts w:ascii="Arial" w:hAnsi="Arial" w:cs="Arial"/>
        <w:b/>
        <w:sz w:val="48"/>
      </w:rPr>
      <w:t>DA</w:t>
    </w:r>
    <w:r w:rsidRPr="00EA3F52">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EA3F52">
      <w:tab/>
    </w:r>
    <w:r w:rsidRPr="00EA3F52">
      <w:rPr>
        <w:rFonts w:ascii="Arial" w:hAnsi="Arial" w:cs="Arial"/>
        <w:b/>
        <w:sz w:val="48"/>
      </w:rPr>
      <w:t>DA</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86C48" w14:textId="77777777" w:rsidR="00EA3F52" w:rsidRPr="00EA3F52" w:rsidRDefault="00EA3F52" w:rsidP="00EA3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67A3F" w14:textId="77777777" w:rsidR="00CF260E" w:rsidRDefault="00CF260E" w:rsidP="00EB0A3C">
      <w:pPr>
        <w:spacing w:before="0" w:after="0"/>
      </w:pPr>
      <w:r>
        <w:separator/>
      </w:r>
    </w:p>
  </w:footnote>
  <w:footnote w:type="continuationSeparator" w:id="0">
    <w:p w14:paraId="0ECA9635" w14:textId="77777777" w:rsidR="00CF260E" w:rsidRDefault="00CF260E" w:rsidP="00EB0A3C">
      <w:pPr>
        <w:spacing w:before="0" w:after="0"/>
      </w:pPr>
      <w:r>
        <w:continuationSeparator/>
      </w:r>
    </w:p>
  </w:footnote>
  <w:footnote w:type="continuationNotice" w:id="1">
    <w:p w14:paraId="1833241A" w14:textId="77777777" w:rsidR="00CF260E" w:rsidRDefault="00CF260E">
      <w:pPr>
        <w:spacing w:before="0" w:after="0"/>
      </w:pPr>
    </w:p>
  </w:footnote>
  <w:footnote w:id="2">
    <w:p w14:paraId="10445622" w14:textId="77777777" w:rsidR="00CF260E" w:rsidRPr="008B17C0" w:rsidRDefault="00CF260E">
      <w:pPr>
        <w:pStyle w:val="FootnoteText"/>
      </w:pPr>
      <w:r>
        <w:rPr>
          <w:rStyle w:val="FootnoteReference"/>
        </w:rPr>
        <w:footnoteRef/>
      </w:r>
      <w:r w:rsidRPr="008B17C0">
        <w:tab/>
        <w:t>Rådets afgørelse 2005/671/RIA af 20. september 2005 om udveksling af oplysninger og samarbejde vedrørende terrorhandlinger (EUT L 253 af 29.9.2005, s. 22).</w:t>
      </w:r>
    </w:p>
  </w:footnote>
  <w:footnote w:id="3">
    <w:p w14:paraId="14F51C2C" w14:textId="79E600FD" w:rsidR="00CF260E" w:rsidRPr="008B17C0" w:rsidRDefault="00CF260E">
      <w:pPr>
        <w:pStyle w:val="FootnoteText"/>
      </w:pPr>
      <w:r>
        <w:rPr>
          <w:rStyle w:val="FootnoteReference"/>
        </w:rPr>
        <w:footnoteRef/>
      </w:r>
      <w:r w:rsidRPr="008B17C0">
        <w:tab/>
        <w:t>Europol er EU's retshåndhævende agentur. Europol støtter de retshåndhævende myndigheder i hele EU i forbindelse med kriminalitetsbekæmpelse på alle de områder, der er omfattet af Europols mandat.</w:t>
      </w:r>
    </w:p>
  </w:footnote>
  <w:footnote w:id="4">
    <w:p w14:paraId="28A900B0" w14:textId="77777777" w:rsidR="00CF260E" w:rsidRPr="008B17C0" w:rsidRDefault="00CF260E" w:rsidP="00FC00B8">
      <w:pPr>
        <w:pStyle w:val="FootnoteText"/>
      </w:pPr>
      <w:r>
        <w:rPr>
          <w:rStyle w:val="FootnoteReference"/>
        </w:rPr>
        <w:footnoteRef/>
      </w:r>
      <w:r w:rsidRPr="008B17C0">
        <w:tab/>
        <w:t>Europa-Parlamentets og Rådets direktiv (EU) 2017/541 af 15. marts 2017 om bekæmpelse af terrorisme og om erstatning af Rådets rammeafgørelse 2002/475/RIA og ændring af Rådets afgørelse 2005/671/RIA (EUT L 88 af 31.3.2017, s. 6).</w:t>
      </w:r>
    </w:p>
  </w:footnote>
  <w:footnote w:id="5">
    <w:p w14:paraId="413AD453" w14:textId="7EA84647" w:rsidR="00CF260E" w:rsidRPr="0008003B" w:rsidRDefault="00CF260E" w:rsidP="00EB73F6">
      <w:pPr>
        <w:pStyle w:val="FootnoteText"/>
        <w:rPr>
          <w:lang w:val="en-IE"/>
        </w:rPr>
      </w:pPr>
      <w:r>
        <w:rPr>
          <w:rStyle w:val="FootnoteReference"/>
        </w:rPr>
        <w:footnoteRef/>
      </w:r>
      <w:r w:rsidRPr="0008003B">
        <w:rPr>
          <w:lang w:val="en-IE"/>
        </w:rPr>
        <w:tab/>
        <w:t xml:space="preserve">Cross-border Digital Criminal Justice, Final Report, </w:t>
      </w:r>
      <w:hyperlink r:id="rId1" w:history="1">
        <w:r w:rsidRPr="0008003B">
          <w:rPr>
            <w:rStyle w:val="Hyperlink"/>
            <w:lang w:val="en-IE"/>
          </w:rPr>
          <w:t>https://op.europa.eu/da/publication-detail/-/publication/e38795b5-f633-11ea-991b-01aa75ed71a1/language-en</w:t>
        </w:r>
      </w:hyperlink>
      <w:r w:rsidRPr="0008003B">
        <w:rPr>
          <w:lang w:val="en-IE"/>
        </w:rPr>
        <w:t>.</w:t>
      </w:r>
    </w:p>
  </w:footnote>
  <w:footnote w:id="6">
    <w:p w14:paraId="7A6C51AA" w14:textId="77777777" w:rsidR="00CF260E" w:rsidRPr="008B17C0" w:rsidRDefault="00CF260E" w:rsidP="003C7DDE">
      <w:pPr>
        <w:pStyle w:val="FootnoteText"/>
      </w:pPr>
      <w:r>
        <w:rPr>
          <w:rStyle w:val="FootnoteReference"/>
        </w:rPr>
        <w:footnoteRef/>
      </w:r>
      <w:r w:rsidRPr="008B17C0">
        <w:tab/>
        <w:t>Europa-Parlamentets og Rådets forordning (EU) 2018/1727 af 14. november 2018 om Den Europæiske Unions Agentur for Strafferetligt Samarbejde (Eurojust), og om erstatning og ophævelse af Rådets afgørelse 2002/187/RIA (EUT L 295 af 21.11.2018, s. 138).</w:t>
      </w:r>
    </w:p>
  </w:footnote>
  <w:footnote w:id="7">
    <w:p w14:paraId="2885D414" w14:textId="6E945E66" w:rsidR="00CF260E" w:rsidRPr="008B17C0" w:rsidRDefault="00CF260E" w:rsidP="0018409A">
      <w:pPr>
        <w:pStyle w:val="FootnoteText"/>
      </w:pPr>
      <w:r>
        <w:rPr>
          <w:rStyle w:val="FootnoteReference"/>
        </w:rPr>
        <w:footnoteRef/>
      </w:r>
      <w:r w:rsidRPr="008B17C0">
        <w:tab/>
        <w:t xml:space="preserve">Jf. Eurojustforordningens artikel 23, stk. 1. </w:t>
      </w:r>
    </w:p>
  </w:footnote>
  <w:footnote w:id="8">
    <w:p w14:paraId="3125DDB5" w14:textId="1B5C62D4" w:rsidR="00CF260E" w:rsidRPr="008B17C0" w:rsidRDefault="00CF260E" w:rsidP="00183611">
      <w:pPr>
        <w:pStyle w:val="FootnoteText"/>
      </w:pPr>
      <w:r>
        <w:rPr>
          <w:rStyle w:val="FootnoteReference"/>
        </w:rPr>
        <w:footnoteRef/>
      </w:r>
      <w:r w:rsidRPr="008B17C0">
        <w:tab/>
        <w:t xml:space="preserve">Jf. Eurojustforordningens artikel 23, stk. 6. </w:t>
      </w:r>
    </w:p>
  </w:footnote>
  <w:footnote w:id="9">
    <w:p w14:paraId="14B72573" w14:textId="5A1E40C9" w:rsidR="00CF260E" w:rsidRPr="008B17C0" w:rsidRDefault="00CF260E">
      <w:pPr>
        <w:pStyle w:val="FootnoteText"/>
      </w:pPr>
      <w:r>
        <w:rPr>
          <w:rStyle w:val="FootnoteReference"/>
        </w:rPr>
        <w:footnoteRef/>
      </w:r>
      <w:r w:rsidRPr="008B17C0">
        <w:tab/>
        <w:t>Der er indgået samarbejdsaftaler mellem Eurojust og Albanien, Montenegro, Nordmakedonien, Serbien, Georgien, Island, Liechtenstein, Moldova, Norge, Schweiz, Ukraine og USA. Eurojust har indgået en anden samarbejdsaftale med Danmark, som ikke er medlem af Eurojust i overensstemmelse med protokol nr. 22 til Lissabontraktaten. Anden del, afsnit IV, i Handels- og samarbejdsaftale mellem Den Europæiske Union og Det Europæiske Atomenergifællesskab på den ene side og Det Forenede Kongerige Storbritannien og Nordirland på den anden side indeholder også bestemmelser om det fremtidige samarbejde mellem Det Forenede Kongeriges nationale myndigheder og Eurojust.</w:t>
      </w:r>
    </w:p>
  </w:footnote>
  <w:footnote w:id="10">
    <w:p w14:paraId="12559255" w14:textId="77777777" w:rsidR="00CF260E" w:rsidRPr="008B17C0" w:rsidRDefault="00CF260E">
      <w:pPr>
        <w:pStyle w:val="FootnoteText"/>
      </w:pPr>
      <w:r>
        <w:rPr>
          <w:rStyle w:val="FootnoteReference"/>
        </w:rPr>
        <w:footnoteRef/>
      </w:r>
      <w:r w:rsidRPr="008B17C0">
        <w:tab/>
        <w:t>Kommissionens meddelelse om digitalisering af retsvæsenet i Den Europæiske Union — En værktøjskasse fuld af muligheder (COM(2020) 710 final af 2.12.2020).</w:t>
      </w:r>
    </w:p>
  </w:footnote>
  <w:footnote w:id="11">
    <w:p w14:paraId="73765D7D" w14:textId="60404E30" w:rsidR="00CF260E" w:rsidRPr="008B17C0" w:rsidRDefault="00CF260E">
      <w:pPr>
        <w:pStyle w:val="FootnoteText"/>
      </w:pPr>
      <w:r>
        <w:rPr>
          <w:rStyle w:val="FootnoteReference"/>
        </w:rPr>
        <w:footnoteRef/>
      </w:r>
      <w:r w:rsidRPr="008B17C0">
        <w:tab/>
        <w:t>e-CODEX er en softwarepakke, der muliggør forbindelse mellem nationale systemer, så brugere såsom retslige myndigheder, retsvæsenets aktører og medlemmer af offentligheden kan sende og modtage dokumenter, retlige former, bevismateriale og andre oplysninger på en hurtig og sikker måde. e-CODEX anvendes allerede af det digitale system for elektronisk udveksling af bevismateriale (eEDES) og visse pilotprojekter. For at sikre dets langsigtede bæredygtighed har Kommissionen vedtaget et forslag om at overdrage videreudviklingen og vedligeholdelsen af e-CODEX til Den Europæiske Unions Agentur for den Operationelle Forvaltning af Store IT-Systemer inden for Området med Frihed, Sikkerhed og Retfærdighed (eu-LISA).</w:t>
      </w:r>
    </w:p>
  </w:footnote>
  <w:footnote w:id="12">
    <w:p w14:paraId="10D4E7C5" w14:textId="2069AB1F" w:rsidR="00CF260E" w:rsidRPr="008B17C0" w:rsidRDefault="00CF260E">
      <w:pPr>
        <w:pStyle w:val="FootnoteText"/>
      </w:pPr>
      <w:r>
        <w:rPr>
          <w:rStyle w:val="FootnoteReference"/>
        </w:rPr>
        <w:footnoteRef/>
      </w:r>
      <w:r w:rsidRPr="008B17C0">
        <w:tab/>
        <w:t>Kommissionens arbejdsprogram 2021 En Union med ny vitalitet i en skrøbelig verden (COM(2020) 690 final).</w:t>
      </w:r>
    </w:p>
  </w:footnote>
  <w:footnote w:id="13">
    <w:p w14:paraId="4C07DB6B" w14:textId="3DECB0FA" w:rsidR="00CF260E" w:rsidRPr="008B17C0" w:rsidRDefault="00CF260E">
      <w:pPr>
        <w:pStyle w:val="FootnoteText"/>
      </w:pPr>
      <w:r>
        <w:rPr>
          <w:rStyle w:val="FootnoteReference"/>
        </w:rPr>
        <w:footnoteRef/>
      </w:r>
      <w:r w:rsidRPr="008B17C0">
        <w:tab/>
        <w:t>Forslag til Europa-Parlamentets og Rådets direktiv […/…] om ændring af Rådets afgørelse 2005/671/RIA for så vidt angår tilpasning til EU-reglerne om beskyttelse af personoplysninger (EUT L...).</w:t>
      </w:r>
    </w:p>
  </w:footnote>
  <w:footnote w:id="14">
    <w:p w14:paraId="34E8CC7B" w14:textId="77777777" w:rsidR="00CF260E" w:rsidRPr="008B17C0" w:rsidRDefault="00CF260E" w:rsidP="00F0090D">
      <w:pPr>
        <w:pStyle w:val="FootnoteText"/>
      </w:pPr>
      <w:r>
        <w:rPr>
          <w:rStyle w:val="FootnoteReference"/>
        </w:rPr>
        <w:footnoteRef/>
      </w:r>
      <w:r w:rsidRPr="008B17C0">
        <w:tab/>
        <w:t>Europa-Parlamentets og Rådets direktiv (EU) 2016/680 af 27. april 2016 om beskyttelse af fysiske personer i forbindelse med kompetente myndigheders behandling af personoplysninger med henblik på at forebygge, efterforske, afsløre eller retsforfølge strafbare handlinger eller fuldbyrde strafferetlige sanktioner og om fri udveksling af sådanne oplysninger og om ophævelse af Rådets rammeafgørelse 2008/977/RIA (EUT L 119 af 4.5.2016, s. 89).</w:t>
      </w:r>
    </w:p>
  </w:footnote>
  <w:footnote w:id="15">
    <w:p w14:paraId="77DB70FC" w14:textId="2162DD53" w:rsidR="00CF260E" w:rsidRPr="008B17C0" w:rsidRDefault="00CF260E">
      <w:pPr>
        <w:pStyle w:val="FootnoteText"/>
      </w:pPr>
      <w:r>
        <w:rPr>
          <w:rStyle w:val="FootnoteReference"/>
        </w:rPr>
        <w:footnoteRef/>
      </w:r>
      <w:r w:rsidRPr="008B17C0">
        <w:tab/>
        <w:t>Meddelelse fra Kommissionen om strategien for EU's sikkerhedsunion (COM/2020/605 final).</w:t>
      </w:r>
    </w:p>
  </w:footnote>
  <w:footnote w:id="16">
    <w:p w14:paraId="388A76E6" w14:textId="68D185F4" w:rsidR="00CF260E" w:rsidRPr="008B17C0" w:rsidRDefault="00CF260E">
      <w:pPr>
        <w:pStyle w:val="FootnoteText"/>
      </w:pPr>
      <w:r>
        <w:rPr>
          <w:rStyle w:val="FootnoteReference"/>
        </w:rPr>
        <w:footnoteRef/>
      </w:r>
      <w:r w:rsidRPr="008B17C0">
        <w:tab/>
        <w:t>Meddelelse fra Kommissionen om en dagsorden for bekæmpelse af terrorisme i EU: foregribe, forebygge, beskytte, reagere (COM(2020) 795 final).</w:t>
      </w:r>
    </w:p>
  </w:footnote>
  <w:footnote w:id="17">
    <w:p w14:paraId="33001911" w14:textId="490CC273" w:rsidR="00CF260E" w:rsidRPr="008B17C0" w:rsidRDefault="00CF260E">
      <w:pPr>
        <w:pStyle w:val="FootnoteText"/>
      </w:pPr>
      <w:r>
        <w:rPr>
          <w:rStyle w:val="FootnoteReference"/>
        </w:rPr>
        <w:footnoteRef/>
      </w:r>
      <w:r w:rsidRPr="008B17C0">
        <w:tab/>
        <w:t>Meddelelse fra Kommissionen om en EU-strategi til bekæmpelse af organiseret kriminalitet 2021-2025 (COM(2021) 170 final).</w:t>
      </w:r>
    </w:p>
  </w:footnote>
  <w:footnote w:id="18">
    <w:p w14:paraId="25CE6DE7" w14:textId="199CBCF6" w:rsidR="00CF260E" w:rsidRPr="008B17C0" w:rsidRDefault="00CF260E">
      <w:pPr>
        <w:pStyle w:val="FootnoteText"/>
      </w:pPr>
      <w:r>
        <w:rPr>
          <w:rStyle w:val="FootnoteReference"/>
        </w:rPr>
        <w:footnoteRef/>
      </w:r>
      <w:r w:rsidRPr="008B17C0">
        <w:tab/>
        <w:t>Rådets afgørelse (EU) 2021/7072 af 16. marts 2021.</w:t>
      </w:r>
    </w:p>
  </w:footnote>
  <w:footnote w:id="19">
    <w:p w14:paraId="7B5B10C1" w14:textId="77777777" w:rsidR="00CF260E" w:rsidRPr="008B17C0" w:rsidRDefault="00CF260E" w:rsidP="006A50D1">
      <w:pPr>
        <w:pStyle w:val="FootnoteText"/>
      </w:pPr>
      <w:r>
        <w:rPr>
          <w:rStyle w:val="FootnoteReference"/>
        </w:rPr>
        <w:footnoteRef/>
      </w:r>
      <w:r w:rsidRPr="008B17C0">
        <w:tab/>
        <w:t>Rådets forordning (EU) 2017/1939 af 12. oktober 2017 om gennemførelse af et forstærket samarbejde om oprettelse af Den Europæiske Anklagemyndighed ("EPPO") ( EUT L 283 af 31.10.2017, s. 1).</w:t>
      </w:r>
    </w:p>
  </w:footnote>
  <w:footnote w:id="20">
    <w:p w14:paraId="6F9EB425" w14:textId="77777777" w:rsidR="00CF260E" w:rsidRPr="008B17C0" w:rsidRDefault="00CF260E">
      <w:pPr>
        <w:pStyle w:val="FootnoteText"/>
      </w:pPr>
      <w:r>
        <w:rPr>
          <w:rStyle w:val="FootnoteReference"/>
        </w:rPr>
        <w:footnoteRef/>
      </w:r>
      <w:r w:rsidRPr="008B17C0">
        <w:tab/>
        <w:t>Europa-Parlamentets og Rådets forordning (EU) 2016/794 af 11. maj 2016 om Den Europæiske Unions Agentur for Retshåndhævelsessamarbejde (Europol) og om erstatning og ophævelse af Rådets afgørelse 2009/371/RIA, 2009/934/RIA, 2009/935/RIA, 2009/936/RIA og 2009/968/RIA (EUT L 135 af 24.5.2016, s. 53).</w:t>
      </w:r>
    </w:p>
  </w:footnote>
  <w:footnote w:id="21">
    <w:p w14:paraId="3671EF58" w14:textId="77777777" w:rsidR="00CF260E" w:rsidRPr="008B17C0" w:rsidRDefault="00CF260E" w:rsidP="006A50D1">
      <w:pPr>
        <w:pStyle w:val="FootnoteText"/>
      </w:pPr>
      <w:r>
        <w:rPr>
          <w:rStyle w:val="FootnoteReference"/>
        </w:rPr>
        <w:footnoteRef/>
      </w:r>
      <w:r w:rsidRPr="008B17C0">
        <w:tab/>
        <w:t>Europa-Parlamentets og Rådets forordning (EU, Euratom) nr. 883/2013 af 11. september 2013 om undersøgelser, der foretages af Det Europæiske Kontor for Bekæmpelse af Svig (OLAF) og om ophævelse af Europa-Parlamentets og Rådets forordning (EF) nr. 1073/1999 og Rådets forordning (Euratom) nr. 1074/1999 (EUT L 248 af 18.9.2013, s. 1).</w:t>
      </w:r>
    </w:p>
  </w:footnote>
  <w:footnote w:id="22">
    <w:p w14:paraId="4BF7DF34" w14:textId="77777777" w:rsidR="00CF260E" w:rsidRPr="008B17C0" w:rsidRDefault="00CF260E" w:rsidP="00ED73EB">
      <w:pPr>
        <w:pStyle w:val="FootnoteText"/>
      </w:pPr>
      <w:r>
        <w:rPr>
          <w:rStyle w:val="FootnoteReference"/>
        </w:rPr>
        <w:footnoteRef/>
      </w:r>
      <w:r w:rsidRPr="008B17C0">
        <w:tab/>
        <w:t>Europa-Parlamentets og Rådets forordning (EU) 2019/1896 af 13. november 2019 om den europæiske grænse- og kystvagt og om ophævelse af forordning (EU) nr. 1052/2013 og (EU) 2016/1624 (EUT L 295 af 14.11.2019, s. 1).</w:t>
      </w:r>
    </w:p>
  </w:footnote>
  <w:footnote w:id="23">
    <w:p w14:paraId="12A01670" w14:textId="69364720" w:rsidR="00B83475" w:rsidRPr="0008003B" w:rsidRDefault="00B83475">
      <w:pPr>
        <w:pStyle w:val="FootnoteText"/>
        <w:rPr>
          <w:lang w:val="en-IE"/>
        </w:rPr>
      </w:pPr>
      <w:r>
        <w:rPr>
          <w:rStyle w:val="FootnoteReference"/>
        </w:rPr>
        <w:footnoteRef/>
      </w:r>
      <w:r w:rsidRPr="0008003B">
        <w:rPr>
          <w:lang w:val="en-IE"/>
        </w:rPr>
        <w:tab/>
        <w:t>JOIN/2020/18 final.</w:t>
      </w:r>
    </w:p>
  </w:footnote>
  <w:footnote w:id="24">
    <w:p w14:paraId="5389D748" w14:textId="44EDC8EB" w:rsidR="00B83475" w:rsidRPr="0008003B" w:rsidRDefault="00B83475">
      <w:pPr>
        <w:pStyle w:val="FootnoteText"/>
        <w:rPr>
          <w:lang w:val="en-IE"/>
        </w:rPr>
      </w:pPr>
      <w:r>
        <w:rPr>
          <w:rStyle w:val="FootnoteReference"/>
        </w:rPr>
        <w:footnoteRef/>
      </w:r>
      <w:r w:rsidRPr="0008003B">
        <w:rPr>
          <w:lang w:val="en-IE"/>
        </w:rPr>
        <w:tab/>
        <w:t>COM 2020/823 final.</w:t>
      </w:r>
    </w:p>
  </w:footnote>
  <w:footnote w:id="25">
    <w:p w14:paraId="7F3ABEBB" w14:textId="77777777" w:rsidR="00CF260E" w:rsidRPr="0008003B" w:rsidRDefault="00CF260E" w:rsidP="00DF432B">
      <w:pPr>
        <w:pStyle w:val="FootnoteText"/>
        <w:rPr>
          <w:lang w:val="en-IE"/>
        </w:rPr>
      </w:pPr>
      <w:r>
        <w:rPr>
          <w:rStyle w:val="FootnoteReference"/>
        </w:rPr>
        <w:footnoteRef/>
      </w:r>
      <w:r w:rsidRPr="0008003B">
        <w:rPr>
          <w:lang w:val="en-IE"/>
        </w:rPr>
        <w:tab/>
        <w:t xml:space="preserve">Cross-border Digital Criminal Justice, Final Report, </w:t>
      </w:r>
      <w:hyperlink r:id="rId2" w:history="1">
        <w:r w:rsidRPr="0008003B">
          <w:rPr>
            <w:rStyle w:val="Hyperlink"/>
            <w:lang w:val="en-IE"/>
          </w:rPr>
          <w:t>https://op.europa.eu/da/publication-detail/-/publication/e38795b5-f633-11ea-991b-01aa75ed71a1/language-en</w:t>
        </w:r>
      </w:hyperlink>
      <w:r w:rsidRPr="0008003B">
        <w:rPr>
          <w:lang w:val="en-IE"/>
        </w:rPr>
        <w:t>.</w:t>
      </w:r>
    </w:p>
  </w:footnote>
  <w:footnote w:id="26">
    <w:p w14:paraId="0CFEDD12" w14:textId="5691FA28" w:rsidR="00CF260E" w:rsidRPr="008B17C0" w:rsidRDefault="00CF260E">
      <w:pPr>
        <w:pStyle w:val="FootnoteText"/>
      </w:pPr>
      <w:r>
        <w:rPr>
          <w:rStyle w:val="FootnoteReference"/>
        </w:rPr>
        <w:footnoteRef/>
      </w:r>
      <w:r w:rsidRPr="008B17C0">
        <w:tab/>
        <w:t>SWD(2021) 391.</w:t>
      </w:r>
    </w:p>
  </w:footnote>
  <w:footnote w:id="27">
    <w:p w14:paraId="0BB3FAE8" w14:textId="78195A9A" w:rsidR="00CF260E" w:rsidRPr="008B17C0" w:rsidRDefault="00CF260E">
      <w:pPr>
        <w:pStyle w:val="FootnoteText"/>
      </w:pPr>
      <w:r>
        <w:rPr>
          <w:rStyle w:val="FootnoteReference"/>
        </w:rPr>
        <w:footnoteRef/>
      </w:r>
      <w:r w:rsidRPr="008B17C0">
        <w:tab/>
        <w:t>Artikel 8 i Den Europæiske Unions charter om grundlæggende rettigheder (herefter "chartret").</w:t>
      </w:r>
    </w:p>
  </w:footnote>
  <w:footnote w:id="28">
    <w:p w14:paraId="12AD4A36" w14:textId="77777777" w:rsidR="00CF260E" w:rsidRPr="0008003B" w:rsidRDefault="00CF260E">
      <w:pPr>
        <w:pStyle w:val="FootnoteText"/>
        <w:rPr>
          <w:lang w:val="en-IE"/>
        </w:rPr>
      </w:pPr>
      <w:r>
        <w:rPr>
          <w:rStyle w:val="FootnoteReference"/>
        </w:rPr>
        <w:footnoteRef/>
      </w:r>
      <w:r w:rsidRPr="0008003B">
        <w:rPr>
          <w:lang w:val="en-IE"/>
        </w:rPr>
        <w:tab/>
        <w:t>Artikel 7 i chartret.</w:t>
      </w:r>
    </w:p>
  </w:footnote>
  <w:footnote w:id="29">
    <w:p w14:paraId="1D04A860" w14:textId="77777777" w:rsidR="00CF260E" w:rsidRPr="0008003B" w:rsidRDefault="00CF260E">
      <w:pPr>
        <w:pStyle w:val="FootnoteText"/>
        <w:rPr>
          <w:lang w:val="en-IE"/>
        </w:rPr>
      </w:pPr>
      <w:r>
        <w:rPr>
          <w:rStyle w:val="FootnoteReference"/>
        </w:rPr>
        <w:footnoteRef/>
      </w:r>
      <w:r w:rsidRPr="0008003B">
        <w:rPr>
          <w:lang w:val="en-IE"/>
        </w:rPr>
        <w:tab/>
        <w:t xml:space="preserve">Cross-border Digital Criminal Justice, Final Report, </w:t>
      </w:r>
      <w:hyperlink r:id="rId3" w:history="1">
        <w:r w:rsidRPr="0008003B">
          <w:rPr>
            <w:rStyle w:val="Hyperlink"/>
            <w:lang w:val="en-IE"/>
          </w:rPr>
          <w:t>https://op.europa.eu/da/publication-detail/-/publication/e38795b5-f633-11ea-991b-01aa75ed71a1/language-en</w:t>
        </w:r>
      </w:hyperlink>
      <w:r w:rsidRPr="0008003B">
        <w:rPr>
          <w:lang w:val="en-IE"/>
        </w:rPr>
        <w:t>, s. 244.</w:t>
      </w:r>
    </w:p>
  </w:footnote>
  <w:footnote w:id="30">
    <w:p w14:paraId="7143A0CF" w14:textId="32FF1FDC" w:rsidR="00CF260E" w:rsidRPr="008B17C0" w:rsidRDefault="00CF260E">
      <w:pPr>
        <w:pStyle w:val="FootnoteText"/>
      </w:pPr>
      <w:r>
        <w:rPr>
          <w:rStyle w:val="FootnoteReference"/>
        </w:rPr>
        <w:footnoteRef/>
      </w:r>
      <w:r w:rsidRPr="008B17C0">
        <w:tab/>
        <w:t>I undersøgelsen blev det antaget, at der var en vedligeholdelsesperiode, og at de samlede omkostninger beløb sig til 39 mio. EUR. Da det nuværende EU-budget (den flerårige finansielle ramme, FFR) kun dækker perioden frem til 2027, blev vedligeholdelsesomkostningerne for årene 2028 og 2029 trukket fra dette beløb.</w:t>
      </w:r>
    </w:p>
  </w:footnote>
  <w:footnote w:id="31">
    <w:p w14:paraId="56BC2B89" w14:textId="4459692C" w:rsidR="00CF260E" w:rsidRPr="0008003B" w:rsidRDefault="00CF260E">
      <w:pPr>
        <w:pStyle w:val="FootnoteText"/>
        <w:rPr>
          <w:lang w:val="en-IE"/>
        </w:rPr>
      </w:pPr>
      <w:r>
        <w:rPr>
          <w:rStyle w:val="FootnoteReference"/>
        </w:rPr>
        <w:footnoteRef/>
      </w:r>
      <w:r w:rsidRPr="0008003B">
        <w:rPr>
          <w:lang w:val="en-IE"/>
        </w:rPr>
        <w:tab/>
        <w:t xml:space="preserve">Cross-border Digital Criminal Justice, Final Report, </w:t>
      </w:r>
      <w:hyperlink r:id="rId4" w:history="1">
        <w:r w:rsidRPr="0008003B">
          <w:rPr>
            <w:rStyle w:val="Hyperlink"/>
            <w:lang w:val="en-IE"/>
          </w:rPr>
          <w:t>https://op.europa.eu/da/publication-detail/-/publication/e38795b5-f633-11ea-991b-01aa75ed71a1/language-en</w:t>
        </w:r>
      </w:hyperlink>
      <w:r w:rsidRPr="0008003B">
        <w:rPr>
          <w:lang w:val="en-IE"/>
        </w:rPr>
        <w:t>, s. 265 ff.</w:t>
      </w:r>
    </w:p>
  </w:footnote>
  <w:footnote w:id="32">
    <w:p w14:paraId="0BDF1D9C" w14:textId="77777777" w:rsidR="00CF260E" w:rsidRPr="008B17C0" w:rsidRDefault="00CF260E">
      <w:pPr>
        <w:pStyle w:val="FootnoteText"/>
      </w:pPr>
      <w:r>
        <w:rPr>
          <w:rStyle w:val="FootnoteReference"/>
        </w:rPr>
        <w:footnoteRef/>
      </w:r>
      <w:r w:rsidRPr="008B17C0">
        <w:tab/>
        <w:t>[….].</w:t>
      </w:r>
    </w:p>
  </w:footnote>
  <w:footnote w:id="33">
    <w:p w14:paraId="097FA04C" w14:textId="77777777" w:rsidR="00CF260E" w:rsidRPr="008B17C0" w:rsidRDefault="00CF260E">
      <w:pPr>
        <w:pStyle w:val="FootnoteText"/>
      </w:pPr>
      <w:r>
        <w:rPr>
          <w:rStyle w:val="FootnoteReference"/>
        </w:rPr>
        <w:footnoteRef/>
      </w:r>
      <w:r w:rsidRPr="008B17C0">
        <w:tab/>
        <w:t>Europa-Parlamentets og Rådets forordning (EU) 2018/1727 af 14. november 2018 om Den Europæiske Unions Agentur for Strafferetligt Samarbejde (Eurojust), og om erstatning og ophævelse af Rådets afgørelse 2002/187/RIA (EUT L 295 af 21.11.2018, s. 138).</w:t>
      </w:r>
    </w:p>
  </w:footnote>
  <w:footnote w:id="34">
    <w:p w14:paraId="0035470D" w14:textId="77777777" w:rsidR="00CF260E" w:rsidRPr="008B17C0" w:rsidRDefault="00CF260E">
      <w:pPr>
        <w:pStyle w:val="FootnoteText"/>
      </w:pPr>
      <w:r>
        <w:rPr>
          <w:rStyle w:val="FootnoteReference"/>
        </w:rPr>
        <w:footnoteRef/>
      </w:r>
      <w:r w:rsidRPr="008B17C0">
        <w:tab/>
        <w:t>Rådets afgørelse 2005/671/RIA af 20. september 2005 om udveksling af oplysninger og samarbejde vedrørende terrorhandlinger (EUT L 253 af 29.9.2005, s. 22).</w:t>
      </w:r>
    </w:p>
  </w:footnote>
  <w:footnote w:id="35">
    <w:p w14:paraId="72DFA71D" w14:textId="54FDA639" w:rsidR="00CF260E" w:rsidRPr="008B17C0" w:rsidRDefault="00CF260E">
      <w:pPr>
        <w:pStyle w:val="FootnoteText"/>
      </w:pPr>
      <w:r>
        <w:rPr>
          <w:rStyle w:val="FootnoteReference"/>
        </w:rPr>
        <w:footnoteRef/>
      </w:r>
      <w:r w:rsidRPr="008B17C0">
        <w:tab/>
        <w:t>Europa-Parlamentets og Rådets direktiv (EU) 2017/541 af 15. marts 2017 om bekæmpelse af terrorisme og om erstatning af Rådets rammeafgørelse 2002/475/RIA og ændring af Rådets afgørelse 2005/671/RIA (EUT L 88 af 31.3.2017, s. 6).</w:t>
      </w:r>
    </w:p>
  </w:footnote>
  <w:footnote w:id="36">
    <w:p w14:paraId="114825DD" w14:textId="77777777" w:rsidR="00CF260E" w:rsidRPr="008B17C0" w:rsidRDefault="00CF260E">
      <w:pPr>
        <w:pStyle w:val="FootnoteText"/>
      </w:pPr>
      <w:r>
        <w:rPr>
          <w:rStyle w:val="FootnoteReference"/>
        </w:rPr>
        <w:footnoteRef/>
      </w:r>
      <w:r w:rsidRPr="008B17C0">
        <w:tab/>
        <w:t>Rådets afgørelse 2008/976/RIA af 16. december 2008 om det europæiske retlige netværk (EUT L 348 af 24.12.2008, s. 130).</w:t>
      </w:r>
      <w:r w:rsidRPr="008B17C0">
        <w:tab/>
      </w:r>
    </w:p>
  </w:footnote>
  <w:footnote w:id="37">
    <w:p w14:paraId="38AA8275" w14:textId="2974978B" w:rsidR="00CF260E" w:rsidRPr="008B17C0" w:rsidRDefault="00CF260E">
      <w:pPr>
        <w:pStyle w:val="FootnoteText"/>
      </w:pPr>
      <w:r>
        <w:rPr>
          <w:rStyle w:val="FootnoteReference"/>
        </w:rPr>
        <w:footnoteRef/>
      </w:r>
      <w:r w:rsidRPr="008B17C0">
        <w:tab/>
        <w:t>Europa-Parlamentets og Rådets forordning (EU) [.../...] om digitalisering af det retlige samarbejde og adgang til klage og domstolsprøvelse i civil-, handels- og strafferetlige sager (EUT L...).</w:t>
      </w:r>
    </w:p>
  </w:footnote>
  <w:footnote w:id="38">
    <w:p w14:paraId="3A5C215A" w14:textId="11070E8B" w:rsidR="00CF260E" w:rsidRPr="008B17C0" w:rsidRDefault="00CF260E" w:rsidP="00350ADD">
      <w:pPr>
        <w:pStyle w:val="FootnoteText"/>
      </w:pPr>
      <w:r>
        <w:rPr>
          <w:rStyle w:val="FootnoteReference"/>
        </w:rPr>
        <w:footnoteRef/>
      </w:r>
      <w:r w:rsidRPr="008B17C0">
        <w:tab/>
        <w:t>Europa-Parlamentets og Rådets forordning (EU) [.../...] om digitalisering af det retlige samarbejde og adgang til klage og domstolsprøvelse i civil-, handels- og strafferetlige sager (EUT L...).</w:t>
      </w:r>
    </w:p>
  </w:footnote>
  <w:footnote w:id="39">
    <w:p w14:paraId="3332AB2C" w14:textId="6421EC68" w:rsidR="00CF260E" w:rsidRPr="008B17C0" w:rsidRDefault="00CF260E">
      <w:pPr>
        <w:pStyle w:val="FootnoteText"/>
      </w:pPr>
      <w:r>
        <w:rPr>
          <w:rStyle w:val="FootnoteReference"/>
        </w:rPr>
        <w:footnoteRef/>
      </w:r>
      <w:r w:rsidRPr="008B17C0">
        <w:tab/>
        <w:t>Europa-Parlamentets og Rådets forordning (EU) nr. 182/2011 af 16. februar 2011 om de generelle regler og principper for, hvordan medlemsstaterne skal kontrollere Kommissionens udøvelse af gennemførelsesbeføjelser (EUT L 55 af 28.2.2011, s. 13).</w:t>
      </w:r>
    </w:p>
  </w:footnote>
  <w:footnote w:id="40">
    <w:p w14:paraId="07D6ECC2" w14:textId="7B8C575F" w:rsidR="00CF260E" w:rsidRPr="008B17C0" w:rsidRDefault="00CF260E">
      <w:pPr>
        <w:pStyle w:val="FootnoteText"/>
      </w:pPr>
      <w:r>
        <w:rPr>
          <w:rStyle w:val="FootnoteReference"/>
        </w:rPr>
        <w:footnoteRef/>
      </w:r>
      <w:r w:rsidRPr="008B17C0">
        <w:tab/>
        <w:t>https://joinup.ec.europa.eu/collection/nifo-national-interoperability-framework-observatory/european-interoperability-framework.</w:t>
      </w:r>
    </w:p>
  </w:footnote>
  <w:footnote w:id="41">
    <w:p w14:paraId="54E23D31" w14:textId="77777777" w:rsidR="00CF260E" w:rsidRPr="008B17C0" w:rsidRDefault="00CF260E">
      <w:pPr>
        <w:pStyle w:val="FootnoteText"/>
      </w:pPr>
      <w:r>
        <w:rPr>
          <w:rStyle w:val="FootnoteReference"/>
        </w:rPr>
        <w:footnoteRef/>
      </w:r>
      <w:r w:rsidRPr="008B17C0">
        <w:tab/>
        <w:t>Aftale mellem Den Europæiske Union og Det Europæiske Atomenergifællesskab på den ene side og Det Forenede Kongerige Storbritannien og Nordirland på den anden side (EUT L 149 af 30.4.2021, s. 10).</w:t>
      </w:r>
    </w:p>
  </w:footnote>
  <w:footnote w:id="42">
    <w:p w14:paraId="065265CF" w14:textId="77777777" w:rsidR="00CF260E" w:rsidRPr="008B17C0" w:rsidRDefault="00CF260E">
      <w:pPr>
        <w:pStyle w:val="FootnoteText"/>
      </w:pPr>
      <w:r>
        <w:rPr>
          <w:rStyle w:val="FootnoteReference"/>
        </w:rPr>
        <w:footnoteRef/>
      </w:r>
      <w:r w:rsidRPr="008B17C0">
        <w:tab/>
        <w:t>Rådets afgørelse (EU) 2021/7072 af 16. marts 2021.</w:t>
      </w:r>
    </w:p>
  </w:footnote>
  <w:footnote w:id="43">
    <w:p w14:paraId="1EE85485" w14:textId="77777777" w:rsidR="00CF260E" w:rsidRPr="008B17C0" w:rsidRDefault="00CF260E">
      <w:pPr>
        <w:pStyle w:val="FootnoteText"/>
      </w:pPr>
      <w:r>
        <w:rPr>
          <w:rStyle w:val="FootnoteReference"/>
        </w:rPr>
        <w:footnoteRef/>
      </w:r>
      <w:r w:rsidRPr="008B17C0">
        <w:tab/>
        <w:t>Rådets afgørelse 2008/976/RIA af 16. december 2008 om det europæiske retlige netværk (EUT L 348 af 24.12.2008, s. 130).</w:t>
      </w:r>
    </w:p>
  </w:footnote>
  <w:footnote w:id="44">
    <w:p w14:paraId="5E59FC0E" w14:textId="77777777" w:rsidR="00CF260E" w:rsidRPr="008B17C0" w:rsidRDefault="00CF260E" w:rsidP="160710AA">
      <w:pPr>
        <w:pStyle w:val="FootnoteText"/>
        <w:rPr>
          <w:szCs w:val="24"/>
        </w:rPr>
      </w:pPr>
      <w:r>
        <w:rPr>
          <w:rStyle w:val="FootnoteReference"/>
        </w:rPr>
        <w:footnoteRef/>
      </w:r>
      <w:r w:rsidRPr="008B17C0">
        <w:tab/>
        <w:t>Jf. finansforordningens artikel 58, stk. 2, litra a) hhv. b).</w:t>
      </w:r>
    </w:p>
  </w:footnote>
  <w:footnote w:id="45">
    <w:p w14:paraId="3D2796AD" w14:textId="4B73A0D0" w:rsidR="00CF260E" w:rsidRPr="008B17C0" w:rsidRDefault="00CF260E" w:rsidP="00ED2926">
      <w:pPr>
        <w:pStyle w:val="FootnoteText"/>
      </w:pPr>
      <w:r>
        <w:rPr>
          <w:rStyle w:val="FootnoteReference"/>
        </w:rPr>
        <w:footnoteRef/>
      </w:r>
      <w:r w:rsidRPr="008B17C0">
        <w:tab/>
        <w:t>Meddelelse fra Kommissionen om strategien for EU's sikkerhedsunion (COM/2020/605 final).</w:t>
      </w:r>
    </w:p>
  </w:footnote>
  <w:footnote w:id="46">
    <w:p w14:paraId="32CC52C6" w14:textId="7EA6A7BE" w:rsidR="00CF260E" w:rsidRPr="008B17C0" w:rsidRDefault="00CF260E" w:rsidP="00ED2926">
      <w:pPr>
        <w:pStyle w:val="FootnoteText"/>
      </w:pPr>
      <w:r>
        <w:rPr>
          <w:rStyle w:val="FootnoteReference"/>
        </w:rPr>
        <w:footnoteRef/>
      </w:r>
      <w:r w:rsidRPr="008B17C0">
        <w:tab/>
        <w:t>Meddelelse fra Kommissionen om en dagsorden for bekæmpelse af terrorisme i EU: foregribe, forebygge, beskytte, reagere (COM(2020) 795 final).</w:t>
      </w:r>
    </w:p>
  </w:footnote>
  <w:footnote w:id="47">
    <w:p w14:paraId="63904D4B" w14:textId="30C57EE9" w:rsidR="00CF260E" w:rsidRPr="008B17C0" w:rsidRDefault="00CF260E" w:rsidP="00ED2926">
      <w:pPr>
        <w:pStyle w:val="FootnoteText"/>
      </w:pPr>
      <w:r>
        <w:rPr>
          <w:rStyle w:val="FootnoteReference"/>
        </w:rPr>
        <w:footnoteRef/>
      </w:r>
      <w:r w:rsidRPr="008B17C0">
        <w:tab/>
        <w:t>Kommissionens meddelelse om digitalisering af retsvæsenet i Den Europæiske Union — En værktøjskasse fuld af muligheder (COM(2020) 710 final af 2.12.2020).</w:t>
      </w:r>
    </w:p>
  </w:footnote>
  <w:footnote w:id="48">
    <w:p w14:paraId="31F22E82" w14:textId="2A9C8BC5" w:rsidR="00CF260E" w:rsidRPr="008B17C0" w:rsidRDefault="00CF260E" w:rsidP="00ED2926">
      <w:pPr>
        <w:pStyle w:val="FootnoteText"/>
      </w:pPr>
      <w:r>
        <w:rPr>
          <w:rStyle w:val="FootnoteReference"/>
        </w:rPr>
        <w:footnoteRef/>
      </w:r>
      <w:r w:rsidRPr="008B17C0">
        <w:tab/>
        <w:t>Meddelelse fra Kommissionen om en EU-strategi til bekæmpelse af organiseret kriminalitet 2021-2025 (COM(2021) 170 final).</w:t>
      </w:r>
    </w:p>
  </w:footnote>
  <w:footnote w:id="49">
    <w:p w14:paraId="32EEF929" w14:textId="77777777" w:rsidR="00CF260E" w:rsidRPr="008B17C0" w:rsidRDefault="00CF260E" w:rsidP="160710AA">
      <w:pPr>
        <w:pStyle w:val="FootnoteText"/>
        <w:jc w:val="left"/>
        <w:rPr>
          <w:szCs w:val="24"/>
        </w:rPr>
      </w:pPr>
      <w:r>
        <w:rPr>
          <w:rStyle w:val="FootnoteReference"/>
        </w:rPr>
        <w:footnoteRef/>
      </w:r>
      <w:r w:rsidRPr="008B17C0">
        <w:tab/>
        <w:t xml:space="preserve">Forklaringer vedrørende forvaltningsmetoder og henvisninger til finansforordningen findes på webstedet BudgWeb: </w:t>
      </w:r>
      <w:hyperlink r:id="rId5" w:history="1">
        <w:r w:rsidRPr="008B17C0">
          <w:rPr>
            <w:rStyle w:val="Hyperlink"/>
          </w:rPr>
          <w:t>https://myintracomm.ec.europa.eu/budgweb/DA/man/budgmanag/Pages/budgmanag.aspx</w:t>
        </w:r>
      </w:hyperlink>
      <w:r w:rsidRPr="008B17C0">
        <w:t xml:space="preserve">. </w:t>
      </w:r>
    </w:p>
  </w:footnote>
  <w:footnote w:id="50">
    <w:p w14:paraId="14D95BC2" w14:textId="7AF5E912" w:rsidR="00CF260E" w:rsidRPr="008B17C0" w:rsidRDefault="00CF260E" w:rsidP="004D3101">
      <w:pPr>
        <w:pStyle w:val="FootnoteText"/>
      </w:pPr>
      <w:r>
        <w:rPr>
          <w:rStyle w:val="FootnoteReference"/>
        </w:rPr>
        <w:footnoteRef/>
      </w:r>
      <w:r w:rsidRPr="008B17C0">
        <w:tab/>
        <w:t xml:space="preserve">Forordning (EU) 2017/1727. </w:t>
      </w:r>
    </w:p>
  </w:footnote>
  <w:footnote w:id="51">
    <w:p w14:paraId="71A1EE5A" w14:textId="46FB44EF" w:rsidR="00CF260E" w:rsidRPr="008B17C0" w:rsidRDefault="00CF260E" w:rsidP="004D3101">
      <w:pPr>
        <w:pStyle w:val="FootnoteText"/>
      </w:pPr>
      <w:r>
        <w:rPr>
          <w:rStyle w:val="FootnoteReference"/>
        </w:rPr>
        <w:footnoteRef/>
      </w:r>
      <w:r w:rsidRPr="008B17C0">
        <w:tab/>
      </w:r>
      <w:hyperlink r:id="rId6" w:history="1">
        <w:r w:rsidRPr="008B17C0">
          <w:rPr>
            <w:rStyle w:val="Hyperlink"/>
          </w:rPr>
          <w:t>https://europa.eu/european-union/sites/default/files/docs/body/joint_statement_and_common_approach_2012_en.pdf</w:t>
        </w:r>
      </w:hyperlink>
      <w:r w:rsidRPr="008B17C0">
        <w:t xml:space="preserve">. </w:t>
      </w:r>
    </w:p>
  </w:footnote>
  <w:footnote w:id="52">
    <w:p w14:paraId="6C41DA78" w14:textId="77777777" w:rsidR="00CF260E" w:rsidRPr="008B17C0" w:rsidRDefault="00CF260E" w:rsidP="160710AA">
      <w:pPr>
        <w:pStyle w:val="FootnoteText"/>
        <w:rPr>
          <w:szCs w:val="24"/>
        </w:rPr>
      </w:pPr>
      <w:r>
        <w:rPr>
          <w:rStyle w:val="FootnoteReference"/>
        </w:rPr>
        <w:footnoteRef/>
      </w:r>
      <w:r w:rsidRPr="008B17C0">
        <w:tab/>
        <w:t>OB = opdelte bevillinger/IOB = ikke-opdelte bevillinger.</w:t>
      </w:r>
    </w:p>
  </w:footnote>
  <w:footnote w:id="53">
    <w:p w14:paraId="35671D76" w14:textId="77777777" w:rsidR="00CF260E" w:rsidRPr="008B17C0" w:rsidRDefault="00CF260E" w:rsidP="160710AA">
      <w:pPr>
        <w:pStyle w:val="FootnoteText"/>
        <w:rPr>
          <w:szCs w:val="24"/>
        </w:rPr>
      </w:pPr>
      <w:r>
        <w:rPr>
          <w:rStyle w:val="FootnoteReference"/>
        </w:rPr>
        <w:footnoteRef/>
      </w:r>
      <w:r w:rsidRPr="008B17C0">
        <w:tab/>
        <w:t xml:space="preserve">EFTA: Den Europæiske Frihandelssammenslutning. </w:t>
      </w:r>
    </w:p>
  </w:footnote>
  <w:footnote w:id="54">
    <w:p w14:paraId="4FE2190C" w14:textId="77777777" w:rsidR="00CF260E" w:rsidRPr="008B17C0" w:rsidRDefault="00CF260E" w:rsidP="160710AA">
      <w:pPr>
        <w:pStyle w:val="FootnoteText"/>
        <w:rPr>
          <w:szCs w:val="24"/>
        </w:rPr>
      </w:pPr>
      <w:r>
        <w:rPr>
          <w:rStyle w:val="FootnoteReference"/>
        </w:rPr>
        <w:footnoteRef/>
      </w:r>
      <w:r w:rsidRPr="008B17C0">
        <w:tab/>
        <w:t>Kandidatlande og, efter omstændighederne, potentielle kandidatlande på Vestbalkan.</w:t>
      </w:r>
    </w:p>
  </w:footnote>
  <w:footnote w:id="55">
    <w:p w14:paraId="2FE7D1C1" w14:textId="2EABE480" w:rsidR="00CF260E" w:rsidRPr="008B17C0" w:rsidRDefault="00CF260E" w:rsidP="000217AE">
      <w:pPr>
        <w:pStyle w:val="FootnoteText"/>
      </w:pPr>
      <w:r>
        <w:rPr>
          <w:rStyle w:val="FootnoteReference"/>
        </w:rPr>
        <w:footnoteRef/>
      </w:r>
      <w:r w:rsidRPr="008B17C0">
        <w:tab/>
        <w:t>De tekniske omkostninger under afsnit 3 omfatter drifts- og vedligeholdelsesomkostninger, da alle omkostninger i forbindelse med sagsforvaltningssystemet i øjeblikket er forpligtelser under afsnit 3.</w:t>
      </w:r>
    </w:p>
  </w:footnote>
  <w:footnote w:id="56">
    <w:p w14:paraId="6B669E45" w14:textId="77777777" w:rsidR="00A838BB" w:rsidRPr="008B17C0" w:rsidRDefault="00A838BB" w:rsidP="160710AA">
      <w:pPr>
        <w:pStyle w:val="FootnoteText"/>
        <w:rPr>
          <w:szCs w:val="24"/>
        </w:rPr>
      </w:pPr>
      <w:r>
        <w:rPr>
          <w:rStyle w:val="FootnoteReference"/>
        </w:rPr>
        <w:footnoteRef/>
      </w:r>
      <w:r w:rsidRPr="008B17C0">
        <w:tab/>
        <w:t>År n er det år, hvor gennemførelsen af forslaget/initiativet påbegyndes.</w:t>
      </w:r>
      <w:r w:rsidRPr="008B17C0">
        <w:rPr>
          <w:sz w:val="18"/>
          <w:szCs w:val="18"/>
        </w:rPr>
        <w:t xml:space="preserve"> Erstat "n" med det forventede første gennemførelsesår (f.eks.: 2021). Dette gælder også for de efterfølgende år.</w:t>
      </w:r>
    </w:p>
  </w:footnote>
  <w:footnote w:id="57">
    <w:p w14:paraId="5AD2B001" w14:textId="77777777" w:rsidR="00CF260E" w:rsidRPr="008B17C0" w:rsidRDefault="00CF260E" w:rsidP="160710AA">
      <w:pPr>
        <w:pStyle w:val="FootnoteText"/>
        <w:rPr>
          <w:szCs w:val="24"/>
        </w:rPr>
      </w:pPr>
      <w:r>
        <w:rPr>
          <w:rStyle w:val="FootnoteReference"/>
        </w:rPr>
        <w:footnoteRef/>
      </w:r>
      <w:r w:rsidRPr="008B17C0">
        <w:tab/>
        <w:t>Resultater er de produkter og tjenesteydelser, der skal leveres (f.eks. antal finansierede studenterudvekslinger, antal km bygget vej osv.).</w:t>
      </w:r>
    </w:p>
  </w:footnote>
  <w:footnote w:id="58">
    <w:p w14:paraId="5FB708C7" w14:textId="70C1292B" w:rsidR="00CF260E" w:rsidRPr="008B17C0" w:rsidRDefault="00CF260E" w:rsidP="160710AA">
      <w:pPr>
        <w:pStyle w:val="FootnoteText"/>
        <w:rPr>
          <w:szCs w:val="24"/>
        </w:rPr>
      </w:pPr>
      <w:r>
        <w:rPr>
          <w:rStyle w:val="FootnoteReference"/>
        </w:rPr>
        <w:footnoteRef/>
      </w:r>
      <w:r w:rsidRPr="008B17C0">
        <w:tab/>
        <w:t>Som beskrevet i punkt 1.4.2. "Specifikt/specifikke mål"</w:t>
      </w:r>
    </w:p>
  </w:footnote>
  <w:footnote w:id="59">
    <w:p w14:paraId="0BD8A226" w14:textId="5AE13932" w:rsidR="00CF260E" w:rsidRPr="008B17C0" w:rsidRDefault="00CF260E" w:rsidP="00906BEE">
      <w:pPr>
        <w:pStyle w:val="FootnoteText"/>
      </w:pPr>
      <w:r>
        <w:rPr>
          <w:rStyle w:val="FootnoteReference"/>
        </w:rPr>
        <w:footnoteRef/>
      </w:r>
      <w:r w:rsidRPr="008B17C0">
        <w:tab/>
        <w:t>Overslagene over personaleomkostninger er kumulative og er udarbejdet på grundlag af de gennemsnitlige omkostninger til midlertidigt ansatte og kontraktansatte, indekseret med justeringskoefficienten for Nederlandene pr. 7/2020 (113,9 %).</w:t>
      </w:r>
    </w:p>
  </w:footnote>
  <w:footnote w:id="60">
    <w:p w14:paraId="10D135D8" w14:textId="2C877D0B" w:rsidR="00CF260E" w:rsidRPr="008B17C0" w:rsidRDefault="00CF260E" w:rsidP="00906BEE">
      <w:pPr>
        <w:pStyle w:val="FootnoteText"/>
      </w:pPr>
      <w:r>
        <w:rPr>
          <w:rStyle w:val="FootnoteReference"/>
        </w:rPr>
        <w:footnoteRef/>
      </w:r>
      <w:r w:rsidRPr="008B17C0">
        <w:tab/>
        <w:t>Kumuleret. Det antal, der er angivet under hvert år, er antallet af ansatte fra det eller de foregående år og nyansatte. Det samlede antal nyansatte (25) vil blive nået i 2027.</w:t>
      </w:r>
    </w:p>
  </w:footnote>
  <w:footnote w:id="61">
    <w:p w14:paraId="450B4F20" w14:textId="77777777" w:rsidR="00CF260E" w:rsidRPr="008B17C0" w:rsidRDefault="00CF260E" w:rsidP="160710AA">
      <w:pPr>
        <w:pStyle w:val="FootnoteText"/>
        <w:rPr>
          <w:szCs w:val="24"/>
        </w:rPr>
      </w:pPr>
      <w:r>
        <w:rPr>
          <w:rStyle w:val="FootnoteReference"/>
        </w:rPr>
        <w:footnoteRef/>
      </w:r>
      <w:r w:rsidRPr="008B17C0">
        <w:tab/>
        <w:t xml:space="preserve">KA: kontraktansatte, LA: lokalt ansatte, UNE: udstationerede nationale eksperter, V: vikarer, JMD: juniormedarbejdere i delegationerne. </w:t>
      </w:r>
    </w:p>
  </w:footnote>
  <w:footnote w:id="62">
    <w:p w14:paraId="5DE7462E" w14:textId="77777777" w:rsidR="00CF260E" w:rsidRPr="008B17C0" w:rsidRDefault="00CF260E" w:rsidP="160710AA">
      <w:pPr>
        <w:pStyle w:val="FootnoteText"/>
        <w:rPr>
          <w:szCs w:val="24"/>
        </w:rPr>
      </w:pPr>
      <w:r>
        <w:rPr>
          <w:rStyle w:val="FootnoteReference"/>
        </w:rPr>
        <w:footnoteRef/>
      </w:r>
      <w:r w:rsidRPr="008B17C0">
        <w:tab/>
        <w:t>Delloft for eksternt personale under aktionsbevillingerne (tidligere BA-poster).</w:t>
      </w:r>
    </w:p>
  </w:footnote>
  <w:footnote w:id="63">
    <w:p w14:paraId="0C7C3E76" w14:textId="6A9163AD" w:rsidR="00CF260E" w:rsidRPr="008B17C0" w:rsidRDefault="00CF260E" w:rsidP="00D42205">
      <w:pPr>
        <w:pStyle w:val="FootnoteText"/>
      </w:pPr>
      <w:r>
        <w:rPr>
          <w:rStyle w:val="FootnoteReference"/>
        </w:rPr>
        <w:footnoteRef/>
      </w:r>
      <w:r w:rsidRPr="008B17C0">
        <w:tab/>
        <w:t>Primært for EU's samhørighedsfonde, Den Europæiske Landbrugsfond for Udvikling af Landdistrikterne (ELFUL) og Den Europæis</w:t>
      </w:r>
      <w:r w:rsidR="0008003B">
        <w:t>ke Hav- og Fiskerifond (EHFAF).</w:t>
      </w:r>
      <w:r w:rsidRPr="008B17C0">
        <w:t xml:space="preserve"> </w:t>
      </w:r>
    </w:p>
    <w:p w14:paraId="1574EFFD" w14:textId="77777777" w:rsidR="00CF260E" w:rsidRPr="008B17C0" w:rsidRDefault="00CF260E" w:rsidP="00D42205">
      <w:pPr>
        <w:pStyle w:val="FootnoteText"/>
        <w:rPr>
          <w:szCs w:val="24"/>
        </w:rPr>
      </w:pPr>
    </w:p>
  </w:footnote>
  <w:footnote w:id="64">
    <w:p w14:paraId="7FDE22D0" w14:textId="77777777" w:rsidR="00CF260E" w:rsidRPr="008B17C0" w:rsidRDefault="00CF260E" w:rsidP="160710AA">
      <w:pPr>
        <w:pStyle w:val="FootnoteText"/>
        <w:rPr>
          <w:szCs w:val="24"/>
        </w:rPr>
      </w:pPr>
      <w:r>
        <w:rPr>
          <w:rStyle w:val="FootnoteReference"/>
        </w:rPr>
        <w:footnoteRef/>
      </w:r>
      <w:r w:rsidRPr="008B17C0">
        <w:tab/>
        <w:t>Med hensyn til EU's traditionelle egne indtægter (told og sukkerafgifter) opgives beløbene netto, dvs. bruttobeløb, hvorfra der er trukket opkrævningsomkostninger på 20 %.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4D44F" w14:textId="77777777" w:rsidR="00EA3F52" w:rsidRPr="00EA3F52" w:rsidRDefault="00EA3F52" w:rsidP="00EA3F52">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115F1" w14:textId="77777777" w:rsidR="00EA3F52" w:rsidRPr="00EA3F52" w:rsidRDefault="00EA3F52" w:rsidP="00EA3F52">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25FA5" w14:textId="77777777" w:rsidR="005E020D" w:rsidRPr="005E020D" w:rsidRDefault="005E020D" w:rsidP="00EA3F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811F2" w14:textId="77777777" w:rsidR="00EA3F52" w:rsidRPr="00EA3F52" w:rsidRDefault="00EA3F52" w:rsidP="00EA3F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F88F70C"/>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6EBA443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A1FCD04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C514451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4620B5E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796D6C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FA3C7DF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5994FCA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9"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5"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8"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9"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0" w15:restartNumberingAfterBreak="0">
    <w:nsid w:val="4D0C058A"/>
    <w:multiLevelType w:val="singleLevel"/>
    <w:tmpl w:val="BAE8D90E"/>
    <w:lvl w:ilvl="0">
      <w:start w:val="1"/>
      <w:numFmt w:val="bullet"/>
      <w:lvlText w:val="–"/>
      <w:lvlJc w:val="left"/>
      <w:pPr>
        <w:tabs>
          <w:tab w:val="num" w:pos="1134"/>
        </w:tabs>
        <w:ind w:left="1134" w:hanging="283"/>
      </w:pPr>
      <w:rPr>
        <w:rFonts w:ascii="Times New Roman" w:hAnsi="Times New Roman"/>
      </w:rPr>
    </w:lvl>
  </w:abstractNum>
  <w:abstractNum w:abstractNumId="21"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596D67A1"/>
    <w:multiLevelType w:val="singleLevel"/>
    <w:tmpl w:val="9AC8831A"/>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608C30E1"/>
    <w:multiLevelType w:val="hybridMultilevel"/>
    <w:tmpl w:val="DD98B9F8"/>
    <w:lvl w:ilvl="0" w:tplc="08090001">
      <w:start w:val="1"/>
      <w:numFmt w:val="bullet"/>
      <w:lvlText w:val=""/>
      <w:lvlJc w:val="left"/>
      <w:pPr>
        <w:ind w:left="1044" w:hanging="360"/>
      </w:pPr>
      <w:rPr>
        <w:rFonts w:ascii="Symbol" w:hAnsi="Symbol" w:hint="default"/>
      </w:rPr>
    </w:lvl>
    <w:lvl w:ilvl="1" w:tplc="08090003" w:tentative="1">
      <w:start w:val="1"/>
      <w:numFmt w:val="bullet"/>
      <w:lvlText w:val="o"/>
      <w:lvlJc w:val="left"/>
      <w:pPr>
        <w:ind w:left="1764" w:hanging="360"/>
      </w:pPr>
      <w:rPr>
        <w:rFonts w:ascii="Courier New" w:hAnsi="Courier New" w:cs="Courier New" w:hint="default"/>
      </w:rPr>
    </w:lvl>
    <w:lvl w:ilvl="2" w:tplc="08090005" w:tentative="1">
      <w:start w:val="1"/>
      <w:numFmt w:val="bullet"/>
      <w:lvlText w:val=""/>
      <w:lvlJc w:val="left"/>
      <w:pPr>
        <w:ind w:left="2484" w:hanging="360"/>
      </w:pPr>
      <w:rPr>
        <w:rFonts w:ascii="Wingdings" w:hAnsi="Wingdings" w:hint="default"/>
      </w:rPr>
    </w:lvl>
    <w:lvl w:ilvl="3" w:tplc="08090001" w:tentative="1">
      <w:start w:val="1"/>
      <w:numFmt w:val="bullet"/>
      <w:lvlText w:val=""/>
      <w:lvlJc w:val="left"/>
      <w:pPr>
        <w:ind w:left="3204" w:hanging="360"/>
      </w:pPr>
      <w:rPr>
        <w:rFonts w:ascii="Symbol" w:hAnsi="Symbol" w:hint="default"/>
      </w:rPr>
    </w:lvl>
    <w:lvl w:ilvl="4" w:tplc="08090003" w:tentative="1">
      <w:start w:val="1"/>
      <w:numFmt w:val="bullet"/>
      <w:lvlText w:val="o"/>
      <w:lvlJc w:val="left"/>
      <w:pPr>
        <w:ind w:left="3924" w:hanging="360"/>
      </w:pPr>
      <w:rPr>
        <w:rFonts w:ascii="Courier New" w:hAnsi="Courier New" w:cs="Courier New" w:hint="default"/>
      </w:rPr>
    </w:lvl>
    <w:lvl w:ilvl="5" w:tplc="08090005" w:tentative="1">
      <w:start w:val="1"/>
      <w:numFmt w:val="bullet"/>
      <w:lvlText w:val=""/>
      <w:lvlJc w:val="left"/>
      <w:pPr>
        <w:ind w:left="4644" w:hanging="360"/>
      </w:pPr>
      <w:rPr>
        <w:rFonts w:ascii="Wingdings" w:hAnsi="Wingdings" w:hint="default"/>
      </w:rPr>
    </w:lvl>
    <w:lvl w:ilvl="6" w:tplc="08090001" w:tentative="1">
      <w:start w:val="1"/>
      <w:numFmt w:val="bullet"/>
      <w:lvlText w:val=""/>
      <w:lvlJc w:val="left"/>
      <w:pPr>
        <w:ind w:left="5364" w:hanging="360"/>
      </w:pPr>
      <w:rPr>
        <w:rFonts w:ascii="Symbol" w:hAnsi="Symbol" w:hint="default"/>
      </w:rPr>
    </w:lvl>
    <w:lvl w:ilvl="7" w:tplc="08090003" w:tentative="1">
      <w:start w:val="1"/>
      <w:numFmt w:val="bullet"/>
      <w:lvlText w:val="o"/>
      <w:lvlJc w:val="left"/>
      <w:pPr>
        <w:ind w:left="6084" w:hanging="360"/>
      </w:pPr>
      <w:rPr>
        <w:rFonts w:ascii="Courier New" w:hAnsi="Courier New" w:cs="Courier New" w:hint="default"/>
      </w:rPr>
    </w:lvl>
    <w:lvl w:ilvl="8" w:tplc="08090005" w:tentative="1">
      <w:start w:val="1"/>
      <w:numFmt w:val="bullet"/>
      <w:lvlText w:val=""/>
      <w:lvlJc w:val="left"/>
      <w:pPr>
        <w:ind w:left="6804" w:hanging="360"/>
      </w:pPr>
      <w:rPr>
        <w:rFonts w:ascii="Wingdings" w:hAnsi="Wingdings" w:hint="default"/>
      </w:rPr>
    </w:lvl>
  </w:abstractNum>
  <w:abstractNum w:abstractNumId="27" w15:restartNumberingAfterBreak="0">
    <w:nsid w:val="62A8042C"/>
    <w:multiLevelType w:val="singleLevel"/>
    <w:tmpl w:val="CCF20C06"/>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28"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0" w15:restartNumberingAfterBreak="0">
    <w:nsid w:val="6A6901C1"/>
    <w:multiLevelType w:val="singleLevel"/>
    <w:tmpl w:val="208841AE"/>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
  </w:num>
  <w:num w:numId="14">
    <w:abstractNumId w:val="1"/>
  </w:num>
  <w:num w:numId="15">
    <w:abstractNumId w:val="0"/>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num>
  <w:num w:numId="19">
    <w:abstractNumId w:val="16"/>
    <w:lvlOverride w:ilvl="0">
      <w:startOverride w:val="1"/>
    </w:lvlOverride>
  </w:num>
  <w:num w:numId="20">
    <w:abstractNumId w:val="30"/>
  </w:num>
  <w:num w:numId="21">
    <w:abstractNumId w:val="27"/>
  </w:num>
  <w:num w:numId="22">
    <w:abstractNumId w:val="22"/>
  </w:num>
  <w:num w:numId="23">
    <w:abstractNumId w:val="14"/>
  </w:num>
  <w:num w:numId="24">
    <w:abstractNumId w:val="8"/>
  </w:num>
  <w:num w:numId="25">
    <w:abstractNumId w:val="15"/>
  </w:num>
  <w:num w:numId="26">
    <w:abstractNumId w:val="9"/>
  </w:num>
  <w:num w:numId="27">
    <w:abstractNumId w:val="26"/>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num>
  <w:num w:numId="30">
    <w:abstractNumId w:val="20"/>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16"/>
  </w:num>
  <w:num w:numId="37">
    <w:abstractNumId w:val="29"/>
  </w:num>
  <w:num w:numId="38">
    <w:abstractNumId w:val="13"/>
  </w:num>
  <w:num w:numId="39">
    <w:abstractNumId w:val="17"/>
  </w:num>
  <w:num w:numId="40">
    <w:abstractNumId w:val="11"/>
  </w:num>
  <w:num w:numId="41">
    <w:abstractNumId w:val="28"/>
  </w:num>
  <w:num w:numId="42">
    <w:abstractNumId w:val="10"/>
  </w:num>
  <w:num w:numId="43">
    <w:abstractNumId w:val="19"/>
  </w:num>
  <w:num w:numId="44">
    <w:abstractNumId w:val="23"/>
  </w:num>
  <w:num w:numId="45">
    <w:abstractNumId w:val="24"/>
  </w:num>
  <w:num w:numId="46">
    <w:abstractNumId w:val="12"/>
  </w:num>
  <w:num w:numId="47">
    <w:abstractNumId w:val="21"/>
  </w:num>
  <w:num w:numId="48">
    <w:abstractNumId w:val="31"/>
  </w:num>
  <w:num w:numId="49">
    <w:abstractNumId w:val="28"/>
  </w:num>
  <w:num w:numId="50">
    <w:abstractNumId w:val="28"/>
  </w:num>
  <w:num w:numId="51">
    <w:abstractNumId w:val="28"/>
  </w:num>
  <w:num w:numId="52">
    <w:abstractNumId w:val="18"/>
  </w:num>
  <w:num w:numId="53">
    <w:abstractNumId w:val="11"/>
  </w:num>
  <w:num w:numId="54">
    <w:abstractNumId w:val="11"/>
  </w:num>
  <w:num w:numId="55">
    <w:abstractNumId w:val="1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IE" w:vendorID="64" w:dllVersion="131078" w:nlCheck="1" w:checkStyle="1"/>
  <w:activeWritingStyle w:appName="MSWord" w:lang="pt-PT" w:vendorID="64" w:dllVersion="131078" w:nlCheck="1" w:checkStyle="0"/>
  <w:activeWritingStyle w:appName="MSWord" w:lang="da-DK" w:vendorID="64" w:dllVersion="131078" w:nlCheck="1" w:checkStyle="0"/>
  <w:attachedTemplate r:id="rId1"/>
  <w:revisionView w:markup="0"/>
  <w:defaultTabStop w:val="720"/>
  <w:hyphenationZone w:val="425"/>
  <w:characterSpacingControl w:val="doNotCompress"/>
  <w:hdrShapeDefaults>
    <o:shapedefaults v:ext="edit" spidmax="1617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1-07 11:50:02"/>
    <w:docVar w:name="DQCResult_Distribution" w:val="0;2"/>
    <w:docVar w:name="DQCResult_DocumentContent" w:val="0;0"/>
    <w:docVar w:name="DQCResult_DocumentSize" w:val="0;0"/>
    <w:docVar w:name="DQCResult_DocumentVersions" w:val="0;0"/>
    <w:docVar w:name="DQCResult_InvalidFootnotes" w:val="0;0"/>
    <w:docVar w:name="DQCResult_LinkedStyles" w:val="0;0"/>
    <w:docVar w:name="DQCResult_ModifiedMargins" w:val="0;19"/>
    <w:docVar w:name="DQCResult_ModifiedMarkers" w:val="0;0"/>
    <w:docVar w:name="DQCResult_ModifiedNumbering" w:val="0;0"/>
    <w:docVar w:name="DQCResult_Objects" w:val="0;0"/>
    <w:docVar w:name="DQCResult_Sections" w:val="0;0"/>
    <w:docVar w:name="DQCResult_StructureCheck" w:val="0;0"/>
    <w:docVar w:name="DQCResult_SuperfluousWhitespace" w:val="0;25"/>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DAB54187-8AA4-4B99-A87A-E2323752A5A4"/>
    <w:docVar w:name="LW_COVERPAGE_TYPE" w:val="1"/>
    <w:docVar w:name="LW_CROSSREFERENCE" w:val="{SWD(2021) 391 final}"/>
    <w:docVar w:name="LW_DocType" w:val="COM"/>
    <w:docVar w:name="LW_EMISSION" w:val="1.12.2021"/>
    <w:docVar w:name="LW_EMISSION_ISODATE" w:val="2021-12-01"/>
    <w:docVar w:name="LW_EMISSION_LOCATION" w:val="BRX"/>
    <w:docVar w:name="LW_EMISSION_PREFIX" w:val="Bruxelles, den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DA"/>
    <w:docVar w:name="LW_LEVEL_OF_SENSITIVITY" w:val="Standard treatment"/>
    <w:docVar w:name="LW_NOM.INST" w:val="EUROPA-KOMMISSIONEN"/>
    <w:docVar w:name="LW_NOM.INST_JOINTDOC" w:val="&lt;EMPTY&gt;"/>
    <w:docVar w:name="LW_PART_NBR" w:val="1"/>
    <w:docVar w:name="LW_PART_NBR_TOTAL" w:val="1"/>
    <w:docVar w:name="LW_REF.II.NEW.CP" w:val="COD"/>
    <w:docVar w:name="LW_REF.II.NEW.CP_NUMBER" w:val="0393"/>
    <w:docVar w:name="LW_REF.II.NEW.CP_YEAR" w:val="2021"/>
    <w:docVar w:name="LW_REF.INST.NEW" w:val="COM"/>
    <w:docVar w:name="LW_REF.INST.NEW_ADOPTED" w:val="final"/>
    <w:docVar w:name="LW_REF.INST.NEW_TEXT" w:val="(2021) 75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Forslag til"/>
    <w:docVar w:name="LW_SUPERTITRE" w:val="&lt;UNUSED&gt;"/>
    <w:docVar w:name="LW_TITRE.OBJ.CP" w:val="om ændring af Europa-Parlamentets og Rådets forordning (EU) 2018/1727 og Rådets afgørelse 2005/671/RIA for så vidt angår digital informationsudveksling i terrorsager"/>
    <w:docVar w:name="LW_TYPE.DOC.CP" w:val="EUROPA-PARLAMENTETS OG RÅDETS FORORDNING"/>
    <w:docVar w:name="LwApiVersions" w:val="LW4CoDe 1.23.2.0; LW 8.0, Build 20211117"/>
  </w:docVars>
  <w:rsids>
    <w:rsidRoot w:val="00EB0A3C"/>
    <w:rsid w:val="00000EE2"/>
    <w:rsid w:val="00001560"/>
    <w:rsid w:val="00001EF1"/>
    <w:rsid w:val="0000298A"/>
    <w:rsid w:val="00003299"/>
    <w:rsid w:val="00003559"/>
    <w:rsid w:val="00004792"/>
    <w:rsid w:val="00013007"/>
    <w:rsid w:val="00014070"/>
    <w:rsid w:val="0001418E"/>
    <w:rsid w:val="00014D6B"/>
    <w:rsid w:val="00014D79"/>
    <w:rsid w:val="00015835"/>
    <w:rsid w:val="000217AE"/>
    <w:rsid w:val="00033A53"/>
    <w:rsid w:val="00034149"/>
    <w:rsid w:val="0003748B"/>
    <w:rsid w:val="00040C7C"/>
    <w:rsid w:val="00041D98"/>
    <w:rsid w:val="00044802"/>
    <w:rsid w:val="000449CC"/>
    <w:rsid w:val="00045161"/>
    <w:rsid w:val="00047DFD"/>
    <w:rsid w:val="00050ADC"/>
    <w:rsid w:val="00054CE5"/>
    <w:rsid w:val="00055D75"/>
    <w:rsid w:val="000723BB"/>
    <w:rsid w:val="00073BF1"/>
    <w:rsid w:val="00077618"/>
    <w:rsid w:val="0008003B"/>
    <w:rsid w:val="0008065C"/>
    <w:rsid w:val="0008085C"/>
    <w:rsid w:val="000835D7"/>
    <w:rsid w:val="00086D04"/>
    <w:rsid w:val="0009077D"/>
    <w:rsid w:val="00093010"/>
    <w:rsid w:val="00095608"/>
    <w:rsid w:val="00095AE6"/>
    <w:rsid w:val="000A0580"/>
    <w:rsid w:val="000A285B"/>
    <w:rsid w:val="000A3523"/>
    <w:rsid w:val="000A52BB"/>
    <w:rsid w:val="000A7517"/>
    <w:rsid w:val="000B4B42"/>
    <w:rsid w:val="000C3EBC"/>
    <w:rsid w:val="000C5DA4"/>
    <w:rsid w:val="000C6AEC"/>
    <w:rsid w:val="000C70EF"/>
    <w:rsid w:val="000C7791"/>
    <w:rsid w:val="000D157B"/>
    <w:rsid w:val="000D1D15"/>
    <w:rsid w:val="000D2F65"/>
    <w:rsid w:val="000D68E2"/>
    <w:rsid w:val="000D757F"/>
    <w:rsid w:val="000E198E"/>
    <w:rsid w:val="000E71EF"/>
    <w:rsid w:val="000F03C5"/>
    <w:rsid w:val="000F0981"/>
    <w:rsid w:val="000F494A"/>
    <w:rsid w:val="000F4E6A"/>
    <w:rsid w:val="00100645"/>
    <w:rsid w:val="00101907"/>
    <w:rsid w:val="00101C36"/>
    <w:rsid w:val="00104ADF"/>
    <w:rsid w:val="0010640D"/>
    <w:rsid w:val="00106ED9"/>
    <w:rsid w:val="00111467"/>
    <w:rsid w:val="0011172B"/>
    <w:rsid w:val="001131CE"/>
    <w:rsid w:val="00113918"/>
    <w:rsid w:val="0011642E"/>
    <w:rsid w:val="00121E2C"/>
    <w:rsid w:val="00121F28"/>
    <w:rsid w:val="00133963"/>
    <w:rsid w:val="00133AF4"/>
    <w:rsid w:val="00140372"/>
    <w:rsid w:val="001430C9"/>
    <w:rsid w:val="00143576"/>
    <w:rsid w:val="0014382F"/>
    <w:rsid w:val="00146009"/>
    <w:rsid w:val="00146939"/>
    <w:rsid w:val="00150D79"/>
    <w:rsid w:val="001526F4"/>
    <w:rsid w:val="001602B0"/>
    <w:rsid w:val="001662C1"/>
    <w:rsid w:val="001674C8"/>
    <w:rsid w:val="00167DD3"/>
    <w:rsid w:val="00167E37"/>
    <w:rsid w:val="001719AE"/>
    <w:rsid w:val="001800CF"/>
    <w:rsid w:val="001831CE"/>
    <w:rsid w:val="00183611"/>
    <w:rsid w:val="0018409A"/>
    <w:rsid w:val="0018420F"/>
    <w:rsid w:val="00187E2E"/>
    <w:rsid w:val="00193F20"/>
    <w:rsid w:val="00195FE5"/>
    <w:rsid w:val="00196409"/>
    <w:rsid w:val="00196C2B"/>
    <w:rsid w:val="00197F34"/>
    <w:rsid w:val="001A2AF9"/>
    <w:rsid w:val="001A7678"/>
    <w:rsid w:val="001B1106"/>
    <w:rsid w:val="001B21B9"/>
    <w:rsid w:val="001B2863"/>
    <w:rsid w:val="001B37C1"/>
    <w:rsid w:val="001B5FC3"/>
    <w:rsid w:val="001B6792"/>
    <w:rsid w:val="001C25A7"/>
    <w:rsid w:val="001C2816"/>
    <w:rsid w:val="001C7250"/>
    <w:rsid w:val="001D251A"/>
    <w:rsid w:val="001D2F0D"/>
    <w:rsid w:val="001E1475"/>
    <w:rsid w:val="001E2698"/>
    <w:rsid w:val="001E388E"/>
    <w:rsid w:val="001F14ED"/>
    <w:rsid w:val="001F1518"/>
    <w:rsid w:val="001F1E46"/>
    <w:rsid w:val="00200E65"/>
    <w:rsid w:val="0020584E"/>
    <w:rsid w:val="00221FF8"/>
    <w:rsid w:val="00223013"/>
    <w:rsid w:val="0022302F"/>
    <w:rsid w:val="0022315B"/>
    <w:rsid w:val="00223B55"/>
    <w:rsid w:val="00225796"/>
    <w:rsid w:val="00225898"/>
    <w:rsid w:val="00226A96"/>
    <w:rsid w:val="0022743C"/>
    <w:rsid w:val="00227AAA"/>
    <w:rsid w:val="00230731"/>
    <w:rsid w:val="00232E98"/>
    <w:rsid w:val="00240A7E"/>
    <w:rsid w:val="00242369"/>
    <w:rsid w:val="002436E4"/>
    <w:rsid w:val="002463D5"/>
    <w:rsid w:val="0025259D"/>
    <w:rsid w:val="00257BB6"/>
    <w:rsid w:val="00261455"/>
    <w:rsid w:val="00264943"/>
    <w:rsid w:val="002678BD"/>
    <w:rsid w:val="00267D0E"/>
    <w:rsid w:val="002710AC"/>
    <w:rsid w:val="00274581"/>
    <w:rsid w:val="002809FA"/>
    <w:rsid w:val="00281017"/>
    <w:rsid w:val="00282EF2"/>
    <w:rsid w:val="002A087B"/>
    <w:rsid w:val="002A4ABD"/>
    <w:rsid w:val="002A62EC"/>
    <w:rsid w:val="002B14C9"/>
    <w:rsid w:val="002B1990"/>
    <w:rsid w:val="002B3C40"/>
    <w:rsid w:val="002C5E26"/>
    <w:rsid w:val="002C63E1"/>
    <w:rsid w:val="002C7C73"/>
    <w:rsid w:val="002D7040"/>
    <w:rsid w:val="002D72A6"/>
    <w:rsid w:val="002E0D46"/>
    <w:rsid w:val="002E5326"/>
    <w:rsid w:val="002E7B42"/>
    <w:rsid w:val="002F0533"/>
    <w:rsid w:val="002F68FE"/>
    <w:rsid w:val="003046FD"/>
    <w:rsid w:val="003053B5"/>
    <w:rsid w:val="00307A53"/>
    <w:rsid w:val="00307EB2"/>
    <w:rsid w:val="0031219E"/>
    <w:rsid w:val="00315C0B"/>
    <w:rsid w:val="003223BD"/>
    <w:rsid w:val="00323D63"/>
    <w:rsid w:val="003302AF"/>
    <w:rsid w:val="003324FA"/>
    <w:rsid w:val="003334EF"/>
    <w:rsid w:val="003335A9"/>
    <w:rsid w:val="00335DBD"/>
    <w:rsid w:val="003371F0"/>
    <w:rsid w:val="003433F5"/>
    <w:rsid w:val="00345DDD"/>
    <w:rsid w:val="00350ADD"/>
    <w:rsid w:val="003517C3"/>
    <w:rsid w:val="00351F9A"/>
    <w:rsid w:val="00360BA1"/>
    <w:rsid w:val="00372FD1"/>
    <w:rsid w:val="003737F8"/>
    <w:rsid w:val="003769C4"/>
    <w:rsid w:val="00377B3F"/>
    <w:rsid w:val="00381044"/>
    <w:rsid w:val="0038429E"/>
    <w:rsid w:val="003A2FEB"/>
    <w:rsid w:val="003B12ED"/>
    <w:rsid w:val="003B59FF"/>
    <w:rsid w:val="003C2FC0"/>
    <w:rsid w:val="003C7DDE"/>
    <w:rsid w:val="003D0074"/>
    <w:rsid w:val="003D1D2C"/>
    <w:rsid w:val="003D34A1"/>
    <w:rsid w:val="003D3A7C"/>
    <w:rsid w:val="003D3BE3"/>
    <w:rsid w:val="003E1664"/>
    <w:rsid w:val="003E3A27"/>
    <w:rsid w:val="003F209E"/>
    <w:rsid w:val="003F2A7C"/>
    <w:rsid w:val="00403874"/>
    <w:rsid w:val="004074FF"/>
    <w:rsid w:val="0041167C"/>
    <w:rsid w:val="00414F8C"/>
    <w:rsid w:val="00415053"/>
    <w:rsid w:val="0042005A"/>
    <w:rsid w:val="0042485A"/>
    <w:rsid w:val="00430B03"/>
    <w:rsid w:val="00432A95"/>
    <w:rsid w:val="00436363"/>
    <w:rsid w:val="0044405B"/>
    <w:rsid w:val="00450CE1"/>
    <w:rsid w:val="00451503"/>
    <w:rsid w:val="004568E6"/>
    <w:rsid w:val="00461608"/>
    <w:rsid w:val="00462F14"/>
    <w:rsid w:val="00463F84"/>
    <w:rsid w:val="00474438"/>
    <w:rsid w:val="00477399"/>
    <w:rsid w:val="00483345"/>
    <w:rsid w:val="00484A0E"/>
    <w:rsid w:val="0048528A"/>
    <w:rsid w:val="00490DC9"/>
    <w:rsid w:val="004974F9"/>
    <w:rsid w:val="004A2087"/>
    <w:rsid w:val="004A67F3"/>
    <w:rsid w:val="004B0A31"/>
    <w:rsid w:val="004B68C9"/>
    <w:rsid w:val="004C25EB"/>
    <w:rsid w:val="004C34D8"/>
    <w:rsid w:val="004C538D"/>
    <w:rsid w:val="004C6D2F"/>
    <w:rsid w:val="004C7BB1"/>
    <w:rsid w:val="004D181C"/>
    <w:rsid w:val="004D2520"/>
    <w:rsid w:val="004D3101"/>
    <w:rsid w:val="004D3DB7"/>
    <w:rsid w:val="004D54A1"/>
    <w:rsid w:val="004E0629"/>
    <w:rsid w:val="004E3EF0"/>
    <w:rsid w:val="004E439A"/>
    <w:rsid w:val="004E682B"/>
    <w:rsid w:val="004E720C"/>
    <w:rsid w:val="004E7BC1"/>
    <w:rsid w:val="004F0B61"/>
    <w:rsid w:val="004F2975"/>
    <w:rsid w:val="004F6320"/>
    <w:rsid w:val="004F6517"/>
    <w:rsid w:val="004F66D4"/>
    <w:rsid w:val="0050030B"/>
    <w:rsid w:val="00500A6A"/>
    <w:rsid w:val="0051347E"/>
    <w:rsid w:val="005152E7"/>
    <w:rsid w:val="0051581E"/>
    <w:rsid w:val="00515BB0"/>
    <w:rsid w:val="00515CE1"/>
    <w:rsid w:val="005161C8"/>
    <w:rsid w:val="00522247"/>
    <w:rsid w:val="00526582"/>
    <w:rsid w:val="00535666"/>
    <w:rsid w:val="00537298"/>
    <w:rsid w:val="00544459"/>
    <w:rsid w:val="005445BF"/>
    <w:rsid w:val="0055313A"/>
    <w:rsid w:val="00553E3B"/>
    <w:rsid w:val="00560246"/>
    <w:rsid w:val="00560FF6"/>
    <w:rsid w:val="00566FAA"/>
    <w:rsid w:val="00571509"/>
    <w:rsid w:val="00584C80"/>
    <w:rsid w:val="00585048"/>
    <w:rsid w:val="00594B9E"/>
    <w:rsid w:val="00595519"/>
    <w:rsid w:val="005959B5"/>
    <w:rsid w:val="00595FAC"/>
    <w:rsid w:val="005A045B"/>
    <w:rsid w:val="005A29AD"/>
    <w:rsid w:val="005B0479"/>
    <w:rsid w:val="005B0A19"/>
    <w:rsid w:val="005B1D3F"/>
    <w:rsid w:val="005B2C37"/>
    <w:rsid w:val="005B3969"/>
    <w:rsid w:val="005B63A2"/>
    <w:rsid w:val="005B6B72"/>
    <w:rsid w:val="005B7297"/>
    <w:rsid w:val="005D456F"/>
    <w:rsid w:val="005D636D"/>
    <w:rsid w:val="005E020D"/>
    <w:rsid w:val="005E432A"/>
    <w:rsid w:val="005E7CF8"/>
    <w:rsid w:val="005F3AA9"/>
    <w:rsid w:val="005F51FE"/>
    <w:rsid w:val="005F5760"/>
    <w:rsid w:val="005F6A7E"/>
    <w:rsid w:val="005F7943"/>
    <w:rsid w:val="00604E05"/>
    <w:rsid w:val="0060533C"/>
    <w:rsid w:val="006121D0"/>
    <w:rsid w:val="006136DC"/>
    <w:rsid w:val="00615067"/>
    <w:rsid w:val="00617252"/>
    <w:rsid w:val="00617977"/>
    <w:rsid w:val="00621474"/>
    <w:rsid w:val="00626C6A"/>
    <w:rsid w:val="00633ED0"/>
    <w:rsid w:val="006356F5"/>
    <w:rsid w:val="00643008"/>
    <w:rsid w:val="00670CD3"/>
    <w:rsid w:val="00674118"/>
    <w:rsid w:val="0067788A"/>
    <w:rsid w:val="00694595"/>
    <w:rsid w:val="006A0D14"/>
    <w:rsid w:val="006A27FE"/>
    <w:rsid w:val="006A50D1"/>
    <w:rsid w:val="006A5C31"/>
    <w:rsid w:val="006B0103"/>
    <w:rsid w:val="006C1CA7"/>
    <w:rsid w:val="006C72D3"/>
    <w:rsid w:val="006C78BE"/>
    <w:rsid w:val="006D070D"/>
    <w:rsid w:val="006D089C"/>
    <w:rsid w:val="006D0ACA"/>
    <w:rsid w:val="006D0C68"/>
    <w:rsid w:val="006D1312"/>
    <w:rsid w:val="006D1736"/>
    <w:rsid w:val="006D3B69"/>
    <w:rsid w:val="006E1804"/>
    <w:rsid w:val="006E524A"/>
    <w:rsid w:val="006F178C"/>
    <w:rsid w:val="0070128F"/>
    <w:rsid w:val="007044A5"/>
    <w:rsid w:val="00704A1E"/>
    <w:rsid w:val="007074A5"/>
    <w:rsid w:val="0071208E"/>
    <w:rsid w:val="00712C86"/>
    <w:rsid w:val="0071478B"/>
    <w:rsid w:val="00715ADE"/>
    <w:rsid w:val="00716F1A"/>
    <w:rsid w:val="00720167"/>
    <w:rsid w:val="00721E38"/>
    <w:rsid w:val="0072282A"/>
    <w:rsid w:val="00723976"/>
    <w:rsid w:val="007270A0"/>
    <w:rsid w:val="00733850"/>
    <w:rsid w:val="007447EF"/>
    <w:rsid w:val="00753CE1"/>
    <w:rsid w:val="007609D6"/>
    <w:rsid w:val="007640EB"/>
    <w:rsid w:val="00796CA9"/>
    <w:rsid w:val="007A17CE"/>
    <w:rsid w:val="007A613C"/>
    <w:rsid w:val="007A7A43"/>
    <w:rsid w:val="007A7F2F"/>
    <w:rsid w:val="007B0370"/>
    <w:rsid w:val="007B26CA"/>
    <w:rsid w:val="007B2D5A"/>
    <w:rsid w:val="007B5BE7"/>
    <w:rsid w:val="007B7D4A"/>
    <w:rsid w:val="007C06F6"/>
    <w:rsid w:val="007C4522"/>
    <w:rsid w:val="007C6BF5"/>
    <w:rsid w:val="007D1494"/>
    <w:rsid w:val="007D2CDA"/>
    <w:rsid w:val="007D50BA"/>
    <w:rsid w:val="007D5116"/>
    <w:rsid w:val="007D7837"/>
    <w:rsid w:val="007E00F6"/>
    <w:rsid w:val="007E4B12"/>
    <w:rsid w:val="007E6658"/>
    <w:rsid w:val="007E7AD2"/>
    <w:rsid w:val="007F0695"/>
    <w:rsid w:val="007F1774"/>
    <w:rsid w:val="007F463D"/>
    <w:rsid w:val="007F5CD0"/>
    <w:rsid w:val="00800CFF"/>
    <w:rsid w:val="00804BF1"/>
    <w:rsid w:val="00805B56"/>
    <w:rsid w:val="00807EE5"/>
    <w:rsid w:val="008101E0"/>
    <w:rsid w:val="008164F8"/>
    <w:rsid w:val="008167A3"/>
    <w:rsid w:val="008168A5"/>
    <w:rsid w:val="00816B3B"/>
    <w:rsid w:val="00825B7A"/>
    <w:rsid w:val="00825D60"/>
    <w:rsid w:val="00826C92"/>
    <w:rsid w:val="008271BC"/>
    <w:rsid w:val="00827757"/>
    <w:rsid w:val="00827B5B"/>
    <w:rsid w:val="00830938"/>
    <w:rsid w:val="0083191B"/>
    <w:rsid w:val="0083334D"/>
    <w:rsid w:val="00847239"/>
    <w:rsid w:val="00857063"/>
    <w:rsid w:val="00862834"/>
    <w:rsid w:val="00862E51"/>
    <w:rsid w:val="0086392E"/>
    <w:rsid w:val="008646FD"/>
    <w:rsid w:val="00864CD8"/>
    <w:rsid w:val="008661D1"/>
    <w:rsid w:val="00874B54"/>
    <w:rsid w:val="0087726B"/>
    <w:rsid w:val="0088305B"/>
    <w:rsid w:val="00884B70"/>
    <w:rsid w:val="008911CF"/>
    <w:rsid w:val="008B17C0"/>
    <w:rsid w:val="008C039C"/>
    <w:rsid w:val="008C482E"/>
    <w:rsid w:val="008D0D63"/>
    <w:rsid w:val="008D1A3D"/>
    <w:rsid w:val="008D5DAB"/>
    <w:rsid w:val="008E133B"/>
    <w:rsid w:val="008E168D"/>
    <w:rsid w:val="008E46D4"/>
    <w:rsid w:val="008E4B0E"/>
    <w:rsid w:val="008E5B8C"/>
    <w:rsid w:val="008E5CBC"/>
    <w:rsid w:val="008F4A03"/>
    <w:rsid w:val="00900A33"/>
    <w:rsid w:val="009048AA"/>
    <w:rsid w:val="00906733"/>
    <w:rsid w:val="00906BEE"/>
    <w:rsid w:val="009104C3"/>
    <w:rsid w:val="00910A5C"/>
    <w:rsid w:val="0091271D"/>
    <w:rsid w:val="00917476"/>
    <w:rsid w:val="0091777E"/>
    <w:rsid w:val="00917943"/>
    <w:rsid w:val="00917AAD"/>
    <w:rsid w:val="0092153D"/>
    <w:rsid w:val="009253BB"/>
    <w:rsid w:val="00927099"/>
    <w:rsid w:val="00930C06"/>
    <w:rsid w:val="009364D8"/>
    <w:rsid w:val="00937679"/>
    <w:rsid w:val="009421DD"/>
    <w:rsid w:val="009422EB"/>
    <w:rsid w:val="00942508"/>
    <w:rsid w:val="00943F7F"/>
    <w:rsid w:val="009507AE"/>
    <w:rsid w:val="009562DA"/>
    <w:rsid w:val="00965753"/>
    <w:rsid w:val="0097506C"/>
    <w:rsid w:val="00980B1A"/>
    <w:rsid w:val="00986B33"/>
    <w:rsid w:val="00987AD5"/>
    <w:rsid w:val="00991849"/>
    <w:rsid w:val="009949F2"/>
    <w:rsid w:val="009A024F"/>
    <w:rsid w:val="009A3AD8"/>
    <w:rsid w:val="009B12C6"/>
    <w:rsid w:val="009B1761"/>
    <w:rsid w:val="009B1D04"/>
    <w:rsid w:val="009B22E1"/>
    <w:rsid w:val="009B7138"/>
    <w:rsid w:val="009C7DC0"/>
    <w:rsid w:val="009D1D5B"/>
    <w:rsid w:val="009D6505"/>
    <w:rsid w:val="009D7C9E"/>
    <w:rsid w:val="009F1FBC"/>
    <w:rsid w:val="009F2988"/>
    <w:rsid w:val="009F44C4"/>
    <w:rsid w:val="009F69D3"/>
    <w:rsid w:val="009F7B81"/>
    <w:rsid w:val="00A052E2"/>
    <w:rsid w:val="00A11308"/>
    <w:rsid w:val="00A14AEE"/>
    <w:rsid w:val="00A157BD"/>
    <w:rsid w:val="00A15FDB"/>
    <w:rsid w:val="00A1799F"/>
    <w:rsid w:val="00A320C8"/>
    <w:rsid w:val="00A3340E"/>
    <w:rsid w:val="00A34DBC"/>
    <w:rsid w:val="00A40364"/>
    <w:rsid w:val="00A4095B"/>
    <w:rsid w:val="00A473D9"/>
    <w:rsid w:val="00A578F5"/>
    <w:rsid w:val="00A60383"/>
    <w:rsid w:val="00A62821"/>
    <w:rsid w:val="00A630A8"/>
    <w:rsid w:val="00A67A79"/>
    <w:rsid w:val="00A72E78"/>
    <w:rsid w:val="00A75A07"/>
    <w:rsid w:val="00A76285"/>
    <w:rsid w:val="00A83782"/>
    <w:rsid w:val="00A838BB"/>
    <w:rsid w:val="00A848FA"/>
    <w:rsid w:val="00A84943"/>
    <w:rsid w:val="00A8552E"/>
    <w:rsid w:val="00A91C8F"/>
    <w:rsid w:val="00AA3CDE"/>
    <w:rsid w:val="00AA4F65"/>
    <w:rsid w:val="00AA7ACB"/>
    <w:rsid w:val="00AB0BF4"/>
    <w:rsid w:val="00AB5C86"/>
    <w:rsid w:val="00AB63ED"/>
    <w:rsid w:val="00AC116B"/>
    <w:rsid w:val="00AC2EC8"/>
    <w:rsid w:val="00AC4718"/>
    <w:rsid w:val="00AC6533"/>
    <w:rsid w:val="00AC79B9"/>
    <w:rsid w:val="00AD11EB"/>
    <w:rsid w:val="00AD6074"/>
    <w:rsid w:val="00AE2319"/>
    <w:rsid w:val="00AE27B4"/>
    <w:rsid w:val="00AE76A5"/>
    <w:rsid w:val="00AF1E8A"/>
    <w:rsid w:val="00AF2230"/>
    <w:rsid w:val="00AF46FC"/>
    <w:rsid w:val="00AF6C45"/>
    <w:rsid w:val="00B0081F"/>
    <w:rsid w:val="00B05CD6"/>
    <w:rsid w:val="00B05D7B"/>
    <w:rsid w:val="00B10821"/>
    <w:rsid w:val="00B15031"/>
    <w:rsid w:val="00B2088F"/>
    <w:rsid w:val="00B23DF5"/>
    <w:rsid w:val="00B2732F"/>
    <w:rsid w:val="00B35B93"/>
    <w:rsid w:val="00B44ABF"/>
    <w:rsid w:val="00B44E65"/>
    <w:rsid w:val="00B50AC3"/>
    <w:rsid w:val="00B5109F"/>
    <w:rsid w:val="00B52D62"/>
    <w:rsid w:val="00B5420C"/>
    <w:rsid w:val="00B551A0"/>
    <w:rsid w:val="00B56DBE"/>
    <w:rsid w:val="00B61C1A"/>
    <w:rsid w:val="00B66F5A"/>
    <w:rsid w:val="00B747AD"/>
    <w:rsid w:val="00B75AEB"/>
    <w:rsid w:val="00B81A3D"/>
    <w:rsid w:val="00B83475"/>
    <w:rsid w:val="00B84B5F"/>
    <w:rsid w:val="00B8657E"/>
    <w:rsid w:val="00B91C45"/>
    <w:rsid w:val="00B922AF"/>
    <w:rsid w:val="00B952BF"/>
    <w:rsid w:val="00B9631D"/>
    <w:rsid w:val="00B97443"/>
    <w:rsid w:val="00BA2FA2"/>
    <w:rsid w:val="00BA3F09"/>
    <w:rsid w:val="00BA5A57"/>
    <w:rsid w:val="00BA5D81"/>
    <w:rsid w:val="00BB09A2"/>
    <w:rsid w:val="00BB6CE0"/>
    <w:rsid w:val="00BB72D8"/>
    <w:rsid w:val="00BC0694"/>
    <w:rsid w:val="00BC0FA1"/>
    <w:rsid w:val="00BC46FA"/>
    <w:rsid w:val="00BD03A3"/>
    <w:rsid w:val="00BD4426"/>
    <w:rsid w:val="00BD513B"/>
    <w:rsid w:val="00BE080C"/>
    <w:rsid w:val="00BE246D"/>
    <w:rsid w:val="00BE5431"/>
    <w:rsid w:val="00BE5CEC"/>
    <w:rsid w:val="00BE7B12"/>
    <w:rsid w:val="00BE7C1D"/>
    <w:rsid w:val="00BF17AA"/>
    <w:rsid w:val="00BF2F78"/>
    <w:rsid w:val="00BF39A5"/>
    <w:rsid w:val="00BF4398"/>
    <w:rsid w:val="00BF6696"/>
    <w:rsid w:val="00BF6EBB"/>
    <w:rsid w:val="00C00C4F"/>
    <w:rsid w:val="00C0580B"/>
    <w:rsid w:val="00C06596"/>
    <w:rsid w:val="00C22F77"/>
    <w:rsid w:val="00C24556"/>
    <w:rsid w:val="00C26696"/>
    <w:rsid w:val="00C32262"/>
    <w:rsid w:val="00C32EE5"/>
    <w:rsid w:val="00C3510B"/>
    <w:rsid w:val="00C41482"/>
    <w:rsid w:val="00C4434E"/>
    <w:rsid w:val="00C71B01"/>
    <w:rsid w:val="00C73165"/>
    <w:rsid w:val="00C73D24"/>
    <w:rsid w:val="00C741DB"/>
    <w:rsid w:val="00C80633"/>
    <w:rsid w:val="00C8150C"/>
    <w:rsid w:val="00C8254C"/>
    <w:rsid w:val="00C874AA"/>
    <w:rsid w:val="00C91E83"/>
    <w:rsid w:val="00C942A4"/>
    <w:rsid w:val="00C95A5A"/>
    <w:rsid w:val="00C96AC7"/>
    <w:rsid w:val="00CA33A5"/>
    <w:rsid w:val="00CA73C4"/>
    <w:rsid w:val="00CB134D"/>
    <w:rsid w:val="00CB1D88"/>
    <w:rsid w:val="00CB2C3E"/>
    <w:rsid w:val="00CB46BF"/>
    <w:rsid w:val="00CC0228"/>
    <w:rsid w:val="00CC58BE"/>
    <w:rsid w:val="00CC637D"/>
    <w:rsid w:val="00CD54BC"/>
    <w:rsid w:val="00CE169D"/>
    <w:rsid w:val="00CE4BC6"/>
    <w:rsid w:val="00CE7EB7"/>
    <w:rsid w:val="00CF1BA1"/>
    <w:rsid w:val="00CF1C80"/>
    <w:rsid w:val="00CF260E"/>
    <w:rsid w:val="00CF4B6A"/>
    <w:rsid w:val="00D00582"/>
    <w:rsid w:val="00D0072B"/>
    <w:rsid w:val="00D01D15"/>
    <w:rsid w:val="00D03B63"/>
    <w:rsid w:val="00D043CB"/>
    <w:rsid w:val="00D051F5"/>
    <w:rsid w:val="00D06679"/>
    <w:rsid w:val="00D078C5"/>
    <w:rsid w:val="00D147B6"/>
    <w:rsid w:val="00D22C3D"/>
    <w:rsid w:val="00D256EB"/>
    <w:rsid w:val="00D271D9"/>
    <w:rsid w:val="00D32A7A"/>
    <w:rsid w:val="00D4054E"/>
    <w:rsid w:val="00D42205"/>
    <w:rsid w:val="00D504F7"/>
    <w:rsid w:val="00D50E6D"/>
    <w:rsid w:val="00D55E92"/>
    <w:rsid w:val="00D57E6A"/>
    <w:rsid w:val="00D63715"/>
    <w:rsid w:val="00D71BEB"/>
    <w:rsid w:val="00D745EF"/>
    <w:rsid w:val="00D779DB"/>
    <w:rsid w:val="00D83A4D"/>
    <w:rsid w:val="00D86234"/>
    <w:rsid w:val="00D87738"/>
    <w:rsid w:val="00D957C9"/>
    <w:rsid w:val="00D96747"/>
    <w:rsid w:val="00DB1B64"/>
    <w:rsid w:val="00DB5074"/>
    <w:rsid w:val="00DB590A"/>
    <w:rsid w:val="00DB5AD2"/>
    <w:rsid w:val="00DB6245"/>
    <w:rsid w:val="00DC2F19"/>
    <w:rsid w:val="00DD1087"/>
    <w:rsid w:val="00DD2809"/>
    <w:rsid w:val="00DD3D1F"/>
    <w:rsid w:val="00DE0BE9"/>
    <w:rsid w:val="00DF0C3D"/>
    <w:rsid w:val="00DF2E95"/>
    <w:rsid w:val="00DF34BD"/>
    <w:rsid w:val="00DF432B"/>
    <w:rsid w:val="00DF5901"/>
    <w:rsid w:val="00DF59E7"/>
    <w:rsid w:val="00E040DC"/>
    <w:rsid w:val="00E11514"/>
    <w:rsid w:val="00E134B7"/>
    <w:rsid w:val="00E150D3"/>
    <w:rsid w:val="00E21CAD"/>
    <w:rsid w:val="00E22046"/>
    <w:rsid w:val="00E2693B"/>
    <w:rsid w:val="00E32833"/>
    <w:rsid w:val="00E33B04"/>
    <w:rsid w:val="00E3497D"/>
    <w:rsid w:val="00E445DA"/>
    <w:rsid w:val="00E44789"/>
    <w:rsid w:val="00E4521C"/>
    <w:rsid w:val="00E462A7"/>
    <w:rsid w:val="00E47757"/>
    <w:rsid w:val="00E500C1"/>
    <w:rsid w:val="00E51504"/>
    <w:rsid w:val="00E529CF"/>
    <w:rsid w:val="00E5663B"/>
    <w:rsid w:val="00E56C74"/>
    <w:rsid w:val="00E601C0"/>
    <w:rsid w:val="00E63DDF"/>
    <w:rsid w:val="00E6804A"/>
    <w:rsid w:val="00E708B5"/>
    <w:rsid w:val="00E71C4D"/>
    <w:rsid w:val="00E81631"/>
    <w:rsid w:val="00E8298E"/>
    <w:rsid w:val="00E845AC"/>
    <w:rsid w:val="00E84622"/>
    <w:rsid w:val="00E850E3"/>
    <w:rsid w:val="00E86398"/>
    <w:rsid w:val="00E91B9A"/>
    <w:rsid w:val="00E95C3F"/>
    <w:rsid w:val="00EA3F52"/>
    <w:rsid w:val="00EA59E5"/>
    <w:rsid w:val="00EB0A3C"/>
    <w:rsid w:val="00EB573B"/>
    <w:rsid w:val="00EB73F6"/>
    <w:rsid w:val="00EC27A1"/>
    <w:rsid w:val="00ED2926"/>
    <w:rsid w:val="00ED73EB"/>
    <w:rsid w:val="00EE212D"/>
    <w:rsid w:val="00EE3A1B"/>
    <w:rsid w:val="00EE507D"/>
    <w:rsid w:val="00EF1EB6"/>
    <w:rsid w:val="00EF32C4"/>
    <w:rsid w:val="00EF6FAD"/>
    <w:rsid w:val="00EF7254"/>
    <w:rsid w:val="00F0090D"/>
    <w:rsid w:val="00F00E13"/>
    <w:rsid w:val="00F01D0A"/>
    <w:rsid w:val="00F01D4C"/>
    <w:rsid w:val="00F029EC"/>
    <w:rsid w:val="00F04081"/>
    <w:rsid w:val="00F05F44"/>
    <w:rsid w:val="00F07446"/>
    <w:rsid w:val="00F100C3"/>
    <w:rsid w:val="00F1149B"/>
    <w:rsid w:val="00F12550"/>
    <w:rsid w:val="00F1286B"/>
    <w:rsid w:val="00F14AD2"/>
    <w:rsid w:val="00F20062"/>
    <w:rsid w:val="00F3355D"/>
    <w:rsid w:val="00F404BB"/>
    <w:rsid w:val="00F44933"/>
    <w:rsid w:val="00F44CB9"/>
    <w:rsid w:val="00F45686"/>
    <w:rsid w:val="00F53045"/>
    <w:rsid w:val="00F5367F"/>
    <w:rsid w:val="00F53CC5"/>
    <w:rsid w:val="00F56F4E"/>
    <w:rsid w:val="00F60BB4"/>
    <w:rsid w:val="00F63015"/>
    <w:rsid w:val="00F65033"/>
    <w:rsid w:val="00F65166"/>
    <w:rsid w:val="00F666CE"/>
    <w:rsid w:val="00F67BC0"/>
    <w:rsid w:val="00F707AF"/>
    <w:rsid w:val="00F743B9"/>
    <w:rsid w:val="00F7560C"/>
    <w:rsid w:val="00F758DF"/>
    <w:rsid w:val="00F84649"/>
    <w:rsid w:val="00F84D35"/>
    <w:rsid w:val="00F86C7A"/>
    <w:rsid w:val="00F91252"/>
    <w:rsid w:val="00FA2E16"/>
    <w:rsid w:val="00FA65E7"/>
    <w:rsid w:val="00FA7367"/>
    <w:rsid w:val="00FB663C"/>
    <w:rsid w:val="00FC00B8"/>
    <w:rsid w:val="00FC504C"/>
    <w:rsid w:val="00FC6272"/>
    <w:rsid w:val="00FD3BFA"/>
    <w:rsid w:val="00FD753D"/>
    <w:rsid w:val="00FD7668"/>
    <w:rsid w:val="00FE0E83"/>
    <w:rsid w:val="00FE1D59"/>
    <w:rsid w:val="00FE1EEB"/>
    <w:rsid w:val="00FE2273"/>
    <w:rsid w:val="00FF52BA"/>
    <w:rsid w:val="00FF6C66"/>
    <w:rsid w:val="00FF6DF9"/>
    <w:rsid w:val="0B4EA5F0"/>
    <w:rsid w:val="0B5BAFE5"/>
    <w:rsid w:val="160710AA"/>
    <w:rsid w:val="18146542"/>
    <w:rsid w:val="18C1C549"/>
    <w:rsid w:val="191FD9A1"/>
    <w:rsid w:val="1A21E471"/>
    <w:rsid w:val="1A265653"/>
    <w:rsid w:val="1FF0445A"/>
    <w:rsid w:val="2AA2F5D2"/>
    <w:rsid w:val="3C5B9FFD"/>
    <w:rsid w:val="418FC819"/>
    <w:rsid w:val="46D10965"/>
    <w:rsid w:val="5538A56D"/>
    <w:rsid w:val="58C9E2C4"/>
    <w:rsid w:val="6BC1807E"/>
    <w:rsid w:val="6CB21DE9"/>
    <w:rsid w:val="7CC31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3C87F5F0"/>
  <w15:docId w15:val="{A9244CD9-5D57-491F-AA4D-AE6394E08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a-DK"/>
    </w:rPr>
  </w:style>
  <w:style w:type="paragraph" w:styleId="Heading1">
    <w:name w:val="heading 1"/>
    <w:basedOn w:val="Normal"/>
    <w:next w:val="Text1"/>
    <w:link w:val="Heading1Char"/>
    <w:uiPriority w:val="9"/>
    <w:qFormat/>
    <w:rsid w:val="009B7138"/>
    <w:pPr>
      <w:keepNext/>
      <w:numPr>
        <w:numId w:val="5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5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51"/>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51"/>
      </w:numPr>
      <w:outlineLvl w:val="3"/>
    </w:pPr>
    <w:rPr>
      <w:rFonts w:eastAsiaTheme="majorEastAsia"/>
      <w:bCs/>
      <w:iCs/>
    </w:rPr>
  </w:style>
  <w:style w:type="paragraph" w:styleId="Heading5">
    <w:name w:val="heading 5"/>
    <w:basedOn w:val="Normal"/>
    <w:next w:val="Text2"/>
    <w:link w:val="Heading5Char"/>
    <w:uiPriority w:val="9"/>
    <w:semiHidden/>
    <w:unhideWhenUsed/>
    <w:qFormat/>
    <w:rsid w:val="00113918"/>
    <w:pPr>
      <w:keepNext/>
      <w:numPr>
        <w:ilvl w:val="4"/>
        <w:numId w:val="51"/>
      </w:numPr>
      <w:outlineLvl w:val="4"/>
    </w:pPr>
    <w:rPr>
      <w:rFonts w:eastAsiaTheme="majorEastAsia"/>
    </w:rPr>
  </w:style>
  <w:style w:type="paragraph" w:styleId="Heading6">
    <w:name w:val="heading 6"/>
    <w:basedOn w:val="Normal"/>
    <w:next w:val="Text2"/>
    <w:link w:val="Heading6Char"/>
    <w:uiPriority w:val="9"/>
    <w:semiHidden/>
    <w:unhideWhenUsed/>
    <w:qFormat/>
    <w:rsid w:val="00113918"/>
    <w:pPr>
      <w:keepNext/>
      <w:numPr>
        <w:ilvl w:val="5"/>
        <w:numId w:val="51"/>
      </w:numPr>
      <w:outlineLvl w:val="5"/>
    </w:pPr>
    <w:rPr>
      <w:rFonts w:eastAsiaTheme="majorEastAsia"/>
      <w:iCs/>
    </w:rPr>
  </w:style>
  <w:style w:type="paragraph" w:styleId="Heading7">
    <w:name w:val="heading 7"/>
    <w:basedOn w:val="Normal"/>
    <w:next w:val="Text2"/>
    <w:link w:val="Heading7Char"/>
    <w:uiPriority w:val="9"/>
    <w:semiHidden/>
    <w:unhideWhenUsed/>
    <w:qFormat/>
    <w:rsid w:val="00113918"/>
    <w:pPr>
      <w:keepNext/>
      <w:numPr>
        <w:ilvl w:val="6"/>
        <w:numId w:val="5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649"/>
    <w:pPr>
      <w:spacing w:before="0" w:after="160" w:line="259" w:lineRule="auto"/>
      <w:ind w:left="720"/>
      <w:contextualSpacing/>
      <w:jc w:val="left"/>
    </w:pPr>
    <w:rPr>
      <w:rFonts w:asciiTheme="minorHAnsi" w:hAnsiTheme="minorHAnsi" w:cstheme="minorBidi"/>
      <w:sz w:val="22"/>
    </w:rPr>
  </w:style>
  <w:style w:type="character" w:styleId="CommentReference">
    <w:name w:val="annotation reference"/>
    <w:basedOn w:val="DefaultParagraphFont"/>
    <w:unhideWhenUsed/>
    <w:rsid w:val="00E11514"/>
    <w:rPr>
      <w:sz w:val="16"/>
      <w:szCs w:val="16"/>
    </w:rPr>
  </w:style>
  <w:style w:type="paragraph" w:styleId="CommentText">
    <w:name w:val="annotation text"/>
    <w:basedOn w:val="Normal"/>
    <w:link w:val="CommentTextChar"/>
    <w:unhideWhenUsed/>
    <w:rsid w:val="00E11514"/>
    <w:pPr>
      <w:spacing w:before="0" w:after="160"/>
      <w:jc w:val="left"/>
    </w:pPr>
    <w:rPr>
      <w:rFonts w:asciiTheme="minorHAnsi" w:hAnsiTheme="minorHAnsi" w:cstheme="minorBidi"/>
      <w:sz w:val="20"/>
      <w:szCs w:val="20"/>
    </w:rPr>
  </w:style>
  <w:style w:type="character" w:customStyle="1" w:styleId="CommentTextChar">
    <w:name w:val="Comment Text Char"/>
    <w:basedOn w:val="DefaultParagraphFont"/>
    <w:link w:val="CommentText"/>
    <w:rsid w:val="00E11514"/>
    <w:rPr>
      <w:sz w:val="20"/>
      <w:szCs w:val="20"/>
    </w:rPr>
  </w:style>
  <w:style w:type="paragraph" w:styleId="BalloonText">
    <w:name w:val="Balloon Text"/>
    <w:basedOn w:val="Normal"/>
    <w:link w:val="BalloonTextChar"/>
    <w:unhideWhenUsed/>
    <w:rsid w:val="00E11514"/>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E11514"/>
    <w:rPr>
      <w:rFonts w:ascii="Segoe UI" w:hAnsi="Segoe UI" w:cs="Segoe UI"/>
      <w:sz w:val="18"/>
      <w:szCs w:val="18"/>
      <w:lang w:val="da-DK"/>
    </w:rPr>
  </w:style>
  <w:style w:type="paragraph" w:styleId="ListBullet">
    <w:name w:val="List Bullet"/>
    <w:basedOn w:val="Normal"/>
    <w:unhideWhenUsed/>
    <w:rsid w:val="00451503"/>
    <w:pPr>
      <w:numPr>
        <w:numId w:val="1"/>
      </w:numPr>
      <w:contextualSpacing/>
    </w:pPr>
  </w:style>
  <w:style w:type="paragraph" w:styleId="ListBullet2">
    <w:name w:val="List Bullet 2"/>
    <w:basedOn w:val="Normal"/>
    <w:unhideWhenUsed/>
    <w:rsid w:val="00451503"/>
    <w:pPr>
      <w:numPr>
        <w:numId w:val="2"/>
      </w:numPr>
      <w:contextualSpacing/>
    </w:pPr>
  </w:style>
  <w:style w:type="paragraph" w:styleId="ListBullet3">
    <w:name w:val="List Bullet 3"/>
    <w:basedOn w:val="Normal"/>
    <w:unhideWhenUsed/>
    <w:rsid w:val="00451503"/>
    <w:pPr>
      <w:numPr>
        <w:numId w:val="3"/>
      </w:numPr>
      <w:contextualSpacing/>
    </w:pPr>
  </w:style>
  <w:style w:type="paragraph" w:styleId="ListBullet4">
    <w:name w:val="List Bullet 4"/>
    <w:basedOn w:val="Normal"/>
    <w:unhideWhenUsed/>
    <w:rsid w:val="00451503"/>
    <w:pPr>
      <w:numPr>
        <w:numId w:val="4"/>
      </w:numPr>
      <w:contextualSpacing/>
    </w:pPr>
  </w:style>
  <w:style w:type="paragraph" w:styleId="CommentSubject">
    <w:name w:val="annotation subject"/>
    <w:basedOn w:val="CommentText"/>
    <w:next w:val="CommentText"/>
    <w:link w:val="CommentSubjectChar"/>
    <w:unhideWhenUsed/>
    <w:rsid w:val="00451503"/>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rsid w:val="00451503"/>
    <w:rPr>
      <w:rFonts w:ascii="Times New Roman" w:hAnsi="Times New Roman" w:cs="Times New Roman"/>
      <w:b/>
      <w:bCs/>
      <w:sz w:val="20"/>
      <w:szCs w:val="20"/>
      <w:lang w:val="da-DK"/>
    </w:rPr>
  </w:style>
  <w:style w:type="paragraph" w:styleId="Revision">
    <w:name w:val="Revision"/>
    <w:hidden/>
    <w:uiPriority w:val="99"/>
    <w:semiHidden/>
    <w:rsid w:val="00451503"/>
    <w:pPr>
      <w:spacing w:after="0" w:line="240" w:lineRule="auto"/>
    </w:pPr>
    <w:rPr>
      <w:rFonts w:ascii="Times New Roman" w:hAnsi="Times New Roman" w:cs="Times New Roman"/>
      <w:sz w:val="24"/>
    </w:rPr>
  </w:style>
  <w:style w:type="paragraph" w:styleId="Caption">
    <w:name w:val="caption"/>
    <w:basedOn w:val="Normal"/>
    <w:next w:val="Normal"/>
    <w:unhideWhenUsed/>
    <w:qFormat/>
    <w:rsid w:val="00626C6A"/>
    <w:pPr>
      <w:spacing w:before="0" w:after="200"/>
    </w:pPr>
    <w:rPr>
      <w:i/>
      <w:iCs/>
      <w:color w:val="1F497D" w:themeColor="text2"/>
      <w:sz w:val="18"/>
      <w:szCs w:val="18"/>
    </w:rPr>
  </w:style>
  <w:style w:type="paragraph" w:styleId="TableofFigures">
    <w:name w:val="table of figures"/>
    <w:basedOn w:val="Normal"/>
    <w:next w:val="Normal"/>
    <w:unhideWhenUsed/>
    <w:rsid w:val="00626C6A"/>
    <w:pPr>
      <w:spacing w:after="0"/>
    </w:pPr>
  </w:style>
  <w:style w:type="paragraph" w:styleId="ListNumber">
    <w:name w:val="List Number"/>
    <w:basedOn w:val="Normal"/>
    <w:unhideWhenUsed/>
    <w:rsid w:val="00626C6A"/>
    <w:pPr>
      <w:numPr>
        <w:numId w:val="12"/>
      </w:numPr>
      <w:contextualSpacing/>
    </w:pPr>
  </w:style>
  <w:style w:type="paragraph" w:styleId="ListNumber2">
    <w:name w:val="List Number 2"/>
    <w:basedOn w:val="Normal"/>
    <w:unhideWhenUsed/>
    <w:rsid w:val="00626C6A"/>
    <w:pPr>
      <w:numPr>
        <w:numId w:val="13"/>
      </w:numPr>
      <w:contextualSpacing/>
    </w:pPr>
  </w:style>
  <w:style w:type="paragraph" w:styleId="ListNumber3">
    <w:name w:val="List Number 3"/>
    <w:basedOn w:val="Normal"/>
    <w:unhideWhenUsed/>
    <w:rsid w:val="00626C6A"/>
    <w:pPr>
      <w:numPr>
        <w:numId w:val="14"/>
      </w:numPr>
      <w:contextualSpacing/>
    </w:pPr>
  </w:style>
  <w:style w:type="paragraph" w:styleId="ListNumber4">
    <w:name w:val="List Number 4"/>
    <w:basedOn w:val="Normal"/>
    <w:unhideWhenUsed/>
    <w:rsid w:val="00626C6A"/>
    <w:pPr>
      <w:numPr>
        <w:numId w:val="15"/>
      </w:numPr>
      <w:contextualSpacing/>
    </w:pPr>
  </w:style>
  <w:style w:type="character" w:styleId="Hyperlink">
    <w:name w:val="Hyperlink"/>
    <w:basedOn w:val="DefaultParagraphFont"/>
    <w:uiPriority w:val="99"/>
    <w:unhideWhenUsed/>
    <w:rsid w:val="00715ADE"/>
    <w:rPr>
      <w:color w:val="0000FF" w:themeColor="hyperlink"/>
      <w:u w:val="single"/>
    </w:rPr>
  </w:style>
  <w:style w:type="character" w:styleId="FollowedHyperlink">
    <w:name w:val="FollowedHyperlink"/>
    <w:unhideWhenUsed/>
    <w:rsid w:val="009F1FBC"/>
    <w:rPr>
      <w:color w:val="800080"/>
      <w:u w:val="single"/>
    </w:rPr>
  </w:style>
  <w:style w:type="paragraph" w:customStyle="1" w:styleId="msonormal0">
    <w:name w:val="msonormal"/>
    <w:basedOn w:val="Normal"/>
    <w:rsid w:val="009F1FBC"/>
    <w:pPr>
      <w:spacing w:before="100" w:beforeAutospacing="1" w:after="100" w:afterAutospacing="1"/>
      <w:jc w:val="left"/>
    </w:pPr>
    <w:rPr>
      <w:rFonts w:eastAsia="Times New Roman"/>
      <w:szCs w:val="24"/>
      <w:lang w:eastAsia="fr-BE"/>
    </w:rPr>
  </w:style>
  <w:style w:type="character" w:customStyle="1" w:styleId="TOCHeadingChar">
    <w:name w:val="TOC Heading Char"/>
    <w:basedOn w:val="DefaultParagraphFont"/>
    <w:uiPriority w:val="39"/>
    <w:locked/>
    <w:rsid w:val="009F1FBC"/>
    <w:rPr>
      <w:rFonts w:ascii="Times New Roman" w:hAnsi="Times New Roman" w:cs="Times New Roman"/>
      <w:b/>
      <w:sz w:val="28"/>
      <w:lang w:val="da-DK"/>
    </w:rPr>
  </w:style>
  <w:style w:type="paragraph" w:customStyle="1" w:styleId="ListBullet1">
    <w:name w:val="List Bullet 1"/>
    <w:basedOn w:val="Normal"/>
    <w:rsid w:val="009F1FBC"/>
    <w:pPr>
      <w:numPr>
        <w:numId w:val="20"/>
      </w:numPr>
    </w:pPr>
    <w:rPr>
      <w:lang w:eastAsia="en-GB"/>
    </w:rPr>
  </w:style>
  <w:style w:type="paragraph" w:customStyle="1" w:styleId="ListDash1">
    <w:name w:val="List Dash 1"/>
    <w:basedOn w:val="Normal"/>
    <w:rsid w:val="009F1FBC"/>
    <w:pPr>
      <w:numPr>
        <w:numId w:val="21"/>
      </w:numPr>
    </w:pPr>
    <w:rPr>
      <w:lang w:eastAsia="en-GB"/>
    </w:rPr>
  </w:style>
  <w:style w:type="paragraph" w:customStyle="1" w:styleId="ListDash2">
    <w:name w:val="List Dash 2"/>
    <w:basedOn w:val="Normal"/>
    <w:rsid w:val="009F1FBC"/>
    <w:pPr>
      <w:numPr>
        <w:numId w:val="22"/>
      </w:numPr>
    </w:pPr>
    <w:rPr>
      <w:lang w:eastAsia="en-GB"/>
    </w:rPr>
  </w:style>
  <w:style w:type="paragraph" w:customStyle="1" w:styleId="ListNumberLevel2">
    <w:name w:val="List Number (Level 2)"/>
    <w:basedOn w:val="Normal"/>
    <w:rsid w:val="009F1FBC"/>
    <w:pPr>
      <w:tabs>
        <w:tab w:val="num" w:pos="1417"/>
      </w:tabs>
      <w:ind w:left="1417" w:hanging="708"/>
    </w:pPr>
    <w:rPr>
      <w:lang w:eastAsia="en-GB"/>
    </w:rPr>
  </w:style>
  <w:style w:type="paragraph" w:customStyle="1" w:styleId="ListNumberLevel3">
    <w:name w:val="List Number (Level 3)"/>
    <w:basedOn w:val="Normal"/>
    <w:rsid w:val="009F1FBC"/>
    <w:pPr>
      <w:tabs>
        <w:tab w:val="num" w:pos="2126"/>
      </w:tabs>
      <w:ind w:left="2126" w:hanging="709"/>
    </w:pPr>
    <w:rPr>
      <w:lang w:eastAsia="en-GB"/>
    </w:rPr>
  </w:style>
  <w:style w:type="paragraph" w:customStyle="1" w:styleId="ListNumberLevel4">
    <w:name w:val="List Number (Level 4)"/>
    <w:basedOn w:val="Normal"/>
    <w:rsid w:val="009F1FBC"/>
    <w:pPr>
      <w:tabs>
        <w:tab w:val="num" w:pos="2835"/>
      </w:tabs>
      <w:ind w:left="2835" w:hanging="709"/>
    </w:pPr>
    <w:rPr>
      <w:lang w:eastAsia="en-GB"/>
    </w:rPr>
  </w:style>
  <w:style w:type="paragraph" w:customStyle="1" w:styleId="Fichefinancirestandardtitre">
    <w:name w:val="Fiche financière (standard) titre"/>
    <w:basedOn w:val="Normal"/>
    <w:next w:val="Normal"/>
    <w:rsid w:val="009F1FBC"/>
    <w:pPr>
      <w:jc w:val="center"/>
    </w:pPr>
    <w:rPr>
      <w:b/>
      <w:u w:val="single"/>
      <w:lang w:eastAsia="en-GB"/>
    </w:rPr>
  </w:style>
  <w:style w:type="paragraph" w:customStyle="1" w:styleId="Sous-titreobjet">
    <w:name w:val="Sous-titre objet"/>
    <w:basedOn w:val="Normal"/>
    <w:rsid w:val="009F1FBC"/>
    <w:pPr>
      <w:spacing w:before="0" w:after="0"/>
      <w:jc w:val="center"/>
    </w:pPr>
    <w:rPr>
      <w:b/>
      <w:lang w:eastAsia="en-GB"/>
    </w:rPr>
  </w:style>
  <w:style w:type="paragraph" w:customStyle="1" w:styleId="Sous-titreobjetPagedecouverture">
    <w:name w:val="Sous-titre objet (Page de couverture)"/>
    <w:basedOn w:val="Sous-titreobjet"/>
    <w:rsid w:val="009F1FBC"/>
  </w:style>
  <w:style w:type="character" w:customStyle="1" w:styleId="FooterCoverPageChar">
    <w:name w:val="Footer Cover Page Char"/>
    <w:basedOn w:val="TOCHeadingChar"/>
    <w:link w:val="FooterCoverPage"/>
    <w:locked/>
    <w:rsid w:val="009F1FBC"/>
    <w:rPr>
      <w:rFonts w:ascii="Times New Roman" w:hAnsi="Times New Roman" w:cs="Times New Roman"/>
      <w:b w:val="0"/>
      <w:sz w:val="24"/>
      <w:lang w:val="da-DK"/>
    </w:rPr>
  </w:style>
  <w:style w:type="paragraph" w:customStyle="1" w:styleId="FooterCoverPage">
    <w:name w:val="Footer Cover Page"/>
    <w:basedOn w:val="Normal"/>
    <w:link w:val="FooterCoverPageChar"/>
    <w:rsid w:val="009F1FBC"/>
    <w:pPr>
      <w:tabs>
        <w:tab w:val="center" w:pos="4535"/>
        <w:tab w:val="right" w:pos="9071"/>
        <w:tab w:val="right" w:pos="9921"/>
      </w:tabs>
      <w:spacing w:before="360" w:after="0"/>
      <w:ind w:left="-850" w:right="-850"/>
      <w:jc w:val="left"/>
    </w:pPr>
  </w:style>
  <w:style w:type="character" w:customStyle="1" w:styleId="HeaderCoverPageChar">
    <w:name w:val="Header Cover Page Char"/>
    <w:basedOn w:val="TOCHeadingChar"/>
    <w:link w:val="HeaderCoverPage"/>
    <w:locked/>
    <w:rsid w:val="009F1FBC"/>
    <w:rPr>
      <w:rFonts w:ascii="Times New Roman" w:hAnsi="Times New Roman" w:cs="Times New Roman"/>
      <w:b w:val="0"/>
      <w:sz w:val="24"/>
      <w:lang w:val="da-DK"/>
    </w:rPr>
  </w:style>
  <w:style w:type="paragraph" w:customStyle="1" w:styleId="HeaderCoverPage">
    <w:name w:val="Header Cover Page"/>
    <w:basedOn w:val="Normal"/>
    <w:link w:val="HeaderCoverPageChar"/>
    <w:rsid w:val="009F1FBC"/>
    <w:pPr>
      <w:tabs>
        <w:tab w:val="center" w:pos="4535"/>
        <w:tab w:val="right" w:pos="9071"/>
      </w:tabs>
      <w:spacing w:before="0"/>
    </w:pPr>
  </w:style>
  <w:style w:type="paragraph" w:customStyle="1" w:styleId="Default">
    <w:name w:val="Default"/>
    <w:rsid w:val="009F1FB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F1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Dash">
    <w:name w:val="List Dash"/>
    <w:basedOn w:val="Normal"/>
    <w:rsid w:val="00436363"/>
    <w:pPr>
      <w:numPr>
        <w:numId w:val="23"/>
      </w:numPr>
    </w:pPr>
    <w:rPr>
      <w:rFonts w:eastAsia="Times New Roman"/>
      <w:lang w:eastAsia="de-DE"/>
    </w:rPr>
  </w:style>
  <w:style w:type="paragraph" w:customStyle="1" w:styleId="ListDash3">
    <w:name w:val="List Dash 3"/>
    <w:basedOn w:val="Normal"/>
    <w:rsid w:val="00436363"/>
    <w:pPr>
      <w:numPr>
        <w:numId w:val="24"/>
      </w:numPr>
    </w:pPr>
    <w:rPr>
      <w:rFonts w:eastAsia="Times New Roman"/>
      <w:lang w:eastAsia="en-GB"/>
    </w:rPr>
  </w:style>
  <w:style w:type="paragraph" w:customStyle="1" w:styleId="ListDash4">
    <w:name w:val="List Dash 4"/>
    <w:basedOn w:val="Normal"/>
    <w:rsid w:val="00436363"/>
    <w:pPr>
      <w:numPr>
        <w:numId w:val="25"/>
      </w:numPr>
    </w:pPr>
    <w:rPr>
      <w:rFonts w:eastAsia="Times New Roman"/>
      <w:lang w:eastAsia="en-GB"/>
    </w:rPr>
  </w:style>
  <w:style w:type="paragraph" w:customStyle="1" w:styleId="ListNumber1">
    <w:name w:val="List Number 1"/>
    <w:basedOn w:val="Text1"/>
    <w:rsid w:val="00436363"/>
    <w:pPr>
      <w:numPr>
        <w:numId w:val="26"/>
      </w:numPr>
    </w:pPr>
    <w:rPr>
      <w:rFonts w:eastAsia="Times New Roman"/>
      <w:lang w:eastAsia="en-GB"/>
    </w:rPr>
  </w:style>
  <w:style w:type="paragraph" w:customStyle="1" w:styleId="ListNumber1Level2">
    <w:name w:val="List Number 1 (Level 2)"/>
    <w:basedOn w:val="Text1"/>
    <w:rsid w:val="00436363"/>
    <w:pPr>
      <w:numPr>
        <w:ilvl w:val="1"/>
        <w:numId w:val="26"/>
      </w:numPr>
    </w:pPr>
    <w:rPr>
      <w:rFonts w:eastAsia="Times New Roman"/>
      <w:lang w:eastAsia="en-GB"/>
    </w:rPr>
  </w:style>
  <w:style w:type="paragraph" w:customStyle="1" w:styleId="ListNumber2Level2">
    <w:name w:val="List Number 2 (Level 2)"/>
    <w:basedOn w:val="Text2"/>
    <w:rsid w:val="00436363"/>
    <w:pPr>
      <w:tabs>
        <w:tab w:val="num" w:pos="2268"/>
      </w:tabs>
      <w:ind w:left="2268" w:hanging="708"/>
    </w:pPr>
    <w:rPr>
      <w:rFonts w:eastAsia="Times New Roman"/>
      <w:lang w:eastAsia="en-GB"/>
    </w:rPr>
  </w:style>
  <w:style w:type="paragraph" w:customStyle="1" w:styleId="ListNumber3Level2">
    <w:name w:val="List Number 3 (Level 2)"/>
    <w:basedOn w:val="Text3"/>
    <w:rsid w:val="00436363"/>
    <w:pPr>
      <w:tabs>
        <w:tab w:val="num" w:pos="2268"/>
      </w:tabs>
      <w:ind w:left="2268" w:hanging="708"/>
    </w:pPr>
    <w:rPr>
      <w:rFonts w:eastAsia="Times New Roman"/>
      <w:lang w:eastAsia="en-GB"/>
    </w:rPr>
  </w:style>
  <w:style w:type="paragraph" w:customStyle="1" w:styleId="ListNumber4Level2">
    <w:name w:val="List Number 4 (Level 2)"/>
    <w:basedOn w:val="Text4"/>
    <w:rsid w:val="00436363"/>
    <w:pPr>
      <w:tabs>
        <w:tab w:val="num" w:pos="2268"/>
      </w:tabs>
      <w:ind w:left="2268" w:hanging="708"/>
    </w:pPr>
    <w:rPr>
      <w:rFonts w:eastAsia="Times New Roman"/>
      <w:lang w:eastAsia="en-GB"/>
    </w:rPr>
  </w:style>
  <w:style w:type="paragraph" w:customStyle="1" w:styleId="ListNumber1Level3">
    <w:name w:val="List Number 1 (Level 3)"/>
    <w:basedOn w:val="Text1"/>
    <w:rsid w:val="00436363"/>
    <w:pPr>
      <w:numPr>
        <w:ilvl w:val="2"/>
        <w:numId w:val="26"/>
      </w:numPr>
    </w:pPr>
    <w:rPr>
      <w:rFonts w:eastAsia="Times New Roman"/>
      <w:lang w:eastAsia="en-GB"/>
    </w:rPr>
  </w:style>
  <w:style w:type="paragraph" w:customStyle="1" w:styleId="ListNumber2Level3">
    <w:name w:val="List Number 2 (Level 3)"/>
    <w:basedOn w:val="Text2"/>
    <w:rsid w:val="00436363"/>
    <w:pPr>
      <w:tabs>
        <w:tab w:val="num" w:pos="2977"/>
      </w:tabs>
      <w:ind w:left="2977" w:hanging="709"/>
    </w:pPr>
    <w:rPr>
      <w:rFonts w:eastAsia="Times New Roman"/>
      <w:lang w:eastAsia="en-GB"/>
    </w:rPr>
  </w:style>
  <w:style w:type="paragraph" w:customStyle="1" w:styleId="ListNumber3Level3">
    <w:name w:val="List Number 3 (Level 3)"/>
    <w:basedOn w:val="Text3"/>
    <w:rsid w:val="00436363"/>
    <w:pPr>
      <w:tabs>
        <w:tab w:val="num" w:pos="2977"/>
      </w:tabs>
      <w:ind w:left="2977" w:hanging="709"/>
    </w:pPr>
    <w:rPr>
      <w:rFonts w:eastAsia="Times New Roman"/>
      <w:lang w:eastAsia="en-GB"/>
    </w:rPr>
  </w:style>
  <w:style w:type="paragraph" w:customStyle="1" w:styleId="ListNumber4Level3">
    <w:name w:val="List Number 4 (Level 3)"/>
    <w:basedOn w:val="Text4"/>
    <w:rsid w:val="00436363"/>
    <w:pPr>
      <w:tabs>
        <w:tab w:val="num" w:pos="2977"/>
      </w:tabs>
      <w:ind w:left="2977" w:hanging="709"/>
    </w:pPr>
    <w:rPr>
      <w:rFonts w:eastAsia="Times New Roman"/>
      <w:lang w:eastAsia="en-GB"/>
    </w:rPr>
  </w:style>
  <w:style w:type="paragraph" w:customStyle="1" w:styleId="ListNumber1Level4">
    <w:name w:val="List Number 1 (Level 4)"/>
    <w:basedOn w:val="Text1"/>
    <w:rsid w:val="00436363"/>
    <w:pPr>
      <w:numPr>
        <w:ilvl w:val="3"/>
        <w:numId w:val="26"/>
      </w:numPr>
    </w:pPr>
    <w:rPr>
      <w:rFonts w:eastAsia="Times New Roman"/>
      <w:lang w:eastAsia="en-GB"/>
    </w:rPr>
  </w:style>
  <w:style w:type="paragraph" w:customStyle="1" w:styleId="ListNumber2Level4">
    <w:name w:val="List Number 2 (Level 4)"/>
    <w:basedOn w:val="Text2"/>
    <w:rsid w:val="00436363"/>
    <w:pPr>
      <w:tabs>
        <w:tab w:val="num" w:pos="3686"/>
      </w:tabs>
      <w:ind w:left="3686" w:hanging="709"/>
    </w:pPr>
    <w:rPr>
      <w:rFonts w:eastAsia="Times New Roman"/>
      <w:lang w:eastAsia="en-GB"/>
    </w:rPr>
  </w:style>
  <w:style w:type="paragraph" w:customStyle="1" w:styleId="ListNumber3Level4">
    <w:name w:val="List Number 3 (Level 4)"/>
    <w:basedOn w:val="Text3"/>
    <w:rsid w:val="00436363"/>
    <w:pPr>
      <w:tabs>
        <w:tab w:val="num" w:pos="3686"/>
      </w:tabs>
      <w:ind w:left="3686" w:hanging="709"/>
    </w:pPr>
    <w:rPr>
      <w:rFonts w:eastAsia="Times New Roman"/>
      <w:lang w:eastAsia="en-GB"/>
    </w:rPr>
  </w:style>
  <w:style w:type="paragraph" w:customStyle="1" w:styleId="ListNumber4Level4">
    <w:name w:val="List Number 4 (Level 4)"/>
    <w:basedOn w:val="Text4"/>
    <w:rsid w:val="00436363"/>
    <w:pPr>
      <w:tabs>
        <w:tab w:val="num" w:pos="3686"/>
      </w:tabs>
      <w:ind w:left="3686" w:hanging="709"/>
    </w:pPr>
    <w:rPr>
      <w:rFonts w:eastAsia="Times New Roman"/>
      <w:lang w:eastAsia="en-GB"/>
    </w:rPr>
  </w:style>
  <w:style w:type="paragraph" w:customStyle="1" w:styleId="Annexetitreacte">
    <w:name w:val="Annexe titre (acte)"/>
    <w:basedOn w:val="Normal"/>
    <w:next w:val="Normal"/>
    <w:rsid w:val="00436363"/>
    <w:pPr>
      <w:jc w:val="center"/>
    </w:pPr>
    <w:rPr>
      <w:rFonts w:eastAsia="Times New Roman"/>
      <w:b/>
      <w:u w:val="single"/>
      <w:lang w:eastAsia="en-GB"/>
    </w:rPr>
  </w:style>
  <w:style w:type="paragraph" w:customStyle="1" w:styleId="Annexetitreexposglobal">
    <w:name w:val="Annexe titre (exposé global)"/>
    <w:basedOn w:val="Normal"/>
    <w:next w:val="Normal"/>
    <w:rsid w:val="00436363"/>
    <w:pPr>
      <w:jc w:val="center"/>
    </w:pPr>
    <w:rPr>
      <w:rFonts w:eastAsia="Times New Roman"/>
      <w:b/>
      <w:u w:val="single"/>
      <w:lang w:eastAsia="en-GB"/>
    </w:rPr>
  </w:style>
  <w:style w:type="paragraph" w:customStyle="1" w:styleId="Annexetitrefichefinacte">
    <w:name w:val="Annexe titre (fiche fin. acte)"/>
    <w:basedOn w:val="Normal"/>
    <w:next w:val="Normal"/>
    <w:rsid w:val="00436363"/>
    <w:pPr>
      <w:jc w:val="center"/>
    </w:pPr>
    <w:rPr>
      <w:rFonts w:eastAsia="Times New Roman"/>
      <w:b/>
      <w:u w:val="single"/>
      <w:lang w:eastAsia="en-GB"/>
    </w:rPr>
  </w:style>
  <w:style w:type="paragraph" w:customStyle="1" w:styleId="Annexetitrefichefinglobale">
    <w:name w:val="Annexe titre (fiche fin. globale)"/>
    <w:basedOn w:val="Normal"/>
    <w:next w:val="Normal"/>
    <w:rsid w:val="00436363"/>
    <w:pPr>
      <w:jc w:val="center"/>
    </w:pPr>
    <w:rPr>
      <w:rFonts w:eastAsia="Times New Roman"/>
      <w:b/>
      <w:u w:val="single"/>
      <w:lang w:eastAsia="en-GB"/>
    </w:rPr>
  </w:style>
  <w:style w:type="paragraph" w:customStyle="1" w:styleId="Annexetitreglobale">
    <w:name w:val="Annexe titre (globale)"/>
    <w:basedOn w:val="Normal"/>
    <w:next w:val="Normal"/>
    <w:rsid w:val="00436363"/>
    <w:pPr>
      <w:jc w:val="center"/>
    </w:pPr>
    <w:rPr>
      <w:rFonts w:eastAsia="Times New Roman"/>
      <w:b/>
      <w:u w:val="single"/>
      <w:lang w:eastAsia="en-GB"/>
    </w:rPr>
  </w:style>
  <w:style w:type="paragraph" w:customStyle="1" w:styleId="Exposdesmotifstitreglobal">
    <w:name w:val="Exposé des motifs titre (global)"/>
    <w:basedOn w:val="Normal"/>
    <w:next w:val="Normal"/>
    <w:rsid w:val="00436363"/>
    <w:pPr>
      <w:jc w:val="center"/>
    </w:pPr>
    <w:rPr>
      <w:rFonts w:eastAsia="Times New Roman"/>
      <w:b/>
      <w:u w:val="single"/>
      <w:lang w:eastAsia="en-GB"/>
    </w:rPr>
  </w:style>
  <w:style w:type="paragraph" w:customStyle="1" w:styleId="Langueoriginale">
    <w:name w:val="Langue originale"/>
    <w:basedOn w:val="Normal"/>
    <w:rsid w:val="00436363"/>
    <w:pPr>
      <w:spacing w:before="360"/>
      <w:jc w:val="center"/>
    </w:pPr>
    <w:rPr>
      <w:rFonts w:eastAsia="Times New Roman"/>
      <w:caps/>
      <w:lang w:eastAsia="en-GB"/>
    </w:rPr>
  </w:style>
  <w:style w:type="paragraph" w:customStyle="1" w:styleId="Phrasefinale">
    <w:name w:val="Phrase finale"/>
    <w:basedOn w:val="Normal"/>
    <w:next w:val="Normal"/>
    <w:rsid w:val="00436363"/>
    <w:pPr>
      <w:spacing w:before="360" w:after="0"/>
      <w:jc w:val="center"/>
    </w:pPr>
    <w:rPr>
      <w:rFonts w:eastAsia="Times New Roman"/>
      <w:lang w:eastAsia="en-GB"/>
    </w:rPr>
  </w:style>
  <w:style w:type="paragraph" w:customStyle="1" w:styleId="Prliminairetitre">
    <w:name w:val="Préliminaire titre"/>
    <w:basedOn w:val="Normal"/>
    <w:next w:val="Normal"/>
    <w:rsid w:val="00436363"/>
    <w:pPr>
      <w:spacing w:before="360" w:after="360"/>
      <w:jc w:val="center"/>
    </w:pPr>
    <w:rPr>
      <w:rFonts w:eastAsia="Times New Roman"/>
      <w:b/>
      <w:lang w:eastAsia="en-GB"/>
    </w:rPr>
  </w:style>
  <w:style w:type="paragraph" w:customStyle="1" w:styleId="Prliminairetype">
    <w:name w:val="Préliminaire type"/>
    <w:basedOn w:val="Normal"/>
    <w:next w:val="Normal"/>
    <w:rsid w:val="00436363"/>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436363"/>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436363"/>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436363"/>
    <w:pPr>
      <w:spacing w:before="0" w:after="0"/>
      <w:ind w:left="5103"/>
      <w:jc w:val="left"/>
    </w:pPr>
    <w:rPr>
      <w:rFonts w:eastAsia="Times New Roman"/>
      <w:lang w:eastAsia="en-GB"/>
    </w:rPr>
  </w:style>
  <w:style w:type="paragraph" w:customStyle="1" w:styleId="Sous-titreobjetprliminaire">
    <w:name w:val="Sous-titre objet (préliminaire)"/>
    <w:basedOn w:val="Normal"/>
    <w:rsid w:val="00436363"/>
    <w:pPr>
      <w:spacing w:before="0" w:after="0"/>
      <w:jc w:val="center"/>
    </w:pPr>
    <w:rPr>
      <w:rFonts w:eastAsia="Times New Roman"/>
      <w:b/>
      <w:lang w:eastAsia="en-GB"/>
    </w:rPr>
  </w:style>
  <w:style w:type="paragraph" w:customStyle="1" w:styleId="Statutprliminaire">
    <w:name w:val="Statut (préliminaire)"/>
    <w:basedOn w:val="Normal"/>
    <w:next w:val="Normal"/>
    <w:rsid w:val="00436363"/>
    <w:pPr>
      <w:spacing w:before="360" w:after="0"/>
      <w:jc w:val="center"/>
    </w:pPr>
    <w:rPr>
      <w:rFonts w:eastAsia="Times New Roman"/>
      <w:lang w:eastAsia="en-GB"/>
    </w:rPr>
  </w:style>
  <w:style w:type="paragraph" w:customStyle="1" w:styleId="Titreobjetprliminaire">
    <w:name w:val="Titre objet (préliminaire)"/>
    <w:basedOn w:val="Normal"/>
    <w:next w:val="Normal"/>
    <w:rsid w:val="00436363"/>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436363"/>
    <w:pPr>
      <w:spacing w:before="360" w:after="0"/>
      <w:jc w:val="center"/>
    </w:pPr>
    <w:rPr>
      <w:rFonts w:eastAsia="Times New Roman"/>
      <w:b/>
      <w:lang w:eastAsia="en-GB"/>
    </w:rPr>
  </w:style>
  <w:style w:type="paragraph" w:customStyle="1" w:styleId="Fichefinancirestandardtitreacte">
    <w:name w:val="Fiche financière (standard) titre (acte)"/>
    <w:basedOn w:val="Normal"/>
    <w:next w:val="Normal"/>
    <w:rsid w:val="00436363"/>
    <w:pPr>
      <w:jc w:val="center"/>
    </w:pPr>
    <w:rPr>
      <w:rFonts w:eastAsia="Times New Roman"/>
      <w:b/>
      <w:u w:val="single"/>
      <w:lang w:eastAsia="en-GB"/>
    </w:rPr>
  </w:style>
  <w:style w:type="paragraph" w:customStyle="1" w:styleId="Fichefinanciretravailtitre">
    <w:name w:val="Fiche financière (travail) titre"/>
    <w:basedOn w:val="Normal"/>
    <w:next w:val="Normal"/>
    <w:rsid w:val="00436363"/>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436363"/>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436363"/>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436363"/>
    <w:pPr>
      <w:jc w:val="center"/>
    </w:pPr>
    <w:rPr>
      <w:rFonts w:eastAsia="Times New Roman"/>
      <w:b/>
      <w:u w:val="single"/>
      <w:lang w:eastAsia="en-GB"/>
    </w:rPr>
  </w:style>
  <w:style w:type="character" w:styleId="PageNumber">
    <w:name w:val="page number"/>
    <w:rsid w:val="00436363"/>
  </w:style>
  <w:style w:type="character" w:customStyle="1" w:styleId="tw4winMark">
    <w:name w:val="tw4winMark"/>
    <w:rsid w:val="00436363"/>
    <w:rPr>
      <w:vanish/>
      <w:color w:val="800080"/>
      <w:vertAlign w:val="subscript"/>
    </w:rPr>
  </w:style>
  <w:style w:type="paragraph" w:styleId="Header">
    <w:name w:val="header"/>
    <w:basedOn w:val="Normal"/>
    <w:link w:val="HeaderChar"/>
    <w:uiPriority w:val="99"/>
    <w:unhideWhenUsed/>
    <w:rsid w:val="00EA3F52"/>
    <w:pPr>
      <w:tabs>
        <w:tab w:val="center" w:pos="4535"/>
        <w:tab w:val="right" w:pos="9071"/>
      </w:tabs>
      <w:spacing w:before="0"/>
    </w:pPr>
  </w:style>
  <w:style w:type="character" w:customStyle="1" w:styleId="HeaderChar">
    <w:name w:val="Header Char"/>
    <w:basedOn w:val="DefaultParagraphFont"/>
    <w:link w:val="Header"/>
    <w:uiPriority w:val="99"/>
    <w:rsid w:val="00EA3F52"/>
    <w:rPr>
      <w:rFonts w:ascii="Times New Roman" w:hAnsi="Times New Roman" w:cs="Times New Roman"/>
      <w:sz w:val="24"/>
      <w:lang w:val="da-DK"/>
    </w:rPr>
  </w:style>
  <w:style w:type="paragraph" w:styleId="Footer">
    <w:name w:val="footer"/>
    <w:basedOn w:val="Normal"/>
    <w:link w:val="FooterChar"/>
    <w:uiPriority w:val="99"/>
    <w:unhideWhenUsed/>
    <w:rsid w:val="00EA3F52"/>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EA3F52"/>
    <w:rPr>
      <w:rFonts w:ascii="Times New Roman" w:hAnsi="Times New Roman" w:cs="Times New Roman"/>
      <w:sz w:val="24"/>
      <w:lang w:val="da-DK"/>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EA3F52"/>
    <w:pPr>
      <w:tabs>
        <w:tab w:val="center" w:pos="7285"/>
        <w:tab w:val="right" w:pos="14003"/>
      </w:tabs>
      <w:spacing w:before="0"/>
    </w:pPr>
  </w:style>
  <w:style w:type="paragraph" w:customStyle="1" w:styleId="FooterLandscape">
    <w:name w:val="FooterLandscape"/>
    <w:basedOn w:val="Normal"/>
    <w:rsid w:val="00EA3F52"/>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EA3F5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EA3F52"/>
    <w:pPr>
      <w:spacing w:before="0"/>
      <w:jc w:val="right"/>
    </w:pPr>
    <w:rPr>
      <w:sz w:val="28"/>
    </w:rPr>
  </w:style>
  <w:style w:type="paragraph" w:customStyle="1" w:styleId="FooterSensitivity">
    <w:name w:val="Footer Sensitivity"/>
    <w:basedOn w:val="Normal"/>
    <w:rsid w:val="00EA3F5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35"/>
      </w:numPr>
    </w:pPr>
  </w:style>
  <w:style w:type="paragraph" w:customStyle="1" w:styleId="Tiret1">
    <w:name w:val="Tiret 1"/>
    <w:basedOn w:val="Point1"/>
    <w:rsid w:val="009B7138"/>
    <w:pPr>
      <w:numPr>
        <w:numId w:val="36"/>
      </w:numPr>
    </w:pPr>
  </w:style>
  <w:style w:type="paragraph" w:customStyle="1" w:styleId="Tiret2">
    <w:name w:val="Tiret 2"/>
    <w:basedOn w:val="Point2"/>
    <w:rsid w:val="009B7138"/>
    <w:pPr>
      <w:numPr>
        <w:numId w:val="37"/>
      </w:numPr>
    </w:pPr>
  </w:style>
  <w:style w:type="paragraph" w:customStyle="1" w:styleId="Tiret3">
    <w:name w:val="Tiret 3"/>
    <w:basedOn w:val="Point3"/>
    <w:rsid w:val="009B7138"/>
    <w:pPr>
      <w:numPr>
        <w:numId w:val="38"/>
      </w:numPr>
    </w:pPr>
  </w:style>
  <w:style w:type="paragraph" w:customStyle="1" w:styleId="Tiret4">
    <w:name w:val="Tiret 4"/>
    <w:basedOn w:val="Point4"/>
    <w:rsid w:val="009B7138"/>
    <w:pPr>
      <w:numPr>
        <w:numId w:val="39"/>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55"/>
      </w:numPr>
    </w:pPr>
  </w:style>
  <w:style w:type="paragraph" w:customStyle="1" w:styleId="NumPar2">
    <w:name w:val="NumPar 2"/>
    <w:basedOn w:val="Normal"/>
    <w:next w:val="Text1"/>
    <w:rsid w:val="009B7138"/>
    <w:pPr>
      <w:numPr>
        <w:ilvl w:val="1"/>
        <w:numId w:val="55"/>
      </w:numPr>
    </w:pPr>
  </w:style>
  <w:style w:type="paragraph" w:customStyle="1" w:styleId="NumPar3">
    <w:name w:val="NumPar 3"/>
    <w:basedOn w:val="Normal"/>
    <w:next w:val="Text1"/>
    <w:rsid w:val="009B7138"/>
    <w:pPr>
      <w:numPr>
        <w:ilvl w:val="2"/>
        <w:numId w:val="55"/>
      </w:numPr>
    </w:pPr>
  </w:style>
  <w:style w:type="paragraph" w:customStyle="1" w:styleId="NumPar4">
    <w:name w:val="NumPar 4"/>
    <w:basedOn w:val="Normal"/>
    <w:next w:val="Text1"/>
    <w:rsid w:val="009B7138"/>
    <w:pPr>
      <w:numPr>
        <w:ilvl w:val="3"/>
        <w:numId w:val="55"/>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4C7BB1"/>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42"/>
      </w:numPr>
    </w:pPr>
  </w:style>
  <w:style w:type="paragraph" w:customStyle="1" w:styleId="Point1number">
    <w:name w:val="Point 1 (number)"/>
    <w:basedOn w:val="Normal"/>
    <w:rsid w:val="009B7138"/>
    <w:pPr>
      <w:numPr>
        <w:ilvl w:val="2"/>
        <w:numId w:val="42"/>
      </w:numPr>
    </w:pPr>
  </w:style>
  <w:style w:type="paragraph" w:customStyle="1" w:styleId="Point2number">
    <w:name w:val="Point 2 (number)"/>
    <w:basedOn w:val="Normal"/>
    <w:rsid w:val="009B7138"/>
    <w:pPr>
      <w:numPr>
        <w:ilvl w:val="4"/>
        <w:numId w:val="42"/>
      </w:numPr>
    </w:pPr>
  </w:style>
  <w:style w:type="paragraph" w:customStyle="1" w:styleId="Point3number">
    <w:name w:val="Point 3 (number)"/>
    <w:basedOn w:val="Normal"/>
    <w:rsid w:val="009B7138"/>
    <w:pPr>
      <w:numPr>
        <w:ilvl w:val="6"/>
        <w:numId w:val="42"/>
      </w:numPr>
    </w:pPr>
  </w:style>
  <w:style w:type="paragraph" w:customStyle="1" w:styleId="Point0letter">
    <w:name w:val="Point 0 (letter)"/>
    <w:basedOn w:val="Normal"/>
    <w:rsid w:val="009B7138"/>
    <w:pPr>
      <w:numPr>
        <w:ilvl w:val="1"/>
        <w:numId w:val="42"/>
      </w:numPr>
    </w:pPr>
  </w:style>
  <w:style w:type="paragraph" w:customStyle="1" w:styleId="Point1letter">
    <w:name w:val="Point 1 (letter)"/>
    <w:basedOn w:val="Normal"/>
    <w:rsid w:val="009B7138"/>
    <w:pPr>
      <w:numPr>
        <w:ilvl w:val="3"/>
        <w:numId w:val="42"/>
      </w:numPr>
    </w:pPr>
  </w:style>
  <w:style w:type="paragraph" w:customStyle="1" w:styleId="Point2letter">
    <w:name w:val="Point 2 (letter)"/>
    <w:basedOn w:val="Normal"/>
    <w:rsid w:val="009B7138"/>
    <w:pPr>
      <w:numPr>
        <w:ilvl w:val="5"/>
        <w:numId w:val="42"/>
      </w:numPr>
    </w:pPr>
  </w:style>
  <w:style w:type="paragraph" w:customStyle="1" w:styleId="Point3letter">
    <w:name w:val="Point 3 (letter)"/>
    <w:basedOn w:val="Normal"/>
    <w:rsid w:val="009B7138"/>
    <w:pPr>
      <w:numPr>
        <w:ilvl w:val="7"/>
        <w:numId w:val="42"/>
      </w:numPr>
    </w:pPr>
  </w:style>
  <w:style w:type="paragraph" w:customStyle="1" w:styleId="Point4letter">
    <w:name w:val="Point 4 (letter)"/>
    <w:basedOn w:val="Normal"/>
    <w:rsid w:val="009B7138"/>
    <w:pPr>
      <w:numPr>
        <w:ilvl w:val="8"/>
        <w:numId w:val="42"/>
      </w:numPr>
    </w:pPr>
  </w:style>
  <w:style w:type="paragraph" w:customStyle="1" w:styleId="Bullet0">
    <w:name w:val="Bullet 0"/>
    <w:basedOn w:val="Normal"/>
    <w:rsid w:val="009B7138"/>
    <w:pPr>
      <w:numPr>
        <w:numId w:val="43"/>
      </w:numPr>
    </w:pPr>
  </w:style>
  <w:style w:type="paragraph" w:customStyle="1" w:styleId="Bullet1">
    <w:name w:val="Bullet 1"/>
    <w:basedOn w:val="Normal"/>
    <w:rsid w:val="009B7138"/>
    <w:pPr>
      <w:numPr>
        <w:numId w:val="44"/>
      </w:numPr>
    </w:pPr>
  </w:style>
  <w:style w:type="paragraph" w:customStyle="1" w:styleId="Bullet2">
    <w:name w:val="Bullet 2"/>
    <w:basedOn w:val="Normal"/>
    <w:rsid w:val="009B7138"/>
    <w:pPr>
      <w:numPr>
        <w:numId w:val="45"/>
      </w:numPr>
    </w:pPr>
  </w:style>
  <w:style w:type="paragraph" w:customStyle="1" w:styleId="Bullet3">
    <w:name w:val="Bullet 3"/>
    <w:basedOn w:val="Normal"/>
    <w:rsid w:val="009B7138"/>
    <w:pPr>
      <w:numPr>
        <w:numId w:val="46"/>
      </w:numPr>
    </w:pPr>
  </w:style>
  <w:style w:type="paragraph" w:customStyle="1" w:styleId="Bullet4">
    <w:name w:val="Bullet 4"/>
    <w:basedOn w:val="Normal"/>
    <w:rsid w:val="009B7138"/>
    <w:pPr>
      <w:numPr>
        <w:numId w:val="47"/>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48"/>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113918"/>
    <w:rPr>
      <w:rFonts w:ascii="Times New Roman" w:eastAsiaTheme="majorEastAsia" w:hAnsi="Times New Roman" w:cs="Times New Roman"/>
      <w:sz w:val="24"/>
      <w:lang w:val="da-DK"/>
    </w:rPr>
  </w:style>
  <w:style w:type="character" w:customStyle="1" w:styleId="Heading6Char">
    <w:name w:val="Heading 6 Char"/>
    <w:basedOn w:val="DefaultParagraphFont"/>
    <w:link w:val="Heading6"/>
    <w:uiPriority w:val="9"/>
    <w:semiHidden/>
    <w:rsid w:val="00113918"/>
    <w:rPr>
      <w:rFonts w:ascii="Times New Roman" w:eastAsiaTheme="majorEastAsia" w:hAnsi="Times New Roman" w:cs="Times New Roman"/>
      <w:iCs/>
      <w:sz w:val="24"/>
      <w:lang w:val="da-DK"/>
    </w:rPr>
  </w:style>
  <w:style w:type="character" w:customStyle="1" w:styleId="Heading7Char">
    <w:name w:val="Heading 7 Char"/>
    <w:basedOn w:val="DefaultParagraphFont"/>
    <w:link w:val="Heading7"/>
    <w:uiPriority w:val="9"/>
    <w:semiHidden/>
    <w:rsid w:val="00113918"/>
    <w:rPr>
      <w:rFonts w:ascii="Times New Roman" w:eastAsiaTheme="majorEastAsia" w:hAnsi="Times New Roman" w:cs="Times New Roman"/>
      <w:iCs/>
      <w:sz w:val="24"/>
      <w:lang w:val="da-DK"/>
    </w:rPr>
  </w:style>
  <w:style w:type="paragraph" w:customStyle="1" w:styleId="ManualHeading5">
    <w:name w:val="Manual Heading 5"/>
    <w:basedOn w:val="Normal"/>
    <w:next w:val="Text2"/>
    <w:rsid w:val="00113918"/>
    <w:pPr>
      <w:keepNext/>
      <w:tabs>
        <w:tab w:val="left" w:pos="1417"/>
      </w:tabs>
      <w:ind w:left="1417" w:hanging="1417"/>
      <w:outlineLvl w:val="4"/>
    </w:pPr>
  </w:style>
  <w:style w:type="paragraph" w:customStyle="1" w:styleId="ManualHeading6">
    <w:name w:val="Manual Heading 6"/>
    <w:basedOn w:val="Normal"/>
    <w:next w:val="Text2"/>
    <w:rsid w:val="00113918"/>
    <w:pPr>
      <w:keepNext/>
      <w:tabs>
        <w:tab w:val="left" w:pos="1417"/>
      </w:tabs>
      <w:ind w:left="1417" w:hanging="1417"/>
      <w:outlineLvl w:val="5"/>
    </w:pPr>
  </w:style>
  <w:style w:type="paragraph" w:customStyle="1" w:styleId="ManualHeading7">
    <w:name w:val="Manual Heading 7"/>
    <w:basedOn w:val="Normal"/>
    <w:next w:val="Text2"/>
    <w:rsid w:val="00113918"/>
    <w:pPr>
      <w:keepNext/>
      <w:tabs>
        <w:tab w:val="left" w:pos="1417"/>
      </w:tabs>
      <w:ind w:left="1417" w:hanging="1417"/>
      <w:outlineLvl w:val="6"/>
    </w:pPr>
  </w:style>
  <w:style w:type="paragraph" w:customStyle="1" w:styleId="Text5">
    <w:name w:val="Text 5"/>
    <w:basedOn w:val="Normal"/>
    <w:rsid w:val="00113918"/>
    <w:pPr>
      <w:ind w:left="3118"/>
    </w:pPr>
  </w:style>
  <w:style w:type="paragraph" w:customStyle="1" w:styleId="Text6">
    <w:name w:val="Text 6"/>
    <w:basedOn w:val="Normal"/>
    <w:rsid w:val="00113918"/>
    <w:pPr>
      <w:ind w:left="3685"/>
    </w:pPr>
  </w:style>
  <w:style w:type="paragraph" w:customStyle="1" w:styleId="Point5">
    <w:name w:val="Point 5"/>
    <w:basedOn w:val="Normal"/>
    <w:rsid w:val="00113918"/>
    <w:pPr>
      <w:ind w:left="3685" w:hanging="567"/>
    </w:pPr>
  </w:style>
  <w:style w:type="paragraph" w:customStyle="1" w:styleId="Tiret5">
    <w:name w:val="Tiret 5"/>
    <w:basedOn w:val="Point5"/>
    <w:rsid w:val="00113918"/>
    <w:pPr>
      <w:numPr>
        <w:numId w:val="52"/>
      </w:numPr>
    </w:pPr>
  </w:style>
  <w:style w:type="paragraph" w:customStyle="1" w:styleId="NumPar5">
    <w:name w:val="NumPar 5"/>
    <w:basedOn w:val="Normal"/>
    <w:next w:val="Text2"/>
    <w:rsid w:val="00113918"/>
    <w:pPr>
      <w:numPr>
        <w:ilvl w:val="4"/>
        <w:numId w:val="55"/>
      </w:numPr>
    </w:pPr>
  </w:style>
  <w:style w:type="paragraph" w:customStyle="1" w:styleId="NumPar6">
    <w:name w:val="NumPar 6"/>
    <w:basedOn w:val="Normal"/>
    <w:next w:val="Text2"/>
    <w:rsid w:val="00113918"/>
    <w:pPr>
      <w:numPr>
        <w:ilvl w:val="5"/>
        <w:numId w:val="55"/>
      </w:numPr>
    </w:pPr>
  </w:style>
  <w:style w:type="paragraph" w:customStyle="1" w:styleId="NumPar7">
    <w:name w:val="NumPar 7"/>
    <w:basedOn w:val="Normal"/>
    <w:next w:val="Text2"/>
    <w:rsid w:val="00113918"/>
    <w:pPr>
      <w:numPr>
        <w:ilvl w:val="6"/>
        <w:numId w:val="55"/>
      </w:numPr>
    </w:pPr>
  </w:style>
  <w:style w:type="paragraph" w:customStyle="1" w:styleId="ManualNumPar5">
    <w:name w:val="Manual NumPar 5"/>
    <w:basedOn w:val="Normal"/>
    <w:next w:val="Text2"/>
    <w:rsid w:val="00113918"/>
    <w:pPr>
      <w:ind w:left="1417" w:hanging="1417"/>
    </w:pPr>
  </w:style>
  <w:style w:type="paragraph" w:customStyle="1" w:styleId="ManualNumPar6">
    <w:name w:val="Manual NumPar 6"/>
    <w:basedOn w:val="Normal"/>
    <w:next w:val="Text2"/>
    <w:rsid w:val="00113918"/>
    <w:pPr>
      <w:ind w:left="1417" w:hanging="1417"/>
    </w:pPr>
  </w:style>
  <w:style w:type="paragraph" w:customStyle="1" w:styleId="ManualNumPar7">
    <w:name w:val="Manual NumPar 7"/>
    <w:basedOn w:val="Normal"/>
    <w:next w:val="Text2"/>
    <w:rsid w:val="00113918"/>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52410">
      <w:bodyDiv w:val="1"/>
      <w:marLeft w:val="0"/>
      <w:marRight w:val="0"/>
      <w:marTop w:val="0"/>
      <w:marBottom w:val="0"/>
      <w:divBdr>
        <w:top w:val="none" w:sz="0" w:space="0" w:color="auto"/>
        <w:left w:val="none" w:sz="0" w:space="0" w:color="auto"/>
        <w:bottom w:val="none" w:sz="0" w:space="0" w:color="auto"/>
        <w:right w:val="none" w:sz="0" w:space="0" w:color="auto"/>
      </w:divBdr>
    </w:div>
    <w:div w:id="204606109">
      <w:bodyDiv w:val="1"/>
      <w:marLeft w:val="0"/>
      <w:marRight w:val="0"/>
      <w:marTop w:val="0"/>
      <w:marBottom w:val="0"/>
      <w:divBdr>
        <w:top w:val="none" w:sz="0" w:space="0" w:color="auto"/>
        <w:left w:val="none" w:sz="0" w:space="0" w:color="auto"/>
        <w:bottom w:val="none" w:sz="0" w:space="0" w:color="auto"/>
        <w:right w:val="none" w:sz="0" w:space="0" w:color="auto"/>
      </w:divBdr>
    </w:div>
    <w:div w:id="425347967">
      <w:bodyDiv w:val="1"/>
      <w:marLeft w:val="0"/>
      <w:marRight w:val="0"/>
      <w:marTop w:val="0"/>
      <w:marBottom w:val="0"/>
      <w:divBdr>
        <w:top w:val="none" w:sz="0" w:space="0" w:color="auto"/>
        <w:left w:val="none" w:sz="0" w:space="0" w:color="auto"/>
        <w:bottom w:val="none" w:sz="0" w:space="0" w:color="auto"/>
        <w:right w:val="none" w:sz="0" w:space="0" w:color="auto"/>
      </w:divBdr>
    </w:div>
    <w:div w:id="508561315">
      <w:bodyDiv w:val="1"/>
      <w:marLeft w:val="0"/>
      <w:marRight w:val="0"/>
      <w:marTop w:val="0"/>
      <w:marBottom w:val="0"/>
      <w:divBdr>
        <w:top w:val="none" w:sz="0" w:space="0" w:color="auto"/>
        <w:left w:val="none" w:sz="0" w:space="0" w:color="auto"/>
        <w:bottom w:val="none" w:sz="0" w:space="0" w:color="auto"/>
        <w:right w:val="none" w:sz="0" w:space="0" w:color="auto"/>
      </w:divBdr>
    </w:div>
    <w:div w:id="111721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3" Type="http://schemas.openxmlformats.org/officeDocument/2006/relationships/hyperlink" Target="https://op.europa.eu/da/publication-detail/-/publication/e38795b5-f633-11ea-991b-01aa75ed71a1/language-en" TargetMode="External"/><Relationship Id="rId2" Type="http://schemas.openxmlformats.org/officeDocument/2006/relationships/hyperlink" Target="https://op.europa.eu/da/publication-detail/-/publication/e38795b5-f633-11ea-991b-01aa75ed71a1/language-en" TargetMode="External"/><Relationship Id="rId1" Type="http://schemas.openxmlformats.org/officeDocument/2006/relationships/hyperlink" Target="https://op.europa.eu/da/publication-detail/-/publication/e38795b5-f633-11ea-991b-01aa75ed71a1/language-en" TargetMode="External"/><Relationship Id="rId6" Type="http://schemas.openxmlformats.org/officeDocument/2006/relationships/hyperlink" Target="https://europa.eu/european-union/sites/default/files/docs/body/joint_statement_and_common_approach_2012_en.pdf" TargetMode="External"/><Relationship Id="rId5" Type="http://schemas.openxmlformats.org/officeDocument/2006/relationships/hyperlink" Target="https://myintracomm.ec.europa.eu/budgweb/DA/man/budgmanag/Pages/budgmanag.aspx" TargetMode="External"/><Relationship Id="rId4" Type="http://schemas.openxmlformats.org/officeDocument/2006/relationships/hyperlink" Target="https://op.europa.eu/da/publication-detail/-/publication/e38795b5-f633-11ea-991b-01aa75ed71a1/language-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DDE8471860CC499C4262F7E2D12FA6" ma:contentTypeVersion="0" ma:contentTypeDescription="Create a new document." ma:contentTypeScope="" ma:versionID="a4aa80db7d0e36c965ebd04240825006">
  <xsd:schema xmlns:xsd="http://www.w3.org/2001/XMLSchema" xmlns:xs="http://www.w3.org/2001/XMLSchema" xmlns:p="http://schemas.microsoft.com/office/2006/metadata/properties" targetNamespace="http://schemas.microsoft.com/office/2006/metadata/properties" ma:root="true" ma:fieldsID="f44c2bb0c61eb8781e81cb0c95ec763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BD3DF-C275-4BF3-8251-8093F3BEDBD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0D8BE2B-EA81-4D14-955E-D58ACAABE8F5}">
  <ds:schemaRefs>
    <ds:schemaRef ds:uri="http://schemas.microsoft.com/sharepoint/v3/contenttype/forms"/>
  </ds:schemaRefs>
</ds:datastoreItem>
</file>

<file path=customXml/itemProps3.xml><?xml version="1.0" encoding="utf-8"?>
<ds:datastoreItem xmlns:ds="http://schemas.openxmlformats.org/officeDocument/2006/customXml" ds:itemID="{8FE5BFB5-63CB-4B16-96A8-C3DB96060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01DEA09-94DD-49D8-8AB3-95A91F380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51</Pages>
  <Words>14124</Words>
  <Characters>91383</Characters>
  <Application>Microsoft Office Word</Application>
  <DocSecurity>0</DocSecurity>
  <Lines>2284</Lines>
  <Paragraphs>986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41</cp:revision>
  <cp:lastPrinted>2021-11-17T14:22:00Z</cp:lastPrinted>
  <dcterms:created xsi:type="dcterms:W3CDTF">2022-01-03T08:15:00Z</dcterms:created>
  <dcterms:modified xsi:type="dcterms:W3CDTF">2022-01-07T10:50:00Z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0x0101005FDDE8471860CC499C4262F7E2D12FA6</vt:lpwstr>
  </property>
  <property fmtid="{D5CDD505-2E9C-101B-9397-08002B2CF9AE}" pid="11" name="IsMyDocuments">
    <vt:bool>true</vt:bool>
  </property>
  <property fmtid="{D5CDD505-2E9C-101B-9397-08002B2CF9AE}" pid="12" name="DQCStatus">
    <vt:lpwstr>Green (DQC version 03)</vt:lpwstr>
  </property>
</Properties>
</file>